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640" w:lineRule="exact"/>
        <w:ind w:firstLine="0" w:firstLineChars="0"/>
        <w:jc w:val="center"/>
        <w:rPr>
          <w:rFonts w:hint="eastAsia" w:ascii="黑体" w:hAnsi="黑体" w:eastAsia="黑体" w:cs="黑体"/>
          <w:b/>
          <w:bCs/>
          <w:color w:val="auto"/>
          <w:kern w:val="2"/>
          <w:sz w:val="48"/>
          <w:szCs w:val="48"/>
          <w:u w:val="none"/>
          <w:lang w:val="en-US" w:eastAsia="zh-CN" w:bidi="ar"/>
        </w:rPr>
      </w:pPr>
    </w:p>
    <w:p>
      <w:pPr>
        <w:snapToGrid w:val="0"/>
        <w:spacing w:before="0" w:beforeAutospacing="0" w:after="0" w:afterAutospacing="0" w:line="640" w:lineRule="exact"/>
        <w:ind w:firstLine="0" w:firstLineChars="0"/>
        <w:jc w:val="center"/>
        <w:rPr>
          <w:rFonts w:hint="eastAsia" w:ascii="黑体" w:hAnsi="黑体" w:eastAsia="黑体" w:cs="黑体"/>
          <w:b/>
          <w:bCs/>
          <w:kern w:val="2"/>
          <w:sz w:val="48"/>
          <w:szCs w:val="48"/>
          <w:u w:val="none"/>
          <w:lang w:val="en-US" w:eastAsia="zh-CN" w:bidi="ar"/>
        </w:rPr>
      </w:pPr>
      <w:r>
        <w:rPr>
          <w:rFonts w:hint="eastAsia" w:ascii="黑体" w:hAnsi="黑体" w:eastAsia="黑体" w:cs="黑体"/>
          <w:b/>
          <w:bCs/>
          <w:color w:val="auto"/>
          <w:kern w:val="2"/>
          <w:sz w:val="48"/>
          <w:szCs w:val="48"/>
          <w:u w:val="none"/>
          <w:lang w:val="en-US" w:eastAsia="zh-CN" w:bidi="ar"/>
        </w:rPr>
        <w:t>岳阳城陵矶新港有限公司</w:t>
      </w:r>
    </w:p>
    <w:p>
      <w:pPr>
        <w:spacing w:line="640" w:lineRule="exact"/>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堆场至路口铺站集装箱拖车运输项目</w:t>
      </w:r>
    </w:p>
    <w:p>
      <w:pPr>
        <w:spacing w:line="640" w:lineRule="exact"/>
        <w:jc w:val="center"/>
        <w:rPr>
          <w:rFonts w:hint="eastAsia" w:ascii="黑体" w:hAnsi="黑体" w:eastAsia="黑体" w:cs="Times New Roman"/>
          <w:b/>
          <w:bCs/>
          <w:color w:val="auto"/>
          <w:kern w:val="2"/>
          <w:sz w:val="48"/>
          <w:szCs w:val="48"/>
          <w:u w:val="none"/>
          <w:lang w:val="en-US" w:eastAsia="zh-CN" w:bidi="ar"/>
        </w:rPr>
      </w:pPr>
    </w:p>
    <w:p>
      <w:pPr>
        <w:spacing w:line="640" w:lineRule="exact"/>
        <w:jc w:val="center"/>
        <w:rPr>
          <w:rFonts w:ascii="宋体" w:hAnsi="宋体" w:cs="宋体"/>
          <w:b/>
          <w:color w:val="000000"/>
          <w:kern w:val="0"/>
          <w:sz w:val="28"/>
          <w:szCs w:val="28"/>
        </w:rPr>
      </w:pPr>
      <w:r>
        <w:rPr>
          <w:rFonts w:hint="eastAsia" w:ascii="黑体" w:hAnsi="黑体" w:eastAsia="黑体" w:cs="Times New Roman"/>
          <w:b/>
          <w:bCs/>
          <w:color w:val="auto"/>
          <w:kern w:val="2"/>
          <w:sz w:val="48"/>
          <w:szCs w:val="48"/>
          <w:u w:val="none"/>
          <w:lang w:val="en-US" w:eastAsia="zh-CN" w:bidi="ar"/>
        </w:rPr>
        <w:t>竞争性谈判</w:t>
      </w:r>
      <w:r>
        <w:rPr>
          <w:rFonts w:hint="eastAsia" w:ascii="黑体" w:hAnsi="黑体" w:eastAsia="黑体"/>
          <w:b/>
          <w:bCs/>
          <w:sz w:val="48"/>
          <w:szCs w:val="48"/>
          <w:u w:val="none"/>
          <w:lang w:val="en-US" w:eastAsia="zh-CN"/>
        </w:rPr>
        <w:t>文件</w:t>
      </w:r>
    </w:p>
    <w:p>
      <w:pPr>
        <w:spacing w:line="6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采购编号：省港服（2023）年竞第2号【新港】</w:t>
      </w:r>
    </w:p>
    <w:p>
      <w:pPr>
        <w:spacing w:line="640" w:lineRule="exact"/>
        <w:jc w:val="center"/>
        <w:rPr>
          <w:rFonts w:ascii="宋体" w:hAnsi="宋体" w:cs="宋体"/>
          <w:b/>
          <w:color w:val="000000"/>
          <w:kern w:val="0"/>
          <w:sz w:val="28"/>
          <w:szCs w:val="28"/>
        </w:rPr>
      </w:pPr>
    </w:p>
    <w:p>
      <w:pPr>
        <w:spacing w:line="480" w:lineRule="auto"/>
        <w:jc w:val="center"/>
        <w:rPr>
          <w:rFonts w:ascii="宋体" w:hAnsi="宋体" w:cs="宋体"/>
          <w:b/>
          <w:color w:val="000000"/>
          <w:kern w:val="0"/>
          <w:sz w:val="28"/>
          <w:szCs w:val="28"/>
        </w:rPr>
      </w:pPr>
    </w:p>
    <w:p>
      <w:pPr>
        <w:pStyle w:val="3"/>
        <w:rPr>
          <w:rFonts w:ascii="宋体" w:hAnsi="宋体" w:cs="宋体"/>
          <w:b/>
          <w:color w:val="000000"/>
          <w:kern w:val="0"/>
          <w:sz w:val="28"/>
          <w:szCs w:val="28"/>
        </w:rPr>
      </w:pPr>
    </w:p>
    <w:p>
      <w:pPr>
        <w:pStyle w:val="46"/>
      </w:pPr>
    </w:p>
    <w:p>
      <w:pPr>
        <w:snapToGrid w:val="0"/>
        <w:spacing w:line="480" w:lineRule="auto"/>
        <w:jc w:val="center"/>
        <w:rPr>
          <w:b/>
          <w:bCs/>
          <w:sz w:val="48"/>
          <w:szCs w:val="48"/>
        </w:rPr>
      </w:pPr>
    </w:p>
    <w:p>
      <w:pPr>
        <w:spacing w:line="600" w:lineRule="exact"/>
      </w:pPr>
    </w:p>
    <w:p>
      <w:pPr>
        <w:spacing w:line="600" w:lineRule="exact"/>
      </w:pPr>
    </w:p>
    <w:p>
      <w:pPr>
        <w:pStyle w:val="3"/>
      </w:pPr>
    </w:p>
    <w:p>
      <w:pPr>
        <w:pStyle w:val="46"/>
      </w:pPr>
    </w:p>
    <w:p>
      <w:pPr>
        <w:pStyle w:val="46"/>
      </w:pPr>
    </w:p>
    <w:p>
      <w:pPr>
        <w:pStyle w:val="46"/>
      </w:pPr>
    </w:p>
    <w:p>
      <w:pPr>
        <w:pStyle w:val="8"/>
        <w:outlineLvl w:val="9"/>
      </w:pPr>
    </w:p>
    <w:p/>
    <w:p>
      <w:pPr>
        <w:pStyle w:val="8"/>
        <w:outlineLvl w:val="9"/>
      </w:pPr>
    </w:p>
    <w:p/>
    <w:p>
      <w:pPr>
        <w:tabs>
          <w:tab w:val="left" w:pos="0"/>
          <w:tab w:val="left" w:pos="4185"/>
        </w:tabs>
        <w:spacing w:line="288" w:lineRule="auto"/>
        <w:ind w:right="-6"/>
        <w:jc w:val="center"/>
        <w:rPr>
          <w:rFonts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三</w:t>
      </w:r>
      <w:r>
        <w:rPr>
          <w:rFonts w:hint="eastAsia" w:ascii="黑体" w:hAnsi="黑体" w:eastAsia="黑体"/>
          <w:bCs/>
          <w:sz w:val="44"/>
          <w:szCs w:val="44"/>
        </w:rPr>
        <w:t>年</w:t>
      </w:r>
      <w:r>
        <w:rPr>
          <w:rFonts w:hint="eastAsia" w:ascii="黑体" w:hAnsi="黑体" w:eastAsia="黑体"/>
          <w:bCs/>
          <w:sz w:val="44"/>
          <w:szCs w:val="44"/>
          <w:lang w:val="en-US" w:eastAsia="zh-CN"/>
        </w:rPr>
        <w:t>六</w:t>
      </w:r>
      <w:r>
        <w:rPr>
          <w:rFonts w:hint="eastAsia" w:ascii="黑体" w:hAnsi="黑体" w:eastAsia="黑体"/>
          <w:bCs/>
          <w:sz w:val="44"/>
          <w:szCs w:val="44"/>
        </w:rPr>
        <w:t>月</w:t>
      </w:r>
    </w:p>
    <w:p>
      <w:pPr>
        <w:pStyle w:val="25"/>
        <w:tabs>
          <w:tab w:val="right" w:leader="dot" w:pos="8948"/>
          <w:tab w:val="clear" w:pos="9242"/>
        </w:tabs>
        <w:adjustRightInd w:val="0"/>
        <w:snapToGrid w:val="0"/>
        <w:spacing w:before="60" w:beforeLines="0" w:after="6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footerReference r:id="rId5" w:type="default"/>
          <w:pgSz w:w="11906" w:h="16838"/>
          <w:pgMar w:top="1440" w:right="1080" w:bottom="1440" w:left="1080" w:header="851" w:footer="1344" w:gutter="0"/>
          <w:pgNumType w:fmt="decimal" w:start="1"/>
          <w:cols w:space="720" w:num="1"/>
          <w:docGrid w:linePitch="312" w:charSpace="0"/>
        </w:sectPr>
      </w:pPr>
    </w:p>
    <w:sdt>
      <w:sdtPr>
        <w:rPr>
          <w:rFonts w:ascii="宋体" w:hAnsi="宋体" w:eastAsia="宋体" w:cs="Times New Roman"/>
          <w:kern w:val="2"/>
          <w:sz w:val="21"/>
          <w:szCs w:val="24"/>
          <w:lang w:val="en-US" w:eastAsia="zh-CN" w:bidi="ar-SA"/>
        </w:rPr>
        <w:id w:val="14745667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目</w:t>
          </w:r>
          <w:r>
            <w:rPr>
              <w:rFonts w:hint="eastAsia" w:ascii="微软雅黑" w:hAnsi="微软雅黑" w:eastAsia="微软雅黑" w:cs="微软雅黑"/>
              <w:sz w:val="44"/>
              <w:szCs w:val="44"/>
              <w:lang w:val="en-US" w:eastAsia="zh-CN"/>
            </w:rPr>
            <w:t xml:space="preserve">   </w:t>
          </w:r>
          <w:r>
            <w:rPr>
              <w:rFonts w:hint="eastAsia" w:ascii="微软雅黑" w:hAnsi="微软雅黑" w:eastAsia="微软雅黑" w:cs="微软雅黑"/>
              <w:sz w:val="44"/>
              <w:szCs w:val="44"/>
            </w:rPr>
            <w:t>录</w:t>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"1-1"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_Toc28186 </w:instrText>
          </w:r>
          <w:r>
            <w:rPr>
              <w:rFonts w:hint="eastAsia" w:ascii="微软雅黑" w:hAnsi="微软雅黑" w:eastAsia="微软雅黑" w:cs="微软雅黑"/>
            </w:rPr>
            <w:fldChar w:fldCharType="separate"/>
          </w:r>
          <w:r>
            <w:rPr>
              <w:rFonts w:hint="eastAsia" w:ascii="微软雅黑" w:hAnsi="微软雅黑" w:eastAsia="微软雅黑" w:cs="微软雅黑"/>
              <w:szCs w:val="36"/>
            </w:rPr>
            <w:t>第一章 采购公告</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_Toc28186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_Toc14739 </w:instrText>
          </w:r>
          <w:r>
            <w:rPr>
              <w:rFonts w:hint="eastAsia" w:ascii="微软雅黑" w:hAnsi="微软雅黑" w:eastAsia="微软雅黑" w:cs="微软雅黑"/>
            </w:rPr>
            <w:fldChar w:fldCharType="separate"/>
          </w:r>
          <w:r>
            <w:rPr>
              <w:rFonts w:hint="eastAsia" w:ascii="微软雅黑" w:hAnsi="微软雅黑" w:eastAsia="微软雅黑" w:cs="微软雅黑"/>
              <w:szCs w:val="36"/>
            </w:rPr>
            <w:t>第二章 供应商须知</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_Toc14739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_Toc14842 </w:instrText>
          </w:r>
          <w:r>
            <w:rPr>
              <w:rFonts w:hint="eastAsia" w:ascii="微软雅黑" w:hAnsi="微软雅黑" w:eastAsia="微软雅黑" w:cs="微软雅黑"/>
            </w:rPr>
            <w:fldChar w:fldCharType="separate"/>
          </w:r>
          <w:r>
            <w:rPr>
              <w:rFonts w:hint="eastAsia" w:ascii="微软雅黑" w:hAnsi="微软雅黑" w:eastAsia="微软雅黑" w:cs="微软雅黑"/>
              <w:bCs/>
              <w:szCs w:val="36"/>
            </w:rPr>
            <w:t>第三章 评审办法</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_Toc14842 \h </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_Toc27966 </w:instrText>
          </w:r>
          <w:r>
            <w:rPr>
              <w:rFonts w:hint="eastAsia" w:ascii="微软雅黑" w:hAnsi="微软雅黑" w:eastAsia="微软雅黑" w:cs="微软雅黑"/>
            </w:rPr>
            <w:fldChar w:fldCharType="separate"/>
          </w:r>
          <w:r>
            <w:rPr>
              <w:rFonts w:hint="eastAsia" w:ascii="微软雅黑" w:hAnsi="微软雅黑" w:eastAsia="微软雅黑" w:cs="微软雅黑"/>
              <w:szCs w:val="36"/>
            </w:rPr>
            <w:t>第四章  合同条款及格式</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_Toc27966 \h </w:instrText>
          </w:r>
          <w:r>
            <w:rPr>
              <w:rFonts w:hint="eastAsia" w:ascii="微软雅黑" w:hAnsi="微软雅黑" w:eastAsia="微软雅黑" w:cs="微软雅黑"/>
            </w:rPr>
            <w:fldChar w:fldCharType="separate"/>
          </w:r>
          <w:r>
            <w:rPr>
              <w:rFonts w:hint="eastAsia" w:ascii="微软雅黑" w:hAnsi="微软雅黑" w:eastAsia="微软雅黑" w:cs="微软雅黑"/>
            </w:rPr>
            <w:t>26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_Toc24376 </w:instrText>
          </w:r>
          <w:r>
            <w:rPr>
              <w:rFonts w:hint="eastAsia" w:ascii="微软雅黑" w:hAnsi="微软雅黑" w:eastAsia="微软雅黑" w:cs="微软雅黑"/>
            </w:rPr>
            <w:fldChar w:fldCharType="separate"/>
          </w:r>
          <w:r>
            <w:rPr>
              <w:rFonts w:hint="eastAsia" w:ascii="微软雅黑" w:hAnsi="微软雅黑" w:eastAsia="微软雅黑" w:cs="微软雅黑"/>
              <w:szCs w:val="36"/>
            </w:rPr>
            <w:t>第五章  采购需求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_Toc24376 \h </w:instrText>
          </w:r>
          <w:r>
            <w:rPr>
              <w:rFonts w:hint="eastAsia" w:ascii="微软雅黑" w:hAnsi="微软雅黑" w:eastAsia="微软雅黑" w:cs="微软雅黑"/>
            </w:rPr>
            <w:fldChar w:fldCharType="separate"/>
          </w:r>
          <w:r>
            <w:rPr>
              <w:rFonts w:hint="eastAsia" w:ascii="微软雅黑" w:hAnsi="微软雅黑" w:eastAsia="微软雅黑" w:cs="微软雅黑"/>
            </w:rPr>
            <w:t>29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_Toc10855 </w:instrText>
          </w:r>
          <w:r>
            <w:rPr>
              <w:rFonts w:hint="eastAsia" w:ascii="微软雅黑" w:hAnsi="微软雅黑" w:eastAsia="微软雅黑" w:cs="微软雅黑"/>
            </w:rPr>
            <w:fldChar w:fldCharType="separate"/>
          </w:r>
          <w:r>
            <w:rPr>
              <w:rFonts w:hint="eastAsia" w:ascii="微软雅黑" w:hAnsi="微软雅黑" w:eastAsia="微软雅黑" w:cs="微软雅黑"/>
              <w:szCs w:val="36"/>
            </w:rPr>
            <w:t>第</w:t>
          </w:r>
          <w:r>
            <w:rPr>
              <w:rFonts w:hint="eastAsia" w:ascii="微软雅黑" w:hAnsi="微软雅黑" w:eastAsia="微软雅黑" w:cs="微软雅黑"/>
              <w:szCs w:val="36"/>
              <w:lang w:val="en-US" w:eastAsia="zh-CN"/>
            </w:rPr>
            <w:t>六</w:t>
          </w:r>
          <w:r>
            <w:rPr>
              <w:rFonts w:hint="eastAsia" w:ascii="微软雅黑" w:hAnsi="微软雅黑" w:eastAsia="微软雅黑" w:cs="微软雅黑"/>
              <w:szCs w:val="36"/>
            </w:rPr>
            <w:t>章  响应文件格式</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_Toc10855 \h </w:instrText>
          </w:r>
          <w:r>
            <w:rPr>
              <w:rFonts w:hint="eastAsia" w:ascii="微软雅黑" w:hAnsi="微软雅黑" w:eastAsia="微软雅黑" w:cs="微软雅黑"/>
            </w:rPr>
            <w:fldChar w:fldCharType="separate"/>
          </w:r>
          <w:r>
            <w:rPr>
              <w:rFonts w:hint="eastAsia" w:ascii="微软雅黑" w:hAnsi="微软雅黑" w:eastAsia="微软雅黑" w:cs="微软雅黑"/>
            </w:rPr>
            <w:t>30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_Toc25532 </w:instrText>
          </w:r>
          <w:r>
            <w:rPr>
              <w:rFonts w:hint="eastAsia" w:ascii="微软雅黑" w:hAnsi="微软雅黑" w:eastAsia="微软雅黑" w:cs="微软雅黑"/>
            </w:rPr>
            <w:fldChar w:fldCharType="separate"/>
          </w:r>
          <w:r>
            <w:rPr>
              <w:rFonts w:hint="eastAsia" w:ascii="微软雅黑" w:hAnsi="微软雅黑" w:eastAsia="微软雅黑" w:cs="微软雅黑"/>
            </w:rPr>
            <w:t>一、响应函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_Toc25532 \h </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_Toc12659 </w:instrText>
          </w:r>
          <w:r>
            <w:rPr>
              <w:rFonts w:hint="eastAsia" w:ascii="微软雅黑" w:hAnsi="微软雅黑" w:eastAsia="微软雅黑" w:cs="微软雅黑"/>
            </w:rPr>
            <w:fldChar w:fldCharType="separate"/>
          </w:r>
          <w:r>
            <w:rPr>
              <w:rFonts w:hint="eastAsia" w:ascii="微软雅黑" w:hAnsi="微软雅黑" w:eastAsia="微软雅黑" w:cs="微软雅黑"/>
            </w:rPr>
            <w:t>二、授权委托书(适用于有委托代理人的情况)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_Toc12659 \h </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_Toc11209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三</w:t>
          </w:r>
          <w:r>
            <w:rPr>
              <w:rFonts w:hint="eastAsia" w:ascii="微软雅黑" w:hAnsi="微软雅黑" w:eastAsia="微软雅黑" w:cs="微软雅黑"/>
            </w:rPr>
            <w:t>、商务和技术偏差表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_Toc11209 \h </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_Toc24646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四</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_Toc24646 \h </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_Toc11905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五</w:t>
          </w:r>
          <w:r>
            <w:rPr>
              <w:rFonts w:hint="eastAsia" w:ascii="微软雅黑" w:hAnsi="微软雅黑" w:eastAsia="微软雅黑" w:cs="微软雅黑"/>
            </w:rPr>
            <w:t>、资格审查资料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_Toc11905 \h </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_Toc15918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六</w:t>
          </w:r>
          <w:r>
            <w:rPr>
              <w:rFonts w:hint="eastAsia" w:ascii="微软雅黑" w:hAnsi="微软雅黑" w:eastAsia="微软雅黑" w:cs="微软雅黑"/>
            </w:rPr>
            <w:t>、响应方案</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_Toc15918 \h </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_Toc10171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七</w:t>
          </w:r>
          <w:r>
            <w:rPr>
              <w:rFonts w:hint="eastAsia" w:ascii="微软雅黑" w:hAnsi="微软雅黑" w:eastAsia="微软雅黑" w:cs="微软雅黑"/>
            </w:rPr>
            <w:t>、其他资料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_Toc10171 \h </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185"/>
            <w:tabs>
              <w:tab w:val="right" w:leader="dot" w:pos="9746"/>
            </w:tabs>
            <w:rPr>
              <w:rFonts w:hint="eastAsia" w:ascii="微软雅黑" w:hAnsi="微软雅黑" w:eastAsia="微软雅黑" w:cs="微软雅黑"/>
            </w:rPr>
          </w:pPr>
        </w:p>
        <w:p>
          <w:r>
            <w:rPr>
              <w:rFonts w:hint="eastAsia" w:ascii="微软雅黑" w:hAnsi="微软雅黑" w:eastAsia="微软雅黑" w:cs="微软雅黑"/>
            </w:rPr>
            <w:fldChar w:fldCharType="end"/>
          </w:r>
        </w:p>
      </w:sdtContent>
    </w:sdt>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3"/>
        <w:rPr>
          <w:szCs w:val="21"/>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ind w:firstLine="0" w:firstLineChars="0"/>
        <w:jc w:val="center"/>
        <w:rPr>
          <w:rFonts w:hint="eastAsia" w:ascii="黑体" w:hAnsi="黑体" w:eastAsia="黑体" w:cs="Times New Roman"/>
          <w:color w:val="000000"/>
          <w:kern w:val="2"/>
          <w:sz w:val="32"/>
          <w:szCs w:val="32"/>
          <w:u w:val="none"/>
          <w:lang w:val="en-US" w:eastAsia="zh-CN" w:bidi="ar"/>
        </w:rPr>
      </w:pPr>
    </w:p>
    <w:p>
      <w:pPr>
        <w:pStyle w:val="2"/>
        <w:rPr>
          <w:rFonts w:hint="eastAsia" w:ascii="黑体" w:hAnsi="黑体" w:eastAsia="黑体" w:cs="Times New Roman"/>
          <w:color w:val="000000"/>
          <w:kern w:val="2"/>
          <w:sz w:val="32"/>
          <w:szCs w:val="32"/>
          <w:u w:val="none"/>
          <w:lang w:val="en-US" w:eastAsia="zh-CN" w:bidi="ar"/>
        </w:rPr>
      </w:pPr>
    </w:p>
    <w:p>
      <w:pPr>
        <w:pStyle w:val="2"/>
        <w:rPr>
          <w:rFonts w:hint="eastAsia" w:ascii="黑体" w:hAnsi="黑体" w:eastAsia="黑体" w:cs="Times New Roman"/>
          <w:color w:val="000000"/>
          <w:kern w:val="2"/>
          <w:sz w:val="32"/>
          <w:szCs w:val="32"/>
          <w:u w:val="none"/>
          <w:lang w:val="en-US" w:eastAsia="zh-CN" w:bidi="ar"/>
        </w:rPr>
      </w:pPr>
    </w:p>
    <w:p>
      <w:pPr>
        <w:pStyle w:val="2"/>
        <w:rPr>
          <w:rFonts w:hint="eastAsia" w:ascii="黑体" w:hAnsi="黑体" w:eastAsia="黑体" w:cs="Times New Roman"/>
          <w:color w:val="000000"/>
          <w:kern w:val="2"/>
          <w:sz w:val="32"/>
          <w:szCs w:val="32"/>
          <w:u w:val="none"/>
          <w:lang w:val="en-US" w:eastAsia="zh-CN" w:bidi="ar"/>
        </w:rPr>
      </w:pPr>
    </w:p>
    <w:p>
      <w:pPr>
        <w:pStyle w:val="2"/>
        <w:rPr>
          <w:rFonts w:hint="eastAsia" w:ascii="黑体" w:hAnsi="黑体" w:eastAsia="黑体" w:cs="Times New Roman"/>
          <w:color w:val="000000"/>
          <w:kern w:val="2"/>
          <w:sz w:val="32"/>
          <w:szCs w:val="32"/>
          <w:u w:val="none"/>
          <w:lang w:val="en-US" w:eastAsia="zh-CN" w:bidi="ar"/>
        </w:rPr>
      </w:pPr>
    </w:p>
    <w:p>
      <w:pPr>
        <w:pStyle w:val="2"/>
        <w:rPr>
          <w:rFonts w:hint="eastAsia" w:ascii="黑体" w:hAnsi="黑体" w:eastAsia="黑体" w:cs="Times New Roman"/>
          <w:color w:val="000000"/>
          <w:kern w:val="2"/>
          <w:sz w:val="32"/>
          <w:szCs w:val="32"/>
          <w:u w:val="none"/>
          <w:lang w:val="en-US" w:eastAsia="zh-CN" w:bidi="ar"/>
        </w:rPr>
      </w:pPr>
    </w:p>
    <w:p>
      <w:pPr>
        <w:pStyle w:val="74"/>
        <w:numPr>
          <w:ilvl w:val="0"/>
          <w:numId w:val="1"/>
        </w:numPr>
        <w:spacing w:line="600" w:lineRule="exact"/>
        <w:ind w:firstLineChars="0"/>
        <w:jc w:val="center"/>
        <w:outlineLvl w:val="0"/>
        <w:rPr>
          <w:rFonts w:ascii="黑体" w:hAnsi="黑体" w:eastAsia="黑体" w:cs="仿宋"/>
          <w:b/>
          <w:color w:val="000000"/>
          <w:sz w:val="36"/>
          <w:szCs w:val="36"/>
        </w:rPr>
      </w:pPr>
      <w:bookmarkStart w:id="0" w:name="_Toc2238"/>
      <w:bookmarkStart w:id="1" w:name="_Toc28186"/>
      <w:r>
        <w:rPr>
          <w:rFonts w:hint="default" w:ascii="黑体" w:hAnsi="黑体" w:eastAsia="黑体" w:cs="仿宋"/>
          <w:b/>
          <w:color w:val="000000"/>
          <w:sz w:val="36"/>
          <w:szCs w:val="36"/>
          <w:lang w:val="en-US"/>
        </w:rPr>
        <w:t>采购</w:t>
      </w:r>
      <w:r>
        <w:rPr>
          <w:rFonts w:hint="eastAsia" w:ascii="黑体" w:hAnsi="黑体" w:eastAsia="黑体" w:cs="仿宋"/>
          <w:b/>
          <w:color w:val="000000"/>
          <w:sz w:val="36"/>
          <w:szCs w:val="36"/>
        </w:rPr>
        <w:t>公告</w:t>
      </w:r>
      <w:bookmarkEnd w:id="0"/>
      <w:bookmarkEnd w:id="1"/>
    </w:p>
    <w:p>
      <w:pPr>
        <w:spacing w:before="0" w:beforeAutospacing="0" w:after="0" w:afterAutospacing="0" w:line="560" w:lineRule="exact"/>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岳阳城陵矶新港有限公司</w:t>
      </w:r>
    </w:p>
    <w:p>
      <w:pPr>
        <w:spacing w:before="0" w:beforeAutospacing="0" w:after="0" w:afterAutospacing="0" w:line="560" w:lineRule="exact"/>
        <w:ind w:firstLine="0" w:firstLineChars="0"/>
        <w:jc w:val="center"/>
        <w:rPr>
          <w:rFonts w:hint="default" w:eastAsia="黑体"/>
          <w:bCs/>
          <w:color w:val="auto"/>
          <w:sz w:val="32"/>
          <w:szCs w:val="32"/>
          <w:lang w:val="en-US" w:eastAsia="zh-CN"/>
        </w:rPr>
      </w:pPr>
      <w:r>
        <w:rPr>
          <w:rFonts w:hint="eastAsia" w:eastAsia="黑体"/>
          <w:bCs/>
          <w:color w:val="auto"/>
          <w:sz w:val="32"/>
          <w:szCs w:val="32"/>
          <w:lang w:val="en-US" w:eastAsia="zh-CN"/>
        </w:rPr>
        <w:t>堆场至路口铺站集装箱拖车运输项目</w:t>
      </w:r>
    </w:p>
    <w:p>
      <w:pPr>
        <w:pStyle w:val="33"/>
        <w:spacing w:before="0" w:beforeAutospacing="0" w:after="0" w:afterAutospacing="0"/>
        <w:ind w:firstLine="3840" w:firstLineChars="1200"/>
        <w:jc w:val="both"/>
        <w:rPr>
          <w:rFonts w:hint="default"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竞争性谈判采购公告</w:t>
      </w:r>
    </w:p>
    <w:p>
      <w:pPr>
        <w:pStyle w:val="33"/>
        <w:spacing w:before="0" w:beforeAutospacing="0" w:after="0" w:afterAutospacing="0"/>
        <w:ind w:firstLine="3840" w:firstLineChars="1200"/>
        <w:jc w:val="both"/>
        <w:rPr>
          <w:rFonts w:hint="eastAsia" w:ascii="黑体" w:hAnsi="黑体" w:eastAsia="黑体" w:cs="Times New Roman"/>
          <w:color w:val="000000"/>
          <w:kern w:val="2"/>
          <w:sz w:val="32"/>
          <w:szCs w:val="32"/>
          <w:u w:val="none"/>
          <w:lang w:val="en-US" w:eastAsia="zh-CN" w:bidi="ar"/>
        </w:rPr>
      </w:pPr>
    </w:p>
    <w:p>
      <w:pPr>
        <w:pStyle w:val="33"/>
        <w:autoSpaceDE/>
        <w:spacing w:before="0" w:beforeAutospacing="0" w:after="0" w:afterAutospacing="0" w:line="240" w:lineRule="auto"/>
        <w:ind w:firstLine="480" w:firstLineChars="200"/>
        <w:jc w:val="both"/>
        <w:rPr>
          <w:rFonts w:hint="eastAsia" w:ascii="宋体" w:hAnsi="宋体" w:eastAsia="宋体" w:cs="宋体"/>
          <w:sz w:val="24"/>
        </w:rPr>
      </w:pPr>
      <w:r>
        <w:rPr>
          <w:rFonts w:hint="eastAsia" w:ascii="宋体" w:hAnsi="宋体" w:eastAsia="宋体" w:cs="宋体"/>
          <w:color w:val="auto"/>
          <w:kern w:val="2"/>
          <w:sz w:val="24"/>
          <w:szCs w:val="24"/>
          <w:lang w:val="en-US" w:eastAsia="zh-CN" w:bidi="ar"/>
        </w:rPr>
        <w:t>岳阳城陵矶新港有限公司</w:t>
      </w:r>
      <w:r>
        <w:rPr>
          <w:rFonts w:hint="eastAsia" w:cs="宋体"/>
          <w:bCs/>
          <w:sz w:val="24"/>
          <w:szCs w:val="24"/>
          <w:lang w:val="en-US" w:eastAsia="zh-CN"/>
        </w:rPr>
        <w:t>堆场至路口铺站集装箱拖车运输</w:t>
      </w:r>
      <w:r>
        <w:rPr>
          <w:rFonts w:hint="eastAsia" w:ascii="宋体" w:hAnsi="宋体" w:eastAsia="宋体" w:cs="宋体"/>
          <w:color w:val="auto"/>
          <w:kern w:val="2"/>
          <w:sz w:val="24"/>
          <w:szCs w:val="24"/>
          <w:lang w:val="en-US" w:eastAsia="zh-CN" w:bidi="ar"/>
        </w:rPr>
        <w:t>项目经湖南省港务集团有限公司批准</w:t>
      </w:r>
      <w:r>
        <w:rPr>
          <w:rFonts w:hint="eastAsia" w:ascii="宋体" w:hAnsi="宋体" w:eastAsia="宋体" w:cs="宋体"/>
          <w:sz w:val="24"/>
        </w:rPr>
        <w:t xml:space="preserve">已具备采购条件，现公开邀请供应商参加采购活动。 </w:t>
      </w:r>
    </w:p>
    <w:p>
      <w:pPr>
        <w:pStyle w:val="9"/>
        <w:spacing w:before="0" w:after="0"/>
        <w:ind w:firstLine="562" w:firstLineChars="200"/>
        <w:jc w:val="both"/>
        <w:outlineLvl w:val="9"/>
        <w:rPr>
          <w:rFonts w:hint="eastAsia"/>
          <w:lang w:val="en-US" w:eastAsia="zh-CN"/>
        </w:rPr>
      </w:pPr>
    </w:p>
    <w:p>
      <w:pPr>
        <w:pStyle w:val="9"/>
        <w:spacing w:before="0" w:after="0"/>
        <w:ind w:firstLine="562" w:firstLineChars="200"/>
        <w:jc w:val="both"/>
        <w:rPr>
          <w:rFonts w:ascii="Arial" w:hAnsi="Arial"/>
        </w:rPr>
      </w:pPr>
      <w:r>
        <w:rPr>
          <w:rFonts w:hint="eastAsia"/>
          <w:lang w:val="en-US" w:eastAsia="zh-CN"/>
        </w:rPr>
        <w:t>一、</w:t>
      </w:r>
      <w:r>
        <w:rPr>
          <w:rFonts w:hint="eastAsia" w:ascii="黑体" w:hAnsi="黑体"/>
        </w:rPr>
        <w:t xml:space="preserve">采购项目简介 </w:t>
      </w:r>
    </w:p>
    <w:p>
      <w:pPr>
        <w:keepNext w:val="0"/>
        <w:keepLines w:val="0"/>
        <w:widowControl/>
        <w:suppressLineNumbers w:val="0"/>
        <w:ind w:firstLine="480" w:firstLineChars="200"/>
        <w:jc w:val="left"/>
        <w:rPr>
          <w:rFonts w:hint="default" w:ascii="宋体" w:hAnsi="宋体"/>
          <w:sz w:val="24"/>
          <w:lang w:val="en-US"/>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sz w:val="24"/>
        </w:rPr>
        <w:t>采购项目名称:</w:t>
      </w:r>
      <w:r>
        <w:rPr>
          <w:rFonts w:hint="eastAsia" w:ascii="宋体" w:hAnsi="宋体" w:eastAsia="宋体" w:cs="Times New Roman"/>
          <w:color w:val="auto"/>
          <w:kern w:val="2"/>
          <w:sz w:val="24"/>
          <w:szCs w:val="24"/>
          <w:u w:val="none"/>
          <w:lang w:val="en-US" w:eastAsia="zh-CN" w:bidi="ar"/>
        </w:rPr>
        <w:t>岳阳城陵矶新港有限公司</w:t>
      </w:r>
      <w:r>
        <w:rPr>
          <w:rFonts w:hint="eastAsia" w:cs="宋体"/>
          <w:bCs/>
          <w:sz w:val="24"/>
          <w:szCs w:val="24"/>
          <w:lang w:val="en-US" w:eastAsia="zh-CN"/>
        </w:rPr>
        <w:t>堆场至路口铺站集装箱拖车运输</w:t>
      </w:r>
      <w:r>
        <w:rPr>
          <w:rFonts w:hint="eastAsia" w:ascii="宋体" w:hAnsi="宋体" w:eastAsia="宋体" w:cs="宋体"/>
          <w:color w:val="auto"/>
          <w:kern w:val="2"/>
          <w:sz w:val="24"/>
          <w:szCs w:val="24"/>
          <w:lang w:val="en-US" w:eastAsia="zh-CN" w:bidi="ar"/>
        </w:rPr>
        <w:t>项目</w:t>
      </w:r>
    </w:p>
    <w:p>
      <w:pPr>
        <w:autoSpaceDE w:val="0"/>
        <w:spacing w:line="400" w:lineRule="exact"/>
        <w:ind w:firstLine="480" w:firstLineChars="200"/>
        <w:jc w:val="both"/>
        <w:rPr>
          <w:rFonts w:hint="eastAsia"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rPr>
        <w:t>采购人:</w:t>
      </w:r>
      <w:r>
        <w:rPr>
          <w:rFonts w:hint="eastAsia" w:ascii="宋体" w:hAnsi="宋体"/>
          <w:sz w:val="24"/>
          <w:u w:val="none"/>
          <w:lang w:eastAsia="zh-CN"/>
        </w:rPr>
        <w:t>岳阳城陵矶新港有限公司</w:t>
      </w:r>
    </w:p>
    <w:p>
      <w:pPr>
        <w:autoSpaceDE w:val="0"/>
        <w:spacing w:line="400" w:lineRule="exact"/>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三</w:t>
      </w:r>
      <w:r>
        <w:rPr>
          <w:rFonts w:hint="eastAsia" w:ascii="宋体" w:hAnsi="宋体"/>
          <w:b w:val="0"/>
          <w:bCs w:val="0"/>
          <w:sz w:val="24"/>
          <w:lang w:eastAsia="zh-CN"/>
        </w:rPr>
        <w:t>）</w:t>
      </w:r>
      <w:r>
        <w:rPr>
          <w:rFonts w:hint="eastAsia" w:ascii="宋体" w:hAnsi="宋体"/>
          <w:sz w:val="24"/>
        </w:rPr>
        <w:t>采购代理机构:</w:t>
      </w:r>
      <w:r>
        <w:rPr>
          <w:rFonts w:hint="eastAsia" w:ascii="宋体" w:hAnsi="宋体"/>
          <w:sz w:val="24"/>
          <w:u w:val="none"/>
          <w:lang w:eastAsia="zh-CN"/>
        </w:rPr>
        <w:t>无</w:t>
      </w:r>
    </w:p>
    <w:p>
      <w:pPr>
        <w:autoSpaceDE w:val="0"/>
        <w:spacing w:line="400" w:lineRule="exact"/>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四</w:t>
      </w:r>
      <w:r>
        <w:rPr>
          <w:rFonts w:hint="eastAsia" w:ascii="宋体" w:hAnsi="宋体"/>
          <w:b w:val="0"/>
          <w:bCs w:val="0"/>
          <w:sz w:val="24"/>
          <w:lang w:eastAsia="zh-CN"/>
        </w:rPr>
        <w:t>）</w:t>
      </w:r>
      <w:r>
        <w:rPr>
          <w:rFonts w:hint="eastAsia" w:ascii="宋体" w:hAnsi="宋体"/>
          <w:sz w:val="24"/>
        </w:rPr>
        <w:t>采购项目资金落实情况:</w:t>
      </w:r>
      <w:r>
        <w:rPr>
          <w:rFonts w:hint="eastAsia" w:ascii="宋体" w:hAnsi="宋体"/>
          <w:sz w:val="24"/>
          <w:u w:val="none"/>
          <w:lang w:eastAsia="zh-CN"/>
        </w:rPr>
        <w:t>已落实</w:t>
      </w:r>
    </w:p>
    <w:p>
      <w:pPr>
        <w:spacing w:after="0" w:line="312" w:lineRule="auto"/>
        <w:ind w:firstLine="480" w:firstLineChars="200"/>
        <w:rPr>
          <w:rFonts w:hint="eastAsia" w:ascii="宋体" w:hAnsi="宋体" w:eastAsia="宋体" w:cs="宋体"/>
          <w:bCs/>
          <w:sz w:val="24"/>
          <w:szCs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五</w:t>
      </w:r>
      <w:r>
        <w:rPr>
          <w:rFonts w:hint="eastAsia" w:ascii="宋体" w:hAnsi="宋体" w:eastAsia="宋体" w:cs="Times New Roman"/>
          <w:sz w:val="24"/>
          <w:lang w:eastAsia="zh-CN"/>
        </w:rPr>
        <w:t>）</w:t>
      </w:r>
      <w:r>
        <w:rPr>
          <w:rFonts w:hint="eastAsia" w:ascii="宋体" w:hAnsi="宋体" w:cs="Times New Roman"/>
          <w:sz w:val="24"/>
          <w:lang w:val="en-US" w:eastAsia="zh-CN"/>
        </w:rPr>
        <w:t xml:space="preserve"> </w:t>
      </w:r>
      <w:r>
        <w:rPr>
          <w:rFonts w:hint="eastAsia" w:ascii="宋体" w:hAnsi="宋体"/>
          <w:sz w:val="24"/>
        </w:rPr>
        <w:t xml:space="preserve">采购项目概况: </w:t>
      </w:r>
      <w:r>
        <w:rPr>
          <w:rFonts w:hint="eastAsia" w:ascii="宋体" w:hAnsi="宋体"/>
          <w:sz w:val="24"/>
          <w:u w:val="none"/>
          <w:lang w:eastAsia="zh-CN"/>
        </w:rPr>
        <w:t>湖南省港务集团有限公司下属子公司岳阳城陵矶新港有限公司</w:t>
      </w:r>
      <w:r>
        <w:rPr>
          <w:rFonts w:hint="eastAsia" w:cs="宋体"/>
          <w:bCs/>
          <w:sz w:val="24"/>
          <w:szCs w:val="24"/>
          <w:lang w:val="en-US" w:eastAsia="zh-CN"/>
        </w:rPr>
        <w:t>堆场至路口铺站集装箱拖车运输</w:t>
      </w:r>
      <w:r>
        <w:rPr>
          <w:rFonts w:hint="eastAsia" w:ascii="宋体" w:hAnsi="宋体" w:eastAsia="宋体" w:cs="宋体"/>
          <w:color w:val="auto"/>
          <w:kern w:val="2"/>
          <w:sz w:val="24"/>
          <w:szCs w:val="24"/>
          <w:lang w:val="en-US" w:eastAsia="zh-CN" w:bidi="ar"/>
        </w:rPr>
        <w:t>项目</w:t>
      </w:r>
      <w:r>
        <w:rPr>
          <w:rFonts w:hint="eastAsia" w:ascii="宋体" w:hAnsi="宋体" w:cs="宋体"/>
          <w:bCs/>
          <w:color w:val="auto"/>
          <w:sz w:val="24"/>
          <w:szCs w:val="24"/>
          <w:lang w:val="en-US" w:eastAsia="zh-CN"/>
        </w:rPr>
        <w:t>采购</w:t>
      </w:r>
      <w:r>
        <w:rPr>
          <w:rFonts w:hint="eastAsia" w:ascii="宋体" w:hAnsi="宋体"/>
          <w:sz w:val="24"/>
          <w:lang w:val="en-US" w:eastAsia="zh-CN"/>
        </w:rPr>
        <w:t>。</w:t>
      </w:r>
      <w:r>
        <w:rPr>
          <w:rFonts w:hint="eastAsia" w:ascii="宋体" w:hAnsi="宋体" w:eastAsia="宋体" w:cs="宋体"/>
          <w:bCs/>
          <w:sz w:val="24"/>
          <w:szCs w:val="24"/>
        </w:rPr>
        <w:t>岳阳城陵矶新港有限公司为湖南城陵矶国际港务公司的全资子公司，是湖南区位条件最好、吞吐能力最大、现代化程度最高的集装箱港，主要从事集装箱装卸、堆存、中转、冷藏以及拆装箱等业务，具有烟花爆竹、危化品等180多种危险货物作业资质，是湖南烟花重要出口基地。港口总投资14亿元，占地664.6亩，7个3000吨级（兼顾5000吨级）集装箱深水泊位，设计年吞吐能力100万标箱。配有7台岸桥、15台场桥以及正面吊、堆高机、叉车等流动机械，拥有现代化的生产管理系统、无线车载系统，以及电子闸口、H986集装箱查验系统等联检设施。</w:t>
      </w:r>
    </w:p>
    <w:p>
      <w:pPr>
        <w:pStyle w:val="9"/>
        <w:spacing w:before="0" w:after="0"/>
        <w:ind w:firstLine="562" w:firstLineChars="200"/>
        <w:jc w:val="both"/>
        <w:outlineLvl w:val="9"/>
        <w:rPr>
          <w:rFonts w:hint="eastAsia"/>
          <w:lang w:val="en-US" w:eastAsia="zh-CN"/>
        </w:rPr>
      </w:pPr>
    </w:p>
    <w:p>
      <w:pPr>
        <w:pStyle w:val="9"/>
        <w:spacing w:before="0" w:after="0"/>
        <w:ind w:firstLine="562" w:firstLineChars="200"/>
        <w:jc w:val="both"/>
        <w:rPr>
          <w:rFonts w:ascii="Arial" w:hAnsi="Arial"/>
        </w:rPr>
      </w:pPr>
      <w:r>
        <w:rPr>
          <w:rFonts w:hint="eastAsia"/>
          <w:lang w:val="en-US" w:eastAsia="zh-CN"/>
        </w:rPr>
        <w:t>二、</w:t>
      </w:r>
      <w:r>
        <w:rPr>
          <w:rFonts w:hint="eastAsia" w:ascii="黑体" w:hAnsi="黑体"/>
        </w:rPr>
        <w:t xml:space="preserve">采购范围及相关要求 </w:t>
      </w:r>
    </w:p>
    <w:p>
      <w:pPr>
        <w:autoSpaceDE w:val="0"/>
        <w:spacing w:line="400" w:lineRule="exact"/>
        <w:ind w:firstLine="480" w:firstLineChars="200"/>
        <w:jc w:val="both"/>
        <w:rPr>
          <w:rFonts w:hint="eastAsia" w:ascii="宋体" w:hAnsi="宋体" w:eastAsia="宋体" w:cs="宋体"/>
          <w:bCs/>
          <w:sz w:val="24"/>
          <w:szCs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b w:val="0"/>
          <w:bCs w:val="0"/>
          <w:sz w:val="24"/>
        </w:rPr>
        <w:t xml:space="preserve">采购范围: </w:t>
      </w:r>
      <w:r>
        <w:rPr>
          <w:rFonts w:hint="eastAsia" w:ascii="宋体" w:hAnsi="宋体" w:eastAsia="宋体" w:cs="宋体"/>
          <w:bCs/>
          <w:sz w:val="24"/>
          <w:szCs w:val="24"/>
        </w:rPr>
        <w:t>岳阳城陵矶新港有限公司至路口铺站水铁联运集装箱短驳运输业务，包括提箱手续办理。单程距离为19公里，未来一年预计箱量40000标箱。</w:t>
      </w:r>
    </w:p>
    <w:p>
      <w:pPr>
        <w:spacing w:after="0" w:line="312" w:lineRule="auto"/>
        <w:ind w:firstLine="482" w:firstLineChars="200"/>
        <w:rPr>
          <w:rFonts w:hint="eastAsia" w:ascii="宋体" w:hAnsi="宋体" w:eastAsia="宋体" w:cs="宋体"/>
          <w:b/>
          <w:sz w:val="24"/>
          <w:szCs w:val="24"/>
        </w:rPr>
      </w:pPr>
      <w:r>
        <w:rPr>
          <w:rFonts w:hint="eastAsia" w:ascii="宋体" w:hAnsi="宋体" w:cs="宋体"/>
          <w:b/>
          <w:bCs w:val="0"/>
          <w:sz w:val="24"/>
          <w:szCs w:val="24"/>
          <w:lang w:val="en-US" w:eastAsia="zh-CN"/>
        </w:rPr>
        <w:t>注：</w:t>
      </w:r>
      <w:r>
        <w:rPr>
          <w:rFonts w:hint="eastAsia" w:ascii="宋体" w:hAnsi="宋体" w:eastAsia="宋体" w:cs="宋体"/>
          <w:b/>
          <w:sz w:val="24"/>
          <w:szCs w:val="24"/>
        </w:rPr>
        <w:t>1.此数量为估计量，</w:t>
      </w:r>
      <w:r>
        <w:rPr>
          <w:rFonts w:hint="eastAsia" w:ascii="宋体" w:hAnsi="宋体" w:cs="宋体"/>
          <w:b/>
          <w:sz w:val="24"/>
          <w:szCs w:val="24"/>
          <w:lang w:val="en-US" w:eastAsia="zh-CN"/>
        </w:rPr>
        <w:t>供应商</w:t>
      </w:r>
      <w:r>
        <w:rPr>
          <w:rFonts w:hint="eastAsia" w:ascii="宋体" w:hAnsi="宋体" w:eastAsia="宋体" w:cs="宋体"/>
          <w:b/>
          <w:sz w:val="24"/>
          <w:szCs w:val="24"/>
        </w:rPr>
        <w:t>参考，不做为结算依据，最终结算以实际量为准。</w:t>
      </w:r>
      <w:r>
        <w:rPr>
          <w:rFonts w:hint="eastAsia" w:ascii="宋体" w:hAnsi="宋体" w:cs="宋体"/>
          <w:b/>
          <w:sz w:val="24"/>
          <w:szCs w:val="24"/>
          <w:lang w:val="en-US" w:eastAsia="zh-CN"/>
        </w:rPr>
        <w:t>供应商</w:t>
      </w:r>
      <w:r>
        <w:rPr>
          <w:rFonts w:hint="eastAsia" w:ascii="宋体" w:hAnsi="宋体" w:eastAsia="宋体" w:cs="宋体"/>
          <w:b/>
          <w:sz w:val="24"/>
          <w:szCs w:val="24"/>
        </w:rPr>
        <w:t>应对市场进行考察预判，自行承担风险与收益。</w:t>
      </w:r>
    </w:p>
    <w:p>
      <w:pPr>
        <w:pStyle w:val="2"/>
        <w:ind w:firstLine="482" w:firstLineChars="200"/>
        <w:rPr>
          <w:rFonts w:hint="eastAsia"/>
        </w:rPr>
      </w:pPr>
      <w:r>
        <w:rPr>
          <w:rFonts w:hint="eastAsia" w:ascii="宋体" w:hAnsi="宋体" w:eastAsia="宋体" w:cs="宋体"/>
          <w:b/>
          <w:sz w:val="24"/>
          <w:szCs w:val="24"/>
        </w:rPr>
        <w:t>2.鉴于</w:t>
      </w:r>
      <w:r>
        <w:rPr>
          <w:rFonts w:hint="eastAsia" w:ascii="宋体" w:hAnsi="宋体" w:cs="宋体"/>
          <w:b/>
          <w:sz w:val="24"/>
          <w:szCs w:val="24"/>
          <w:lang w:val="en-US" w:eastAsia="zh-CN"/>
        </w:rPr>
        <w:t>采购</w:t>
      </w:r>
      <w:r>
        <w:rPr>
          <w:rFonts w:hint="eastAsia" w:ascii="宋体" w:hAnsi="宋体" w:eastAsia="宋体" w:cs="宋体"/>
          <w:b/>
          <w:sz w:val="24"/>
          <w:szCs w:val="24"/>
        </w:rPr>
        <w:t>人业务的不稳定性，为保证生产，本次</w:t>
      </w:r>
      <w:r>
        <w:rPr>
          <w:rFonts w:hint="eastAsia" w:ascii="宋体" w:hAnsi="宋体" w:cs="宋体"/>
          <w:b/>
          <w:sz w:val="24"/>
          <w:szCs w:val="24"/>
          <w:lang w:val="en-US" w:eastAsia="zh-CN"/>
        </w:rPr>
        <w:t>采购</w:t>
      </w:r>
      <w:r>
        <w:rPr>
          <w:rFonts w:hint="eastAsia" w:ascii="宋体" w:hAnsi="宋体" w:eastAsia="宋体" w:cs="宋体"/>
          <w:b/>
          <w:sz w:val="24"/>
          <w:szCs w:val="24"/>
        </w:rPr>
        <w:t>根据综合打分排名情况由高到低选取2名</w:t>
      </w:r>
      <w:r>
        <w:rPr>
          <w:rFonts w:hint="eastAsia" w:ascii="宋体" w:hAnsi="宋体" w:cs="宋体"/>
          <w:b/>
          <w:sz w:val="24"/>
          <w:szCs w:val="24"/>
          <w:lang w:val="en-US" w:eastAsia="zh-CN"/>
        </w:rPr>
        <w:t>成交供应商</w:t>
      </w:r>
      <w:r>
        <w:rPr>
          <w:rFonts w:hint="eastAsia" w:ascii="宋体" w:hAnsi="宋体" w:eastAsia="宋体" w:cs="宋体"/>
          <w:b/>
          <w:sz w:val="24"/>
          <w:szCs w:val="24"/>
        </w:rPr>
        <w:t>，统一服从</w:t>
      </w:r>
      <w:r>
        <w:rPr>
          <w:rFonts w:hint="eastAsia" w:ascii="宋体" w:hAnsi="宋体" w:cs="宋体"/>
          <w:b/>
          <w:sz w:val="24"/>
          <w:szCs w:val="24"/>
          <w:lang w:val="en-US" w:eastAsia="zh-CN"/>
        </w:rPr>
        <w:t>采购</w:t>
      </w:r>
      <w:r>
        <w:rPr>
          <w:rFonts w:hint="eastAsia" w:ascii="宋体" w:hAnsi="宋体" w:eastAsia="宋体" w:cs="宋体"/>
          <w:b/>
          <w:sz w:val="24"/>
          <w:szCs w:val="24"/>
        </w:rPr>
        <w:t>人调度室安排。即：排名第一的</w:t>
      </w:r>
      <w:r>
        <w:rPr>
          <w:rFonts w:hint="eastAsia" w:ascii="宋体" w:hAnsi="宋体" w:cs="宋体"/>
          <w:b/>
          <w:sz w:val="24"/>
          <w:szCs w:val="24"/>
          <w:lang w:val="en-US" w:eastAsia="zh-CN"/>
        </w:rPr>
        <w:t>成交供应商</w:t>
      </w:r>
      <w:r>
        <w:rPr>
          <w:rFonts w:hint="eastAsia" w:ascii="宋体" w:hAnsi="宋体" w:eastAsia="宋体" w:cs="宋体"/>
          <w:b/>
          <w:sz w:val="24"/>
          <w:szCs w:val="24"/>
        </w:rPr>
        <w:t>承运</w:t>
      </w:r>
      <w:r>
        <w:rPr>
          <w:rFonts w:hint="eastAsia" w:ascii="宋体" w:hAnsi="宋体" w:eastAsia="宋体" w:cs="宋体"/>
          <w:b/>
          <w:sz w:val="24"/>
          <w:szCs w:val="24"/>
          <w:lang w:val="en-US" w:eastAsia="zh-CN"/>
        </w:rPr>
        <w:t>7</w:t>
      </w:r>
      <w:r>
        <w:rPr>
          <w:rFonts w:hint="eastAsia" w:ascii="宋体" w:hAnsi="宋体" w:eastAsia="宋体" w:cs="宋体"/>
          <w:b/>
          <w:sz w:val="24"/>
          <w:szCs w:val="24"/>
        </w:rPr>
        <w:t>0%的业务量，排名第二的</w:t>
      </w:r>
      <w:r>
        <w:rPr>
          <w:rFonts w:hint="eastAsia" w:ascii="宋体" w:hAnsi="宋体" w:cs="宋体"/>
          <w:b/>
          <w:sz w:val="24"/>
          <w:szCs w:val="24"/>
          <w:lang w:val="en-US" w:eastAsia="zh-CN"/>
        </w:rPr>
        <w:t>成交供应商</w:t>
      </w:r>
      <w:r>
        <w:rPr>
          <w:rFonts w:hint="eastAsia" w:ascii="宋体" w:hAnsi="宋体" w:eastAsia="宋体" w:cs="宋体"/>
          <w:b/>
          <w:sz w:val="24"/>
          <w:szCs w:val="24"/>
        </w:rPr>
        <w:t>承运</w:t>
      </w:r>
      <w:r>
        <w:rPr>
          <w:rFonts w:hint="eastAsia" w:ascii="宋体" w:hAnsi="宋体" w:eastAsia="宋体" w:cs="宋体"/>
          <w:b/>
          <w:sz w:val="24"/>
          <w:szCs w:val="24"/>
          <w:lang w:val="en-US" w:eastAsia="zh-CN"/>
        </w:rPr>
        <w:t>3</w:t>
      </w:r>
      <w:r>
        <w:rPr>
          <w:rFonts w:hint="eastAsia" w:ascii="宋体" w:hAnsi="宋体" w:eastAsia="宋体" w:cs="宋体"/>
          <w:b/>
          <w:sz w:val="24"/>
          <w:szCs w:val="24"/>
        </w:rPr>
        <w:t>0%的业务量。</w:t>
      </w:r>
    </w:p>
    <w:p>
      <w:pPr>
        <w:autoSpaceDE w:val="0"/>
        <w:spacing w:line="400" w:lineRule="exact"/>
        <w:ind w:firstLine="480" w:firstLineChars="200"/>
        <w:jc w:val="both"/>
        <w:rPr>
          <w:rFonts w:hint="default" w:ascii="宋体" w:hAnsi="宋体"/>
          <w:b w:val="0"/>
          <w:bCs w:val="0"/>
          <w:sz w:val="24"/>
          <w:lang w:val="en-US"/>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 xml:space="preserve">服务期限: </w:t>
      </w:r>
      <w:r>
        <w:rPr>
          <w:rFonts w:hint="eastAsia" w:ascii="宋体" w:hAnsi="宋体"/>
          <w:b w:val="0"/>
          <w:bCs w:val="0"/>
          <w:sz w:val="24"/>
          <w:lang w:val="en-US" w:eastAsia="zh-CN"/>
        </w:rPr>
        <w:t>自合同签订之日起一年</w:t>
      </w:r>
    </w:p>
    <w:p>
      <w:pPr>
        <w:autoSpaceDE w:val="0"/>
        <w:spacing w:line="400" w:lineRule="exact"/>
        <w:ind w:firstLine="480" w:firstLineChars="200"/>
        <w:jc w:val="both"/>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三</w:t>
      </w:r>
      <w:r>
        <w:rPr>
          <w:rFonts w:hint="eastAsia" w:ascii="宋体" w:hAnsi="宋体"/>
          <w:b w:val="0"/>
          <w:bCs w:val="0"/>
          <w:sz w:val="24"/>
          <w:lang w:eastAsia="zh-CN"/>
        </w:rPr>
        <w:t>）</w:t>
      </w:r>
      <w:r>
        <w:rPr>
          <w:rFonts w:hint="eastAsia" w:ascii="宋体" w:hAnsi="宋体"/>
          <w:b w:val="0"/>
          <w:bCs w:val="0"/>
          <w:sz w:val="24"/>
        </w:rPr>
        <w:t xml:space="preserve">服务地点: </w:t>
      </w:r>
      <w:r>
        <w:rPr>
          <w:rFonts w:hint="eastAsia" w:ascii="宋体" w:hAnsi="宋体"/>
          <w:b w:val="0"/>
          <w:bCs w:val="0"/>
          <w:sz w:val="24"/>
          <w:lang w:val="en-US" w:eastAsia="zh-CN"/>
        </w:rPr>
        <w:t>湖南城陵矶新港区</w:t>
      </w:r>
      <w:r>
        <w:rPr>
          <w:rFonts w:hint="eastAsia" w:ascii="宋体" w:hAnsi="宋体"/>
          <w:b w:val="0"/>
          <w:bCs w:val="0"/>
          <w:sz w:val="24"/>
          <w:lang w:eastAsia="zh-CN"/>
        </w:rPr>
        <w:t>岳阳城陵矶新港有限公司至路口铺</w:t>
      </w:r>
    </w:p>
    <w:p>
      <w:pPr>
        <w:spacing w:after="0" w:line="312" w:lineRule="auto"/>
        <w:ind w:firstLine="480" w:firstLineChars="200"/>
        <w:rPr>
          <w:rFonts w:hint="eastAsia" w:ascii="宋体" w:hAnsi="宋体" w:eastAsia="宋体" w:cs="宋体"/>
          <w:b/>
          <w:sz w:val="24"/>
          <w:szCs w:val="24"/>
          <w:lang w:eastAsia="zh-CN"/>
        </w:rPr>
      </w:pPr>
      <w:r>
        <w:rPr>
          <w:rFonts w:hint="eastAsia" w:ascii="宋体" w:hAnsi="宋体"/>
          <w:b w:val="0"/>
          <w:bCs w:val="0"/>
          <w:sz w:val="24"/>
          <w:lang w:eastAsia="zh-CN"/>
        </w:rPr>
        <w:t>（</w:t>
      </w:r>
      <w:r>
        <w:rPr>
          <w:rFonts w:hint="eastAsia" w:ascii="宋体" w:hAnsi="宋体"/>
          <w:b w:val="0"/>
          <w:bCs w:val="0"/>
          <w:sz w:val="24"/>
          <w:lang w:val="en-US" w:eastAsia="zh-CN"/>
        </w:rPr>
        <w:t>四）</w:t>
      </w:r>
      <w:r>
        <w:rPr>
          <w:rFonts w:hint="eastAsia" w:ascii="宋体" w:hAnsi="宋体"/>
          <w:b w:val="0"/>
          <w:bCs w:val="0"/>
          <w:sz w:val="24"/>
        </w:rPr>
        <w:t>质量要</w:t>
      </w:r>
      <w:r>
        <w:rPr>
          <w:rFonts w:hint="eastAsia" w:ascii="宋体" w:hAnsi="宋体"/>
          <w:sz w:val="24"/>
        </w:rPr>
        <w:t xml:space="preserve">求或服务标准: </w:t>
      </w:r>
      <w:r>
        <w:rPr>
          <w:rFonts w:hint="eastAsia" w:ascii="宋体" w:hAnsi="宋体"/>
          <w:sz w:val="24"/>
          <w:lang w:eastAsia="zh-CN"/>
        </w:rPr>
        <w:t>详见第五章“采购需求”</w:t>
      </w:r>
    </w:p>
    <w:p>
      <w:pPr>
        <w:autoSpaceDE w:val="0"/>
        <w:spacing w:line="400" w:lineRule="exact"/>
        <w:ind w:firstLine="480" w:firstLineChars="200"/>
        <w:jc w:val="both"/>
        <w:rPr>
          <w:rFonts w:hint="default" w:ascii="宋体" w:hAnsi="宋体"/>
          <w:sz w:val="24"/>
          <w:lang w:val="en-US" w:eastAsia="zh-CN"/>
        </w:rPr>
      </w:pPr>
    </w:p>
    <w:p>
      <w:pPr>
        <w:pStyle w:val="9"/>
        <w:autoSpaceDE w:val="0"/>
        <w:spacing w:before="0" w:after="0" w:line="400" w:lineRule="exact"/>
        <w:ind w:firstLine="562" w:firstLineChars="200"/>
        <w:jc w:val="both"/>
        <w:rPr>
          <w:rFonts w:hint="eastAsia" w:asciiTheme="majorHAnsi" w:hAnsiTheme="majorHAnsi"/>
        </w:rPr>
      </w:pPr>
      <w:r>
        <w:rPr>
          <w:rFonts w:hint="eastAsia"/>
          <w:lang w:val="en-US" w:eastAsia="zh-CN"/>
        </w:rPr>
        <w:t>三、</w:t>
      </w:r>
      <w:r>
        <w:rPr>
          <w:rFonts w:hint="eastAsia" w:asciiTheme="majorHAnsi" w:hAnsiTheme="majorHAnsi"/>
        </w:rPr>
        <w:t>供应商资格要求</w:t>
      </w:r>
    </w:p>
    <w:p>
      <w:pPr>
        <w:autoSpaceDE w:val="0"/>
        <w:spacing w:line="400" w:lineRule="exact"/>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sz w:val="24"/>
        </w:rPr>
        <w:t>供应商不得存在下列情形之一:</w:t>
      </w:r>
    </w:p>
    <w:p>
      <w:pPr>
        <w:autoSpaceDE w:val="0"/>
        <w:spacing w:line="400" w:lineRule="exact"/>
        <w:ind w:firstLine="480" w:firstLineChars="200"/>
        <w:jc w:val="both"/>
        <w:rPr>
          <w:rFonts w:ascii="宋体" w:hAnsi="宋体"/>
          <w:sz w:val="24"/>
        </w:rPr>
      </w:pPr>
      <w:r>
        <w:rPr>
          <w:rFonts w:hint="eastAsia" w:ascii="宋体" w:hAnsi="宋体"/>
          <w:sz w:val="24"/>
          <w:lang w:val="en-US" w:eastAsia="zh-CN"/>
        </w:rPr>
        <w:t>1.</w:t>
      </w:r>
      <w:r>
        <w:rPr>
          <w:rFonts w:hint="eastAsia" w:ascii="宋体" w:hAnsi="宋体"/>
          <w:sz w:val="24"/>
        </w:rPr>
        <w:t>处于被责令停产停业、暂扣或者吊销执照、暂扣或者吊销许可证、吊销资质证书状态;</w:t>
      </w:r>
    </w:p>
    <w:p>
      <w:pPr>
        <w:autoSpaceDE w:val="0"/>
        <w:spacing w:line="400" w:lineRule="exact"/>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进入清算程序，或被宣告破产，或其他丧失履约能力的情形;</w:t>
      </w:r>
    </w:p>
    <w:p>
      <w:pPr>
        <w:autoSpaceDE w:val="0"/>
        <w:spacing w:line="400" w:lineRule="exact"/>
        <w:ind w:firstLine="480" w:firstLineChars="200"/>
        <w:jc w:val="both"/>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被采购人或采购人上级单位纳入黑名单</w:t>
      </w:r>
      <w:r>
        <w:rPr>
          <w:rFonts w:hint="eastAsia" w:ascii="宋体" w:hAnsi="宋体"/>
          <w:sz w:val="24"/>
          <w:lang w:eastAsia="zh-CN"/>
        </w:rPr>
        <w:t>；</w:t>
      </w:r>
    </w:p>
    <w:p>
      <w:pPr>
        <w:spacing w:line="440" w:lineRule="exact"/>
        <w:ind w:firstLine="480" w:firstLineChars="200"/>
        <w:rPr>
          <w:rFonts w:hint="eastAsia"/>
        </w:rPr>
      </w:pPr>
      <w:r>
        <w:rPr>
          <w:rFonts w:hint="eastAsia" w:ascii="宋体" w:hAnsi="宋体"/>
          <w:sz w:val="24"/>
          <w:lang w:val="en-US" w:eastAsia="zh-CN"/>
        </w:rPr>
        <w:t>4.</w:t>
      </w:r>
      <w:r>
        <w:rPr>
          <w:rFonts w:hint="eastAsia"/>
          <w:sz w:val="24"/>
          <w:szCs w:val="24"/>
        </w:rPr>
        <w:t>涉及正在诉讼的案件且经审查委员会认定会对承担本项目造成重大影响</w:t>
      </w:r>
      <w:r>
        <w:rPr>
          <w:rFonts w:hint="eastAsia"/>
          <w:sz w:val="24"/>
          <w:szCs w:val="24"/>
          <w:lang w:eastAsia="zh-CN"/>
        </w:rPr>
        <w:t>。</w:t>
      </w:r>
    </w:p>
    <w:p>
      <w:pPr>
        <w:autoSpaceDE w:val="0"/>
        <w:spacing w:line="400" w:lineRule="exact"/>
        <w:ind w:firstLine="0" w:firstLineChars="0"/>
        <w:jc w:val="both"/>
        <w:rPr>
          <w:rFonts w:ascii="宋体" w:hAnsi="宋体"/>
          <w:sz w:val="24"/>
        </w:rPr>
      </w:pPr>
      <w:r>
        <w:rPr>
          <w:rFonts w:hint="eastAsia"/>
          <w:sz w:val="24"/>
          <w:szCs w:val="24"/>
          <w:lang w:val="en-US" w:eastAsia="zh-CN"/>
        </w:rPr>
        <w:t xml:space="preserve">    </w:t>
      </w: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供应商应满足如下要求:</w:t>
      </w:r>
    </w:p>
    <w:tbl>
      <w:tblPr>
        <w:tblStyle w:val="3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b w:val="0"/>
                <w:bCs w:val="0"/>
                <w:sz w:val="21"/>
                <w:szCs w:val="21"/>
              </w:rPr>
            </w:pPr>
            <w:r>
              <w:rPr>
                <w:rFonts w:hint="eastAsia" w:ascii="宋体" w:hAnsi="宋体"/>
                <w:b w:val="0"/>
                <w:bCs w:val="0"/>
                <w:sz w:val="21"/>
                <w:szCs w:val="21"/>
              </w:rPr>
              <w:t>（1）依法设立</w:t>
            </w:r>
          </w:p>
        </w:tc>
        <w:tc>
          <w:tcPr>
            <w:tcW w:w="1786" w:type="dxa"/>
          </w:tcPr>
          <w:p>
            <w:pPr>
              <w:widowControl w:val="0"/>
              <w:spacing w:line="320" w:lineRule="exact"/>
              <w:jc w:val="both"/>
              <w:rPr>
                <w:rStyle w:val="40"/>
                <w:b w:val="0"/>
                <w:bCs w:val="0"/>
                <w:szCs w:val="21"/>
                <w:u w:val="single"/>
              </w:rPr>
            </w:pPr>
            <w:r>
              <w:rPr>
                <w:rStyle w:val="40"/>
                <w:rFonts w:hint="eastAsia"/>
                <w:b w:val="0"/>
                <w:bCs w:val="0"/>
                <w:szCs w:val="21"/>
                <w:u w:val="single"/>
              </w:rPr>
              <w:t xml:space="preserve">□不适用  </w:t>
            </w:r>
          </w:p>
          <w:p>
            <w:pPr>
              <w:widowControl w:val="0"/>
              <w:spacing w:line="320" w:lineRule="exact"/>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vAlign w:val="top"/>
          </w:tcPr>
          <w:p>
            <w:pPr>
              <w:widowControl w:val="0"/>
              <w:spacing w:line="320" w:lineRule="exact"/>
              <w:jc w:val="both"/>
              <w:rPr>
                <w:rStyle w:val="40"/>
                <w:u w:val="single"/>
              </w:rPr>
            </w:pPr>
            <w:r>
              <w:rPr>
                <w:rStyle w:val="40"/>
                <w:rFonts w:hint="eastAsia"/>
                <w:u w:val="single"/>
              </w:rPr>
              <w:t xml:space="preserve">□不适用  </w:t>
            </w:r>
          </w:p>
          <w:p>
            <w:pPr>
              <w:widowControl w:val="0"/>
              <w:spacing w:line="320" w:lineRule="exact"/>
              <w:jc w:val="both"/>
              <w:rPr>
                <w:rFonts w:ascii="宋体" w:hAnsi="宋体"/>
                <w:b w:val="0"/>
                <w:bCs w:val="0"/>
                <w:sz w:val="21"/>
                <w:szCs w:val="21"/>
              </w:rPr>
            </w:pPr>
            <w:r>
              <w:rPr>
                <w:rStyle w:val="40"/>
                <w:rFonts w:hint="eastAsia"/>
                <w:u w:val="single"/>
              </w:rPr>
              <w:sym w:font="Wingdings 2" w:char="0052"/>
            </w:r>
            <w:r>
              <w:rPr>
                <w:rStyle w:val="40"/>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b w:val="0"/>
                <w:bCs w:val="0"/>
                <w:sz w:val="21"/>
                <w:szCs w:val="21"/>
              </w:rPr>
            </w:pPr>
            <w:r>
              <w:rPr>
                <w:rFonts w:hint="eastAsia" w:ascii="宋体" w:hAnsi="宋体"/>
                <w:b w:val="0"/>
                <w:bCs w:val="0"/>
                <w:sz w:val="21"/>
                <w:szCs w:val="21"/>
              </w:rPr>
              <w:t>（2）资质要求</w:t>
            </w:r>
          </w:p>
        </w:tc>
        <w:tc>
          <w:tcPr>
            <w:tcW w:w="1786" w:type="dxa"/>
          </w:tcPr>
          <w:p>
            <w:pPr>
              <w:widowControl w:val="0"/>
              <w:spacing w:line="320" w:lineRule="exact"/>
              <w:jc w:val="both"/>
              <w:rPr>
                <w:rStyle w:val="40"/>
                <w:b w:val="0"/>
                <w:bCs w:val="0"/>
                <w:szCs w:val="21"/>
                <w:u w:val="single"/>
              </w:rPr>
            </w:pPr>
            <w:r>
              <w:rPr>
                <w:rStyle w:val="40"/>
                <w:rFonts w:hint="eastAsia"/>
                <w:b w:val="0"/>
                <w:bCs w:val="0"/>
                <w:szCs w:val="21"/>
                <w:u w:val="single"/>
              </w:rPr>
              <w:sym w:font="Wingdings 2" w:char="0052"/>
            </w:r>
            <w:r>
              <w:rPr>
                <w:rStyle w:val="40"/>
                <w:rFonts w:hint="eastAsia"/>
                <w:b w:val="0"/>
                <w:bCs w:val="0"/>
                <w:szCs w:val="21"/>
                <w:u w:val="single"/>
              </w:rPr>
              <w:t xml:space="preserve">不适用  </w:t>
            </w:r>
          </w:p>
          <w:p>
            <w:pPr>
              <w:widowControl w:val="0"/>
              <w:spacing w:line="320" w:lineRule="exact"/>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vAlign w:val="top"/>
          </w:tcPr>
          <w:p>
            <w:pPr>
              <w:widowControl w:val="0"/>
              <w:spacing w:line="320" w:lineRule="exact"/>
              <w:jc w:val="both"/>
              <w:rPr>
                <w:rStyle w:val="40"/>
                <w:u w:val="single"/>
              </w:rPr>
            </w:pPr>
            <w:r>
              <w:rPr>
                <w:rStyle w:val="40"/>
                <w:rFonts w:hint="eastAsia"/>
                <w:u w:val="single"/>
              </w:rPr>
              <w:sym w:font="Wingdings 2" w:char="0052"/>
            </w:r>
            <w:r>
              <w:rPr>
                <w:rStyle w:val="40"/>
                <w:rFonts w:hint="eastAsia"/>
                <w:u w:val="single"/>
              </w:rPr>
              <w:t xml:space="preserve">不适用  </w:t>
            </w:r>
          </w:p>
          <w:p>
            <w:pPr>
              <w:widowControl w:val="0"/>
              <w:spacing w:line="320" w:lineRule="exact"/>
              <w:jc w:val="both"/>
              <w:rPr>
                <w:rFonts w:hint="eastAsia" w:asciiTheme="minorEastAsia" w:hAnsiTheme="minorEastAsia" w:eastAsiaTheme="minorEastAsia"/>
                <w:b w:val="0"/>
                <w:bCs w:val="0"/>
                <w:color w:val="000000"/>
                <w:sz w:val="21"/>
                <w:szCs w:val="21"/>
              </w:rPr>
            </w:pPr>
            <w:r>
              <w:rPr>
                <w:rStyle w:val="40"/>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b w:val="0"/>
                <w:bCs w:val="0"/>
                <w:sz w:val="21"/>
                <w:szCs w:val="21"/>
              </w:rPr>
            </w:pPr>
            <w:r>
              <w:rPr>
                <w:rFonts w:hint="eastAsia" w:ascii="宋体" w:hAnsi="宋体"/>
                <w:b w:val="0"/>
                <w:bCs w:val="0"/>
                <w:sz w:val="21"/>
                <w:szCs w:val="21"/>
              </w:rPr>
              <w:t>（3）财务要求</w:t>
            </w:r>
          </w:p>
        </w:tc>
        <w:tc>
          <w:tcPr>
            <w:tcW w:w="1786" w:type="dxa"/>
          </w:tcPr>
          <w:p>
            <w:pPr>
              <w:widowControl w:val="0"/>
              <w:spacing w:line="320" w:lineRule="exact"/>
              <w:jc w:val="both"/>
              <w:rPr>
                <w:rStyle w:val="40"/>
                <w:b w:val="0"/>
                <w:bCs w:val="0"/>
                <w:szCs w:val="21"/>
                <w:u w:val="single"/>
              </w:rPr>
            </w:pPr>
            <w:r>
              <w:rPr>
                <w:rStyle w:val="40"/>
                <w:rFonts w:hint="eastAsia"/>
                <w:b w:val="0"/>
                <w:bCs w:val="0"/>
                <w:szCs w:val="21"/>
                <w:u w:val="single"/>
              </w:rPr>
              <w:sym w:font="Wingdings 2" w:char="0052"/>
            </w:r>
            <w:r>
              <w:rPr>
                <w:rStyle w:val="40"/>
                <w:rFonts w:hint="eastAsia"/>
                <w:b w:val="0"/>
                <w:bCs w:val="0"/>
                <w:szCs w:val="21"/>
                <w:u w:val="single"/>
              </w:rPr>
              <w:t xml:space="preserve">不适用  </w:t>
            </w:r>
          </w:p>
          <w:p>
            <w:pPr>
              <w:widowControl w:val="0"/>
              <w:spacing w:line="320" w:lineRule="exact"/>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vAlign w:val="top"/>
          </w:tcPr>
          <w:p>
            <w:pPr>
              <w:widowControl w:val="0"/>
              <w:spacing w:line="320" w:lineRule="exact"/>
              <w:jc w:val="both"/>
              <w:rPr>
                <w:rStyle w:val="40"/>
                <w:u w:val="single"/>
              </w:rPr>
            </w:pPr>
            <w:r>
              <w:rPr>
                <w:rStyle w:val="40"/>
                <w:rFonts w:hint="eastAsia"/>
                <w:u w:val="single"/>
              </w:rPr>
              <w:sym w:font="Wingdings 2" w:char="0052"/>
            </w:r>
            <w:r>
              <w:rPr>
                <w:rStyle w:val="40"/>
                <w:rFonts w:hint="eastAsia"/>
                <w:u w:val="single"/>
              </w:rPr>
              <w:t xml:space="preserve">不适用  </w:t>
            </w:r>
          </w:p>
          <w:p>
            <w:pPr>
              <w:widowControl w:val="0"/>
              <w:spacing w:line="320" w:lineRule="exact"/>
              <w:jc w:val="both"/>
              <w:rPr>
                <w:rFonts w:hint="eastAsia" w:asciiTheme="minorEastAsia" w:hAnsiTheme="minorEastAsia" w:eastAsiaTheme="minorEastAsia"/>
                <w:b w:val="0"/>
                <w:bCs w:val="0"/>
                <w:color w:val="000000"/>
                <w:sz w:val="21"/>
                <w:szCs w:val="21"/>
              </w:rPr>
            </w:pPr>
            <w:r>
              <w:rPr>
                <w:rStyle w:val="40"/>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b w:val="0"/>
                <w:bCs w:val="0"/>
                <w:sz w:val="21"/>
                <w:szCs w:val="21"/>
              </w:rPr>
            </w:pPr>
            <w:r>
              <w:rPr>
                <w:rFonts w:hint="eastAsia" w:ascii="宋体" w:hAnsi="宋体"/>
                <w:b w:val="0"/>
                <w:bCs w:val="0"/>
                <w:sz w:val="21"/>
                <w:szCs w:val="21"/>
              </w:rPr>
              <w:t>（4）业绩要求</w:t>
            </w:r>
          </w:p>
        </w:tc>
        <w:tc>
          <w:tcPr>
            <w:tcW w:w="1786" w:type="dxa"/>
          </w:tcPr>
          <w:p>
            <w:pPr>
              <w:widowControl w:val="0"/>
              <w:spacing w:line="320" w:lineRule="exact"/>
              <w:jc w:val="both"/>
              <w:rPr>
                <w:rStyle w:val="40"/>
                <w:b w:val="0"/>
                <w:bCs w:val="0"/>
                <w:szCs w:val="21"/>
                <w:u w:val="single"/>
              </w:rPr>
            </w:pPr>
            <w:r>
              <w:rPr>
                <w:rStyle w:val="40"/>
                <w:rFonts w:hint="eastAsia"/>
                <w:b w:val="0"/>
                <w:bCs w:val="0"/>
                <w:szCs w:val="21"/>
                <w:u w:val="single"/>
              </w:rPr>
              <w:t xml:space="preserve">□不适用  </w:t>
            </w:r>
          </w:p>
          <w:p>
            <w:pPr>
              <w:widowControl w:val="0"/>
              <w:spacing w:line="320" w:lineRule="exact"/>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vAlign w:val="top"/>
          </w:tcPr>
          <w:p>
            <w:pPr>
              <w:widowControl w:val="0"/>
              <w:spacing w:line="320" w:lineRule="exact"/>
              <w:jc w:val="both"/>
              <w:rPr>
                <w:rStyle w:val="40"/>
                <w:u w:val="single"/>
              </w:rPr>
            </w:pPr>
            <w:r>
              <w:rPr>
                <w:rStyle w:val="40"/>
                <w:rFonts w:hint="eastAsia"/>
                <w:u w:val="single"/>
              </w:rPr>
              <w:t xml:space="preserve">□不适用  </w:t>
            </w:r>
          </w:p>
          <w:p>
            <w:pPr>
              <w:widowControl w:val="0"/>
              <w:spacing w:line="320" w:lineRule="exact"/>
              <w:jc w:val="both"/>
              <w:rPr>
                <w:rFonts w:hint="eastAsia" w:asciiTheme="minorEastAsia" w:hAnsiTheme="minorEastAsia" w:eastAsiaTheme="minorEastAsia"/>
                <w:b w:val="0"/>
                <w:bCs w:val="0"/>
                <w:color w:val="000000"/>
                <w:sz w:val="21"/>
                <w:szCs w:val="21"/>
                <w:lang w:val="en-US" w:eastAsia="zh-CN"/>
              </w:rPr>
            </w:pPr>
            <w:r>
              <w:rPr>
                <w:rStyle w:val="40"/>
                <w:rFonts w:hint="eastAsia"/>
                <w:u w:val="single"/>
              </w:rPr>
              <w:sym w:font="Wingdings 2" w:char="0052"/>
            </w:r>
            <w:r>
              <w:rPr>
                <w:rStyle w:val="40"/>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b w:val="0"/>
                <w:bCs w:val="0"/>
                <w:sz w:val="21"/>
                <w:szCs w:val="21"/>
              </w:rPr>
            </w:pPr>
            <w:r>
              <w:rPr>
                <w:rFonts w:hint="eastAsia" w:ascii="宋体" w:hAnsi="宋体"/>
                <w:b w:val="0"/>
                <w:bCs w:val="0"/>
                <w:sz w:val="21"/>
                <w:szCs w:val="21"/>
              </w:rPr>
              <w:t>（5）信誉要求</w:t>
            </w:r>
          </w:p>
        </w:tc>
        <w:tc>
          <w:tcPr>
            <w:tcW w:w="1786" w:type="dxa"/>
          </w:tcPr>
          <w:p>
            <w:pPr>
              <w:widowControl w:val="0"/>
              <w:spacing w:line="320" w:lineRule="exact"/>
              <w:jc w:val="both"/>
              <w:rPr>
                <w:rStyle w:val="40"/>
                <w:b w:val="0"/>
                <w:bCs w:val="0"/>
                <w:szCs w:val="21"/>
                <w:u w:val="single"/>
              </w:rPr>
            </w:pPr>
            <w:r>
              <w:rPr>
                <w:rStyle w:val="40"/>
                <w:rFonts w:hint="eastAsia"/>
                <w:b w:val="0"/>
                <w:bCs w:val="0"/>
                <w:szCs w:val="21"/>
                <w:u w:val="single"/>
                <w:lang w:eastAsia="zh-CN"/>
              </w:rPr>
              <w:t>☑</w:t>
            </w:r>
            <w:r>
              <w:rPr>
                <w:rStyle w:val="40"/>
                <w:rFonts w:hint="eastAsia"/>
                <w:b w:val="0"/>
                <w:bCs w:val="0"/>
                <w:szCs w:val="21"/>
                <w:u w:val="single"/>
              </w:rPr>
              <w:t xml:space="preserve">不适用  </w:t>
            </w:r>
          </w:p>
          <w:p>
            <w:pPr>
              <w:widowControl w:val="0"/>
              <w:spacing w:line="320" w:lineRule="exact"/>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vAlign w:val="top"/>
          </w:tcPr>
          <w:p>
            <w:pPr>
              <w:widowControl w:val="0"/>
              <w:spacing w:line="320" w:lineRule="exact"/>
              <w:jc w:val="both"/>
              <w:rPr>
                <w:rStyle w:val="40"/>
                <w:u w:val="single"/>
              </w:rPr>
            </w:pPr>
            <w:r>
              <w:rPr>
                <w:rStyle w:val="40"/>
                <w:rFonts w:hint="eastAsia"/>
                <w:u w:val="single"/>
              </w:rPr>
              <w:sym w:font="Wingdings 2" w:char="0052"/>
            </w:r>
            <w:r>
              <w:rPr>
                <w:rStyle w:val="40"/>
                <w:rFonts w:hint="eastAsia"/>
                <w:u w:val="single"/>
              </w:rPr>
              <w:t xml:space="preserve">不适用  </w:t>
            </w:r>
          </w:p>
          <w:p>
            <w:pPr>
              <w:widowControl w:val="0"/>
              <w:spacing w:line="320" w:lineRule="exact"/>
              <w:jc w:val="both"/>
              <w:rPr>
                <w:rFonts w:hint="eastAsia" w:asciiTheme="minorEastAsia" w:hAnsiTheme="minorEastAsia" w:eastAsiaTheme="minorEastAsia"/>
                <w:b w:val="0"/>
                <w:bCs w:val="0"/>
                <w:color w:val="000000"/>
                <w:sz w:val="21"/>
                <w:szCs w:val="21"/>
              </w:rPr>
            </w:pPr>
            <w:r>
              <w:rPr>
                <w:rStyle w:val="40"/>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b w:val="0"/>
                <w:bCs w:val="0"/>
                <w:sz w:val="21"/>
                <w:szCs w:val="21"/>
              </w:rPr>
            </w:pPr>
            <w:r>
              <w:rPr>
                <w:rFonts w:hint="eastAsia" w:ascii="宋体" w:hAnsi="宋体"/>
                <w:b w:val="0"/>
                <w:bCs w:val="0"/>
                <w:sz w:val="21"/>
                <w:szCs w:val="21"/>
              </w:rPr>
              <w:t>（6）承担本项目的主要人员要求</w:t>
            </w:r>
          </w:p>
        </w:tc>
        <w:tc>
          <w:tcPr>
            <w:tcW w:w="1786" w:type="dxa"/>
          </w:tcPr>
          <w:p>
            <w:pPr>
              <w:widowControl w:val="0"/>
              <w:spacing w:line="320" w:lineRule="exact"/>
              <w:jc w:val="both"/>
              <w:rPr>
                <w:rStyle w:val="40"/>
                <w:b w:val="0"/>
                <w:bCs w:val="0"/>
                <w:szCs w:val="21"/>
                <w:u w:val="single"/>
              </w:rPr>
            </w:pPr>
            <w:r>
              <w:rPr>
                <w:rStyle w:val="40"/>
                <w:rFonts w:hint="eastAsia"/>
                <w:b w:val="0"/>
                <w:bCs w:val="0"/>
                <w:szCs w:val="21"/>
                <w:u w:val="single"/>
              </w:rPr>
              <w:t xml:space="preserve">□不适用  </w:t>
            </w:r>
          </w:p>
          <w:p>
            <w:pPr>
              <w:widowControl w:val="0"/>
              <w:spacing w:line="320" w:lineRule="exact"/>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vAlign w:val="top"/>
          </w:tcPr>
          <w:p>
            <w:pPr>
              <w:widowControl w:val="0"/>
              <w:spacing w:line="320" w:lineRule="exact"/>
              <w:jc w:val="both"/>
              <w:rPr>
                <w:rStyle w:val="40"/>
                <w:u w:val="single"/>
              </w:rPr>
            </w:pPr>
            <w:r>
              <w:rPr>
                <w:rStyle w:val="40"/>
                <w:rFonts w:hint="eastAsia"/>
                <w:u w:val="single"/>
              </w:rPr>
              <w:t xml:space="preserve">□不适用  </w:t>
            </w:r>
          </w:p>
          <w:p>
            <w:pPr>
              <w:widowControl w:val="0"/>
              <w:spacing w:line="320" w:lineRule="exact"/>
              <w:jc w:val="both"/>
              <w:rPr>
                <w:rFonts w:hint="eastAsia" w:asciiTheme="minorEastAsia" w:hAnsiTheme="minorEastAsia" w:eastAsiaTheme="minorEastAsia"/>
                <w:b w:val="0"/>
                <w:bCs w:val="0"/>
                <w:color w:val="000000"/>
                <w:sz w:val="21"/>
                <w:szCs w:val="21"/>
              </w:rPr>
            </w:pPr>
            <w:r>
              <w:rPr>
                <w:rStyle w:val="40"/>
                <w:rFonts w:hint="eastAsia"/>
                <w:u w:val="single"/>
              </w:rPr>
              <w:sym w:font="Wingdings 2" w:char="0052"/>
            </w:r>
            <w:r>
              <w:rPr>
                <w:rStyle w:val="40"/>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numPr>
                <w:ilvl w:val="0"/>
                <w:numId w:val="0"/>
              </w:numPr>
              <w:spacing w:line="320" w:lineRule="exact"/>
              <w:jc w:val="both"/>
              <w:rPr>
                <w:rFonts w:hint="eastAsia"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（7）其他要求</w:t>
            </w:r>
          </w:p>
        </w:tc>
        <w:tc>
          <w:tcPr>
            <w:tcW w:w="1786" w:type="dxa"/>
          </w:tcPr>
          <w:p>
            <w:pPr>
              <w:widowControl w:val="0"/>
              <w:numPr>
                <w:ilvl w:val="0"/>
                <w:numId w:val="0"/>
              </w:numPr>
              <w:spacing w:line="320" w:lineRule="exact"/>
              <w:jc w:val="both"/>
              <w:rPr>
                <w:rStyle w:val="39"/>
                <w:rFonts w:hint="eastAsia" w:asciiTheme="minorEastAsia" w:hAnsiTheme="minorEastAsia" w:eastAsiaTheme="minorEastAsia"/>
                <w:b w:val="0"/>
                <w:bCs w:val="0"/>
                <w:color w:val="000000"/>
                <w:szCs w:val="21"/>
                <w:u w:val="none"/>
              </w:rPr>
            </w:pPr>
            <w:r>
              <w:rPr>
                <w:rStyle w:val="39"/>
                <w:rFonts w:hint="eastAsia" w:asciiTheme="minorEastAsia" w:hAnsiTheme="minorEastAsia" w:eastAsiaTheme="minorEastAsia"/>
                <w:b w:val="0"/>
                <w:bCs w:val="0"/>
                <w:color w:val="000000"/>
                <w:szCs w:val="21"/>
                <w:u w:val="none"/>
                <w:lang w:eastAsia="zh-CN"/>
              </w:rPr>
              <w:t>□</w:t>
            </w:r>
            <w:r>
              <w:rPr>
                <w:rStyle w:val="39"/>
                <w:rFonts w:hint="eastAsia" w:asciiTheme="minorEastAsia" w:hAnsiTheme="minorEastAsia" w:eastAsiaTheme="minorEastAsia"/>
                <w:b w:val="0"/>
                <w:bCs w:val="0"/>
                <w:color w:val="000000"/>
                <w:szCs w:val="21"/>
                <w:u w:val="none"/>
              </w:rPr>
              <w:t xml:space="preserve">不适用  </w:t>
            </w:r>
          </w:p>
          <w:p>
            <w:pPr>
              <w:widowControl w:val="0"/>
              <w:numPr>
                <w:ilvl w:val="0"/>
                <w:numId w:val="0"/>
              </w:numPr>
              <w:spacing w:line="320" w:lineRule="exact"/>
              <w:jc w:val="both"/>
              <w:rPr>
                <w:rFonts w:hint="eastAsia" w:asciiTheme="minorEastAsia" w:hAnsiTheme="minorEastAsia" w:eastAsiaTheme="minorEastAsia"/>
                <w:b w:val="0"/>
                <w:bCs w:val="0"/>
                <w:color w:val="000000"/>
                <w:sz w:val="21"/>
                <w:szCs w:val="21"/>
              </w:rPr>
            </w:pPr>
            <w:r>
              <w:rPr>
                <w:rStyle w:val="39"/>
                <w:rFonts w:hint="eastAsia" w:asciiTheme="minorEastAsia" w:hAnsiTheme="minorEastAsia" w:eastAsiaTheme="minorEastAsia"/>
                <w:b w:val="0"/>
                <w:bCs w:val="0"/>
                <w:color w:val="000000"/>
                <w:szCs w:val="21"/>
                <w:u w:val="none"/>
                <w:lang w:eastAsia="zh-CN"/>
              </w:rPr>
              <w:sym w:font="Wingdings 2" w:char="0052"/>
            </w:r>
            <w:r>
              <w:rPr>
                <w:rStyle w:val="39"/>
                <w:rFonts w:hint="eastAsia" w:asciiTheme="minorEastAsia" w:hAnsiTheme="minorEastAsia" w:eastAsiaTheme="minorEastAsia"/>
                <w:b w:val="0"/>
                <w:bCs w:val="0"/>
                <w:color w:val="000000"/>
                <w:szCs w:val="21"/>
                <w:u w:val="none"/>
              </w:rPr>
              <w:t>适用</w:t>
            </w:r>
          </w:p>
        </w:tc>
        <w:tc>
          <w:tcPr>
            <w:tcW w:w="5443" w:type="dxa"/>
            <w:vAlign w:val="top"/>
          </w:tcPr>
          <w:p>
            <w:pPr>
              <w:widowControl w:val="0"/>
              <w:spacing w:line="320" w:lineRule="exact"/>
              <w:jc w:val="both"/>
              <w:rPr>
                <w:rStyle w:val="40"/>
                <w:u w:val="single"/>
              </w:rPr>
            </w:pPr>
            <w:r>
              <w:rPr>
                <w:rStyle w:val="40"/>
                <w:rFonts w:hint="eastAsia"/>
                <w:u w:val="single"/>
              </w:rPr>
              <w:sym w:font="Wingdings 2" w:char="00A3"/>
            </w:r>
            <w:r>
              <w:rPr>
                <w:rStyle w:val="40"/>
                <w:rFonts w:hint="eastAsia"/>
                <w:u w:val="single"/>
              </w:rPr>
              <w:t xml:space="preserve">不适用  </w:t>
            </w:r>
          </w:p>
          <w:p>
            <w:pPr>
              <w:widowControl w:val="0"/>
              <w:spacing w:line="320" w:lineRule="exact"/>
              <w:jc w:val="both"/>
              <w:rPr>
                <w:rFonts w:hint="eastAsia" w:asciiTheme="minorEastAsia" w:hAnsiTheme="minorEastAsia" w:eastAsiaTheme="minorEastAsia"/>
                <w:b w:val="0"/>
                <w:bCs w:val="0"/>
                <w:color w:val="000000"/>
                <w:sz w:val="21"/>
                <w:szCs w:val="21"/>
              </w:rPr>
            </w:pPr>
            <w:r>
              <w:rPr>
                <w:rStyle w:val="40"/>
                <w:rFonts w:hint="eastAsia"/>
                <w:u w:val="single"/>
              </w:rPr>
              <w:sym w:font="Wingdings 2" w:char="0052"/>
            </w:r>
            <w:r>
              <w:rPr>
                <w:rStyle w:val="40"/>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numPr>
                <w:ilvl w:val="0"/>
                <w:numId w:val="0"/>
              </w:numPr>
              <w:spacing w:line="320" w:lineRule="exact"/>
              <w:jc w:val="both"/>
              <w:rPr>
                <w:rFonts w:hint="eastAsia"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（8）供应商不存在第一章3.1款情形的证明材料</w:t>
            </w:r>
          </w:p>
        </w:tc>
        <w:tc>
          <w:tcPr>
            <w:tcW w:w="1786" w:type="dxa"/>
          </w:tcPr>
          <w:p>
            <w:pPr>
              <w:widowControl w:val="0"/>
              <w:numPr>
                <w:ilvl w:val="0"/>
                <w:numId w:val="0"/>
              </w:numPr>
              <w:spacing w:line="320" w:lineRule="exact"/>
              <w:jc w:val="both"/>
              <w:rPr>
                <w:rStyle w:val="39"/>
                <w:rFonts w:hint="eastAsia" w:asciiTheme="minorEastAsia" w:hAnsiTheme="minorEastAsia" w:eastAsiaTheme="minorEastAsia"/>
                <w:b w:val="0"/>
                <w:bCs w:val="0"/>
                <w:color w:val="000000"/>
                <w:szCs w:val="21"/>
                <w:u w:val="none"/>
              </w:rPr>
            </w:pPr>
            <w:r>
              <w:rPr>
                <w:rStyle w:val="39"/>
                <w:rFonts w:hint="eastAsia" w:asciiTheme="minorEastAsia" w:hAnsiTheme="minorEastAsia" w:eastAsiaTheme="minorEastAsia"/>
                <w:b w:val="0"/>
                <w:bCs w:val="0"/>
                <w:color w:val="000000"/>
                <w:szCs w:val="21"/>
                <w:u w:val="none"/>
                <w:lang w:eastAsia="zh-CN"/>
              </w:rPr>
              <w:t>□</w:t>
            </w:r>
            <w:r>
              <w:rPr>
                <w:rStyle w:val="39"/>
                <w:rFonts w:hint="eastAsia" w:asciiTheme="minorEastAsia" w:hAnsiTheme="minorEastAsia" w:eastAsiaTheme="minorEastAsia"/>
                <w:b w:val="0"/>
                <w:bCs w:val="0"/>
                <w:color w:val="000000"/>
                <w:szCs w:val="21"/>
                <w:u w:val="none"/>
              </w:rPr>
              <w:t xml:space="preserve">不适用  </w:t>
            </w:r>
          </w:p>
          <w:p>
            <w:pPr>
              <w:widowControl w:val="0"/>
              <w:numPr>
                <w:ilvl w:val="0"/>
                <w:numId w:val="0"/>
              </w:numPr>
              <w:spacing w:line="320" w:lineRule="exact"/>
              <w:jc w:val="both"/>
              <w:rPr>
                <w:rFonts w:hint="eastAsia" w:asciiTheme="minorEastAsia" w:hAnsiTheme="minorEastAsia" w:eastAsiaTheme="minorEastAsia"/>
                <w:b w:val="0"/>
                <w:bCs w:val="0"/>
                <w:color w:val="000000"/>
                <w:sz w:val="21"/>
                <w:szCs w:val="21"/>
              </w:rPr>
            </w:pPr>
            <w:r>
              <w:rPr>
                <w:rStyle w:val="39"/>
                <w:rFonts w:hint="eastAsia" w:asciiTheme="minorEastAsia" w:hAnsiTheme="minorEastAsia" w:eastAsiaTheme="minorEastAsia"/>
                <w:b w:val="0"/>
                <w:bCs w:val="0"/>
                <w:color w:val="000000"/>
                <w:szCs w:val="21"/>
                <w:u w:val="none"/>
                <w:lang w:eastAsia="zh-CN"/>
              </w:rPr>
              <w:t>☑</w:t>
            </w:r>
            <w:r>
              <w:rPr>
                <w:rStyle w:val="39"/>
                <w:rFonts w:hint="eastAsia" w:asciiTheme="minorEastAsia" w:hAnsiTheme="minorEastAsia" w:eastAsiaTheme="minorEastAsia"/>
                <w:b w:val="0"/>
                <w:bCs w:val="0"/>
                <w:color w:val="000000"/>
                <w:szCs w:val="21"/>
                <w:u w:val="none"/>
              </w:rPr>
              <w:t>适用</w:t>
            </w:r>
          </w:p>
        </w:tc>
        <w:tc>
          <w:tcPr>
            <w:tcW w:w="5443" w:type="dxa"/>
            <w:vAlign w:val="top"/>
          </w:tcPr>
          <w:p>
            <w:pPr>
              <w:widowControl w:val="0"/>
              <w:spacing w:line="320" w:lineRule="exact"/>
              <w:jc w:val="both"/>
              <w:rPr>
                <w:rStyle w:val="40"/>
                <w:u w:val="single"/>
              </w:rPr>
            </w:pPr>
            <w:r>
              <w:rPr>
                <w:rStyle w:val="40"/>
                <w:rFonts w:hint="eastAsia"/>
                <w:u w:val="single"/>
              </w:rPr>
              <w:t xml:space="preserve">□不适用  </w:t>
            </w:r>
          </w:p>
          <w:p>
            <w:pPr>
              <w:widowControl w:val="0"/>
              <w:spacing w:line="320" w:lineRule="exact"/>
              <w:jc w:val="both"/>
              <w:rPr>
                <w:rFonts w:hint="eastAsia" w:asciiTheme="minorEastAsia" w:hAnsiTheme="minorEastAsia" w:eastAsiaTheme="minorEastAsia"/>
                <w:b w:val="0"/>
                <w:bCs w:val="0"/>
                <w:color w:val="000000"/>
                <w:sz w:val="21"/>
                <w:szCs w:val="21"/>
              </w:rPr>
            </w:pPr>
            <w:r>
              <w:rPr>
                <w:rStyle w:val="40"/>
                <w:rFonts w:hint="eastAsia"/>
                <w:u w:val="single"/>
              </w:rPr>
              <w:sym w:font="Wingdings 2" w:char="0052"/>
            </w:r>
            <w:r>
              <w:rPr>
                <w:rStyle w:val="40"/>
                <w:rFonts w:hint="eastAsia"/>
                <w:u w:val="single"/>
              </w:rPr>
              <w:t>适用,见采购文件供应商须知前附表3.5（8）。</w:t>
            </w:r>
          </w:p>
        </w:tc>
      </w:tr>
    </w:tbl>
    <w:p>
      <w:pPr>
        <w:pStyle w:val="9"/>
        <w:spacing w:before="0" w:after="0"/>
        <w:ind w:firstLine="562" w:firstLineChars="200"/>
        <w:jc w:val="both"/>
        <w:outlineLvl w:val="9"/>
        <w:rPr>
          <w:rFonts w:hint="eastAsia"/>
          <w:sz w:val="28"/>
          <w:szCs w:val="28"/>
          <w:lang w:val="en-US" w:eastAsia="zh-CN"/>
        </w:rPr>
      </w:pPr>
    </w:p>
    <w:p>
      <w:pPr>
        <w:pStyle w:val="9"/>
        <w:spacing w:before="0" w:after="0"/>
        <w:ind w:firstLine="562" w:firstLineChars="200"/>
        <w:jc w:val="both"/>
        <w:rPr>
          <w:rFonts w:ascii="Arial" w:hAnsi="Arial"/>
        </w:rPr>
      </w:pPr>
      <w:r>
        <w:rPr>
          <w:rFonts w:hint="eastAsia"/>
          <w:sz w:val="28"/>
          <w:szCs w:val="28"/>
          <w:lang w:val="en-US" w:eastAsia="zh-CN"/>
        </w:rPr>
        <w:t>四、</w:t>
      </w:r>
      <w:r>
        <w:rPr>
          <w:rFonts w:hint="eastAsia" w:ascii="黑体" w:hAnsi="黑体"/>
          <w:sz w:val="28"/>
          <w:szCs w:val="28"/>
        </w:rPr>
        <w:t>响应保证金</w:t>
      </w:r>
    </w:p>
    <w:tbl>
      <w:tblPr>
        <w:tblStyle w:val="38"/>
        <w:tblW w:w="966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tcPr>
          <w:p>
            <w:pPr>
              <w:widowControl w:val="0"/>
              <w:autoSpaceDE w:val="0"/>
              <w:spacing w:line="400" w:lineRule="exact"/>
              <w:jc w:val="both"/>
              <w:rPr>
                <w:rFonts w:ascii="黑体" w:hAnsi="黑体"/>
                <w:szCs w:val="21"/>
              </w:rPr>
            </w:pPr>
            <w:r>
              <w:rPr>
                <w:rFonts w:hint="eastAsia" w:ascii="黑体" w:hAnsi="黑体"/>
                <w:szCs w:val="21"/>
              </w:rPr>
              <w:t>响应</w:t>
            </w:r>
            <w:r>
              <w:rPr>
                <w:rFonts w:hint="eastAsia" w:ascii="宋体" w:hAnsi="宋体"/>
                <w:sz w:val="21"/>
                <w:szCs w:val="21"/>
              </w:rPr>
              <w:t>保证金的递交</w:t>
            </w:r>
          </w:p>
        </w:tc>
        <w:tc>
          <w:tcPr>
            <w:tcW w:w="3597" w:type="dxa"/>
          </w:tcPr>
          <w:p>
            <w:pPr>
              <w:widowControl w:val="0"/>
              <w:autoSpaceDE w:val="0"/>
              <w:spacing w:line="400" w:lineRule="exact"/>
              <w:jc w:val="both"/>
              <w:rPr>
                <w:rFonts w:ascii="黑体" w:hAnsi="黑体"/>
                <w:szCs w:val="21"/>
              </w:rPr>
            </w:pPr>
            <w:r>
              <w:rPr>
                <w:rFonts w:hint="eastAsia" w:ascii="宋体" w:hAnsi="宋体"/>
                <w:sz w:val="21"/>
                <w:szCs w:val="21"/>
              </w:rPr>
              <w:t>不退还响应保证金的其他情形</w:t>
            </w:r>
          </w:p>
        </w:tc>
        <w:tc>
          <w:tcPr>
            <w:tcW w:w="3285" w:type="dxa"/>
          </w:tcPr>
          <w:p>
            <w:pPr>
              <w:widowControl w:val="0"/>
              <w:autoSpaceDE w:val="0"/>
              <w:spacing w:line="400" w:lineRule="exact"/>
              <w:jc w:val="both"/>
              <w:rPr>
                <w:rFonts w:ascii="黑体" w:hAnsi="黑体"/>
                <w:szCs w:val="21"/>
              </w:rPr>
            </w:pPr>
            <w:r>
              <w:rPr>
                <w:rFonts w:hint="eastAsia" w:ascii="宋体" w:hAnsi="宋体"/>
                <w:sz w:val="21"/>
                <w:szCs w:val="21"/>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tcPr>
          <w:p>
            <w:pPr>
              <w:widowControl w:val="0"/>
              <w:autoSpaceDE w:val="0"/>
              <w:spacing w:line="400" w:lineRule="exact"/>
              <w:jc w:val="both"/>
              <w:rPr>
                <w:rFonts w:ascii="宋体" w:hAnsi="宋体"/>
                <w:sz w:val="21"/>
                <w:szCs w:val="21"/>
              </w:rPr>
            </w:pPr>
            <w:r>
              <w:rPr>
                <w:rStyle w:val="40"/>
                <w:rFonts w:hint="eastAsia"/>
                <w:szCs w:val="21"/>
                <w:lang w:eastAsia="zh-CN"/>
              </w:rPr>
              <w:t>☑</w:t>
            </w:r>
            <w:r>
              <w:rPr>
                <w:rFonts w:hint="eastAsia" w:ascii="宋体" w:hAnsi="宋体"/>
                <w:sz w:val="21"/>
                <w:szCs w:val="21"/>
              </w:rPr>
              <w:t>不要求递交</w:t>
            </w:r>
          </w:p>
          <w:p>
            <w:pPr>
              <w:widowControl w:val="0"/>
              <w:autoSpaceDE w:val="0"/>
              <w:spacing w:line="400" w:lineRule="exact"/>
              <w:jc w:val="both"/>
              <w:rPr>
                <w:rFonts w:ascii="宋体" w:hAnsi="宋体"/>
                <w:sz w:val="21"/>
                <w:szCs w:val="21"/>
              </w:rPr>
            </w:pPr>
            <w:r>
              <w:rPr>
                <w:rStyle w:val="40"/>
                <w:rFonts w:hint="eastAsia"/>
                <w:szCs w:val="21"/>
              </w:rPr>
              <w:sym w:font="Wingdings 2" w:char="00A3"/>
            </w:r>
            <w:r>
              <w:rPr>
                <w:rFonts w:hint="eastAsia" w:ascii="宋体" w:hAnsi="宋体"/>
                <w:sz w:val="21"/>
                <w:szCs w:val="21"/>
              </w:rPr>
              <w:t>要求递交</w:t>
            </w:r>
          </w:p>
          <w:p>
            <w:pPr>
              <w:widowControl w:val="0"/>
              <w:autoSpaceDE w:val="0"/>
              <w:spacing w:line="400" w:lineRule="exact"/>
              <w:jc w:val="both"/>
              <w:rPr>
                <w:rFonts w:ascii="宋体" w:hAnsi="宋体"/>
                <w:sz w:val="21"/>
                <w:szCs w:val="21"/>
              </w:rPr>
            </w:pPr>
            <w:r>
              <w:rPr>
                <w:rFonts w:hint="eastAsia" w:ascii="宋体" w:hAnsi="宋体"/>
                <w:sz w:val="21"/>
                <w:szCs w:val="21"/>
              </w:rPr>
              <w:t>保证金金额：_________；</w:t>
            </w:r>
          </w:p>
          <w:p>
            <w:pPr>
              <w:widowControl w:val="0"/>
              <w:autoSpaceDE w:val="0"/>
              <w:spacing w:line="400" w:lineRule="exact"/>
              <w:jc w:val="both"/>
              <w:rPr>
                <w:rFonts w:ascii="宋体" w:hAnsi="宋体"/>
                <w:sz w:val="21"/>
                <w:szCs w:val="21"/>
              </w:rPr>
            </w:pPr>
            <w:r>
              <w:rPr>
                <w:rFonts w:hint="eastAsia" w:ascii="宋体" w:hAnsi="宋体"/>
                <w:sz w:val="21"/>
                <w:szCs w:val="21"/>
              </w:rPr>
              <w:t>保证金形式：________；</w:t>
            </w:r>
          </w:p>
        </w:tc>
        <w:tc>
          <w:tcPr>
            <w:tcW w:w="3597" w:type="dxa"/>
          </w:tcPr>
          <w:p>
            <w:pPr>
              <w:widowControl w:val="0"/>
              <w:autoSpaceDE w:val="0"/>
              <w:spacing w:line="400" w:lineRule="exact"/>
              <w:jc w:val="both"/>
              <w:rPr>
                <w:rFonts w:ascii="宋体" w:hAnsi="宋体"/>
                <w:sz w:val="21"/>
                <w:szCs w:val="21"/>
              </w:rPr>
            </w:pPr>
            <w:r>
              <w:rPr>
                <w:rStyle w:val="40"/>
                <w:rFonts w:hint="eastAsia"/>
                <w:szCs w:val="21"/>
                <w:lang w:eastAsia="zh-CN"/>
              </w:rPr>
              <w:t>☑</w:t>
            </w:r>
            <w:r>
              <w:rPr>
                <w:rStyle w:val="40"/>
                <w:rFonts w:hint="eastAsia"/>
                <w:szCs w:val="21"/>
              </w:rPr>
              <w:t>不</w:t>
            </w:r>
            <w:r>
              <w:rPr>
                <w:rFonts w:hint="eastAsia" w:ascii="宋体" w:hAnsi="宋体"/>
                <w:sz w:val="21"/>
                <w:szCs w:val="21"/>
              </w:rPr>
              <w:t>适用</w:t>
            </w:r>
          </w:p>
          <w:p>
            <w:pPr>
              <w:widowControl w:val="0"/>
              <w:autoSpaceDE w:val="0"/>
              <w:spacing w:line="400" w:lineRule="exact"/>
              <w:jc w:val="both"/>
              <w:rPr>
                <w:rFonts w:ascii="宋体" w:hAnsi="宋体"/>
                <w:sz w:val="21"/>
                <w:szCs w:val="21"/>
              </w:rPr>
            </w:pPr>
            <w:r>
              <w:rPr>
                <w:rStyle w:val="40"/>
                <w:rFonts w:hint="eastAsia"/>
                <w:szCs w:val="21"/>
              </w:rPr>
              <w:t>□</w:t>
            </w:r>
            <w:r>
              <w:rPr>
                <w:rFonts w:hint="eastAsia" w:ascii="宋体" w:hAnsi="宋体"/>
                <w:sz w:val="21"/>
                <w:szCs w:val="21"/>
              </w:rPr>
              <w:t>适用，具体如下：</w:t>
            </w:r>
          </w:p>
          <w:p>
            <w:pPr>
              <w:widowControl w:val="0"/>
              <w:autoSpaceDE w:val="0"/>
              <w:spacing w:line="400" w:lineRule="exact"/>
              <w:jc w:val="both"/>
              <w:rPr>
                <w:rFonts w:ascii="宋体" w:hAnsi="宋体"/>
                <w:sz w:val="21"/>
                <w:szCs w:val="21"/>
              </w:rPr>
            </w:pPr>
          </w:p>
          <w:p>
            <w:pPr>
              <w:widowControl w:val="0"/>
              <w:autoSpaceDE w:val="0"/>
              <w:spacing w:line="400" w:lineRule="exact"/>
              <w:jc w:val="both"/>
              <w:rPr>
                <w:rFonts w:ascii="黑体" w:hAnsi="黑体"/>
                <w:szCs w:val="21"/>
              </w:rPr>
            </w:pPr>
          </w:p>
        </w:tc>
        <w:tc>
          <w:tcPr>
            <w:tcW w:w="3285" w:type="dxa"/>
          </w:tcPr>
          <w:p>
            <w:pPr>
              <w:widowControl w:val="0"/>
              <w:autoSpaceDE w:val="0"/>
              <w:spacing w:line="400" w:lineRule="exact"/>
              <w:jc w:val="both"/>
              <w:rPr>
                <w:rFonts w:ascii="宋体" w:hAnsi="宋体"/>
                <w:sz w:val="21"/>
                <w:szCs w:val="21"/>
              </w:rPr>
            </w:pPr>
            <w:r>
              <w:rPr>
                <w:rStyle w:val="40"/>
                <w:rFonts w:hint="eastAsia"/>
                <w:szCs w:val="21"/>
                <w:lang w:eastAsia="zh-CN"/>
              </w:rPr>
              <w:t>☑</w:t>
            </w:r>
            <w:r>
              <w:rPr>
                <w:rFonts w:hint="eastAsia" w:ascii="宋体" w:hAnsi="宋体"/>
                <w:sz w:val="21"/>
                <w:szCs w:val="21"/>
              </w:rPr>
              <w:t>不适用</w:t>
            </w:r>
          </w:p>
          <w:p>
            <w:pPr>
              <w:widowControl w:val="0"/>
              <w:autoSpaceDE w:val="0"/>
              <w:spacing w:line="400" w:lineRule="exact"/>
              <w:jc w:val="both"/>
              <w:rPr>
                <w:rFonts w:ascii="宋体" w:hAnsi="宋体"/>
                <w:sz w:val="21"/>
                <w:szCs w:val="21"/>
              </w:rPr>
            </w:pPr>
            <w:r>
              <w:rPr>
                <w:rStyle w:val="40"/>
                <w:rFonts w:hint="eastAsia"/>
                <w:szCs w:val="21"/>
              </w:rPr>
              <w:t>□</w:t>
            </w:r>
            <w:r>
              <w:rPr>
                <w:rFonts w:hint="eastAsia" w:ascii="宋体" w:hAnsi="宋体"/>
                <w:sz w:val="21"/>
                <w:szCs w:val="21"/>
              </w:rPr>
              <w:t>适用，具体如下：</w:t>
            </w:r>
          </w:p>
          <w:p>
            <w:pPr>
              <w:widowControl w:val="0"/>
              <w:autoSpaceDE w:val="0"/>
              <w:spacing w:line="400" w:lineRule="exact"/>
              <w:jc w:val="both"/>
              <w:rPr>
                <w:rFonts w:ascii="宋体" w:hAnsi="宋体"/>
                <w:sz w:val="21"/>
                <w:szCs w:val="21"/>
              </w:rPr>
            </w:pPr>
          </w:p>
          <w:p>
            <w:pPr>
              <w:widowControl w:val="0"/>
              <w:autoSpaceDE w:val="0"/>
              <w:spacing w:line="400" w:lineRule="exact"/>
              <w:jc w:val="both"/>
              <w:rPr>
                <w:rFonts w:ascii="黑体" w:hAnsi="黑体"/>
                <w:szCs w:val="21"/>
              </w:rPr>
            </w:pPr>
          </w:p>
        </w:tc>
      </w:tr>
    </w:tbl>
    <w:p>
      <w:pPr>
        <w:pStyle w:val="9"/>
        <w:spacing w:before="0" w:after="0"/>
        <w:ind w:firstLine="562" w:firstLineChars="200"/>
        <w:jc w:val="both"/>
        <w:outlineLvl w:val="9"/>
        <w:rPr>
          <w:rFonts w:hint="eastAsia"/>
          <w:lang w:val="en-US" w:eastAsia="zh-CN"/>
        </w:rPr>
      </w:pPr>
    </w:p>
    <w:p>
      <w:pPr>
        <w:pStyle w:val="9"/>
        <w:spacing w:before="0" w:after="0"/>
        <w:ind w:firstLine="562" w:firstLineChars="200"/>
        <w:jc w:val="both"/>
        <w:rPr>
          <w:rFonts w:ascii="Arial" w:hAnsi="Arial"/>
        </w:rPr>
      </w:pPr>
      <w:r>
        <w:rPr>
          <w:rFonts w:hint="eastAsia"/>
          <w:lang w:val="en-US" w:eastAsia="zh-CN"/>
        </w:rPr>
        <w:t>五、</w:t>
      </w:r>
      <w:r>
        <w:rPr>
          <w:rFonts w:hint="eastAsia" w:ascii="黑体" w:hAnsi="黑体"/>
        </w:rPr>
        <w:t>确定成交供应商的方法</w:t>
      </w:r>
    </w:p>
    <w:p>
      <w:pPr>
        <w:autoSpaceDE w:val="0"/>
        <w:spacing w:line="400" w:lineRule="exact"/>
        <w:ind w:firstLine="480" w:firstLineChars="200"/>
        <w:jc w:val="both"/>
        <w:rPr>
          <w:rFonts w:hint="default" w:ascii="宋体" w:hAnsi="宋体" w:eastAsia="宋体"/>
          <w:b w:val="0"/>
          <w:bCs w:val="0"/>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一）最低价</w:t>
      </w:r>
      <w:r>
        <w:rPr>
          <w:rFonts w:hint="eastAsia" w:ascii="宋体" w:hAnsi="宋体" w:eastAsia="宋体" w:cs="宋体"/>
          <w:bCs/>
          <w:sz w:val="24"/>
          <w:szCs w:val="24"/>
        </w:rPr>
        <w:t>法</w:t>
      </w:r>
    </w:p>
    <w:p>
      <w:pPr>
        <w:pStyle w:val="2"/>
        <w:ind w:firstLine="480" w:firstLineChars="200"/>
        <w:rPr>
          <w:rFonts w:hint="eastAsia"/>
          <w:bCs/>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eastAsia="宋体" w:cs="宋体"/>
          <w:b w:val="0"/>
          <w:bCs/>
          <w:sz w:val="24"/>
          <w:szCs w:val="24"/>
        </w:rPr>
        <w:t>本次</w:t>
      </w:r>
      <w:r>
        <w:rPr>
          <w:rFonts w:hint="eastAsia" w:ascii="宋体" w:hAnsi="宋体" w:cs="宋体"/>
          <w:b w:val="0"/>
          <w:bCs/>
          <w:sz w:val="24"/>
          <w:szCs w:val="24"/>
          <w:lang w:val="en-US" w:eastAsia="zh-CN"/>
        </w:rPr>
        <w:t>采购</w:t>
      </w:r>
      <w:r>
        <w:rPr>
          <w:rFonts w:hint="eastAsia" w:ascii="宋体" w:hAnsi="宋体" w:eastAsia="宋体" w:cs="宋体"/>
          <w:b w:val="0"/>
          <w:bCs/>
          <w:sz w:val="24"/>
          <w:szCs w:val="24"/>
        </w:rPr>
        <w:t>根据</w:t>
      </w:r>
      <w:r>
        <w:rPr>
          <w:rFonts w:hint="eastAsia" w:ascii="宋体" w:hAnsi="宋体" w:cs="宋体"/>
          <w:b w:val="0"/>
          <w:bCs/>
          <w:sz w:val="24"/>
          <w:szCs w:val="24"/>
          <w:lang w:val="en-US" w:eastAsia="zh-CN"/>
        </w:rPr>
        <w:t>报价和履约能力</w:t>
      </w:r>
      <w:r>
        <w:rPr>
          <w:rFonts w:hint="eastAsia" w:ascii="宋体" w:hAnsi="宋体" w:eastAsia="宋体" w:cs="宋体"/>
          <w:b w:val="0"/>
          <w:bCs/>
          <w:sz w:val="24"/>
          <w:szCs w:val="24"/>
        </w:rPr>
        <w:t>排名情况由</w:t>
      </w:r>
      <w:r>
        <w:rPr>
          <w:rFonts w:hint="eastAsia" w:ascii="宋体" w:hAnsi="宋体" w:cs="宋体"/>
          <w:b w:val="0"/>
          <w:bCs/>
          <w:sz w:val="24"/>
          <w:szCs w:val="24"/>
          <w:lang w:val="en-US" w:eastAsia="zh-CN"/>
        </w:rPr>
        <w:t>高到低</w:t>
      </w:r>
      <w:r>
        <w:rPr>
          <w:rFonts w:hint="eastAsia" w:ascii="宋体" w:hAnsi="宋体" w:eastAsia="宋体" w:cs="宋体"/>
          <w:b w:val="0"/>
          <w:bCs/>
          <w:sz w:val="24"/>
          <w:szCs w:val="24"/>
        </w:rPr>
        <w:t>选取2名</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rPr>
        <w:t>，统一服从</w:t>
      </w:r>
      <w:r>
        <w:rPr>
          <w:rFonts w:hint="eastAsia" w:ascii="宋体" w:hAnsi="宋体" w:cs="宋体"/>
          <w:b w:val="0"/>
          <w:bCs/>
          <w:sz w:val="24"/>
          <w:szCs w:val="24"/>
          <w:lang w:val="en-US" w:eastAsia="zh-CN"/>
        </w:rPr>
        <w:t>采购</w:t>
      </w:r>
      <w:r>
        <w:rPr>
          <w:rFonts w:hint="eastAsia" w:ascii="宋体" w:hAnsi="宋体" w:eastAsia="宋体" w:cs="宋体"/>
          <w:b w:val="0"/>
          <w:bCs/>
          <w:sz w:val="24"/>
          <w:szCs w:val="24"/>
        </w:rPr>
        <w:t>人调度室安排。即：排名第一的</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rPr>
        <w:t>承运</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0%的业务量，排名第二的</w:t>
      </w:r>
      <w:r>
        <w:rPr>
          <w:rFonts w:hint="eastAsia" w:ascii="宋体" w:hAnsi="宋体" w:cs="宋体"/>
          <w:b w:val="0"/>
          <w:bCs/>
          <w:sz w:val="24"/>
          <w:szCs w:val="24"/>
          <w:lang w:val="en-US" w:eastAsia="zh-CN"/>
        </w:rPr>
        <w:t>成交供应商</w:t>
      </w:r>
      <w:r>
        <w:rPr>
          <w:rFonts w:hint="eastAsia" w:ascii="宋体" w:hAnsi="宋体" w:eastAsia="宋体" w:cs="宋体"/>
          <w:b w:val="0"/>
          <w:bCs/>
          <w:sz w:val="24"/>
          <w:szCs w:val="24"/>
        </w:rPr>
        <w:t>承运</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0%的业务量。</w:t>
      </w:r>
    </w:p>
    <w:p>
      <w:pPr>
        <w:autoSpaceDE w:val="0"/>
        <w:spacing w:line="400" w:lineRule="exact"/>
        <w:ind w:firstLine="720" w:firstLineChars="300"/>
        <w:jc w:val="both"/>
        <w:rPr>
          <w:rFonts w:ascii="宋体" w:hAnsi="宋体"/>
          <w:sz w:val="24"/>
        </w:rPr>
      </w:pPr>
      <w:r>
        <w:rPr>
          <w:rFonts w:hint="eastAsia" w:ascii="宋体" w:hAnsi="宋体"/>
          <w:sz w:val="24"/>
        </w:rPr>
        <w:t>采购人应当确定排名第一</w:t>
      </w:r>
      <w:r>
        <w:rPr>
          <w:rFonts w:hint="eastAsia" w:ascii="宋体" w:hAnsi="宋体"/>
          <w:sz w:val="24"/>
          <w:lang w:eastAsia="zh-CN"/>
        </w:rPr>
        <w:t>和第二</w:t>
      </w:r>
      <w:r>
        <w:rPr>
          <w:rFonts w:hint="eastAsia" w:ascii="宋体" w:hAnsi="宋体"/>
          <w:sz w:val="24"/>
        </w:rPr>
        <w:t>的成交候选供应商为成交供应商。若排名第一</w:t>
      </w:r>
      <w:r>
        <w:rPr>
          <w:rFonts w:hint="eastAsia" w:ascii="宋体" w:hAnsi="宋体"/>
          <w:sz w:val="24"/>
          <w:lang w:eastAsia="zh-CN"/>
        </w:rPr>
        <w:t>和第二</w:t>
      </w:r>
      <w:r>
        <w:rPr>
          <w:rFonts w:hint="eastAsia" w:ascii="宋体" w:hAnsi="宋体"/>
          <w:sz w:val="24"/>
        </w:rPr>
        <w:t xml:space="preserve">的成交候选供应商未通过履约能力和报价核查，采购人应按推荐的名单排序依次确定其他成交候选供应商为成交供应商。 </w:t>
      </w:r>
    </w:p>
    <w:p>
      <w:pPr>
        <w:pStyle w:val="9"/>
        <w:spacing w:before="0" w:after="0"/>
        <w:ind w:firstLine="562" w:firstLineChars="200"/>
        <w:jc w:val="both"/>
        <w:outlineLvl w:val="9"/>
        <w:rPr>
          <w:rFonts w:hint="eastAsia" w:ascii="黑体" w:hAnsi="黑体"/>
          <w:lang w:val="en-US" w:eastAsia="zh-CN"/>
        </w:rPr>
      </w:pPr>
    </w:p>
    <w:p>
      <w:pPr>
        <w:pStyle w:val="9"/>
        <w:spacing w:before="0" w:after="0"/>
        <w:ind w:firstLine="562" w:firstLineChars="200"/>
        <w:jc w:val="both"/>
        <w:rPr>
          <w:rFonts w:ascii="Arial" w:hAnsi="Arial"/>
        </w:rPr>
      </w:pPr>
      <w:r>
        <w:rPr>
          <w:rFonts w:hint="eastAsia" w:ascii="黑体" w:hAnsi="黑体"/>
          <w:lang w:val="en-US" w:eastAsia="zh-CN"/>
        </w:rPr>
        <w:t>六、</w:t>
      </w:r>
      <w:r>
        <w:rPr>
          <w:rFonts w:hint="eastAsia" w:ascii="黑体" w:hAnsi="黑体"/>
        </w:rPr>
        <w:t>采购文件获取</w:t>
      </w:r>
    </w:p>
    <w:p>
      <w:pPr>
        <w:spacing w:line="288" w:lineRule="auto"/>
        <w:ind w:firstLine="480" w:firstLineChars="200"/>
        <w:rPr>
          <w:rFonts w:ascii="宋体" w:hAnsi="宋体" w:cs="宋体"/>
          <w:color w:val="auto"/>
          <w:sz w:val="24"/>
          <w:u w:val="none"/>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sz w:val="24"/>
          <w:u w:val="none"/>
        </w:rPr>
        <w:t>供应商应当于202</w:t>
      </w:r>
      <w:r>
        <w:rPr>
          <w:rFonts w:hint="eastAsia" w:ascii="宋体" w:hAnsi="宋体"/>
          <w:sz w:val="24"/>
          <w:highlight w:val="none"/>
          <w:u w:val="none"/>
          <w:lang w:val="en-US" w:eastAsia="zh-CN"/>
        </w:rPr>
        <w:t>3</w:t>
      </w:r>
      <w:r>
        <w:rPr>
          <w:rFonts w:hint="eastAsia" w:ascii="宋体" w:hAnsi="宋体"/>
          <w:sz w:val="24"/>
          <w:highlight w:val="none"/>
          <w:u w:val="none"/>
        </w:rPr>
        <w:t>年</w:t>
      </w:r>
      <w:r>
        <w:rPr>
          <w:rFonts w:hint="eastAsia" w:ascii="宋体" w:hAnsi="宋体"/>
          <w:sz w:val="24"/>
          <w:highlight w:val="none"/>
          <w:u w:val="none"/>
          <w:lang w:val="en-US" w:eastAsia="zh-CN"/>
        </w:rPr>
        <w:t>6</w:t>
      </w:r>
      <w:r>
        <w:rPr>
          <w:rFonts w:hint="eastAsia" w:ascii="宋体" w:hAnsi="宋体"/>
          <w:sz w:val="24"/>
          <w:highlight w:val="none"/>
          <w:u w:val="none"/>
        </w:rPr>
        <w:t>月</w:t>
      </w:r>
      <w:r>
        <w:rPr>
          <w:rFonts w:hint="eastAsia" w:ascii="宋体" w:hAnsi="宋体"/>
          <w:sz w:val="24"/>
          <w:highlight w:val="none"/>
          <w:u w:val="none"/>
          <w:lang w:val="en-US" w:eastAsia="zh-CN"/>
        </w:rPr>
        <w:t>22</w:t>
      </w:r>
      <w:r>
        <w:rPr>
          <w:rFonts w:hint="eastAsia" w:ascii="宋体" w:hAnsi="宋体"/>
          <w:sz w:val="24"/>
          <w:highlight w:val="none"/>
          <w:u w:val="none"/>
        </w:rPr>
        <w:t>日至 202</w:t>
      </w:r>
      <w:r>
        <w:rPr>
          <w:rFonts w:hint="eastAsia" w:ascii="宋体" w:hAnsi="宋体"/>
          <w:sz w:val="24"/>
          <w:highlight w:val="none"/>
          <w:u w:val="none"/>
          <w:lang w:val="en-US" w:eastAsia="zh-CN"/>
        </w:rPr>
        <w:t>3</w:t>
      </w:r>
      <w:r>
        <w:rPr>
          <w:rFonts w:hint="eastAsia" w:ascii="宋体" w:hAnsi="宋体"/>
          <w:sz w:val="24"/>
          <w:highlight w:val="none"/>
          <w:u w:val="none"/>
        </w:rPr>
        <w:t xml:space="preserve"> 年</w:t>
      </w:r>
      <w:r>
        <w:rPr>
          <w:rFonts w:hint="eastAsia" w:ascii="宋体" w:hAnsi="宋体"/>
          <w:sz w:val="24"/>
          <w:highlight w:val="none"/>
          <w:u w:val="none"/>
          <w:lang w:val="en-US" w:eastAsia="zh-CN"/>
        </w:rPr>
        <w:t>6</w:t>
      </w:r>
      <w:r>
        <w:rPr>
          <w:rFonts w:hint="eastAsia" w:ascii="宋体" w:hAnsi="宋体"/>
          <w:sz w:val="24"/>
          <w:highlight w:val="none"/>
          <w:u w:val="none"/>
        </w:rPr>
        <w:t>月</w:t>
      </w:r>
      <w:r>
        <w:rPr>
          <w:rFonts w:hint="eastAsia" w:ascii="宋体" w:hAnsi="宋体"/>
          <w:sz w:val="24"/>
          <w:highlight w:val="none"/>
          <w:u w:val="none"/>
          <w:lang w:val="en-US" w:eastAsia="zh-CN"/>
        </w:rPr>
        <w:t>26</w:t>
      </w:r>
      <w:r>
        <w:rPr>
          <w:rFonts w:hint="eastAsia" w:ascii="宋体" w:hAnsi="宋体"/>
          <w:sz w:val="24"/>
          <w:highlight w:val="none"/>
          <w:u w:val="none"/>
        </w:rPr>
        <w:t>日，</w:t>
      </w:r>
      <w:r>
        <w:rPr>
          <w:rFonts w:hint="eastAsia" w:ascii="宋体" w:hAnsi="宋体"/>
          <w:sz w:val="24"/>
          <w:highlight w:val="none"/>
          <w:u w:val="none"/>
          <w:lang w:val="en-US" w:eastAsia="zh-CN"/>
        </w:rPr>
        <w:t>在</w:t>
      </w:r>
      <w:r>
        <w:rPr>
          <w:rFonts w:hint="eastAsia" w:ascii="宋体" w:hAnsi="宋体" w:cs="宋体"/>
          <w:color w:val="auto"/>
          <w:sz w:val="24"/>
          <w:u w:val="none"/>
        </w:rPr>
        <w:t>中国招标</w:t>
      </w:r>
      <w:r>
        <w:rPr>
          <w:rFonts w:hint="eastAsia" w:ascii="宋体" w:hAnsi="宋体" w:cs="宋体"/>
          <w:color w:val="auto"/>
          <w:sz w:val="24"/>
          <w:u w:val="none"/>
          <w:lang w:eastAsia="zh-CN"/>
        </w:rPr>
        <w:t>响应</w:t>
      </w:r>
      <w:r>
        <w:rPr>
          <w:rFonts w:hint="eastAsia" w:ascii="宋体" w:hAnsi="宋体" w:cs="宋体"/>
          <w:color w:val="auto"/>
          <w:sz w:val="24"/>
          <w:u w:val="none"/>
        </w:rPr>
        <w:t>公共服务平台：（</w:t>
      </w:r>
      <w:r>
        <w:rPr>
          <w:color w:val="auto"/>
          <w:u w:val="none"/>
        </w:rPr>
        <w:fldChar w:fldCharType="begin"/>
      </w:r>
      <w:r>
        <w:rPr>
          <w:color w:val="auto"/>
          <w:u w:val="none"/>
        </w:rPr>
        <w:instrText xml:space="preserve"> HYPERLINK "http://www.chinabidding.com.cn" </w:instrText>
      </w:r>
      <w:r>
        <w:rPr>
          <w:color w:val="auto"/>
          <w:u w:val="none"/>
        </w:rPr>
        <w:fldChar w:fldCharType="separate"/>
      </w:r>
      <w:r>
        <w:rPr>
          <w:rFonts w:hint="eastAsia" w:ascii="宋体" w:hAnsi="宋体" w:cs="宋体"/>
          <w:color w:val="auto"/>
          <w:sz w:val="24"/>
          <w:u w:val="none"/>
        </w:rPr>
        <w:t>www.cebpubservice.com</w:t>
      </w:r>
      <w:r>
        <w:rPr>
          <w:rFonts w:hint="eastAsia" w:ascii="宋体" w:hAnsi="宋体" w:cs="宋体"/>
          <w:color w:val="auto"/>
          <w:sz w:val="24"/>
          <w:u w:val="none"/>
        </w:rPr>
        <w:fldChar w:fldCharType="end"/>
      </w:r>
      <w:r>
        <w:rPr>
          <w:rFonts w:hint="eastAsia" w:ascii="宋体" w:hAnsi="宋体" w:cs="宋体"/>
          <w:color w:val="auto"/>
          <w:sz w:val="24"/>
          <w:u w:val="none"/>
        </w:rPr>
        <w:t>）、湖南省湘水集团有限公司</w:t>
      </w:r>
      <w:r>
        <w:rPr>
          <w:rFonts w:hint="eastAsia" w:ascii="宋体" w:hAnsi="宋体" w:cs="宋体"/>
          <w:color w:val="auto"/>
          <w:sz w:val="24"/>
          <w:u w:val="none"/>
          <w:lang w:val="en-US" w:eastAsia="zh-CN"/>
        </w:rPr>
        <w:t>网站</w:t>
      </w:r>
      <w:r>
        <w:rPr>
          <w:rFonts w:hint="eastAsia" w:ascii="宋体" w:hAnsi="宋体" w:cs="宋体"/>
          <w:color w:val="auto"/>
          <w:sz w:val="24"/>
          <w:u w:val="none"/>
        </w:rPr>
        <w:t>：（http://www.hnsxsjt.com）、</w:t>
      </w:r>
    </w:p>
    <w:p>
      <w:pPr>
        <w:autoSpaceDE w:val="0"/>
        <w:spacing w:line="400" w:lineRule="exact"/>
        <w:jc w:val="both"/>
        <w:rPr>
          <w:rFonts w:hint="eastAsia" w:ascii="宋体" w:hAnsi="宋体" w:eastAsia="宋体"/>
          <w:sz w:val="24"/>
          <w:highlight w:val="none"/>
          <w:u w:val="none"/>
          <w:lang w:eastAsia="zh-CN"/>
        </w:rPr>
      </w:pPr>
      <w:r>
        <w:rPr>
          <w:rFonts w:hint="eastAsia" w:ascii="宋体" w:hAnsi="宋体" w:cs="宋体"/>
          <w:color w:val="auto"/>
          <w:sz w:val="24"/>
          <w:u w:val="none"/>
        </w:rPr>
        <w:t>湖南省港务集团公司网站：（http://www.hnsgwjt.com/）</w:t>
      </w:r>
      <w:r>
        <w:rPr>
          <w:rFonts w:hint="eastAsia" w:ascii="宋体" w:hAnsi="宋体"/>
          <w:sz w:val="24"/>
          <w:highlight w:val="none"/>
          <w:u w:val="none"/>
        </w:rPr>
        <w:t>获取采购文件</w:t>
      </w:r>
      <w:r>
        <w:rPr>
          <w:rFonts w:hint="eastAsia" w:ascii="宋体" w:hAnsi="宋体"/>
          <w:sz w:val="24"/>
          <w:highlight w:val="none"/>
          <w:u w:val="none"/>
          <w:lang w:eastAsia="zh-CN"/>
        </w:rPr>
        <w:t>。</w:t>
      </w:r>
    </w:p>
    <w:p>
      <w:pPr>
        <w:autoSpaceDE w:val="0"/>
        <w:spacing w:line="400" w:lineRule="exact"/>
        <w:ind w:left="479" w:leftChars="228" w:firstLine="0" w:firstLineChars="0"/>
        <w:jc w:val="both"/>
        <w:rPr>
          <w:rFonts w:hint="default" w:ascii="宋体" w:hAnsi="宋体" w:eastAsia="宋体"/>
          <w:sz w:val="24"/>
          <w:highlight w:val="none"/>
          <w:u w:val="none"/>
          <w:lang w:val="en-US" w:eastAsia="zh-CN"/>
        </w:rPr>
      </w:pPr>
      <w:r>
        <w:rPr>
          <w:rFonts w:hint="eastAsia" w:ascii="宋体" w:hAnsi="宋体"/>
          <w:sz w:val="24"/>
          <w:highlight w:val="none"/>
          <w:u w:val="none"/>
        </w:rPr>
        <w:t>（二</w:t>
      </w:r>
      <w:r>
        <w:rPr>
          <w:rFonts w:hint="eastAsia" w:ascii="宋体" w:hAnsi="宋体"/>
          <w:sz w:val="24"/>
          <w:highlight w:val="none"/>
          <w:u w:val="none"/>
          <w:lang w:val="en-US" w:eastAsia="zh-CN"/>
        </w:rPr>
        <w:t>)</w:t>
      </w:r>
      <w:r>
        <w:rPr>
          <w:rFonts w:hint="eastAsia" w:ascii="宋体" w:hAnsi="宋体"/>
          <w:sz w:val="24"/>
          <w:highlight w:val="none"/>
          <w:u w:val="none"/>
        </w:rPr>
        <w:t>供应商若对本项目采购需求、资格要求等有疑问的，应当于 202</w:t>
      </w:r>
      <w:r>
        <w:rPr>
          <w:rFonts w:hint="eastAsia" w:ascii="宋体" w:hAnsi="宋体"/>
          <w:sz w:val="24"/>
          <w:highlight w:val="none"/>
          <w:u w:val="none"/>
          <w:lang w:val="en-US" w:eastAsia="zh-CN"/>
        </w:rPr>
        <w:t>3</w:t>
      </w:r>
      <w:r>
        <w:rPr>
          <w:rFonts w:hint="eastAsia" w:ascii="宋体" w:hAnsi="宋体"/>
          <w:sz w:val="24"/>
          <w:highlight w:val="none"/>
          <w:u w:val="none"/>
        </w:rPr>
        <w:t>年</w:t>
      </w:r>
      <w:r>
        <w:rPr>
          <w:rFonts w:hint="eastAsia" w:ascii="宋体" w:hAnsi="宋体"/>
          <w:sz w:val="24"/>
          <w:highlight w:val="none"/>
          <w:u w:val="none"/>
          <w:lang w:val="en-US" w:eastAsia="zh-CN"/>
        </w:rPr>
        <w:t>6</w:t>
      </w:r>
      <w:r>
        <w:rPr>
          <w:rFonts w:hint="eastAsia" w:ascii="宋体" w:hAnsi="宋体"/>
          <w:sz w:val="24"/>
          <w:highlight w:val="none"/>
          <w:u w:val="none"/>
        </w:rPr>
        <w:t>月</w:t>
      </w:r>
      <w:r>
        <w:rPr>
          <w:rFonts w:hint="eastAsia" w:ascii="宋体" w:hAnsi="宋体"/>
          <w:sz w:val="24"/>
          <w:highlight w:val="none"/>
          <w:u w:val="none"/>
          <w:lang w:val="en-US" w:eastAsia="zh-CN"/>
        </w:rPr>
        <w:t>27</w:t>
      </w:r>
      <w:r>
        <w:rPr>
          <w:rFonts w:hint="eastAsia" w:ascii="宋体" w:hAnsi="宋体"/>
          <w:sz w:val="24"/>
          <w:highlight w:val="none"/>
          <w:u w:val="none"/>
        </w:rPr>
        <w:t>日</w:t>
      </w:r>
      <w:r>
        <w:rPr>
          <w:rFonts w:hint="eastAsia" w:ascii="宋体" w:hAnsi="宋体"/>
          <w:sz w:val="24"/>
          <w:highlight w:val="none"/>
          <w:u w:val="none"/>
          <w:lang w:val="en-US" w:eastAsia="zh-CN"/>
        </w:rPr>
        <w:t>17</w:t>
      </w:r>
    </w:p>
    <w:p>
      <w:pPr>
        <w:pStyle w:val="9"/>
        <w:spacing w:before="0" w:after="0"/>
        <w:ind w:left="479" w:leftChars="228" w:firstLine="0" w:firstLineChars="0"/>
        <w:jc w:val="both"/>
        <w:rPr>
          <w:rFonts w:hint="eastAsia" w:ascii="宋体" w:hAnsi="宋体" w:eastAsia="宋体" w:cs="Times New Roman"/>
          <w:b w:val="0"/>
          <w:bCs w:val="0"/>
          <w:sz w:val="24"/>
          <w:szCs w:val="24"/>
          <w:highlight w:val="none"/>
          <w:u w:val="none"/>
          <w:lang w:val="en-US" w:eastAsia="zh-CN"/>
        </w:rPr>
      </w:pPr>
      <w:r>
        <w:rPr>
          <w:rFonts w:hint="eastAsia" w:ascii="宋体" w:hAnsi="宋体" w:eastAsia="宋体" w:cs="Times New Roman"/>
          <w:b w:val="0"/>
          <w:bCs w:val="0"/>
          <w:sz w:val="24"/>
          <w:szCs w:val="24"/>
          <w:highlight w:val="none"/>
          <w:u w:val="none"/>
        </w:rPr>
        <w:t>时</w:t>
      </w:r>
      <w:r>
        <w:rPr>
          <w:rFonts w:hint="eastAsia" w:ascii="宋体" w:hAnsi="宋体" w:eastAsia="宋体" w:cs="Times New Roman"/>
          <w:b w:val="0"/>
          <w:bCs w:val="0"/>
          <w:sz w:val="24"/>
          <w:szCs w:val="24"/>
          <w:highlight w:val="none"/>
          <w:u w:val="none"/>
          <w:lang w:val="en-US" w:eastAsia="zh-CN"/>
        </w:rPr>
        <w:t>00</w:t>
      </w:r>
      <w:r>
        <w:rPr>
          <w:rFonts w:hint="eastAsia" w:ascii="宋体" w:hAnsi="宋体" w:eastAsia="宋体" w:cs="Times New Roman"/>
          <w:b w:val="0"/>
          <w:bCs w:val="0"/>
          <w:sz w:val="24"/>
          <w:szCs w:val="24"/>
          <w:highlight w:val="none"/>
          <w:u w:val="none"/>
        </w:rPr>
        <w:t xml:space="preserve">分前向采购人提出澄清要求 </w:t>
      </w:r>
      <w:r>
        <w:rPr>
          <w:rFonts w:hint="eastAsia" w:ascii="宋体" w:hAnsi="宋体" w:eastAsia="宋体" w:cs="Times New Roman"/>
          <w:b w:val="0"/>
          <w:bCs w:val="0"/>
          <w:sz w:val="24"/>
          <w:szCs w:val="24"/>
          <w:highlight w:val="none"/>
          <w:u w:val="none"/>
          <w:lang w:eastAsia="zh-CN"/>
        </w:rPr>
        <w:t>，</w:t>
      </w:r>
      <w:r>
        <w:rPr>
          <w:rFonts w:hint="eastAsia" w:ascii="宋体" w:hAnsi="宋体" w:eastAsia="宋体" w:cs="Times New Roman"/>
          <w:b w:val="0"/>
          <w:bCs w:val="0"/>
          <w:sz w:val="24"/>
          <w:szCs w:val="24"/>
          <w:highlight w:val="none"/>
          <w:u w:val="none"/>
        </w:rPr>
        <w:t>202</w:t>
      </w:r>
      <w:r>
        <w:rPr>
          <w:rFonts w:hint="eastAsia" w:ascii="宋体" w:hAnsi="宋体" w:eastAsia="宋体" w:cs="Times New Roman"/>
          <w:b w:val="0"/>
          <w:bCs w:val="0"/>
          <w:sz w:val="24"/>
          <w:szCs w:val="24"/>
          <w:highlight w:val="none"/>
          <w:u w:val="none"/>
          <w:lang w:val="en-US" w:eastAsia="zh-CN"/>
        </w:rPr>
        <w:t>3</w:t>
      </w:r>
      <w:r>
        <w:rPr>
          <w:rFonts w:hint="eastAsia" w:ascii="宋体" w:hAnsi="宋体" w:eastAsia="宋体" w:cs="Times New Roman"/>
          <w:b w:val="0"/>
          <w:bCs w:val="0"/>
          <w:sz w:val="24"/>
          <w:szCs w:val="24"/>
          <w:highlight w:val="none"/>
          <w:u w:val="none"/>
        </w:rPr>
        <w:t>年</w:t>
      </w:r>
      <w:r>
        <w:rPr>
          <w:rFonts w:hint="eastAsia" w:ascii="宋体" w:hAnsi="宋体" w:eastAsia="宋体" w:cs="Times New Roman"/>
          <w:b w:val="0"/>
          <w:bCs w:val="0"/>
          <w:sz w:val="24"/>
          <w:szCs w:val="24"/>
          <w:highlight w:val="none"/>
          <w:u w:val="none"/>
          <w:lang w:val="en-US" w:eastAsia="zh-CN"/>
        </w:rPr>
        <w:t>7</w:t>
      </w:r>
      <w:r>
        <w:rPr>
          <w:rFonts w:hint="eastAsia" w:ascii="宋体" w:hAnsi="宋体" w:eastAsia="宋体" w:cs="Times New Roman"/>
          <w:b w:val="0"/>
          <w:bCs w:val="0"/>
          <w:sz w:val="24"/>
          <w:szCs w:val="24"/>
          <w:highlight w:val="none"/>
          <w:u w:val="none"/>
        </w:rPr>
        <w:t>月</w:t>
      </w:r>
      <w:r>
        <w:rPr>
          <w:rFonts w:hint="eastAsia" w:ascii="宋体" w:hAnsi="宋体" w:eastAsia="宋体" w:cs="Times New Roman"/>
          <w:b w:val="0"/>
          <w:bCs w:val="0"/>
          <w:sz w:val="24"/>
          <w:szCs w:val="24"/>
          <w:highlight w:val="none"/>
          <w:u w:val="none"/>
          <w:lang w:val="en-US" w:eastAsia="zh-CN"/>
        </w:rPr>
        <w:t>12</w:t>
      </w:r>
      <w:r>
        <w:rPr>
          <w:rFonts w:hint="eastAsia" w:ascii="宋体" w:hAnsi="宋体" w:eastAsia="宋体" w:cs="Times New Roman"/>
          <w:b w:val="0"/>
          <w:bCs w:val="0"/>
          <w:sz w:val="24"/>
          <w:szCs w:val="24"/>
          <w:highlight w:val="none"/>
          <w:u w:val="none"/>
        </w:rPr>
        <w:t>日</w:t>
      </w:r>
      <w:r>
        <w:rPr>
          <w:rFonts w:hint="eastAsia" w:ascii="宋体" w:hAnsi="宋体" w:eastAsia="宋体" w:cs="Times New Roman"/>
          <w:b w:val="0"/>
          <w:bCs w:val="0"/>
          <w:sz w:val="24"/>
          <w:szCs w:val="24"/>
          <w:highlight w:val="none"/>
          <w:u w:val="none"/>
          <w:lang w:val="en-US" w:eastAsia="zh-CN"/>
        </w:rPr>
        <w:t>9</w:t>
      </w:r>
      <w:r>
        <w:rPr>
          <w:rFonts w:hint="eastAsia" w:ascii="宋体" w:hAnsi="宋体" w:eastAsia="宋体" w:cs="Times New Roman"/>
          <w:b w:val="0"/>
          <w:bCs w:val="0"/>
          <w:sz w:val="24"/>
          <w:szCs w:val="24"/>
          <w:highlight w:val="none"/>
          <w:u w:val="none"/>
        </w:rPr>
        <w:t>时</w:t>
      </w:r>
      <w:r>
        <w:rPr>
          <w:rFonts w:hint="eastAsia" w:ascii="宋体" w:hAnsi="宋体" w:eastAsia="宋体" w:cs="Times New Roman"/>
          <w:b w:val="0"/>
          <w:bCs w:val="0"/>
          <w:sz w:val="24"/>
          <w:szCs w:val="24"/>
          <w:highlight w:val="none"/>
          <w:u w:val="none"/>
          <w:lang w:val="en-US" w:eastAsia="zh-CN"/>
        </w:rPr>
        <w:t>00</w:t>
      </w:r>
      <w:r>
        <w:rPr>
          <w:rFonts w:hint="eastAsia" w:ascii="宋体" w:hAnsi="宋体" w:eastAsia="宋体" w:cs="Times New Roman"/>
          <w:b w:val="0"/>
          <w:bCs w:val="0"/>
          <w:sz w:val="24"/>
          <w:szCs w:val="24"/>
          <w:highlight w:val="none"/>
          <w:u w:val="none"/>
        </w:rPr>
        <w:t>分前向采购人</w:t>
      </w:r>
      <w:r>
        <w:rPr>
          <w:rFonts w:hint="eastAsia" w:ascii="宋体" w:hAnsi="宋体" w:eastAsia="宋体" w:cs="Times New Roman"/>
          <w:b w:val="0"/>
          <w:bCs w:val="0"/>
          <w:sz w:val="24"/>
          <w:szCs w:val="24"/>
          <w:highlight w:val="none"/>
          <w:u w:val="none"/>
          <w:lang w:val="en-US" w:eastAsia="zh-CN"/>
        </w:rPr>
        <w:t>递交响应文</w:t>
      </w:r>
    </w:p>
    <w:p>
      <w:pPr>
        <w:pStyle w:val="9"/>
        <w:spacing w:before="0" w:after="0"/>
        <w:ind w:left="479" w:leftChars="228" w:firstLine="0" w:firstLineChars="0"/>
        <w:jc w:val="both"/>
        <w:rPr>
          <w:rFonts w:hint="eastAsia" w:ascii="宋体" w:hAnsi="宋体" w:eastAsia="宋体" w:cs="Times New Roman"/>
          <w:b w:val="0"/>
          <w:bCs w:val="0"/>
          <w:sz w:val="24"/>
          <w:szCs w:val="24"/>
          <w:highlight w:val="none"/>
          <w:u w:val="none"/>
          <w:lang w:val="en-US" w:eastAsia="zh-CN"/>
        </w:rPr>
      </w:pPr>
    </w:p>
    <w:p>
      <w:pPr>
        <w:pStyle w:val="9"/>
        <w:numPr>
          <w:ilvl w:val="0"/>
          <w:numId w:val="2"/>
        </w:numPr>
        <w:spacing w:before="0" w:after="0"/>
        <w:ind w:left="479" w:leftChars="228" w:firstLine="0" w:firstLineChars="0"/>
        <w:jc w:val="both"/>
        <w:rPr>
          <w:rFonts w:hint="eastAsia" w:ascii="黑体" w:hAnsi="黑体"/>
          <w:lang w:val="en-US" w:eastAsia="zh-CN"/>
        </w:rPr>
      </w:pPr>
      <w:r>
        <w:rPr>
          <w:rFonts w:hint="eastAsia" w:ascii="黑体" w:hAnsi="黑体"/>
          <w:lang w:val="en-US" w:eastAsia="zh-CN"/>
        </w:rPr>
        <w:t>最高限价</w:t>
      </w:r>
    </w:p>
    <w:p>
      <w:pPr>
        <w:rPr>
          <w:rFonts w:hint="eastAsia"/>
          <w:lang w:val="en-US" w:eastAsia="zh-CN"/>
        </w:rPr>
      </w:pPr>
    </w:p>
    <w:p>
      <w:pPr>
        <w:spacing w:after="0" w:line="312" w:lineRule="auto"/>
        <w:ind w:firstLine="480" w:firstLineChars="200"/>
        <w:rPr>
          <w:rFonts w:hint="eastAsia" w:ascii="宋体" w:hAnsi="宋体" w:eastAsia="宋体" w:cs="宋体"/>
          <w:bCs/>
          <w:sz w:val="24"/>
          <w:szCs w:val="24"/>
          <w:lang w:eastAsia="zh-CN"/>
        </w:rPr>
      </w:pPr>
      <w:r>
        <w:rPr>
          <w:rFonts w:hint="eastAsia" w:ascii="宋体" w:hAnsi="宋体" w:cs="宋体"/>
          <w:bCs/>
          <w:sz w:val="24"/>
          <w:szCs w:val="24"/>
          <w:lang w:eastAsia="zh-CN"/>
        </w:rPr>
        <w:t>采购</w:t>
      </w:r>
      <w:r>
        <w:rPr>
          <w:rFonts w:hint="eastAsia" w:ascii="宋体" w:hAnsi="宋体" w:eastAsia="宋体" w:cs="宋体"/>
          <w:bCs/>
          <w:sz w:val="24"/>
          <w:szCs w:val="24"/>
        </w:rPr>
        <w:t>人为本次招标编制了最高限价</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含</w:t>
      </w:r>
      <w:r>
        <w:rPr>
          <w:rFonts w:hint="eastAsia" w:ascii="宋体" w:hAnsi="宋体" w:eastAsia="宋体" w:cs="宋体"/>
          <w:bCs/>
          <w:sz w:val="24"/>
          <w:szCs w:val="24"/>
        </w:rPr>
        <w:t>9%的增值税专用发票</w:t>
      </w:r>
      <w:r>
        <w:rPr>
          <w:rFonts w:hint="eastAsia" w:ascii="宋体" w:hAnsi="宋体" w:eastAsia="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bCs/>
          <w:sz w:val="24"/>
          <w:szCs w:val="24"/>
          <w:lang w:val="en-US" w:eastAsia="zh-CN"/>
        </w:rPr>
        <w:t>详见下表</w:t>
      </w:r>
      <w:r>
        <w:rPr>
          <w:rFonts w:hint="eastAsia" w:ascii="宋体" w:hAnsi="宋体" w:eastAsia="宋体" w:cs="宋体"/>
          <w:bCs/>
          <w:sz w:val="24"/>
          <w:szCs w:val="24"/>
          <w:lang w:eastAsia="zh-CN"/>
        </w:rPr>
        <w:t>。</w:t>
      </w:r>
    </w:p>
    <w:p>
      <w:pPr>
        <w:pStyle w:val="2"/>
        <w:ind w:firstLine="240"/>
        <w:jc w:val="center"/>
        <w:rPr>
          <w:rFonts w:hint="eastAsia" w:ascii="宋体" w:hAnsi="宋体" w:cs="宋体"/>
          <w:bCs/>
          <w:sz w:val="24"/>
        </w:rPr>
      </w:pPr>
      <w:r>
        <w:rPr>
          <w:rFonts w:hint="eastAsia" w:ascii="宋体" w:hAnsi="宋体" w:cs="宋体"/>
          <w:bCs/>
          <w:sz w:val="24"/>
        </w:rPr>
        <w:t>城陵矶新港堆场至路口铺站集装箱拖车运输最高控制价清单：</w:t>
      </w:r>
    </w:p>
    <w:tbl>
      <w:tblPr>
        <w:tblStyle w:val="37"/>
        <w:tblW w:w="9079" w:type="dxa"/>
        <w:tblInd w:w="93" w:type="dxa"/>
        <w:tblLayout w:type="fixed"/>
        <w:tblCellMar>
          <w:top w:w="0" w:type="dxa"/>
          <w:left w:w="108" w:type="dxa"/>
          <w:bottom w:w="0" w:type="dxa"/>
          <w:right w:w="108" w:type="dxa"/>
        </w:tblCellMar>
      </w:tblPr>
      <w:tblGrid>
        <w:gridCol w:w="722"/>
        <w:gridCol w:w="2046"/>
        <w:gridCol w:w="1201"/>
        <w:gridCol w:w="1343"/>
        <w:gridCol w:w="1837"/>
        <w:gridCol w:w="1930"/>
      </w:tblGrid>
      <w:tr>
        <w:tblPrEx>
          <w:tblCellMar>
            <w:top w:w="0" w:type="dxa"/>
            <w:left w:w="108" w:type="dxa"/>
            <w:bottom w:w="0" w:type="dxa"/>
            <w:right w:w="108" w:type="dxa"/>
          </w:tblCellMar>
        </w:tblPrEx>
        <w:trPr>
          <w:trHeight w:val="72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规格型号</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预估箱量 (标箱）</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上限单价       （元/自然箱）</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预估总价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备注</w:t>
            </w: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20英尺空箱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100.00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r>
              <w:rPr>
                <w:rFonts w:hint="eastAsia" w:ascii="宋体" w:hAnsi="宋体" w:eastAsia="宋体" w:cs="宋体"/>
                <w:kern w:val="0"/>
                <w:sz w:val="24"/>
                <w:szCs w:val="24"/>
                <w:lang w:bidi="ar"/>
              </w:rPr>
              <w:t>180,000.00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71"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20英尺重箱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5000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270.00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r>
              <w:rPr>
                <w:rFonts w:hint="eastAsia" w:ascii="宋体" w:hAnsi="宋体" w:eastAsia="宋体" w:cs="宋体"/>
                <w:kern w:val="0"/>
                <w:sz w:val="24"/>
                <w:szCs w:val="24"/>
                <w:lang w:bidi="ar"/>
              </w:rPr>
              <w:t>1,350,000.00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40（45）英尺空箱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150.00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r>
              <w:rPr>
                <w:rFonts w:hint="eastAsia" w:ascii="宋体" w:hAnsi="宋体" w:eastAsia="宋体" w:cs="宋体"/>
                <w:kern w:val="0"/>
                <w:sz w:val="24"/>
                <w:szCs w:val="24"/>
                <w:lang w:bidi="ar"/>
              </w:rPr>
              <w:t>15,000.00</w:t>
            </w:r>
          </w:p>
        </w:tc>
        <w:tc>
          <w:tcPr>
            <w:tcW w:w="1930" w:type="dxa"/>
            <w:vMerge w:val="restart"/>
            <w:tcBorders>
              <w:top w:val="single" w:color="000000" w:sz="4" w:space="0"/>
              <w:left w:val="single" w:color="000000" w:sz="4" w:space="0"/>
              <w:right w:val="single" w:color="000000" w:sz="4" w:space="0"/>
            </w:tcBorders>
            <w:noWrap w:val="0"/>
            <w:vAlign w:val="center"/>
          </w:tcPr>
          <w:p>
            <w:pPr>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国际通用惯例按20英尺一个标准箱，本表中40（45）英尺的一个自然箱算2个标箱</w:t>
            </w: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40（45）英尺重箱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33000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330.00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r>
              <w:rPr>
                <w:rFonts w:hint="eastAsia" w:ascii="宋体" w:hAnsi="宋体" w:eastAsia="宋体" w:cs="宋体"/>
                <w:kern w:val="0"/>
                <w:sz w:val="24"/>
                <w:szCs w:val="24"/>
                <w:lang w:bidi="ar"/>
              </w:rPr>
              <w:t>5,445,000.00</w:t>
            </w:r>
          </w:p>
        </w:tc>
        <w:tc>
          <w:tcPr>
            <w:tcW w:w="1930" w:type="dxa"/>
            <w:vMerge w:val="continue"/>
            <w:tcBorders>
              <w:left w:val="single" w:color="000000" w:sz="4" w:space="0"/>
              <w:bottom w:val="single" w:color="000000" w:sz="4" w:space="0"/>
              <w:right w:val="single" w:color="000000" w:sz="4" w:space="0"/>
            </w:tcBorders>
            <w:noWrap w:val="0"/>
            <w:vAlign w:val="center"/>
          </w:tcPr>
          <w:p>
            <w:pPr>
              <w:jc w:val="right"/>
              <w:textAlignment w:val="center"/>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sz w:val="24"/>
                <w:szCs w:val="24"/>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上限总价</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40000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r>
              <w:rPr>
                <w:rFonts w:hint="default" w:ascii="Arial" w:hAnsi="Arial" w:eastAsia="宋体" w:cs="Arial"/>
                <w:kern w:val="0"/>
                <w:sz w:val="24"/>
                <w:szCs w:val="24"/>
                <w:lang w:bidi="ar"/>
              </w:rPr>
              <w:t>¥</w:t>
            </w:r>
            <w:r>
              <w:rPr>
                <w:rFonts w:hint="eastAsia" w:ascii="宋体" w:hAnsi="宋体" w:eastAsia="宋体" w:cs="宋体"/>
                <w:kern w:val="0"/>
                <w:sz w:val="24"/>
                <w:szCs w:val="24"/>
                <w:lang w:bidi="ar"/>
              </w:rPr>
              <w:t>6,990,000.00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hint="default" w:ascii="Arial" w:hAnsi="Arial" w:eastAsia="宋体" w:cs="Arial"/>
                <w:kern w:val="0"/>
                <w:sz w:val="24"/>
                <w:szCs w:val="24"/>
                <w:lang w:bidi="ar"/>
              </w:rPr>
            </w:pPr>
          </w:p>
        </w:tc>
      </w:tr>
    </w:tbl>
    <w:p>
      <w:pPr>
        <w:numPr>
          <w:ilvl w:val="0"/>
          <w:numId w:val="0"/>
        </w:numPr>
        <w:spacing w:after="0" w:line="360" w:lineRule="auto"/>
        <w:ind w:lef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w:t>
      </w:r>
      <w:r>
        <w:rPr>
          <w:rFonts w:hint="eastAsia" w:ascii="宋体" w:hAnsi="宋体" w:eastAsia="宋体" w:cs="宋体"/>
          <w:b/>
          <w:sz w:val="24"/>
          <w:szCs w:val="24"/>
          <w:lang w:eastAsia="zh-CN"/>
        </w:rPr>
        <w:t>注：</w:t>
      </w:r>
    </w:p>
    <w:p>
      <w:pPr>
        <w:numPr>
          <w:ilvl w:val="0"/>
          <w:numId w:val="0"/>
        </w:numPr>
        <w:spacing w:after="0" w:line="360" w:lineRule="auto"/>
        <w:ind w:left="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此数据为估计量，不作为结算依据，具体按实结算。投标人可以自行进行市场考察综合预判，风险收益自担。</w:t>
      </w:r>
    </w:p>
    <w:p>
      <w:pPr>
        <w:spacing w:after="0" w:line="360" w:lineRule="auto"/>
        <w:ind w:firstLine="482" w:firstLineChars="200"/>
        <w:rPr>
          <w:rFonts w:hint="eastAsia" w:ascii="宋体" w:hAnsi="宋体" w:eastAsia="宋体" w:cs="宋体"/>
          <w:b/>
          <w:bCs w:val="0"/>
          <w:sz w:val="24"/>
          <w:szCs w:val="24"/>
        </w:rPr>
      </w:pPr>
      <w:r>
        <w:rPr>
          <w:rFonts w:hint="eastAsia" w:ascii="宋体" w:hAnsi="宋体" w:eastAsia="宋体" w:cs="宋体"/>
          <w:b/>
          <w:sz w:val="24"/>
          <w:szCs w:val="24"/>
        </w:rPr>
        <w:t>2.总价最高限价</w:t>
      </w:r>
      <w:r>
        <w:rPr>
          <w:rFonts w:hint="eastAsia" w:ascii="宋体" w:hAnsi="宋体" w:eastAsia="宋体" w:cs="宋体"/>
          <w:b/>
          <w:sz w:val="24"/>
          <w:szCs w:val="24"/>
          <w:lang w:eastAsia="zh-CN"/>
        </w:rPr>
        <w:t>陆</w:t>
      </w:r>
      <w:r>
        <w:rPr>
          <w:rFonts w:hint="eastAsia" w:ascii="宋体" w:hAnsi="宋体" w:eastAsia="宋体" w:cs="宋体"/>
          <w:b/>
          <w:sz w:val="24"/>
          <w:szCs w:val="24"/>
        </w:rPr>
        <w:t>佰</w:t>
      </w:r>
      <w:r>
        <w:rPr>
          <w:rFonts w:hint="eastAsia" w:ascii="宋体" w:hAnsi="宋体" w:eastAsia="宋体" w:cs="宋体"/>
          <w:b/>
          <w:sz w:val="24"/>
          <w:szCs w:val="24"/>
          <w:lang w:eastAsia="zh-CN"/>
        </w:rPr>
        <w:t>玖</w:t>
      </w:r>
      <w:r>
        <w:rPr>
          <w:rFonts w:hint="eastAsia" w:ascii="宋体" w:hAnsi="宋体" w:eastAsia="宋体" w:cs="宋体"/>
          <w:b/>
          <w:sz w:val="24"/>
          <w:szCs w:val="24"/>
        </w:rPr>
        <w:t>拾</w:t>
      </w:r>
      <w:r>
        <w:rPr>
          <w:rFonts w:hint="eastAsia" w:ascii="宋体" w:hAnsi="宋体" w:eastAsia="宋体" w:cs="宋体"/>
          <w:b/>
          <w:sz w:val="24"/>
          <w:szCs w:val="24"/>
          <w:lang w:eastAsia="zh-CN"/>
        </w:rPr>
        <w:t>玖</w:t>
      </w:r>
      <w:r>
        <w:rPr>
          <w:rFonts w:hint="eastAsia" w:ascii="宋体" w:hAnsi="宋体" w:eastAsia="宋体" w:cs="宋体"/>
          <w:b/>
          <w:sz w:val="24"/>
          <w:szCs w:val="24"/>
        </w:rPr>
        <w:t>万元整，</w:t>
      </w:r>
      <w:r>
        <w:rPr>
          <w:rFonts w:hint="eastAsia" w:ascii="宋体" w:hAnsi="宋体" w:eastAsia="宋体" w:cs="宋体"/>
          <w:b/>
          <w:bCs w:val="0"/>
          <w:color w:val="000000"/>
          <w:sz w:val="24"/>
          <w:szCs w:val="24"/>
        </w:rPr>
        <w:t>提供</w:t>
      </w:r>
      <w:r>
        <w:rPr>
          <w:rFonts w:hint="eastAsia" w:ascii="宋体" w:hAnsi="宋体" w:eastAsia="宋体" w:cs="宋体"/>
          <w:b/>
          <w:bCs w:val="0"/>
          <w:color w:val="000000"/>
          <w:sz w:val="24"/>
          <w:szCs w:val="24"/>
          <w:lang w:val="en-US" w:eastAsia="zh-CN"/>
        </w:rPr>
        <w:t>9</w:t>
      </w:r>
      <w:r>
        <w:rPr>
          <w:rFonts w:hint="eastAsia" w:ascii="宋体" w:hAnsi="宋体" w:eastAsia="宋体" w:cs="宋体"/>
          <w:b/>
          <w:bCs w:val="0"/>
          <w:color w:val="000000"/>
          <w:sz w:val="24"/>
          <w:szCs w:val="24"/>
        </w:rPr>
        <w:t>%的增值税</w:t>
      </w:r>
      <w:r>
        <w:rPr>
          <w:rFonts w:hint="eastAsia" w:ascii="宋体" w:hAnsi="宋体" w:eastAsia="宋体" w:cs="宋体"/>
          <w:b/>
          <w:bCs w:val="0"/>
          <w:sz w:val="24"/>
          <w:szCs w:val="24"/>
        </w:rPr>
        <w:t>专用发票，</w:t>
      </w:r>
      <w:r>
        <w:rPr>
          <w:rFonts w:hint="eastAsia" w:ascii="宋体" w:hAnsi="宋体" w:eastAsia="宋体" w:cs="宋体"/>
          <w:b/>
          <w:bCs w:val="0"/>
          <w:sz w:val="24"/>
          <w:szCs w:val="24"/>
          <w:lang w:val="en-US" w:eastAsia="zh-CN"/>
        </w:rPr>
        <w:t>单价和总价都不能超过最高限价，</w:t>
      </w:r>
      <w:r>
        <w:rPr>
          <w:rFonts w:hint="eastAsia" w:ascii="宋体" w:hAnsi="宋体" w:eastAsia="宋体" w:cs="宋体"/>
          <w:b/>
          <w:bCs w:val="0"/>
          <w:sz w:val="24"/>
          <w:szCs w:val="24"/>
        </w:rPr>
        <w:t>超过最高限价的作废。如果报价人提供其他税率的增值税专用发票，招标人将报价按</w:t>
      </w: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%的税率调整后参与排序。</w:t>
      </w:r>
    </w:p>
    <w:p>
      <w:pPr>
        <w:adjustRightInd/>
        <w:snapToGrid/>
        <w:spacing w:after="0" w:line="360" w:lineRule="auto"/>
        <w:ind w:firstLine="482" w:firstLineChars="200"/>
        <w:jc w:val="left"/>
        <w:rPr>
          <w:rFonts w:hint="eastAsia" w:ascii="宋体" w:hAnsi="宋体" w:eastAsia="宋体" w:cs="宋体"/>
          <w:b/>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sz w:val="24"/>
          <w:szCs w:val="24"/>
        </w:rPr>
        <w:t>所有单价</w:t>
      </w:r>
      <w:r>
        <w:rPr>
          <w:rFonts w:hint="eastAsia" w:ascii="宋体" w:hAnsi="宋体" w:eastAsia="宋体" w:cs="宋体"/>
          <w:b/>
          <w:sz w:val="24"/>
          <w:szCs w:val="24"/>
          <w:lang w:eastAsia="zh-CN"/>
        </w:rPr>
        <w:t>即综合单价，</w:t>
      </w:r>
      <w:r>
        <w:rPr>
          <w:rFonts w:hint="eastAsia" w:ascii="宋体" w:hAnsi="宋体" w:eastAsia="宋体" w:cs="宋体"/>
          <w:b/>
          <w:sz w:val="24"/>
          <w:szCs w:val="24"/>
        </w:rPr>
        <w:t>都包含了</w:t>
      </w:r>
      <w:r>
        <w:rPr>
          <w:rFonts w:hint="eastAsia" w:ascii="宋体" w:hAnsi="宋体" w:eastAsia="宋体" w:cs="宋体"/>
          <w:b/>
          <w:sz w:val="24"/>
          <w:szCs w:val="24"/>
          <w:lang w:val="en-US" w:eastAsia="zh-CN"/>
        </w:rPr>
        <w:t>管理费用、</w:t>
      </w:r>
      <w:r>
        <w:rPr>
          <w:rFonts w:hint="eastAsia" w:ascii="宋体" w:hAnsi="宋体" w:eastAsia="宋体" w:cs="宋体"/>
          <w:b/>
          <w:sz w:val="24"/>
          <w:szCs w:val="24"/>
        </w:rPr>
        <w:t>工资、零点班加餐费、社保、税金、工伤保险费、劳保用品费、人员工伤赔付（安全风险)、部分作业工属具添置费、一年三节加班费、水电费</w:t>
      </w:r>
      <w:r>
        <w:rPr>
          <w:rFonts w:hint="eastAsia" w:ascii="宋体" w:hAnsi="宋体" w:eastAsia="宋体" w:cs="宋体"/>
          <w:b/>
          <w:sz w:val="24"/>
          <w:szCs w:val="24"/>
          <w:lang w:val="en-US" w:eastAsia="zh-CN"/>
        </w:rPr>
        <w:t>等</w:t>
      </w:r>
      <w:r>
        <w:rPr>
          <w:rFonts w:hint="eastAsia" w:ascii="宋体" w:hAnsi="宋体" w:eastAsia="宋体" w:cs="宋体"/>
          <w:b/>
          <w:sz w:val="24"/>
          <w:szCs w:val="24"/>
        </w:rPr>
        <w:t>所有费用</w:t>
      </w:r>
      <w:r>
        <w:rPr>
          <w:rFonts w:hint="eastAsia" w:ascii="宋体" w:hAnsi="宋体" w:eastAsia="宋体" w:cs="宋体"/>
          <w:b/>
          <w:sz w:val="24"/>
          <w:szCs w:val="24"/>
          <w:lang w:eastAsia="zh-CN"/>
        </w:rPr>
        <w:t>，合同执行期间</w:t>
      </w:r>
      <w:r>
        <w:rPr>
          <w:rFonts w:hint="eastAsia" w:ascii="宋体" w:hAnsi="宋体" w:eastAsia="宋体" w:cs="宋体"/>
          <w:b/>
          <w:color w:val="000000"/>
          <w:sz w:val="24"/>
          <w:szCs w:val="24"/>
          <w:u w:val="none"/>
        </w:rPr>
        <w:t>综合单价不因任何因素变化而调整</w:t>
      </w:r>
      <w:r>
        <w:rPr>
          <w:rFonts w:hint="eastAsia" w:ascii="宋体" w:hAnsi="宋体" w:eastAsia="宋体" w:cs="宋体"/>
          <w:b/>
          <w:sz w:val="24"/>
          <w:szCs w:val="24"/>
        </w:rPr>
        <w:t>。</w:t>
      </w:r>
    </w:p>
    <w:p>
      <w:pPr>
        <w:spacing w:after="0" w:line="360" w:lineRule="auto"/>
        <w:ind w:firstLine="482" w:firstLineChars="20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4.表中所列项目为现行港口中转集装箱种类和运输线路，如出现表中未列项目将参照市场单价双方协商解决，在协商解决前双方不得以单价未协商而停止履行权利义务。</w:t>
      </w:r>
    </w:p>
    <w:p>
      <w:pPr>
        <w:autoSpaceDE w:val="0"/>
        <w:spacing w:line="400" w:lineRule="exact"/>
        <w:ind w:left="0" w:leftChars="0" w:firstLine="0" w:firstLineChars="0"/>
        <w:jc w:val="both"/>
        <w:rPr>
          <w:rFonts w:hint="eastAsia" w:ascii="宋体" w:hAnsi="宋体"/>
          <w:sz w:val="24"/>
        </w:rPr>
      </w:pPr>
    </w:p>
    <w:p>
      <w:pPr>
        <w:pStyle w:val="9"/>
        <w:spacing w:before="0" w:after="0"/>
        <w:ind w:firstLine="562" w:firstLineChars="200"/>
        <w:jc w:val="both"/>
      </w:pPr>
      <w:r>
        <w:rPr>
          <w:rFonts w:hint="eastAsia"/>
          <w:lang w:val="en-US" w:eastAsia="zh-CN"/>
        </w:rPr>
        <w:t>八、</w:t>
      </w:r>
      <w:r>
        <w:t>监督</w:t>
      </w:r>
      <w:r>
        <w:rPr>
          <w:rFonts w:hint="eastAsia"/>
        </w:rPr>
        <w:t>部门</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Times New Roman"/>
          <w:i w:val="0"/>
          <w:caps w:val="0"/>
          <w:color w:val="auto"/>
          <w:spacing w:val="0"/>
          <w:kern w:val="0"/>
          <w:sz w:val="24"/>
          <w:szCs w:val="24"/>
          <w:lang w:val="en-US" w:eastAsia="zh-CN" w:bidi="ar"/>
        </w:rPr>
      </w:pPr>
      <w:r>
        <w:rPr>
          <w:rFonts w:cs="Times New Roman"/>
        </w:rPr>
        <w:t>本次</w:t>
      </w:r>
      <w:r>
        <w:rPr>
          <w:rFonts w:hint="eastAsia" w:cs="Times New Roman"/>
        </w:rPr>
        <w:t>采购</w:t>
      </w:r>
      <w:r>
        <w:rPr>
          <w:rFonts w:cs="Times New Roman"/>
        </w:rPr>
        <w:t>监督部门为</w:t>
      </w:r>
      <w:r>
        <w:rPr>
          <w:rFonts w:cs="Times New Roman"/>
          <w:u w:val="none"/>
        </w:rPr>
        <w:t xml:space="preserve"> </w:t>
      </w:r>
      <w:r>
        <w:rPr>
          <w:rFonts w:hint="eastAsia" w:cs="Times New Roman"/>
          <w:u w:val="none"/>
          <w:lang w:eastAsia="zh-CN"/>
        </w:rPr>
        <w:t>岳阳城陵矶新港有限公司综合管理部</w:t>
      </w:r>
      <w:r>
        <w:rPr>
          <w:rFonts w:cs="Times New Roman"/>
          <w:u w:val="none"/>
        </w:rPr>
        <w:t xml:space="preserve"> </w:t>
      </w:r>
      <w:r>
        <w:rPr>
          <w:rFonts w:cs="Times New Roman"/>
        </w:rPr>
        <w:t>，电话：</w:t>
      </w:r>
      <w:r>
        <w:rPr>
          <w:rFonts w:hint="default" w:ascii="宋体" w:hAnsi="宋体" w:eastAsia="宋体" w:cs="Times New Roman"/>
          <w:i w:val="0"/>
          <w:caps w:val="0"/>
          <w:color w:val="auto"/>
          <w:spacing w:val="0"/>
          <w:kern w:val="0"/>
          <w:sz w:val="24"/>
          <w:szCs w:val="24"/>
          <w:lang w:val="en-US" w:eastAsia="zh-CN" w:bidi="ar"/>
        </w:rPr>
        <w:t>13507318298</w:t>
      </w:r>
    </w:p>
    <w:p>
      <w:pPr>
        <w:pStyle w:val="33"/>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w:t>
      </w:r>
    </w:p>
    <w:p>
      <w:pPr>
        <w:pStyle w:val="9"/>
        <w:spacing w:before="0" w:after="0"/>
        <w:ind w:firstLine="562" w:firstLineChars="200"/>
        <w:jc w:val="both"/>
        <w:outlineLvl w:val="9"/>
        <w:rPr>
          <w:rFonts w:hint="eastAsia"/>
          <w:lang w:val="en-US" w:eastAsia="zh-CN"/>
        </w:rPr>
      </w:pPr>
    </w:p>
    <w:p>
      <w:pPr>
        <w:pStyle w:val="9"/>
        <w:spacing w:before="0" w:after="0"/>
        <w:ind w:firstLine="562" w:firstLineChars="200"/>
        <w:jc w:val="both"/>
        <w:rPr>
          <w:rFonts w:ascii="Arial" w:hAnsi="Arial"/>
        </w:rPr>
      </w:pPr>
      <w:r>
        <w:rPr>
          <w:rFonts w:hint="eastAsia"/>
          <w:lang w:val="en-US" w:eastAsia="zh-CN"/>
        </w:rPr>
        <w:t>九、</w:t>
      </w:r>
      <w:r>
        <w:rPr>
          <w:rFonts w:hint="eastAsia" w:ascii="黑体" w:hAnsi="黑体"/>
        </w:rPr>
        <w:t>联系方式</w:t>
      </w:r>
    </w:p>
    <w:p>
      <w:pPr>
        <w:autoSpaceDE w:val="0"/>
        <w:spacing w:line="400" w:lineRule="exact"/>
        <w:ind w:firstLine="480" w:firstLineChars="200"/>
        <w:jc w:val="both"/>
        <w:rPr>
          <w:rFonts w:hint="eastAsia" w:ascii="宋体" w:hAnsi="宋体"/>
          <w:sz w:val="24"/>
        </w:rPr>
      </w:pPr>
      <w:r>
        <w:rPr>
          <w:rFonts w:hint="eastAsia" w:ascii="宋体" w:hAnsi="宋体"/>
          <w:sz w:val="24"/>
        </w:rPr>
        <w:t xml:space="preserve">采 购 人: </w:t>
      </w:r>
      <w:r>
        <w:rPr>
          <w:rFonts w:hint="eastAsia" w:ascii="宋体" w:hAnsi="宋体"/>
          <w:sz w:val="24"/>
          <w:u w:val="none"/>
        </w:rPr>
        <w:t xml:space="preserve"> </w:t>
      </w:r>
      <w:r>
        <w:rPr>
          <w:rFonts w:hint="eastAsia" w:ascii="宋体" w:hAnsi="宋体"/>
          <w:sz w:val="24"/>
          <w:u w:val="none"/>
          <w:lang w:eastAsia="zh-CN"/>
        </w:rPr>
        <w:t>岳阳城陵矶新港有限公司</w:t>
      </w:r>
      <w:r>
        <w:rPr>
          <w:rFonts w:hint="eastAsia" w:ascii="宋体" w:hAnsi="宋体"/>
          <w:sz w:val="24"/>
        </w:rPr>
        <w:t xml:space="preserve">     </w:t>
      </w:r>
    </w:p>
    <w:p>
      <w:pPr>
        <w:autoSpaceDE w:val="0"/>
        <w:spacing w:line="400" w:lineRule="exact"/>
        <w:ind w:firstLine="480" w:firstLineChars="200"/>
        <w:jc w:val="both"/>
        <w:rPr>
          <w:rFonts w:hint="default" w:ascii="宋体" w:hAnsi="宋体" w:eastAsia="宋体"/>
          <w:sz w:val="24"/>
          <w:lang w:val="en-US" w:eastAsia="zh-CN"/>
        </w:rPr>
      </w:pPr>
      <w:r>
        <w:rPr>
          <w:rFonts w:hint="eastAsia" w:ascii="宋体" w:hAnsi="宋体"/>
          <w:sz w:val="24"/>
        </w:rPr>
        <w:t xml:space="preserve">地    址: </w:t>
      </w:r>
      <w:r>
        <w:rPr>
          <w:rFonts w:hint="eastAsia" w:ascii="宋体" w:hAnsi="宋体"/>
          <w:sz w:val="24"/>
          <w:u w:val="none"/>
        </w:rPr>
        <w:t xml:space="preserve"> </w:t>
      </w:r>
      <w:r>
        <w:rPr>
          <w:rFonts w:hint="eastAsia" w:ascii="宋体" w:hAnsi="宋体"/>
          <w:sz w:val="24"/>
          <w:u w:val="none"/>
          <w:lang w:val="en-US" w:eastAsia="zh-CN"/>
        </w:rPr>
        <w:t>湖南城陵矶新港区岳阳城陵矶新港有限公司</w:t>
      </w:r>
      <w:r>
        <w:rPr>
          <w:rFonts w:hint="eastAsia" w:ascii="宋体" w:hAnsi="宋体"/>
          <w:sz w:val="24"/>
          <w:lang w:val="en-US" w:eastAsia="zh-CN"/>
        </w:rPr>
        <w:t xml:space="preserve"> </w:t>
      </w:r>
    </w:p>
    <w:p>
      <w:pPr>
        <w:autoSpaceDE w:val="0"/>
        <w:spacing w:line="400" w:lineRule="exact"/>
        <w:ind w:firstLine="480" w:firstLineChars="200"/>
        <w:jc w:val="both"/>
        <w:rPr>
          <w:rFonts w:ascii="宋体" w:hAnsi="宋体"/>
          <w:sz w:val="24"/>
        </w:rPr>
      </w:pPr>
      <w:r>
        <w:rPr>
          <w:rFonts w:hint="eastAsia" w:ascii="宋体" w:hAnsi="宋体"/>
          <w:sz w:val="24"/>
        </w:rPr>
        <w:t xml:space="preserve">邮政编码: </w:t>
      </w:r>
      <w:r>
        <w:rPr>
          <w:rFonts w:hint="eastAsia" w:ascii="宋体" w:hAnsi="宋体"/>
          <w:sz w:val="24"/>
          <w:u w:val="none"/>
        </w:rPr>
        <w:t xml:space="preserve"> </w:t>
      </w:r>
      <w:r>
        <w:rPr>
          <w:rFonts w:hint="eastAsia" w:ascii="宋体" w:hAnsi="宋体"/>
          <w:sz w:val="24"/>
          <w:u w:val="none"/>
          <w:lang w:val="en-US" w:eastAsia="zh-CN"/>
        </w:rPr>
        <w:t>414000</w:t>
      </w:r>
      <w:r>
        <w:rPr>
          <w:rFonts w:hint="eastAsia" w:ascii="宋体" w:hAnsi="宋体"/>
          <w:sz w:val="24"/>
          <w:u w:val="none"/>
        </w:rPr>
        <w:t xml:space="preserve">              </w:t>
      </w:r>
      <w:r>
        <w:rPr>
          <w:rFonts w:hint="eastAsia" w:ascii="宋体" w:hAnsi="宋体"/>
          <w:sz w:val="24"/>
        </w:rPr>
        <w:t xml:space="preserve">     </w:t>
      </w:r>
      <w:r>
        <w:rPr>
          <w:rFonts w:hint="eastAsia" w:ascii="宋体" w:hAnsi="宋体"/>
          <w:sz w:val="24"/>
          <w:lang w:val="en-US" w:eastAsia="zh-CN"/>
        </w:rPr>
        <w:t xml:space="preserve">  </w:t>
      </w:r>
    </w:p>
    <w:p>
      <w:pPr>
        <w:autoSpaceDE w:val="0"/>
        <w:spacing w:line="400" w:lineRule="exact"/>
        <w:ind w:firstLine="480" w:firstLineChars="200"/>
        <w:jc w:val="both"/>
        <w:rPr>
          <w:rFonts w:hint="eastAsia" w:ascii="宋体" w:hAnsi="宋体"/>
          <w:sz w:val="24"/>
          <w:lang w:val="en-US" w:eastAsia="zh-CN"/>
        </w:rPr>
      </w:pPr>
      <w:r>
        <w:rPr>
          <w:rFonts w:hint="eastAsia" w:ascii="宋体" w:hAnsi="宋体"/>
          <w:sz w:val="24"/>
        </w:rPr>
        <w:t xml:space="preserve">联 系 人: </w:t>
      </w:r>
      <w:r>
        <w:rPr>
          <w:rFonts w:hint="eastAsia" w:ascii="宋体" w:hAnsi="宋体"/>
          <w:sz w:val="24"/>
          <w:u w:val="none"/>
        </w:rPr>
        <w:t xml:space="preserve"> </w:t>
      </w:r>
      <w:r>
        <w:rPr>
          <w:rFonts w:hint="eastAsia" w:ascii="宋体" w:hAnsi="宋体"/>
          <w:sz w:val="24"/>
          <w:u w:val="none"/>
          <w:lang w:val="en-US" w:eastAsia="zh-CN"/>
        </w:rPr>
        <w:t xml:space="preserve">詹  彦    </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lang w:val="en-US" w:eastAsia="zh-CN"/>
        </w:rPr>
        <w:t xml:space="preserve">  </w:t>
      </w:r>
    </w:p>
    <w:p>
      <w:pPr>
        <w:autoSpaceDE w:val="0"/>
        <w:spacing w:line="400" w:lineRule="exact"/>
        <w:ind w:firstLine="480" w:firstLineChars="200"/>
        <w:jc w:val="both"/>
        <w:rPr>
          <w:rFonts w:hint="eastAsia" w:ascii="宋体" w:hAnsi="宋体"/>
          <w:sz w:val="24"/>
        </w:rPr>
      </w:pPr>
      <w:r>
        <w:rPr>
          <w:rFonts w:hint="eastAsia" w:ascii="宋体" w:hAnsi="宋体"/>
          <w:sz w:val="24"/>
        </w:rPr>
        <w:t xml:space="preserve">电    话: </w:t>
      </w:r>
      <w:r>
        <w:rPr>
          <w:rFonts w:hint="eastAsia" w:ascii="宋体" w:hAnsi="宋体"/>
          <w:sz w:val="24"/>
          <w:u w:val="none"/>
        </w:rPr>
        <w:t xml:space="preserve"> </w:t>
      </w:r>
      <w:r>
        <w:rPr>
          <w:rFonts w:hint="eastAsia" w:ascii="宋体" w:hAnsi="宋体"/>
          <w:sz w:val="24"/>
          <w:u w:val="none"/>
          <w:lang w:val="en-US" w:eastAsia="zh-CN"/>
        </w:rPr>
        <w:t>17378285070</w:t>
      </w:r>
      <w:r>
        <w:rPr>
          <w:rFonts w:hint="eastAsia" w:ascii="宋体" w:hAnsi="宋体"/>
          <w:sz w:val="24"/>
          <w:u w:val="none"/>
        </w:rPr>
        <w:t xml:space="preserve">          </w:t>
      </w:r>
      <w:r>
        <w:rPr>
          <w:rFonts w:hint="eastAsia" w:ascii="宋体" w:hAnsi="宋体"/>
          <w:sz w:val="24"/>
        </w:rPr>
        <w:t xml:space="preserve">     </w:t>
      </w:r>
    </w:p>
    <w:p>
      <w:pPr>
        <w:autoSpaceDE w:val="0"/>
        <w:spacing w:line="400" w:lineRule="exact"/>
        <w:ind w:firstLine="480" w:firstLineChars="200"/>
        <w:jc w:val="both"/>
        <w:rPr>
          <w:rFonts w:ascii="宋体" w:hAnsi="宋体"/>
          <w:sz w:val="24"/>
        </w:rPr>
      </w:pPr>
      <w:r>
        <w:rPr>
          <w:rFonts w:hint="eastAsia" w:ascii="宋体" w:hAnsi="宋体"/>
          <w:sz w:val="24"/>
        </w:rPr>
        <w:t xml:space="preserve">传    真: </w:t>
      </w:r>
      <w:r>
        <w:rPr>
          <w:rFonts w:hint="eastAsia" w:ascii="宋体" w:hAnsi="宋体"/>
          <w:sz w:val="24"/>
          <w:lang w:val="en-US" w:eastAsia="zh-CN"/>
        </w:rPr>
        <w:t xml:space="preserve"> </w:t>
      </w:r>
      <w:r>
        <w:rPr>
          <w:rFonts w:hint="eastAsia" w:ascii="宋体" w:hAnsi="宋体"/>
          <w:sz w:val="24"/>
          <w:u w:val="none"/>
          <w:lang w:val="en-US" w:eastAsia="zh-CN"/>
        </w:rPr>
        <w:t>0730-8422000</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rPr>
        <w:t xml:space="preserve">    </w:t>
      </w:r>
    </w:p>
    <w:p>
      <w:pPr>
        <w:autoSpaceDE w:val="0"/>
        <w:spacing w:line="400" w:lineRule="exact"/>
        <w:ind w:firstLine="480" w:firstLineChars="200"/>
        <w:jc w:val="both"/>
        <w:rPr>
          <w:rFonts w:hint="eastAsia" w:ascii="宋体" w:hAnsi="宋体"/>
          <w:sz w:val="24"/>
        </w:rPr>
      </w:pPr>
      <w:r>
        <w:rPr>
          <w:rFonts w:hint="eastAsia" w:ascii="宋体" w:hAnsi="宋体"/>
          <w:sz w:val="24"/>
        </w:rPr>
        <w:t xml:space="preserve">电子邮箱: </w:t>
      </w:r>
      <w:r>
        <w:rPr>
          <w:rFonts w:hint="eastAsia" w:ascii="宋体" w:hAnsi="宋体"/>
          <w:sz w:val="24"/>
          <w:u w:val="none"/>
        </w:rPr>
        <w:t xml:space="preserve"> </w:t>
      </w:r>
      <w:r>
        <w:rPr>
          <w:rFonts w:hint="eastAsia" w:ascii="宋体" w:hAnsi="宋体"/>
          <w:sz w:val="24"/>
          <w:u w:val="none"/>
          <w:lang w:val="en-US" w:eastAsia="zh-CN"/>
        </w:rPr>
        <w:t>799025411@qq.com</w:t>
      </w:r>
      <w:r>
        <w:rPr>
          <w:rFonts w:hint="eastAsia" w:ascii="宋体" w:hAnsi="宋体"/>
          <w:sz w:val="24"/>
          <w:u w:val="none"/>
        </w:rPr>
        <w:t xml:space="preserve">      </w:t>
      </w:r>
      <w:r>
        <w:rPr>
          <w:rFonts w:hint="eastAsia" w:ascii="宋体" w:hAnsi="宋体"/>
          <w:sz w:val="24"/>
        </w:rPr>
        <w:t xml:space="preserve">     </w:t>
      </w:r>
    </w:p>
    <w:p>
      <w:pPr>
        <w:autoSpaceDE w:val="0"/>
        <w:spacing w:line="400" w:lineRule="exact"/>
        <w:ind w:firstLine="480" w:firstLineChars="200"/>
        <w:jc w:val="both"/>
        <w:rPr>
          <w:rFonts w:hint="eastAsia" w:ascii="宋体" w:hAnsi="宋体"/>
          <w:sz w:val="24"/>
        </w:rPr>
      </w:pPr>
      <w:r>
        <w:rPr>
          <w:rFonts w:hint="eastAsia" w:ascii="宋体" w:hAnsi="宋体"/>
          <w:sz w:val="24"/>
        </w:rPr>
        <w:t xml:space="preserve">开户银行: </w:t>
      </w:r>
      <w:r>
        <w:rPr>
          <w:rFonts w:hint="eastAsia" w:ascii="宋体" w:hAnsi="宋体"/>
          <w:sz w:val="24"/>
          <w:lang w:val="en-US" w:eastAsia="zh-CN"/>
        </w:rPr>
        <w:t xml:space="preserve"> </w:t>
      </w:r>
      <w:r>
        <w:rPr>
          <w:rFonts w:hint="eastAsia" w:ascii="宋体" w:hAnsi="宋体"/>
          <w:sz w:val="24"/>
          <w:u w:val="none"/>
          <w:lang w:eastAsia="zh-CN"/>
        </w:rPr>
        <w:t>交通银行云溪支行</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p>
    <w:p>
      <w:pPr>
        <w:autoSpaceDE w:val="0"/>
        <w:spacing w:line="400" w:lineRule="exact"/>
        <w:ind w:firstLine="480" w:firstLineChars="200"/>
        <w:jc w:val="both"/>
        <w:rPr>
          <w:rFonts w:ascii="宋体" w:hAnsi="宋体"/>
          <w:sz w:val="24"/>
        </w:rPr>
      </w:pPr>
      <w:r>
        <w:rPr>
          <w:rFonts w:hint="eastAsia" w:ascii="宋体" w:hAnsi="宋体"/>
          <w:sz w:val="24"/>
        </w:rPr>
        <w:t xml:space="preserve">账    号: </w:t>
      </w:r>
      <w:r>
        <w:rPr>
          <w:rFonts w:hint="eastAsia" w:ascii="宋体" w:hAnsi="宋体"/>
          <w:sz w:val="24"/>
          <w:u w:val="none"/>
        </w:rPr>
        <w:t xml:space="preserve"> </w:t>
      </w:r>
      <w:r>
        <w:rPr>
          <w:rFonts w:hint="eastAsia" w:ascii="宋体" w:hAnsi="宋体"/>
          <w:sz w:val="24"/>
          <w:u w:val="none"/>
          <w:lang w:val="en-US" w:eastAsia="zh-CN"/>
        </w:rPr>
        <w:t xml:space="preserve">436600720018010006451  </w:t>
      </w:r>
      <w:r>
        <w:rPr>
          <w:rFonts w:hint="eastAsia" w:ascii="宋体" w:hAnsi="宋体"/>
          <w:sz w:val="24"/>
        </w:rPr>
        <w:t xml:space="preserve">     </w:t>
      </w:r>
    </w:p>
    <w:p>
      <w:pPr>
        <w:spacing w:line="600" w:lineRule="exact"/>
        <w:jc w:val="center"/>
        <w:rPr>
          <w:rFonts w:ascii="宋体" w:hAnsi="宋体"/>
          <w:sz w:val="36"/>
          <w:szCs w:val="36"/>
        </w:rPr>
      </w:pPr>
      <w:r>
        <w:rPr>
          <w:rFonts w:ascii="宋体" w:hAnsi="宋体"/>
          <w:sz w:val="36"/>
          <w:szCs w:val="36"/>
        </w:rPr>
        <w:t xml:space="preserve"> </w:t>
      </w:r>
    </w:p>
    <w:p>
      <w:pPr>
        <w:numPr>
          <w:ilvl w:val="0"/>
          <w:numId w:val="1"/>
        </w:numPr>
        <w:spacing w:line="600" w:lineRule="exact"/>
        <w:ind w:left="0" w:firstLine="0"/>
        <w:jc w:val="center"/>
        <w:outlineLvl w:val="0"/>
        <w:rPr>
          <w:rFonts w:hint="eastAsia" w:ascii="黑体" w:hAnsi="黑体" w:eastAsia="黑体"/>
          <w:sz w:val="36"/>
          <w:szCs w:val="36"/>
        </w:rPr>
      </w:pPr>
      <w:bookmarkStart w:id="2" w:name="_Toc22965"/>
      <w:bookmarkStart w:id="3" w:name="_Toc14739"/>
      <w:r>
        <w:rPr>
          <w:rFonts w:hint="eastAsia" w:ascii="黑体" w:hAnsi="黑体" w:eastAsia="黑体"/>
          <w:sz w:val="36"/>
          <w:szCs w:val="36"/>
        </w:rPr>
        <w:t>供应商须知</w:t>
      </w:r>
      <w:bookmarkEnd w:id="2"/>
      <w:bookmarkEnd w:id="3"/>
    </w:p>
    <w:p>
      <w:pPr>
        <w:spacing w:before="240" w:after="240" w:line="240" w:lineRule="auto"/>
        <w:jc w:val="center"/>
        <w:rPr>
          <w:rFonts w:hint="eastAsia" w:ascii="华文中宋" w:hAnsi="华文中宋" w:eastAsia="华文中宋" w:cs="仿宋"/>
          <w:b w:val="0"/>
          <w:bCs w:val="0"/>
          <w:sz w:val="30"/>
          <w:szCs w:val="30"/>
        </w:rPr>
      </w:pPr>
      <w:r>
        <w:rPr>
          <w:rFonts w:hint="eastAsia" w:ascii="华文中宋" w:hAnsi="华文中宋" w:eastAsia="华文中宋" w:cs="仿宋"/>
          <w:b w:val="0"/>
          <w:bCs w:val="0"/>
          <w:kern w:val="2"/>
          <w:sz w:val="30"/>
          <w:szCs w:val="30"/>
          <w:lang w:val="en-US" w:eastAsia="zh-CN"/>
        </w:rPr>
        <w:t xml:space="preserve">第一节  </w:t>
      </w:r>
      <w:r>
        <w:rPr>
          <w:rFonts w:hint="eastAsia" w:ascii="华文中宋" w:hAnsi="华文中宋" w:eastAsia="华文中宋" w:cs="仿宋"/>
          <w:b w:val="0"/>
          <w:bCs w:val="0"/>
          <w:sz w:val="30"/>
          <w:szCs w:val="30"/>
        </w:rPr>
        <w:t>供应商须知前附表</w:t>
      </w:r>
    </w:p>
    <w:tbl>
      <w:tblPr>
        <w:tblStyle w:val="37"/>
        <w:tblW w:w="9796"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sym w:font="Wingdings 2" w:char="0052"/>
            </w:r>
            <w:r>
              <w:rPr>
                <w:rFonts w:hint="default" w:cs="仿宋" w:asciiTheme="minorEastAsia" w:hAnsiTheme="minorEastAsia" w:eastAsiaTheme="minorEastAsia"/>
                <w:sz w:val="24"/>
                <w:lang w:val="en-US"/>
              </w:rPr>
              <w:t>询价</w:t>
            </w:r>
            <w:r>
              <w:rPr>
                <w:rFonts w:hint="eastAsia" w:cs="仿宋" w:asciiTheme="minorEastAsia" w:hAnsiTheme="minorEastAsia" w:eastAsiaTheme="minorEastAsia"/>
                <w:sz w:val="24"/>
                <w:lang w:val="en-US" w:eastAsia="zh-CN"/>
              </w:rPr>
              <w:t>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default" w:cs="仿宋" w:asciiTheme="minorEastAsia" w:hAnsiTheme="minorEastAsia" w:eastAsiaTheme="minorEastAsia"/>
                <w:sz w:val="24"/>
                <w:lang w:val="en-US"/>
              </w:rPr>
              <w:t>最低价法</w:t>
            </w:r>
            <w:r>
              <w:rPr>
                <w:rFonts w:hint="eastAsia" w:cs="仿宋" w:asciiTheme="minorEastAsia" w:hAnsiTheme="minorEastAsia" w:eastAsiaTheme="minorEastAsia"/>
                <w:sz w:val="24"/>
              </w:rPr>
              <w:t>（同质比价法）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u w:val="none"/>
                <w:lang w:eastAsia="zh-CN"/>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eastAsia="宋体" w:cs="仿宋" w:asciiTheme="minorEastAsia" w:hAnsiTheme="minorEastAsia"/>
                <w:sz w:val="24"/>
                <w:lang w:val="en-US" w:eastAsia="zh-CN"/>
              </w:rPr>
            </w:pPr>
            <w:r>
              <w:rPr>
                <w:rFonts w:hint="eastAsia" w:cs="仿宋" w:asciiTheme="minorEastAsia" w:hAnsiTheme="minorEastAsia" w:eastAsiaTheme="minorEastAsia"/>
                <w:sz w:val="24"/>
              </w:rPr>
              <w:t>允许偏差的范围：</w:t>
            </w:r>
            <w:r>
              <w:rPr>
                <w:rFonts w:hint="eastAsia" w:ascii="宋体" w:hAnsi="宋体" w:cs="宋体"/>
                <w:sz w:val="24"/>
                <w:szCs w:val="24"/>
                <w:lang w:eastAsia="zh-CN"/>
              </w:rPr>
              <w:t>响应</w:t>
            </w:r>
            <w:r>
              <w:rPr>
                <w:rFonts w:hint="eastAsia" w:ascii="宋体" w:hAnsi="宋体" w:eastAsia="宋体" w:cs="宋体"/>
                <w:sz w:val="24"/>
                <w:szCs w:val="24"/>
              </w:rPr>
              <w:t>文件在实质上响应</w:t>
            </w:r>
            <w:r>
              <w:rPr>
                <w:rFonts w:hint="eastAsia" w:ascii="宋体" w:hAnsi="宋体" w:cs="宋体"/>
                <w:sz w:val="24"/>
                <w:szCs w:val="24"/>
                <w:lang w:eastAsia="zh-CN"/>
              </w:rPr>
              <w:t>采购</w:t>
            </w:r>
            <w:r>
              <w:rPr>
                <w:rFonts w:hint="eastAsia" w:ascii="宋体" w:hAnsi="宋体" w:eastAsia="宋体" w:cs="宋体"/>
                <w:sz w:val="24"/>
                <w:szCs w:val="24"/>
              </w:rPr>
              <w:t>文件要求，但存在含义不明确的内容、明显文字或计算错误等情况，并且澄清、说明和补正这些情况不会对其他</w:t>
            </w:r>
            <w:r>
              <w:rPr>
                <w:rFonts w:hint="eastAsia" w:ascii="宋体" w:hAnsi="宋体" w:cs="宋体"/>
                <w:sz w:val="24"/>
                <w:szCs w:val="24"/>
                <w:lang w:eastAsia="zh-CN"/>
              </w:rPr>
              <w:t>响应</w:t>
            </w:r>
            <w:r>
              <w:rPr>
                <w:rFonts w:hint="eastAsia" w:ascii="宋体" w:hAnsi="宋体" w:eastAsia="宋体" w:cs="宋体"/>
                <w:sz w:val="24"/>
                <w:szCs w:val="24"/>
              </w:rPr>
              <w:t>人造成不公平的结果</w:t>
            </w:r>
            <w:r>
              <w:rPr>
                <w:rFonts w:hint="eastAsia" w:ascii="宋体" w:hAnsi="宋体" w:cs="宋体"/>
                <w:sz w:val="24"/>
                <w:szCs w:val="24"/>
                <w:lang w:eastAsia="zh-CN"/>
              </w:rPr>
              <w:t>。</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2项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w:t>
            </w:r>
            <w:r>
              <w:rPr>
                <w:rFonts w:hint="eastAsia" w:cs="仿宋" w:asciiTheme="minorEastAsia" w:hAnsiTheme="minorEastAsia" w:eastAsiaTheme="minorEastAsia"/>
                <w:sz w:val="24"/>
                <w:highlight w:val="none"/>
              </w:rPr>
              <w:t xml:space="preserve">止时间： </w:t>
            </w:r>
            <w:r>
              <w:rPr>
                <w:rFonts w:hint="eastAsia" w:cs="仿宋" w:asciiTheme="minorEastAsia" w:hAnsiTheme="minorEastAsia" w:eastAsiaTheme="minorEastAsia"/>
                <w:sz w:val="24"/>
                <w:highlight w:val="none"/>
                <w:lang w:val="en-US" w:eastAsia="zh-CN"/>
              </w:rPr>
              <w:t>2023年6月27日17时00分</w:t>
            </w: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yellow"/>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val="en-US" w:eastAsia="zh-CN"/>
              </w:rPr>
              <w:t>补充文件接收确认函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color w:val="auto"/>
                <w:sz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采购标的数量增减幅度：</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无</w:t>
            </w:r>
          </w:p>
          <w:p>
            <w:pPr>
              <w:adjustRightInd w:val="0"/>
              <w:snapToGrid w:val="0"/>
              <w:spacing w:line="312"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sym w:font="Wingdings 2" w:char="0052"/>
            </w: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val="en-US" w:eastAsia="zh-CN"/>
              </w:rPr>
              <w:t>见询价公告</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r>
              <w:rPr>
                <w:rFonts w:hint="eastAsia" w:cs="仿宋" w:asciiTheme="minorEastAsia" w:hAnsiTheme="minorEastAsia" w:eastAsiaTheme="minorEastAsia"/>
                <w:sz w:val="24"/>
                <w:lang w:val="en-US" w:eastAsia="zh-CN"/>
              </w:rPr>
              <w:t>90</w:t>
            </w:r>
            <w:r>
              <w:rPr>
                <w:rFonts w:hint="eastAsia" w:cs="仿宋" w:asciiTheme="minorEastAsia" w:hAnsiTheme="minorEastAsia" w:eastAsiaTheme="minorEastAsia"/>
                <w:sz w:val="24"/>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27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asciiTheme="minorEastAsia" w:hAnsiTheme="minorEastAsia" w:eastAsiaTheme="minorEastAsia"/>
                <w:b w:val="0"/>
                <w:color w:val="000000"/>
                <w:sz w:val="24"/>
              </w:rPr>
            </w:pPr>
            <w:r>
              <w:rPr>
                <w:rStyle w:val="40"/>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adjustRightInd/>
              <w:snapToGrid/>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adjustRightInd/>
              <w:snapToGrid/>
              <w:spacing w:line="360" w:lineRule="auto"/>
              <w:jc w:val="left"/>
              <w:rPr>
                <w:rFonts w:asciiTheme="minorEastAsia" w:hAnsiTheme="minorEastAsia" w:eastAsiaTheme="minorEastAsia"/>
                <w:color w:val="000000"/>
                <w:sz w:val="24"/>
              </w:rPr>
            </w:pPr>
            <w:r>
              <w:rPr>
                <w:rFonts w:hint="eastAsia" w:cs="仿宋" w:asciiTheme="minorEastAsia" w:hAnsiTheme="minorEastAsia" w:eastAsiaTheme="minorEastAsia"/>
                <w:sz w:val="24"/>
                <w:lang w:eastAsia="zh-CN"/>
              </w:rPr>
              <w:sym w:font="Wingdings 2" w:char="0052"/>
            </w:r>
            <w:r>
              <w:rPr>
                <w:rFonts w:hint="eastAsia" w:cs="仿宋" w:asciiTheme="minorEastAsia" w:hAnsiTheme="minorEastAsia" w:eastAsiaTheme="minorEastAsia"/>
                <w:sz w:val="24"/>
              </w:rPr>
              <w:t>适用。</w:t>
            </w:r>
            <w:r>
              <w:rPr>
                <w:rFonts w:hint="eastAsia" w:ascii="宋体" w:hAnsi="宋体" w:cs="宋体"/>
                <w:bCs/>
                <w:sz w:val="24"/>
                <w:szCs w:val="24"/>
                <w:lang w:val="en-US" w:eastAsia="zh-CN"/>
              </w:rPr>
              <w:t>供应商</w:t>
            </w:r>
            <w:r>
              <w:rPr>
                <w:rFonts w:hint="eastAsia" w:ascii="宋体" w:hAnsi="宋体" w:eastAsia="宋体" w:cs="宋体"/>
                <w:bCs/>
                <w:sz w:val="24"/>
                <w:szCs w:val="24"/>
              </w:rPr>
              <w:t>须具备独立的法人资格，持有效的营业执照，经营范围包含道路运输，具有足够的人员和技术力量，熟悉港口及道路运输法律法规和规范操作流程，有经验、有能力完成本次</w:t>
            </w:r>
            <w:r>
              <w:rPr>
                <w:rFonts w:hint="eastAsia" w:ascii="宋体" w:hAnsi="宋体" w:cs="宋体"/>
                <w:bCs/>
                <w:sz w:val="24"/>
                <w:szCs w:val="24"/>
                <w:lang w:val="en-US" w:eastAsia="zh-CN"/>
              </w:rPr>
              <w:t>采购</w:t>
            </w:r>
            <w:r>
              <w:rPr>
                <w:rFonts w:hint="eastAsia" w:ascii="宋体" w:hAnsi="宋体" w:eastAsia="宋体" w:cs="宋体"/>
                <w:bCs/>
                <w:sz w:val="24"/>
                <w:szCs w:val="24"/>
              </w:rPr>
              <w:t>项目所要求的服务。</w:t>
            </w:r>
          </w:p>
        </w:tc>
      </w:tr>
      <w:tr>
        <w:tblPrEx>
          <w:tblCellMar>
            <w:top w:w="0" w:type="dxa"/>
            <w:left w:w="108" w:type="dxa"/>
            <w:bottom w:w="0" w:type="dxa"/>
            <w:right w:w="108" w:type="dxa"/>
          </w:tblCellMar>
        </w:tblPrEx>
        <w:trPr>
          <w:trHeight w:val="1274"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0"/>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适用。供应商应提供相关资质证书副本的复印件，以证明供应商具有承担本项目要求的资质。</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0"/>
                <w:rFonts w:asciiTheme="minorEastAsia" w:hAnsiTheme="minorEastAsia" w:eastAsiaTheme="minorEastAsia"/>
                <w:b w:val="0"/>
                <w:color w:val="000000"/>
                <w:sz w:val="24"/>
              </w:rPr>
            </w:pPr>
            <w:r>
              <w:rPr>
                <w:rStyle w:val="40"/>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lang w:val="en-US" w:eastAsia="zh-CN"/>
              </w:rPr>
              <w:t xml:space="preserve">   </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适用。供应商应提供近年的类似项目情况表（格式见第六章“响应文件格式”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、资格审查资料（三）近年的类似项目情况表），以证明供应商具有承担本项目要求的业绩。</w:t>
            </w:r>
            <w:r>
              <w:rPr>
                <w:rFonts w:hint="eastAsia" w:ascii="宋体" w:hAnsi="宋体" w:cs="宋体"/>
                <w:sz w:val="24"/>
                <w:szCs w:val="24"/>
                <w:lang w:val="en-US" w:eastAsia="zh-CN"/>
              </w:rPr>
              <w:t>供应商</w:t>
            </w:r>
            <w:r>
              <w:rPr>
                <w:rFonts w:hint="eastAsia" w:ascii="宋体" w:hAnsi="宋体" w:eastAsia="宋体" w:cs="宋体"/>
                <w:sz w:val="24"/>
                <w:szCs w:val="24"/>
              </w:rPr>
              <w:t>自</w:t>
            </w:r>
            <w:r>
              <w:rPr>
                <w:rFonts w:ascii="宋体" w:hAnsi="宋体" w:eastAsia="宋体" w:cs="宋体"/>
                <w:sz w:val="24"/>
                <w:szCs w:val="24"/>
              </w:rPr>
              <w:t>20</w:t>
            </w:r>
            <w:r>
              <w:rPr>
                <w:rFonts w:hint="eastAsia" w:ascii="宋体" w:hAnsi="宋体" w:eastAsia="宋体" w:cs="宋体"/>
                <w:sz w:val="24"/>
                <w:szCs w:val="24"/>
              </w:rPr>
              <w:t>20</w:t>
            </w:r>
            <w:r>
              <w:rPr>
                <w:rFonts w:ascii="宋体" w:hAnsi="宋体" w:eastAsia="宋体" w:cs="宋体"/>
                <w:sz w:val="24"/>
                <w:szCs w:val="24"/>
              </w:rPr>
              <w:t>年</w:t>
            </w:r>
            <w:r>
              <w:rPr>
                <w:rFonts w:hint="eastAsia" w:ascii="宋体" w:hAnsi="宋体" w:cs="宋体"/>
                <w:sz w:val="24"/>
                <w:szCs w:val="24"/>
                <w:lang w:val="en-US" w:eastAsia="zh-CN"/>
              </w:rPr>
              <w:t>7</w:t>
            </w:r>
            <w:r>
              <w:rPr>
                <w:rFonts w:ascii="宋体" w:hAnsi="宋体" w:eastAsia="宋体" w:cs="宋体"/>
                <w:sz w:val="24"/>
                <w:szCs w:val="24"/>
              </w:rPr>
              <w:t>月</w:t>
            </w:r>
            <w:r>
              <w:rPr>
                <w:rFonts w:hint="eastAsia" w:ascii="宋体" w:hAnsi="宋体" w:cs="宋体"/>
                <w:sz w:val="24"/>
                <w:szCs w:val="24"/>
                <w:lang w:val="en-US" w:eastAsia="zh-CN"/>
              </w:rPr>
              <w:t>12</w:t>
            </w:r>
            <w:r>
              <w:rPr>
                <w:rFonts w:ascii="宋体" w:hAnsi="宋体" w:eastAsia="宋体" w:cs="宋体"/>
                <w:sz w:val="24"/>
                <w:szCs w:val="24"/>
              </w:rPr>
              <w:t>日至</w:t>
            </w:r>
            <w:r>
              <w:rPr>
                <w:rFonts w:hint="eastAsia" w:ascii="宋体" w:hAnsi="宋体" w:eastAsia="宋体" w:cs="宋体"/>
                <w:sz w:val="24"/>
                <w:szCs w:val="24"/>
              </w:rPr>
              <w:t>报名</w:t>
            </w:r>
            <w:r>
              <w:rPr>
                <w:rFonts w:ascii="宋体" w:hAnsi="宋体" w:eastAsia="宋体" w:cs="宋体"/>
                <w:sz w:val="24"/>
                <w:szCs w:val="24"/>
              </w:rPr>
              <w:t>截止时间前</w:t>
            </w:r>
            <w:r>
              <w:rPr>
                <w:rFonts w:hint="eastAsia" w:ascii="宋体" w:hAnsi="宋体" w:eastAsia="宋体" w:cs="宋体"/>
                <w:bCs/>
                <w:sz w:val="24"/>
                <w:szCs w:val="24"/>
              </w:rPr>
              <w:t>（以合同签订时间为准）有1项提供集装箱拖箱运输服务的业绩。单项业务合同完成的作业量应不低于</w:t>
            </w:r>
            <w:r>
              <w:rPr>
                <w:rFonts w:hint="eastAsia" w:ascii="宋体" w:hAnsi="宋体" w:eastAsia="宋体" w:cs="宋体"/>
                <w:bCs/>
                <w:sz w:val="24"/>
                <w:szCs w:val="24"/>
                <w:lang w:val="en-US" w:eastAsia="zh-CN"/>
              </w:rPr>
              <w:t>10</w:t>
            </w:r>
            <w:r>
              <w:rPr>
                <w:rFonts w:hint="eastAsia" w:ascii="宋体" w:hAnsi="宋体" w:eastAsia="宋体" w:cs="宋体"/>
                <w:bCs/>
                <w:sz w:val="24"/>
                <w:szCs w:val="24"/>
              </w:rPr>
              <w:t>00</w:t>
            </w:r>
            <w:r>
              <w:rPr>
                <w:rFonts w:hint="eastAsia" w:ascii="宋体" w:hAnsi="宋体" w:eastAsia="宋体" w:cs="宋体"/>
                <w:bCs/>
                <w:sz w:val="24"/>
                <w:szCs w:val="24"/>
                <w:lang w:val="en-US" w:eastAsia="zh-CN"/>
              </w:rPr>
              <w:t>标箱</w:t>
            </w:r>
            <w:r>
              <w:rPr>
                <w:rFonts w:hint="eastAsia" w:ascii="宋体" w:hAnsi="宋体" w:eastAsia="宋体" w:cs="宋体"/>
                <w:bCs/>
                <w:sz w:val="24"/>
                <w:szCs w:val="24"/>
              </w:rPr>
              <w:t>/年。提供合同复印件盖公司公章，如合同中不能体现作业量可提供业主证明。</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适用。供应商应提供相关信誉情况的证明材料，包括：</w:t>
            </w:r>
          </w:p>
        </w:tc>
      </w:tr>
      <w:tr>
        <w:tblPrEx>
          <w:tblCellMar>
            <w:top w:w="0" w:type="dxa"/>
            <w:left w:w="108" w:type="dxa"/>
            <w:bottom w:w="0" w:type="dxa"/>
            <w:right w:w="108" w:type="dxa"/>
          </w:tblCellMar>
        </w:tblPrEx>
        <w:trPr>
          <w:trHeight w:val="465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numPr>
                <w:ilvl w:val="-1"/>
                <w:numId w:val="0"/>
              </w:numPr>
              <w:adjustRightInd/>
              <w:snapToGrid/>
              <w:spacing w:line="312" w:lineRule="auto"/>
              <w:ind w:firstLine="480" w:firstLineChars="2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numPr>
                <w:ilvl w:val="-1"/>
                <w:numId w:val="0"/>
              </w:numPr>
              <w:adjustRightInd/>
              <w:snapToGrid/>
              <w:spacing w:line="312" w:lineRule="auto"/>
              <w:ind w:firstLine="480" w:firstLineChars="200"/>
              <w:jc w:val="left"/>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highlight w:val="none"/>
              </w:rPr>
              <w:t>供应商应提供拟委任的主要人员汇总表和主要人员简历表（格式见第六章“响应文件格式”</w:t>
            </w:r>
            <w:r>
              <w:rPr>
                <w:rFonts w:hint="eastAsia" w:cs="宋体" w:asciiTheme="minorEastAsia" w:hAnsiTheme="minorEastAsia" w:eastAsiaTheme="minorEastAsia"/>
                <w:color w:val="000000"/>
                <w:sz w:val="24"/>
                <w:highlight w:val="none"/>
                <w:lang w:val="en-US" w:eastAsia="zh-CN"/>
              </w:rPr>
              <w:t>五</w:t>
            </w:r>
            <w:r>
              <w:rPr>
                <w:rFonts w:hint="eastAsia" w:cs="宋体" w:asciiTheme="minorEastAsia" w:hAnsiTheme="minorEastAsia" w:eastAsiaTheme="minorEastAsia"/>
                <w:color w:val="000000"/>
                <w:sz w:val="24"/>
                <w:highlight w:val="none"/>
              </w:rPr>
              <w:t>、资格审查资料（四）拟委任的主要人员汇总表和（五）主要人员简历表）。供应商应填报满足第一章“采购公告”规定的项目负责人和其他主要人员的相关信息，并按如下要求提供相关证明文件：</w:t>
            </w:r>
          </w:p>
          <w:p>
            <w:pPr>
              <w:spacing w:after="0" w:line="312"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1.具备A2驾驶证的驾驶人员10人。公司为个人已购买工伤保险。提供驾驶人员驾驶证复印件、</w:t>
            </w:r>
            <w:r>
              <w:rPr>
                <w:rFonts w:hint="eastAsia" w:ascii="宋体" w:hAnsi="宋体" w:cs="宋体"/>
                <w:bCs/>
                <w:sz w:val="24"/>
                <w:szCs w:val="24"/>
                <w:lang w:val="en-US" w:eastAsia="zh-CN"/>
              </w:rPr>
              <w:t>采购</w:t>
            </w:r>
            <w:r>
              <w:rPr>
                <w:rFonts w:hint="eastAsia" w:ascii="宋体" w:hAnsi="宋体" w:eastAsia="宋体" w:cs="宋体"/>
                <w:bCs/>
                <w:sz w:val="24"/>
                <w:szCs w:val="24"/>
              </w:rPr>
              <w:t>前购买的工伤保险证明</w:t>
            </w:r>
            <w:r>
              <w:rPr>
                <w:rFonts w:hint="eastAsia" w:ascii="宋体" w:hAnsi="宋体" w:eastAsia="宋体" w:cs="宋体"/>
                <w:bCs/>
                <w:sz w:val="24"/>
                <w:szCs w:val="24"/>
                <w:lang w:val="en-US" w:eastAsia="zh-CN"/>
              </w:rPr>
              <w:t>或承诺购买工伤保险的承诺函，</w:t>
            </w:r>
            <w:r>
              <w:rPr>
                <w:rFonts w:hint="eastAsia" w:ascii="宋体" w:hAnsi="宋体" w:eastAsia="宋体" w:cs="宋体"/>
                <w:bCs/>
                <w:sz w:val="24"/>
                <w:szCs w:val="24"/>
              </w:rPr>
              <w:t>并加盖公司公章。</w:t>
            </w:r>
          </w:p>
          <w:p>
            <w:pPr>
              <w:numPr>
                <w:ilvl w:val="-1"/>
                <w:numId w:val="0"/>
              </w:numPr>
              <w:adjustRightInd/>
              <w:snapToGrid/>
              <w:spacing w:line="312" w:lineRule="auto"/>
              <w:ind w:firstLine="480" w:firstLineChars="200"/>
              <w:jc w:val="left"/>
              <w:rPr>
                <w:rFonts w:cs="宋体" w:asciiTheme="minorEastAsia" w:hAnsiTheme="minorEastAsia" w:eastAsiaTheme="minorEastAsia"/>
                <w:color w:val="000000"/>
                <w:sz w:val="24"/>
              </w:rPr>
            </w:pPr>
            <w:r>
              <w:rPr>
                <w:rFonts w:hint="eastAsia" w:ascii="宋体" w:hAnsi="宋体" w:eastAsia="宋体" w:cs="宋体"/>
                <w:bCs/>
                <w:sz w:val="24"/>
                <w:szCs w:val="24"/>
              </w:rPr>
              <w:t>2.需配备熟悉集装箱物流运输业务的项目负责人1人,</w:t>
            </w:r>
            <w:r>
              <w:rPr>
                <w:rFonts w:hint="eastAsia" w:ascii="宋体" w:hAnsi="宋体" w:cs="宋体"/>
                <w:bCs/>
                <w:sz w:val="24"/>
                <w:szCs w:val="24"/>
                <w:lang w:val="en-US" w:eastAsia="zh-CN"/>
              </w:rPr>
              <w:t>采购</w:t>
            </w:r>
            <w:r>
              <w:rPr>
                <w:rFonts w:hint="eastAsia" w:ascii="宋体" w:hAnsi="宋体" w:eastAsia="宋体" w:cs="宋体"/>
                <w:bCs/>
                <w:sz w:val="24"/>
                <w:szCs w:val="24"/>
              </w:rPr>
              <w:t>前购买的工伤保险证明并加盖公司公章。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numPr>
                <w:ilvl w:val="-1"/>
                <w:numId w:val="0"/>
              </w:numPr>
              <w:adjustRightInd/>
              <w:snapToGrid/>
              <w:spacing w:line="312" w:lineRule="auto"/>
              <w:ind w:firstLine="480" w:firstLineChars="2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after="0" w:line="360" w:lineRule="auto"/>
              <w:ind w:firstLine="480" w:firstLineChars="200"/>
              <w:rPr>
                <w:rFonts w:hint="eastAsia" w:ascii="宋体" w:hAnsi="宋体" w:eastAsia="宋体" w:cs="宋体"/>
                <w:bCs/>
                <w:color w:val="auto"/>
                <w:sz w:val="24"/>
                <w:szCs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r>
              <w:rPr>
                <w:rFonts w:hint="eastAsia" w:ascii="宋体" w:hAnsi="宋体" w:eastAsia="宋体" w:cs="宋体"/>
                <w:bCs/>
                <w:color w:val="auto"/>
                <w:sz w:val="24"/>
                <w:szCs w:val="24"/>
              </w:rPr>
              <w:t>1.需自身具备10台符合国家法律法规要求的</w:t>
            </w:r>
            <w:r>
              <w:rPr>
                <w:rFonts w:hint="eastAsia" w:ascii="宋体" w:hAnsi="宋体" w:eastAsia="宋体" w:cs="宋体"/>
                <w:bCs/>
                <w:color w:val="auto"/>
                <w:sz w:val="24"/>
                <w:szCs w:val="24"/>
                <w:lang w:eastAsia="zh-CN"/>
              </w:rPr>
              <w:t>集装箱</w:t>
            </w:r>
            <w:r>
              <w:rPr>
                <w:rFonts w:hint="eastAsia" w:ascii="宋体" w:hAnsi="宋体" w:eastAsia="宋体" w:cs="宋体"/>
                <w:bCs/>
                <w:color w:val="auto"/>
                <w:sz w:val="24"/>
                <w:szCs w:val="24"/>
              </w:rPr>
              <w:t>运输车辆（自卸板不少于2台），提供车辆行驶证</w:t>
            </w:r>
            <w:r>
              <w:rPr>
                <w:rFonts w:ascii="宋体" w:hAnsi="宋体" w:eastAsia="宋体" w:cs="宋体"/>
                <w:sz w:val="24"/>
                <w:szCs w:val="24"/>
              </w:rPr>
              <w:t>（含年检有效证明）</w:t>
            </w:r>
            <w:r>
              <w:rPr>
                <w:rFonts w:hint="eastAsia" w:ascii="宋体" w:hAnsi="宋体" w:eastAsia="宋体" w:cs="宋体"/>
                <w:bCs/>
                <w:color w:val="auto"/>
                <w:sz w:val="24"/>
                <w:szCs w:val="24"/>
              </w:rPr>
              <w:t>、道路运输许可证、车辆保险单</w:t>
            </w:r>
            <w:r>
              <w:rPr>
                <w:rFonts w:ascii="宋体" w:hAnsi="宋体" w:eastAsia="宋体" w:cs="宋体"/>
                <w:sz w:val="24"/>
                <w:szCs w:val="24"/>
              </w:rPr>
              <w:t>全本复印件加盖公司公章</w:t>
            </w:r>
            <w:r>
              <w:rPr>
                <w:rFonts w:hint="eastAsia" w:ascii="宋体" w:hAnsi="宋体" w:eastAsia="宋体" w:cs="宋体"/>
                <w:bCs/>
                <w:color w:val="auto"/>
                <w:sz w:val="24"/>
                <w:szCs w:val="24"/>
              </w:rPr>
              <w:t>。</w:t>
            </w:r>
          </w:p>
          <w:p>
            <w:pPr>
              <w:pStyle w:val="2"/>
              <w:ind w:firstLine="480" w:firstLineChars="200"/>
              <w:rPr>
                <w:rFonts w:hint="eastAsia" w:ascii="宋体" w:hAnsi="宋体" w:eastAsia="宋体" w:cs="宋体"/>
                <w:b w:val="0"/>
                <w:bCs/>
                <w:color w:val="auto"/>
                <w:sz w:val="24"/>
                <w:szCs w:val="24"/>
                <w:highlight w:val="none"/>
                <w:u w:val="none"/>
                <w:lang w:val="en-US" w:eastAsia="zh-CN"/>
              </w:rPr>
            </w:pPr>
            <w:r>
              <w:rPr>
                <w:rFonts w:hint="eastAsia" w:ascii="宋体" w:hAnsi="宋体" w:cs="宋体"/>
                <w:bCs/>
                <w:sz w:val="24"/>
                <w:szCs w:val="24"/>
                <w:lang w:val="en-US" w:eastAsia="zh-CN"/>
              </w:rPr>
              <w:t>2.</w:t>
            </w:r>
            <w:r>
              <w:rPr>
                <w:rFonts w:hint="eastAsia" w:ascii="宋体" w:hAnsi="宋体" w:eastAsia="宋体" w:cs="宋体"/>
                <w:b w:val="0"/>
                <w:bCs/>
                <w:color w:val="auto"/>
                <w:sz w:val="24"/>
                <w:szCs w:val="24"/>
                <w:highlight w:val="none"/>
                <w:u w:val="none"/>
                <w:lang w:val="en-US" w:eastAsia="zh-CN"/>
              </w:rPr>
              <w:t>投标人需提供与广铁集团长沙货运中心签订的路口铺站安全协议。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.本次招标不接受联合体。</w:t>
            </w:r>
          </w:p>
          <w:p>
            <w:pPr>
              <w:spacing w:line="288" w:lineRule="auto"/>
              <w:jc w:val="both"/>
              <w:rPr>
                <w:rFonts w:hint="eastAsia" w:cs="宋体" w:asciiTheme="minorEastAsia" w:hAnsiTheme="minorEastAsia" w:eastAsiaTheme="minorEastAsia"/>
                <w:color w:val="000000"/>
                <w:sz w:val="24"/>
                <w:lang w:eastAsia="zh-CN"/>
              </w:rPr>
            </w:pP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val="en-US" w:eastAsia="zh-CN"/>
              </w:rPr>
              <w:t>仅提供承诺函</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1.承诺函2.</w:t>
            </w:r>
            <w:r>
              <w:rPr>
                <w:rFonts w:hint="eastAsia" w:cs="宋体" w:asciiTheme="minorEastAsia" w:hAnsiTheme="minorEastAsia" w:eastAsiaTheme="minorEastAsia"/>
                <w:color w:val="000000"/>
                <w:sz w:val="24"/>
                <w:u w:val="none"/>
                <w:lang w:eastAsia="zh-CN"/>
              </w:rPr>
              <w:t>提供信用中国（</w:t>
            </w:r>
            <w:r>
              <w:rPr>
                <w:rFonts w:hint="eastAsia" w:cs="宋体" w:asciiTheme="minorEastAsia" w:hAnsiTheme="minorEastAsia" w:eastAsiaTheme="minorEastAsia"/>
                <w:color w:val="000000"/>
                <w:sz w:val="24"/>
                <w:u w:val="none"/>
                <w:lang w:val="en-US" w:eastAsia="zh-CN"/>
              </w:rPr>
              <w:t>www.creditchina.com</w:t>
            </w:r>
            <w:r>
              <w:rPr>
                <w:rFonts w:hint="eastAsia" w:cs="宋体" w:asciiTheme="minorEastAsia" w:hAnsiTheme="minorEastAsia" w:eastAsiaTheme="minorEastAsia"/>
                <w:color w:val="000000"/>
                <w:sz w:val="24"/>
                <w:u w:val="none"/>
                <w:lang w:eastAsia="zh-CN"/>
              </w:rPr>
              <w:t>）网站查询，供应商未被列入信用记录失信被执行人、重大税收违法案件当事人名单、政府采购严重违法失信行为记录名单的网页截图。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供应商</w:t>
            </w:r>
            <w:r>
              <w:rPr>
                <w:rFonts w:hint="eastAsia" w:cs="宋体" w:asciiTheme="minorEastAsia" w:hAnsiTheme="minorEastAsia" w:eastAsiaTheme="minorEastAsia"/>
                <w:color w:val="000000"/>
                <w:sz w:val="24"/>
                <w:lang w:val="en-US" w:eastAsia="zh-CN"/>
              </w:rPr>
              <w:t>只</w:t>
            </w:r>
            <w:r>
              <w:rPr>
                <w:rFonts w:hint="eastAsia" w:cs="宋体" w:asciiTheme="minorEastAsia" w:hAnsiTheme="minorEastAsia" w:eastAsiaTheme="minorEastAsia"/>
                <w:color w:val="000000"/>
                <w:sz w:val="24"/>
              </w:rPr>
              <w:t>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bookmarkStart w:id="59" w:name="_GoBack"/>
            <w:bookmarkEnd w:id="59"/>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color w:val="000000"/>
                <w:sz w:val="24"/>
                <w:lang w:val="en-US" w:eastAsia="zh-CN"/>
              </w:rPr>
              <w:t>壹正肆副，</w:t>
            </w:r>
            <w:r>
              <w:rPr>
                <w:rFonts w:hint="eastAsia" w:cs="宋体" w:asciiTheme="minorEastAsia" w:hAnsiTheme="minorEastAsia" w:eastAsiaTheme="minorEastAsia"/>
                <w:color w:val="000000"/>
                <w:sz w:val="24"/>
              </w:rPr>
              <w:t>须密封包装，并在封套的封口处加盖单位</w:t>
            </w:r>
            <w:r>
              <w:rPr>
                <w:rFonts w:hint="eastAsia" w:cs="宋体" w:asciiTheme="minorEastAsia" w:hAnsiTheme="minorEastAsia" w:eastAsiaTheme="minorEastAsia"/>
                <w:color w:val="000000"/>
                <w:sz w:val="24"/>
                <w:lang w:val="en-US" w:eastAsia="zh-CN"/>
              </w:rPr>
              <w:t>公</w:t>
            </w:r>
            <w:r>
              <w:rPr>
                <w:rFonts w:hint="eastAsia" w:cs="宋体" w:asciiTheme="minorEastAsia" w:hAnsiTheme="minorEastAsia" w:eastAsiaTheme="minorEastAsia"/>
                <w:color w:val="000000"/>
                <w:sz w:val="24"/>
              </w:rPr>
              <w:t>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none"/>
                <w:lang w:eastAsia="zh-CN"/>
              </w:rPr>
              <w:t>岳阳城陵矶新港有限公司</w:t>
            </w:r>
            <w:r>
              <w:rPr>
                <w:rFonts w:hint="eastAsia" w:ascii="宋体" w:hAnsi="宋体" w:cs="宋体"/>
                <w:bCs/>
                <w:sz w:val="24"/>
                <w:szCs w:val="24"/>
                <w:lang w:val="en-US" w:eastAsia="zh-CN"/>
              </w:rPr>
              <w:t>堆场至路口铺站集装箱拖车运输</w:t>
            </w:r>
            <w:r>
              <w:rPr>
                <w:rFonts w:hint="eastAsia" w:ascii="宋体" w:hAnsi="宋体" w:cs="宋体"/>
                <w:bCs/>
                <w:color w:val="auto"/>
                <w:sz w:val="24"/>
                <w:szCs w:val="24"/>
                <w:lang w:val="en-US" w:eastAsia="zh-CN"/>
              </w:rPr>
              <w:t>采购</w:t>
            </w:r>
            <w:r>
              <w:rPr>
                <w:rFonts w:hint="eastAsia" w:ascii="宋体" w:hAnsi="宋体" w:eastAsia="宋体" w:cs="宋体"/>
                <w:color w:val="auto"/>
                <w:kern w:val="2"/>
                <w:sz w:val="24"/>
                <w:szCs w:val="24"/>
                <w:lang w:val="en-US" w:eastAsia="zh-CN" w:bidi="ar"/>
              </w:rPr>
              <w:t>项目</w:t>
            </w:r>
            <w:r>
              <w:rPr>
                <w:rFonts w:hint="eastAsia" w:ascii="宋体" w:hAnsi="宋体" w:cs="宋体"/>
                <w:color w:val="auto"/>
                <w:kern w:val="2"/>
                <w:sz w:val="24"/>
                <w:szCs w:val="24"/>
                <w:lang w:val="en-US" w:eastAsia="zh-CN" w:bidi="ar"/>
              </w:rPr>
              <w:t>响应</w:t>
            </w:r>
            <w:r>
              <w:rPr>
                <w:rFonts w:hint="eastAsia" w:cs="宋体" w:asciiTheme="minorEastAsia" w:hAnsiTheme="minorEastAsia" w:eastAsiaTheme="minorEastAsia"/>
                <w:color w:val="000000"/>
                <w:sz w:val="24"/>
                <w:u w:val="none"/>
              </w:rPr>
              <w:t>文件</w:t>
            </w:r>
          </w:p>
        </w:tc>
      </w:tr>
      <w:tr>
        <w:tblPrEx>
          <w:tblCellMar>
            <w:top w:w="0" w:type="dxa"/>
            <w:left w:w="108" w:type="dxa"/>
            <w:bottom w:w="0" w:type="dxa"/>
            <w:right w:w="108" w:type="dxa"/>
          </w:tblCellMar>
        </w:tblPrEx>
        <w:trPr>
          <w:trHeight w:val="66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000000"/>
                <w:sz w:val="24"/>
                <w:highlight w:val="none"/>
                <w:u w:val="single"/>
                <w:lang w:val="en-US"/>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val="en-US" w:eastAsia="zh-CN"/>
              </w:rPr>
              <w:t>2023年7月12日9时00分</w:t>
            </w:r>
          </w:p>
          <w:p>
            <w:pPr>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color w:val="000000"/>
                <w:sz w:val="24"/>
                <w:lang w:val="en-US" w:eastAsia="zh-CN"/>
              </w:rPr>
              <w:t>递交</w:t>
            </w:r>
            <w:r>
              <w:rPr>
                <w:rFonts w:hint="eastAsia" w:cs="宋体" w:asciiTheme="minorEastAsia" w:hAnsiTheme="minorEastAsia" w:eastAsiaTheme="minorEastAsia"/>
                <w:color w:val="000000"/>
                <w:sz w:val="24"/>
              </w:rPr>
              <w:t>地点</w:t>
            </w:r>
            <w:r>
              <w:rPr>
                <w:rFonts w:hint="eastAsia" w:cs="宋体" w:asciiTheme="minorEastAsia" w:hAnsiTheme="minorEastAsia" w:eastAsiaTheme="minorEastAsia"/>
                <w:color w:val="000000"/>
                <w:sz w:val="24"/>
                <w:u w:val="none"/>
              </w:rPr>
              <w:t>：</w:t>
            </w:r>
            <w:r>
              <w:rPr>
                <w:rFonts w:hint="eastAsia" w:ascii="宋体" w:hAnsi="宋体" w:eastAsia="宋体" w:cs="宋体"/>
                <w:bCs/>
                <w:sz w:val="24"/>
                <w:szCs w:val="24"/>
              </w:rPr>
              <w:t>为湖南省长沙市天心区新姚南路196号湖南省湘水集团有限公司六楼招投标室逾期未送达指定地点的或不按照</w:t>
            </w:r>
            <w:r>
              <w:rPr>
                <w:rFonts w:hint="eastAsia" w:ascii="宋体" w:hAnsi="宋体" w:cs="宋体"/>
                <w:bCs/>
                <w:sz w:val="24"/>
                <w:szCs w:val="24"/>
                <w:lang w:val="en-US" w:eastAsia="zh-CN"/>
              </w:rPr>
              <w:t>响应</w:t>
            </w:r>
            <w:r>
              <w:rPr>
                <w:rFonts w:hint="eastAsia" w:ascii="宋体" w:hAnsi="宋体" w:eastAsia="宋体" w:cs="宋体"/>
                <w:bCs/>
                <w:sz w:val="24"/>
                <w:szCs w:val="24"/>
              </w:rPr>
              <w:t>文件要求密封的</w:t>
            </w:r>
            <w:r>
              <w:rPr>
                <w:rFonts w:hint="eastAsia" w:ascii="宋体" w:hAnsi="宋体" w:cs="宋体"/>
                <w:bCs/>
                <w:sz w:val="24"/>
                <w:szCs w:val="24"/>
                <w:lang w:val="en-US" w:eastAsia="zh-CN"/>
              </w:rPr>
              <w:t>响应</w:t>
            </w:r>
            <w:r>
              <w:rPr>
                <w:rFonts w:hint="eastAsia" w:ascii="宋体" w:hAnsi="宋体" w:eastAsia="宋体" w:cs="宋体"/>
                <w:bCs/>
                <w:sz w:val="24"/>
                <w:szCs w:val="24"/>
              </w:rPr>
              <w:t>文件，</w:t>
            </w:r>
            <w:r>
              <w:rPr>
                <w:rFonts w:hint="eastAsia" w:ascii="宋体" w:hAnsi="宋体" w:cs="宋体"/>
                <w:bCs/>
                <w:sz w:val="24"/>
                <w:szCs w:val="24"/>
                <w:lang w:val="en-US" w:eastAsia="zh-CN"/>
              </w:rPr>
              <w:t>采购</w:t>
            </w:r>
            <w:r>
              <w:rPr>
                <w:rFonts w:hint="eastAsia" w:ascii="宋体" w:hAnsi="宋体" w:eastAsia="宋体" w:cs="宋体"/>
                <w:bCs/>
                <w:sz w:val="24"/>
                <w:szCs w:val="24"/>
              </w:rPr>
              <w:t>人将予以拒收。</w:t>
            </w:r>
            <w:r>
              <w:rPr>
                <w:rFonts w:hint="eastAsia" w:cs="宋体" w:asciiTheme="minorEastAsia" w:hAnsiTheme="minorEastAsia" w:eastAsiaTheme="minorEastAsia"/>
                <w:color w:val="000000"/>
                <w:sz w:val="24"/>
                <w:u w:val="non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ascii="宋体" w:hAnsi="宋体" w:eastAsia="宋体" w:cs="宋体"/>
                <w:bCs/>
                <w:sz w:val="24"/>
                <w:szCs w:val="24"/>
              </w:rPr>
              <w:t>湖南省长沙市天心区新姚南路196号湖南省湘水集团有限公司六楼招投标室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45"/>
                <w:rFonts w:cs="宋体" w:asciiTheme="minorEastAsia" w:hAnsiTheme="minorEastAsia" w:eastAsiaTheme="minorEastAsia"/>
                <w:color w:val="000000"/>
                <w:sz w:val="24"/>
              </w:rPr>
              <w:footnoteReference w:id="0"/>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w:t>
            </w:r>
            <w:r>
              <w:rPr>
                <w:rFonts w:hint="eastAsia" w:cs="宋体" w:asciiTheme="minorEastAsia" w:hAnsiTheme="minorEastAsia" w:eastAsiaTheme="minorEastAsia"/>
                <w:color w:val="000000"/>
                <w:sz w:val="24"/>
                <w:lang w:val="en-US" w:eastAsia="zh-CN"/>
              </w:rPr>
              <w:t>审</w:t>
            </w:r>
            <w:r>
              <w:rPr>
                <w:rFonts w:hint="eastAsia" w:cs="宋体" w:asciiTheme="minorEastAsia" w:hAnsiTheme="minorEastAsia" w:eastAsiaTheme="minorEastAsia"/>
                <w:color w:val="000000"/>
                <w:sz w:val="24"/>
              </w:rPr>
              <w:t>小组构成</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single"/>
                <w:lang w:val="en-US" w:eastAsia="zh-CN"/>
              </w:rPr>
              <w:t>5</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评审专家确定方式：</w:t>
            </w:r>
            <w:r>
              <w:rPr>
                <w:rFonts w:hint="eastAsia" w:cs="宋体" w:asciiTheme="minorEastAsia" w:hAnsiTheme="minorEastAsia" w:eastAsiaTheme="minorEastAsia"/>
                <w:color w:val="000000"/>
                <w:sz w:val="24"/>
                <w:u w:val="single"/>
              </w:rPr>
              <w:t>在湖南省湘水集团有限公司综合</w:t>
            </w:r>
            <w:r>
              <w:rPr>
                <w:rFonts w:hint="eastAsia" w:cs="宋体" w:asciiTheme="minorEastAsia" w:hAnsiTheme="minorEastAsia" w:eastAsiaTheme="minorEastAsia"/>
                <w:color w:val="000000"/>
                <w:sz w:val="24"/>
                <w:u w:val="single"/>
                <w:lang w:eastAsia="zh-CN"/>
              </w:rPr>
              <w:t>评审</w:t>
            </w:r>
            <w:r>
              <w:rPr>
                <w:rFonts w:hint="eastAsia" w:cs="宋体" w:asciiTheme="minorEastAsia" w:hAnsiTheme="minorEastAsia" w:eastAsiaTheme="minorEastAsia"/>
                <w:color w:val="000000"/>
                <w:sz w:val="24"/>
                <w:u w:val="single"/>
              </w:rPr>
              <w:t>专家库中随机抽取</w:t>
            </w:r>
            <w:r>
              <w:rPr>
                <w:rFonts w:hint="eastAsia" w:cs="宋体" w:asciiTheme="minorEastAsia" w:hAnsiTheme="minorEastAsia" w:eastAsiaTheme="minorEastAsia"/>
                <w:color w:val="000000"/>
                <w:sz w:val="24"/>
                <w:u w:val="single"/>
                <w:lang w:val="en-US" w:eastAsia="zh-CN"/>
              </w:rPr>
              <w:t>4人，业主代表1人</w:t>
            </w:r>
            <w:r>
              <w:rPr>
                <w:rFonts w:hint="eastAsia" w:cs="宋体" w:asciiTheme="minorEastAsia" w:hAnsiTheme="minorEastAsia" w:eastAsiaTheme="minorEastAsia"/>
                <w:color w:val="000000"/>
                <w:sz w:val="24"/>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val="0"/>
                <w:bCs w:val="0"/>
                <w:color w:val="000000"/>
                <w:sz w:val="24"/>
              </w:rPr>
              <w:t xml:space="preserve"> </w:t>
            </w:r>
            <w:r>
              <w:rPr>
                <w:rFonts w:hint="eastAsia" w:cs="宋体" w:asciiTheme="minorEastAsia" w:hAnsiTheme="minorEastAsia" w:eastAsiaTheme="minorEastAsia"/>
                <w:b w:val="0"/>
                <w:bCs w:val="0"/>
                <w:color w:val="000000"/>
                <w:sz w:val="24"/>
                <w:lang w:val="en-US" w:eastAsia="zh-CN"/>
              </w:rPr>
              <w:t>2-3个</w:t>
            </w:r>
            <w:r>
              <w:rPr>
                <w:rFonts w:hint="eastAsia" w:cs="宋体" w:asciiTheme="minorEastAsia" w:hAnsiTheme="minorEastAsia" w:eastAsiaTheme="minorEastAsia"/>
                <w:color w:val="000000"/>
                <w:sz w:val="24"/>
              </w:rPr>
              <w:t>，并标明推荐顺序。</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谈判轮次及谈判顺序</w:t>
            </w:r>
            <w:r>
              <w:rPr>
                <w:rStyle w:val="45"/>
                <w:rFonts w:cs="宋体" w:asciiTheme="minorEastAsia" w:hAnsiTheme="minorEastAsia" w:eastAsiaTheme="minorEastAsia"/>
                <w:color w:val="000000"/>
                <w:sz w:val="24"/>
              </w:rPr>
              <w:footnoteReference w:id="1"/>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谈判轮次：</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□本项目共进行</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轮谈判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（注：一般不超过3轮）</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谈判小组在首轮谈判前告知被邀请参加谈判的供应商谈判轮次</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本项目不事先确定谈判轮次，谈判小组根据谈判情况确定，并在最后一轮谈判前告知供应商</w:t>
            </w:r>
          </w:p>
          <w:p>
            <w:pPr>
              <w:spacing w:line="288" w:lineRule="auto"/>
              <w:jc w:val="both"/>
              <w:rPr>
                <w:rFonts w:hint="eastAsia" w:cs="宋体" w:asciiTheme="minorEastAsia" w:hAnsiTheme="minorEastAsia" w:eastAsiaTheme="minorEastAsia"/>
                <w:b w:val="0"/>
                <w:bCs w:val="0"/>
                <w:color w:val="000000"/>
                <w:sz w:val="24"/>
              </w:rPr>
            </w:pPr>
            <w:r>
              <w:rPr>
                <w:rFonts w:hint="eastAsia" w:cs="宋体" w:asciiTheme="minorEastAsia" w:hAnsiTheme="minorEastAsia" w:eastAsiaTheme="minorEastAsia"/>
                <w:color w:val="000000"/>
                <w:sz w:val="24"/>
              </w:rPr>
              <w:t>谈判顺序：</w:t>
            </w:r>
            <w:r>
              <w:rPr>
                <w:rFonts w:hint="eastAsia" w:cs="宋体" w:asciiTheme="minorEastAsia" w:hAnsiTheme="minorEastAsia" w:eastAsiaTheme="minorEastAsia"/>
                <w:color w:val="000000"/>
                <w:sz w:val="24"/>
                <w:u w:val="single"/>
                <w:lang w:eastAsia="zh-CN"/>
              </w:rPr>
              <w:t>随机</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6.3.2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选择谈判供应商</w:t>
            </w:r>
            <w:r>
              <w:rPr>
                <w:rStyle w:val="45"/>
                <w:rFonts w:cs="宋体" w:asciiTheme="minorEastAsia" w:hAnsiTheme="minorEastAsia" w:eastAsiaTheme="minorEastAsia"/>
                <w:color w:val="000000"/>
                <w:sz w:val="24"/>
              </w:rPr>
              <w:footnoteReference w:id="2"/>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预定参加谈判的供应商数量：</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未知</w:t>
            </w:r>
            <w:r>
              <w:rPr>
                <w:rFonts w:hint="eastAsia" w:cs="宋体" w:asciiTheme="minorEastAsia" w:hAnsiTheme="minorEastAsia" w:eastAsiaTheme="minorEastAsia"/>
                <w:color w:val="000000"/>
                <w:sz w:val="24"/>
                <w:u w:val="single"/>
              </w:rPr>
              <w:t xml:space="preserve">               </w:t>
            </w:r>
          </w:p>
          <w:p>
            <w:pPr>
              <w:spacing w:line="288"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选择方法</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公开邀请</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6.3.4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不允许</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2-3个</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中国招标投标公共服务平台（http：//www.cebpubservice.com</w:t>
            </w:r>
            <w:r>
              <w:rPr>
                <w:rFonts w:hint="eastAsia" w:ascii="宋体" w:hAnsi="宋体" w:cs="宋体"/>
                <w:sz w:val="24"/>
                <w:lang w:eastAsia="zh-CN"/>
              </w:rPr>
              <w:t>；</w:t>
            </w:r>
            <w:r>
              <w:rPr>
                <w:rFonts w:hint="eastAsia" w:ascii="宋体" w:hAnsi="宋体" w:eastAsia="宋体" w:cs="宋体"/>
                <w:sz w:val="24"/>
                <w:szCs w:val="24"/>
                <w:lang w:val="en-US" w:eastAsia="zh-CN"/>
              </w:rPr>
              <w:t>湖南省湘水集团有限公司网站（http：//www.hnsxsjt.com）</w:t>
            </w:r>
            <w:r>
              <w:rPr>
                <w:rFonts w:hint="eastAsia" w:ascii="宋体" w:hAnsi="宋体" w:cs="宋体"/>
                <w:sz w:val="24"/>
                <w:szCs w:val="24"/>
                <w:lang w:val="en-US" w:eastAsia="zh-CN"/>
              </w:rPr>
              <w:t>；</w:t>
            </w:r>
            <w:r>
              <w:rPr>
                <w:rFonts w:hint="eastAsia" w:ascii="宋体" w:hAnsi="宋体" w:eastAsia="宋体"/>
                <w:sz w:val="24"/>
                <w:szCs w:val="24"/>
              </w:rPr>
              <w:t>湖南省港务集团公司网站（http://www.hnsgwjt.com/）</w:t>
            </w: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3</w:t>
            </w:r>
            <w:r>
              <w:rPr>
                <w:rFonts w:hint="eastAsia" w:cs="宋体" w:asciiTheme="minorEastAsia" w:hAnsiTheme="minorEastAsia" w:eastAsiaTheme="minorEastAsia"/>
                <w:color w:val="000000"/>
                <w:sz w:val="24"/>
                <w:u w:val="single"/>
              </w:rPr>
              <w:t xml:space="preserve">个工作日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none"/>
              </w:rPr>
              <w:t xml:space="preserve">其他应公示的内容：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不要求提交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岳阳城陵矶新港有限公司综合管理部</w:t>
            </w:r>
          </w:p>
          <w:p>
            <w:pPr>
              <w:adjustRightInd w:val="0"/>
              <w:snapToGrid w:val="0"/>
              <w:spacing w:line="312" w:lineRule="auto"/>
              <w:jc w:val="both"/>
              <w:rPr>
                <w:rFonts w:hint="eastAsia"/>
                <w:lang w:eastAsia="zh-CN"/>
              </w:rPr>
            </w:pPr>
            <w:r>
              <w:rPr>
                <w:rFonts w:hint="eastAsia" w:cs="宋体" w:asciiTheme="minorEastAsia" w:hAnsiTheme="minorEastAsia" w:eastAsiaTheme="minorEastAsia"/>
                <w:color w:val="000000"/>
                <w:sz w:val="24"/>
                <w:lang w:eastAsia="zh-CN"/>
              </w:rPr>
              <w:t>联系电话：</w:t>
            </w:r>
            <w:r>
              <w:rPr>
                <w:rFonts w:hint="eastAsia" w:ascii="宋体" w:hAnsi="宋体" w:eastAsia="宋体" w:cs="宋体"/>
                <w:color w:val="auto"/>
                <w:sz w:val="24"/>
                <w:szCs w:val="24"/>
              </w:rPr>
              <w:t>0730-8426212</w:t>
            </w:r>
          </w:p>
        </w:tc>
      </w:tr>
    </w:tbl>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spacing w:line="240" w:lineRule="auto"/>
        <w:jc w:val="center"/>
        <w:rPr>
          <w:rFonts w:hint="eastAsia" w:ascii="华文中宋" w:hAnsi="华文中宋" w:eastAsia="华文中宋" w:cs="仿宋"/>
          <w:b/>
          <w:bCs/>
          <w:sz w:val="30"/>
          <w:szCs w:val="30"/>
        </w:rPr>
      </w:pPr>
    </w:p>
    <w:p>
      <w:pPr>
        <w:pStyle w:val="2"/>
        <w:rPr>
          <w:rFonts w:hint="eastAsia" w:ascii="华文中宋" w:hAnsi="华文中宋" w:eastAsia="华文中宋" w:cs="仿宋"/>
          <w:b/>
          <w:bCs/>
          <w:sz w:val="30"/>
          <w:szCs w:val="30"/>
        </w:rPr>
      </w:pPr>
    </w:p>
    <w:p>
      <w:pPr>
        <w:pStyle w:val="2"/>
        <w:rPr>
          <w:rFonts w:hint="eastAsia" w:ascii="华文中宋" w:hAnsi="华文中宋" w:eastAsia="华文中宋" w:cs="仿宋"/>
          <w:b/>
          <w:bCs/>
          <w:sz w:val="30"/>
          <w:szCs w:val="30"/>
        </w:rPr>
      </w:pP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节</w:t>
      </w:r>
      <w:r>
        <w:rPr>
          <w:rFonts w:hint="eastAsia" w:ascii="华文中宋" w:hAnsi="华文中宋" w:eastAsia="华文中宋" w:cs="仿宋"/>
          <w:b/>
          <w:bCs/>
          <w:sz w:val="30"/>
          <w:szCs w:val="30"/>
        </w:rPr>
        <w:t xml:space="preserve"> 供应商须知正文</w:t>
      </w:r>
    </w:p>
    <w:p>
      <w:pPr>
        <w:adjustRightInd w:val="0"/>
        <w:snapToGrid w:val="0"/>
        <w:spacing w:before="120" w:beforeLines="50" w:after="120" w:afterLines="50" w:line="312" w:lineRule="auto"/>
        <w:ind w:firstLine="482" w:firstLineChars="200"/>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1.1采购方法和评审办法</w:t>
      </w:r>
    </w:p>
    <w:p>
      <w:pPr>
        <w:pStyle w:val="69"/>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3"/>
        <w:spacing w:line="312" w:lineRule="auto"/>
        <w:ind w:firstLine="0" w:firstLineChars="0"/>
        <w:rPr>
          <w:rFonts w:hint="eastAsia" w:hAnsi="宋体" w:eastAsia="宋体" w:cs="宋体"/>
          <w:sz w:val="24"/>
          <w:szCs w:val="24"/>
        </w:rPr>
      </w:pPr>
      <w:r>
        <w:rPr>
          <w:rFonts w:hint="eastAsia" w:hAnsi="宋体" w:eastAsia="宋体" w:cs="宋体"/>
          <w:sz w:val="24"/>
          <w:szCs w:val="24"/>
        </w:rPr>
        <w:t>1.1.1采购方法</w:t>
      </w:r>
    </w:p>
    <w:p>
      <w:pPr>
        <w:pStyle w:val="63"/>
        <w:spacing w:line="312" w:lineRule="auto"/>
        <w:ind w:firstLine="453" w:firstLineChars="189"/>
        <w:rPr>
          <w:rFonts w:hint="eastAsia" w:hAnsi="宋体" w:eastAsia="宋体" w:cs="宋体"/>
          <w:sz w:val="24"/>
          <w:szCs w:val="24"/>
        </w:rPr>
      </w:pPr>
      <w:r>
        <w:rPr>
          <w:rFonts w:hint="eastAsia" w:hAnsi="宋体" w:eastAsia="宋体" w:cs="宋体"/>
          <w:sz w:val="24"/>
          <w:szCs w:val="24"/>
        </w:rPr>
        <w:t>竞争性谈判采购，是指按照规定程序通过与符合资格要求的供应商谈判确定成交供应商的采购方式。</w:t>
      </w:r>
    </w:p>
    <w:p>
      <w:pPr>
        <w:pStyle w:val="63"/>
        <w:spacing w:line="312" w:lineRule="auto"/>
        <w:ind w:firstLine="0" w:firstLineChars="0"/>
        <w:rPr>
          <w:rFonts w:hint="eastAsia" w:hAnsi="宋体" w:eastAsia="宋体" w:cs="宋体"/>
          <w:sz w:val="24"/>
          <w:szCs w:val="24"/>
        </w:rPr>
      </w:pPr>
      <w:r>
        <w:rPr>
          <w:rFonts w:hint="eastAsia" w:hAnsi="宋体" w:eastAsia="宋体" w:cs="宋体"/>
          <w:sz w:val="24"/>
          <w:szCs w:val="24"/>
        </w:rPr>
        <w:t>1.1.2评审办法</w:t>
      </w:r>
    </w:p>
    <w:p>
      <w:pPr>
        <w:pStyle w:val="63"/>
        <w:spacing w:line="312" w:lineRule="auto"/>
        <w:ind w:firstLine="453" w:firstLineChars="189"/>
        <w:rPr>
          <w:rFonts w:hint="eastAsia" w:hAnsi="宋体" w:eastAsia="宋体" w:cs="宋体"/>
          <w:sz w:val="24"/>
          <w:szCs w:val="24"/>
        </w:rPr>
      </w:pPr>
      <w:r>
        <w:rPr>
          <w:rFonts w:hint="eastAsia" w:hAnsi="宋体" w:eastAsia="宋体" w:cs="宋体"/>
          <w:sz w:val="24"/>
          <w:szCs w:val="24"/>
        </w:rPr>
        <w:t>最低价法，是指在资质、业绩、信誉等条件均满足询价文件要求的前提下，按单项或总价价格最低原则确定成交供应商。包括同质比价法和同价比质法。</w:t>
      </w:r>
    </w:p>
    <w:p>
      <w:pPr>
        <w:adjustRightInd w:val="0"/>
        <w:snapToGrid w:val="0"/>
        <w:ind w:firstLine="453" w:firstLineChars="189"/>
        <w:rPr>
          <w:rFonts w:hint="eastAsia" w:ascii="宋体" w:hAnsi="宋体" w:eastAsia="宋体" w:cs="宋体"/>
          <w:sz w:val="24"/>
          <w:szCs w:val="24"/>
        </w:rPr>
      </w:pPr>
      <w:r>
        <w:rPr>
          <w:rFonts w:hint="eastAsia" w:ascii="宋体" w:hAnsi="宋体" w:cs="宋体"/>
          <w:sz w:val="24"/>
          <w:lang w:val="en-US" w:eastAsia="zh-CN"/>
        </w:rPr>
        <w:t>同质比价法，遵循最低价法评审原则，在资质、业绩、信誉等条件均满足询价文件要求的前提下，按价格最低原则确定成交供应商。</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lang w:eastAsia="zh-CN"/>
        </w:rPr>
        <w:t>本项目不允许分包</w:t>
      </w:r>
      <w:r>
        <w:rPr>
          <w:rFonts w:hint="eastAsia" w:ascii="宋体" w:hAnsi="宋体" w:cs="仿宋"/>
          <w:b/>
          <w:bCs/>
          <w:sz w:val="24"/>
        </w:rPr>
        <w:t>)</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firstLine="480" w:firstLineChars="20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firstLine="480" w:firstLineChars="20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firstLine="480" w:firstLineChars="20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firstLine="480" w:firstLineChars="20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sz w:val="24"/>
        </w:rPr>
        <w:t xml:space="preserve"> </w:t>
      </w:r>
      <w:r>
        <w:rPr>
          <w:rFonts w:hint="eastAsia" w:ascii="宋体" w:hAnsi="宋体" w:cs="仿宋"/>
          <w:color w:val="auto"/>
          <w:sz w:val="24"/>
        </w:rPr>
        <w:t>(1)响应函;</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(2)授权委托书(如有);</w:t>
      </w:r>
    </w:p>
    <w:p>
      <w:pPr>
        <w:adjustRightInd w:val="0"/>
        <w:snapToGrid w:val="0"/>
        <w:spacing w:line="312" w:lineRule="auto"/>
        <w:ind w:firstLine="453" w:firstLineChars="189"/>
        <w:jc w:val="both"/>
        <w:rPr>
          <w:rFonts w:hint="eastAsia"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3</w:t>
      </w:r>
      <w:r>
        <w:rPr>
          <w:rFonts w:hint="eastAsia" w:ascii="宋体" w:hAnsi="宋体" w:cs="仿宋"/>
          <w:color w:val="auto"/>
          <w:sz w:val="24"/>
        </w:rPr>
        <w:t>)商务和技术偏差表;</w:t>
      </w:r>
    </w:p>
    <w:p>
      <w:pPr>
        <w:adjustRightInd w:val="0"/>
        <w:snapToGrid w:val="0"/>
        <w:spacing w:line="312" w:lineRule="auto"/>
        <w:ind w:firstLine="453" w:firstLineChars="189"/>
        <w:jc w:val="both"/>
        <w:rPr>
          <w:rFonts w:hint="default" w:ascii="宋体" w:hAnsi="宋体" w:cs="仿宋"/>
          <w:color w:val="auto"/>
          <w:sz w:val="24"/>
        </w:rPr>
      </w:pPr>
      <w:r>
        <w:rPr>
          <w:rFonts w:hint="eastAsia" w:ascii="宋体" w:hAnsi="宋体" w:cs="仿宋"/>
          <w:color w:val="auto"/>
          <w:sz w:val="24"/>
          <w:lang w:val="en-US" w:eastAsia="zh-CN"/>
        </w:rPr>
        <w:t xml:space="preserve"> </w:t>
      </w:r>
      <w:r>
        <w:rPr>
          <w:rFonts w:hint="eastAsia" w:ascii="宋体" w:hAnsi="宋体" w:cs="仿宋"/>
          <w:color w:val="auto"/>
          <w:sz w:val="24"/>
        </w:rPr>
        <w:t>(</w:t>
      </w:r>
      <w:r>
        <w:rPr>
          <w:rFonts w:hint="eastAsia" w:ascii="宋体" w:hAnsi="宋体" w:cs="仿宋"/>
          <w:color w:val="auto"/>
          <w:sz w:val="24"/>
          <w:lang w:val="en-US" w:eastAsia="zh-CN"/>
        </w:rPr>
        <w:t>4</w:t>
      </w:r>
      <w:r>
        <w:rPr>
          <w:rFonts w:hint="eastAsia" w:ascii="宋体" w:hAnsi="宋体" w:cs="仿宋"/>
          <w:color w:val="auto"/>
          <w:sz w:val="24"/>
        </w:rPr>
        <w:t>)</w:t>
      </w:r>
      <w:r>
        <w:rPr>
          <w:rFonts w:hint="eastAsia" w:ascii="宋体" w:hAnsi="宋体" w:cs="仿宋"/>
          <w:color w:val="auto"/>
          <w:sz w:val="24"/>
          <w:lang w:val="en-US" w:eastAsia="zh-CN"/>
        </w:rPr>
        <w:t>报价</w:t>
      </w:r>
      <w:r>
        <w:rPr>
          <w:rFonts w:hint="eastAsia" w:ascii="宋体" w:hAnsi="宋体" w:cs="仿宋"/>
          <w:color w:val="auto"/>
          <w:sz w:val="24"/>
        </w:rPr>
        <w:t>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5</w:t>
      </w:r>
      <w:r>
        <w:rPr>
          <w:rFonts w:hint="eastAsia" w:ascii="宋体" w:hAnsi="宋体" w:cs="仿宋"/>
          <w:color w:val="auto"/>
          <w:sz w:val="24"/>
        </w:rPr>
        <w:t>)资格审查资料;</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6</w:t>
      </w:r>
      <w:r>
        <w:rPr>
          <w:rFonts w:hint="eastAsia" w:ascii="宋体" w:hAnsi="宋体" w:cs="仿宋"/>
          <w:color w:val="auto"/>
          <w:sz w:val="24"/>
        </w:rPr>
        <w:t>)响应方案;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7</w:t>
      </w:r>
      <w:r>
        <w:rPr>
          <w:rFonts w:hint="eastAsia" w:ascii="宋体" w:hAnsi="宋体" w:cs="仿宋"/>
          <w:color w:val="auto"/>
          <w:sz w:val="24"/>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sz w:val="24"/>
        </w:rPr>
        <w:t>3.2报价</w:t>
      </w:r>
    </w:p>
    <w:p>
      <w:pPr>
        <w:adjustRightInd w:val="0"/>
        <w:snapToGrid w:val="0"/>
        <w:spacing w:line="312" w:lineRule="auto"/>
        <w:ind w:firstLine="480" w:firstLineChars="200"/>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ind w:firstLine="482" w:firstLineChars="200"/>
        <w:jc w:val="both"/>
        <w:rPr>
          <w:rFonts w:hint="eastAsia" w:ascii="宋体" w:hAnsi="宋体" w:eastAsia="宋体" w:cs="仿宋"/>
          <w:b/>
          <w:bCs/>
          <w:sz w:val="24"/>
          <w:lang w:eastAsia="zh-CN"/>
        </w:rPr>
      </w:pPr>
      <w:r>
        <w:rPr>
          <w:rFonts w:hint="eastAsia" w:ascii="宋体" w:hAnsi="宋体" w:cs="仿宋"/>
          <w:b/>
          <w:bCs/>
          <w:sz w:val="24"/>
        </w:rPr>
        <w:t>3.4响应保证金</w:t>
      </w:r>
      <w:r>
        <w:rPr>
          <w:rFonts w:hint="eastAsia" w:ascii="宋体" w:hAnsi="宋体" w:cs="仿宋"/>
          <w:b/>
          <w:bCs/>
          <w:sz w:val="24"/>
          <w:lang w:eastAsia="zh-CN"/>
        </w:rPr>
        <w:t>（本项目不提交响应保证金）</w:t>
      </w:r>
    </w:p>
    <w:p>
      <w:pPr>
        <w:adjustRightInd w:val="0"/>
        <w:snapToGrid w:val="0"/>
        <w:spacing w:line="312" w:lineRule="auto"/>
        <w:ind w:left="239" w:leftChars="114" w:firstLine="361" w:firstLineChars="1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w:t>
      </w:r>
      <w:r>
        <w:rPr>
          <w:rFonts w:hint="eastAsia" w:ascii="宋体" w:hAnsi="宋体" w:cs="仿宋"/>
          <w:sz w:val="24"/>
          <w:lang w:val="en-US" w:eastAsia="zh-CN"/>
        </w:rPr>
        <w:t>8</w:t>
      </w:r>
      <w:r>
        <w:rPr>
          <w:rFonts w:hint="eastAsia" w:ascii="宋体" w:hAnsi="宋体" w:cs="仿宋"/>
          <w:sz w:val="24"/>
        </w:rPr>
        <w:t>)中规定的资格审查资料，以证明其满足第一章“采购公告”对供应商的各项资格要求。</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ind w:firstLine="480" w:firstLineChars="200"/>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ind w:firstLine="480" w:firstLineChars="200"/>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ind w:firstLine="482" w:firstLineChars="200"/>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ind w:firstLine="480" w:firstLineChars="200"/>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ind w:firstLine="480" w:firstLineChars="200"/>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w:t>
      </w:r>
      <w:r>
        <w:rPr>
          <w:rFonts w:hint="eastAsia" w:ascii="宋体" w:hAnsi="宋体" w:cs="仿宋"/>
          <w:color w:val="auto"/>
          <w:sz w:val="24"/>
        </w:rPr>
        <w:t>本条规定执行。</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0" w:leftChars="0" w:firstLine="480" w:firstLineChars="20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ind w:firstLine="480" w:firstLineChars="200"/>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ind w:firstLine="482" w:firstLineChars="200"/>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ind w:firstLine="482" w:firstLineChars="200"/>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ind w:firstLine="482" w:firstLineChars="200"/>
        <w:jc w:val="both"/>
        <w:rPr>
          <w:rFonts w:hint="default" w:ascii="宋体" w:hAnsi="宋体" w:eastAsia="宋体" w:cs="仿宋"/>
          <w:b/>
          <w:bCs/>
          <w:sz w:val="24"/>
          <w:lang w:val="en-US" w:eastAsia="zh-CN"/>
        </w:rPr>
      </w:pPr>
      <w:r>
        <w:rPr>
          <w:rFonts w:hint="eastAsia" w:ascii="宋体" w:hAnsi="宋体" w:cs="仿宋"/>
          <w:b/>
          <w:bCs/>
          <w:sz w:val="24"/>
        </w:rPr>
        <w:t>7.6履约保证金</w:t>
      </w:r>
      <w:r>
        <w:rPr>
          <w:rFonts w:hint="eastAsia" w:ascii="宋体" w:hAnsi="宋体" w:cs="仿宋"/>
          <w:b/>
          <w:bCs/>
          <w:sz w:val="24"/>
          <w:lang w:val="en-US" w:eastAsia="zh-CN"/>
        </w:rPr>
        <w:t>(本项目不要求提交）</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hint="eastAsia" w:ascii="宋体" w:hAnsi="宋体" w:cs="仿宋"/>
          <w:sz w:val="24"/>
          <w:lang w:val="en-US" w:eastAsia="zh-CN"/>
        </w:rPr>
        <w:t>5</w:t>
      </w:r>
      <w:r>
        <w:rPr>
          <w:rFonts w:hint="eastAsia" w:ascii="宋体" w:hAnsi="宋体" w:cs="仿宋"/>
          <w:sz w:val="24"/>
        </w:rPr>
        <w:t>%。</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ind w:firstLine="480" w:firstLineChars="200"/>
        <w:jc w:val="both"/>
        <w:rPr>
          <w:rFonts w:ascii="宋体" w:hAnsi="宋体" w:cs="仿宋"/>
          <w:color w:val="auto"/>
          <w:sz w:val="24"/>
        </w:rPr>
      </w:pPr>
      <w:r>
        <w:rPr>
          <w:rFonts w:hint="eastAsia" w:ascii="宋体" w:hAnsi="宋体" w:cs="仿宋"/>
          <w:sz w:val="24"/>
        </w:rPr>
        <w:t>7.7.2发出成交通知书后，采购人无正当理由拒绝签订合同，或者在签订合同时向成交供应商提出附加条件的</w:t>
      </w:r>
      <w:r>
        <w:rPr>
          <w:rFonts w:hint="eastAsia" w:ascii="宋体" w:hAnsi="宋体" w:cs="仿宋"/>
          <w:color w:val="auto"/>
          <w:sz w:val="24"/>
        </w:rPr>
        <w:t>，采购人向成交供应商退还响应保证金；给成交供应商造成损失的，还应当赔偿损失。</w:t>
      </w:r>
    </w:p>
    <w:p>
      <w:pPr>
        <w:adjustRightInd w:val="0"/>
        <w:snapToGrid w:val="0"/>
        <w:spacing w:line="312" w:lineRule="auto"/>
        <w:ind w:firstLine="480" w:firstLineChars="200"/>
        <w:jc w:val="both"/>
        <w:rPr>
          <w:rFonts w:ascii="宋体" w:hAnsi="宋体" w:cs="仿宋"/>
          <w:color w:val="auto"/>
          <w:sz w:val="24"/>
        </w:rPr>
      </w:pPr>
      <w:r>
        <w:rPr>
          <w:rFonts w:hint="eastAsia" w:ascii="宋体" w:hAnsi="宋体" w:cs="仿宋"/>
          <w:color w:val="auto"/>
          <w:sz w:val="24"/>
        </w:rPr>
        <w:t>7.7.</w:t>
      </w:r>
      <w:r>
        <w:rPr>
          <w:rFonts w:hint="eastAsia" w:ascii="宋体" w:hAnsi="宋体" w:cs="仿宋"/>
          <w:color w:val="auto"/>
          <w:sz w:val="24"/>
          <w:lang w:val="en-US" w:eastAsia="zh-CN"/>
        </w:rPr>
        <w:t>3</w:t>
      </w:r>
      <w:r>
        <w:rPr>
          <w:rFonts w:hint="eastAsia" w:ascii="宋体" w:hAnsi="宋体" w:cs="仿宋"/>
          <w:color w:val="auto"/>
          <w:sz w:val="24"/>
        </w:rPr>
        <w:t>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w:t>
      </w:r>
      <w:r>
        <w:rPr>
          <w:rFonts w:hint="eastAsia" w:ascii="宋体" w:hAnsi="宋体" w:cs="仿宋"/>
          <w:sz w:val="24"/>
        </w:rPr>
        <w:t>的程序重新选择成交供应商、进行公示并公告。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ind w:firstLine="482" w:firstLineChars="200"/>
        <w:jc w:val="both"/>
        <w:rPr>
          <w:rFonts w:ascii="宋体" w:hAnsi="宋体" w:cs="仿宋"/>
          <w:sz w:val="24"/>
        </w:rPr>
      </w:pPr>
      <w:r>
        <w:rPr>
          <w:rFonts w:hint="eastAsia" w:ascii="宋体" w:hAnsi="宋体" w:cs="仿宋"/>
          <w:b/>
          <w:bCs/>
          <w:sz w:val="24"/>
        </w:rPr>
        <w:t>10.2其他</w:t>
      </w:r>
      <w:r>
        <w:rPr>
          <w:rFonts w:hint="eastAsia" w:ascii="宋体" w:hAnsi="宋体" w:cs="仿宋"/>
          <w:b/>
          <w:bCs/>
          <w:sz w:val="24"/>
          <w:lang w:val="en-US" w:eastAsia="zh-CN"/>
        </w:rPr>
        <w:t xml:space="preserve"> </w:t>
      </w: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snapToGrid/>
        <w:spacing w:line="312" w:lineRule="auto"/>
        <w:ind w:firstLine="0" w:firstLineChars="0"/>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adjustRightInd/>
        <w:snapToGrid/>
        <w:spacing w:line="600" w:lineRule="exact"/>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4"/>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4" w:name="_Toc9373"/>
      <w:bookmarkStart w:id="5" w:name="_Toc14842"/>
      <w:r>
        <w:rPr>
          <w:rFonts w:hint="eastAsia" w:ascii="黑体" w:hAnsi="黑体" w:eastAsia="黑体" w:cs="仿宋"/>
          <w:bCs/>
          <w:sz w:val="36"/>
          <w:szCs w:val="36"/>
        </w:rPr>
        <w:t>第三章 评审办法</w:t>
      </w:r>
      <w:bookmarkEnd w:id="4"/>
      <w:bookmarkEnd w:id="5"/>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服务</w:t>
            </w:r>
            <w:r>
              <w:rPr>
                <w:rFonts w:hint="eastAsia" w:cs="仿宋" w:asciiTheme="minorEastAsia" w:hAnsiTheme="minorEastAsia" w:eastAsiaTheme="minorEastAsia"/>
                <w:szCs w:val="21"/>
              </w:rPr>
              <w:t>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tcPr>
          <w:p>
            <w:pPr>
              <w:widowControl w:val="0"/>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widowControl w:val="0"/>
        <w:snapToGrid w:val="0"/>
        <w:spacing w:line="490" w:lineRule="exact"/>
        <w:jc w:val="center"/>
        <w:outlineLvl w:val="9"/>
        <w:rPr>
          <w:rFonts w:ascii="黑体" w:hAnsi="黑体" w:eastAsia="黑体" w:cs="宋体"/>
          <w:kern w:val="44"/>
          <w:sz w:val="32"/>
          <w:szCs w:val="32"/>
        </w:rPr>
      </w:pPr>
    </w:p>
    <w:p>
      <w:pPr>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74"/>
        <w:spacing w:line="600" w:lineRule="exact"/>
        <w:ind w:left="0" w:firstLine="0" w:firstLineChars="0"/>
        <w:jc w:val="center"/>
        <w:outlineLvl w:val="0"/>
        <w:rPr>
          <w:rFonts w:ascii="黑体" w:hAnsi="黑体" w:eastAsia="黑体" w:cs="仿宋"/>
          <w:b/>
          <w:color w:val="000000"/>
          <w:sz w:val="36"/>
          <w:szCs w:val="36"/>
        </w:rPr>
      </w:pPr>
      <w:bookmarkStart w:id="6" w:name="_Toc27966"/>
      <w:bookmarkStart w:id="7" w:name="_Toc15020"/>
      <w:r>
        <w:rPr>
          <w:rFonts w:hint="eastAsia" w:ascii="黑体" w:hAnsi="黑体" w:eastAsia="黑体" w:cs="仿宋"/>
          <w:b/>
          <w:color w:val="000000"/>
          <w:sz w:val="36"/>
          <w:szCs w:val="36"/>
        </w:rPr>
        <w:t>第四章  合同条款及格式</w:t>
      </w:r>
      <w:bookmarkEnd w:id="6"/>
      <w:bookmarkEnd w:id="7"/>
    </w:p>
    <w:p>
      <w:pPr>
        <w:spacing w:line="312" w:lineRule="auto"/>
        <w:ind w:firstLine="544" w:firstLineChars="227"/>
        <w:jc w:val="both"/>
        <w:rPr>
          <w:rFonts w:cs="仿宋" w:asciiTheme="minorEastAsia" w:hAnsiTheme="minorEastAsia" w:eastAsiaTheme="minorEastAsia"/>
          <w:sz w:val="24"/>
        </w:rPr>
      </w:pPr>
    </w:p>
    <w:p>
      <w:pPr>
        <w:widowControl w:val="0"/>
        <w:jc w:val="center"/>
        <w:rPr>
          <w:rFonts w:hint="eastAsia" w:ascii="黑体" w:hAnsi="黑体" w:eastAsia="黑体" w:cs="Times New Roman"/>
          <w:sz w:val="32"/>
          <w:szCs w:val="32"/>
        </w:rPr>
      </w:pPr>
      <w:bookmarkStart w:id="8" w:name="_Toc131134472"/>
      <w:r>
        <w:rPr>
          <w:rFonts w:hint="eastAsia" w:ascii="黑体" w:hAnsi="黑体" w:eastAsia="黑体" w:cs="Times New Roman"/>
          <w:sz w:val="32"/>
          <w:szCs w:val="32"/>
        </w:rPr>
        <w:t>岳阳城陵矶新港有限公司</w:t>
      </w:r>
    </w:p>
    <w:p>
      <w:pPr>
        <w:widowControl w:val="0"/>
        <w:jc w:val="center"/>
        <w:rPr>
          <w:rFonts w:hint="eastAsia" w:ascii="黑体" w:hAnsi="黑体" w:eastAsia="黑体" w:cs="Times New Roman"/>
          <w:sz w:val="32"/>
          <w:szCs w:val="32"/>
        </w:rPr>
      </w:pPr>
      <w:r>
        <w:rPr>
          <w:rFonts w:hint="eastAsia" w:ascii="黑体" w:hAnsi="黑体" w:eastAsia="黑体" w:cs="Times New Roman"/>
          <w:sz w:val="32"/>
          <w:szCs w:val="32"/>
        </w:rPr>
        <w:t>堆场至路口铺站集装箱拖车运输合同</w:t>
      </w:r>
    </w:p>
    <w:p>
      <w:pPr>
        <w:pStyle w:val="187"/>
        <w:widowControl w:val="0"/>
        <w:spacing w:line="560" w:lineRule="exact"/>
        <w:ind w:firstLine="0" w:firstLineChars="0"/>
        <w:rPr>
          <w:rFonts w:hint="eastAsia" w:ascii="宋体" w:hAnsi="宋体" w:eastAsia="宋体" w:cs="宋体"/>
          <w:sz w:val="24"/>
          <w:szCs w:val="24"/>
        </w:rPr>
      </w:pPr>
    </w:p>
    <w:p>
      <w:pPr>
        <w:pStyle w:val="187"/>
        <w:widowControl w:val="0"/>
        <w:spacing w:line="560" w:lineRule="exact"/>
        <w:ind w:firstLine="0" w:firstLineChars="0"/>
        <w:rPr>
          <w:rFonts w:hint="eastAsia" w:ascii="宋体" w:hAnsi="宋体" w:eastAsia="宋体" w:cs="宋体"/>
          <w:sz w:val="24"/>
          <w:szCs w:val="24"/>
        </w:rPr>
      </w:pPr>
      <w:r>
        <w:rPr>
          <w:rFonts w:hint="eastAsia" w:ascii="宋体" w:hAnsi="宋体" w:eastAsia="宋体" w:cs="宋体"/>
          <w:sz w:val="24"/>
          <w:szCs w:val="24"/>
        </w:rPr>
        <w:t>甲方: 岳阳城陵矶新港有限公司                 （以下简称甲方）</w:t>
      </w:r>
    </w:p>
    <w:p>
      <w:pPr>
        <w:pStyle w:val="187"/>
        <w:widowControl w:val="0"/>
        <w:spacing w:line="56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乙方：                                       （以下简称乙方）                 </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根据《中华人民共和国民法典》和有关法律、法规规定，甲乙双方本着平等互利原则，经友好协商，就甲方委托乙方运输事宜达成如下协议，以便双方共同遵守。</w:t>
      </w:r>
    </w:p>
    <w:p>
      <w:pPr>
        <w:pStyle w:val="187"/>
        <w:widowControl w:val="0"/>
        <w:numPr>
          <w:ilvl w:val="0"/>
          <w:numId w:val="3"/>
        </w:numPr>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 xml:space="preserve">运输货物  </w:t>
      </w:r>
    </w:p>
    <w:p>
      <w:pPr>
        <w:pStyle w:val="187"/>
        <w:widowControl w:val="0"/>
        <w:spacing w:line="560" w:lineRule="exact"/>
        <w:ind w:firstLine="0" w:firstLineChars="0"/>
        <w:rPr>
          <w:rStyle w:val="188"/>
          <w:rFonts w:ascii="宋体" w:hAnsi="宋体" w:eastAsia="宋体" w:cs="宋体"/>
          <w:sz w:val="24"/>
          <w:szCs w:val="24"/>
        </w:rPr>
      </w:pPr>
      <w:r>
        <w:rPr>
          <w:rStyle w:val="188"/>
          <w:rFonts w:hint="eastAsia" w:ascii="宋体" w:hAnsi="宋体" w:eastAsia="宋体" w:cs="宋体"/>
          <w:sz w:val="24"/>
          <w:szCs w:val="24"/>
        </w:rPr>
        <w:t xml:space="preserve">    集装箱空重箱短驳运输</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二、运输区间</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城陵矶新港集装箱码头至路口铺站货场之间的短驳运输，甲方不规定乙方具体运输路线，由乙方自行决定。</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 xml:space="preserve">三、运输单价  </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1.   元/20英尺空箱；</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2.   元/20英尺重箱；</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3.   元/40（45）英尺空箱；</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4.   元/40（45）英尺重箱；</w:t>
      </w:r>
    </w:p>
    <w:p>
      <w:pPr>
        <w:pStyle w:val="187"/>
        <w:widowControl w:val="0"/>
        <w:spacing w:line="560" w:lineRule="exact"/>
        <w:ind w:firstLine="480"/>
        <w:rPr>
          <w:rStyle w:val="188"/>
          <w:rFonts w:hint="eastAsia" w:ascii="宋体" w:hAnsi="宋体" w:eastAsia="宋体" w:cs="宋体"/>
          <w:sz w:val="24"/>
          <w:szCs w:val="24"/>
        </w:rPr>
      </w:pPr>
      <w:r>
        <w:rPr>
          <w:rStyle w:val="188"/>
          <w:rFonts w:hint="eastAsia" w:ascii="宋体" w:hAnsi="宋体" w:eastAsia="宋体" w:cs="宋体"/>
          <w:sz w:val="24"/>
          <w:szCs w:val="24"/>
        </w:rPr>
        <w:t>5.   大豆箱只按重箱计费。</w:t>
      </w:r>
    </w:p>
    <w:p>
      <w:pPr>
        <w:pStyle w:val="189"/>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四、合同期限</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合同期限自</w:t>
      </w:r>
      <w:r>
        <w:rPr>
          <w:rFonts w:hint="eastAsia" w:ascii="宋体" w:hAnsi="宋体" w:eastAsia="宋体" w:cs="宋体"/>
          <w:sz w:val="24"/>
          <w:szCs w:val="24"/>
          <w:lang w:eastAsia="zh-CN"/>
        </w:rPr>
        <w:t>签订生效之日</w:t>
      </w:r>
      <w:r>
        <w:rPr>
          <w:rFonts w:hint="eastAsia" w:ascii="宋体" w:hAnsi="宋体" w:eastAsia="宋体" w:cs="宋体"/>
          <w:sz w:val="24"/>
          <w:szCs w:val="24"/>
        </w:rPr>
        <w:t>起，有效期一年。</w:t>
      </w:r>
    </w:p>
    <w:p>
      <w:pPr>
        <w:pStyle w:val="189"/>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五、结算方式</w:t>
      </w:r>
    </w:p>
    <w:p>
      <w:pPr>
        <w:widowControl w:val="0"/>
        <w:spacing w:line="560" w:lineRule="exact"/>
        <w:ind w:firstLine="480" w:firstLineChars="200"/>
        <w:rPr>
          <w:rFonts w:hint="eastAsia" w:ascii="宋体" w:hAnsi="宋体" w:eastAsia="宋体" w:cs="宋体"/>
          <w:spacing w:val="10"/>
          <w:sz w:val="24"/>
          <w:szCs w:val="24"/>
        </w:rPr>
      </w:pPr>
      <w:r>
        <w:rPr>
          <w:rFonts w:hint="eastAsia" w:ascii="宋体" w:hAnsi="宋体" w:eastAsia="宋体" w:cs="宋体"/>
          <w:sz w:val="24"/>
          <w:szCs w:val="24"/>
        </w:rPr>
        <w:t>1.乙方凭甲方指定收货方签收单及编制的送货清单，每月按合同</w:t>
      </w:r>
      <w:r>
        <w:rPr>
          <w:rFonts w:hint="eastAsia" w:ascii="宋体" w:hAnsi="宋体" w:eastAsia="宋体" w:cs="宋体"/>
          <w:spacing w:val="10"/>
          <w:sz w:val="24"/>
          <w:szCs w:val="24"/>
        </w:rPr>
        <w:t>价格向甲方申报结算上月运费。</w:t>
      </w:r>
    </w:p>
    <w:p>
      <w:pPr>
        <w:widowControl w:val="0"/>
        <w:spacing w:line="560" w:lineRule="exact"/>
        <w:rPr>
          <w:rFonts w:hint="eastAsia" w:ascii="宋体" w:hAnsi="宋体" w:eastAsia="宋体" w:cs="宋体"/>
          <w:sz w:val="24"/>
          <w:szCs w:val="24"/>
        </w:rPr>
      </w:pPr>
      <w:r>
        <w:rPr>
          <w:rFonts w:hint="eastAsia" w:ascii="宋体" w:hAnsi="宋体" w:eastAsia="宋体" w:cs="宋体"/>
          <w:spacing w:val="10"/>
          <w:sz w:val="24"/>
          <w:szCs w:val="24"/>
        </w:rPr>
        <w:t xml:space="preserve">   2.乙方按甲方核实后的费用开具税率为9%增值税专用发票送交甲方，甲方根据发票及相关证明及时向乙方支付运费，乙方不按时</w:t>
      </w:r>
      <w:r>
        <w:rPr>
          <w:rFonts w:hint="eastAsia" w:ascii="宋体" w:hAnsi="宋体" w:eastAsia="宋体" w:cs="宋体"/>
          <w:sz w:val="24"/>
          <w:szCs w:val="24"/>
        </w:rPr>
        <w:t>开具有效增税专用发票的，甲方有权拒绝付款，且不视为违约。</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4.甲方、乙方银行资料</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甲方资料</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开户名称：岳阳城陵矶新港有限公司</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开户银行: 交通银行云溪支行</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 xml:space="preserve">开户帐号：4366 0072 0018 0100 06451  </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纳税人识别号：9143 0600 66166 8630D</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乙方资料</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开户名称：</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开户银行：</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开户账号：</w:t>
      </w:r>
    </w:p>
    <w:p>
      <w:pPr>
        <w:pStyle w:val="2"/>
        <w:spacing w:line="560" w:lineRule="exact"/>
        <w:ind w:left="420" w:leftChars="200" w:firstLine="0" w:firstLineChars="0"/>
        <w:rPr>
          <w:rFonts w:hint="eastAsia" w:ascii="宋体" w:hAnsi="宋体" w:cs="宋体"/>
          <w:sz w:val="24"/>
        </w:rPr>
      </w:pPr>
      <w:r>
        <w:rPr>
          <w:rFonts w:hint="eastAsia" w:ascii="宋体" w:hAnsi="宋体" w:cs="宋体"/>
          <w:sz w:val="24"/>
        </w:rPr>
        <w:t>纳税人识别号：</w:t>
      </w:r>
    </w:p>
    <w:p>
      <w:pPr>
        <w:pStyle w:val="189"/>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六、甲方责任</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1.甲方负责提供收货方联系人告知乙方运输计划，包括：箱号、箱量、提货时间、到货时间要求等相关资料。  　　</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2.甲方负责提供收货方联系人，便于与乙方联系、沟通，解决日常往来业务问题。</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3.甲方应按双方约定及时支付乙方运费。</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4.对于乙方提供的服务未达到本合同服务标准的，甲方有权根据情况对乙方采取减少运输数量、暂停乙方运输资格、立即终止合同等措施。 　　</w:t>
      </w:r>
    </w:p>
    <w:p>
      <w:pPr>
        <w:pStyle w:val="189"/>
        <w:widowControl w:val="0"/>
        <w:tabs>
          <w:tab w:val="left" w:pos="466"/>
        </w:tabs>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七、乙方责任</w:t>
      </w:r>
    </w:p>
    <w:p>
      <w:pPr>
        <w:pStyle w:val="189"/>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1.服从新港公司铁水项目小组的调度安排，保证所需车辆。</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2.乙方所派车辆应为合法、合规车辆，所提供的车辆数量必须要能满足运量需要，并根据运量增长及时添置车辆。乙方负责对车辆进行保养，保证车辆运输状态良好、顺畅，确保运输途中货物的安全。</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乙方需提供本单位有效工商执照及道路运输许可证复印件。并负责各种法律法规规定的车辆运营等相关准运证明全部手续的办理，所需一切费用由乙方自己承担。乙方如因提供的人员和车辆不符合法律法规规定的资质</w:t>
      </w:r>
      <w:r>
        <w:rPr>
          <w:rFonts w:hint="eastAsia" w:ascii="宋体" w:hAnsi="宋体" w:eastAsia="宋体" w:cs="宋体"/>
          <w:kern w:val="0"/>
          <w:sz w:val="24"/>
          <w:szCs w:val="24"/>
        </w:rPr>
        <w:t>导致使用车辆过程中被有关部门查处，由此造成甲方经济损失的，由乙方承担全部责任</w:t>
      </w:r>
      <w:r>
        <w:rPr>
          <w:rFonts w:hint="eastAsia" w:ascii="宋体" w:hAnsi="宋体" w:eastAsia="宋体" w:cs="宋体"/>
          <w:sz w:val="24"/>
          <w:szCs w:val="24"/>
        </w:rPr>
        <w:t>。</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4.乙方负责为其安排的</w:t>
      </w:r>
      <w:r>
        <w:rPr>
          <w:rFonts w:hint="eastAsia" w:ascii="宋体" w:hAnsi="宋体" w:eastAsia="宋体" w:cs="宋体"/>
          <w:sz w:val="24"/>
          <w:szCs w:val="24"/>
          <w:lang w:eastAsia="zh-CN"/>
        </w:rPr>
        <w:t>集装箱</w:t>
      </w:r>
      <w:r>
        <w:rPr>
          <w:rFonts w:hint="eastAsia" w:ascii="宋体" w:hAnsi="宋体" w:eastAsia="宋体" w:cs="宋体"/>
          <w:sz w:val="24"/>
          <w:szCs w:val="24"/>
        </w:rPr>
        <w:t xml:space="preserve">运输车辆购买相应的车辆保险，在运输过程中的过路过桥费、违章罚款、车辆的各种消耗费用及遇交通事故或其它不可抗力的自然灾害造成损失均由乙方自己承担，途中一切货物减少、损坏、污染或变质、集装箱损失或推定全损，均由乙方负责全额赔偿。 </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5.乙方在接到甲方或甲方的提箱计划后，应及时完成提送箱申请手续，经报甲方生产部门同意后方可派车作业。</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6.甲方的货物在交付给乙方验货、签收后，货物的运输风险责任由乙方负责，直至终点交付货物完成为止。</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7.乙方因超重或隐瞒超重所造成的一切后果和费用由乙方承担。　　</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8.乙方不得在任何情况下未经甲方同意对承运之货物行使留置权。否则，由此造成甲方向第三人的赔偿损失由乙方全部承担。</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9.乙方集卡司机负责对集装箱进行绞铁丝、上封签、拍照等基本工作，并对接甲方现场操作人员。</w:t>
      </w:r>
    </w:p>
    <w:p>
      <w:pPr>
        <w:pStyle w:val="187"/>
        <w:widowControl w:val="0"/>
        <w:spacing w:line="560" w:lineRule="exact"/>
        <w:ind w:firstLine="480"/>
        <w:rPr>
          <w:rFonts w:hint="eastAsia" w:ascii="宋体" w:hAnsi="宋体" w:eastAsia="宋体" w:cs="宋体"/>
          <w:sz w:val="24"/>
          <w:szCs w:val="24"/>
          <w:u w:val="none"/>
        </w:rPr>
      </w:pPr>
      <w:r>
        <w:rPr>
          <w:rFonts w:hint="eastAsia" w:ascii="宋体" w:hAnsi="宋体" w:eastAsia="宋体" w:cs="宋体"/>
          <w:sz w:val="24"/>
          <w:szCs w:val="24"/>
          <w:highlight w:val="none"/>
          <w:u w:val="none"/>
          <w:lang w:val="en-US" w:eastAsia="zh-CN"/>
        </w:rPr>
        <w:t>10.乙方需提供与长沙货运中心路口铺车间签订的安全协议，并按照协议要求遵守路口铺车间的安全管理规定。</w:t>
      </w:r>
    </w:p>
    <w:p>
      <w:pPr>
        <w:pStyle w:val="189"/>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八、违约责任</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1.双方任何一方如违反本合同相关规定，对方均有权单方面解除本合同，造成对方经济损失的均由违约方负责赔偿。</w:t>
      </w:r>
    </w:p>
    <w:p>
      <w:pPr>
        <w:pStyle w:val="187"/>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2.在合同有效期内，乙方无故单方面提出终止合同，应向甲方支付违约金</w:t>
      </w:r>
      <w:r>
        <w:rPr>
          <w:rFonts w:hint="eastAsia" w:ascii="宋体" w:hAnsi="宋体" w:eastAsia="宋体" w:cs="宋体"/>
          <w:sz w:val="24"/>
          <w:szCs w:val="24"/>
          <w:lang w:val="en-US" w:eastAsia="zh-CN"/>
        </w:rPr>
        <w:t>3%</w:t>
      </w:r>
      <w:r>
        <w:rPr>
          <w:rFonts w:hint="eastAsia" w:ascii="宋体" w:hAnsi="宋体" w:eastAsia="宋体" w:cs="宋体"/>
          <w:sz w:val="24"/>
          <w:szCs w:val="24"/>
        </w:rPr>
        <w:t>，任何一方违反本合同约定的任何一条，均应向守约方支付本合同总价款</w:t>
      </w:r>
      <w:r>
        <w:rPr>
          <w:rFonts w:hint="eastAsia" w:ascii="宋体" w:hAnsi="宋体" w:eastAsia="宋体" w:cs="宋体"/>
          <w:sz w:val="24"/>
          <w:szCs w:val="24"/>
          <w:lang w:val="en-US" w:eastAsia="zh-CN"/>
        </w:rPr>
        <w:t>2</w:t>
      </w:r>
      <w:r>
        <w:rPr>
          <w:rFonts w:hint="eastAsia" w:ascii="宋体" w:hAnsi="宋体" w:eastAsia="宋体" w:cs="宋体"/>
          <w:sz w:val="24"/>
          <w:szCs w:val="24"/>
        </w:rPr>
        <w:t>%的违约金。本合同未明确的其它违约责任，则按《中华人民共和国民法典》执行。</w:t>
      </w:r>
    </w:p>
    <w:p>
      <w:pPr>
        <w:pStyle w:val="187"/>
        <w:widowControl w:val="0"/>
        <w:numPr>
          <w:ilvl w:val="0"/>
          <w:numId w:val="4"/>
        </w:numPr>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如乙方未达到甲方要求的派车数量，乙方需按200元/台的标准向甲方支付违约金。</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九、安全条款</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（一）甲方的权利</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1.有权要求乙方建立安全组织机构或指定专人负责作业现场安全监督检查。严格执行安全生产法律、法规、条例、标准，遵守甲方的安全生产规章制度等。</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2.有权按规定对乙方安全业绩、资质进行审查，对乙方针对作业项目制定的职业健康安全、环境项目进行审查并备案。</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3.有权要求乙方维护好相关甲方的安全生产设施、设备和器材。</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4.有权要求乙方在进入甲方现场作业前所有作业人员接受甲方的安全培训与教育。</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5.有权对乙方的作业现场的安全作业情况进行监督检查，有权对乙方不符合安全生产要求的行为进行制止、纠正、处罚、停止作业、直至清退出场。</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6.有权要求乙方所有作业人员必须交纳工伤保险和意外伤害保险。</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7.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（二）甲方的责任</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1.认真贯彻落实国家有关法律、法规、标准及甲方公司安全生产规章制度。</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2.向乙方明确作业区（甲方港内）的范围、危险源及安全技术交底，并要有书面记录。</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3.在甲方港内为乙方提供项目合同中规定的安全作业条件。</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（三）乙方的权利</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1.有权对甲方的安全工作提出合理化建议和改进意见。</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2.日常作业中，若甲方违章指挥、强令乙方冒险作业，有权拒绝执行。</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3.有权要求在甲方港内提供符合安全作业的工艺条件和环境。</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4.发生严重危及乙方生命安全的紧急情况时，乙方有权采取必要的避险措施。</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（四）乙方的责任</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1.乙方是本项目的安全生产责任主体，对本项目的安全生产工作全面负责。</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2.健全安全组织机构，建立安全生产责任制，制定健全的安全生产规章制度，制定生产安全事故应急求援预案，配备必要的安全生产管理人员和劳动保护用品，严格执行甲方相关的规章制度。</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3.应对作业人员进行作业前安全教育培训，使其具备相应的安全意识和安全技能；特种作业人员应具有相应的资格证书。</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4.不得使用不符合国家、行业标准和甲方规定的原材料、设备、装置、防护用品、器材、安全检测仪器等。所使用的特种设备，必须经具有专业资质的检验检测机构检测。经检测不合格的，不得继续使用。</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5.指定专人负责现场安全监督检查工作，认真开展安全检查，发现作业过程中人的不安全行为及事故安全隐患，应采取有效措施积极处理。</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6.乙方有责任对作业区域的安全生产条件进行详细了解。</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7.乙方在作业过程中有属于危及安全生产的关键作业时，应提出切实可行的方案，经甲方同意后，方可实施。</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8.乙方不能将项目转包给第三方。</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9.乙方在甲方港内作业期间只能在甲方规定的路线进出公司，只能在规定的区域内作业，禁止私自进入甲方其它生产区域。</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10.乙方应服从甲方单位的安全管理。</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11.发生事故时，乙方应积极抢险，避免事故的进一步扩大，并按照国家相关要求报告事故。</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12.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（五）安全责任及处理</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1.甲乙双方违反本合同要求，未造成事故时，依据相关合同对违约者进行处理（包括但不限于支付违约金、赔偿损失等）。</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2.在甲方港内发生事故时，甲、乙双方有抢险、救灾的责任，所发生的费用由责任方承担。</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3.发生的事故，应经事故调查确认责任；事故报告和调查应按照国家和甲方有关规定进行。           </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4.甲方违约造成的事故，甲方承担全部责任，并按规定追究有关人员责任及上报。</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5.乙方违约造成的事故，乙方承担全部责任，并按规定追究有关人员责任并报告甲方。</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6.甲、乙双方共同造成的事故，按双方责任大小承担相应责任，并按规定追究有关人员责任。</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7.对乙方发生事故后弄虚作假、隐瞒不报、迟报或谎报，一经查出，按有关规定从重处罚，情节严重的，甲方有权向当地政府安全生产监督管理部门报告，并取消其进入甲方市场资格。</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8.作业期间，需要办理的有关安全的批文或其它手续，乙方必须办理齐全，否则发生安全事故由乙方承担全部责任。</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（六）由于不可抗力造成合同项目作业事故及生产的损失，当事人双方各自承担相应的损失。</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（七）甲乙双方的作业人员和机具设备的保险，由甲乙双方依据国家相关规定或约定各自承担。</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十、廉洁条款　</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（一）甲方廉洁义务</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有权了解乙方有关廉洁从业方面的各项制度和规定，并自觉配合乙方遵守执行。甲方人员不得以任何形式向乙方索取贿赂，收受回扣及好处费等。不得接受乙方钱、物，有价证券。不得让乙方报销任何费用。不得参与乙方组织对执行业务有关的私人会馆等娱乐场所活动和宴请。不得接受乙方介绍给予家庭成员或亲友从事与业务有关联的商务业务、材料、设备供应或项目分包等经济活动。不得借婚丧嫁娶之机收受乙方钱物。</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（二）乙方廉洁义务</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承诺遵守甲方在廉洁从业方面的各项制度和规定，包括但不限于新港公司相关管理制度，并自觉配合甲方执行。不得为甲方人员购置或长期无偿提供交通、通信、办公和家庭生活用品。不得接收甲方人员介绍的家属或亲友从事与业务合作有关的商务业务、材料、设备供应或项目分包经济活动等。</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2.乙方在与甲方商务合作中，严禁以下行为：</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（1）向甲方人员及其特定关系人员送礼品、礼金，赠有价证券或干股，给予“好处”或安排工作等。</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（2）支付应由甲方相关人员承担的费用或支付甲方相关人员父母、配偶、子女及其他亲属、特定关系人费用。</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（3）超标准接待、宴请甲方或其父母、配偶、子女及其他亲属、特定关系人，安排观光旅游、度假，到私人会馆等娱乐场所消费。</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（4）以虚假资质、资信及证明材料骗取甲方商务合作。</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（5）以利诱、敲诈、威胁或诬告等手段，引诱或逼迫甲方人员违法违纪，提供资源或实施合作。</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（6）涉及或关联案件，但以伪证信息或材料，拖延、阻碍案件调查工作。</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（7）违反国家法律法规或其他不廉洁诚信行为。</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3.乙方发现甲方人员有不廉洁行为，须在48小时内署名报告甲方相关监察部门。联系方式：</w:t>
      </w:r>
    </w:p>
    <w:p>
      <w:pPr>
        <w:widowControl w:val="0"/>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举报电话：</w:t>
      </w:r>
      <w:r>
        <w:rPr>
          <w:rFonts w:hint="eastAsia" w:ascii="宋体" w:hAnsi="宋体" w:eastAsia="宋体" w:cs="宋体"/>
          <w:sz w:val="24"/>
          <w:szCs w:val="24"/>
          <w:lang w:val="en-US" w:eastAsia="zh-CN"/>
        </w:rPr>
        <w:t>13975080729</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邮箱：445698002@qq.com</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信箱：岳阳城陵矶新港有限公司大厅东侧角</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（三）廉洁责任</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1.甲方人员违反廉洁义务，经调查属实的，甲方依据管理规定对当事人进行严肃处理，对涉嫌犯罪的人员移送司法机关处理。</w:t>
      </w:r>
    </w:p>
    <w:p>
      <w:pPr>
        <w:widowControl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及其人员违反廉洁义务或违反管理规定，经调查属实，甲方将乙方列入“黑名单”，并保留登报报道涉及腐败事项的权利。甲方有权书面通知乙方解除甲方与乙方已签订但尚未履行完毕的全部或部分商务合同。此外，乙方应赔偿由此给甲方造成的经济损失。</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十一、争议处理　　</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本合同未尽事宜及履约过程中发生的纠纷争议，由双方平等协商解决;协商不成，向甲方所在地人民法院提起诉讼。</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十二、其他　　</w:t>
      </w:r>
    </w:p>
    <w:p>
      <w:pPr>
        <w:pStyle w:val="187"/>
        <w:widowControl w:val="0"/>
        <w:spacing w:line="560" w:lineRule="exact"/>
        <w:ind w:firstLine="480"/>
        <w:rPr>
          <w:rFonts w:hint="eastAsia" w:ascii="宋体" w:hAnsi="宋体" w:eastAsia="宋体" w:cs="宋体"/>
          <w:sz w:val="24"/>
          <w:szCs w:val="24"/>
        </w:rPr>
      </w:pPr>
      <w:r>
        <w:rPr>
          <w:rFonts w:hint="eastAsia" w:ascii="宋体" w:hAnsi="宋体" w:eastAsia="宋体" w:cs="宋体"/>
          <w:sz w:val="24"/>
          <w:szCs w:val="24"/>
        </w:rPr>
        <w:t>本协议一式六份，甲乙双方各持三份，经甲乙双方签字盖章后生效。</w:t>
      </w:r>
    </w:p>
    <w:p>
      <w:pPr>
        <w:pStyle w:val="187"/>
        <w:widowControl w:val="0"/>
        <w:spacing w:line="560" w:lineRule="exact"/>
        <w:ind w:left="183" w:leftChars="87" w:firstLine="0" w:firstLineChars="0"/>
        <w:rPr>
          <w:rFonts w:hint="eastAsia" w:ascii="宋体" w:hAnsi="宋体" w:eastAsia="宋体" w:cs="宋体"/>
          <w:sz w:val="24"/>
          <w:szCs w:val="24"/>
        </w:rPr>
      </w:pPr>
    </w:p>
    <w:p>
      <w:pPr>
        <w:pStyle w:val="187"/>
        <w:widowControl w:val="0"/>
        <w:spacing w:line="560" w:lineRule="exact"/>
        <w:ind w:left="183" w:leftChars="87" w:firstLine="0" w:firstLineChars="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pPr>
        <w:pStyle w:val="187"/>
        <w:widowControl w:val="0"/>
        <w:spacing w:line="560" w:lineRule="exact"/>
        <w:ind w:left="183" w:leftChars="87" w:firstLine="0" w:firstLineChars="0"/>
        <w:rPr>
          <w:rFonts w:hint="eastAsia" w:ascii="宋体" w:hAnsi="宋体" w:eastAsia="宋体" w:cs="宋体"/>
          <w:sz w:val="24"/>
          <w:szCs w:val="24"/>
        </w:rPr>
      </w:pPr>
      <w:r>
        <w:rPr>
          <w:rFonts w:hint="eastAsia" w:ascii="宋体" w:hAnsi="宋体" w:eastAsia="宋体" w:cs="宋体"/>
          <w:sz w:val="24"/>
          <w:szCs w:val="24"/>
        </w:rPr>
        <w:t>甲方法人</w:t>
      </w:r>
      <w:r>
        <w:rPr>
          <w:rFonts w:hint="eastAsia" w:ascii="宋体" w:hAnsi="宋体" w:eastAsia="宋体" w:cs="宋体"/>
          <w:sz w:val="24"/>
          <w:szCs w:val="24"/>
          <w:lang w:eastAsia="zh-CN"/>
        </w:rPr>
        <w:t>代表</w:t>
      </w:r>
      <w:r>
        <w:rPr>
          <w:rFonts w:hint="eastAsia" w:ascii="宋体" w:hAnsi="宋体" w:eastAsia="宋体" w:cs="宋体"/>
          <w:sz w:val="24"/>
          <w:szCs w:val="24"/>
        </w:rPr>
        <w:t>或授权代表：           乙方法人</w:t>
      </w:r>
      <w:r>
        <w:rPr>
          <w:rFonts w:hint="eastAsia" w:ascii="宋体" w:hAnsi="宋体" w:eastAsia="宋体" w:cs="宋体"/>
          <w:sz w:val="24"/>
          <w:szCs w:val="24"/>
          <w:lang w:eastAsia="zh-CN"/>
        </w:rPr>
        <w:t>代表</w:t>
      </w:r>
      <w:r>
        <w:rPr>
          <w:rFonts w:hint="eastAsia" w:ascii="宋体" w:hAnsi="宋体" w:eastAsia="宋体" w:cs="宋体"/>
          <w:sz w:val="24"/>
          <w:szCs w:val="24"/>
        </w:rPr>
        <w:t xml:space="preserve">或授权代表：                         </w:t>
      </w:r>
    </w:p>
    <w:p>
      <w:pPr>
        <w:pStyle w:val="187"/>
        <w:widowControl w:val="0"/>
        <w:spacing w:line="560" w:lineRule="exact"/>
        <w:ind w:left="183" w:leftChars="87" w:firstLine="0" w:firstLineChars="0"/>
        <w:rPr>
          <w:rFonts w:hint="eastAsia" w:ascii="宋体" w:hAnsi="宋体" w:eastAsia="宋体" w:cs="宋体"/>
          <w:kern w:val="0"/>
          <w:sz w:val="24"/>
          <w:szCs w:val="24"/>
        </w:rPr>
      </w:pPr>
      <w:r>
        <w:rPr>
          <w:rFonts w:hint="eastAsia" w:ascii="宋体" w:hAnsi="宋体" w:eastAsia="宋体" w:cs="宋体"/>
          <w:sz w:val="24"/>
          <w:szCs w:val="24"/>
        </w:rPr>
        <w:t xml:space="preserve">日期：     年    月    日     日期：     年    </w:t>
      </w:r>
      <w:r>
        <w:rPr>
          <w:rFonts w:hint="eastAsia" w:ascii="宋体" w:hAnsi="宋体" w:eastAsia="宋体" w:cs="宋体"/>
          <w:kern w:val="0"/>
          <w:sz w:val="24"/>
          <w:szCs w:val="24"/>
        </w:rPr>
        <w:t>月    日</w:t>
      </w:r>
    </w:p>
    <w:p>
      <w:pPr>
        <w:widowControl w:val="0"/>
        <w:spacing w:line="360" w:lineRule="auto"/>
        <w:ind w:firstLine="240" w:firstLineChars="100"/>
        <w:rPr>
          <w:rFonts w:hint="eastAsia" w:ascii="宋体" w:hAnsi="宋体" w:eastAsia="宋体" w:cs="宋体"/>
          <w:sz w:val="24"/>
          <w:szCs w:val="24"/>
        </w:rPr>
      </w:pPr>
    </w:p>
    <w:p>
      <w:pPr>
        <w:widowControl w:val="0"/>
        <w:jc w:val="center"/>
        <w:rPr>
          <w:rFonts w:hint="eastAsia" w:ascii="黑体" w:hAnsi="黑体" w:eastAsia="黑体" w:cs="Times New Roman"/>
          <w:color w:val="auto"/>
          <w:sz w:val="32"/>
          <w:szCs w:val="32"/>
          <w:u w:val="single"/>
        </w:rPr>
      </w:pPr>
    </w:p>
    <w:p>
      <w:pPr>
        <w:widowControl w:val="0"/>
        <w:jc w:val="center"/>
        <w:rPr>
          <w:rFonts w:hint="eastAsia" w:ascii="黑体" w:hAnsi="黑体" w:eastAsia="黑体" w:cs="Times New Roman"/>
          <w:color w:val="auto"/>
          <w:sz w:val="32"/>
          <w:szCs w:val="32"/>
        </w:rPr>
      </w:pPr>
    </w:p>
    <w:p>
      <w:pPr>
        <w:widowControl w:val="0"/>
        <w:jc w:val="center"/>
        <w:rPr>
          <w:rFonts w:hint="eastAsia" w:ascii="黑体" w:hAnsi="黑体" w:eastAsia="黑体" w:cs="Times New Roman"/>
          <w:color w:val="auto"/>
          <w:sz w:val="32"/>
          <w:szCs w:val="32"/>
        </w:rPr>
      </w:pPr>
    </w:p>
    <w:p>
      <w:pPr>
        <w:widowControl w:val="0"/>
        <w:jc w:val="center"/>
        <w:rPr>
          <w:rFonts w:hint="eastAsia" w:ascii="黑体" w:hAnsi="黑体" w:eastAsia="黑体" w:cs="Times New Roman"/>
          <w:sz w:val="32"/>
          <w:szCs w:val="32"/>
        </w:rPr>
      </w:pPr>
    </w:p>
    <w:p>
      <w:pPr>
        <w:widowControl w:val="0"/>
        <w:jc w:val="center"/>
        <w:rPr>
          <w:rFonts w:hint="eastAsia" w:ascii="黑体" w:hAnsi="黑体" w:eastAsia="黑体" w:cs="Times New Roman"/>
          <w:sz w:val="32"/>
          <w:szCs w:val="32"/>
        </w:rPr>
      </w:pPr>
    </w:p>
    <w:p>
      <w:pPr>
        <w:widowControl w:val="0"/>
        <w:jc w:val="center"/>
        <w:rPr>
          <w:rFonts w:hint="eastAsia" w:ascii="黑体" w:hAnsi="黑体" w:eastAsia="黑体" w:cs="Times New Roman"/>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pStyle w:val="2"/>
        <w:ind w:firstLine="320"/>
        <w:rPr>
          <w:rFonts w:hint="eastAsia" w:ascii="黑体" w:hAnsi="黑体" w:eastAsia="黑体"/>
          <w:color w:val="000000"/>
          <w:sz w:val="32"/>
          <w:szCs w:val="32"/>
        </w:rPr>
      </w:pPr>
    </w:p>
    <w:p>
      <w:pPr>
        <w:widowControl w:val="0"/>
        <w:jc w:val="center"/>
        <w:rPr>
          <w:rFonts w:hint="eastAsia" w:ascii="黑体" w:hAnsi="黑体" w:eastAsia="黑体" w:cs="Times New Roman"/>
          <w:sz w:val="32"/>
          <w:szCs w:val="32"/>
        </w:rPr>
      </w:pPr>
    </w:p>
    <w:p>
      <w:pPr>
        <w:widowControl w:val="0"/>
        <w:jc w:val="center"/>
        <w:rPr>
          <w:rFonts w:hint="eastAsia" w:ascii="黑体" w:hAnsi="黑体" w:eastAsia="黑体" w:cs="Times New Roman"/>
          <w:sz w:val="32"/>
          <w:szCs w:val="32"/>
        </w:rPr>
      </w:pPr>
    </w:p>
    <w:p>
      <w:pPr>
        <w:widowControl w:val="0"/>
        <w:jc w:val="center"/>
        <w:rPr>
          <w:rFonts w:hint="eastAsia" w:ascii="黑体" w:hAnsi="黑体" w:eastAsia="黑体" w:cs="Times New Roman"/>
          <w:sz w:val="32"/>
          <w:szCs w:val="32"/>
        </w:rPr>
      </w:pPr>
    </w:p>
    <w:bookmarkEnd w:id="8"/>
    <w:p>
      <w:pPr>
        <w:adjustRightInd/>
        <w:snapToGrid/>
        <w:spacing w:line="360" w:lineRule="auto"/>
        <w:jc w:val="center"/>
        <w:outlineLvl w:val="0"/>
        <w:rPr>
          <w:rFonts w:hint="eastAsia" w:ascii="宋体" w:hAnsi="宋体"/>
          <w:b/>
          <w:sz w:val="24"/>
        </w:rPr>
      </w:pPr>
      <w:bookmarkStart w:id="9" w:name="_Toc24376"/>
      <w:bookmarkStart w:id="10" w:name="_Toc17311"/>
      <w:r>
        <w:rPr>
          <w:rFonts w:hint="eastAsia" w:ascii="黑体" w:hAnsi="黑体" w:eastAsia="黑体" w:cs="仿宋"/>
          <w:b/>
          <w:color w:val="000000"/>
          <w:sz w:val="36"/>
          <w:szCs w:val="36"/>
        </w:rPr>
        <w:t>第五章  采购需求</w:t>
      </w:r>
      <w:bookmarkEnd w:id="9"/>
      <w:r>
        <w:rPr>
          <w:rFonts w:hint="eastAsia" w:ascii="宋体" w:hAnsi="宋体"/>
          <w:b/>
          <w:sz w:val="24"/>
        </w:rPr>
        <w:t xml:space="preserve"> </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（一</w:t>
      </w:r>
      <w:r>
        <w:rPr>
          <w:rFonts w:ascii="宋体" w:hAnsi="宋体"/>
          <w:sz w:val="24"/>
        </w:rPr>
        <w:t>）</w:t>
      </w:r>
      <w:r>
        <w:rPr>
          <w:rFonts w:hint="eastAsia" w:ascii="宋体" w:hAnsi="宋体"/>
          <w:sz w:val="24"/>
        </w:rPr>
        <w:t>采购项目名称</w:t>
      </w:r>
      <w:r>
        <w:rPr>
          <w:rFonts w:hint="eastAsia" w:ascii="宋体" w:hAnsi="宋体"/>
          <w:sz w:val="24"/>
          <w:lang w:eastAsia="zh-CN"/>
        </w:rPr>
        <w:t>：</w:t>
      </w:r>
      <w:r>
        <w:rPr>
          <w:rFonts w:hint="eastAsia" w:ascii="宋体" w:hAnsi="宋体" w:eastAsia="宋体" w:cs="Times New Roman"/>
          <w:color w:val="auto"/>
          <w:kern w:val="2"/>
          <w:sz w:val="24"/>
          <w:szCs w:val="24"/>
          <w:u w:val="none"/>
          <w:lang w:val="en-US" w:eastAsia="zh-CN" w:bidi="ar"/>
        </w:rPr>
        <w:t>岳阳城陵矶新港有限公司</w:t>
      </w:r>
      <w:r>
        <w:rPr>
          <w:rFonts w:hint="eastAsia" w:ascii="宋体" w:hAnsi="宋体" w:cs="宋体"/>
          <w:bCs/>
          <w:sz w:val="24"/>
          <w:szCs w:val="24"/>
          <w:lang w:val="en-US" w:eastAsia="zh-CN"/>
        </w:rPr>
        <w:t>至路口铺站集装箱拖车运输服务</w:t>
      </w:r>
      <w:r>
        <w:rPr>
          <w:rFonts w:hint="eastAsia" w:ascii="宋体" w:hAnsi="宋体" w:cs="宋体"/>
          <w:bCs/>
          <w:color w:val="auto"/>
          <w:sz w:val="24"/>
          <w:szCs w:val="24"/>
          <w:lang w:val="en-US" w:eastAsia="zh-CN"/>
        </w:rPr>
        <w:t>采购</w:t>
      </w:r>
    </w:p>
    <w:p>
      <w:pPr>
        <w:adjustRightInd w:val="0"/>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w:t>
      </w:r>
      <w:r>
        <w:rPr>
          <w:rFonts w:hint="eastAsia" w:ascii="宋体" w:hAnsi="宋体"/>
          <w:sz w:val="24"/>
        </w:rPr>
        <w:t>项目概况</w:t>
      </w:r>
      <w:r>
        <w:rPr>
          <w:rFonts w:hint="eastAsia" w:ascii="宋体" w:hAnsi="宋体"/>
          <w:sz w:val="24"/>
          <w:lang w:eastAsia="zh-CN"/>
        </w:rPr>
        <w:t>：</w:t>
      </w:r>
      <w:r>
        <w:rPr>
          <w:rFonts w:hint="eastAsia" w:ascii="宋体" w:hAnsi="宋体"/>
          <w:sz w:val="24"/>
          <w:u w:val="none"/>
          <w:lang w:eastAsia="zh-CN"/>
        </w:rPr>
        <w:t>湖南省港务集团有限公司下属子公司岳阳城陵矶新港有限公司</w:t>
      </w:r>
      <w:r>
        <w:rPr>
          <w:rFonts w:hint="eastAsia" w:ascii="宋体" w:hAnsi="宋体" w:cs="宋体"/>
          <w:bCs/>
          <w:sz w:val="24"/>
          <w:szCs w:val="24"/>
          <w:lang w:val="en-US" w:eastAsia="zh-CN"/>
        </w:rPr>
        <w:t>至路口铺站集装箱拖车运输服务</w:t>
      </w:r>
    </w:p>
    <w:p>
      <w:pPr>
        <w:numPr>
          <w:ilvl w:val="-1"/>
          <w:numId w:val="0"/>
        </w:num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服务承包范围</w:t>
      </w:r>
      <w:r>
        <w:rPr>
          <w:rFonts w:hint="eastAsia" w:ascii="宋体" w:hAnsi="宋体"/>
          <w:sz w:val="24"/>
          <w:lang w:eastAsia="zh-CN"/>
        </w:rPr>
        <w:t>：由供应商</w:t>
      </w:r>
      <w:r>
        <w:rPr>
          <w:rFonts w:hint="eastAsia" w:ascii="宋体" w:hAnsi="宋体"/>
          <w:sz w:val="24"/>
          <w:lang w:val="en-US" w:eastAsia="zh-CN"/>
        </w:rPr>
        <w:t>提供</w:t>
      </w:r>
      <w:r>
        <w:rPr>
          <w:rFonts w:hint="eastAsia" w:ascii="宋体" w:hAnsi="宋体" w:eastAsia="宋体" w:cs="宋体"/>
          <w:bCs/>
          <w:sz w:val="24"/>
          <w:szCs w:val="24"/>
        </w:rPr>
        <w:t>岳阳城陵矶新港有限公司</w:t>
      </w:r>
      <w:r>
        <w:rPr>
          <w:rFonts w:hint="eastAsia" w:ascii="宋体" w:hAnsi="宋体" w:cs="宋体"/>
          <w:bCs/>
          <w:sz w:val="24"/>
          <w:szCs w:val="24"/>
          <w:lang w:val="en-US" w:eastAsia="zh-CN"/>
        </w:rPr>
        <w:t>堆场</w:t>
      </w:r>
      <w:r>
        <w:rPr>
          <w:rFonts w:hint="eastAsia" w:ascii="宋体" w:hAnsi="宋体" w:eastAsia="宋体" w:cs="宋体"/>
          <w:bCs/>
          <w:sz w:val="24"/>
          <w:szCs w:val="24"/>
        </w:rPr>
        <w:t>至路口铺站水铁联运集装箱短驳运输业务，包括提箱手续办理。单程距离为19公里，未来一年预计箱量40000标箱。</w:t>
      </w:r>
    </w:p>
    <w:p>
      <w:pPr>
        <w:spacing w:after="0" w:line="312" w:lineRule="auto"/>
        <w:ind w:firstLine="480" w:firstLineChars="200"/>
        <w:rPr>
          <w:rFonts w:hint="eastAsia" w:ascii="宋体" w:hAnsi="宋体" w:eastAsia="宋体"/>
          <w:sz w:val="24"/>
          <w:lang w:eastAsia="zh-CN"/>
        </w:rPr>
      </w:pPr>
      <w:r>
        <w:rPr>
          <w:rFonts w:hint="eastAsia" w:ascii="宋体" w:hAnsi="宋体"/>
          <w:sz w:val="24"/>
        </w:rPr>
        <w:t>（四</w:t>
      </w:r>
      <w:r>
        <w:rPr>
          <w:rFonts w:ascii="宋体" w:hAnsi="宋体"/>
          <w:sz w:val="24"/>
        </w:rPr>
        <w:t>）</w:t>
      </w:r>
      <w:r>
        <w:rPr>
          <w:rFonts w:hint="eastAsia" w:ascii="宋体" w:hAnsi="宋体"/>
          <w:sz w:val="24"/>
        </w:rPr>
        <w:t>服务要求、质量和标准</w:t>
      </w:r>
      <w:r>
        <w:rPr>
          <w:rFonts w:hint="eastAsia" w:ascii="宋体" w:hAnsi="宋体"/>
          <w:sz w:val="24"/>
          <w:lang w:eastAsia="zh-CN"/>
        </w:rPr>
        <w:t>：</w:t>
      </w:r>
    </w:p>
    <w:tbl>
      <w:tblPr>
        <w:tblStyle w:val="37"/>
        <w:tblpPr w:leftFromText="180" w:rightFromText="180" w:vertAnchor="text" w:horzAnchor="page" w:tblpX="1157" w:tblpY="1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90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0" w:type="auto"/>
            <w:noWrap w:val="0"/>
            <w:vAlign w:val="center"/>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08"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业务流程</w:t>
            </w:r>
          </w:p>
        </w:tc>
        <w:tc>
          <w:tcPr>
            <w:tcW w:w="7707" w:type="dxa"/>
            <w:noWrap w:val="0"/>
            <w:vAlign w:val="center"/>
          </w:tcPr>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作业方案细则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0" w:type="auto"/>
            <w:noWrap w:val="0"/>
            <w:vAlign w:val="center"/>
          </w:tcPr>
          <w:p>
            <w:pPr>
              <w:spacing w:line="360" w:lineRule="auto"/>
              <w:ind w:firstLine="523" w:firstLine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08"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提箱计划办理</w:t>
            </w:r>
          </w:p>
        </w:tc>
        <w:tc>
          <w:tcPr>
            <w:tcW w:w="7707" w:type="dxa"/>
            <w:noWrap w:val="0"/>
            <w:vAlign w:val="center"/>
          </w:tcPr>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1.根据甲方安排，办理集装箱提箱手续办理。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ind w:firstLine="523" w:firstLine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08"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提箱作业</w:t>
            </w:r>
          </w:p>
        </w:tc>
        <w:tc>
          <w:tcPr>
            <w:tcW w:w="7707" w:type="dxa"/>
            <w:noWrap w:val="0"/>
            <w:vAlign w:val="center"/>
          </w:tcPr>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2.1提箱人员应仔细核对计划单，确认所提集装箱号与计划单所列箱号一致。</w:t>
            </w:r>
          </w:p>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2.2提箱人员应仔细检查箱体外观。发现残损箱，应拍照取证，同时向集装箱码头理货人员索取集装箱原残记录，记录归类存档。</w:t>
            </w:r>
          </w:p>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说明：提箱人员应为集装箱拖车公司现场人员。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ind w:firstLine="523" w:firstLine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08"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拖箱运输</w:t>
            </w:r>
          </w:p>
        </w:tc>
        <w:tc>
          <w:tcPr>
            <w:tcW w:w="7707" w:type="dxa"/>
            <w:noWrap w:val="0"/>
            <w:vAlign w:val="center"/>
          </w:tcPr>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3.1自身集装箱拖车不少于10辆（自卸板不少于2台），每次参与作业的集装箱拖车不少于8辆。</w:t>
            </w:r>
          </w:p>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3.2驾驶人员具备A2驾驶证及1年以上驾驶经验；所有车辆手续齐全，符合道路运输管理规定；配备专职安全管理人员。</w:t>
            </w:r>
          </w:p>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3.3所有车辆配备灭火器、防火罩。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ind w:firstLine="523" w:firstLine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08"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安全要求</w:t>
            </w:r>
          </w:p>
        </w:tc>
        <w:tc>
          <w:tcPr>
            <w:tcW w:w="7707" w:type="dxa"/>
            <w:noWrap w:val="0"/>
            <w:vAlign w:val="center"/>
          </w:tcPr>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4.1所有参与作业人员必须经过本单位组织的安全培训，安全培训内容应包含路口铺安全管理制度相关内容。</w:t>
            </w:r>
          </w:p>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4.2作业单位应有安全隐患排查制度，不定期对作业现场进行安全检查。</w:t>
            </w:r>
          </w:p>
          <w:p>
            <w:pPr>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4.3作业单位开工前，细致交代作业任务与安全注意事项，详细了解驾驶人员精神面貌，杜绝疲劳作业。</w:t>
            </w:r>
          </w:p>
        </w:tc>
      </w:tr>
    </w:tbl>
    <w:p>
      <w:pPr>
        <w:spacing w:after="0" w:line="312" w:lineRule="auto"/>
        <w:ind w:firstLine="480" w:firstLineChars="200"/>
        <w:rPr>
          <w:rFonts w:hint="eastAsia" w:ascii="宋体" w:hAnsi="宋体" w:eastAsia="宋体" w:cs="宋体"/>
          <w:color w:val="auto"/>
          <w:sz w:val="24"/>
          <w:szCs w:val="24"/>
          <w:lang w:eastAsia="zh-CN"/>
        </w:rPr>
      </w:pPr>
    </w:p>
    <w:p>
      <w:pPr>
        <w:adjustRightInd w:val="0"/>
        <w:snapToGrid w:val="0"/>
        <w:spacing w:line="360" w:lineRule="auto"/>
        <w:ind w:firstLine="0" w:firstLineChars="0"/>
        <w:rPr>
          <w:rFonts w:hint="default" w:ascii="宋体" w:hAnsi="宋体" w:eastAsia="宋体"/>
          <w:sz w:val="24"/>
          <w:lang w:val="en-US" w:eastAsia="zh-CN"/>
        </w:rPr>
      </w:pPr>
      <w:r>
        <w:rPr>
          <w:rFonts w:hint="eastAsia" w:ascii="宋体" w:hAnsi="宋体"/>
          <w:sz w:val="24"/>
        </w:rPr>
        <w:t>（五</w:t>
      </w:r>
      <w:r>
        <w:rPr>
          <w:rFonts w:ascii="宋体" w:hAnsi="宋体"/>
          <w:sz w:val="24"/>
        </w:rPr>
        <w:t>）</w:t>
      </w:r>
      <w:r>
        <w:rPr>
          <w:rFonts w:hint="eastAsia" w:ascii="宋体" w:hAnsi="宋体"/>
          <w:sz w:val="24"/>
          <w:lang w:val="en-US" w:eastAsia="zh-CN"/>
        </w:rPr>
        <w:t>合同期限</w:t>
      </w:r>
      <w:r>
        <w:rPr>
          <w:rFonts w:hint="eastAsia" w:ascii="宋体" w:hAnsi="宋体"/>
          <w:sz w:val="24"/>
          <w:lang w:eastAsia="zh-CN"/>
        </w:rPr>
        <w:t>：</w:t>
      </w:r>
      <w:r>
        <w:rPr>
          <w:rFonts w:hint="eastAsia" w:ascii="宋体" w:hAnsi="宋体"/>
          <w:sz w:val="24"/>
          <w:lang w:val="en-US" w:eastAsia="zh-CN"/>
        </w:rPr>
        <w:t>自合同签订之日</w:t>
      </w:r>
      <w:r>
        <w:rPr>
          <w:rFonts w:hint="eastAsia" w:ascii="宋体" w:hAnsi="宋体"/>
          <w:color w:val="auto"/>
          <w:sz w:val="24"/>
          <w:u w:val="none"/>
          <w:lang w:val="en-US" w:eastAsia="zh-CN"/>
        </w:rPr>
        <w:t>起，有效期一年。</w:t>
      </w:r>
    </w:p>
    <w:p>
      <w:pPr>
        <w:adjustRightInd w:val="0"/>
        <w:snapToGrid w:val="0"/>
        <w:spacing w:line="360" w:lineRule="auto"/>
        <w:ind w:firstLine="0" w:firstLineChars="0"/>
        <w:rPr>
          <w:rFonts w:ascii="宋体" w:hAnsi="宋体"/>
          <w:sz w:val="24"/>
        </w:rPr>
      </w:pPr>
      <w:r>
        <w:rPr>
          <w:rFonts w:hint="eastAsia" w:ascii="宋体" w:hAnsi="宋体"/>
          <w:sz w:val="24"/>
        </w:rPr>
        <w:t>（</w:t>
      </w:r>
      <w:r>
        <w:rPr>
          <w:rFonts w:hint="eastAsia" w:ascii="宋体" w:hAnsi="宋体"/>
          <w:sz w:val="24"/>
          <w:lang w:eastAsia="zh-CN"/>
        </w:rPr>
        <w:t>六</w:t>
      </w:r>
      <w:r>
        <w:rPr>
          <w:rFonts w:ascii="宋体" w:hAnsi="宋体"/>
          <w:sz w:val="24"/>
        </w:rPr>
        <w:t>）</w:t>
      </w:r>
      <w:r>
        <w:rPr>
          <w:rFonts w:hint="eastAsia" w:ascii="宋体" w:hAnsi="宋体"/>
          <w:sz w:val="24"/>
        </w:rPr>
        <w:t>其它需要说明的事项</w:t>
      </w:r>
    </w:p>
    <w:p>
      <w:pPr>
        <w:adjustRightInd/>
        <w:snapToGrid/>
        <w:spacing w:line="360" w:lineRule="auto"/>
        <w:jc w:val="both"/>
        <w:outlineLvl w:val="9"/>
        <w:rPr>
          <w:rFonts w:hint="eastAsia" w:ascii="黑体" w:hAnsi="黑体" w:eastAsia="黑体" w:cs="仿宋"/>
          <w:b/>
          <w:color w:val="000000"/>
          <w:sz w:val="36"/>
          <w:szCs w:val="36"/>
        </w:rPr>
      </w:pPr>
      <w:r>
        <w:rPr>
          <w:rFonts w:ascii="仿宋" w:hAnsi="仿宋" w:eastAsia="仿宋" w:cs="仿宋"/>
          <w:sz w:val="30"/>
          <w:szCs w:val="30"/>
        </w:rPr>
        <w:br w:type="page"/>
      </w:r>
    </w:p>
    <w:bookmarkEnd w:id="10"/>
    <w:p>
      <w:pPr>
        <w:spacing w:line="312" w:lineRule="auto"/>
        <w:jc w:val="center"/>
        <w:outlineLvl w:val="0"/>
        <w:rPr>
          <w:rFonts w:ascii="黑体" w:hAnsi="黑体" w:eastAsia="黑体" w:cs="仿宋"/>
          <w:b/>
          <w:color w:val="000000"/>
          <w:sz w:val="36"/>
          <w:szCs w:val="36"/>
        </w:rPr>
      </w:pPr>
      <w:bookmarkStart w:id="11" w:name="_Toc10855"/>
      <w:bookmarkStart w:id="12" w:name="_Toc30995"/>
      <w:r>
        <w:rPr>
          <w:rFonts w:hint="eastAsia" w:ascii="黑体" w:hAnsi="黑体" w:eastAsia="黑体" w:cs="仿宋"/>
          <w:b/>
          <w:color w:val="000000"/>
          <w:sz w:val="36"/>
          <w:szCs w:val="36"/>
        </w:rPr>
        <w:t>第</w:t>
      </w:r>
      <w:r>
        <w:rPr>
          <w:rFonts w:hint="eastAsia" w:ascii="黑体" w:hAnsi="黑体" w:eastAsia="黑体" w:cs="仿宋"/>
          <w:b/>
          <w:color w:val="000000"/>
          <w:sz w:val="36"/>
          <w:szCs w:val="36"/>
          <w:lang w:val="en-US" w:eastAsia="zh-CN"/>
        </w:rPr>
        <w:t>六</w:t>
      </w:r>
      <w:r>
        <w:rPr>
          <w:rFonts w:hint="eastAsia" w:ascii="黑体" w:hAnsi="黑体" w:eastAsia="黑体" w:cs="仿宋"/>
          <w:b/>
          <w:color w:val="000000"/>
          <w:sz w:val="36"/>
          <w:szCs w:val="36"/>
        </w:rPr>
        <w:t>章  响应文件格式</w:t>
      </w:r>
      <w:bookmarkEnd w:id="11"/>
      <w:bookmarkEnd w:id="12"/>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pStyle w:val="2"/>
        <w:rPr>
          <w:rFonts w:ascii="仿宋" w:hAnsi="仿宋" w:eastAsia="仿宋" w:cs="仿宋"/>
          <w:sz w:val="30"/>
          <w:szCs w:val="30"/>
        </w:rPr>
      </w:pPr>
    </w:p>
    <w:p>
      <w:pPr>
        <w:pStyle w:val="2"/>
        <w:rPr>
          <w:rFonts w:ascii="仿宋" w:hAnsi="仿宋" w:eastAsia="仿宋" w:cs="仿宋"/>
          <w:sz w:val="30"/>
          <w:szCs w:val="30"/>
        </w:rPr>
      </w:pPr>
    </w:p>
    <w:p>
      <w:pPr>
        <w:pStyle w:val="2"/>
        <w:rPr>
          <w:rFonts w:ascii="仿宋" w:hAnsi="仿宋" w:eastAsia="仿宋" w:cs="仿宋"/>
          <w:sz w:val="30"/>
          <w:szCs w:val="30"/>
        </w:rPr>
      </w:pPr>
    </w:p>
    <w:p>
      <w:pPr>
        <w:pStyle w:val="2"/>
        <w:rPr>
          <w:rFonts w:ascii="仿宋" w:hAnsi="仿宋" w:eastAsia="仿宋" w:cs="仿宋"/>
          <w:sz w:val="30"/>
          <w:szCs w:val="30"/>
        </w:rPr>
      </w:pPr>
    </w:p>
    <w:p>
      <w:pPr>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13" w:name="_Toc4798"/>
      <w:bookmarkStart w:id="14" w:name="_Toc22579"/>
      <w:r>
        <w:rPr>
          <w:rFonts w:hint="eastAsia" w:eastAsia="方正小标宋_GBK"/>
          <w:b/>
          <w:bCs/>
          <w:sz w:val="40"/>
          <w:szCs w:val="36"/>
        </w:rPr>
        <w:t>项目</w:t>
      </w:r>
      <w:bookmarkEnd w:id="13"/>
      <w:bookmarkEnd w:id="14"/>
    </w:p>
    <w:p>
      <w:pPr>
        <w:widowControl w:val="0"/>
        <w:spacing w:before="240" w:beforeLines="100" w:after="240" w:afterLines="100" w:line="240" w:lineRule="auto"/>
        <w:jc w:val="center"/>
        <w:outlineLvl w:val="0"/>
        <w:rPr>
          <w:rFonts w:eastAsia="楷体_GB2312"/>
          <w:b/>
          <w:bCs/>
          <w:sz w:val="28"/>
          <w:szCs w:val="28"/>
        </w:rPr>
      </w:pPr>
      <w:bookmarkStart w:id="15" w:name="_Toc22236"/>
      <w:bookmarkStart w:id="16" w:name="_Toc22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15"/>
      <w:bookmarkEnd w:id="16"/>
    </w:p>
    <w:p>
      <w:pPr>
        <w:widowControl w:val="0"/>
        <w:adjustRightInd w:val="0"/>
        <w:snapToGrid w:val="0"/>
        <w:rPr>
          <w:b/>
        </w:rPr>
      </w:pPr>
    </w:p>
    <w:p>
      <w:pPr>
        <w:spacing w:line="288" w:lineRule="auto"/>
        <w:jc w:val="both"/>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sz w:val="26"/>
          <w:szCs w:val="26"/>
        </w:rPr>
      </w:pPr>
      <w:bookmarkStart w:id="17" w:name="_Toc20916"/>
      <w:bookmarkStart w:id="18" w:name="_Toc22936"/>
      <w:r>
        <w:rPr>
          <w:rFonts w:hint="eastAsia" w:eastAsia="方正小标宋_GBK"/>
          <w:b/>
          <w:bCs/>
          <w:spacing w:val="160"/>
          <w:sz w:val="72"/>
          <w:szCs w:val="72"/>
        </w:rPr>
        <w:t>响应</w:t>
      </w:r>
      <w:r>
        <w:rPr>
          <w:rFonts w:eastAsia="方正小标宋_GBK"/>
          <w:b/>
          <w:bCs/>
          <w:spacing w:val="160"/>
          <w:sz w:val="72"/>
          <w:szCs w:val="72"/>
        </w:rPr>
        <w:t>文件</w:t>
      </w:r>
      <w:bookmarkEnd w:id="17"/>
      <w:bookmarkEnd w:id="18"/>
    </w:p>
    <w:p>
      <w:pPr>
        <w:spacing w:line="288" w:lineRule="auto"/>
        <w:rPr>
          <w:sz w:val="26"/>
          <w:szCs w:val="26"/>
        </w:rPr>
      </w:pPr>
    </w:p>
    <w:p>
      <w:pPr>
        <w:spacing w:line="288" w:lineRule="auto"/>
        <w:rPr>
          <w:sz w:val="26"/>
          <w:szCs w:val="26"/>
        </w:rPr>
      </w:pPr>
    </w:p>
    <w:p>
      <w:pPr>
        <w:spacing w:line="288" w:lineRule="auto"/>
        <w:rPr>
          <w:sz w:val="26"/>
          <w:szCs w:val="26"/>
        </w:rPr>
      </w:pPr>
    </w:p>
    <w:p>
      <w:pPr>
        <w:pStyle w:val="2"/>
      </w:pPr>
    </w:p>
    <w:p>
      <w:pPr>
        <w:spacing w:line="288" w:lineRule="auto"/>
        <w:rPr>
          <w:sz w:val="26"/>
          <w:szCs w:val="26"/>
        </w:rPr>
      </w:pPr>
    </w:p>
    <w:p>
      <w:pPr>
        <w:spacing w:line="900" w:lineRule="exact"/>
        <w:jc w:val="center"/>
        <w:outlineLvl w:val="0"/>
        <w:rPr>
          <w:rFonts w:eastAsia="黑体"/>
          <w:bCs/>
          <w:sz w:val="30"/>
          <w:szCs w:val="30"/>
        </w:rPr>
      </w:pPr>
      <w:bookmarkStart w:id="19" w:name="_Toc3740"/>
      <w:bookmarkStart w:id="20" w:name="_Toc7376"/>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19"/>
      <w:bookmarkEnd w:id="20"/>
      <w:r>
        <w:rPr>
          <w:rFonts w:eastAsia="黑体"/>
          <w:bCs/>
          <w:sz w:val="30"/>
          <w:szCs w:val="30"/>
          <w:u w:val="single"/>
        </w:rPr>
        <w:t xml:space="preserve"> </w:t>
      </w:r>
    </w:p>
    <w:p>
      <w:pPr>
        <w:spacing w:line="900" w:lineRule="exact"/>
        <w:jc w:val="center"/>
        <w:outlineLvl w:val="0"/>
        <w:rPr>
          <w:rFonts w:eastAsia="黑体"/>
          <w:sz w:val="30"/>
          <w:szCs w:val="30"/>
        </w:rPr>
      </w:pPr>
      <w:bookmarkStart w:id="21" w:name="_Toc23008"/>
      <w:bookmarkStart w:id="22" w:name="_Toc174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21"/>
      <w:bookmarkEnd w:id="22"/>
    </w:p>
    <w:p>
      <w:pPr>
        <w:adjustRightInd w:val="0"/>
        <w:snapToGrid w:val="0"/>
        <w:spacing w:line="600" w:lineRule="exact"/>
        <w:jc w:val="center"/>
        <w:outlineLvl w:val="9"/>
        <w:rPr>
          <w:rFonts w:hint="eastAsia" w:ascii="黑体" w:hAnsi="黑体" w:eastAsia="黑体" w:cs="仿宋"/>
          <w:sz w:val="36"/>
          <w:szCs w:val="36"/>
        </w:rPr>
      </w:pPr>
      <w:bookmarkStart w:id="23" w:name="_Toc11266"/>
    </w:p>
    <w:p>
      <w:pPr>
        <w:adjustRightInd w:val="0"/>
        <w:snapToGrid w:val="0"/>
        <w:spacing w:line="600" w:lineRule="exact"/>
        <w:jc w:val="center"/>
        <w:outlineLvl w:val="0"/>
        <w:rPr>
          <w:rFonts w:ascii="黑体" w:hAnsi="黑体" w:eastAsia="黑体" w:cs="仿宋"/>
          <w:sz w:val="36"/>
          <w:szCs w:val="36"/>
        </w:rPr>
      </w:pPr>
      <w:bookmarkStart w:id="24" w:name="_Toc21776"/>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23"/>
      <w:bookmarkEnd w:id="24"/>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hint="eastAsia" w:ascii="宋体" w:hAnsi="宋体" w:eastAsia="宋体" w:cs="仿宋"/>
          <w:sz w:val="24"/>
          <w:lang w:eastAsia="zh-CN"/>
        </w:rPr>
      </w:pPr>
      <w:bookmarkStart w:id="25" w:name="_Toc25532"/>
      <w:bookmarkStart w:id="26" w:name="_Toc22599"/>
      <w:r>
        <w:rPr>
          <w:rFonts w:hint="eastAsia" w:ascii="宋体" w:hAnsi="宋体" w:cs="仿宋"/>
          <w:sz w:val="24"/>
        </w:rPr>
        <w:t>一、响应函</w:t>
      </w:r>
      <w:bookmarkEnd w:id="25"/>
      <w:bookmarkEnd w:id="26"/>
    </w:p>
    <w:p>
      <w:pPr>
        <w:adjustRightInd w:val="0"/>
        <w:snapToGrid w:val="0"/>
        <w:spacing w:line="600" w:lineRule="exact"/>
        <w:jc w:val="both"/>
        <w:outlineLvl w:val="0"/>
        <w:rPr>
          <w:rFonts w:hint="eastAsia" w:ascii="宋体" w:hAnsi="宋体" w:eastAsia="宋体" w:cs="仿宋"/>
          <w:sz w:val="24"/>
          <w:lang w:eastAsia="zh-CN"/>
        </w:rPr>
      </w:pPr>
      <w:bookmarkStart w:id="27" w:name="_Toc12659"/>
      <w:bookmarkStart w:id="28" w:name="_Toc28574"/>
      <w:r>
        <w:rPr>
          <w:rFonts w:hint="eastAsia" w:ascii="宋体" w:hAnsi="宋体" w:cs="仿宋"/>
          <w:sz w:val="24"/>
        </w:rPr>
        <w:t>二、授权委托书(适用于有委托代理人的情况)</w:t>
      </w:r>
      <w:bookmarkEnd w:id="27"/>
      <w:bookmarkEnd w:id="28"/>
    </w:p>
    <w:p>
      <w:pPr>
        <w:adjustRightInd w:val="0"/>
        <w:snapToGrid w:val="0"/>
        <w:spacing w:line="600" w:lineRule="exact"/>
        <w:jc w:val="both"/>
        <w:outlineLvl w:val="0"/>
        <w:rPr>
          <w:rFonts w:hint="eastAsia" w:ascii="宋体" w:hAnsi="宋体" w:eastAsia="宋体" w:cs="仿宋"/>
          <w:sz w:val="24"/>
          <w:lang w:eastAsia="zh-CN"/>
        </w:rPr>
      </w:pPr>
      <w:bookmarkStart w:id="29" w:name="_Toc17939"/>
      <w:bookmarkStart w:id="30" w:name="_Toc11209"/>
      <w:r>
        <w:rPr>
          <w:rFonts w:hint="eastAsia" w:ascii="宋体" w:hAnsi="宋体" w:cs="仿宋"/>
          <w:sz w:val="24"/>
          <w:lang w:eastAsia="zh-CN"/>
        </w:rPr>
        <w:t>三</w:t>
      </w:r>
      <w:r>
        <w:rPr>
          <w:rFonts w:hint="eastAsia" w:ascii="宋体" w:hAnsi="宋体" w:cs="仿宋"/>
          <w:sz w:val="24"/>
        </w:rPr>
        <w:t>、商务和技术偏差表</w:t>
      </w:r>
      <w:bookmarkEnd w:id="29"/>
      <w:bookmarkEnd w:id="30"/>
    </w:p>
    <w:p>
      <w:pPr>
        <w:adjustRightInd w:val="0"/>
        <w:snapToGrid w:val="0"/>
        <w:spacing w:line="600" w:lineRule="exact"/>
        <w:jc w:val="both"/>
        <w:outlineLvl w:val="0"/>
        <w:rPr>
          <w:rFonts w:hint="eastAsia" w:ascii="宋体" w:hAnsi="宋体" w:eastAsia="宋体" w:cs="仿宋"/>
          <w:sz w:val="24"/>
          <w:lang w:eastAsia="zh-CN"/>
        </w:rPr>
      </w:pPr>
      <w:bookmarkStart w:id="31" w:name="_Toc23159"/>
      <w:bookmarkStart w:id="32" w:name="_Toc24646"/>
      <w:r>
        <w:rPr>
          <w:rFonts w:hint="eastAsia" w:ascii="宋体" w:hAnsi="宋体" w:cs="仿宋"/>
          <w:sz w:val="24"/>
          <w:lang w:eastAsia="zh-CN"/>
        </w:rPr>
        <w:t>四</w:t>
      </w:r>
      <w:r>
        <w:rPr>
          <w:rFonts w:hint="eastAsia" w:ascii="宋体" w:hAnsi="宋体" w:cs="仿宋"/>
          <w:sz w:val="24"/>
        </w:rPr>
        <w:t>、报价表</w:t>
      </w:r>
      <w:bookmarkEnd w:id="31"/>
      <w:bookmarkEnd w:id="32"/>
    </w:p>
    <w:p>
      <w:pPr>
        <w:adjustRightInd w:val="0"/>
        <w:snapToGrid w:val="0"/>
        <w:spacing w:line="600" w:lineRule="exact"/>
        <w:jc w:val="both"/>
        <w:outlineLvl w:val="0"/>
        <w:rPr>
          <w:rFonts w:hint="eastAsia" w:ascii="宋体" w:hAnsi="宋体" w:eastAsia="宋体" w:cs="仿宋"/>
          <w:sz w:val="24"/>
          <w:lang w:eastAsia="zh-CN"/>
        </w:rPr>
      </w:pPr>
      <w:bookmarkStart w:id="33" w:name="_Toc20080"/>
      <w:bookmarkStart w:id="34" w:name="_Toc11905"/>
      <w:r>
        <w:rPr>
          <w:rFonts w:hint="eastAsia" w:ascii="宋体" w:hAnsi="宋体" w:cs="仿宋"/>
          <w:sz w:val="24"/>
          <w:lang w:eastAsia="zh-CN"/>
        </w:rPr>
        <w:t>五</w:t>
      </w:r>
      <w:r>
        <w:rPr>
          <w:rFonts w:hint="eastAsia" w:ascii="宋体" w:hAnsi="宋体" w:cs="仿宋"/>
          <w:sz w:val="24"/>
        </w:rPr>
        <w:t>、资格审查资料</w:t>
      </w:r>
      <w:bookmarkEnd w:id="33"/>
      <w:bookmarkEnd w:id="34"/>
    </w:p>
    <w:p>
      <w:pPr>
        <w:adjustRightInd w:val="0"/>
        <w:snapToGrid w:val="0"/>
        <w:spacing w:line="600" w:lineRule="exact"/>
        <w:jc w:val="both"/>
        <w:outlineLvl w:val="0"/>
        <w:rPr>
          <w:rFonts w:hint="eastAsia" w:ascii="宋体" w:hAnsi="宋体" w:eastAsia="宋体" w:cs="仿宋"/>
          <w:sz w:val="24"/>
          <w:lang w:eastAsia="zh-CN"/>
        </w:rPr>
      </w:pPr>
      <w:bookmarkStart w:id="35" w:name="_Toc15918"/>
      <w:bookmarkStart w:id="36" w:name="_Toc13764"/>
      <w:r>
        <w:rPr>
          <w:rFonts w:hint="eastAsia" w:ascii="宋体" w:hAnsi="宋体" w:cs="仿宋"/>
          <w:sz w:val="24"/>
          <w:lang w:eastAsia="zh-CN"/>
        </w:rPr>
        <w:t>六</w:t>
      </w:r>
      <w:r>
        <w:rPr>
          <w:rFonts w:hint="eastAsia" w:ascii="宋体" w:hAnsi="宋体" w:cs="仿宋"/>
          <w:sz w:val="24"/>
        </w:rPr>
        <w:t>、响应方案</w:t>
      </w:r>
      <w:bookmarkEnd w:id="35"/>
      <w:bookmarkEnd w:id="36"/>
    </w:p>
    <w:p>
      <w:pPr>
        <w:adjustRightInd w:val="0"/>
        <w:snapToGrid w:val="0"/>
        <w:spacing w:line="600" w:lineRule="exact"/>
        <w:jc w:val="both"/>
        <w:outlineLvl w:val="0"/>
        <w:rPr>
          <w:rFonts w:ascii="宋体" w:hAnsi="宋体" w:cs="仿宋"/>
          <w:sz w:val="24"/>
        </w:rPr>
      </w:pPr>
      <w:bookmarkStart w:id="37" w:name="_Toc29182"/>
      <w:bookmarkStart w:id="38" w:name="_Toc10171"/>
      <w:r>
        <w:rPr>
          <w:rFonts w:hint="eastAsia" w:ascii="宋体" w:hAnsi="宋体" w:cs="仿宋"/>
          <w:sz w:val="24"/>
          <w:lang w:eastAsia="zh-CN"/>
        </w:rPr>
        <w:t>七</w:t>
      </w:r>
      <w:r>
        <w:rPr>
          <w:rFonts w:hint="eastAsia" w:ascii="宋体" w:hAnsi="宋体" w:cs="仿宋"/>
          <w:sz w:val="24"/>
        </w:rPr>
        <w:t>、其他资料</w:t>
      </w:r>
      <w:bookmarkEnd w:id="37"/>
      <w:bookmarkEnd w:id="38"/>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5"/>
        </w:numPr>
        <w:adjustRightInd w:val="0"/>
        <w:snapToGrid w:val="0"/>
        <w:spacing w:line="600" w:lineRule="exact"/>
        <w:jc w:val="center"/>
        <w:outlineLvl w:val="0"/>
        <w:rPr>
          <w:rFonts w:ascii="黑体" w:hAnsi="黑体" w:eastAsia="黑体" w:cs="仿宋"/>
          <w:sz w:val="36"/>
          <w:szCs w:val="36"/>
        </w:rPr>
      </w:pPr>
      <w:bookmarkStart w:id="39" w:name="_Toc19014"/>
      <w:bookmarkStart w:id="40" w:name="_Toc29407"/>
      <w:r>
        <w:rPr>
          <w:rFonts w:hint="eastAsia" w:ascii="黑体" w:hAnsi="黑体" w:eastAsia="黑体" w:cs="仿宋"/>
          <w:sz w:val="36"/>
          <w:szCs w:val="36"/>
        </w:rPr>
        <w:t>响应函</w:t>
      </w:r>
      <w:bookmarkEnd w:id="39"/>
      <w:bookmarkEnd w:id="40"/>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hint="eastAsia" w:ascii="宋体" w:hAnsi="宋体" w:cs="Times New Roman"/>
          <w:sz w:val="24"/>
          <w:lang w:val="en-US" w:eastAsia="zh-CN"/>
        </w:rPr>
      </w:pPr>
    </w:p>
    <w:p>
      <w:pPr>
        <w:adjustRightInd/>
        <w:snapToGrid/>
        <w:spacing w:line="240" w:lineRule="auto"/>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rPr>
        <w:t>我方已仔细研究了</w:t>
      </w:r>
      <w:r>
        <w:rPr>
          <w:rFonts w:hint="eastAsia" w:ascii="宋体" w:hAnsi="宋体" w:cs="Times New Roman"/>
          <w:sz w:val="24"/>
          <w:lang w:val="en-US" w:eastAsia="zh-CN"/>
        </w:rPr>
        <w:t>贵公司《</w:t>
      </w:r>
      <w:r>
        <w:rPr>
          <w:rFonts w:hint="eastAsia" w:ascii="宋体" w:hAnsi="宋体" w:cs="宋体"/>
          <w:bCs/>
          <w:sz w:val="24"/>
          <w:szCs w:val="24"/>
          <w:lang w:val="en-US" w:eastAsia="zh-CN"/>
        </w:rPr>
        <w:t>岳阳城陵矶新港堆场至路口铺站集装箱拖车运输</w:t>
      </w:r>
      <w:r>
        <w:rPr>
          <w:rFonts w:hint="eastAsia" w:ascii="宋体" w:hAnsi="宋体" w:cs="宋体"/>
          <w:bCs/>
          <w:color w:val="auto"/>
          <w:sz w:val="24"/>
          <w:szCs w:val="24"/>
          <w:lang w:val="en-US" w:eastAsia="zh-CN"/>
        </w:rPr>
        <w:t>采购</w:t>
      </w:r>
      <w:r>
        <w:rPr>
          <w:rFonts w:hint="eastAsia" w:ascii="宋体" w:hAnsi="宋体" w:eastAsia="宋体" w:cs="宋体"/>
          <w:color w:val="auto"/>
          <w:kern w:val="2"/>
          <w:sz w:val="24"/>
          <w:szCs w:val="24"/>
          <w:lang w:val="en-US" w:eastAsia="zh-CN" w:bidi="ar"/>
        </w:rPr>
        <w:t>项目</w:t>
      </w:r>
      <w:r>
        <w:rPr>
          <w:rFonts w:hint="eastAsia" w:ascii="宋体" w:hAnsi="宋体" w:cs="Times New Roman"/>
          <w:b w:val="0"/>
          <w:bCs w:val="0"/>
          <w:kern w:val="2"/>
          <w:sz w:val="24"/>
          <w:szCs w:val="24"/>
          <w:u w:val="none"/>
          <w:lang w:val="en-US" w:eastAsia="zh-CN" w:bidi="ar"/>
        </w:rPr>
        <w:t>》</w:t>
      </w:r>
      <w:r>
        <w:rPr>
          <w:rFonts w:hint="eastAsia" w:ascii="宋体" w:hAnsi="宋体" w:eastAsia="宋体" w:cs="Times New Roman"/>
          <w:sz w:val="24"/>
        </w:rPr>
        <w:t>采购文件的全部内容，愿意以含税价人民币(大写)</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r>
        <w:rPr>
          <w:rFonts w:hint="eastAsia" w:ascii="宋体" w:hAnsi="宋体" w:eastAsia="宋体" w:cs="Times New Roman"/>
          <w:sz w:val="24"/>
          <w:u w:val="none"/>
        </w:rPr>
        <w:t xml:space="preserve">         </w:t>
      </w:r>
      <w:r>
        <w:rPr>
          <w:rFonts w:hint="eastAsia" w:ascii="宋体" w:hAnsi="宋体" w:eastAsia="宋体" w:cs="Times New Roman"/>
          <w:sz w:val="24"/>
        </w:rPr>
        <w:t>)的报价</w:t>
      </w:r>
      <w:r>
        <w:rPr>
          <w:rFonts w:hint="eastAsia" w:ascii="宋体" w:hAnsi="宋体" w:eastAsia="宋体" w:cs="Times New Roman"/>
          <w:sz w:val="24"/>
          <w:lang w:val="en-US" w:eastAsia="zh-CN"/>
        </w:rPr>
        <w:t>，</w:t>
      </w:r>
      <w:r>
        <w:rPr>
          <w:rFonts w:hint="eastAsia" w:ascii="宋体" w:hAnsi="宋体" w:eastAsia="宋体" w:cs="Times New Roman"/>
          <w:sz w:val="24"/>
        </w:rPr>
        <w:t>（其中：不含税价为:</w:t>
      </w:r>
      <w:r>
        <w:rPr>
          <w:rFonts w:hint="eastAsia" w:ascii="宋体" w:hAnsi="宋体" w:eastAsia="宋体" w:cs="Times New Roman"/>
          <w:sz w:val="24"/>
          <w:u w:val="none"/>
        </w:rPr>
        <w:t xml:space="preserve">       </w:t>
      </w:r>
      <w:r>
        <w:rPr>
          <w:rFonts w:hint="eastAsia" w:ascii="宋体" w:hAnsi="宋体" w:eastAsia="宋体" w:cs="Times New Roman"/>
          <w:sz w:val="24"/>
        </w:rPr>
        <w:t>;增值税税额为:</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提供增值税专用发票</w:t>
      </w:r>
      <w:r>
        <w:rPr>
          <w:rFonts w:hint="eastAsia" w:ascii="宋体" w:hAnsi="宋体" w:eastAsia="宋体" w:cs="Times New Roman"/>
          <w:sz w:val="24"/>
        </w:rPr>
        <w:t>)完成本项目服务，并按合同约定履行义务。</w:t>
      </w:r>
      <w:r>
        <w:rPr>
          <w:rFonts w:hint="eastAsia" w:ascii="宋体" w:hAnsi="宋体" w:cs="Times New Roman"/>
          <w:sz w:val="24"/>
          <w:lang w:val="en-US" w:eastAsia="zh-CN"/>
        </w:rPr>
        <w:t>服务期限：自合同签订日起一年；响应文件有效期：90天。</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w:t>
      </w:r>
      <w:r>
        <w:rPr>
          <w:rFonts w:hint="eastAsia" w:cs="仿宋" w:asciiTheme="minorEastAsia" w:hAnsiTheme="minorEastAsia" w:eastAsiaTheme="minorEastAsia"/>
          <w:sz w:val="24"/>
        </w:rPr>
        <w:t>方案</w:t>
      </w:r>
      <w:r>
        <w:rPr>
          <w:rFonts w:hint="eastAsia" w:cs="仿宋" w:asciiTheme="minorEastAsia" w:hAnsiTheme="minorEastAsia" w:eastAsiaTheme="minorEastAsia"/>
          <w:sz w:val="24"/>
          <w:lang w:eastAsia="zh-CN"/>
        </w:rPr>
        <w:t>（如有））</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岳阳城陵矶新港有限</w:t>
      </w: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w:t>
      </w:r>
      <w:r>
        <w:rPr>
          <w:rFonts w:hint="eastAsia" w:cs="仿宋" w:asciiTheme="minorEastAsia" w:hAnsiTheme="minorEastAsia" w:eastAsiaTheme="minorEastAsia"/>
          <w:sz w:val="24"/>
          <w:lang w:eastAsia="zh-CN"/>
        </w:rPr>
        <w:t>报价</w:t>
      </w:r>
      <w:r>
        <w:rPr>
          <w:rFonts w:hint="eastAsia" w:cs="仿宋" w:asciiTheme="minorEastAsia" w:hAnsiTheme="minorEastAsia" w:eastAsiaTheme="minorEastAsia"/>
          <w:sz w:val="24"/>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1" w:name="_Toc27389"/>
      <w:bookmarkStart w:id="42" w:name="_Toc2629"/>
      <w:r>
        <w:rPr>
          <w:rFonts w:hint="eastAsia" w:ascii="黑体" w:hAnsi="黑体" w:eastAsia="黑体" w:cs="仿宋"/>
          <w:sz w:val="36"/>
          <w:szCs w:val="36"/>
        </w:rPr>
        <w:t>二、授权委托书</w:t>
      </w:r>
      <w:bookmarkEnd w:id="41"/>
      <w:bookmarkEnd w:id="4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240" w:lineRule="auto"/>
        <w:jc w:val="center"/>
        <w:outlineLvl w:val="0"/>
        <w:rPr>
          <w:rFonts w:ascii="黑体" w:hAnsi="黑体" w:eastAsia="黑体" w:cs="仿宋"/>
          <w:sz w:val="36"/>
          <w:szCs w:val="36"/>
        </w:rPr>
      </w:pPr>
      <w:bookmarkStart w:id="43" w:name="_Toc17363"/>
      <w:bookmarkStart w:id="44" w:name="_Toc19"/>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bookmarkEnd w:id="43"/>
      <w:bookmarkEnd w:id="44"/>
    </w:p>
    <w:p>
      <w:pPr>
        <w:spacing w:line="600" w:lineRule="exact"/>
        <w:jc w:val="center"/>
        <w:rPr>
          <w:rFonts w:cs="仿宋" w:asciiTheme="minorEastAsia" w:hAnsiTheme="minorEastAsia" w:eastAsiaTheme="minorEastAsia"/>
          <w:sz w:val="24"/>
        </w:rPr>
      </w:pP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82"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21"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307"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0"/>
        <w:jc w:val="center"/>
        <w:outlineLvl w:val="0"/>
        <w:rPr>
          <w:rFonts w:ascii="黑体" w:hAnsi="黑体" w:eastAsia="黑体" w:cs="仿宋"/>
          <w:sz w:val="36"/>
          <w:szCs w:val="36"/>
        </w:rPr>
      </w:pPr>
      <w:bookmarkStart w:id="45" w:name="_Toc16238"/>
      <w:bookmarkStart w:id="46" w:name="_Toc6453"/>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45"/>
      <w:bookmarkEnd w:id="46"/>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2.报价表</w:t>
      </w:r>
    </w:p>
    <w:p>
      <w:pPr>
        <w:pStyle w:val="2"/>
        <w:ind w:firstLine="240"/>
        <w:jc w:val="center"/>
        <w:rPr>
          <w:rFonts w:hint="eastAsia" w:ascii="宋体" w:hAnsi="宋体" w:cs="宋体"/>
          <w:bCs/>
          <w:sz w:val="24"/>
        </w:rPr>
      </w:pPr>
      <w:r>
        <w:rPr>
          <w:rFonts w:hint="eastAsia" w:ascii="宋体" w:hAnsi="宋体" w:cs="宋体"/>
          <w:bCs/>
          <w:sz w:val="24"/>
        </w:rPr>
        <w:t>城陵矶新港堆场至路口铺站集装箱拖车运输</w:t>
      </w:r>
      <w:r>
        <w:rPr>
          <w:rFonts w:hint="eastAsia" w:ascii="宋体" w:hAnsi="宋体" w:cs="宋体"/>
          <w:bCs/>
          <w:sz w:val="24"/>
          <w:lang w:eastAsia="zh-CN"/>
        </w:rPr>
        <w:t>报价</w:t>
      </w:r>
      <w:r>
        <w:rPr>
          <w:rFonts w:hint="eastAsia" w:ascii="宋体" w:hAnsi="宋体" w:cs="宋体"/>
          <w:bCs/>
          <w:sz w:val="24"/>
        </w:rPr>
        <w:t>清单：</w:t>
      </w:r>
    </w:p>
    <w:tbl>
      <w:tblPr>
        <w:tblStyle w:val="37"/>
        <w:tblW w:w="9079" w:type="dxa"/>
        <w:tblInd w:w="93" w:type="dxa"/>
        <w:tblLayout w:type="fixed"/>
        <w:tblCellMar>
          <w:top w:w="0" w:type="dxa"/>
          <w:left w:w="108" w:type="dxa"/>
          <w:bottom w:w="0" w:type="dxa"/>
          <w:right w:w="108" w:type="dxa"/>
        </w:tblCellMar>
      </w:tblPr>
      <w:tblGrid>
        <w:gridCol w:w="722"/>
        <w:gridCol w:w="2046"/>
        <w:gridCol w:w="1201"/>
        <w:gridCol w:w="1343"/>
        <w:gridCol w:w="1837"/>
        <w:gridCol w:w="1930"/>
      </w:tblGrid>
      <w:tr>
        <w:tblPrEx>
          <w:tblCellMar>
            <w:top w:w="0" w:type="dxa"/>
            <w:left w:w="108" w:type="dxa"/>
            <w:bottom w:w="0" w:type="dxa"/>
            <w:right w:w="108" w:type="dxa"/>
          </w:tblCellMar>
        </w:tblPrEx>
        <w:trPr>
          <w:trHeight w:val="72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规格型号</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预估箱量 (标箱）</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上限单价       （元/自然箱）</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预估总价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备注</w:t>
            </w: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20英尺空箱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71"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20英尺重箱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5000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40（45）英尺空箱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p>
        </w:tc>
        <w:tc>
          <w:tcPr>
            <w:tcW w:w="1930" w:type="dxa"/>
            <w:vMerge w:val="restart"/>
            <w:tcBorders>
              <w:top w:val="single" w:color="000000" w:sz="4" w:space="0"/>
              <w:left w:val="single" w:color="000000" w:sz="4" w:space="0"/>
              <w:right w:val="single" w:color="000000" w:sz="4" w:space="0"/>
            </w:tcBorders>
            <w:noWrap w:val="0"/>
            <w:vAlign w:val="center"/>
          </w:tcPr>
          <w:p>
            <w:pPr>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国际通用惯例按20英尺一个标准箱，本表中40（45）英尺的一个自然箱算2个标箱</w:t>
            </w: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20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40（45）英尺重箱</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33000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p>
        </w:tc>
        <w:tc>
          <w:tcPr>
            <w:tcW w:w="1930" w:type="dxa"/>
            <w:vMerge w:val="continue"/>
            <w:tcBorders>
              <w:left w:val="single" w:color="000000" w:sz="4" w:space="0"/>
              <w:bottom w:val="single" w:color="000000" w:sz="4" w:space="0"/>
              <w:right w:val="single" w:color="000000" w:sz="4" w:space="0"/>
            </w:tcBorders>
            <w:noWrap w:val="0"/>
            <w:vAlign w:val="center"/>
          </w:tcPr>
          <w:p>
            <w:pPr>
              <w:jc w:val="right"/>
              <w:textAlignment w:val="center"/>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sz w:val="24"/>
                <w:szCs w:val="24"/>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上限总价</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40000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ascii="宋体" w:hAnsi="宋体" w:eastAsia="宋体" w:cs="宋体"/>
                <w:sz w:val="24"/>
                <w:szCs w:val="24"/>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right"/>
              <w:textAlignment w:val="center"/>
              <w:rPr>
                <w:rFonts w:hint="default" w:ascii="Arial" w:hAnsi="Arial" w:eastAsia="宋体" w:cs="Arial"/>
                <w:kern w:val="0"/>
                <w:sz w:val="24"/>
                <w:szCs w:val="24"/>
                <w:lang w:bidi="ar"/>
              </w:rPr>
            </w:pPr>
          </w:p>
        </w:tc>
      </w:tr>
    </w:tbl>
    <w:p>
      <w:pPr>
        <w:numPr>
          <w:ilvl w:val="0"/>
          <w:numId w:val="0"/>
        </w:numPr>
        <w:spacing w:after="0" w:line="360" w:lineRule="auto"/>
        <w:ind w:lef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w:t>
      </w:r>
      <w:r>
        <w:rPr>
          <w:rFonts w:hint="eastAsia" w:ascii="宋体" w:hAnsi="宋体" w:eastAsia="宋体" w:cs="宋体"/>
          <w:b/>
          <w:sz w:val="24"/>
          <w:szCs w:val="24"/>
          <w:lang w:eastAsia="zh-CN"/>
        </w:rPr>
        <w:t>本公司承诺：</w:t>
      </w:r>
    </w:p>
    <w:p>
      <w:pPr>
        <w:spacing w:after="0" w:line="360" w:lineRule="auto"/>
        <w:ind w:firstLine="482" w:firstLineChars="200"/>
        <w:rPr>
          <w:rFonts w:hint="eastAsia" w:ascii="宋体" w:hAnsi="宋体" w:eastAsia="宋体" w:cs="宋体"/>
          <w:b/>
          <w:bCs w:val="0"/>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报价</w:t>
      </w:r>
      <w:r>
        <w:rPr>
          <w:rFonts w:hint="eastAsia" w:ascii="宋体" w:hAnsi="宋体" w:eastAsia="宋体" w:cs="宋体"/>
          <w:b/>
          <w:sz w:val="24"/>
          <w:szCs w:val="24"/>
        </w:rPr>
        <w:t>总价</w:t>
      </w:r>
      <w:r>
        <w:rPr>
          <w:rFonts w:hint="eastAsia" w:ascii="宋体" w:hAnsi="宋体" w:eastAsia="宋体" w:cs="宋体"/>
          <w:b/>
          <w:sz w:val="24"/>
          <w:szCs w:val="24"/>
          <w:lang w:val="en-US" w:eastAsia="zh-CN"/>
        </w:rPr>
        <w:t>**</w:t>
      </w:r>
      <w:r>
        <w:rPr>
          <w:rFonts w:hint="eastAsia" w:ascii="宋体" w:hAnsi="宋体" w:eastAsia="宋体" w:cs="宋体"/>
          <w:b/>
          <w:sz w:val="24"/>
          <w:szCs w:val="24"/>
        </w:rPr>
        <w:t>万元整，</w:t>
      </w:r>
      <w:r>
        <w:rPr>
          <w:rFonts w:hint="eastAsia" w:ascii="宋体" w:hAnsi="宋体" w:eastAsia="宋体" w:cs="宋体"/>
          <w:b/>
          <w:bCs w:val="0"/>
          <w:color w:val="000000"/>
          <w:sz w:val="24"/>
          <w:szCs w:val="24"/>
        </w:rPr>
        <w:t>提供</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%的增值税</w:t>
      </w:r>
      <w:r>
        <w:rPr>
          <w:rFonts w:hint="eastAsia" w:ascii="宋体" w:hAnsi="宋体" w:eastAsia="宋体" w:cs="宋体"/>
          <w:b/>
          <w:bCs w:val="0"/>
          <w:sz w:val="24"/>
          <w:szCs w:val="24"/>
        </w:rPr>
        <w:t>专用发票，</w:t>
      </w:r>
    </w:p>
    <w:p>
      <w:pPr>
        <w:adjustRightInd/>
        <w:snapToGrid/>
        <w:spacing w:after="0" w:line="360" w:lineRule="auto"/>
        <w:ind w:firstLine="482" w:firstLineChars="200"/>
        <w:jc w:val="left"/>
        <w:rPr>
          <w:rFonts w:hint="eastAsia" w:ascii="宋体" w:hAnsi="宋体" w:eastAsia="宋体" w:cs="宋体"/>
          <w:b/>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sz w:val="24"/>
          <w:szCs w:val="24"/>
        </w:rPr>
        <w:t>所有单价</w:t>
      </w:r>
      <w:r>
        <w:rPr>
          <w:rFonts w:hint="eastAsia" w:ascii="宋体" w:hAnsi="宋体" w:eastAsia="宋体" w:cs="宋体"/>
          <w:b/>
          <w:sz w:val="24"/>
          <w:szCs w:val="24"/>
          <w:lang w:eastAsia="zh-CN"/>
        </w:rPr>
        <w:t>即综合单价，</w:t>
      </w:r>
      <w:r>
        <w:rPr>
          <w:rFonts w:hint="eastAsia" w:ascii="宋体" w:hAnsi="宋体" w:eastAsia="宋体" w:cs="宋体"/>
          <w:b/>
          <w:sz w:val="24"/>
          <w:szCs w:val="24"/>
        </w:rPr>
        <w:t>都包含了</w:t>
      </w:r>
      <w:r>
        <w:rPr>
          <w:rFonts w:hint="eastAsia" w:ascii="宋体" w:hAnsi="宋体" w:eastAsia="宋体" w:cs="宋体"/>
          <w:b/>
          <w:sz w:val="24"/>
          <w:szCs w:val="24"/>
          <w:lang w:val="en-US" w:eastAsia="zh-CN"/>
        </w:rPr>
        <w:t>管理费用、</w:t>
      </w:r>
      <w:r>
        <w:rPr>
          <w:rFonts w:hint="eastAsia" w:ascii="宋体" w:hAnsi="宋体" w:eastAsia="宋体" w:cs="宋体"/>
          <w:b/>
          <w:sz w:val="24"/>
          <w:szCs w:val="24"/>
        </w:rPr>
        <w:t>工资、零点班加餐费、社保、税金、工伤保险费、劳保用品费、人员工伤赔付（安全风险)、部分作业工属具添置费、一年三节加班费、水电费</w:t>
      </w:r>
      <w:r>
        <w:rPr>
          <w:rFonts w:hint="eastAsia" w:ascii="宋体" w:hAnsi="宋体" w:eastAsia="宋体" w:cs="宋体"/>
          <w:b/>
          <w:sz w:val="24"/>
          <w:szCs w:val="24"/>
          <w:lang w:val="en-US" w:eastAsia="zh-CN"/>
        </w:rPr>
        <w:t>等</w:t>
      </w:r>
      <w:r>
        <w:rPr>
          <w:rFonts w:hint="eastAsia" w:ascii="宋体" w:hAnsi="宋体" w:eastAsia="宋体" w:cs="宋体"/>
          <w:b/>
          <w:sz w:val="24"/>
          <w:szCs w:val="24"/>
        </w:rPr>
        <w:t>所有费用</w:t>
      </w:r>
      <w:r>
        <w:rPr>
          <w:rFonts w:hint="eastAsia" w:ascii="宋体" w:hAnsi="宋体" w:eastAsia="宋体" w:cs="宋体"/>
          <w:b/>
          <w:sz w:val="24"/>
          <w:szCs w:val="24"/>
          <w:lang w:eastAsia="zh-CN"/>
        </w:rPr>
        <w:t>，合同执行期间</w:t>
      </w:r>
      <w:r>
        <w:rPr>
          <w:rFonts w:hint="eastAsia" w:ascii="宋体" w:hAnsi="宋体" w:eastAsia="宋体" w:cs="宋体"/>
          <w:b/>
          <w:color w:val="000000"/>
          <w:sz w:val="24"/>
          <w:szCs w:val="24"/>
          <w:u w:val="none"/>
        </w:rPr>
        <w:t>综合单价不因任何因素变化而调整</w:t>
      </w:r>
      <w:r>
        <w:rPr>
          <w:rFonts w:hint="eastAsia" w:ascii="宋体" w:hAnsi="宋体" w:eastAsia="宋体" w:cs="宋体"/>
          <w:b/>
          <w:sz w:val="24"/>
          <w:szCs w:val="24"/>
        </w:rPr>
        <w:t>。</w:t>
      </w:r>
    </w:p>
    <w:p>
      <w:pPr>
        <w:spacing w:after="0" w:line="360" w:lineRule="auto"/>
        <w:ind w:firstLine="482" w:firstLineChars="20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3.如出现表中未列项目将参照市场单价双方协商解决，在协商解决前不以单价未协商而停止履行权利义务。</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7" w:name="_Toc1756"/>
      <w:bookmarkStart w:id="48" w:name="_Toc24758"/>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bookmarkEnd w:id="47"/>
      <w:bookmarkEnd w:id="48"/>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600" w:lineRule="exact"/>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val="en-US" w:eastAsia="zh-CN"/>
        </w:rPr>
        <w:t>(需提供1个）</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585"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adjustRightInd w:val="0"/>
        <w:snapToGrid w:val="0"/>
        <w:spacing w:line="312" w:lineRule="auto"/>
        <w:ind w:left="199" w:leftChars="95" w:right="103" w:firstLine="409" w:firstLineChars="195"/>
        <w:jc w:val="left"/>
        <w:rPr>
          <w:rFonts w:hint="eastAsia" w:ascii="宋体" w:hAnsi="宋体" w:eastAsia="宋体" w:cs="Calibri"/>
          <w:sz w:val="21"/>
          <w:szCs w:val="21"/>
        </w:rPr>
      </w:pPr>
      <w:r>
        <w:rPr>
          <w:rFonts w:hint="eastAsia" w:ascii="宋体" w:hAnsi="宋体" w:eastAsia="宋体" w:cs="Calibri"/>
          <w:sz w:val="21"/>
          <w:szCs w:val="21"/>
        </w:rPr>
        <w:t>注：供应商应根据供应商须知前附表第3.5（4）项的要求在本表后附相关证明材料。</w:t>
      </w:r>
    </w:p>
    <w:p>
      <w:pPr>
        <w:adjustRightInd w:val="0"/>
        <w:snapToGrid w:val="0"/>
        <w:spacing w:after="0" w:line="312" w:lineRule="auto"/>
        <w:ind w:left="199" w:leftChars="95" w:right="103" w:firstLine="409" w:firstLineChars="195"/>
        <w:jc w:val="left"/>
        <w:rPr>
          <w:rFonts w:hint="eastAsia" w:ascii="宋体" w:hAnsi="宋体" w:eastAsia="宋体" w:cs="Calibri"/>
          <w:bCs w:val="0"/>
          <w:sz w:val="21"/>
          <w:szCs w:val="21"/>
        </w:rPr>
      </w:pPr>
      <w:r>
        <w:rPr>
          <w:rFonts w:hint="eastAsia" w:ascii="宋体" w:hAnsi="宋体" w:eastAsia="宋体" w:cs="Calibri"/>
          <w:sz w:val="21"/>
          <w:szCs w:val="21"/>
          <w:lang w:eastAsia="zh-CN"/>
        </w:rPr>
        <w:t>响应人</w:t>
      </w:r>
      <w:r>
        <w:rPr>
          <w:rFonts w:hint="eastAsia" w:ascii="宋体" w:hAnsi="宋体" w:eastAsia="宋体" w:cs="Calibri"/>
          <w:sz w:val="21"/>
          <w:szCs w:val="21"/>
        </w:rPr>
        <w:t>应附</w:t>
      </w:r>
      <w:r>
        <w:rPr>
          <w:rFonts w:hint="eastAsia" w:ascii="宋体" w:hAnsi="宋体" w:eastAsia="宋体" w:cs="Calibri"/>
          <w:sz w:val="21"/>
          <w:szCs w:val="21"/>
          <w:lang w:eastAsia="zh-CN"/>
        </w:rPr>
        <w:t>至少</w:t>
      </w:r>
      <w:r>
        <w:rPr>
          <w:rFonts w:hint="eastAsia" w:ascii="宋体" w:hAnsi="宋体" w:eastAsia="宋体" w:cs="Calibri"/>
          <w:sz w:val="21"/>
          <w:szCs w:val="21"/>
        </w:rPr>
        <w:t>1项自2020年</w:t>
      </w:r>
      <w:r>
        <w:rPr>
          <w:rFonts w:hint="eastAsia" w:ascii="宋体" w:hAnsi="宋体" w:cs="Calibri"/>
          <w:sz w:val="21"/>
          <w:szCs w:val="21"/>
          <w:lang w:val="en-US" w:eastAsia="zh-CN"/>
        </w:rPr>
        <w:t>7</w:t>
      </w:r>
      <w:r>
        <w:rPr>
          <w:rFonts w:hint="eastAsia" w:ascii="宋体" w:hAnsi="宋体" w:eastAsia="宋体" w:cs="Calibri"/>
          <w:sz w:val="21"/>
          <w:szCs w:val="21"/>
        </w:rPr>
        <w:t>月</w:t>
      </w:r>
      <w:r>
        <w:rPr>
          <w:rFonts w:hint="eastAsia" w:ascii="宋体" w:hAnsi="宋体" w:cs="Calibri"/>
          <w:sz w:val="21"/>
          <w:szCs w:val="21"/>
          <w:lang w:val="en-US" w:eastAsia="zh-CN"/>
        </w:rPr>
        <w:t>12</w:t>
      </w:r>
      <w:r>
        <w:rPr>
          <w:rFonts w:hint="eastAsia" w:ascii="宋体" w:hAnsi="宋体" w:eastAsia="宋体" w:cs="Calibri"/>
          <w:sz w:val="21"/>
          <w:szCs w:val="21"/>
        </w:rPr>
        <w:t>日至报名截止时间前</w:t>
      </w:r>
      <w:r>
        <w:rPr>
          <w:rFonts w:hint="eastAsia" w:ascii="宋体" w:hAnsi="宋体" w:eastAsia="宋体" w:cs="Calibri"/>
          <w:bCs w:val="0"/>
          <w:sz w:val="21"/>
          <w:szCs w:val="21"/>
        </w:rPr>
        <w:t>（以合同签订时间为准）集装箱拖箱运输服务的业绩。单项业务合同完成的作业量应不低于</w:t>
      </w:r>
      <w:r>
        <w:rPr>
          <w:rFonts w:hint="eastAsia" w:ascii="宋体" w:hAnsi="宋体" w:eastAsia="宋体" w:cs="Calibri"/>
          <w:bCs w:val="0"/>
          <w:sz w:val="21"/>
          <w:szCs w:val="21"/>
          <w:lang w:val="en-US" w:eastAsia="zh-CN"/>
        </w:rPr>
        <w:t>10</w:t>
      </w:r>
      <w:r>
        <w:rPr>
          <w:rFonts w:hint="eastAsia" w:ascii="宋体" w:hAnsi="宋体" w:eastAsia="宋体" w:cs="Calibri"/>
          <w:bCs w:val="0"/>
          <w:sz w:val="21"/>
          <w:szCs w:val="21"/>
        </w:rPr>
        <w:t>00</w:t>
      </w:r>
      <w:r>
        <w:rPr>
          <w:rFonts w:hint="eastAsia" w:ascii="宋体" w:hAnsi="宋体" w:eastAsia="宋体" w:cs="Calibri"/>
          <w:bCs w:val="0"/>
          <w:sz w:val="21"/>
          <w:szCs w:val="21"/>
          <w:lang w:val="en-US" w:eastAsia="zh-CN"/>
        </w:rPr>
        <w:t>标箱</w:t>
      </w:r>
      <w:r>
        <w:rPr>
          <w:rFonts w:hint="eastAsia" w:ascii="宋体" w:hAnsi="宋体" w:eastAsia="宋体" w:cs="Calibri"/>
          <w:bCs w:val="0"/>
          <w:sz w:val="21"/>
          <w:szCs w:val="21"/>
        </w:rPr>
        <w:t>/年。提供合同复印件盖公司公章，如合同中不能体现作业量可提供业主证明。</w:t>
      </w:r>
    </w:p>
    <w:p>
      <w:pPr>
        <w:pStyle w:val="2"/>
        <w:rPr>
          <w:rFonts w:hint="eastAsia"/>
        </w:rPr>
      </w:pP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7"/>
        </w:num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eastAsia="zh-CN"/>
        </w:rPr>
        <w:t>司驾</w:t>
      </w:r>
      <w:r>
        <w:rPr>
          <w:rFonts w:hint="eastAsia" w:cs="仿宋" w:asciiTheme="minorEastAsia" w:hAnsiTheme="minorEastAsia" w:eastAsiaTheme="minorEastAsia"/>
          <w:sz w:val="24"/>
        </w:rPr>
        <w:t>人员汇总表</w:t>
      </w:r>
    </w:p>
    <w:p>
      <w:pPr>
        <w:pStyle w:val="2"/>
        <w:rPr>
          <w:rFonts w:hint="eastAsia"/>
        </w:rPr>
      </w:pPr>
    </w:p>
    <w:tbl>
      <w:tblPr>
        <w:tblStyle w:val="37"/>
        <w:tblW w:w="7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914"/>
        <w:gridCol w:w="877"/>
        <w:gridCol w:w="2474"/>
        <w:gridCol w:w="1909"/>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914" w:type="dxa"/>
            <w:noWrap w:val="0"/>
            <w:vAlign w:val="center"/>
          </w:tcPr>
          <w:p>
            <w:pPr>
              <w:adjustRightInd w:val="0"/>
              <w:snapToGrid w:val="0"/>
              <w:spacing w:after="0" w:line="288" w:lineRule="auto"/>
              <w:jc w:val="center"/>
              <w:rPr>
                <w:rFonts w:ascii="宋体" w:hAnsi="宋体" w:eastAsia="宋体"/>
                <w:sz w:val="21"/>
                <w:szCs w:val="21"/>
              </w:rPr>
            </w:pPr>
            <w:r>
              <w:rPr>
                <w:rFonts w:ascii="宋体" w:hAnsi="宋体" w:eastAsia="宋体"/>
                <w:sz w:val="21"/>
                <w:szCs w:val="21"/>
              </w:rPr>
              <w:t>序号</w:t>
            </w:r>
          </w:p>
        </w:tc>
        <w:tc>
          <w:tcPr>
            <w:tcW w:w="877" w:type="dxa"/>
            <w:noWrap w:val="0"/>
            <w:vAlign w:val="center"/>
          </w:tcPr>
          <w:p>
            <w:pPr>
              <w:adjustRightInd w:val="0"/>
              <w:snapToGrid w:val="0"/>
              <w:spacing w:after="0" w:line="288" w:lineRule="auto"/>
              <w:jc w:val="center"/>
              <w:rPr>
                <w:rFonts w:ascii="宋体" w:hAnsi="宋体" w:eastAsia="宋体"/>
                <w:sz w:val="21"/>
                <w:szCs w:val="21"/>
              </w:rPr>
            </w:pPr>
            <w:r>
              <w:rPr>
                <w:rFonts w:ascii="宋体" w:hAnsi="宋体" w:eastAsia="宋体"/>
                <w:sz w:val="21"/>
                <w:szCs w:val="21"/>
              </w:rPr>
              <w:t>姓名</w:t>
            </w:r>
          </w:p>
        </w:tc>
        <w:tc>
          <w:tcPr>
            <w:tcW w:w="2474" w:type="dxa"/>
            <w:noWrap w:val="0"/>
            <w:vAlign w:val="center"/>
          </w:tcPr>
          <w:p>
            <w:pPr>
              <w:adjustRightInd w:val="0"/>
              <w:snapToGrid w:val="0"/>
              <w:spacing w:after="0" w:line="288" w:lineRule="auto"/>
              <w:jc w:val="center"/>
              <w:rPr>
                <w:rFonts w:hint="eastAsia" w:ascii="宋体" w:hAnsi="宋体" w:eastAsia="宋体"/>
                <w:sz w:val="21"/>
                <w:szCs w:val="21"/>
              </w:rPr>
            </w:pPr>
            <w:r>
              <w:rPr>
                <w:rFonts w:hint="eastAsia" w:ascii="宋体" w:hAnsi="宋体" w:eastAsia="宋体"/>
                <w:sz w:val="21"/>
                <w:szCs w:val="21"/>
              </w:rPr>
              <w:t>身份证号码</w:t>
            </w:r>
          </w:p>
        </w:tc>
        <w:tc>
          <w:tcPr>
            <w:tcW w:w="1909" w:type="dxa"/>
            <w:noWrap w:val="0"/>
            <w:vAlign w:val="center"/>
          </w:tcPr>
          <w:p>
            <w:pPr>
              <w:adjustRightInd w:val="0"/>
              <w:snapToGrid w:val="0"/>
              <w:spacing w:after="0" w:line="288" w:lineRule="auto"/>
              <w:jc w:val="center"/>
              <w:rPr>
                <w:rFonts w:hint="eastAsia" w:ascii="宋体" w:hAnsi="宋体" w:eastAsia="宋体"/>
                <w:sz w:val="21"/>
                <w:szCs w:val="21"/>
              </w:rPr>
            </w:pPr>
            <w:r>
              <w:rPr>
                <w:rFonts w:hint="eastAsia" w:ascii="宋体" w:hAnsi="宋体" w:eastAsia="宋体"/>
                <w:sz w:val="21"/>
                <w:szCs w:val="21"/>
              </w:rPr>
              <w:t>资格</w:t>
            </w:r>
            <w:r>
              <w:rPr>
                <w:rFonts w:ascii="宋体" w:hAnsi="宋体" w:eastAsia="宋体"/>
                <w:sz w:val="21"/>
                <w:szCs w:val="21"/>
              </w:rPr>
              <w:t>证书名称</w:t>
            </w:r>
          </w:p>
        </w:tc>
        <w:tc>
          <w:tcPr>
            <w:tcW w:w="1045" w:type="dxa"/>
            <w:noWrap w:val="0"/>
            <w:vAlign w:val="center"/>
          </w:tcPr>
          <w:p>
            <w:pPr>
              <w:adjustRightInd w:val="0"/>
              <w:snapToGrid w:val="0"/>
              <w:spacing w:line="312" w:lineRule="auto"/>
              <w:ind w:left="2"/>
              <w:jc w:val="center"/>
              <w:rPr>
                <w:rFonts w:ascii="宋体" w:hAnsi="宋体" w:eastAsia="宋体"/>
                <w:sz w:val="21"/>
                <w:szCs w:val="21"/>
              </w:rPr>
            </w:pPr>
            <w:r>
              <w:rPr>
                <w:rFonts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14" w:type="dxa"/>
            <w:noWrap w:val="0"/>
            <w:vAlign w:val="center"/>
          </w:tcPr>
          <w:p>
            <w:pPr>
              <w:adjustRightInd w:val="0"/>
              <w:snapToGrid w:val="0"/>
              <w:spacing w:line="312" w:lineRule="auto"/>
              <w:ind w:left="2"/>
              <w:jc w:val="center"/>
              <w:rPr>
                <w:rFonts w:ascii="宋体" w:hAnsi="宋体" w:eastAsia="宋体"/>
                <w:sz w:val="21"/>
                <w:szCs w:val="21"/>
              </w:rPr>
            </w:pPr>
          </w:p>
        </w:tc>
        <w:tc>
          <w:tcPr>
            <w:tcW w:w="877" w:type="dxa"/>
            <w:noWrap w:val="0"/>
            <w:vAlign w:val="center"/>
          </w:tcPr>
          <w:p>
            <w:pPr>
              <w:adjustRightInd w:val="0"/>
              <w:snapToGrid w:val="0"/>
              <w:spacing w:line="312" w:lineRule="auto"/>
              <w:jc w:val="center"/>
              <w:rPr>
                <w:rFonts w:ascii="宋体" w:hAnsi="宋体" w:eastAsia="宋体"/>
                <w:sz w:val="21"/>
                <w:szCs w:val="21"/>
              </w:rPr>
            </w:pPr>
          </w:p>
        </w:tc>
        <w:tc>
          <w:tcPr>
            <w:tcW w:w="2474" w:type="dxa"/>
            <w:noWrap w:val="0"/>
            <w:vAlign w:val="center"/>
          </w:tcPr>
          <w:p>
            <w:pPr>
              <w:adjustRightInd w:val="0"/>
              <w:snapToGrid w:val="0"/>
              <w:spacing w:line="312" w:lineRule="auto"/>
              <w:ind w:left="3"/>
              <w:jc w:val="center"/>
              <w:rPr>
                <w:rFonts w:ascii="宋体" w:hAnsi="宋体" w:eastAsia="宋体"/>
                <w:sz w:val="21"/>
                <w:szCs w:val="21"/>
              </w:rPr>
            </w:pPr>
          </w:p>
        </w:tc>
        <w:tc>
          <w:tcPr>
            <w:tcW w:w="1909" w:type="dxa"/>
            <w:noWrap w:val="0"/>
            <w:vAlign w:val="center"/>
          </w:tcPr>
          <w:p>
            <w:pPr>
              <w:adjustRightInd w:val="0"/>
              <w:snapToGrid w:val="0"/>
              <w:spacing w:line="312" w:lineRule="auto"/>
              <w:jc w:val="center"/>
              <w:rPr>
                <w:rFonts w:ascii="宋体" w:hAnsi="宋体" w:eastAsia="宋体"/>
                <w:sz w:val="21"/>
                <w:szCs w:val="21"/>
              </w:rPr>
            </w:pPr>
          </w:p>
        </w:tc>
        <w:tc>
          <w:tcPr>
            <w:tcW w:w="1045" w:type="dxa"/>
            <w:noWrap w:val="0"/>
            <w:vAlign w:val="center"/>
          </w:tcPr>
          <w:p>
            <w:pPr>
              <w:adjustRightInd w:val="0"/>
              <w:snapToGrid w:val="0"/>
              <w:spacing w:line="312" w:lineRule="auto"/>
              <w:ind w:left="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914" w:type="dxa"/>
            <w:noWrap w:val="0"/>
            <w:vAlign w:val="center"/>
          </w:tcPr>
          <w:p>
            <w:pPr>
              <w:adjustRightInd w:val="0"/>
              <w:snapToGrid w:val="0"/>
              <w:spacing w:line="312" w:lineRule="auto"/>
              <w:ind w:left="2"/>
              <w:jc w:val="center"/>
              <w:rPr>
                <w:rFonts w:ascii="宋体" w:hAnsi="宋体" w:eastAsia="宋体"/>
                <w:sz w:val="21"/>
                <w:szCs w:val="21"/>
              </w:rPr>
            </w:pPr>
          </w:p>
        </w:tc>
        <w:tc>
          <w:tcPr>
            <w:tcW w:w="877" w:type="dxa"/>
            <w:noWrap w:val="0"/>
            <w:vAlign w:val="center"/>
          </w:tcPr>
          <w:p>
            <w:pPr>
              <w:adjustRightInd w:val="0"/>
              <w:snapToGrid w:val="0"/>
              <w:spacing w:line="312" w:lineRule="auto"/>
              <w:jc w:val="center"/>
              <w:rPr>
                <w:rFonts w:ascii="宋体" w:hAnsi="宋体" w:eastAsia="宋体"/>
                <w:sz w:val="21"/>
                <w:szCs w:val="21"/>
              </w:rPr>
            </w:pPr>
          </w:p>
        </w:tc>
        <w:tc>
          <w:tcPr>
            <w:tcW w:w="2474" w:type="dxa"/>
            <w:noWrap w:val="0"/>
            <w:vAlign w:val="center"/>
          </w:tcPr>
          <w:p>
            <w:pPr>
              <w:adjustRightInd w:val="0"/>
              <w:snapToGrid w:val="0"/>
              <w:spacing w:line="312" w:lineRule="auto"/>
              <w:ind w:left="3"/>
              <w:jc w:val="center"/>
              <w:rPr>
                <w:rFonts w:ascii="宋体" w:hAnsi="宋体" w:eastAsia="宋体"/>
                <w:sz w:val="21"/>
                <w:szCs w:val="21"/>
              </w:rPr>
            </w:pPr>
          </w:p>
        </w:tc>
        <w:tc>
          <w:tcPr>
            <w:tcW w:w="1909" w:type="dxa"/>
            <w:noWrap w:val="0"/>
            <w:vAlign w:val="center"/>
          </w:tcPr>
          <w:p>
            <w:pPr>
              <w:adjustRightInd w:val="0"/>
              <w:snapToGrid w:val="0"/>
              <w:spacing w:line="312" w:lineRule="auto"/>
              <w:jc w:val="center"/>
              <w:rPr>
                <w:rFonts w:ascii="宋体" w:hAnsi="宋体" w:eastAsia="宋体"/>
                <w:sz w:val="21"/>
                <w:szCs w:val="21"/>
              </w:rPr>
            </w:pPr>
          </w:p>
        </w:tc>
        <w:tc>
          <w:tcPr>
            <w:tcW w:w="1045" w:type="dxa"/>
            <w:noWrap w:val="0"/>
            <w:vAlign w:val="center"/>
          </w:tcPr>
          <w:p>
            <w:pPr>
              <w:adjustRightInd w:val="0"/>
              <w:snapToGrid w:val="0"/>
              <w:spacing w:line="312" w:lineRule="auto"/>
              <w:ind w:left="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914" w:type="dxa"/>
            <w:noWrap w:val="0"/>
            <w:vAlign w:val="center"/>
          </w:tcPr>
          <w:p>
            <w:pPr>
              <w:adjustRightInd w:val="0"/>
              <w:snapToGrid w:val="0"/>
              <w:spacing w:line="312" w:lineRule="auto"/>
              <w:ind w:left="2"/>
              <w:jc w:val="center"/>
              <w:rPr>
                <w:rFonts w:ascii="宋体" w:hAnsi="宋体"/>
                <w:sz w:val="21"/>
                <w:szCs w:val="21"/>
              </w:rPr>
            </w:pPr>
          </w:p>
        </w:tc>
        <w:tc>
          <w:tcPr>
            <w:tcW w:w="877" w:type="dxa"/>
            <w:noWrap w:val="0"/>
            <w:vAlign w:val="center"/>
          </w:tcPr>
          <w:p>
            <w:pPr>
              <w:adjustRightInd w:val="0"/>
              <w:snapToGrid w:val="0"/>
              <w:spacing w:line="312" w:lineRule="auto"/>
              <w:jc w:val="center"/>
              <w:rPr>
                <w:rFonts w:ascii="宋体" w:hAnsi="宋体"/>
                <w:sz w:val="21"/>
                <w:szCs w:val="21"/>
              </w:rPr>
            </w:pPr>
          </w:p>
        </w:tc>
        <w:tc>
          <w:tcPr>
            <w:tcW w:w="2474" w:type="dxa"/>
            <w:noWrap w:val="0"/>
            <w:vAlign w:val="center"/>
          </w:tcPr>
          <w:p>
            <w:pPr>
              <w:adjustRightInd w:val="0"/>
              <w:snapToGrid w:val="0"/>
              <w:spacing w:line="312" w:lineRule="auto"/>
              <w:ind w:left="3"/>
              <w:jc w:val="center"/>
              <w:rPr>
                <w:rFonts w:ascii="宋体" w:hAnsi="宋体"/>
                <w:sz w:val="21"/>
                <w:szCs w:val="21"/>
              </w:rPr>
            </w:pPr>
          </w:p>
        </w:tc>
        <w:tc>
          <w:tcPr>
            <w:tcW w:w="1909" w:type="dxa"/>
            <w:noWrap w:val="0"/>
            <w:vAlign w:val="center"/>
          </w:tcPr>
          <w:p>
            <w:pPr>
              <w:adjustRightInd w:val="0"/>
              <w:snapToGrid w:val="0"/>
              <w:spacing w:line="312" w:lineRule="auto"/>
              <w:jc w:val="center"/>
              <w:rPr>
                <w:rFonts w:ascii="宋体" w:hAnsi="宋体"/>
                <w:sz w:val="21"/>
                <w:szCs w:val="21"/>
              </w:rPr>
            </w:pPr>
          </w:p>
        </w:tc>
        <w:tc>
          <w:tcPr>
            <w:tcW w:w="1045" w:type="dxa"/>
            <w:noWrap w:val="0"/>
            <w:vAlign w:val="center"/>
          </w:tcPr>
          <w:p>
            <w:pPr>
              <w:adjustRightInd w:val="0"/>
              <w:snapToGrid w:val="0"/>
              <w:spacing w:line="312" w:lineRule="auto"/>
              <w:ind w:left="2"/>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14" w:type="dxa"/>
            <w:noWrap w:val="0"/>
            <w:vAlign w:val="center"/>
          </w:tcPr>
          <w:p>
            <w:pPr>
              <w:adjustRightInd w:val="0"/>
              <w:snapToGrid w:val="0"/>
              <w:spacing w:line="312" w:lineRule="auto"/>
              <w:ind w:left="2"/>
              <w:jc w:val="center"/>
              <w:rPr>
                <w:rFonts w:ascii="宋体" w:hAnsi="宋体"/>
                <w:sz w:val="21"/>
                <w:szCs w:val="21"/>
              </w:rPr>
            </w:pPr>
          </w:p>
        </w:tc>
        <w:tc>
          <w:tcPr>
            <w:tcW w:w="877" w:type="dxa"/>
            <w:noWrap w:val="0"/>
            <w:vAlign w:val="center"/>
          </w:tcPr>
          <w:p>
            <w:pPr>
              <w:adjustRightInd w:val="0"/>
              <w:snapToGrid w:val="0"/>
              <w:spacing w:line="312" w:lineRule="auto"/>
              <w:jc w:val="center"/>
              <w:rPr>
                <w:rFonts w:ascii="宋体" w:hAnsi="宋体"/>
                <w:sz w:val="21"/>
                <w:szCs w:val="21"/>
              </w:rPr>
            </w:pPr>
          </w:p>
        </w:tc>
        <w:tc>
          <w:tcPr>
            <w:tcW w:w="2474" w:type="dxa"/>
            <w:noWrap w:val="0"/>
            <w:vAlign w:val="center"/>
          </w:tcPr>
          <w:p>
            <w:pPr>
              <w:adjustRightInd w:val="0"/>
              <w:snapToGrid w:val="0"/>
              <w:spacing w:line="312" w:lineRule="auto"/>
              <w:ind w:left="3"/>
              <w:jc w:val="center"/>
              <w:rPr>
                <w:rFonts w:ascii="宋体" w:hAnsi="宋体"/>
                <w:sz w:val="21"/>
                <w:szCs w:val="21"/>
              </w:rPr>
            </w:pPr>
          </w:p>
        </w:tc>
        <w:tc>
          <w:tcPr>
            <w:tcW w:w="1909" w:type="dxa"/>
            <w:noWrap w:val="0"/>
            <w:vAlign w:val="center"/>
          </w:tcPr>
          <w:p>
            <w:pPr>
              <w:adjustRightInd w:val="0"/>
              <w:snapToGrid w:val="0"/>
              <w:spacing w:line="312" w:lineRule="auto"/>
              <w:jc w:val="center"/>
              <w:rPr>
                <w:rFonts w:ascii="宋体" w:hAnsi="宋体"/>
                <w:sz w:val="21"/>
                <w:szCs w:val="21"/>
              </w:rPr>
            </w:pPr>
          </w:p>
        </w:tc>
        <w:tc>
          <w:tcPr>
            <w:tcW w:w="1045" w:type="dxa"/>
            <w:noWrap w:val="0"/>
            <w:vAlign w:val="center"/>
          </w:tcPr>
          <w:p>
            <w:pPr>
              <w:adjustRightInd w:val="0"/>
              <w:snapToGrid w:val="0"/>
              <w:spacing w:line="312" w:lineRule="auto"/>
              <w:ind w:left="2"/>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14" w:type="dxa"/>
            <w:noWrap w:val="0"/>
            <w:vAlign w:val="center"/>
          </w:tcPr>
          <w:p>
            <w:pPr>
              <w:adjustRightInd w:val="0"/>
              <w:snapToGrid w:val="0"/>
              <w:spacing w:line="312" w:lineRule="auto"/>
              <w:ind w:left="2"/>
              <w:jc w:val="center"/>
              <w:rPr>
                <w:rFonts w:ascii="宋体" w:hAnsi="宋体"/>
                <w:sz w:val="21"/>
                <w:szCs w:val="21"/>
              </w:rPr>
            </w:pPr>
          </w:p>
        </w:tc>
        <w:tc>
          <w:tcPr>
            <w:tcW w:w="877" w:type="dxa"/>
            <w:noWrap w:val="0"/>
            <w:vAlign w:val="center"/>
          </w:tcPr>
          <w:p>
            <w:pPr>
              <w:adjustRightInd w:val="0"/>
              <w:snapToGrid w:val="0"/>
              <w:spacing w:line="312" w:lineRule="auto"/>
              <w:jc w:val="center"/>
              <w:rPr>
                <w:rFonts w:ascii="宋体" w:hAnsi="宋体"/>
                <w:sz w:val="21"/>
                <w:szCs w:val="21"/>
              </w:rPr>
            </w:pPr>
          </w:p>
        </w:tc>
        <w:tc>
          <w:tcPr>
            <w:tcW w:w="2474" w:type="dxa"/>
            <w:noWrap w:val="0"/>
            <w:vAlign w:val="center"/>
          </w:tcPr>
          <w:p>
            <w:pPr>
              <w:adjustRightInd w:val="0"/>
              <w:snapToGrid w:val="0"/>
              <w:spacing w:line="312" w:lineRule="auto"/>
              <w:ind w:left="3"/>
              <w:jc w:val="center"/>
              <w:rPr>
                <w:rFonts w:ascii="宋体" w:hAnsi="宋体"/>
                <w:sz w:val="21"/>
                <w:szCs w:val="21"/>
              </w:rPr>
            </w:pPr>
          </w:p>
        </w:tc>
        <w:tc>
          <w:tcPr>
            <w:tcW w:w="1909" w:type="dxa"/>
            <w:noWrap w:val="0"/>
            <w:vAlign w:val="center"/>
          </w:tcPr>
          <w:p>
            <w:pPr>
              <w:adjustRightInd w:val="0"/>
              <w:snapToGrid w:val="0"/>
              <w:spacing w:line="312" w:lineRule="auto"/>
              <w:jc w:val="center"/>
              <w:rPr>
                <w:rFonts w:ascii="宋体" w:hAnsi="宋体"/>
                <w:sz w:val="21"/>
                <w:szCs w:val="21"/>
              </w:rPr>
            </w:pPr>
          </w:p>
        </w:tc>
        <w:tc>
          <w:tcPr>
            <w:tcW w:w="1045" w:type="dxa"/>
            <w:noWrap w:val="0"/>
            <w:vAlign w:val="center"/>
          </w:tcPr>
          <w:p>
            <w:pPr>
              <w:adjustRightInd w:val="0"/>
              <w:snapToGrid w:val="0"/>
              <w:spacing w:line="312" w:lineRule="auto"/>
              <w:ind w:left="2"/>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14" w:type="dxa"/>
            <w:noWrap w:val="0"/>
            <w:vAlign w:val="center"/>
          </w:tcPr>
          <w:p>
            <w:pPr>
              <w:adjustRightInd w:val="0"/>
              <w:snapToGrid w:val="0"/>
              <w:spacing w:line="312" w:lineRule="auto"/>
              <w:ind w:left="2"/>
              <w:jc w:val="center"/>
              <w:rPr>
                <w:rFonts w:ascii="宋体" w:hAnsi="宋体"/>
                <w:sz w:val="21"/>
                <w:szCs w:val="21"/>
              </w:rPr>
            </w:pPr>
          </w:p>
        </w:tc>
        <w:tc>
          <w:tcPr>
            <w:tcW w:w="877" w:type="dxa"/>
            <w:noWrap w:val="0"/>
            <w:vAlign w:val="center"/>
          </w:tcPr>
          <w:p>
            <w:pPr>
              <w:adjustRightInd w:val="0"/>
              <w:snapToGrid w:val="0"/>
              <w:spacing w:line="312" w:lineRule="auto"/>
              <w:jc w:val="center"/>
              <w:rPr>
                <w:rFonts w:ascii="宋体" w:hAnsi="宋体"/>
                <w:sz w:val="21"/>
                <w:szCs w:val="21"/>
              </w:rPr>
            </w:pPr>
          </w:p>
        </w:tc>
        <w:tc>
          <w:tcPr>
            <w:tcW w:w="2474" w:type="dxa"/>
            <w:noWrap w:val="0"/>
            <w:vAlign w:val="center"/>
          </w:tcPr>
          <w:p>
            <w:pPr>
              <w:adjustRightInd w:val="0"/>
              <w:snapToGrid w:val="0"/>
              <w:spacing w:line="312" w:lineRule="auto"/>
              <w:ind w:left="3"/>
              <w:jc w:val="center"/>
              <w:rPr>
                <w:rFonts w:ascii="宋体" w:hAnsi="宋体"/>
                <w:sz w:val="21"/>
                <w:szCs w:val="21"/>
              </w:rPr>
            </w:pPr>
          </w:p>
        </w:tc>
        <w:tc>
          <w:tcPr>
            <w:tcW w:w="1909" w:type="dxa"/>
            <w:noWrap w:val="0"/>
            <w:vAlign w:val="center"/>
          </w:tcPr>
          <w:p>
            <w:pPr>
              <w:adjustRightInd w:val="0"/>
              <w:snapToGrid w:val="0"/>
              <w:spacing w:line="312" w:lineRule="auto"/>
              <w:jc w:val="center"/>
              <w:rPr>
                <w:rFonts w:ascii="宋体" w:hAnsi="宋体"/>
                <w:sz w:val="21"/>
                <w:szCs w:val="21"/>
              </w:rPr>
            </w:pPr>
          </w:p>
        </w:tc>
        <w:tc>
          <w:tcPr>
            <w:tcW w:w="1045" w:type="dxa"/>
            <w:noWrap w:val="0"/>
            <w:vAlign w:val="center"/>
          </w:tcPr>
          <w:p>
            <w:pPr>
              <w:adjustRightInd w:val="0"/>
              <w:snapToGrid w:val="0"/>
              <w:spacing w:line="312" w:lineRule="auto"/>
              <w:ind w:left="2"/>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914" w:type="dxa"/>
            <w:noWrap w:val="0"/>
            <w:vAlign w:val="center"/>
          </w:tcPr>
          <w:p>
            <w:pPr>
              <w:adjustRightInd w:val="0"/>
              <w:snapToGrid w:val="0"/>
              <w:spacing w:line="312" w:lineRule="auto"/>
              <w:ind w:left="2"/>
              <w:jc w:val="center"/>
              <w:rPr>
                <w:rFonts w:ascii="宋体" w:hAnsi="宋体"/>
                <w:sz w:val="21"/>
                <w:szCs w:val="21"/>
              </w:rPr>
            </w:pPr>
          </w:p>
        </w:tc>
        <w:tc>
          <w:tcPr>
            <w:tcW w:w="877" w:type="dxa"/>
            <w:noWrap w:val="0"/>
            <w:vAlign w:val="center"/>
          </w:tcPr>
          <w:p>
            <w:pPr>
              <w:adjustRightInd w:val="0"/>
              <w:snapToGrid w:val="0"/>
              <w:spacing w:line="312" w:lineRule="auto"/>
              <w:jc w:val="center"/>
              <w:rPr>
                <w:rFonts w:ascii="宋体" w:hAnsi="宋体"/>
                <w:sz w:val="21"/>
                <w:szCs w:val="21"/>
              </w:rPr>
            </w:pPr>
          </w:p>
        </w:tc>
        <w:tc>
          <w:tcPr>
            <w:tcW w:w="2474" w:type="dxa"/>
            <w:noWrap w:val="0"/>
            <w:vAlign w:val="center"/>
          </w:tcPr>
          <w:p>
            <w:pPr>
              <w:adjustRightInd w:val="0"/>
              <w:snapToGrid w:val="0"/>
              <w:spacing w:line="312" w:lineRule="auto"/>
              <w:ind w:left="3"/>
              <w:jc w:val="center"/>
              <w:rPr>
                <w:rFonts w:ascii="宋体" w:hAnsi="宋体"/>
                <w:sz w:val="21"/>
                <w:szCs w:val="21"/>
              </w:rPr>
            </w:pPr>
          </w:p>
        </w:tc>
        <w:tc>
          <w:tcPr>
            <w:tcW w:w="1909" w:type="dxa"/>
            <w:noWrap w:val="0"/>
            <w:vAlign w:val="center"/>
          </w:tcPr>
          <w:p>
            <w:pPr>
              <w:adjustRightInd w:val="0"/>
              <w:snapToGrid w:val="0"/>
              <w:spacing w:line="312" w:lineRule="auto"/>
              <w:jc w:val="center"/>
              <w:rPr>
                <w:rFonts w:ascii="宋体" w:hAnsi="宋体"/>
                <w:sz w:val="21"/>
                <w:szCs w:val="21"/>
              </w:rPr>
            </w:pPr>
          </w:p>
        </w:tc>
        <w:tc>
          <w:tcPr>
            <w:tcW w:w="1045" w:type="dxa"/>
            <w:noWrap w:val="0"/>
            <w:vAlign w:val="center"/>
          </w:tcPr>
          <w:p>
            <w:pPr>
              <w:adjustRightInd w:val="0"/>
              <w:snapToGrid w:val="0"/>
              <w:spacing w:line="312" w:lineRule="auto"/>
              <w:ind w:left="2"/>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14" w:type="dxa"/>
            <w:noWrap w:val="0"/>
            <w:vAlign w:val="center"/>
          </w:tcPr>
          <w:p>
            <w:pPr>
              <w:adjustRightInd w:val="0"/>
              <w:snapToGrid w:val="0"/>
              <w:spacing w:line="312" w:lineRule="auto"/>
              <w:ind w:left="2"/>
              <w:jc w:val="center"/>
              <w:rPr>
                <w:rFonts w:ascii="宋体" w:hAnsi="宋体"/>
                <w:sz w:val="21"/>
                <w:szCs w:val="21"/>
              </w:rPr>
            </w:pPr>
          </w:p>
        </w:tc>
        <w:tc>
          <w:tcPr>
            <w:tcW w:w="877" w:type="dxa"/>
            <w:noWrap w:val="0"/>
            <w:vAlign w:val="center"/>
          </w:tcPr>
          <w:p>
            <w:pPr>
              <w:adjustRightInd w:val="0"/>
              <w:snapToGrid w:val="0"/>
              <w:spacing w:line="312" w:lineRule="auto"/>
              <w:jc w:val="center"/>
              <w:rPr>
                <w:rFonts w:ascii="宋体" w:hAnsi="宋体"/>
                <w:sz w:val="21"/>
                <w:szCs w:val="21"/>
              </w:rPr>
            </w:pPr>
          </w:p>
        </w:tc>
        <w:tc>
          <w:tcPr>
            <w:tcW w:w="2474" w:type="dxa"/>
            <w:noWrap w:val="0"/>
            <w:vAlign w:val="center"/>
          </w:tcPr>
          <w:p>
            <w:pPr>
              <w:adjustRightInd w:val="0"/>
              <w:snapToGrid w:val="0"/>
              <w:spacing w:line="312" w:lineRule="auto"/>
              <w:ind w:left="3"/>
              <w:jc w:val="center"/>
              <w:rPr>
                <w:rFonts w:ascii="宋体" w:hAnsi="宋体"/>
                <w:sz w:val="21"/>
                <w:szCs w:val="21"/>
              </w:rPr>
            </w:pPr>
          </w:p>
        </w:tc>
        <w:tc>
          <w:tcPr>
            <w:tcW w:w="1909" w:type="dxa"/>
            <w:noWrap w:val="0"/>
            <w:vAlign w:val="center"/>
          </w:tcPr>
          <w:p>
            <w:pPr>
              <w:adjustRightInd w:val="0"/>
              <w:snapToGrid w:val="0"/>
              <w:spacing w:line="312" w:lineRule="auto"/>
              <w:jc w:val="center"/>
              <w:rPr>
                <w:rFonts w:ascii="宋体" w:hAnsi="宋体"/>
                <w:sz w:val="21"/>
                <w:szCs w:val="21"/>
              </w:rPr>
            </w:pPr>
          </w:p>
        </w:tc>
        <w:tc>
          <w:tcPr>
            <w:tcW w:w="1045" w:type="dxa"/>
            <w:noWrap w:val="0"/>
            <w:vAlign w:val="center"/>
          </w:tcPr>
          <w:p>
            <w:pPr>
              <w:adjustRightInd w:val="0"/>
              <w:snapToGrid w:val="0"/>
              <w:spacing w:line="312" w:lineRule="auto"/>
              <w:ind w:left="2"/>
              <w:jc w:val="center"/>
              <w:rPr>
                <w:rFonts w:ascii="宋体" w:hAnsi="宋体"/>
                <w:sz w:val="21"/>
                <w:szCs w:val="21"/>
              </w:rPr>
            </w:pPr>
          </w:p>
        </w:tc>
      </w:tr>
    </w:tbl>
    <w:p>
      <w:pPr>
        <w:adjustRightInd w:val="0"/>
        <w:snapToGrid w:val="0"/>
        <w:spacing w:line="312" w:lineRule="auto"/>
        <w:ind w:left="199" w:leftChars="95" w:right="103" w:firstLine="409" w:firstLineChars="195"/>
        <w:jc w:val="left"/>
        <w:rPr>
          <w:rFonts w:hint="eastAsia" w:ascii="宋体" w:hAnsi="宋体" w:eastAsia="宋体" w:cs="Calibri"/>
          <w:sz w:val="21"/>
          <w:szCs w:val="21"/>
        </w:rPr>
      </w:pPr>
      <w:r>
        <w:rPr>
          <w:rFonts w:hint="eastAsia" w:ascii="宋体" w:hAnsi="宋体" w:eastAsia="宋体" w:cs="Calibri"/>
          <w:sz w:val="21"/>
          <w:szCs w:val="21"/>
        </w:rPr>
        <w:t>注：供应商应根据供应商须知前附表第3.5（</w:t>
      </w:r>
      <w:r>
        <w:rPr>
          <w:rFonts w:hint="eastAsia" w:ascii="宋体" w:hAnsi="宋体" w:eastAsia="宋体" w:cs="Calibri"/>
          <w:sz w:val="21"/>
          <w:szCs w:val="21"/>
          <w:lang w:val="en-US" w:eastAsia="zh-CN"/>
        </w:rPr>
        <w:t>6</w:t>
      </w:r>
      <w:r>
        <w:rPr>
          <w:rFonts w:hint="eastAsia" w:ascii="宋体" w:hAnsi="宋体" w:eastAsia="宋体" w:cs="Calibri"/>
          <w:sz w:val="21"/>
          <w:szCs w:val="21"/>
        </w:rPr>
        <w:t>）项的要求在本表后附相关证明材料。</w:t>
      </w:r>
    </w:p>
    <w:p>
      <w:pPr>
        <w:adjustRightInd w:val="0"/>
        <w:snapToGrid w:val="0"/>
        <w:spacing w:after="0" w:line="312" w:lineRule="auto"/>
        <w:ind w:left="199" w:leftChars="95" w:right="103" w:firstLine="409" w:firstLineChars="195"/>
        <w:rPr>
          <w:rFonts w:hint="eastAsia" w:ascii="宋体" w:hAnsi="宋体" w:eastAsia="宋体" w:cs="Calibri"/>
          <w:bCs w:val="0"/>
          <w:sz w:val="21"/>
          <w:szCs w:val="21"/>
        </w:rPr>
      </w:pPr>
      <w:r>
        <w:rPr>
          <w:rFonts w:hint="eastAsia" w:ascii="宋体" w:hAnsi="宋体" w:eastAsia="宋体" w:cs="Calibri"/>
          <w:bCs w:val="0"/>
          <w:sz w:val="21"/>
          <w:szCs w:val="21"/>
          <w:lang w:eastAsia="zh-CN"/>
        </w:rPr>
        <w:t>投标人应附至少</w:t>
      </w:r>
      <w:r>
        <w:rPr>
          <w:rFonts w:hint="eastAsia" w:ascii="宋体" w:hAnsi="宋体" w:eastAsia="宋体" w:cs="Calibri"/>
          <w:bCs w:val="0"/>
          <w:sz w:val="21"/>
          <w:szCs w:val="21"/>
          <w:lang w:val="en-US" w:eastAsia="zh-CN"/>
        </w:rPr>
        <w:t>10份A2</w:t>
      </w:r>
      <w:r>
        <w:rPr>
          <w:rFonts w:hint="eastAsia" w:ascii="宋体" w:hAnsi="宋体" w:eastAsia="宋体" w:cs="Calibri"/>
          <w:bCs w:val="0"/>
          <w:sz w:val="21"/>
          <w:szCs w:val="21"/>
        </w:rPr>
        <w:t>驾驶人员驾驶证复印件、投标前购买的工伤保险证明</w:t>
      </w:r>
      <w:r>
        <w:rPr>
          <w:rFonts w:hint="eastAsia" w:ascii="宋体" w:hAnsi="宋体" w:eastAsia="宋体" w:cs="Calibri"/>
          <w:bCs w:val="0"/>
          <w:sz w:val="21"/>
          <w:szCs w:val="21"/>
          <w:lang w:val="en-US" w:eastAsia="zh-CN"/>
        </w:rPr>
        <w:t>或承诺购买工伤保险的承诺函，</w:t>
      </w:r>
      <w:r>
        <w:rPr>
          <w:rFonts w:hint="eastAsia" w:ascii="宋体" w:hAnsi="宋体" w:eastAsia="宋体" w:cs="Calibri"/>
          <w:bCs w:val="0"/>
          <w:sz w:val="21"/>
          <w:szCs w:val="21"/>
        </w:rPr>
        <w:t>并加盖公司公章。</w:t>
      </w:r>
    </w:p>
    <w:p>
      <w:pPr>
        <w:adjustRightInd w:val="0"/>
        <w:snapToGrid w:val="0"/>
        <w:spacing w:line="312" w:lineRule="auto"/>
        <w:ind w:left="10" w:right="103" w:hanging="10"/>
        <w:rPr>
          <w:rFonts w:hint="eastAsia" w:ascii="宋体" w:hAnsi="宋体" w:eastAsia="宋体"/>
          <w:sz w:val="21"/>
          <w:szCs w:val="21"/>
          <w:u w:val="none"/>
        </w:rPr>
      </w:pPr>
    </w:p>
    <w:p>
      <w:pPr>
        <w:jc w:val="both"/>
        <w:rPr>
          <w:rFonts w:asciiTheme="minorEastAsia" w:hAnsiTheme="minorEastAsia" w:eastAsiaTheme="minorEastAsia"/>
          <w:sz w:val="24"/>
        </w:rPr>
      </w:pPr>
      <w:r>
        <w:rPr>
          <w:rFonts w:asciiTheme="minorEastAsia" w:hAnsiTheme="minorEastAsia" w:eastAsiaTheme="minorEastAsia"/>
          <w:sz w:val="24"/>
        </w:rPr>
        <w:br w:type="page"/>
      </w:r>
    </w:p>
    <w:p>
      <w:pPr>
        <w:pStyle w:val="6"/>
        <w:spacing w:before="0" w:after="0" w:line="380" w:lineRule="atLeast"/>
        <w:jc w:val="both"/>
        <w:rPr>
          <w:rFonts w:asciiTheme="minorEastAsia" w:hAnsiTheme="minorEastAsia" w:eastAsiaTheme="minorEastAsia"/>
          <w:b w:val="0"/>
          <w:sz w:val="24"/>
          <w:szCs w:val="24"/>
        </w:rPr>
      </w:pPr>
      <w:bookmarkStart w:id="49" w:name="_Toc3395"/>
      <w:bookmarkStart w:id="50" w:name="_Toc9243"/>
      <w:bookmarkStart w:id="51" w:name="_Toc24250"/>
      <w:bookmarkStart w:id="52" w:name="_Toc2331"/>
      <w:bookmarkStart w:id="53" w:name="_Toc29608"/>
      <w:bookmarkStart w:id="54" w:name="_Toc22709"/>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49"/>
      <w:bookmarkEnd w:id="50"/>
      <w:bookmarkEnd w:id="51"/>
      <w:bookmarkEnd w:id="52"/>
      <w:bookmarkEnd w:id="53"/>
      <w:bookmarkEnd w:id="54"/>
    </w:p>
    <w:p>
      <w:pPr>
        <w:autoSpaceDE w:val="0"/>
        <w:autoSpaceDN w:val="0"/>
        <w:spacing w:line="400" w:lineRule="atLeast"/>
        <w:jc w:val="both"/>
        <w:textAlignment w:val="bottom"/>
        <w:rPr>
          <w:rFonts w:asciiTheme="minorEastAsia" w:hAnsiTheme="minorEastAsia" w:eastAsiaTheme="minorEastAsia"/>
          <w:sz w:val="24"/>
        </w:rPr>
      </w:pPr>
    </w:p>
    <w:p>
      <w:pPr>
        <w:adjustRightInd w:val="0"/>
        <w:spacing w:line="360" w:lineRule="auto"/>
        <w:ind w:firstLine="482" w:firstLineChars="200"/>
        <w:jc w:val="center"/>
        <w:outlineLvl w:val="1"/>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w:t>
      </w:r>
      <w:r>
        <w:rPr>
          <w:rFonts w:ascii="宋体" w:hAnsi="宋体" w:eastAsia="宋体"/>
          <w:b/>
          <w:sz w:val="24"/>
          <w:szCs w:val="24"/>
        </w:rPr>
        <w:t>）</w:t>
      </w:r>
      <w:r>
        <w:rPr>
          <w:rFonts w:hint="eastAsia" w:ascii="宋体" w:hAnsi="宋体" w:eastAsia="宋体"/>
          <w:b/>
          <w:sz w:val="24"/>
          <w:szCs w:val="24"/>
        </w:rPr>
        <w:t>负责人员</w:t>
      </w:r>
      <w:r>
        <w:rPr>
          <w:rFonts w:ascii="宋体" w:hAnsi="宋体" w:eastAsia="宋体"/>
          <w:b/>
          <w:sz w:val="24"/>
          <w:szCs w:val="24"/>
        </w:rPr>
        <w:t xml:space="preserve">简历表 </w:t>
      </w:r>
    </w:p>
    <w:tbl>
      <w:tblPr>
        <w:tblStyle w:val="37"/>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69" w:type="dxa"/>
          <w:left w:w="0" w:type="dxa"/>
          <w:bottom w:w="61" w:type="dxa"/>
          <w:right w:w="24" w:type="dxa"/>
        </w:tblCellMar>
      </w:tblPr>
      <w:tblGrid>
        <w:gridCol w:w="1994"/>
        <w:gridCol w:w="1335"/>
        <w:gridCol w:w="750"/>
        <w:gridCol w:w="1460"/>
        <w:gridCol w:w="268"/>
        <w:gridCol w:w="1260"/>
        <w:gridCol w:w="40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jc w:val="center"/>
              <w:rPr>
                <w:rFonts w:ascii="宋体" w:hAnsi="宋体"/>
                <w:sz w:val="21"/>
                <w:szCs w:val="21"/>
              </w:rPr>
            </w:pPr>
            <w:r>
              <w:rPr>
                <w:rFonts w:ascii="宋体" w:hAnsi="宋体"/>
                <w:sz w:val="21"/>
                <w:szCs w:val="21"/>
              </w:rPr>
              <w:t>姓  名</w:t>
            </w:r>
          </w:p>
        </w:tc>
        <w:tc>
          <w:tcPr>
            <w:tcW w:w="1335" w:type="dxa"/>
            <w:noWrap w:val="0"/>
            <w:vAlign w:val="center"/>
          </w:tcPr>
          <w:p>
            <w:pPr>
              <w:adjustRightInd w:val="0"/>
              <w:spacing w:line="360" w:lineRule="auto"/>
              <w:jc w:val="center"/>
              <w:rPr>
                <w:rFonts w:ascii="宋体" w:hAnsi="宋体"/>
                <w:sz w:val="21"/>
                <w:szCs w:val="21"/>
              </w:rPr>
            </w:pPr>
          </w:p>
        </w:tc>
        <w:tc>
          <w:tcPr>
            <w:tcW w:w="750" w:type="dxa"/>
            <w:noWrap w:val="0"/>
            <w:vAlign w:val="center"/>
          </w:tcPr>
          <w:p>
            <w:pPr>
              <w:adjustRightInd w:val="0"/>
              <w:spacing w:line="360" w:lineRule="auto"/>
              <w:ind w:left="77"/>
              <w:jc w:val="center"/>
              <w:rPr>
                <w:rFonts w:ascii="宋体" w:hAnsi="宋体"/>
                <w:sz w:val="21"/>
                <w:szCs w:val="21"/>
              </w:rPr>
            </w:pPr>
            <w:r>
              <w:rPr>
                <w:rFonts w:ascii="宋体" w:hAnsi="宋体"/>
                <w:sz w:val="21"/>
                <w:szCs w:val="21"/>
              </w:rPr>
              <w:t>年龄</w:t>
            </w:r>
          </w:p>
        </w:tc>
        <w:tc>
          <w:tcPr>
            <w:tcW w:w="1460" w:type="dxa"/>
            <w:noWrap w:val="0"/>
            <w:vAlign w:val="center"/>
          </w:tcPr>
          <w:p>
            <w:pPr>
              <w:adjustRightInd w:val="0"/>
              <w:spacing w:line="360" w:lineRule="auto"/>
              <w:ind w:left="77"/>
              <w:jc w:val="center"/>
              <w:rPr>
                <w:rFonts w:ascii="宋体" w:hAnsi="宋体"/>
                <w:sz w:val="21"/>
                <w:szCs w:val="21"/>
              </w:rPr>
            </w:pPr>
          </w:p>
        </w:tc>
        <w:tc>
          <w:tcPr>
            <w:tcW w:w="1933" w:type="dxa"/>
            <w:gridSpan w:val="3"/>
            <w:noWrap w:val="0"/>
            <w:vAlign w:val="center"/>
          </w:tcPr>
          <w:p>
            <w:pPr>
              <w:adjustRightInd w:val="0"/>
              <w:spacing w:line="360" w:lineRule="auto"/>
              <w:jc w:val="center"/>
              <w:rPr>
                <w:rFonts w:hint="eastAsia" w:ascii="宋体" w:hAnsi="宋体" w:eastAsia="宋体"/>
                <w:sz w:val="21"/>
                <w:szCs w:val="21"/>
              </w:rPr>
            </w:pPr>
            <w:r>
              <w:rPr>
                <w:rFonts w:hint="eastAsia" w:ascii="宋体" w:hAnsi="宋体" w:eastAsia="宋体"/>
                <w:sz w:val="21"/>
                <w:szCs w:val="21"/>
              </w:rPr>
              <w:t>身份</w:t>
            </w:r>
            <w:r>
              <w:rPr>
                <w:rFonts w:ascii="宋体" w:hAnsi="宋体"/>
                <w:sz w:val="21"/>
                <w:szCs w:val="21"/>
              </w:rPr>
              <w:t>证</w:t>
            </w:r>
            <w:r>
              <w:rPr>
                <w:rFonts w:hint="eastAsia" w:ascii="宋体" w:hAnsi="宋体" w:eastAsia="宋体"/>
                <w:sz w:val="21"/>
                <w:szCs w:val="21"/>
              </w:rPr>
              <w:t>号码</w:t>
            </w:r>
          </w:p>
        </w:tc>
        <w:tc>
          <w:tcPr>
            <w:tcW w:w="1897" w:type="dxa"/>
            <w:noWrap w:val="0"/>
            <w:vAlign w:val="center"/>
          </w:tcPr>
          <w:p>
            <w:pPr>
              <w:adjustRightInd w:val="0"/>
              <w:spacing w:line="360" w:lineRule="auto"/>
              <w:ind w:left="76"/>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jc w:val="center"/>
              <w:rPr>
                <w:rFonts w:ascii="宋体" w:hAnsi="宋体"/>
                <w:sz w:val="21"/>
                <w:szCs w:val="21"/>
              </w:rPr>
            </w:pPr>
            <w:r>
              <w:rPr>
                <w:rFonts w:ascii="宋体" w:hAnsi="宋体"/>
                <w:sz w:val="21"/>
                <w:szCs w:val="21"/>
              </w:rPr>
              <w:t>工作年限</w:t>
            </w:r>
          </w:p>
        </w:tc>
        <w:tc>
          <w:tcPr>
            <w:tcW w:w="3545" w:type="dxa"/>
            <w:gridSpan w:val="3"/>
            <w:noWrap w:val="0"/>
            <w:vAlign w:val="center"/>
          </w:tcPr>
          <w:p>
            <w:pPr>
              <w:adjustRightInd w:val="0"/>
              <w:spacing w:line="360" w:lineRule="auto"/>
              <w:ind w:left="77"/>
              <w:jc w:val="center"/>
              <w:rPr>
                <w:rFonts w:ascii="宋体" w:hAnsi="宋体"/>
                <w:sz w:val="21"/>
                <w:szCs w:val="21"/>
              </w:rPr>
            </w:pPr>
          </w:p>
        </w:tc>
        <w:tc>
          <w:tcPr>
            <w:tcW w:w="1933" w:type="dxa"/>
            <w:gridSpan w:val="3"/>
            <w:noWrap w:val="0"/>
            <w:vAlign w:val="center"/>
          </w:tcPr>
          <w:p>
            <w:pPr>
              <w:adjustRightInd w:val="0"/>
              <w:spacing w:line="360" w:lineRule="auto"/>
              <w:jc w:val="center"/>
              <w:rPr>
                <w:rFonts w:ascii="宋体" w:hAnsi="宋体"/>
                <w:sz w:val="21"/>
                <w:szCs w:val="21"/>
              </w:rPr>
            </w:pPr>
            <w:r>
              <w:rPr>
                <w:rFonts w:hint="eastAsia" w:ascii="宋体" w:hAnsi="宋体" w:eastAsia="宋体" w:cs="宋体"/>
                <w:sz w:val="21"/>
                <w:szCs w:val="21"/>
              </w:rPr>
              <w:t>担任运输管理</w:t>
            </w:r>
            <w:r>
              <w:rPr>
                <w:rFonts w:ascii="宋体" w:hAnsi="宋体"/>
                <w:sz w:val="21"/>
                <w:szCs w:val="21"/>
              </w:rPr>
              <w:t>年限</w:t>
            </w:r>
          </w:p>
        </w:tc>
        <w:tc>
          <w:tcPr>
            <w:tcW w:w="1897" w:type="dxa"/>
            <w:noWrap w:val="0"/>
            <w:vAlign w:val="center"/>
          </w:tcPr>
          <w:p>
            <w:pPr>
              <w:adjustRightInd w:val="0"/>
              <w:spacing w:line="360" w:lineRule="auto"/>
              <w:ind w:left="76"/>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9369" w:type="dxa"/>
            <w:gridSpan w:val="8"/>
            <w:noWrap w:val="0"/>
            <w:vAlign w:val="center"/>
          </w:tcPr>
          <w:p>
            <w:pPr>
              <w:adjustRightInd w:val="0"/>
              <w:spacing w:line="360" w:lineRule="auto"/>
              <w:rPr>
                <w:rFonts w:ascii="宋体" w:hAnsi="宋体"/>
                <w:sz w:val="21"/>
                <w:szCs w:val="21"/>
                <w:u w:val="single"/>
              </w:rPr>
            </w:pPr>
            <w:r>
              <w:rPr>
                <w:rFonts w:ascii="宋体" w:hAnsi="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ind w:right="72"/>
              <w:jc w:val="center"/>
              <w:rPr>
                <w:rFonts w:ascii="宋体" w:hAnsi="宋体"/>
                <w:sz w:val="21"/>
                <w:szCs w:val="21"/>
              </w:rPr>
            </w:pPr>
            <w:r>
              <w:rPr>
                <w:rFonts w:ascii="宋体" w:hAnsi="宋体"/>
                <w:sz w:val="21"/>
                <w:szCs w:val="21"/>
              </w:rPr>
              <w:t>时  间</w:t>
            </w:r>
          </w:p>
        </w:tc>
        <w:tc>
          <w:tcPr>
            <w:tcW w:w="3813" w:type="dxa"/>
            <w:gridSpan w:val="4"/>
            <w:noWrap w:val="0"/>
            <w:vAlign w:val="center"/>
          </w:tcPr>
          <w:p>
            <w:pPr>
              <w:adjustRightInd w:val="0"/>
              <w:spacing w:line="360" w:lineRule="auto"/>
              <w:jc w:val="center"/>
              <w:rPr>
                <w:rFonts w:ascii="宋体" w:hAnsi="宋体"/>
                <w:sz w:val="21"/>
                <w:szCs w:val="21"/>
              </w:rPr>
            </w:pPr>
            <w:r>
              <w:rPr>
                <w:rFonts w:ascii="宋体" w:hAnsi="宋体"/>
                <w:sz w:val="21"/>
                <w:szCs w:val="21"/>
              </w:rPr>
              <w:t>参加过的类似项目</w:t>
            </w:r>
          </w:p>
        </w:tc>
        <w:tc>
          <w:tcPr>
            <w:tcW w:w="1260" w:type="dxa"/>
            <w:noWrap w:val="0"/>
            <w:vAlign w:val="center"/>
          </w:tcPr>
          <w:p>
            <w:pPr>
              <w:adjustRightInd w:val="0"/>
              <w:spacing w:line="360" w:lineRule="auto"/>
              <w:jc w:val="center"/>
              <w:rPr>
                <w:rFonts w:ascii="宋体" w:hAnsi="宋体"/>
                <w:sz w:val="21"/>
                <w:szCs w:val="21"/>
              </w:rPr>
            </w:pPr>
            <w:r>
              <w:rPr>
                <w:rFonts w:ascii="宋体" w:hAnsi="宋体"/>
                <w:sz w:val="21"/>
                <w:szCs w:val="21"/>
              </w:rPr>
              <w:t>担任职务</w:t>
            </w:r>
          </w:p>
        </w:tc>
        <w:tc>
          <w:tcPr>
            <w:tcW w:w="2302" w:type="dxa"/>
            <w:gridSpan w:val="2"/>
            <w:noWrap w:val="0"/>
            <w:vAlign w:val="center"/>
          </w:tcPr>
          <w:p>
            <w:pPr>
              <w:adjustRightInd w:val="0"/>
              <w:spacing w:line="360" w:lineRule="auto"/>
              <w:jc w:val="center"/>
              <w:rPr>
                <w:rFonts w:ascii="宋体" w:hAnsi="宋体"/>
                <w:sz w:val="21"/>
                <w:szCs w:val="21"/>
              </w:rPr>
            </w:pPr>
            <w:r>
              <w:rPr>
                <w:rFonts w:ascii="宋体" w:hAnsi="宋体"/>
                <w:sz w:val="21"/>
                <w:szCs w:val="21"/>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ind w:left="108"/>
              <w:jc w:val="center"/>
              <w:rPr>
                <w:rFonts w:ascii="宋体" w:hAnsi="宋体"/>
                <w:sz w:val="21"/>
                <w:szCs w:val="21"/>
              </w:rPr>
            </w:pPr>
          </w:p>
        </w:tc>
        <w:tc>
          <w:tcPr>
            <w:tcW w:w="3813" w:type="dxa"/>
            <w:gridSpan w:val="4"/>
            <w:noWrap w:val="0"/>
            <w:vAlign w:val="center"/>
          </w:tcPr>
          <w:p>
            <w:pPr>
              <w:adjustRightInd w:val="0"/>
              <w:spacing w:line="360" w:lineRule="auto"/>
              <w:jc w:val="center"/>
              <w:rPr>
                <w:rFonts w:ascii="宋体" w:hAnsi="宋体"/>
                <w:sz w:val="21"/>
                <w:szCs w:val="21"/>
              </w:rPr>
            </w:pPr>
          </w:p>
        </w:tc>
        <w:tc>
          <w:tcPr>
            <w:tcW w:w="1260" w:type="dxa"/>
            <w:noWrap w:val="0"/>
            <w:vAlign w:val="center"/>
          </w:tcPr>
          <w:p>
            <w:pPr>
              <w:adjustRightInd w:val="0"/>
              <w:spacing w:line="360" w:lineRule="auto"/>
              <w:ind w:left="108"/>
              <w:jc w:val="center"/>
              <w:rPr>
                <w:rFonts w:ascii="宋体" w:hAnsi="宋体"/>
                <w:sz w:val="21"/>
                <w:szCs w:val="21"/>
              </w:rPr>
            </w:pPr>
          </w:p>
        </w:tc>
        <w:tc>
          <w:tcPr>
            <w:tcW w:w="2302" w:type="dxa"/>
            <w:gridSpan w:val="2"/>
            <w:noWrap w:val="0"/>
            <w:vAlign w:val="center"/>
          </w:tcPr>
          <w:p>
            <w:pPr>
              <w:adjustRightInd w:val="0"/>
              <w:spacing w:line="360" w:lineRule="auto"/>
              <w:ind w:left="10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ind w:left="108"/>
              <w:jc w:val="center"/>
              <w:rPr>
                <w:rFonts w:ascii="宋体" w:hAnsi="宋体"/>
                <w:sz w:val="21"/>
                <w:szCs w:val="21"/>
              </w:rPr>
            </w:pPr>
          </w:p>
        </w:tc>
        <w:tc>
          <w:tcPr>
            <w:tcW w:w="3813" w:type="dxa"/>
            <w:gridSpan w:val="4"/>
            <w:noWrap w:val="0"/>
            <w:vAlign w:val="center"/>
          </w:tcPr>
          <w:p>
            <w:pPr>
              <w:adjustRightInd w:val="0"/>
              <w:spacing w:line="360" w:lineRule="auto"/>
              <w:jc w:val="center"/>
              <w:rPr>
                <w:rFonts w:ascii="宋体" w:hAnsi="宋体"/>
                <w:sz w:val="21"/>
                <w:szCs w:val="21"/>
              </w:rPr>
            </w:pPr>
          </w:p>
        </w:tc>
        <w:tc>
          <w:tcPr>
            <w:tcW w:w="1260" w:type="dxa"/>
            <w:noWrap w:val="0"/>
            <w:vAlign w:val="center"/>
          </w:tcPr>
          <w:p>
            <w:pPr>
              <w:adjustRightInd w:val="0"/>
              <w:spacing w:line="360" w:lineRule="auto"/>
              <w:ind w:left="108"/>
              <w:jc w:val="center"/>
              <w:rPr>
                <w:rFonts w:ascii="宋体" w:hAnsi="宋体"/>
                <w:sz w:val="21"/>
                <w:szCs w:val="21"/>
              </w:rPr>
            </w:pPr>
          </w:p>
        </w:tc>
        <w:tc>
          <w:tcPr>
            <w:tcW w:w="2302" w:type="dxa"/>
            <w:gridSpan w:val="2"/>
            <w:noWrap w:val="0"/>
            <w:vAlign w:val="center"/>
          </w:tcPr>
          <w:p>
            <w:pPr>
              <w:adjustRightInd w:val="0"/>
              <w:spacing w:line="360" w:lineRule="auto"/>
              <w:ind w:left="108"/>
              <w:jc w:val="center"/>
              <w:rPr>
                <w:rFonts w:ascii="宋体" w:hAnsi="宋体"/>
                <w:sz w:val="21"/>
                <w:szCs w:val="21"/>
              </w:rPr>
            </w:pPr>
          </w:p>
        </w:tc>
      </w:tr>
    </w:tbl>
    <w:p>
      <w:pPr>
        <w:adjustRightInd w:val="0"/>
        <w:snapToGrid w:val="0"/>
        <w:spacing w:line="312" w:lineRule="auto"/>
        <w:ind w:right="103"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注：供应商应根据供应商须知前附表第3.5（6）项的要求在本表后附相关证明材料。</w:t>
      </w:r>
    </w:p>
    <w:p>
      <w:pPr>
        <w:adjustRightInd w:val="0"/>
        <w:snapToGrid w:val="0"/>
        <w:spacing w:after="0" w:line="312" w:lineRule="auto"/>
        <w:ind w:left="0" w:leftChars="0" w:right="103" w:firstLine="420" w:firstLineChars="200"/>
        <w:rPr>
          <w:rFonts w:hint="eastAsia" w:ascii="宋体" w:hAnsi="宋体"/>
          <w:sz w:val="21"/>
          <w:szCs w:val="21"/>
        </w:rPr>
      </w:pPr>
      <w:r>
        <w:rPr>
          <w:rFonts w:hint="eastAsia" w:ascii="宋体" w:hAnsi="宋体" w:eastAsia="宋体"/>
          <w:sz w:val="21"/>
          <w:szCs w:val="21"/>
          <w:lang w:eastAsia="zh-CN"/>
        </w:rPr>
        <w:t>投标人应附至少</w:t>
      </w:r>
      <w:r>
        <w:rPr>
          <w:rFonts w:hint="eastAsia" w:ascii="宋体" w:hAnsi="宋体" w:eastAsia="宋体"/>
          <w:sz w:val="21"/>
          <w:szCs w:val="21"/>
          <w:lang w:val="en-US" w:eastAsia="zh-CN"/>
        </w:rPr>
        <w:t>1</w:t>
      </w:r>
      <w:r>
        <w:rPr>
          <w:rFonts w:hint="eastAsia" w:ascii="宋体" w:hAnsi="宋体" w:eastAsia="宋体"/>
          <w:sz w:val="21"/>
          <w:szCs w:val="21"/>
          <w:lang w:eastAsia="zh-CN"/>
        </w:rPr>
        <w:t>份</w:t>
      </w:r>
      <w:r>
        <w:rPr>
          <w:rFonts w:hint="eastAsia" w:ascii="宋体" w:hAnsi="宋体"/>
          <w:sz w:val="21"/>
          <w:szCs w:val="21"/>
        </w:rPr>
        <w:t>集装箱物流运输业务的项目负责人投标前购买的工伤保险证明。</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hint="eastAsia" w:ascii="黑体" w:hAnsi="黑体" w:eastAsia="黑体" w:cs="仿宋"/>
          <w:sz w:val="36"/>
          <w:szCs w:val="36"/>
          <w:lang w:eastAsia="zh-CN"/>
        </w:rPr>
      </w:pPr>
      <w:bookmarkStart w:id="55" w:name="_Toc9774"/>
      <w:bookmarkStart w:id="56" w:name="_Toc2844"/>
      <w:r>
        <w:rPr>
          <w:rFonts w:hint="eastAsia" w:ascii="黑体" w:hAnsi="黑体" w:eastAsia="黑体" w:cs="仿宋"/>
          <w:sz w:val="36"/>
          <w:szCs w:val="36"/>
          <w:lang w:eastAsia="zh-CN"/>
        </w:rPr>
        <w:t>六</w:t>
      </w:r>
      <w:r>
        <w:rPr>
          <w:rFonts w:hint="eastAsia" w:ascii="黑体" w:hAnsi="黑体" w:eastAsia="黑体" w:cs="仿宋"/>
          <w:sz w:val="36"/>
          <w:szCs w:val="36"/>
        </w:rPr>
        <w:t>、响应方案</w:t>
      </w:r>
      <w:bookmarkEnd w:id="55"/>
      <w:bookmarkEnd w:id="56"/>
    </w:p>
    <w:p>
      <w:pPr>
        <w:pStyle w:val="3"/>
        <w:rPr>
          <w:rFonts w:hint="eastAsia"/>
          <w:lang w:eastAsia="zh-CN"/>
        </w:rPr>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57" w:name="_Toc10499"/>
      <w:bookmarkStart w:id="58" w:name="_Toc31332"/>
      <w:r>
        <w:rPr>
          <w:rFonts w:hint="eastAsia" w:ascii="黑体" w:hAnsi="黑体" w:eastAsia="黑体" w:cs="仿宋"/>
          <w:sz w:val="36"/>
          <w:szCs w:val="36"/>
          <w:lang w:eastAsia="zh-CN"/>
        </w:rPr>
        <w:t>七</w:t>
      </w:r>
      <w:r>
        <w:rPr>
          <w:rFonts w:hint="eastAsia" w:ascii="黑体" w:hAnsi="黑体" w:eastAsia="黑体" w:cs="仿宋"/>
          <w:sz w:val="36"/>
          <w:szCs w:val="36"/>
        </w:rPr>
        <w:t>、其他资料</w:t>
      </w:r>
      <w:bookmarkEnd w:id="57"/>
      <w:bookmarkEnd w:id="58"/>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6" w:type="default"/>
      <w:pgSz w:w="11906" w:h="16838"/>
      <w:pgMar w:top="1440" w:right="1080" w:bottom="1440" w:left="1080" w:header="851" w:footer="1344"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5CE836-FA01-4C4D-A989-4B9F9846C249}"/>
  </w:font>
  <w:font w:name="黑体">
    <w:panose1 w:val="02010609060101010101"/>
    <w:charset w:val="86"/>
    <w:family w:val="auto"/>
    <w:pitch w:val="default"/>
    <w:sig w:usb0="800002BF" w:usb1="38CF7CFA" w:usb2="00000016" w:usb3="00000000" w:csb0="00040001" w:csb1="00000000"/>
    <w:embedRegular r:id="rId2" w:fontKey="{D32C1B32-B0CB-49F0-AF64-8B75376C42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1CECB5A-E1DE-434A-A812-9349988DDB24}"/>
  </w:font>
  <w:font w:name="Cambria">
    <w:panose1 w:val="02040503050406030204"/>
    <w:charset w:val="00"/>
    <w:family w:val="roman"/>
    <w:pitch w:val="default"/>
    <w:sig w:usb0="E00006FF" w:usb1="420024FF" w:usb2="02000000" w:usb3="00000000" w:csb0="2000019F" w:csb1="00000000"/>
    <w:embedRegular r:id="rId4" w:fontKey="{8E159F96-997A-4366-B939-5146E41E8F72}"/>
  </w:font>
  <w:font w:name="仿宋">
    <w:panose1 w:val="02010609060101010101"/>
    <w:charset w:val="86"/>
    <w:family w:val="modern"/>
    <w:pitch w:val="default"/>
    <w:sig w:usb0="800002BF" w:usb1="38CF7CFA" w:usb2="00000016" w:usb3="00000000" w:csb0="00040001" w:csb1="00000000"/>
    <w:embedRegular r:id="rId5" w:fontKey="{21CA0F4E-0A89-402A-96E4-8EACAF4014B2}"/>
  </w:font>
  <w:font w:name="微软雅黑">
    <w:panose1 w:val="020B0503020204020204"/>
    <w:charset w:val="86"/>
    <w:family w:val="auto"/>
    <w:pitch w:val="default"/>
    <w:sig w:usb0="80000287" w:usb1="2ACF3C50" w:usb2="00000016" w:usb3="00000000" w:csb0="0004001F" w:csb1="00000000"/>
    <w:embedRegular r:id="rId6" w:fontKey="{3CE49969-B57E-4081-8D3F-D51E1A4A4524}"/>
  </w:font>
  <w:font w:name="Wingdings 2">
    <w:panose1 w:val="05020102010507070707"/>
    <w:charset w:val="00"/>
    <w:family w:val="auto"/>
    <w:pitch w:val="default"/>
    <w:sig w:usb0="00000000" w:usb1="00000000" w:usb2="00000000" w:usb3="00000000" w:csb0="80000000" w:csb1="00000000"/>
    <w:embedRegular r:id="rId7" w:fontKey="{5B0399AD-B0C9-4199-8A3F-1EF00524583E}"/>
  </w:font>
  <w:font w:name="华文中宋">
    <w:panose1 w:val="02010600040101010101"/>
    <w:charset w:val="86"/>
    <w:family w:val="auto"/>
    <w:pitch w:val="default"/>
    <w:sig w:usb0="00000287" w:usb1="080F0000" w:usb2="00000000" w:usb3="00000000" w:csb0="0004009F" w:csb1="DFD70000"/>
    <w:embedRegular r:id="rId8" w:fontKey="{99D84277-42E0-4094-9EE4-B6C967DB1E71}"/>
  </w:font>
  <w:font w:name="方正小标宋_GBK">
    <w:panose1 w:val="02000000000000000000"/>
    <w:charset w:val="86"/>
    <w:family w:val="script"/>
    <w:pitch w:val="default"/>
    <w:sig w:usb0="A00002BF" w:usb1="38CF7CFA" w:usb2="00082016" w:usb3="00000000" w:csb0="00040001" w:csb1="00000000"/>
    <w:embedRegular r:id="rId9" w:fontKey="{2F674154-3515-4B0C-AEB6-5FA150A04731}"/>
  </w:font>
  <w:font w:name="楷体_GB2312">
    <w:panose1 w:val="02010609030101010101"/>
    <w:charset w:val="86"/>
    <w:family w:val="auto"/>
    <w:pitch w:val="default"/>
    <w:sig w:usb0="00000001" w:usb1="080E0000" w:usb2="00000000" w:usb3="00000000" w:csb0="00040000" w:csb1="00000000"/>
    <w:embedRegular r:id="rId10" w:fontKey="{8625450E-48F1-426C-8A77-B987B622100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8"/>
        <w:spacing w:line="240" w:lineRule="auto"/>
        <w:ind w:left="0" w:firstLine="0"/>
        <w:rPr>
          <w:sz w:val="24"/>
          <w:szCs w:val="24"/>
        </w:rPr>
      </w:pPr>
    </w:p>
  </w:footnote>
  <w:footnote w:id="1">
    <w:p>
      <w:pPr>
        <w:pStyle w:val="28"/>
        <w:rPr>
          <w:sz w:val="24"/>
          <w:szCs w:val="24"/>
        </w:rPr>
      </w:pPr>
      <w:r>
        <w:rPr>
          <w:rStyle w:val="45"/>
          <w:sz w:val="24"/>
          <w:szCs w:val="24"/>
        </w:rPr>
        <w:footnoteRef/>
      </w:r>
      <w:r>
        <w:rPr>
          <w:rStyle w:val="45"/>
          <w:sz w:val="24"/>
          <w:szCs w:val="24"/>
        </w:rPr>
        <w:t>4</w:t>
      </w:r>
      <w:r>
        <w:rPr>
          <w:rFonts w:hint="eastAsia"/>
          <w:sz w:val="24"/>
          <w:szCs w:val="24"/>
        </w:rPr>
        <w:t>仅适用于有谈判程序的采购办法。</w:t>
      </w:r>
    </w:p>
  </w:footnote>
  <w:footnote w:id="2">
    <w:p>
      <w:pPr>
        <w:pStyle w:val="28"/>
        <w:rPr>
          <w:sz w:val="24"/>
          <w:szCs w:val="24"/>
        </w:rPr>
      </w:pPr>
      <w:r>
        <w:rPr>
          <w:rFonts w:hint="eastAsia"/>
          <w:sz w:val="24"/>
          <w:szCs w:val="24"/>
        </w:rPr>
        <w:t>仅适用于竞争性谈判采购。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2EAC6"/>
    <w:multiLevelType w:val="singleLevel"/>
    <w:tmpl w:val="8672EAC6"/>
    <w:lvl w:ilvl="0" w:tentative="0">
      <w:start w:val="1"/>
      <w:numFmt w:val="chineseCounting"/>
      <w:suff w:val="nothing"/>
      <w:lvlText w:val="%1、"/>
      <w:lvlJc w:val="left"/>
      <w:pPr>
        <w:ind w:left="160"/>
      </w:pPr>
      <w:rPr>
        <w:rFonts w:hint="eastAsia"/>
      </w:rPr>
    </w:lvl>
  </w:abstractNum>
  <w:abstractNum w:abstractNumId="1">
    <w:nsid w:val="C3A4B385"/>
    <w:multiLevelType w:val="singleLevel"/>
    <w:tmpl w:val="C3A4B385"/>
    <w:lvl w:ilvl="0" w:tentative="0">
      <w:start w:val="2"/>
      <w:numFmt w:val="decimal"/>
      <w:suff w:val="space"/>
      <w:lvlText w:val="%1."/>
      <w:lvlJc w:val="left"/>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322600FD"/>
    <w:multiLevelType w:val="singleLevel"/>
    <w:tmpl w:val="322600FD"/>
    <w:lvl w:ilvl="0" w:tentative="0">
      <w:start w:val="7"/>
      <w:numFmt w:val="chineseCounting"/>
      <w:suff w:val="nothing"/>
      <w:lvlText w:val="%1、"/>
      <w:lvlJc w:val="left"/>
      <w:rPr>
        <w:rFonts w:hint="eastAsia"/>
      </w:r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5934559F"/>
    <w:multiLevelType w:val="singleLevel"/>
    <w:tmpl w:val="5934559F"/>
    <w:lvl w:ilvl="0" w:tentative="0">
      <w:start w:val="4"/>
      <w:numFmt w:val="chineseCounting"/>
      <w:suff w:val="nothing"/>
      <w:lvlText w:val="（%1）"/>
      <w:lvlJc w:val="left"/>
      <w:rPr>
        <w:rFonts w:hint="eastAsia"/>
      </w:r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xZDAzNjg4NWZkMWFkMmQwNjNlNDcxMTMyYjQ4OWQ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12089C"/>
    <w:rsid w:val="012655AD"/>
    <w:rsid w:val="01AC7279"/>
    <w:rsid w:val="01BD0490"/>
    <w:rsid w:val="01EB3062"/>
    <w:rsid w:val="02F85538"/>
    <w:rsid w:val="04075403"/>
    <w:rsid w:val="05EF1FFE"/>
    <w:rsid w:val="06355AFC"/>
    <w:rsid w:val="071C2DD7"/>
    <w:rsid w:val="079E7D05"/>
    <w:rsid w:val="09384454"/>
    <w:rsid w:val="09C6304D"/>
    <w:rsid w:val="0AED2D32"/>
    <w:rsid w:val="0B49740D"/>
    <w:rsid w:val="0BD57D80"/>
    <w:rsid w:val="0C905B62"/>
    <w:rsid w:val="0DB759FC"/>
    <w:rsid w:val="0E891CDE"/>
    <w:rsid w:val="0EE82EF2"/>
    <w:rsid w:val="0F165235"/>
    <w:rsid w:val="0F4A4F73"/>
    <w:rsid w:val="11971E99"/>
    <w:rsid w:val="119E5E08"/>
    <w:rsid w:val="134E553A"/>
    <w:rsid w:val="136B259F"/>
    <w:rsid w:val="14513073"/>
    <w:rsid w:val="148860BD"/>
    <w:rsid w:val="154527F7"/>
    <w:rsid w:val="16314BAD"/>
    <w:rsid w:val="17525F4C"/>
    <w:rsid w:val="17594306"/>
    <w:rsid w:val="17D539F2"/>
    <w:rsid w:val="18D76CBF"/>
    <w:rsid w:val="19097045"/>
    <w:rsid w:val="199335DF"/>
    <w:rsid w:val="1B4B6E03"/>
    <w:rsid w:val="1C0C6950"/>
    <w:rsid w:val="1C1F29E2"/>
    <w:rsid w:val="1C333FF8"/>
    <w:rsid w:val="1D766A27"/>
    <w:rsid w:val="1DB17B97"/>
    <w:rsid w:val="1E1F3B60"/>
    <w:rsid w:val="1EAD7FBD"/>
    <w:rsid w:val="1F2E0BFF"/>
    <w:rsid w:val="1FBF76D7"/>
    <w:rsid w:val="20672A87"/>
    <w:rsid w:val="212E078A"/>
    <w:rsid w:val="21622081"/>
    <w:rsid w:val="21D548C2"/>
    <w:rsid w:val="21E52EAF"/>
    <w:rsid w:val="22374804"/>
    <w:rsid w:val="264E6DB9"/>
    <w:rsid w:val="26A05072"/>
    <w:rsid w:val="283C161E"/>
    <w:rsid w:val="28584B5F"/>
    <w:rsid w:val="2872440F"/>
    <w:rsid w:val="293E6896"/>
    <w:rsid w:val="2BF10955"/>
    <w:rsid w:val="2E41641E"/>
    <w:rsid w:val="2E944985"/>
    <w:rsid w:val="2ED152BB"/>
    <w:rsid w:val="2FD26F55"/>
    <w:rsid w:val="30096558"/>
    <w:rsid w:val="30746DBB"/>
    <w:rsid w:val="30DE2DAE"/>
    <w:rsid w:val="316703FC"/>
    <w:rsid w:val="321C7F5F"/>
    <w:rsid w:val="322F4600"/>
    <w:rsid w:val="32756EB2"/>
    <w:rsid w:val="33170500"/>
    <w:rsid w:val="339248A7"/>
    <w:rsid w:val="34874156"/>
    <w:rsid w:val="34A1724E"/>
    <w:rsid w:val="34A54B49"/>
    <w:rsid w:val="35032B89"/>
    <w:rsid w:val="35C420C2"/>
    <w:rsid w:val="35C67F79"/>
    <w:rsid w:val="36747EED"/>
    <w:rsid w:val="36E3688E"/>
    <w:rsid w:val="379B30ED"/>
    <w:rsid w:val="37E36BED"/>
    <w:rsid w:val="39A05FF9"/>
    <w:rsid w:val="3A4C1E8C"/>
    <w:rsid w:val="3A6B7785"/>
    <w:rsid w:val="3A6F4B32"/>
    <w:rsid w:val="3AD720CB"/>
    <w:rsid w:val="3B2B40CB"/>
    <w:rsid w:val="3FB93C81"/>
    <w:rsid w:val="40AA2D68"/>
    <w:rsid w:val="40C9397A"/>
    <w:rsid w:val="41342EE8"/>
    <w:rsid w:val="41E33C60"/>
    <w:rsid w:val="42E62D18"/>
    <w:rsid w:val="434657F0"/>
    <w:rsid w:val="43D35713"/>
    <w:rsid w:val="43EE0B12"/>
    <w:rsid w:val="44D14A1F"/>
    <w:rsid w:val="4503099B"/>
    <w:rsid w:val="45162DD6"/>
    <w:rsid w:val="453D7EFA"/>
    <w:rsid w:val="46480423"/>
    <w:rsid w:val="46C44BD5"/>
    <w:rsid w:val="46FD0ED7"/>
    <w:rsid w:val="47D44A52"/>
    <w:rsid w:val="48077812"/>
    <w:rsid w:val="4A323681"/>
    <w:rsid w:val="4AD62257"/>
    <w:rsid w:val="4B2F4D45"/>
    <w:rsid w:val="4B8B5A90"/>
    <w:rsid w:val="4BB73BE9"/>
    <w:rsid w:val="4BEB2031"/>
    <w:rsid w:val="4CB61D2B"/>
    <w:rsid w:val="4CC00FCF"/>
    <w:rsid w:val="4E3367B9"/>
    <w:rsid w:val="4E5F0909"/>
    <w:rsid w:val="4E6200BB"/>
    <w:rsid w:val="50203001"/>
    <w:rsid w:val="50C0311C"/>
    <w:rsid w:val="50E6046F"/>
    <w:rsid w:val="51340172"/>
    <w:rsid w:val="538B25AF"/>
    <w:rsid w:val="56820D5B"/>
    <w:rsid w:val="57096D7C"/>
    <w:rsid w:val="57AC43C7"/>
    <w:rsid w:val="57CE2BAB"/>
    <w:rsid w:val="57EF0C54"/>
    <w:rsid w:val="59A048B8"/>
    <w:rsid w:val="59D32A1E"/>
    <w:rsid w:val="5AEC4593"/>
    <w:rsid w:val="5B554F2C"/>
    <w:rsid w:val="5E007081"/>
    <w:rsid w:val="5FC5301A"/>
    <w:rsid w:val="603D2F49"/>
    <w:rsid w:val="61F73883"/>
    <w:rsid w:val="62525166"/>
    <w:rsid w:val="628A6BDD"/>
    <w:rsid w:val="63310F09"/>
    <w:rsid w:val="63B84F56"/>
    <w:rsid w:val="64173B8A"/>
    <w:rsid w:val="663E10C6"/>
    <w:rsid w:val="67DB2C51"/>
    <w:rsid w:val="6825297C"/>
    <w:rsid w:val="683B0B32"/>
    <w:rsid w:val="68562B5B"/>
    <w:rsid w:val="686B311E"/>
    <w:rsid w:val="68F213D8"/>
    <w:rsid w:val="69F77328"/>
    <w:rsid w:val="6B090BE2"/>
    <w:rsid w:val="6B533C17"/>
    <w:rsid w:val="6D2E6B9C"/>
    <w:rsid w:val="6E914366"/>
    <w:rsid w:val="6F4D1AB8"/>
    <w:rsid w:val="6FD45398"/>
    <w:rsid w:val="73965B0B"/>
    <w:rsid w:val="73B007C1"/>
    <w:rsid w:val="73BC5AD9"/>
    <w:rsid w:val="73C372D2"/>
    <w:rsid w:val="74271D6A"/>
    <w:rsid w:val="75215CF5"/>
    <w:rsid w:val="75F371FA"/>
    <w:rsid w:val="760A0DB1"/>
    <w:rsid w:val="764D1C01"/>
    <w:rsid w:val="77C475BB"/>
    <w:rsid w:val="78F3607B"/>
    <w:rsid w:val="7A9A5829"/>
    <w:rsid w:val="7B2974D7"/>
    <w:rsid w:val="7CD8592B"/>
    <w:rsid w:val="7DB1356C"/>
    <w:rsid w:val="7EC50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7">
    <w:name w:val="heading 2"/>
    <w:basedOn w:val="1"/>
    <w:next w:val="8"/>
    <w:link w:val="48"/>
    <w:qFormat/>
    <w:uiPriority w:val="0"/>
    <w:pPr>
      <w:spacing w:before="100" w:beforeAutospacing="1" w:after="100" w:afterAutospacing="1"/>
      <w:outlineLvl w:val="1"/>
    </w:pPr>
    <w:rPr>
      <w:rFonts w:ascii="宋体" w:hAnsi="宋体"/>
      <w:b/>
      <w:bCs/>
      <w:kern w:val="0"/>
      <w:sz w:val="36"/>
      <w:szCs w:val="36"/>
    </w:rPr>
  </w:style>
  <w:style w:type="paragraph" w:styleId="8">
    <w:name w:val="heading 3"/>
    <w:basedOn w:val="7"/>
    <w:next w:val="1"/>
    <w:qFormat/>
    <w:uiPriority w:val="0"/>
    <w:pPr>
      <w:outlineLvl w:val="2"/>
    </w:pPr>
    <w:rPr>
      <w:b w:val="0"/>
      <w:bCs w:val="0"/>
    </w:rPr>
  </w:style>
  <w:style w:type="paragraph" w:styleId="9">
    <w:name w:val="heading 4"/>
    <w:basedOn w:val="1"/>
    <w:next w:val="1"/>
    <w:link w:val="18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181"/>
    <w:semiHidden/>
    <w:unhideWhenUsed/>
    <w:qFormat/>
    <w:uiPriority w:val="99"/>
    <w:pPr>
      <w:spacing w:after="120"/>
    </w:pPr>
  </w:style>
  <w:style w:type="paragraph" w:customStyle="1" w:styleId="4">
    <w:name w:val="Body Text Indent 21"/>
    <w:basedOn w:val="1"/>
    <w:next w:val="5"/>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link w:val="146"/>
    <w:qFormat/>
    <w:uiPriority w:val="99"/>
    <w:pPr>
      <w:snapToGrid w:val="0"/>
    </w:pPr>
    <w:rPr>
      <w:rFonts w:asciiTheme="minorHAnsi" w:hAnsiTheme="minorHAnsi" w:eastAsiaTheme="minorEastAsia" w:cstheme="minorBidi"/>
      <w:sz w:val="18"/>
      <w:szCs w:val="18"/>
    </w:rPr>
  </w:style>
  <w:style w:type="paragraph" w:styleId="10">
    <w:name w:val="index 8"/>
    <w:basedOn w:val="1"/>
    <w:next w:val="1"/>
    <w:qFormat/>
    <w:uiPriority w:val="0"/>
    <w:pPr>
      <w:ind w:left="1680" w:hanging="210"/>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pPr>
    <w:rPr>
      <w:rFonts w:ascii="Calibri" w:hAnsi="Calibri"/>
      <w:sz w:val="20"/>
      <w:szCs w:val="20"/>
    </w:rPr>
  </w:style>
  <w:style w:type="paragraph" w:styleId="13">
    <w:name w:val="Document Map"/>
    <w:basedOn w:val="1"/>
    <w:link w:val="168"/>
    <w:semiHidden/>
    <w:qFormat/>
    <w:uiPriority w:val="0"/>
    <w:pPr>
      <w:shd w:val="clear" w:color="auto" w:fill="000080"/>
    </w:pPr>
    <w:rPr>
      <w:rFonts w:asciiTheme="minorHAnsi" w:hAnsiTheme="minorHAnsi" w:eastAsiaTheme="minorEastAsia" w:cstheme="minorBidi"/>
    </w:rPr>
  </w:style>
  <w:style w:type="paragraph" w:styleId="14">
    <w:name w:val="annotation text"/>
    <w:basedOn w:val="1"/>
    <w:link w:val="165"/>
    <w:semiHidden/>
    <w:qFormat/>
    <w:uiPriority w:val="0"/>
    <w:rPr>
      <w:rFonts w:asciiTheme="minorHAnsi" w:hAnsiTheme="minorHAnsi" w:eastAsiaTheme="minorEastAsia" w:cstheme="minorBidi"/>
    </w:rPr>
  </w:style>
  <w:style w:type="paragraph" w:styleId="15">
    <w:name w:val="index 6"/>
    <w:basedOn w:val="1"/>
    <w:next w:val="1"/>
    <w:qFormat/>
    <w:uiPriority w:val="0"/>
    <w:pPr>
      <w:ind w:left="1260" w:hanging="210"/>
    </w:pPr>
    <w:rPr>
      <w:rFonts w:ascii="Calibri" w:hAnsi="Calibri"/>
      <w:sz w:val="20"/>
      <w:szCs w:val="20"/>
    </w:rPr>
  </w:style>
  <w:style w:type="paragraph" w:styleId="16">
    <w:name w:val="Body Text 3"/>
    <w:basedOn w:val="1"/>
    <w:link w:val="176"/>
    <w:semiHidden/>
    <w:unhideWhenUsed/>
    <w:qFormat/>
    <w:uiPriority w:val="99"/>
    <w:pPr>
      <w:spacing w:after="120"/>
    </w:pPr>
    <w:rPr>
      <w:sz w:val="16"/>
      <w:szCs w:val="16"/>
    </w:rPr>
  </w:style>
  <w:style w:type="paragraph" w:styleId="17">
    <w:name w:val="index 4"/>
    <w:basedOn w:val="1"/>
    <w:next w:val="1"/>
    <w:qFormat/>
    <w:uiPriority w:val="0"/>
    <w:pPr>
      <w:ind w:left="840" w:hanging="210"/>
    </w:pPr>
    <w:rPr>
      <w:rFonts w:ascii="Calibri" w:hAnsi="Calibri"/>
      <w:sz w:val="20"/>
      <w:szCs w:val="20"/>
    </w:rPr>
  </w:style>
  <w:style w:type="paragraph" w:styleId="18">
    <w:name w:val="Plain Text"/>
    <w:basedOn w:val="1"/>
    <w:link w:val="179"/>
    <w:unhideWhenUsed/>
    <w:qFormat/>
    <w:uiPriority w:val="99"/>
    <w:pPr>
      <w:widowControl w:val="0"/>
      <w:spacing w:line="240" w:lineRule="auto"/>
      <w:jc w:val="both"/>
    </w:pPr>
    <w:rPr>
      <w:rFonts w:ascii="宋体" w:hAnsi="Courier New" w:cs="Courier New"/>
      <w:szCs w:val="21"/>
    </w:rPr>
  </w:style>
  <w:style w:type="paragraph" w:styleId="19">
    <w:name w:val="index 3"/>
    <w:basedOn w:val="1"/>
    <w:next w:val="1"/>
    <w:qFormat/>
    <w:uiPriority w:val="0"/>
    <w:pPr>
      <w:ind w:left="630" w:hanging="210"/>
    </w:pPr>
    <w:rPr>
      <w:rFonts w:ascii="Calibri" w:hAnsi="Calibri"/>
      <w:sz w:val="20"/>
      <w:szCs w:val="20"/>
    </w:rPr>
  </w:style>
  <w:style w:type="paragraph" w:styleId="20">
    <w:name w:val="Date"/>
    <w:basedOn w:val="1"/>
    <w:next w:val="1"/>
    <w:link w:val="167"/>
    <w:qFormat/>
    <w:uiPriority w:val="99"/>
    <w:pPr>
      <w:ind w:left="100" w:leftChars="2500"/>
    </w:pPr>
    <w:rPr>
      <w:rFonts w:asciiTheme="minorHAnsi" w:hAnsiTheme="minorHAnsi" w:eastAsiaTheme="minorEastAsia" w:cstheme="minorBidi"/>
    </w:rPr>
  </w:style>
  <w:style w:type="paragraph" w:styleId="21">
    <w:name w:val="Body Text Indent 2"/>
    <w:basedOn w:val="1"/>
    <w:link w:val="157"/>
    <w:qFormat/>
    <w:uiPriority w:val="99"/>
    <w:pPr>
      <w:spacing w:after="120" w:line="480" w:lineRule="auto"/>
      <w:ind w:left="420" w:leftChars="200"/>
    </w:pPr>
    <w:rPr>
      <w:rFonts w:asciiTheme="minorHAnsi" w:hAnsiTheme="minorHAnsi" w:eastAsiaTheme="minorEastAsia" w:cstheme="minorBidi"/>
    </w:rPr>
  </w:style>
  <w:style w:type="paragraph" w:styleId="22">
    <w:name w:val="endnote text"/>
    <w:basedOn w:val="1"/>
    <w:link w:val="174"/>
    <w:semiHidden/>
    <w:qFormat/>
    <w:uiPriority w:val="0"/>
    <w:pPr>
      <w:snapToGrid w:val="0"/>
    </w:pPr>
    <w:rPr>
      <w:rFonts w:asciiTheme="minorHAnsi" w:hAnsiTheme="minorHAnsi" w:eastAsiaTheme="minorEastAsia" w:cstheme="minorBidi"/>
    </w:rPr>
  </w:style>
  <w:style w:type="paragraph" w:styleId="23">
    <w:name w:val="Balloon Text"/>
    <w:basedOn w:val="1"/>
    <w:link w:val="143"/>
    <w:qFormat/>
    <w:uiPriority w:val="99"/>
    <w:rPr>
      <w:rFonts w:asciiTheme="minorHAnsi" w:hAnsiTheme="minorHAnsi" w:eastAsiaTheme="minorEastAsia" w:cstheme="minorBidi"/>
      <w:sz w:val="18"/>
      <w:szCs w:val="18"/>
    </w:rPr>
  </w:style>
  <w:style w:type="paragraph" w:styleId="24">
    <w:name w:val="footer"/>
    <w:basedOn w:val="1"/>
    <w:link w:val="164"/>
    <w:qFormat/>
    <w:uiPriority w:val="99"/>
    <w:pPr>
      <w:snapToGrid w:val="0"/>
      <w:ind w:right="210" w:rightChars="100"/>
      <w:jc w:val="right"/>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3"/>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1"/>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7"/>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173"/>
    <w:semiHidden/>
    <w:qFormat/>
    <w:uiPriority w:val="0"/>
    <w:rPr>
      <w:b/>
      <w:bCs/>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footnote reference"/>
    <w:qFormat/>
    <w:uiPriority w:val="0"/>
    <w:rPr>
      <w:vertAlign w:val="superscript"/>
    </w:rPr>
  </w:style>
  <w:style w:type="paragraph" w:customStyle="1" w:styleId="46">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47">
    <w:name w:val="标题 1 字符"/>
    <w:basedOn w:val="39"/>
    <w:link w:val="6"/>
    <w:qFormat/>
    <w:uiPriority w:val="0"/>
    <w:rPr>
      <w:rFonts w:ascii="Times New Roman" w:hAnsi="Times New Roman" w:eastAsia="宋体" w:cs="Times New Roman"/>
      <w:b/>
      <w:bCs/>
      <w:kern w:val="44"/>
      <w:sz w:val="44"/>
      <w:szCs w:val="44"/>
    </w:rPr>
  </w:style>
  <w:style w:type="character" w:customStyle="1" w:styleId="48">
    <w:name w:val="标题 2 字符"/>
    <w:basedOn w:val="39"/>
    <w:link w:val="7"/>
    <w:qFormat/>
    <w:uiPriority w:val="0"/>
    <w:rPr>
      <w:rFonts w:ascii="宋体" w:hAnsi="宋体" w:eastAsia="宋体" w:cs="Times New Roman"/>
      <w:b/>
      <w:bCs/>
      <w:kern w:val="0"/>
      <w:sz w:val="36"/>
      <w:szCs w:val="36"/>
    </w:rPr>
  </w:style>
  <w:style w:type="character" w:customStyle="1" w:styleId="49">
    <w:name w:val="批注文字 Char"/>
    <w:semiHidden/>
    <w:qFormat/>
    <w:uiPriority w:val="0"/>
    <w:rPr>
      <w:szCs w:val="24"/>
    </w:rPr>
  </w:style>
  <w:style w:type="character" w:customStyle="1" w:styleId="50">
    <w:name w:val="批注主题 Char"/>
    <w:semiHidden/>
    <w:qFormat/>
    <w:uiPriority w:val="0"/>
    <w:rPr>
      <w:b/>
      <w:bCs/>
      <w:szCs w:val="24"/>
    </w:rPr>
  </w:style>
  <w:style w:type="character" w:customStyle="1" w:styleId="51">
    <w:name w:val="文档结构图 Char"/>
    <w:semiHidden/>
    <w:qFormat/>
    <w:uiPriority w:val="0"/>
    <w:rPr>
      <w:szCs w:val="24"/>
      <w:shd w:val="clear" w:color="auto" w:fill="000080"/>
    </w:rPr>
  </w:style>
  <w:style w:type="character" w:customStyle="1" w:styleId="52">
    <w:name w:val="脚注文本 Char"/>
    <w:qFormat/>
    <w:uiPriority w:val="0"/>
    <w:rPr>
      <w:rFonts w:ascii="宋体"/>
      <w:sz w:val="18"/>
      <w:szCs w:val="18"/>
    </w:rPr>
  </w:style>
  <w:style w:type="character" w:customStyle="1" w:styleId="53">
    <w:name w:val="con"/>
    <w:qFormat/>
    <w:uiPriority w:val="0"/>
  </w:style>
  <w:style w:type="character" w:customStyle="1" w:styleId="54">
    <w:name w:val="bar-label2"/>
    <w:qFormat/>
    <w:uiPriority w:val="99"/>
  </w:style>
  <w:style w:type="character" w:customStyle="1" w:styleId="55">
    <w:name w:val="正文文本缩进 2 Char"/>
    <w:qFormat/>
    <w:uiPriority w:val="99"/>
    <w:rPr>
      <w:szCs w:val="24"/>
    </w:rPr>
  </w:style>
  <w:style w:type="character" w:customStyle="1" w:styleId="56">
    <w:name w:val="日期 Char"/>
    <w:qFormat/>
    <w:uiPriority w:val="99"/>
    <w:rPr>
      <w:szCs w:val="24"/>
    </w:rPr>
  </w:style>
  <w:style w:type="character" w:customStyle="1" w:styleId="57">
    <w:name w:val="页脚 Char"/>
    <w:qFormat/>
    <w:locked/>
    <w:uiPriority w:val="99"/>
    <w:rPr>
      <w:sz w:val="18"/>
      <w:szCs w:val="18"/>
    </w:rPr>
  </w:style>
  <w:style w:type="character" w:customStyle="1" w:styleId="58">
    <w:name w:val="apple-converted-space"/>
    <w:basedOn w:val="39"/>
    <w:qFormat/>
    <w:uiPriority w:val="0"/>
  </w:style>
  <w:style w:type="character" w:customStyle="1" w:styleId="59">
    <w:name w:val="批注框文本 Char"/>
    <w:qFormat/>
    <w:uiPriority w:val="99"/>
    <w:rPr>
      <w:sz w:val="18"/>
      <w:szCs w:val="18"/>
    </w:rPr>
  </w:style>
  <w:style w:type="character" w:customStyle="1" w:styleId="60">
    <w:name w:val="页眉 Char"/>
    <w:qFormat/>
    <w:locked/>
    <w:uiPriority w:val="99"/>
    <w:rPr>
      <w:sz w:val="18"/>
      <w:szCs w:val="18"/>
    </w:rPr>
  </w:style>
  <w:style w:type="character" w:customStyle="1" w:styleId="61">
    <w:name w:val="首示例 Char"/>
    <w:link w:val="62"/>
    <w:qFormat/>
    <w:uiPriority w:val="0"/>
    <w:rPr>
      <w:rFonts w:ascii="宋体" w:hAnsi="宋体"/>
      <w:sz w:val="18"/>
      <w:szCs w:val="18"/>
    </w:rPr>
  </w:style>
  <w:style w:type="paragraph" w:customStyle="1" w:styleId="62">
    <w:name w:val="首示例"/>
    <w:next w:val="63"/>
    <w:link w:val="61"/>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3">
    <w:name w:val="段"/>
    <w:link w:val="64"/>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4">
    <w:name w:val="段 Char"/>
    <w:link w:val="63"/>
    <w:qFormat/>
    <w:uiPriority w:val="0"/>
    <w:rPr>
      <w:rFonts w:ascii="宋体"/>
    </w:rPr>
  </w:style>
  <w:style w:type="character" w:customStyle="1" w:styleId="65">
    <w:name w:val="附录公式 Char"/>
    <w:basedOn w:val="64"/>
    <w:link w:val="66"/>
    <w:qFormat/>
    <w:uiPriority w:val="0"/>
    <w:rPr>
      <w:rFonts w:ascii="宋体"/>
    </w:rPr>
  </w:style>
  <w:style w:type="paragraph" w:customStyle="1" w:styleId="66">
    <w:name w:val="附录公式"/>
    <w:basedOn w:val="63"/>
    <w:next w:val="63"/>
    <w:link w:val="65"/>
    <w:qFormat/>
    <w:uiPriority w:val="0"/>
  </w:style>
  <w:style w:type="character" w:customStyle="1" w:styleId="67">
    <w:name w:val="发布"/>
    <w:qFormat/>
    <w:uiPriority w:val="0"/>
    <w:rPr>
      <w:rFonts w:ascii="黑体" w:eastAsia="黑体"/>
      <w:spacing w:val="85"/>
      <w:w w:val="100"/>
      <w:position w:val="3"/>
      <w:sz w:val="28"/>
      <w:szCs w:val="28"/>
    </w:rPr>
  </w:style>
  <w:style w:type="character" w:customStyle="1" w:styleId="68">
    <w:name w:val="一级条标题 Char"/>
    <w:link w:val="69"/>
    <w:qFormat/>
    <w:uiPriority w:val="0"/>
    <w:rPr>
      <w:rFonts w:ascii="黑体" w:eastAsia="黑体"/>
      <w:szCs w:val="21"/>
    </w:rPr>
  </w:style>
  <w:style w:type="paragraph" w:customStyle="1" w:styleId="69">
    <w:name w:val="一级条标题"/>
    <w:next w:val="63"/>
    <w:link w:val="6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0">
    <w:name w:val="HTML 预设格式 Char"/>
    <w:qFormat/>
    <w:uiPriority w:val="0"/>
    <w:rPr>
      <w:rFonts w:ascii="Courier New" w:hAnsi="Courier New" w:cs="Courier New"/>
    </w:rPr>
  </w:style>
  <w:style w:type="character" w:customStyle="1" w:styleId="71">
    <w:name w:val="尾注文本 Char"/>
    <w:semiHidden/>
    <w:qFormat/>
    <w:uiPriority w:val="0"/>
    <w:rPr>
      <w:szCs w:val="24"/>
    </w:rPr>
  </w:style>
  <w:style w:type="paragraph" w:customStyle="1" w:styleId="72">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3">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4">
    <w:name w:val="List Paragraph"/>
    <w:basedOn w:val="1"/>
    <w:qFormat/>
    <w:uiPriority w:val="34"/>
    <w:pPr>
      <w:ind w:firstLine="420" w:firstLineChars="200"/>
    </w:pPr>
    <w:rPr>
      <w:rFonts w:ascii="宋体" w:hAnsi="宋体" w:cs="宋体"/>
      <w:kern w:val="0"/>
      <w:sz w:val="24"/>
    </w:rPr>
  </w:style>
  <w:style w:type="paragraph" w:customStyle="1" w:styleId="75">
    <w:name w:val="封面一致性程度标识2"/>
    <w:basedOn w:val="76"/>
    <w:qFormat/>
    <w:uiPriority w:val="0"/>
    <w:pPr>
      <w:framePr w:wrap="around" w:y="4469"/>
    </w:pPr>
  </w:style>
  <w:style w:type="paragraph" w:customStyle="1" w:styleId="76">
    <w:name w:val="封面一致性程度标识"/>
    <w:basedOn w:val="77"/>
    <w:qFormat/>
    <w:uiPriority w:val="0"/>
    <w:pPr>
      <w:framePr w:wrap="around"/>
      <w:spacing w:before="440"/>
    </w:pPr>
    <w:rPr>
      <w:rFonts w:ascii="宋体" w:eastAsia="宋体"/>
    </w:rPr>
  </w:style>
  <w:style w:type="paragraph" w:customStyle="1" w:styleId="77">
    <w:name w:val="封面标准英文名称"/>
    <w:basedOn w:val="78"/>
    <w:qFormat/>
    <w:uiPriority w:val="0"/>
    <w:pPr>
      <w:framePr w:wrap="around"/>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2"/>
    <w:basedOn w:val="77"/>
    <w:qFormat/>
    <w:uiPriority w:val="0"/>
    <w:pPr>
      <w:framePr w:wrap="around" w:y="4469"/>
    </w:pPr>
  </w:style>
  <w:style w:type="paragraph" w:customStyle="1" w:styleId="80">
    <w:name w:val="其他发布日期"/>
    <w:basedOn w:val="81"/>
    <w:qFormat/>
    <w:uiPriority w:val="0"/>
    <w:pPr>
      <w:framePr w:wrap="around" w:vAnchor="page" w:hAnchor="text" w:x="1419"/>
    </w:pPr>
  </w:style>
  <w:style w:type="paragraph" w:customStyle="1" w:styleId="81">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2">
    <w:name w:val="正文公式编号制表符"/>
    <w:basedOn w:val="63"/>
    <w:next w:val="63"/>
    <w:qFormat/>
    <w:uiPriority w:val="0"/>
    <w:pPr>
      <w:ind w:firstLine="0" w:firstLineChars="0"/>
    </w:pPr>
  </w:style>
  <w:style w:type="paragraph" w:customStyle="1" w:styleId="83">
    <w:name w:val="正文表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4">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5">
    <w:name w:val="一级无"/>
    <w:basedOn w:val="69"/>
    <w:qFormat/>
    <w:uiPriority w:val="0"/>
  </w:style>
  <w:style w:type="paragraph" w:customStyle="1" w:styleId="86">
    <w:name w:val="图的脚注"/>
    <w:next w:val="63"/>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7">
    <w:name w:val="图标脚注说明"/>
    <w:basedOn w:val="63"/>
    <w:qFormat/>
    <w:uiPriority w:val="0"/>
    <w:pPr>
      <w:ind w:left="840" w:hanging="420" w:firstLineChars="0"/>
    </w:pPr>
    <w:rPr>
      <w:sz w:val="18"/>
      <w:szCs w:val="18"/>
    </w:rPr>
  </w:style>
  <w:style w:type="paragraph" w:customStyle="1" w:styleId="88">
    <w:name w:val="示例后文字"/>
    <w:basedOn w:val="63"/>
    <w:next w:val="63"/>
    <w:qFormat/>
    <w:uiPriority w:val="0"/>
    <w:pPr>
      <w:ind w:firstLine="360"/>
    </w:pPr>
    <w:rPr>
      <w:sz w:val="18"/>
    </w:rPr>
  </w:style>
  <w:style w:type="paragraph" w:customStyle="1" w:styleId="89">
    <w:name w:val="实施日期"/>
    <w:basedOn w:val="81"/>
    <w:qFormat/>
    <w:uiPriority w:val="0"/>
    <w:pPr>
      <w:framePr w:wrap="around" w:vAnchor="page" w:hAnchor="text"/>
      <w:jc w:val="right"/>
    </w:pPr>
  </w:style>
  <w:style w:type="paragraph" w:customStyle="1" w:styleId="90">
    <w:name w:val="前言、引言标题"/>
    <w:next w:val="63"/>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4">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5">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6">
    <w:name w:val="条文脚注"/>
    <w:basedOn w:val="28"/>
    <w:qFormat/>
    <w:uiPriority w:val="0"/>
    <w:pPr>
      <w:ind w:left="0" w:firstLine="0"/>
      <w:jc w:val="both"/>
    </w:pPr>
  </w:style>
  <w:style w:type="paragraph" w:customStyle="1" w:styleId="97">
    <w:name w:val="附录一级无"/>
    <w:basedOn w:val="98"/>
    <w:qFormat/>
    <w:uiPriority w:val="0"/>
    <w:pPr>
      <w:tabs>
        <w:tab w:val="left" w:pos="360"/>
      </w:tabs>
      <w:spacing w:beforeLines="0" w:afterLines="0"/>
    </w:pPr>
    <w:rPr>
      <w:rFonts w:ascii="宋体" w:eastAsia="宋体"/>
      <w:szCs w:val="21"/>
    </w:rPr>
  </w:style>
  <w:style w:type="paragraph" w:customStyle="1" w:styleId="98">
    <w:name w:val="附录一级条标题"/>
    <w:basedOn w:val="99"/>
    <w:next w:val="63"/>
    <w:qFormat/>
    <w:uiPriority w:val="0"/>
    <w:pPr>
      <w:tabs>
        <w:tab w:val="left" w:pos="360"/>
      </w:tabs>
      <w:autoSpaceDN w:val="0"/>
      <w:spacing w:beforeLines="50" w:afterLines="50"/>
      <w:outlineLvl w:val="2"/>
    </w:pPr>
  </w:style>
  <w:style w:type="paragraph" w:customStyle="1" w:styleId="99">
    <w:name w:val="附录章标题"/>
    <w:next w:val="63"/>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五级无"/>
    <w:basedOn w:val="101"/>
    <w:qFormat/>
    <w:uiPriority w:val="0"/>
    <w:pPr>
      <w:tabs>
        <w:tab w:val="left" w:pos="360"/>
      </w:tabs>
      <w:spacing w:beforeLines="0" w:afterLines="0"/>
    </w:pPr>
    <w:rPr>
      <w:rFonts w:ascii="宋体" w:eastAsia="宋体"/>
      <w:szCs w:val="21"/>
    </w:rPr>
  </w:style>
  <w:style w:type="paragraph" w:customStyle="1" w:styleId="101">
    <w:name w:val="附录五级条标题"/>
    <w:basedOn w:val="102"/>
    <w:next w:val="63"/>
    <w:qFormat/>
    <w:uiPriority w:val="0"/>
    <w:pPr>
      <w:tabs>
        <w:tab w:val="left" w:pos="360"/>
      </w:tabs>
      <w:outlineLvl w:val="6"/>
    </w:pPr>
  </w:style>
  <w:style w:type="paragraph" w:customStyle="1" w:styleId="102">
    <w:name w:val="附录四级条标题"/>
    <w:basedOn w:val="103"/>
    <w:next w:val="63"/>
    <w:qFormat/>
    <w:uiPriority w:val="0"/>
    <w:pPr>
      <w:tabs>
        <w:tab w:val="left" w:pos="360"/>
      </w:tabs>
    </w:pPr>
  </w:style>
  <w:style w:type="paragraph" w:customStyle="1" w:styleId="103">
    <w:name w:val="附录三级条标题"/>
    <w:basedOn w:val="104"/>
    <w:next w:val="63"/>
    <w:qFormat/>
    <w:uiPriority w:val="0"/>
    <w:pPr>
      <w:tabs>
        <w:tab w:val="left" w:pos="360"/>
      </w:tabs>
    </w:pPr>
  </w:style>
  <w:style w:type="paragraph" w:customStyle="1" w:styleId="104">
    <w:name w:val="附录二级条标题"/>
    <w:basedOn w:val="1"/>
    <w:next w:val="63"/>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图标题"/>
    <w:basedOn w:val="1"/>
    <w:next w:val="63"/>
    <w:qFormat/>
    <w:uiPriority w:val="0"/>
    <w:pPr>
      <w:tabs>
        <w:tab w:val="left" w:pos="363"/>
      </w:tabs>
      <w:spacing w:beforeLines="50" w:afterLines="50"/>
      <w:jc w:val="center"/>
    </w:pPr>
    <w:rPr>
      <w:rFonts w:ascii="黑体" w:eastAsia="黑体"/>
      <w:szCs w:val="21"/>
    </w:rPr>
  </w:style>
  <w:style w:type="paragraph" w:customStyle="1" w:styleId="106">
    <w:name w:val="附录图标号"/>
    <w:basedOn w:val="1"/>
    <w:qFormat/>
    <w:uiPriority w:val="0"/>
    <w:pPr>
      <w:keepNext/>
      <w:pageBreakBefore/>
      <w:spacing w:line="14" w:lineRule="exact"/>
      <w:ind w:firstLine="363"/>
      <w:jc w:val="center"/>
      <w:outlineLvl w:val="0"/>
    </w:pPr>
    <w:rPr>
      <w:color w:val="FFFFFF"/>
    </w:rPr>
  </w:style>
  <w:style w:type="paragraph" w:customStyle="1" w:styleId="107">
    <w:name w:val="附录四级无"/>
    <w:basedOn w:val="102"/>
    <w:qFormat/>
    <w:uiPriority w:val="0"/>
    <w:pPr>
      <w:tabs>
        <w:tab w:val="clear" w:pos="360"/>
      </w:tabs>
      <w:spacing w:beforeLines="0" w:afterLines="0"/>
      <w:outlineLvl w:val="5"/>
    </w:pPr>
    <w:rPr>
      <w:rFonts w:ascii="宋体" w:eastAsia="宋体"/>
      <w:szCs w:val="21"/>
    </w:rPr>
  </w:style>
  <w:style w:type="paragraph" w:customStyle="1" w:styleId="108">
    <w:name w:val="附录三级无"/>
    <w:basedOn w:val="103"/>
    <w:qFormat/>
    <w:uiPriority w:val="0"/>
  </w:style>
  <w:style w:type="paragraph" w:customStyle="1" w:styleId="109">
    <w:name w:val="注："/>
    <w:next w:val="63"/>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0">
    <w:name w:val="附录公式编号制表符"/>
    <w:basedOn w:val="1"/>
    <w:next w:val="63"/>
    <w:qFormat/>
    <w:uiPriority w:val="0"/>
    <w:pPr>
      <w:tabs>
        <w:tab w:val="center" w:pos="4201"/>
        <w:tab w:val="right" w:leader="dot" w:pos="9298"/>
      </w:tabs>
      <w:autoSpaceDE w:val="0"/>
      <w:autoSpaceDN w:val="0"/>
    </w:pPr>
    <w:rPr>
      <w:rFonts w:ascii="宋体"/>
      <w:kern w:val="0"/>
      <w:szCs w:val="20"/>
    </w:rPr>
  </w:style>
  <w:style w:type="paragraph" w:customStyle="1" w:styleId="111">
    <w:name w:val="附录二级无"/>
    <w:basedOn w:val="104"/>
    <w:qFormat/>
    <w:uiPriority w:val="0"/>
  </w:style>
  <w:style w:type="paragraph" w:customStyle="1" w:styleId="112">
    <w:name w:val="附录标题"/>
    <w:basedOn w:val="63"/>
    <w:next w:val="63"/>
    <w:qFormat/>
    <w:uiPriority w:val="0"/>
    <w:pPr>
      <w:ind w:firstLine="0" w:firstLineChars="0"/>
      <w:jc w:val="center"/>
    </w:pPr>
    <w:rPr>
      <w:rFonts w:ascii="黑体" w:eastAsia="黑体"/>
    </w:rPr>
  </w:style>
  <w:style w:type="paragraph" w:customStyle="1" w:styleId="113">
    <w:name w:val="参考文献"/>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4">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5">
    <w:name w:val="封面标准文稿类别"/>
    <w:basedOn w:val="76"/>
    <w:qFormat/>
    <w:uiPriority w:val="0"/>
    <w:pPr>
      <w:framePr w:wrap="around"/>
      <w:spacing w:after="160" w:line="240" w:lineRule="auto"/>
    </w:pPr>
    <w:rPr>
      <w:sz w:val="24"/>
    </w:rPr>
  </w:style>
  <w:style w:type="paragraph" w:customStyle="1" w:styleId="116">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7">
    <w:name w:val="其他实施日期"/>
    <w:basedOn w:val="89"/>
    <w:qFormat/>
    <w:uiPriority w:val="0"/>
    <w:pPr>
      <w:framePr w:wrap="around" w:vAnchor="margin" w:hAnchor="page"/>
    </w:p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发布部门"/>
    <w:next w:val="63"/>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0">
    <w:name w:val="注：（正文）"/>
    <w:basedOn w:val="109"/>
    <w:next w:val="63"/>
    <w:qFormat/>
    <w:uiPriority w:val="0"/>
  </w:style>
  <w:style w:type="paragraph" w:customStyle="1" w:styleId="121">
    <w:name w:val="参考文献、索引标题"/>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4">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5">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6">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7">
    <w:name w:val="示例×："/>
    <w:basedOn w:val="128"/>
    <w:qFormat/>
    <w:uiPriority w:val="0"/>
    <w:pPr>
      <w:spacing w:beforeLines="0" w:afterLines="0"/>
      <w:ind w:firstLine="363"/>
      <w:outlineLvl w:val="9"/>
    </w:pPr>
    <w:rPr>
      <w:rFonts w:ascii="宋体" w:eastAsia="宋体"/>
      <w:sz w:val="18"/>
      <w:szCs w:val="18"/>
    </w:rPr>
  </w:style>
  <w:style w:type="paragraph" w:customStyle="1" w:styleId="128">
    <w:name w:val="章标题"/>
    <w:next w:val="63"/>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9">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0">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2">
    <w:name w:val="五级无"/>
    <w:basedOn w:val="133"/>
    <w:qFormat/>
    <w:uiPriority w:val="0"/>
    <w:pPr>
      <w:spacing w:beforeLines="0" w:afterLines="0"/>
      <w:outlineLvl w:val="6"/>
    </w:pPr>
    <w:rPr>
      <w:rFonts w:ascii="宋体" w:eastAsia="宋体"/>
    </w:rPr>
  </w:style>
  <w:style w:type="paragraph" w:customStyle="1" w:styleId="133">
    <w:name w:val="五级条标题"/>
    <w:basedOn w:val="134"/>
    <w:next w:val="63"/>
    <w:qFormat/>
    <w:uiPriority w:val="0"/>
  </w:style>
  <w:style w:type="paragraph" w:customStyle="1" w:styleId="134">
    <w:name w:val="四级条标题"/>
    <w:basedOn w:val="135"/>
    <w:next w:val="63"/>
    <w:qFormat/>
    <w:uiPriority w:val="0"/>
  </w:style>
  <w:style w:type="paragraph" w:customStyle="1" w:styleId="135">
    <w:name w:val="三级条标题"/>
    <w:basedOn w:val="136"/>
    <w:next w:val="63"/>
    <w:qFormat/>
    <w:uiPriority w:val="0"/>
  </w:style>
  <w:style w:type="paragraph" w:customStyle="1" w:styleId="136">
    <w:name w:val="二级条标题"/>
    <w:basedOn w:val="69"/>
    <w:next w:val="63"/>
    <w:qFormat/>
    <w:uiPriority w:val="0"/>
  </w:style>
  <w:style w:type="paragraph" w:customStyle="1" w:styleId="137">
    <w:name w:val="四级无"/>
    <w:basedOn w:val="134"/>
    <w:qFormat/>
    <w:uiPriority w:val="0"/>
  </w:style>
  <w:style w:type="paragraph" w:customStyle="1" w:styleId="138">
    <w:name w:val="三级无"/>
    <w:basedOn w:val="135"/>
    <w:qFormat/>
    <w:uiPriority w:val="0"/>
  </w:style>
  <w:style w:type="paragraph" w:customStyle="1" w:styleId="139">
    <w:name w:val="其他标准标志"/>
    <w:basedOn w:val="123"/>
    <w:qFormat/>
    <w:uiPriority w:val="0"/>
    <w:pPr>
      <w:framePr w:w="6101" w:wrap="around" w:vAnchor="page" w:hAnchor="page" w:x="4673" w:y="942"/>
    </w:pPr>
    <w:rPr>
      <w:w w:val="130"/>
    </w:rPr>
  </w:style>
  <w:style w:type="paragraph" w:customStyle="1" w:styleId="140">
    <w:name w:val="目次、标准名称标题"/>
    <w:basedOn w:val="1"/>
    <w:next w:val="63"/>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3">
    <w:name w:val="批注框文本 字符"/>
    <w:basedOn w:val="39"/>
    <w:link w:val="23"/>
    <w:semiHidden/>
    <w:qFormat/>
    <w:uiPriority w:val="99"/>
    <w:rPr>
      <w:rFonts w:ascii="Times New Roman" w:hAnsi="Times New Roman" w:eastAsia="宋体" w:cs="Times New Roman"/>
      <w:sz w:val="18"/>
      <w:szCs w:val="18"/>
    </w:rPr>
  </w:style>
  <w:style w:type="paragraph" w:customStyle="1" w:styleId="144">
    <w:name w:val="列项◆（三级）"/>
    <w:basedOn w:val="1"/>
    <w:qFormat/>
    <w:uiPriority w:val="99"/>
    <w:pPr>
      <w:tabs>
        <w:tab w:val="left" w:pos="969"/>
      </w:tabs>
      <w:ind w:left="969" w:hanging="414"/>
    </w:pPr>
    <w:rPr>
      <w:rFonts w:ascii="宋体"/>
      <w:szCs w:val="21"/>
    </w:rPr>
  </w:style>
  <w:style w:type="paragraph" w:customStyle="1" w:styleId="145">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6">
    <w:name w:val="页眉 字符"/>
    <w:basedOn w:val="39"/>
    <w:link w:val="5"/>
    <w:semiHidden/>
    <w:qFormat/>
    <w:uiPriority w:val="99"/>
    <w:rPr>
      <w:rFonts w:ascii="Times New Roman" w:hAnsi="Times New Roman" w:eastAsia="宋体" w:cs="Times New Roman"/>
      <w:sz w:val="18"/>
      <w:szCs w:val="18"/>
    </w:rPr>
  </w:style>
  <w:style w:type="paragraph" w:customStyle="1" w:styleId="147">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8">
    <w:name w:val="其他发布部门"/>
    <w:basedOn w:val="119"/>
    <w:qFormat/>
    <w:uiPriority w:val="0"/>
    <w:pPr>
      <w:framePr w:wrap="around" w:y="15310"/>
      <w:spacing w:line="0" w:lineRule="atLeast"/>
    </w:pPr>
    <w:rPr>
      <w:rFonts w:ascii="黑体" w:eastAsia="黑体"/>
      <w:b w:val="0"/>
    </w:rPr>
  </w:style>
  <w:style w:type="paragraph" w:customStyle="1" w:styleId="149">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0">
    <w:name w:val="正文图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1">
    <w:name w:val="HTML 预设格式 字符"/>
    <w:basedOn w:val="39"/>
    <w:link w:val="32"/>
    <w:semiHidden/>
    <w:qFormat/>
    <w:uiPriority w:val="99"/>
    <w:rPr>
      <w:rFonts w:ascii="Courier New" w:hAnsi="Courier New" w:eastAsia="宋体" w:cs="Courier New"/>
      <w:sz w:val="20"/>
      <w:szCs w:val="20"/>
    </w:rPr>
  </w:style>
  <w:style w:type="paragraph" w:customStyle="1" w:styleId="152">
    <w:name w:val="附录标识"/>
    <w:basedOn w:val="1"/>
    <w:next w:val="63"/>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3">
    <w:name w:val="脚注文本 字符"/>
    <w:basedOn w:val="39"/>
    <w:link w:val="28"/>
    <w:semiHidden/>
    <w:qFormat/>
    <w:uiPriority w:val="99"/>
    <w:rPr>
      <w:rFonts w:ascii="Times New Roman" w:hAnsi="Times New Roman" w:eastAsia="宋体" w:cs="Times New Roman"/>
      <w:sz w:val="18"/>
      <w:szCs w:val="18"/>
    </w:rPr>
  </w:style>
  <w:style w:type="paragraph" w:customStyle="1" w:styleId="154">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5">
    <w:name w:val="二级无"/>
    <w:basedOn w:val="136"/>
    <w:qFormat/>
    <w:uiPriority w:val="0"/>
  </w:style>
  <w:style w:type="paragraph" w:customStyle="1" w:styleId="156">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7">
    <w:name w:val="正文文本缩进 2 字符"/>
    <w:basedOn w:val="39"/>
    <w:link w:val="21"/>
    <w:semiHidden/>
    <w:qFormat/>
    <w:uiPriority w:val="99"/>
    <w:rPr>
      <w:rFonts w:ascii="Times New Roman" w:hAnsi="Times New Roman" w:eastAsia="宋体" w:cs="Times New Roman"/>
      <w:szCs w:val="24"/>
    </w:rPr>
  </w:style>
  <w:style w:type="paragraph" w:customStyle="1" w:styleId="158">
    <w:name w:val="封面标准文稿编辑信息2"/>
    <w:basedOn w:val="159"/>
    <w:qFormat/>
    <w:uiPriority w:val="0"/>
    <w:pPr>
      <w:framePr w:wrap="around" w:y="4469"/>
    </w:pPr>
  </w:style>
  <w:style w:type="paragraph" w:customStyle="1" w:styleId="159">
    <w:name w:val="封面标准文稿编辑信息"/>
    <w:basedOn w:val="115"/>
    <w:qFormat/>
    <w:uiPriority w:val="0"/>
    <w:pPr>
      <w:framePr w:wrap="around"/>
      <w:spacing w:before="180" w:line="180" w:lineRule="exact"/>
    </w:pPr>
    <w:rPr>
      <w:sz w:val="21"/>
    </w:rPr>
  </w:style>
  <w:style w:type="paragraph" w:customStyle="1" w:styleId="160">
    <w:name w:val="附录表标题"/>
    <w:basedOn w:val="1"/>
    <w:next w:val="63"/>
    <w:qFormat/>
    <w:uiPriority w:val="0"/>
    <w:pPr>
      <w:tabs>
        <w:tab w:val="left" w:pos="180"/>
      </w:tabs>
      <w:spacing w:beforeLines="50" w:afterLines="50"/>
      <w:jc w:val="center"/>
    </w:pPr>
    <w:rPr>
      <w:rFonts w:ascii="黑体" w:eastAsia="黑体"/>
      <w:szCs w:val="21"/>
    </w:rPr>
  </w:style>
  <w:style w:type="paragraph" w:customStyle="1" w:styleId="161">
    <w:name w:val="标准书眉_偶数页"/>
    <w:basedOn w:val="145"/>
    <w:next w:val="1"/>
    <w:qFormat/>
    <w:uiPriority w:val="0"/>
    <w:pPr>
      <w:jc w:val="left"/>
    </w:pPr>
  </w:style>
  <w:style w:type="paragraph" w:customStyle="1" w:styleId="162">
    <w:name w:val="附录表标号"/>
    <w:basedOn w:val="1"/>
    <w:next w:val="63"/>
    <w:qFormat/>
    <w:uiPriority w:val="0"/>
    <w:pPr>
      <w:spacing w:line="14" w:lineRule="exact"/>
      <w:ind w:left="811" w:hanging="448"/>
      <w:jc w:val="center"/>
      <w:outlineLvl w:val="0"/>
    </w:pPr>
    <w:rPr>
      <w:color w:val="FFFFFF"/>
    </w:rPr>
  </w:style>
  <w:style w:type="paragraph" w:customStyle="1" w:styleId="163">
    <w:name w:val="图表脚注说明"/>
    <w:basedOn w:val="1"/>
    <w:qFormat/>
    <w:uiPriority w:val="0"/>
    <w:pPr>
      <w:ind w:left="544" w:hanging="181"/>
    </w:pPr>
    <w:rPr>
      <w:rFonts w:ascii="宋体"/>
      <w:sz w:val="18"/>
      <w:szCs w:val="18"/>
    </w:rPr>
  </w:style>
  <w:style w:type="character" w:customStyle="1" w:styleId="164">
    <w:name w:val="页脚 字符"/>
    <w:basedOn w:val="39"/>
    <w:link w:val="24"/>
    <w:semiHidden/>
    <w:qFormat/>
    <w:uiPriority w:val="99"/>
    <w:rPr>
      <w:rFonts w:ascii="Times New Roman" w:hAnsi="Times New Roman" w:eastAsia="宋体" w:cs="Times New Roman"/>
      <w:sz w:val="18"/>
      <w:szCs w:val="18"/>
    </w:rPr>
  </w:style>
  <w:style w:type="character" w:customStyle="1" w:styleId="165">
    <w:name w:val="批注文字 字符"/>
    <w:basedOn w:val="39"/>
    <w:link w:val="14"/>
    <w:semiHidden/>
    <w:qFormat/>
    <w:uiPriority w:val="99"/>
    <w:rPr>
      <w:rFonts w:ascii="Times New Roman" w:hAnsi="Times New Roman" w:eastAsia="宋体" w:cs="Times New Roman"/>
      <w:szCs w:val="24"/>
    </w:rPr>
  </w:style>
  <w:style w:type="paragraph" w:customStyle="1" w:styleId="166">
    <w:name w:val="封面标准名称2"/>
    <w:basedOn w:val="78"/>
    <w:qFormat/>
    <w:uiPriority w:val="0"/>
    <w:pPr>
      <w:framePr w:wrap="around" w:y="4469"/>
      <w:spacing w:beforeLines="630"/>
    </w:pPr>
  </w:style>
  <w:style w:type="character" w:customStyle="1" w:styleId="167">
    <w:name w:val="日期 字符"/>
    <w:basedOn w:val="39"/>
    <w:link w:val="20"/>
    <w:semiHidden/>
    <w:qFormat/>
    <w:uiPriority w:val="99"/>
    <w:rPr>
      <w:rFonts w:ascii="Times New Roman" w:hAnsi="Times New Roman" w:eastAsia="宋体" w:cs="Times New Roman"/>
      <w:szCs w:val="24"/>
    </w:rPr>
  </w:style>
  <w:style w:type="character" w:customStyle="1" w:styleId="168">
    <w:name w:val="文档结构图 字符"/>
    <w:basedOn w:val="39"/>
    <w:link w:val="13"/>
    <w:semiHidden/>
    <w:qFormat/>
    <w:uiPriority w:val="99"/>
    <w:rPr>
      <w:rFonts w:ascii="宋体" w:hAnsi="Times New Roman" w:eastAsia="宋体" w:cs="Times New Roman"/>
      <w:sz w:val="18"/>
      <w:szCs w:val="18"/>
    </w:rPr>
  </w:style>
  <w:style w:type="paragraph" w:customStyle="1" w:styleId="169">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0">
    <w:name w:val="封面标准文稿类别2"/>
    <w:basedOn w:val="115"/>
    <w:qFormat/>
    <w:uiPriority w:val="0"/>
    <w:pPr>
      <w:framePr w:wrap="around" w:y="4469"/>
    </w:pPr>
  </w:style>
  <w:style w:type="paragraph" w:customStyle="1" w:styleId="171">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2">
    <w:name w:val="终结线"/>
    <w:basedOn w:val="1"/>
    <w:qFormat/>
    <w:uiPriority w:val="0"/>
    <w:pPr>
      <w:framePr w:hSpace="181" w:vSpace="181" w:wrap="around" w:vAnchor="text" w:hAnchor="margin" w:xAlign="center" w:y="285"/>
    </w:pPr>
  </w:style>
  <w:style w:type="character" w:customStyle="1" w:styleId="173">
    <w:name w:val="批注主题 字符"/>
    <w:basedOn w:val="165"/>
    <w:link w:val="36"/>
    <w:semiHidden/>
    <w:qFormat/>
    <w:uiPriority w:val="99"/>
    <w:rPr>
      <w:rFonts w:ascii="Times New Roman" w:hAnsi="Times New Roman" w:eastAsia="宋体" w:cs="Times New Roman"/>
      <w:b/>
      <w:bCs/>
      <w:szCs w:val="24"/>
    </w:rPr>
  </w:style>
  <w:style w:type="character" w:customStyle="1" w:styleId="174">
    <w:name w:val="尾注文本 字符"/>
    <w:basedOn w:val="39"/>
    <w:link w:val="22"/>
    <w:semiHidden/>
    <w:qFormat/>
    <w:uiPriority w:val="99"/>
    <w:rPr>
      <w:rFonts w:ascii="Times New Roman" w:hAnsi="Times New Roman" w:eastAsia="宋体" w:cs="Times New Roman"/>
      <w:szCs w:val="24"/>
    </w:rPr>
  </w:style>
  <w:style w:type="paragraph" w:customStyle="1" w:styleId="175">
    <w:name w:val="示例"/>
    <w:next w:val="126"/>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6">
    <w:name w:val="正文文本 3 字符"/>
    <w:basedOn w:val="39"/>
    <w:link w:val="16"/>
    <w:semiHidden/>
    <w:qFormat/>
    <w:uiPriority w:val="99"/>
    <w:rPr>
      <w:rFonts w:ascii="Times New Roman" w:hAnsi="Times New Roman" w:eastAsia="宋体" w:cs="Times New Roman"/>
      <w:sz w:val="16"/>
      <w:szCs w:val="16"/>
    </w:rPr>
  </w:style>
  <w:style w:type="character" w:customStyle="1" w:styleId="177">
    <w:name w:val="标题 字符"/>
    <w:basedOn w:val="39"/>
    <w:link w:val="35"/>
    <w:qFormat/>
    <w:uiPriority w:val="0"/>
    <w:rPr>
      <w:rFonts w:ascii="Arial" w:hAnsi="Arial" w:eastAsia="宋体" w:cs="Times New Roman"/>
      <w:b/>
      <w:kern w:val="0"/>
      <w:sz w:val="32"/>
      <w:szCs w:val="20"/>
    </w:rPr>
  </w:style>
  <w:style w:type="paragraph" w:customStyle="1" w:styleId="178">
    <w:name w:val="p0"/>
    <w:basedOn w:val="1"/>
    <w:qFormat/>
    <w:uiPriority w:val="0"/>
    <w:pPr>
      <w:spacing w:line="240" w:lineRule="auto"/>
      <w:jc w:val="both"/>
    </w:pPr>
    <w:rPr>
      <w:kern w:val="0"/>
      <w:szCs w:val="21"/>
    </w:rPr>
  </w:style>
  <w:style w:type="character" w:customStyle="1" w:styleId="179">
    <w:name w:val="纯文本 字符"/>
    <w:basedOn w:val="39"/>
    <w:link w:val="18"/>
    <w:qFormat/>
    <w:uiPriority w:val="99"/>
    <w:rPr>
      <w:rFonts w:ascii="宋体" w:hAnsi="Courier New" w:eastAsia="宋体" w:cs="Courier New"/>
      <w:szCs w:val="21"/>
    </w:rPr>
  </w:style>
  <w:style w:type="paragraph" w:customStyle="1" w:styleId="1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1">
    <w:name w:val="正文文本 字符"/>
    <w:basedOn w:val="39"/>
    <w:link w:val="3"/>
    <w:semiHidden/>
    <w:qFormat/>
    <w:uiPriority w:val="99"/>
    <w:rPr>
      <w:kern w:val="2"/>
      <w:sz w:val="21"/>
      <w:szCs w:val="24"/>
    </w:rPr>
  </w:style>
  <w:style w:type="paragraph" w:customStyle="1" w:styleId="182">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3">
    <w:name w:val="标题 4 字符"/>
    <w:basedOn w:val="39"/>
    <w:link w:val="9"/>
    <w:semiHidden/>
    <w:qFormat/>
    <w:uiPriority w:val="9"/>
    <w:rPr>
      <w:rFonts w:asciiTheme="majorHAnsi" w:hAnsiTheme="majorHAnsi" w:eastAsiaTheme="majorEastAsia" w:cstheme="majorBidi"/>
      <w:b/>
      <w:bCs/>
      <w:kern w:val="2"/>
      <w:sz w:val="28"/>
      <w:szCs w:val="28"/>
    </w:rPr>
  </w:style>
  <w:style w:type="paragraph" w:customStyle="1" w:styleId="184">
    <w:name w:val="_Style 2"/>
    <w:basedOn w:val="6"/>
    <w:next w:val="1"/>
    <w:qFormat/>
    <w:uiPriority w:val="0"/>
    <w:pPr>
      <w:spacing w:before="480" w:after="0" w:line="276" w:lineRule="auto"/>
      <w:outlineLvl w:val="9"/>
    </w:pPr>
    <w:rPr>
      <w:rFonts w:ascii="Cambria" w:hAnsi="Cambria"/>
      <w:color w:val="365F91"/>
      <w:kern w:val="0"/>
      <w:sz w:val="28"/>
      <w:szCs w:val="28"/>
    </w:rPr>
  </w:style>
  <w:style w:type="paragraph" w:customStyle="1" w:styleId="185">
    <w:name w:val="WPSOffice手动目录 1"/>
    <w:qFormat/>
    <w:uiPriority w:val="0"/>
    <w:pPr>
      <w:ind w:leftChars="0"/>
    </w:pPr>
    <w:rPr>
      <w:rFonts w:ascii="Times New Roman" w:hAnsi="Times New Roman" w:eastAsia="宋体" w:cs="Times New Roman"/>
      <w:sz w:val="20"/>
      <w:szCs w:val="20"/>
    </w:rPr>
  </w:style>
  <w:style w:type="paragraph" w:customStyle="1" w:styleId="186">
    <w:name w:val="Body text|1"/>
    <w:basedOn w:val="1"/>
    <w:qFormat/>
    <w:uiPriority w:val="0"/>
    <w:pPr>
      <w:widowControl w:val="0"/>
      <w:shd w:val="clear" w:color="auto" w:fill="auto"/>
      <w:spacing w:line="449" w:lineRule="auto"/>
      <w:ind w:firstLine="400"/>
    </w:pPr>
    <w:rPr>
      <w:rFonts w:ascii="宋体" w:hAnsi="宋体" w:eastAsia="宋体" w:cs="宋体"/>
      <w:color w:val="181212"/>
      <w:sz w:val="18"/>
      <w:szCs w:val="18"/>
      <w:u w:val="none"/>
      <w:shd w:val="clear" w:color="auto" w:fill="auto"/>
      <w:lang w:val="zh-TW" w:eastAsia="zh-TW" w:bidi="zh-TW"/>
    </w:rPr>
  </w:style>
  <w:style w:type="paragraph" w:customStyle="1" w:styleId="187">
    <w:name w:val="5正文"/>
    <w:basedOn w:val="1"/>
    <w:qFormat/>
    <w:uiPriority w:val="0"/>
    <w:pPr>
      <w:spacing w:line="578" w:lineRule="exact"/>
      <w:ind w:firstLine="640" w:firstLineChars="200"/>
    </w:pPr>
    <w:rPr>
      <w:rFonts w:ascii="仿宋" w:hAnsi="仿宋"/>
      <w:szCs w:val="32"/>
    </w:rPr>
  </w:style>
  <w:style w:type="character" w:customStyle="1" w:styleId="188">
    <w:name w:val="2一级段落标题 Char"/>
    <w:link w:val="189"/>
    <w:qFormat/>
    <w:uiPriority w:val="0"/>
    <w:rPr>
      <w:rFonts w:ascii="黑体" w:hAnsi="黑体" w:eastAsia="黑体"/>
      <w:szCs w:val="32"/>
    </w:rPr>
  </w:style>
  <w:style w:type="paragraph" w:customStyle="1" w:styleId="189">
    <w:name w:val="2一级段落标题"/>
    <w:basedOn w:val="1"/>
    <w:link w:val="188"/>
    <w:qFormat/>
    <w:uiPriority w:val="0"/>
    <w:pPr>
      <w:spacing w:line="578" w:lineRule="exact"/>
      <w:ind w:firstLine="640" w:firstLineChars="200"/>
    </w:pPr>
    <w:rPr>
      <w:rFonts w:ascii="黑体" w:hAnsi="黑体" w:eastAsia="黑体"/>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738F129A</Template>
  <Company>china</Company>
  <Pages>49</Pages>
  <Words>20582</Words>
  <Characters>22209</Characters>
  <Lines>74</Lines>
  <Paragraphs>62</Paragraphs>
  <TotalTime>23</TotalTime>
  <ScaleCrop>false</ScaleCrop>
  <LinksUpToDate>false</LinksUpToDate>
  <CharactersWithSpaces>23828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2021-11-15T00:49:00Z</cp:lastPrinted>
  <dcterms:modified xsi:type="dcterms:W3CDTF">2023-06-21T06:52:33Z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E00EFB22EAEF4103A3D44EEC343CEE55</vt:lpwstr>
  </property>
</Properties>
</file>