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p>
    <w:p>
      <w:pPr>
        <w:spacing w:line="360" w:lineRule="auto"/>
        <w:jc w:val="center"/>
        <w:outlineLvl w:val="0"/>
        <w:rPr>
          <w:rFonts w:hint="eastAsia" w:ascii="宋体" w:hAnsi="宋体" w:eastAsia="宋体" w:cs="宋体"/>
          <w:b/>
          <w:sz w:val="44"/>
          <w:szCs w:val="44"/>
        </w:rPr>
      </w:pPr>
      <w:bookmarkStart w:id="0" w:name="_Toc31206"/>
      <w:bookmarkStart w:id="1" w:name="_Toc6575"/>
      <w:r>
        <w:rPr>
          <w:rFonts w:hint="eastAsia" w:ascii="宋体" w:hAnsi="宋体" w:eastAsia="宋体" w:cs="宋体"/>
          <w:b/>
          <w:sz w:val="44"/>
          <w:szCs w:val="44"/>
        </w:rPr>
        <w:t>岳阳城陵矶港务有限责任公司</w:t>
      </w:r>
      <w:bookmarkEnd w:id="0"/>
      <w:bookmarkEnd w:id="1"/>
    </w:p>
    <w:p>
      <w:pPr>
        <w:spacing w:line="360" w:lineRule="auto"/>
        <w:jc w:val="center"/>
        <w:rPr>
          <w:rFonts w:hint="eastAsia" w:ascii="宋体" w:hAnsi="宋体" w:cs="宋体"/>
          <w:b/>
          <w:sz w:val="44"/>
          <w:szCs w:val="44"/>
          <w:lang w:val="en-US" w:eastAsia="zh-CN"/>
        </w:rPr>
      </w:pPr>
    </w:p>
    <w:p>
      <w:pPr>
        <w:spacing w:line="360" w:lineRule="auto"/>
        <w:jc w:val="center"/>
        <w:outlineLvl w:val="0"/>
        <w:rPr>
          <w:rFonts w:hint="eastAsia" w:ascii="宋体" w:hAnsi="宋体" w:eastAsia="宋体" w:cs="宋体"/>
          <w:b/>
          <w:sz w:val="44"/>
          <w:szCs w:val="44"/>
        </w:rPr>
      </w:pPr>
      <w:bookmarkStart w:id="2" w:name="_Toc4279"/>
      <w:bookmarkStart w:id="3" w:name="_Toc19183"/>
      <w:r>
        <w:rPr>
          <w:rFonts w:hint="eastAsia" w:ascii="宋体" w:hAnsi="宋体" w:cs="宋体"/>
          <w:b/>
          <w:sz w:val="44"/>
          <w:szCs w:val="44"/>
          <w:lang w:val="en-US" w:eastAsia="zh-CN"/>
        </w:rPr>
        <w:t>2023年</w:t>
      </w:r>
      <w:r>
        <w:rPr>
          <w:rFonts w:hint="eastAsia" w:ascii="宋体" w:hAnsi="宋体" w:eastAsia="宋体" w:cs="宋体"/>
          <w:b/>
          <w:sz w:val="44"/>
          <w:szCs w:val="44"/>
        </w:rPr>
        <w:t>工务代维项目</w:t>
      </w:r>
      <w:bookmarkEnd w:id="2"/>
      <w:bookmarkEnd w:id="3"/>
    </w:p>
    <w:p>
      <w:pPr>
        <w:pStyle w:val="2"/>
        <w:rPr>
          <w:rFonts w:hint="eastAsia"/>
        </w:rPr>
      </w:pPr>
    </w:p>
    <w:p>
      <w:pPr>
        <w:pStyle w:val="2"/>
        <w:rPr>
          <w:rFonts w:hint="eastAsia"/>
        </w:rPr>
      </w:pPr>
    </w:p>
    <w:p>
      <w:pPr>
        <w:snapToGrid w:val="0"/>
        <w:spacing w:line="900" w:lineRule="exact"/>
        <w:jc w:val="center"/>
        <w:rPr>
          <w:rFonts w:hint="eastAsia" w:ascii="宋体" w:hAnsi="宋体" w:eastAsia="宋体" w:cs="宋体"/>
          <w:b/>
          <w:bCs/>
          <w:sz w:val="72"/>
          <w:szCs w:val="72"/>
        </w:rPr>
      </w:pPr>
      <w:r>
        <w:rPr>
          <w:rFonts w:hint="eastAsia" w:ascii="宋体" w:hAnsi="宋体" w:eastAsia="宋体" w:cs="宋体"/>
          <w:b/>
          <w:bCs/>
          <w:sz w:val="72"/>
          <w:szCs w:val="72"/>
        </w:rPr>
        <w:t>询 价 采 购 文 件</w:t>
      </w:r>
    </w:p>
    <w:p>
      <w:pPr>
        <w:pStyle w:val="15"/>
        <w:rPr>
          <w:rFonts w:hint="eastAsia" w:ascii="宋体" w:hAnsi="宋体" w:eastAsia="宋体" w:cs="宋体"/>
          <w:sz w:val="44"/>
          <w:szCs w:val="44"/>
        </w:rPr>
      </w:pPr>
    </w:p>
    <w:p>
      <w:pPr>
        <w:snapToGrid w:val="0"/>
        <w:spacing w:line="480" w:lineRule="auto"/>
        <w:jc w:val="center"/>
        <w:rPr>
          <w:rFonts w:hint="eastAsia" w:ascii="宋体" w:hAnsi="宋体" w:eastAsia="宋体" w:cs="宋体"/>
          <w:b/>
          <w:bCs/>
          <w:sz w:val="24"/>
          <w:szCs w:val="24"/>
        </w:rPr>
      </w:pPr>
      <w:r>
        <w:rPr>
          <w:rFonts w:hint="eastAsia" w:ascii="宋体" w:hAnsi="宋体" w:eastAsia="宋体" w:cs="宋体"/>
          <w:b/>
          <w:bCs/>
          <w:sz w:val="24"/>
          <w:szCs w:val="24"/>
        </w:rPr>
        <w:t>采购编号：</w:t>
      </w:r>
      <w:r>
        <w:rPr>
          <w:rFonts w:hint="eastAsia" w:ascii="宋体" w:hAnsi="宋体" w:cs="宋体"/>
          <w:b/>
          <w:bCs/>
          <w:sz w:val="24"/>
          <w:szCs w:val="24"/>
          <w:lang w:val="en-US" w:eastAsia="zh-CN"/>
        </w:rPr>
        <w:t>城</w:t>
      </w:r>
      <w:r>
        <w:rPr>
          <w:rFonts w:hint="eastAsia" w:ascii="宋体" w:hAnsi="宋体" w:eastAsia="宋体" w:cs="宋体"/>
          <w:b/>
          <w:bCs/>
          <w:sz w:val="24"/>
          <w:szCs w:val="24"/>
        </w:rPr>
        <w:t>港</w:t>
      </w:r>
      <w:r>
        <w:rPr>
          <w:rFonts w:hint="eastAsia" w:ascii="宋体" w:hAnsi="宋体" w:eastAsia="宋体" w:cs="宋体"/>
          <w:b/>
          <w:bCs/>
          <w:sz w:val="24"/>
          <w:szCs w:val="24"/>
          <w:lang w:val="en-US" w:eastAsia="zh-CN"/>
        </w:rPr>
        <w:t>工</w:t>
      </w:r>
      <w:r>
        <w:rPr>
          <w:rFonts w:hint="eastAsia" w:ascii="宋体" w:hAnsi="宋体" w:eastAsia="宋体" w:cs="宋体"/>
          <w:b/>
          <w:bCs/>
          <w:sz w:val="24"/>
          <w:szCs w:val="24"/>
        </w:rPr>
        <w:t>（2022）年询第</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2</w:t>
      </w:r>
      <w:r>
        <w:rPr>
          <w:rFonts w:hint="eastAsia" w:ascii="宋体" w:hAnsi="宋体" w:eastAsia="宋体" w:cs="宋体"/>
          <w:b/>
          <w:bCs/>
          <w:sz w:val="24"/>
          <w:szCs w:val="24"/>
        </w:rPr>
        <w:t>号【</w:t>
      </w:r>
      <w:r>
        <w:rPr>
          <w:rFonts w:hint="eastAsia" w:ascii="宋体" w:hAnsi="宋体" w:eastAsia="宋体" w:cs="宋体"/>
          <w:b/>
          <w:bCs/>
          <w:sz w:val="24"/>
          <w:szCs w:val="24"/>
          <w:lang w:val="en-US" w:eastAsia="zh-CN"/>
        </w:rPr>
        <w:t>城</w:t>
      </w:r>
      <w:r>
        <w:rPr>
          <w:rFonts w:hint="eastAsia" w:ascii="宋体" w:hAnsi="宋体" w:eastAsia="宋体" w:cs="宋体"/>
          <w:b/>
          <w:bCs/>
          <w:sz w:val="24"/>
          <w:szCs w:val="24"/>
        </w:rPr>
        <w:t>港】</w:t>
      </w:r>
    </w:p>
    <w:p>
      <w:pPr>
        <w:pStyle w:val="16"/>
        <w:rPr>
          <w:rFonts w:hint="eastAsia" w:ascii="宋体" w:hAnsi="宋体" w:eastAsia="宋体" w:cs="宋体"/>
          <w:sz w:val="44"/>
          <w:szCs w:val="44"/>
        </w:rPr>
      </w:pPr>
    </w:p>
    <w:p>
      <w:pPr>
        <w:pStyle w:val="16"/>
        <w:rPr>
          <w:rFonts w:hint="eastAsia" w:ascii="宋体" w:hAnsi="宋体" w:eastAsia="宋体" w:cs="宋体"/>
          <w:sz w:val="44"/>
          <w:szCs w:val="44"/>
        </w:rPr>
      </w:pPr>
    </w:p>
    <w:p>
      <w:pPr>
        <w:pStyle w:val="16"/>
        <w:rPr>
          <w:rFonts w:hint="eastAsia" w:ascii="宋体" w:hAnsi="宋体" w:eastAsia="宋体" w:cs="宋体"/>
          <w:sz w:val="44"/>
          <w:szCs w:val="44"/>
        </w:rPr>
      </w:pPr>
    </w:p>
    <w:p>
      <w:pPr>
        <w:pStyle w:val="16"/>
        <w:rPr>
          <w:rFonts w:hint="eastAsia" w:ascii="宋体" w:hAnsi="宋体" w:eastAsia="宋体" w:cs="宋体"/>
          <w:sz w:val="44"/>
          <w:szCs w:val="44"/>
        </w:rPr>
      </w:pPr>
    </w:p>
    <w:p>
      <w:pPr>
        <w:pStyle w:val="16"/>
        <w:rPr>
          <w:rFonts w:hint="eastAsia" w:ascii="宋体" w:hAnsi="宋体" w:eastAsia="宋体" w:cs="宋体"/>
          <w:sz w:val="44"/>
          <w:szCs w:val="44"/>
        </w:rPr>
      </w:pPr>
    </w:p>
    <w:p>
      <w:pPr>
        <w:pStyle w:val="16"/>
        <w:rPr>
          <w:rFonts w:hint="eastAsia" w:ascii="宋体" w:hAnsi="宋体" w:eastAsia="宋体" w:cs="宋体"/>
          <w:sz w:val="44"/>
          <w:szCs w:val="44"/>
        </w:rPr>
      </w:pPr>
    </w:p>
    <w:p>
      <w:pPr>
        <w:pStyle w:val="16"/>
        <w:rPr>
          <w:rFonts w:hint="eastAsia" w:ascii="宋体" w:hAnsi="宋体" w:eastAsia="宋体" w:cs="宋体"/>
          <w:sz w:val="44"/>
          <w:szCs w:val="44"/>
        </w:rPr>
      </w:pPr>
    </w:p>
    <w:p>
      <w:pPr>
        <w:spacing w:line="600" w:lineRule="exact"/>
        <w:rPr>
          <w:rFonts w:hint="eastAsia" w:ascii="宋体" w:hAnsi="宋体" w:eastAsia="宋体" w:cs="宋体"/>
          <w:sz w:val="44"/>
          <w:szCs w:val="44"/>
        </w:rPr>
      </w:pPr>
    </w:p>
    <w:p>
      <w:pPr>
        <w:tabs>
          <w:tab w:val="left" w:pos="0"/>
          <w:tab w:val="left" w:pos="4185"/>
        </w:tabs>
        <w:spacing w:line="288" w:lineRule="auto"/>
        <w:ind w:right="-6"/>
        <w:jc w:val="center"/>
        <w:rPr>
          <w:rFonts w:hint="eastAsia" w:ascii="宋体" w:hAnsi="宋体" w:eastAsia="宋体" w:cs="宋体"/>
          <w:bCs/>
          <w:sz w:val="44"/>
          <w:szCs w:val="44"/>
        </w:rPr>
      </w:pPr>
      <w:r>
        <w:rPr>
          <w:rFonts w:hint="eastAsia" w:ascii="宋体" w:hAnsi="宋体" w:eastAsia="宋体" w:cs="宋体"/>
          <w:bCs/>
          <w:sz w:val="44"/>
          <w:szCs w:val="44"/>
        </w:rPr>
        <w:t>二О二二年</w:t>
      </w:r>
      <w:r>
        <w:rPr>
          <w:rFonts w:hint="eastAsia" w:ascii="宋体" w:hAnsi="宋体" w:eastAsia="宋体" w:cs="宋体"/>
          <w:bCs/>
          <w:sz w:val="44"/>
          <w:szCs w:val="44"/>
          <w:lang w:val="en-US" w:eastAsia="zh-CN"/>
        </w:rPr>
        <w:t>十</w:t>
      </w:r>
      <w:r>
        <w:rPr>
          <w:rFonts w:hint="eastAsia" w:ascii="宋体" w:hAnsi="宋体" w:cs="宋体"/>
          <w:bCs/>
          <w:sz w:val="44"/>
          <w:szCs w:val="44"/>
          <w:lang w:val="en-US" w:eastAsia="zh-CN"/>
        </w:rPr>
        <w:t>二</w:t>
      </w:r>
      <w:r>
        <w:rPr>
          <w:rFonts w:hint="eastAsia" w:ascii="宋体" w:hAnsi="宋体" w:eastAsia="宋体" w:cs="宋体"/>
          <w:bCs/>
          <w:sz w:val="44"/>
          <w:szCs w:val="44"/>
        </w:rPr>
        <w:t>月</w:t>
      </w:r>
    </w:p>
    <w:p>
      <w:pPr>
        <w:rPr>
          <w:lang w:val="zh-CN"/>
        </w:rPr>
        <w:sectPr>
          <w:headerReference r:id="rId5" w:type="default"/>
          <w:footerReference r:id="rId6" w:type="default"/>
          <w:pgSz w:w="11906" w:h="16838"/>
          <w:pgMar w:top="1157" w:right="1236" w:bottom="1157" w:left="1293" w:header="851" w:footer="992" w:gutter="0"/>
          <w:cols w:space="425" w:num="1"/>
          <w:docGrid w:type="lines" w:linePitch="312" w:charSpace="0"/>
        </w:sectPr>
      </w:pPr>
    </w:p>
    <w:p>
      <w:pPr>
        <w:pStyle w:val="2"/>
        <w:rPr>
          <w:lang w:val="zh-CN"/>
        </w:rPr>
      </w:pPr>
    </w:p>
    <w:p>
      <w:pPr>
        <w:spacing w:line="240" w:lineRule="auto"/>
        <w:jc w:val="center"/>
        <w:rPr>
          <w:rFonts w:ascii="黑体" w:hAnsi="黑体" w:eastAsia="黑体" w:cs="黑体"/>
          <w:sz w:val="44"/>
          <w:szCs w:val="44"/>
        </w:rPr>
      </w:pPr>
      <w:r>
        <w:rPr>
          <w:rFonts w:hint="eastAsia" w:ascii="黑体" w:hAnsi="黑体" w:eastAsia="黑体" w:cs="黑体"/>
          <w:sz w:val="44"/>
          <w:szCs w:val="44"/>
        </w:rPr>
        <w:t>目  录</w:t>
      </w:r>
    </w:p>
    <w:sdt>
      <w:sdtPr>
        <w:rPr>
          <w:rFonts w:ascii="宋体" w:hAnsi="宋体" w:eastAsia="宋体" w:cs="Times New Roman"/>
          <w:kern w:val="2"/>
          <w:sz w:val="21"/>
          <w:szCs w:val="24"/>
          <w:lang w:val="en-US" w:eastAsia="zh-CN" w:bidi="ar-SA"/>
        </w:rPr>
        <w:id w:val="14745324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5"/>
            <w:tabs>
              <w:tab w:val="right" w:leader="dot" w:pos="9377"/>
            </w:tabs>
          </w:pPr>
          <w:r>
            <w:fldChar w:fldCharType="begin"/>
          </w:r>
          <w:r>
            <w:instrText xml:space="preserve">TOC \o "1-1" \h \u </w:instrText>
          </w:r>
          <w:r>
            <w:fldChar w:fldCharType="separate"/>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_Toc4706 </w:instrText>
          </w:r>
          <w:r>
            <w:rPr>
              <w:rFonts w:hint="eastAsia" w:ascii="黑体" w:hAnsi="黑体" w:eastAsia="黑体" w:cs="黑体"/>
              <w:sz w:val="24"/>
              <w:szCs w:val="24"/>
            </w:rPr>
            <w:fldChar w:fldCharType="separate"/>
          </w:r>
          <w:r>
            <w:rPr>
              <w:rFonts w:hint="eastAsia" w:ascii="黑体" w:hAnsi="黑体" w:eastAsia="黑体" w:cs="黑体"/>
              <w:sz w:val="24"/>
              <w:szCs w:val="24"/>
            </w:rPr>
            <w:t>第一章 采购公告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_Toc4706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_Toc2443 </w:instrText>
          </w:r>
          <w:r>
            <w:rPr>
              <w:rFonts w:hint="eastAsia" w:ascii="黑体" w:hAnsi="黑体" w:eastAsia="黑体" w:cs="黑体"/>
              <w:sz w:val="24"/>
              <w:szCs w:val="24"/>
            </w:rPr>
            <w:fldChar w:fldCharType="separate"/>
          </w:r>
          <w:r>
            <w:rPr>
              <w:rFonts w:hint="eastAsia" w:ascii="黑体" w:hAnsi="黑体" w:eastAsia="黑体" w:cs="黑体"/>
              <w:kern w:val="0"/>
              <w:sz w:val="24"/>
              <w:szCs w:val="24"/>
              <w:lang w:val="en-US" w:eastAsia="zh-CN" w:bidi="ar-SA"/>
            </w:rPr>
            <w:t>第二章 供应商须知正文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_Toc2443 \h </w:instrText>
          </w:r>
          <w:r>
            <w:rPr>
              <w:rFonts w:hint="eastAsia" w:ascii="黑体" w:hAnsi="黑体" w:eastAsia="黑体" w:cs="黑体"/>
              <w:sz w:val="24"/>
              <w:szCs w:val="24"/>
            </w:rPr>
            <w:fldChar w:fldCharType="separate"/>
          </w:r>
          <w:r>
            <w:rPr>
              <w:rFonts w:hint="eastAsia" w:ascii="黑体" w:hAnsi="黑体" w:eastAsia="黑体" w:cs="黑体"/>
              <w:sz w:val="24"/>
              <w:szCs w:val="24"/>
            </w:rPr>
            <w:t>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_Toc92 </w:instrText>
          </w:r>
          <w:r>
            <w:rPr>
              <w:rFonts w:hint="eastAsia" w:ascii="黑体" w:hAnsi="黑体" w:eastAsia="黑体" w:cs="黑体"/>
              <w:sz w:val="24"/>
              <w:szCs w:val="24"/>
            </w:rPr>
            <w:fldChar w:fldCharType="separate"/>
          </w:r>
          <w:r>
            <w:rPr>
              <w:rFonts w:hint="eastAsia" w:ascii="黑体" w:hAnsi="黑体" w:eastAsia="黑体" w:cs="黑体"/>
              <w:kern w:val="0"/>
              <w:sz w:val="24"/>
              <w:szCs w:val="24"/>
              <w:lang w:val="en-US" w:eastAsia="zh-CN" w:bidi="ar-SA"/>
            </w:rPr>
            <w:t>第三章 评审办法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_Toc92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_Toc25396 </w:instrText>
          </w:r>
          <w:r>
            <w:rPr>
              <w:rFonts w:hint="eastAsia" w:ascii="黑体" w:hAnsi="黑体" w:eastAsia="黑体" w:cs="黑体"/>
              <w:sz w:val="24"/>
              <w:szCs w:val="24"/>
            </w:rPr>
            <w:fldChar w:fldCharType="separate"/>
          </w:r>
          <w:r>
            <w:rPr>
              <w:rFonts w:hint="eastAsia" w:ascii="黑体" w:hAnsi="黑体" w:eastAsia="黑体" w:cs="黑体"/>
              <w:sz w:val="24"/>
              <w:szCs w:val="24"/>
            </w:rPr>
            <w:t>第四章 合同条款及格式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_Toc25396 \h </w:instrText>
          </w:r>
          <w:r>
            <w:rPr>
              <w:rFonts w:hint="eastAsia" w:ascii="黑体" w:hAnsi="黑体" w:eastAsia="黑体" w:cs="黑体"/>
              <w:sz w:val="24"/>
              <w:szCs w:val="24"/>
            </w:rPr>
            <w:fldChar w:fldCharType="separate"/>
          </w:r>
          <w:r>
            <w:rPr>
              <w:rFonts w:hint="eastAsia" w:ascii="黑体" w:hAnsi="黑体" w:eastAsia="黑体" w:cs="黑体"/>
              <w:sz w:val="24"/>
              <w:szCs w:val="24"/>
            </w:rPr>
            <w:t>25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_Toc14299 </w:instrText>
          </w:r>
          <w:r>
            <w:rPr>
              <w:rFonts w:hint="eastAsia" w:ascii="黑体" w:hAnsi="黑体" w:eastAsia="黑体" w:cs="黑体"/>
              <w:sz w:val="24"/>
              <w:szCs w:val="24"/>
            </w:rPr>
            <w:fldChar w:fldCharType="separate"/>
          </w:r>
          <w:r>
            <w:rPr>
              <w:rFonts w:hint="eastAsia" w:ascii="黑体" w:hAnsi="黑体" w:eastAsia="黑体" w:cs="黑体"/>
              <w:kern w:val="0"/>
              <w:sz w:val="24"/>
              <w:szCs w:val="24"/>
              <w:lang w:val="en-US" w:eastAsia="zh-CN" w:bidi="ar-SA"/>
            </w:rPr>
            <w:t>第五章 采购需求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_Toc14299 \h </w:instrText>
          </w:r>
          <w:r>
            <w:rPr>
              <w:rFonts w:hint="eastAsia" w:ascii="黑体" w:hAnsi="黑体" w:eastAsia="黑体" w:cs="黑体"/>
              <w:sz w:val="24"/>
              <w:szCs w:val="24"/>
            </w:rPr>
            <w:fldChar w:fldCharType="separate"/>
          </w:r>
          <w:r>
            <w:rPr>
              <w:rFonts w:hint="eastAsia" w:ascii="黑体" w:hAnsi="黑体" w:eastAsia="黑体" w:cs="黑体"/>
              <w:sz w:val="24"/>
              <w:szCs w:val="24"/>
            </w:rPr>
            <w:t>46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_Toc11833 </w:instrText>
          </w:r>
          <w:r>
            <w:rPr>
              <w:rFonts w:hint="eastAsia" w:ascii="黑体" w:hAnsi="黑体" w:eastAsia="黑体" w:cs="黑体"/>
              <w:sz w:val="24"/>
              <w:szCs w:val="24"/>
            </w:rPr>
            <w:fldChar w:fldCharType="separate"/>
          </w:r>
          <w:r>
            <w:rPr>
              <w:rFonts w:hint="eastAsia" w:ascii="黑体" w:hAnsi="黑体" w:eastAsia="黑体" w:cs="黑体"/>
              <w:kern w:val="0"/>
              <w:sz w:val="24"/>
              <w:szCs w:val="24"/>
              <w:lang w:val="en-US" w:eastAsia="zh-CN" w:bidi="ar-SA"/>
            </w:rPr>
            <w:t>第六章 响应文件格式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_Toc11833 \h </w:instrText>
          </w:r>
          <w:r>
            <w:rPr>
              <w:rFonts w:hint="eastAsia" w:ascii="黑体" w:hAnsi="黑体" w:eastAsia="黑体" w:cs="黑体"/>
              <w:sz w:val="24"/>
              <w:szCs w:val="24"/>
            </w:rPr>
            <w:fldChar w:fldCharType="separate"/>
          </w:r>
          <w:r>
            <w:rPr>
              <w:rFonts w:hint="eastAsia" w:ascii="黑体" w:hAnsi="黑体" w:eastAsia="黑体" w:cs="黑体"/>
              <w:sz w:val="24"/>
              <w:szCs w:val="24"/>
            </w:rPr>
            <w:t>52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_Toc3054 </w:instrText>
          </w:r>
          <w:r>
            <w:rPr>
              <w:rFonts w:hint="eastAsia" w:ascii="黑体" w:hAnsi="黑体" w:eastAsia="黑体" w:cs="黑体"/>
              <w:sz w:val="24"/>
              <w:szCs w:val="24"/>
            </w:rPr>
            <w:fldChar w:fldCharType="separate"/>
          </w:r>
          <w:r>
            <w:rPr>
              <w:rFonts w:hint="eastAsia" w:ascii="黑体" w:hAnsi="黑体" w:eastAsia="黑体" w:cs="黑体"/>
              <w:sz w:val="24"/>
              <w:szCs w:val="24"/>
            </w:rPr>
            <w:t>一、响应函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_Toc3054 \h </w:instrText>
          </w:r>
          <w:r>
            <w:rPr>
              <w:rFonts w:hint="eastAsia" w:ascii="黑体" w:hAnsi="黑体" w:eastAsia="黑体" w:cs="黑体"/>
              <w:sz w:val="24"/>
              <w:szCs w:val="24"/>
            </w:rPr>
            <w:fldChar w:fldCharType="separate"/>
          </w:r>
          <w:r>
            <w:rPr>
              <w:rFonts w:hint="eastAsia" w:ascii="黑体" w:hAnsi="黑体" w:eastAsia="黑体" w:cs="黑体"/>
              <w:sz w:val="24"/>
              <w:szCs w:val="24"/>
            </w:rPr>
            <w:t>54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_Toc2549 </w:instrText>
          </w:r>
          <w:r>
            <w:rPr>
              <w:rFonts w:hint="eastAsia" w:ascii="黑体" w:hAnsi="黑体" w:eastAsia="黑体" w:cs="黑体"/>
              <w:sz w:val="24"/>
              <w:szCs w:val="24"/>
            </w:rPr>
            <w:fldChar w:fldCharType="separate"/>
          </w:r>
          <w:r>
            <w:rPr>
              <w:rFonts w:hint="eastAsia" w:ascii="黑体" w:hAnsi="黑体" w:eastAsia="黑体" w:cs="黑体"/>
              <w:sz w:val="24"/>
              <w:szCs w:val="24"/>
            </w:rPr>
            <w:t>二、授权委托书</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_Toc2549 \h </w:instrText>
          </w:r>
          <w:r>
            <w:rPr>
              <w:rFonts w:hint="eastAsia" w:ascii="黑体" w:hAnsi="黑体" w:eastAsia="黑体" w:cs="黑体"/>
              <w:sz w:val="24"/>
              <w:szCs w:val="24"/>
            </w:rPr>
            <w:fldChar w:fldCharType="separate"/>
          </w:r>
          <w:r>
            <w:rPr>
              <w:rFonts w:hint="eastAsia" w:ascii="黑体" w:hAnsi="黑体" w:eastAsia="黑体" w:cs="黑体"/>
              <w:sz w:val="24"/>
              <w:szCs w:val="24"/>
            </w:rPr>
            <w:t>57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_Toc21897 </w:instrText>
          </w:r>
          <w:r>
            <w:rPr>
              <w:rFonts w:hint="eastAsia" w:ascii="黑体" w:hAnsi="黑体" w:eastAsia="黑体" w:cs="黑体"/>
              <w:sz w:val="24"/>
              <w:szCs w:val="24"/>
            </w:rPr>
            <w:fldChar w:fldCharType="separate"/>
          </w:r>
          <w:r>
            <w:rPr>
              <w:rFonts w:hint="eastAsia" w:ascii="黑体" w:hAnsi="黑体" w:eastAsia="黑体" w:cs="黑体"/>
              <w:sz w:val="24"/>
              <w:szCs w:val="24"/>
            </w:rPr>
            <w:t>三、商务和技术偏差表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_Toc21897 \h </w:instrText>
          </w:r>
          <w:r>
            <w:rPr>
              <w:rFonts w:hint="eastAsia" w:ascii="黑体" w:hAnsi="黑体" w:eastAsia="黑体" w:cs="黑体"/>
              <w:sz w:val="24"/>
              <w:szCs w:val="24"/>
            </w:rPr>
            <w:fldChar w:fldCharType="separate"/>
          </w:r>
          <w:r>
            <w:rPr>
              <w:rFonts w:hint="eastAsia" w:ascii="黑体" w:hAnsi="黑体" w:eastAsia="黑体" w:cs="黑体"/>
              <w:sz w:val="24"/>
              <w:szCs w:val="24"/>
            </w:rPr>
            <w:t>58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_Toc5506 </w:instrText>
          </w:r>
          <w:r>
            <w:rPr>
              <w:rFonts w:hint="eastAsia" w:ascii="黑体" w:hAnsi="黑体" w:eastAsia="黑体" w:cs="黑体"/>
              <w:sz w:val="24"/>
              <w:szCs w:val="24"/>
            </w:rPr>
            <w:fldChar w:fldCharType="separate"/>
          </w:r>
          <w:r>
            <w:rPr>
              <w:rFonts w:hint="eastAsia" w:ascii="黑体" w:hAnsi="黑体" w:eastAsia="黑体" w:cs="黑体"/>
              <w:sz w:val="24"/>
              <w:szCs w:val="24"/>
            </w:rPr>
            <w:t>四、报价表</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_Toc5506 \h </w:instrText>
          </w:r>
          <w:r>
            <w:rPr>
              <w:rFonts w:hint="eastAsia" w:ascii="黑体" w:hAnsi="黑体" w:eastAsia="黑体" w:cs="黑体"/>
              <w:sz w:val="24"/>
              <w:szCs w:val="24"/>
            </w:rPr>
            <w:fldChar w:fldCharType="separate"/>
          </w:r>
          <w:r>
            <w:rPr>
              <w:rFonts w:hint="eastAsia" w:ascii="黑体" w:hAnsi="黑体" w:eastAsia="黑体" w:cs="黑体"/>
              <w:sz w:val="24"/>
              <w:szCs w:val="24"/>
            </w:rPr>
            <w:t>59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_Toc21097 </w:instrText>
          </w:r>
          <w:r>
            <w:rPr>
              <w:rFonts w:hint="eastAsia" w:ascii="黑体" w:hAnsi="黑体" w:eastAsia="黑体" w:cs="黑体"/>
              <w:sz w:val="24"/>
              <w:szCs w:val="24"/>
            </w:rPr>
            <w:fldChar w:fldCharType="separate"/>
          </w:r>
          <w:r>
            <w:rPr>
              <w:rFonts w:hint="eastAsia" w:ascii="黑体" w:hAnsi="黑体" w:eastAsia="黑体" w:cs="黑体"/>
              <w:sz w:val="24"/>
              <w:szCs w:val="24"/>
            </w:rPr>
            <w:t>五、资格审查资料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_Toc21097 \h </w:instrText>
          </w:r>
          <w:r>
            <w:rPr>
              <w:rFonts w:hint="eastAsia" w:ascii="黑体" w:hAnsi="黑体" w:eastAsia="黑体" w:cs="黑体"/>
              <w:sz w:val="24"/>
              <w:szCs w:val="24"/>
            </w:rPr>
            <w:fldChar w:fldCharType="separate"/>
          </w:r>
          <w:r>
            <w:rPr>
              <w:rFonts w:hint="eastAsia" w:ascii="黑体" w:hAnsi="黑体" w:eastAsia="黑体" w:cs="黑体"/>
              <w:sz w:val="24"/>
              <w:szCs w:val="24"/>
            </w:rPr>
            <w:t>61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_Toc18091 </w:instrText>
          </w:r>
          <w:r>
            <w:rPr>
              <w:rFonts w:hint="eastAsia" w:ascii="黑体" w:hAnsi="黑体" w:eastAsia="黑体" w:cs="黑体"/>
              <w:sz w:val="24"/>
              <w:szCs w:val="24"/>
            </w:rPr>
            <w:fldChar w:fldCharType="separate"/>
          </w:r>
          <w:r>
            <w:rPr>
              <w:rFonts w:hint="eastAsia" w:ascii="黑体" w:hAnsi="黑体" w:eastAsia="黑体" w:cs="黑体"/>
              <w:sz w:val="24"/>
              <w:szCs w:val="24"/>
            </w:rPr>
            <w:t>六、响应方案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_Toc18091 \h </w:instrText>
          </w:r>
          <w:r>
            <w:rPr>
              <w:rFonts w:hint="eastAsia" w:ascii="黑体" w:hAnsi="黑体" w:eastAsia="黑体" w:cs="黑体"/>
              <w:sz w:val="24"/>
              <w:szCs w:val="24"/>
            </w:rPr>
            <w:fldChar w:fldCharType="separate"/>
          </w:r>
          <w:r>
            <w:rPr>
              <w:rFonts w:hint="eastAsia" w:ascii="黑体" w:hAnsi="黑体" w:eastAsia="黑体" w:cs="黑体"/>
              <w:sz w:val="24"/>
              <w:szCs w:val="24"/>
            </w:rPr>
            <w:t>64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5"/>
            <w:tabs>
              <w:tab w:val="right" w:leader="dot" w:pos="9377"/>
            </w:tabs>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_Toc31689 </w:instrText>
          </w:r>
          <w:r>
            <w:rPr>
              <w:rFonts w:hint="eastAsia" w:ascii="黑体" w:hAnsi="黑体" w:eastAsia="黑体" w:cs="黑体"/>
              <w:sz w:val="24"/>
              <w:szCs w:val="24"/>
            </w:rPr>
            <w:fldChar w:fldCharType="separate"/>
          </w:r>
          <w:r>
            <w:rPr>
              <w:rFonts w:hint="eastAsia" w:ascii="黑体" w:hAnsi="黑体" w:eastAsia="黑体" w:cs="黑体"/>
              <w:sz w:val="24"/>
              <w:szCs w:val="24"/>
            </w:rPr>
            <w:t>七、其他资料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_Toc31689 \h </w:instrText>
          </w:r>
          <w:r>
            <w:rPr>
              <w:rFonts w:hint="eastAsia" w:ascii="黑体" w:hAnsi="黑体" w:eastAsia="黑体" w:cs="黑体"/>
              <w:sz w:val="24"/>
              <w:szCs w:val="24"/>
            </w:rPr>
            <w:fldChar w:fldCharType="separate"/>
          </w:r>
          <w:r>
            <w:rPr>
              <w:rFonts w:hint="eastAsia" w:ascii="黑体" w:hAnsi="黑体" w:eastAsia="黑体" w:cs="黑体"/>
              <w:sz w:val="24"/>
              <w:szCs w:val="24"/>
            </w:rPr>
            <w:t>65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r>
            <w:fldChar w:fldCharType="end"/>
          </w:r>
        </w:p>
      </w:sdtContent>
    </w:sdt>
    <w:p>
      <w:pPr>
        <w:pStyle w:val="25"/>
        <w:tabs>
          <w:tab w:val="right" w:leader="dot" w:pos="8300"/>
        </w:tabs>
        <w:rPr>
          <w:rFonts w:hint="eastAsia" w:ascii="黑体" w:hAnsi="黑体" w:eastAsia="黑体" w:cs="黑体"/>
          <w:sz w:val="30"/>
          <w:szCs w:val="30"/>
          <w:lang w:val="en-US" w:eastAsia="zh-CN"/>
        </w:rPr>
      </w:pPr>
      <w:r>
        <w:rPr>
          <w:rFonts w:hint="eastAsia" w:ascii="黑体" w:hAnsi="黑体" w:eastAsia="黑体" w:cs="黑体"/>
          <w:sz w:val="30"/>
          <w:szCs w:val="30"/>
          <w:lang w:val="zh-CN"/>
        </w:rPr>
        <w:fldChar w:fldCharType="begin"/>
      </w:r>
      <w:r>
        <w:rPr>
          <w:rFonts w:hint="eastAsia" w:ascii="黑体" w:hAnsi="黑体" w:eastAsia="黑体" w:cs="黑体"/>
          <w:sz w:val="30"/>
          <w:szCs w:val="30"/>
          <w:lang w:val="zh-CN"/>
        </w:rPr>
        <w:instrText xml:space="preserve">TOC \o "1-1" \h \u </w:instrText>
      </w:r>
      <w:r>
        <w:rPr>
          <w:rFonts w:hint="eastAsia" w:ascii="黑体" w:hAnsi="黑体" w:eastAsia="黑体" w:cs="黑体"/>
          <w:sz w:val="30"/>
          <w:szCs w:val="30"/>
          <w:lang w:val="zh-CN"/>
        </w:rPr>
        <w:fldChar w:fldCharType="separate"/>
      </w:r>
    </w:p>
    <w:p>
      <w:pPr>
        <w:pStyle w:val="12"/>
        <w:widowControl w:val="0"/>
        <w:tabs>
          <w:tab w:val="clear" w:pos="9242"/>
        </w:tabs>
        <w:adjustRightInd w:val="0"/>
        <w:snapToGrid w:val="0"/>
        <w:spacing w:before="60" w:after="60" w:line="312" w:lineRule="auto"/>
        <w:rPr>
          <w:rFonts w:ascii="Times New Roman"/>
          <w:sz w:val="30"/>
          <w:szCs w:val="30"/>
        </w:rPr>
      </w:pPr>
      <w:r>
        <w:rPr>
          <w:rFonts w:hint="eastAsia" w:ascii="黑体" w:hAnsi="黑体" w:eastAsia="黑体" w:cs="黑体"/>
          <w:sz w:val="30"/>
          <w:szCs w:val="30"/>
          <w:lang w:val="zh-CN"/>
        </w:rPr>
        <w:fldChar w:fldCharType="end"/>
      </w:r>
    </w:p>
    <w:p>
      <w:pPr>
        <w:widowControl w:val="0"/>
        <w:adjustRightInd w:val="0"/>
        <w:snapToGrid w:val="0"/>
        <w:spacing w:line="240" w:lineRule="auto"/>
        <w:ind w:firstLine="420" w:firstLineChars="200"/>
        <w:rPr>
          <w:szCs w:val="21"/>
        </w:rPr>
        <w:sectPr>
          <w:footerReference r:id="rId7" w:type="default"/>
          <w:pgSz w:w="11906" w:h="16838"/>
          <w:pgMar w:top="1157" w:right="1236" w:bottom="1157" w:left="1293" w:header="851" w:footer="992" w:gutter="0"/>
          <w:pgNumType w:start="1"/>
          <w:cols w:space="425" w:num="1"/>
          <w:docGrid w:type="lines" w:linePitch="312" w:charSpace="0"/>
        </w:sectPr>
      </w:pPr>
    </w:p>
    <w:p>
      <w:pPr>
        <w:pStyle w:val="2"/>
      </w:pPr>
    </w:p>
    <w:p>
      <w:pPr>
        <w:pStyle w:val="26"/>
        <w:numPr>
          <w:ilvl w:val="0"/>
          <w:numId w:val="1"/>
        </w:numPr>
        <w:spacing w:line="600" w:lineRule="exact"/>
        <w:ind w:firstLineChars="0"/>
        <w:jc w:val="center"/>
        <w:outlineLvl w:val="0"/>
        <w:rPr>
          <w:rFonts w:ascii="黑体" w:hAnsi="黑体" w:eastAsia="黑体" w:cs="仿宋"/>
          <w:b/>
          <w:color w:val="000000"/>
          <w:sz w:val="44"/>
          <w:szCs w:val="44"/>
        </w:rPr>
      </w:pPr>
      <w:bookmarkStart w:id="4" w:name="_Toc4706"/>
      <w:r>
        <w:rPr>
          <w:rFonts w:hint="eastAsia" w:ascii="黑体" w:hAnsi="黑体" w:eastAsia="黑体" w:cs="仿宋"/>
          <w:b/>
          <w:color w:val="000000"/>
          <w:sz w:val="44"/>
          <w:szCs w:val="44"/>
        </w:rPr>
        <w:t>采购公告</w:t>
      </w:r>
      <w:bookmarkEnd w:id="4"/>
    </w:p>
    <w:p>
      <w:pPr>
        <w:pStyle w:val="14"/>
        <w:spacing w:before="0" w:beforeAutospacing="0" w:after="0" w:afterAutospacing="0"/>
        <w:ind w:firstLine="2880" w:firstLineChars="1200"/>
        <w:jc w:val="both"/>
      </w:pPr>
      <w:r>
        <w:rPr>
          <w:rFonts w:hint="eastAsia"/>
        </w:rPr>
        <w:t xml:space="preserve"> </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岳阳城陵矶港务有限责任公司</w:t>
      </w:r>
    </w:p>
    <w:p>
      <w:pPr>
        <w:spacing w:line="360" w:lineRule="auto"/>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2023年</w:t>
      </w:r>
      <w:r>
        <w:rPr>
          <w:rFonts w:hint="eastAsia" w:asciiTheme="majorEastAsia" w:hAnsiTheme="majorEastAsia" w:eastAsiaTheme="majorEastAsia"/>
          <w:b/>
          <w:sz w:val="44"/>
          <w:szCs w:val="44"/>
        </w:rPr>
        <w:t>工务代维项目询价公告</w:t>
      </w:r>
    </w:p>
    <w:p>
      <w:pPr>
        <w:pStyle w:val="6"/>
        <w:jc w:val="both"/>
        <w:rPr>
          <w:rFonts w:hint="eastAsia" w:ascii="宋体" w:hAnsi="宋体" w:eastAsia="宋体" w:cs="宋体"/>
          <w:sz w:val="24"/>
          <w:szCs w:val="24"/>
        </w:rPr>
      </w:pPr>
      <w:r>
        <w:rPr>
          <w:rFonts w:hint="eastAsia"/>
        </w:rPr>
        <w:t>1</w:t>
      </w:r>
      <w:r>
        <w:rPr>
          <w:rFonts w:hint="eastAsia" w:ascii="宋体" w:hAnsi="宋体" w:eastAsia="宋体" w:cs="宋体"/>
          <w:sz w:val="24"/>
          <w:szCs w:val="24"/>
        </w:rPr>
        <w:t xml:space="preserve"> 采购项目简介 </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1.1</w:t>
      </w:r>
      <w:r>
        <w:rPr>
          <w:rFonts w:hint="eastAsia" w:ascii="宋体" w:hAnsi="宋体" w:eastAsia="宋体" w:cs="宋体"/>
          <w:sz w:val="24"/>
          <w:szCs w:val="24"/>
        </w:rPr>
        <w:t xml:space="preserve"> 采购项目名称:</w:t>
      </w:r>
      <w:r>
        <w:rPr>
          <w:rFonts w:hint="eastAsia" w:ascii="宋体" w:hAnsi="宋体" w:eastAsia="宋体" w:cs="宋体"/>
          <w:sz w:val="24"/>
          <w:szCs w:val="24"/>
          <w:lang w:val="en-US" w:eastAsia="zh-CN"/>
        </w:rPr>
        <w:t>城港</w:t>
      </w:r>
      <w:r>
        <w:rPr>
          <w:rFonts w:hint="eastAsia" w:ascii="宋体" w:hAnsi="宋体" w:eastAsia="宋体" w:cs="宋体"/>
          <w:sz w:val="24"/>
          <w:szCs w:val="24"/>
          <w:lang w:eastAsia="zh-CN"/>
        </w:rPr>
        <w:t>公司2</w:t>
      </w:r>
      <w:r>
        <w:rPr>
          <w:rFonts w:hint="eastAsia" w:ascii="宋体" w:hAnsi="宋体" w:eastAsia="宋体" w:cs="宋体"/>
          <w:sz w:val="24"/>
          <w:szCs w:val="24"/>
          <w:lang w:val="en-US" w:eastAsia="zh-CN"/>
        </w:rPr>
        <w:t>023年工务代维</w:t>
      </w:r>
      <w:r>
        <w:rPr>
          <w:rFonts w:hint="eastAsia" w:ascii="宋体" w:hAnsi="宋体" w:eastAsia="宋体" w:cs="宋体"/>
          <w:sz w:val="24"/>
          <w:szCs w:val="24"/>
        </w:rPr>
        <w:t>项目</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1.2</w:t>
      </w:r>
      <w:r>
        <w:rPr>
          <w:rFonts w:hint="eastAsia" w:ascii="宋体" w:hAnsi="宋体" w:eastAsia="宋体" w:cs="宋体"/>
          <w:sz w:val="24"/>
          <w:szCs w:val="24"/>
        </w:rPr>
        <w:t xml:space="preserve"> 采购人: </w:t>
      </w:r>
      <w:r>
        <w:rPr>
          <w:rFonts w:hint="eastAsia" w:ascii="宋体" w:hAnsi="宋体" w:eastAsia="宋体" w:cs="宋体"/>
          <w:sz w:val="24"/>
          <w:szCs w:val="24"/>
          <w:lang w:val="en-US" w:eastAsia="zh-CN"/>
        </w:rPr>
        <w:t>岳阳城陵矶港务</w:t>
      </w:r>
      <w:r>
        <w:rPr>
          <w:rFonts w:hint="eastAsia" w:ascii="宋体" w:hAnsi="宋体" w:eastAsia="宋体" w:cs="宋体"/>
          <w:sz w:val="24"/>
          <w:szCs w:val="24"/>
        </w:rPr>
        <w:t>有限</w:t>
      </w:r>
      <w:r>
        <w:rPr>
          <w:rFonts w:hint="eastAsia" w:ascii="宋体" w:hAnsi="宋体" w:eastAsia="宋体" w:cs="宋体"/>
          <w:sz w:val="24"/>
          <w:szCs w:val="24"/>
          <w:lang w:val="en-US" w:eastAsia="zh-CN"/>
        </w:rPr>
        <w:t>责任</w:t>
      </w:r>
      <w:r>
        <w:rPr>
          <w:rFonts w:hint="eastAsia" w:ascii="宋体" w:hAnsi="宋体" w:eastAsia="宋体" w:cs="宋体"/>
          <w:sz w:val="24"/>
          <w:szCs w:val="24"/>
        </w:rPr>
        <w:t>公司</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1.3</w:t>
      </w:r>
      <w:r>
        <w:rPr>
          <w:rFonts w:hint="eastAsia" w:ascii="宋体" w:hAnsi="宋体" w:eastAsia="宋体" w:cs="宋体"/>
          <w:sz w:val="24"/>
          <w:szCs w:val="24"/>
        </w:rPr>
        <w:t xml:space="preserve"> 采购代理机构:无</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 xml:space="preserve">1.4 </w:t>
      </w:r>
      <w:r>
        <w:rPr>
          <w:rFonts w:hint="eastAsia" w:ascii="宋体" w:hAnsi="宋体" w:eastAsia="宋体" w:cs="宋体"/>
          <w:sz w:val="24"/>
          <w:szCs w:val="24"/>
        </w:rPr>
        <w:t>采购项目资金落实情况:自筹资金，已落实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宋体" w:hAnsi="宋体" w:eastAsia="宋体" w:cs="宋体"/>
          <w:sz w:val="24"/>
          <w:szCs w:val="24"/>
        </w:rPr>
      </w:pPr>
      <w:r>
        <w:rPr>
          <w:rFonts w:hint="eastAsia" w:ascii="宋体" w:hAnsi="宋体" w:eastAsia="宋体" w:cs="宋体"/>
          <w:b/>
          <w:bCs/>
          <w:sz w:val="24"/>
          <w:szCs w:val="24"/>
        </w:rPr>
        <w:t xml:space="preserve">1.5 </w:t>
      </w:r>
      <w:r>
        <w:rPr>
          <w:rFonts w:hint="eastAsia" w:ascii="宋体" w:hAnsi="宋体" w:eastAsia="宋体" w:cs="宋体"/>
          <w:sz w:val="24"/>
          <w:szCs w:val="24"/>
        </w:rPr>
        <w:t>采购项目概况:</w:t>
      </w:r>
    </w:p>
    <w:p>
      <w:pPr>
        <w:autoSpaceDE w:val="0"/>
        <w:spacing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城港公司</w:t>
      </w:r>
      <w:r>
        <w:rPr>
          <w:rFonts w:hint="eastAsia" w:ascii="宋体" w:hAnsi="宋体" w:eastAsia="宋体" w:cs="宋体"/>
          <w:sz w:val="24"/>
          <w:szCs w:val="24"/>
          <w:lang w:eastAsia="zh-CN"/>
        </w:rPr>
        <w:t>2</w:t>
      </w:r>
      <w:r>
        <w:rPr>
          <w:rFonts w:hint="eastAsia" w:ascii="宋体" w:hAnsi="宋体" w:eastAsia="宋体" w:cs="宋体"/>
          <w:sz w:val="24"/>
          <w:szCs w:val="24"/>
          <w:lang w:val="en-US" w:eastAsia="zh-CN"/>
        </w:rPr>
        <w:t>023年工务代维</w:t>
      </w:r>
      <w:r>
        <w:rPr>
          <w:rFonts w:hint="eastAsia" w:ascii="宋体" w:hAnsi="宋体" w:eastAsia="宋体" w:cs="宋体"/>
          <w:sz w:val="24"/>
          <w:szCs w:val="24"/>
        </w:rPr>
        <w:t>项目</w:t>
      </w:r>
      <w:r>
        <w:rPr>
          <w:rFonts w:hint="eastAsia" w:ascii="宋体" w:hAnsi="宋体" w:eastAsia="宋体" w:cs="宋体"/>
          <w:sz w:val="24"/>
          <w:szCs w:val="24"/>
          <w:lang w:val="en-US" w:eastAsia="zh-CN"/>
        </w:rPr>
        <w:t>内容为</w:t>
      </w:r>
      <w:r>
        <w:rPr>
          <w:rFonts w:hint="eastAsia" w:ascii="宋体" w:hAnsi="宋体" w:eastAsia="宋体" w:cs="宋体"/>
          <w:sz w:val="24"/>
          <w:szCs w:val="24"/>
        </w:rPr>
        <w:t>岳阳市城陵矶工业站所辖线路及道岔：</w:t>
      </w:r>
      <w:r>
        <w:rPr>
          <w:rFonts w:hint="eastAsia" w:ascii="宋体" w:hAnsi="宋体" w:eastAsia="宋体" w:cs="宋体"/>
          <w:sz w:val="24"/>
          <w:szCs w:val="24"/>
          <w:lang w:val="en-US" w:eastAsia="zh-CN"/>
        </w:rPr>
        <w:t>其中</w:t>
      </w:r>
      <w:r>
        <w:rPr>
          <w:rFonts w:hint="eastAsia" w:ascii="宋体" w:hAnsi="宋体" w:eastAsia="宋体" w:cs="宋体"/>
          <w:sz w:val="24"/>
          <w:szCs w:val="24"/>
        </w:rPr>
        <w:t>线路</w:t>
      </w:r>
      <w:r>
        <w:rPr>
          <w:rFonts w:hint="eastAsia" w:ascii="宋体" w:hAnsi="宋体" w:eastAsia="宋体" w:cs="宋体"/>
          <w:sz w:val="24"/>
          <w:szCs w:val="24"/>
          <w:lang w:val="en-US" w:eastAsia="zh-CN"/>
        </w:rPr>
        <w:t>16.26</w:t>
      </w:r>
      <w:r>
        <w:rPr>
          <w:rFonts w:hint="eastAsia" w:ascii="宋体" w:hAnsi="宋体" w:eastAsia="宋体" w:cs="宋体"/>
          <w:sz w:val="24"/>
          <w:szCs w:val="24"/>
        </w:rPr>
        <w:t>公里、道岔</w:t>
      </w:r>
      <w:r>
        <w:rPr>
          <w:rFonts w:hint="eastAsia" w:ascii="宋体" w:hAnsi="宋体" w:eastAsia="宋体" w:cs="宋体"/>
          <w:sz w:val="24"/>
          <w:szCs w:val="24"/>
          <w:lang w:val="en-US" w:eastAsia="zh-CN"/>
        </w:rPr>
        <w:t>45</w:t>
      </w:r>
      <w:r>
        <w:rPr>
          <w:rFonts w:hint="eastAsia" w:ascii="宋体" w:hAnsi="宋体" w:eastAsia="宋体" w:cs="宋体"/>
          <w:sz w:val="24"/>
          <w:szCs w:val="24"/>
        </w:rPr>
        <w:t>组，</w:t>
      </w:r>
      <w:r>
        <w:rPr>
          <w:rFonts w:hint="eastAsia" w:ascii="宋体" w:hAnsi="宋体" w:eastAsia="宋体" w:cs="宋体"/>
          <w:sz w:val="24"/>
          <w:szCs w:val="24"/>
          <w:lang w:val="en-US" w:eastAsia="zh-CN"/>
        </w:rPr>
        <w:t>2023年全年</w:t>
      </w:r>
      <w:r>
        <w:rPr>
          <w:rFonts w:hint="eastAsia" w:ascii="宋体" w:hAnsi="宋体" w:eastAsia="宋体" w:cs="宋体"/>
          <w:b w:val="0"/>
          <w:bCs w:val="0"/>
          <w:kern w:val="2"/>
          <w:sz w:val="24"/>
          <w:szCs w:val="24"/>
          <w:u w:val="single"/>
        </w:rPr>
        <w:t xml:space="preserve">365 </w:t>
      </w:r>
      <w:r>
        <w:rPr>
          <w:rFonts w:hint="eastAsia" w:ascii="宋体" w:hAnsi="宋体" w:eastAsia="宋体" w:cs="宋体"/>
          <w:b w:val="0"/>
          <w:bCs w:val="0"/>
          <w:kern w:val="2"/>
          <w:sz w:val="24"/>
          <w:szCs w:val="24"/>
        </w:rPr>
        <w:t>日历天</w:t>
      </w:r>
      <w:r>
        <w:rPr>
          <w:rFonts w:hint="eastAsia" w:ascii="宋体" w:hAnsi="宋体" w:eastAsia="宋体" w:cs="宋体"/>
          <w:b w:val="0"/>
          <w:bCs w:val="0"/>
          <w:kern w:val="2"/>
          <w:sz w:val="24"/>
          <w:szCs w:val="24"/>
          <w:lang w:val="en-US" w:eastAsia="zh-CN"/>
        </w:rPr>
        <w:t>的</w:t>
      </w:r>
      <w:r>
        <w:rPr>
          <w:rFonts w:hint="eastAsia" w:ascii="宋体" w:hAnsi="宋体" w:eastAsia="宋体" w:cs="宋体"/>
          <w:sz w:val="24"/>
          <w:szCs w:val="24"/>
          <w:lang w:val="en-US" w:eastAsia="zh-CN"/>
        </w:rPr>
        <w:t>日常线路、道岔保养工作，及线路、道岔等安全隐患的及时整治</w:t>
      </w:r>
      <w:r>
        <w:rPr>
          <w:rFonts w:hint="eastAsia" w:ascii="宋体" w:hAnsi="宋体" w:eastAsia="宋体" w:cs="宋体"/>
          <w:sz w:val="24"/>
          <w:szCs w:val="24"/>
        </w:rPr>
        <w:t xml:space="preserve">。 </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2 </w:t>
      </w:r>
      <w:r>
        <w:rPr>
          <w:rFonts w:hint="eastAsia" w:ascii="宋体" w:hAnsi="宋体" w:eastAsia="宋体" w:cs="宋体"/>
          <w:sz w:val="24"/>
          <w:szCs w:val="24"/>
          <w:lang w:val="en-US" w:eastAsia="zh-CN"/>
        </w:rPr>
        <w:t>采购范围及相关要求</w:t>
      </w:r>
      <w:r>
        <w:rPr>
          <w:rFonts w:hint="eastAsia" w:ascii="宋体" w:hAnsi="宋体" w:eastAsia="宋体" w:cs="宋体"/>
          <w:sz w:val="24"/>
          <w:szCs w:val="24"/>
        </w:rPr>
        <w:t xml:space="preserve"> </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2.1</w:t>
      </w:r>
      <w:r>
        <w:rPr>
          <w:rFonts w:hint="eastAsia" w:ascii="宋体" w:hAnsi="宋体" w:eastAsia="宋体" w:cs="宋体"/>
          <w:sz w:val="24"/>
          <w:szCs w:val="24"/>
        </w:rPr>
        <w:t xml:space="preserve"> 采购范围: </w:t>
      </w:r>
    </w:p>
    <w:p>
      <w:pPr>
        <w:autoSpaceDE w:val="0"/>
        <w:spacing w:line="4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依据采购方提供的线路、道岔等设备数量及有关要求，按照现行《铁路技术管理规程》和《铁路线路维修规则》有关技术标准、操作规程、质量要求组织线路维修工作，维修质量必须满足现行铁路技术标准及验收规范要求，达到合格标准。经常保持线路及建筑物的技术状态良好，保证行车安全，并负责向甲方提供有关专用线技术状态的情况。 详见第五章采购需求。</w:t>
      </w:r>
    </w:p>
    <w:p>
      <w:pPr>
        <w:autoSpaceDE w:val="0"/>
        <w:spacing w:line="400" w:lineRule="exact"/>
        <w:jc w:val="both"/>
        <w:rPr>
          <w:rFonts w:hint="eastAsia" w:ascii="宋体" w:hAnsi="宋体" w:eastAsia="宋体" w:cs="宋体"/>
          <w:b w:val="0"/>
          <w:bCs w:val="0"/>
          <w:kern w:val="2"/>
          <w:sz w:val="24"/>
          <w:szCs w:val="24"/>
        </w:rPr>
      </w:pPr>
      <w:r>
        <w:rPr>
          <w:rFonts w:hint="eastAsia" w:ascii="宋体" w:hAnsi="宋体" w:eastAsia="宋体" w:cs="宋体"/>
          <w:b/>
          <w:bCs/>
          <w:sz w:val="24"/>
          <w:szCs w:val="24"/>
        </w:rPr>
        <w:t>2.2</w:t>
      </w:r>
      <w:r>
        <w:rPr>
          <w:rFonts w:hint="eastAsia" w:ascii="宋体" w:hAnsi="宋体" w:eastAsia="宋体" w:cs="宋体"/>
          <w:sz w:val="24"/>
          <w:szCs w:val="24"/>
        </w:rPr>
        <w:t xml:space="preserve"> 计划工期:</w:t>
      </w:r>
      <w:r>
        <w:rPr>
          <w:rFonts w:hint="eastAsia" w:ascii="宋体" w:hAnsi="宋体" w:eastAsia="宋体" w:cs="宋体"/>
          <w:sz w:val="24"/>
          <w:szCs w:val="24"/>
          <w:lang w:val="en-US" w:eastAsia="zh-CN"/>
        </w:rPr>
        <w:t>2023年全年</w:t>
      </w:r>
      <w:r>
        <w:rPr>
          <w:rFonts w:hint="eastAsia" w:ascii="宋体" w:hAnsi="宋体" w:eastAsia="宋体" w:cs="宋体"/>
          <w:b w:val="0"/>
          <w:bCs w:val="0"/>
          <w:kern w:val="2"/>
          <w:sz w:val="24"/>
          <w:szCs w:val="24"/>
          <w:u w:val="single"/>
        </w:rPr>
        <w:t xml:space="preserve">365 </w:t>
      </w:r>
      <w:r>
        <w:rPr>
          <w:rFonts w:hint="eastAsia" w:ascii="宋体" w:hAnsi="宋体" w:eastAsia="宋体" w:cs="宋体"/>
          <w:b w:val="0"/>
          <w:bCs w:val="0"/>
          <w:kern w:val="2"/>
          <w:sz w:val="24"/>
          <w:szCs w:val="24"/>
        </w:rPr>
        <w:t>日</w:t>
      </w:r>
    </w:p>
    <w:p>
      <w:pPr>
        <w:autoSpaceDE w:val="0"/>
        <w:spacing w:line="400" w:lineRule="exact"/>
        <w:jc w:val="both"/>
        <w:rPr>
          <w:rFonts w:hint="eastAsia" w:ascii="宋体" w:hAnsi="宋体" w:eastAsia="宋体" w:cs="宋体"/>
          <w:sz w:val="24"/>
          <w:szCs w:val="24"/>
          <w:lang w:val="en-US" w:eastAsia="zh-CN"/>
        </w:rPr>
      </w:pPr>
      <w:r>
        <w:rPr>
          <w:rFonts w:hint="eastAsia" w:ascii="宋体" w:hAnsi="宋体" w:eastAsia="宋体" w:cs="宋体"/>
          <w:b/>
          <w:bCs/>
          <w:sz w:val="24"/>
          <w:szCs w:val="24"/>
        </w:rPr>
        <w:t>2.3</w:t>
      </w:r>
      <w:r>
        <w:rPr>
          <w:rFonts w:hint="eastAsia" w:ascii="宋体" w:hAnsi="宋体" w:eastAsia="宋体" w:cs="宋体"/>
          <w:sz w:val="24"/>
          <w:szCs w:val="24"/>
        </w:rPr>
        <w:t xml:space="preserve"> 地点: </w:t>
      </w:r>
      <w:r>
        <w:rPr>
          <w:rFonts w:hint="eastAsia" w:ascii="宋体" w:hAnsi="宋体" w:eastAsia="宋体" w:cs="宋体"/>
          <w:sz w:val="24"/>
          <w:szCs w:val="24"/>
          <w:lang w:val="en-US" w:eastAsia="zh-CN"/>
        </w:rPr>
        <w:t>城陵矶工业站所辖线路、道岔。</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 xml:space="preserve">2.4 </w:t>
      </w:r>
      <w:r>
        <w:rPr>
          <w:rFonts w:hint="eastAsia" w:ascii="宋体" w:hAnsi="宋体" w:eastAsia="宋体" w:cs="宋体"/>
          <w:sz w:val="24"/>
          <w:szCs w:val="24"/>
          <w:lang w:val="en-US" w:eastAsia="zh-CN"/>
        </w:rPr>
        <w:t>技术与</w:t>
      </w:r>
      <w:r>
        <w:rPr>
          <w:rFonts w:hint="eastAsia" w:ascii="宋体" w:hAnsi="宋体" w:eastAsia="宋体" w:cs="宋体"/>
          <w:sz w:val="24"/>
          <w:szCs w:val="24"/>
        </w:rPr>
        <w:t>质量要求:</w:t>
      </w:r>
    </w:p>
    <w:p>
      <w:pPr>
        <w:autoSpaceDE w:val="0"/>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2.4.1技术要求：</w:t>
      </w:r>
    </w:p>
    <w:p>
      <w:pPr>
        <w:spacing w:line="520" w:lineRule="exact"/>
        <w:jc w:val="left"/>
        <w:rPr>
          <w:rFonts w:hint="eastAsia" w:ascii="宋体" w:hAnsi="宋体" w:eastAsia="宋体" w:cs="宋体"/>
          <w:sz w:val="24"/>
          <w:szCs w:val="24"/>
          <w:lang w:val="zh-CN"/>
        </w:rPr>
      </w:pPr>
      <w:r>
        <w:rPr>
          <w:rFonts w:hint="eastAsia" w:ascii="宋体" w:hAnsi="宋体" w:eastAsia="宋体" w:cs="宋体"/>
          <w:b/>
          <w:bCs/>
          <w:sz w:val="24"/>
          <w:szCs w:val="24"/>
          <w:lang w:val="en-US" w:eastAsia="zh-CN"/>
        </w:rPr>
        <w:t>2.4.1.1</w:t>
      </w:r>
      <w:r>
        <w:rPr>
          <w:rFonts w:hint="eastAsia" w:ascii="宋体" w:hAnsi="宋体" w:eastAsia="宋体" w:cs="宋体"/>
          <w:sz w:val="24"/>
          <w:szCs w:val="24"/>
          <w:lang w:val="zh-CN"/>
        </w:rPr>
        <w:t>线路等级为 Ⅳ 级</w:t>
      </w:r>
    </w:p>
    <w:p>
      <w:pPr>
        <w:spacing w:line="520" w:lineRule="exact"/>
        <w:jc w:val="left"/>
        <w:rPr>
          <w:rFonts w:hint="eastAsia" w:ascii="宋体" w:hAnsi="宋体" w:eastAsia="宋体" w:cs="宋体"/>
          <w:sz w:val="24"/>
          <w:szCs w:val="24"/>
          <w:lang w:val="zh-CN"/>
        </w:rPr>
      </w:pPr>
      <w:r>
        <w:rPr>
          <w:rFonts w:hint="eastAsia" w:ascii="宋体" w:hAnsi="宋体" w:eastAsia="宋体" w:cs="宋体"/>
          <w:b/>
          <w:bCs/>
          <w:sz w:val="24"/>
          <w:szCs w:val="24"/>
          <w:lang w:val="en-US" w:eastAsia="zh-CN"/>
        </w:rPr>
        <w:t>2.4.1.2</w:t>
      </w:r>
      <w:r>
        <w:rPr>
          <w:rFonts w:hint="eastAsia" w:ascii="宋体" w:hAnsi="宋体" w:eastAsia="宋体" w:cs="宋体"/>
          <w:sz w:val="24"/>
          <w:szCs w:val="24"/>
          <w:lang w:val="zh-CN"/>
        </w:rPr>
        <w:t>线路平纵面：范围内线路最小曲线半径为300m，线路坡度为平坡。</w:t>
      </w:r>
    </w:p>
    <w:p>
      <w:pPr>
        <w:spacing w:line="520" w:lineRule="exact"/>
        <w:jc w:val="left"/>
        <w:rPr>
          <w:rFonts w:hint="eastAsia" w:ascii="宋体" w:hAnsi="宋体" w:eastAsia="宋体" w:cs="宋体"/>
          <w:sz w:val="24"/>
          <w:szCs w:val="24"/>
        </w:rPr>
      </w:pPr>
      <w:r>
        <w:rPr>
          <w:rFonts w:hint="eastAsia" w:ascii="宋体" w:hAnsi="宋体" w:eastAsia="宋体" w:cs="宋体"/>
          <w:b/>
          <w:bCs/>
          <w:sz w:val="24"/>
          <w:szCs w:val="24"/>
          <w:lang w:val="en-US" w:eastAsia="zh-CN"/>
        </w:rPr>
        <w:t>2.4.1.3</w:t>
      </w:r>
      <w:r>
        <w:rPr>
          <w:rFonts w:hint="eastAsia" w:ascii="宋体" w:hAnsi="宋体" w:eastAsia="宋体" w:cs="宋体"/>
          <w:sz w:val="24"/>
          <w:szCs w:val="24"/>
          <w:lang w:val="zh-CN"/>
        </w:rPr>
        <w:t>道床：采用35cm厚双层道床，面碴厚20cm，底碴厚15cm，直线及曲线地段道床顶宽均为3.0m，边坡率为1:1.5。</w:t>
      </w:r>
    </w:p>
    <w:p>
      <w:pPr>
        <w:spacing w:line="520" w:lineRule="exact"/>
        <w:jc w:val="left"/>
        <w:rPr>
          <w:rFonts w:hint="eastAsia" w:ascii="宋体" w:hAnsi="宋体" w:eastAsia="宋体" w:cs="宋体"/>
          <w:sz w:val="24"/>
          <w:szCs w:val="24"/>
          <w:lang w:val="zh-CN"/>
        </w:rPr>
      </w:pPr>
      <w:r>
        <w:rPr>
          <w:rFonts w:hint="eastAsia" w:ascii="宋体" w:hAnsi="宋体" w:eastAsia="宋体" w:cs="宋体"/>
          <w:b/>
          <w:bCs/>
          <w:sz w:val="24"/>
          <w:szCs w:val="24"/>
          <w:lang w:val="en-US" w:eastAsia="zh-CN"/>
        </w:rPr>
        <w:t>2.4.1.4</w:t>
      </w:r>
      <w:r>
        <w:rPr>
          <w:rFonts w:hint="eastAsia" w:ascii="宋体" w:hAnsi="宋体" w:eastAsia="宋体" w:cs="宋体"/>
          <w:sz w:val="24"/>
          <w:szCs w:val="24"/>
          <w:lang w:val="zh-CN"/>
        </w:rPr>
        <w:t>路基 利用既有路基，宽度不变。</w:t>
      </w:r>
    </w:p>
    <w:p>
      <w:pPr>
        <w:pStyle w:val="2"/>
        <w:numPr>
          <w:ilvl w:val="0"/>
          <w:numId w:val="0"/>
        </w:numPr>
        <w:rPr>
          <w:rFonts w:hint="eastAsia" w:ascii="宋体" w:hAnsi="宋体" w:eastAsia="宋体" w:cs="宋体"/>
          <w:sz w:val="24"/>
          <w:szCs w:val="24"/>
          <w:lang w:val="zh-CN"/>
        </w:rPr>
      </w:pPr>
      <w:r>
        <w:rPr>
          <w:rFonts w:hint="eastAsia" w:ascii="宋体" w:hAnsi="宋体" w:eastAsia="宋体" w:cs="宋体"/>
          <w:b/>
          <w:bCs/>
          <w:sz w:val="24"/>
          <w:szCs w:val="24"/>
          <w:lang w:val="en-US" w:eastAsia="zh-CN"/>
        </w:rPr>
        <w:t>2.4.1.5</w:t>
      </w:r>
      <w:r>
        <w:rPr>
          <w:rFonts w:hint="eastAsia" w:ascii="宋体" w:hAnsi="宋体" w:eastAsia="宋体" w:cs="宋体"/>
          <w:sz w:val="24"/>
          <w:szCs w:val="24"/>
          <w:lang w:val="zh-CN"/>
        </w:rPr>
        <w:t>道岔：P509号单开道岔，其中</w:t>
      </w:r>
      <w:r>
        <w:rPr>
          <w:rFonts w:hint="eastAsia" w:ascii="宋体" w:hAnsi="宋体" w:eastAsia="宋体" w:cs="宋体"/>
          <w:sz w:val="24"/>
          <w:szCs w:val="24"/>
          <w:lang w:val="en-US" w:eastAsia="zh-CN"/>
        </w:rPr>
        <w:t>17</w:t>
      </w:r>
      <w:r>
        <w:rPr>
          <w:rFonts w:hint="eastAsia" w:ascii="宋体" w:hAnsi="宋体" w:eastAsia="宋体" w:cs="宋体"/>
          <w:sz w:val="24"/>
          <w:szCs w:val="24"/>
          <w:lang w:val="zh-CN"/>
        </w:rPr>
        <w:t>组为混凝土单开道岔</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lang w:val="en-US" w:eastAsia="zh-CN"/>
        </w:rPr>
        <w:t>2.4.1.6</w:t>
      </w:r>
      <w:r>
        <w:rPr>
          <w:rFonts w:hint="eastAsia" w:ascii="宋体" w:hAnsi="宋体" w:eastAsia="宋体" w:cs="宋体"/>
          <w:color w:val="000000"/>
          <w:sz w:val="24"/>
          <w:szCs w:val="24"/>
          <w:lang w:val="en-US" w:eastAsia="zh-CN"/>
        </w:rPr>
        <w:t>施工</w:t>
      </w:r>
      <w:r>
        <w:rPr>
          <w:rFonts w:hint="eastAsia" w:ascii="宋体" w:hAnsi="宋体" w:eastAsia="宋体" w:cs="宋体"/>
          <w:sz w:val="24"/>
          <w:szCs w:val="24"/>
        </w:rPr>
        <w:t>现场</w:t>
      </w:r>
      <w:r>
        <w:rPr>
          <w:rFonts w:hint="eastAsia" w:ascii="宋体" w:hAnsi="宋体" w:eastAsia="宋体" w:cs="宋体"/>
          <w:sz w:val="24"/>
          <w:szCs w:val="24"/>
          <w:lang w:val="en-US" w:eastAsia="zh-CN"/>
        </w:rPr>
        <w:t>做好</w:t>
      </w:r>
      <w:r>
        <w:rPr>
          <w:rFonts w:hint="eastAsia" w:ascii="宋体" w:hAnsi="宋体" w:eastAsia="宋体" w:cs="宋体"/>
          <w:sz w:val="24"/>
          <w:szCs w:val="24"/>
        </w:rPr>
        <w:t>安全文明施工与安全防护工作，</w:t>
      </w:r>
      <w:r>
        <w:rPr>
          <w:rFonts w:hint="eastAsia" w:ascii="宋体" w:hAnsi="宋体" w:eastAsia="宋体" w:cs="宋体"/>
          <w:sz w:val="24"/>
          <w:szCs w:val="24"/>
          <w:lang w:val="en-US" w:eastAsia="zh-CN"/>
        </w:rPr>
        <w:t>施工人员必须</w:t>
      </w:r>
      <w:r>
        <w:rPr>
          <w:rFonts w:hint="eastAsia" w:ascii="宋体" w:hAnsi="宋体" w:eastAsia="宋体" w:cs="宋体"/>
          <w:sz w:val="24"/>
          <w:szCs w:val="24"/>
        </w:rPr>
        <w:t>正确佩带好个人的劳保用品</w:t>
      </w:r>
      <w:r>
        <w:rPr>
          <w:rFonts w:hint="eastAsia" w:ascii="宋体" w:hAnsi="宋体" w:eastAsia="宋体" w:cs="宋体"/>
          <w:sz w:val="24"/>
          <w:szCs w:val="24"/>
          <w:lang w:val="en-US" w:eastAsia="zh-CN"/>
        </w:rPr>
        <w:t>。</w:t>
      </w:r>
    </w:p>
    <w:p>
      <w:pPr>
        <w:pStyle w:val="23"/>
        <w:rPr>
          <w:rFonts w:hint="eastAsia" w:ascii="宋体" w:hAnsi="宋体" w:eastAsia="宋体" w:cs="宋体"/>
          <w:sz w:val="24"/>
          <w:szCs w:val="24"/>
          <w:lang w:val="en-US" w:eastAsia="zh-CN"/>
        </w:rPr>
      </w:pP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 xml:space="preserve">2.5 </w:t>
      </w:r>
      <w:r>
        <w:rPr>
          <w:rFonts w:hint="eastAsia" w:ascii="宋体" w:hAnsi="宋体" w:eastAsia="宋体" w:cs="宋体"/>
          <w:sz w:val="24"/>
          <w:szCs w:val="24"/>
        </w:rPr>
        <w:t>安全目标: 无安全事故。</w:t>
      </w:r>
    </w:p>
    <w:p>
      <w:pPr>
        <w:pStyle w:val="6"/>
        <w:jc w:val="both"/>
        <w:rPr>
          <w:rFonts w:hint="eastAsia" w:ascii="宋体" w:hAnsi="宋体" w:eastAsia="宋体" w:cs="宋体"/>
          <w:sz w:val="24"/>
          <w:szCs w:val="24"/>
        </w:rPr>
      </w:pPr>
      <w:r>
        <w:rPr>
          <w:rFonts w:hint="eastAsia" w:ascii="宋体" w:hAnsi="宋体" w:eastAsia="宋体" w:cs="宋体"/>
          <w:sz w:val="24"/>
          <w:szCs w:val="24"/>
        </w:rPr>
        <w:t>3 供应商资格要求</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3.1</w:t>
      </w:r>
      <w:r>
        <w:rPr>
          <w:rFonts w:hint="eastAsia" w:ascii="宋体" w:hAnsi="宋体" w:eastAsia="宋体" w:cs="宋体"/>
          <w:sz w:val="24"/>
          <w:szCs w:val="24"/>
        </w:rPr>
        <w:t>供应商不得存在下列情形之一:</w:t>
      </w:r>
    </w:p>
    <w:p>
      <w:pPr>
        <w:autoSpaceDE w:val="0"/>
        <w:spacing w:line="40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（1）处于被责令停产停业、暂扣或者吊销执照、暂扣或者吊销许可证、吊销资质证书状态;</w:t>
      </w:r>
    </w:p>
    <w:p>
      <w:pPr>
        <w:autoSpaceDE w:val="0"/>
        <w:spacing w:line="40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（2）进入清算程序，或被宣告破产，或其他丧失履约能力的情形;</w:t>
      </w:r>
    </w:p>
    <w:p>
      <w:pPr>
        <w:autoSpaceDE w:val="0"/>
        <w:spacing w:line="400"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（3）被采购人或采购人上级单位纳入黑名单</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3.2</w:t>
      </w:r>
      <w:r>
        <w:rPr>
          <w:rFonts w:hint="eastAsia" w:ascii="宋体" w:hAnsi="宋体" w:eastAsia="宋体" w:cs="宋体"/>
          <w:sz w:val="24"/>
          <w:szCs w:val="24"/>
        </w:rPr>
        <w:t>供应商应满足如下要求:</w:t>
      </w:r>
    </w:p>
    <w:tbl>
      <w:tblPr>
        <w:tblStyle w:val="18"/>
        <w:tblpPr w:leftFromText="180" w:rightFromText="180" w:vertAnchor="text" w:horzAnchor="margin" w:tblpXSpec="left" w:tblpY="216"/>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64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447" w:type="dxa"/>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资格条件</w:t>
            </w:r>
          </w:p>
        </w:tc>
        <w:tc>
          <w:tcPr>
            <w:tcW w:w="1643" w:type="dxa"/>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对供应商要求</w:t>
            </w:r>
          </w:p>
        </w:tc>
        <w:tc>
          <w:tcPr>
            <w:tcW w:w="5008" w:type="dxa"/>
          </w:tcPr>
          <w:p>
            <w:pPr>
              <w:widowControl w:val="0"/>
              <w:spacing w:line="320" w:lineRule="exact"/>
              <w:jc w:val="center"/>
              <w:rPr>
                <w:rFonts w:hint="eastAsia" w:ascii="宋体" w:hAnsi="宋体" w:eastAsia="宋体" w:cs="宋体"/>
                <w:sz w:val="24"/>
                <w:szCs w:val="24"/>
              </w:rPr>
            </w:pPr>
            <w:r>
              <w:rPr>
                <w:rFonts w:hint="eastAsia" w:ascii="宋体" w:hAnsi="宋体" w:eastAsia="宋体" w:cs="宋体"/>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（1）依法设立</w:t>
            </w:r>
          </w:p>
        </w:tc>
        <w:tc>
          <w:tcPr>
            <w:tcW w:w="1643"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w:t>
            </w:r>
          </w:p>
        </w:tc>
        <w:tc>
          <w:tcPr>
            <w:tcW w:w="5008"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适用,见采购文件供应商须知前附表3.5（1）。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（2）资质要求</w:t>
            </w:r>
          </w:p>
        </w:tc>
        <w:tc>
          <w:tcPr>
            <w:tcW w:w="1643"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w:t>
            </w:r>
          </w:p>
        </w:tc>
        <w:tc>
          <w:tcPr>
            <w:tcW w:w="5008"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适用,见采购文件供应商须知前附表3.5（2）。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color w:val="FF0000"/>
                <w:sz w:val="24"/>
                <w:szCs w:val="24"/>
              </w:rPr>
            </w:pPr>
            <w:r>
              <w:rPr>
                <w:rFonts w:hint="eastAsia" w:ascii="宋体" w:hAnsi="宋体" w:eastAsia="宋体" w:cs="宋体"/>
                <w:sz w:val="24"/>
                <w:szCs w:val="24"/>
              </w:rPr>
              <w:t>（3）财务要求</w:t>
            </w:r>
          </w:p>
        </w:tc>
        <w:tc>
          <w:tcPr>
            <w:tcW w:w="1643" w:type="dxa"/>
          </w:tcPr>
          <w:p>
            <w:pPr>
              <w:widowControl w:val="0"/>
              <w:spacing w:line="320" w:lineRule="exact"/>
              <w:jc w:val="both"/>
              <w:rPr>
                <w:rStyle w:val="20"/>
                <w:rFonts w:hint="eastAsia" w:ascii="宋体" w:hAnsi="宋体" w:eastAsia="宋体" w:cs="宋体"/>
                <w:sz w:val="24"/>
                <w:szCs w:val="24"/>
                <w:u w:val="single"/>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 xml:space="preserve">不适用  </w:t>
            </w:r>
          </w:p>
          <w:p>
            <w:pPr>
              <w:widowControl w:val="0"/>
              <w:spacing w:line="320" w:lineRule="exact"/>
              <w:jc w:val="both"/>
              <w:rPr>
                <w:rFonts w:hint="eastAsia" w:ascii="宋体" w:hAnsi="宋体" w:eastAsia="宋体" w:cs="宋体"/>
                <w:color w:val="FF0000"/>
                <w:sz w:val="24"/>
                <w:szCs w:val="24"/>
              </w:rPr>
            </w:pPr>
          </w:p>
        </w:tc>
        <w:tc>
          <w:tcPr>
            <w:tcW w:w="5008" w:type="dxa"/>
          </w:tcPr>
          <w:p>
            <w:pPr>
              <w:widowControl w:val="0"/>
              <w:spacing w:line="320" w:lineRule="exact"/>
              <w:jc w:val="both"/>
              <w:rPr>
                <w:rStyle w:val="20"/>
                <w:rFonts w:hint="eastAsia" w:ascii="宋体" w:hAnsi="宋体" w:eastAsia="宋体" w:cs="宋体"/>
                <w:sz w:val="24"/>
                <w:szCs w:val="24"/>
                <w:u w:val="single"/>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 xml:space="preserve">不适用  </w:t>
            </w:r>
          </w:p>
          <w:p>
            <w:pPr>
              <w:widowControl w:val="0"/>
              <w:spacing w:line="320" w:lineRule="exact"/>
              <w:jc w:val="both"/>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（4）业绩要求</w:t>
            </w:r>
          </w:p>
        </w:tc>
        <w:tc>
          <w:tcPr>
            <w:tcW w:w="1643"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w:t>
            </w:r>
          </w:p>
        </w:tc>
        <w:tc>
          <w:tcPr>
            <w:tcW w:w="5008"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适用,见采购文件供应商须知前附表3.5（4）。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47" w:type="dxa"/>
          </w:tcPr>
          <w:p>
            <w:pPr>
              <w:widowControl w:val="0"/>
              <w:spacing w:line="320" w:lineRule="exact"/>
              <w:jc w:val="both"/>
              <w:rPr>
                <w:rFonts w:hint="eastAsia" w:ascii="宋体" w:hAnsi="宋体" w:eastAsia="宋体" w:cs="宋体"/>
                <w:sz w:val="24"/>
                <w:szCs w:val="24"/>
              </w:rPr>
            </w:pPr>
            <w:r>
              <w:rPr>
                <w:rFonts w:hint="eastAsia" w:ascii="宋体" w:hAnsi="宋体" w:eastAsia="宋体" w:cs="宋体"/>
                <w:sz w:val="24"/>
                <w:szCs w:val="24"/>
              </w:rPr>
              <w:t>（5）信誉要求</w:t>
            </w:r>
          </w:p>
        </w:tc>
        <w:tc>
          <w:tcPr>
            <w:tcW w:w="1643" w:type="dxa"/>
          </w:tcPr>
          <w:p>
            <w:pPr>
              <w:widowControl w:val="0"/>
              <w:spacing w:line="320" w:lineRule="exact"/>
              <w:jc w:val="both"/>
              <w:rPr>
                <w:rStyle w:val="20"/>
                <w:rFonts w:hint="eastAsia" w:ascii="宋体" w:hAnsi="宋体" w:eastAsia="宋体" w:cs="宋体"/>
                <w:sz w:val="24"/>
                <w:szCs w:val="24"/>
                <w:u w:val="single"/>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 xml:space="preserve">适用  </w:t>
            </w:r>
          </w:p>
          <w:p>
            <w:pPr>
              <w:widowControl w:val="0"/>
              <w:spacing w:line="320" w:lineRule="exact"/>
              <w:jc w:val="both"/>
              <w:rPr>
                <w:rFonts w:hint="eastAsia" w:ascii="宋体" w:hAnsi="宋体" w:eastAsia="宋体" w:cs="宋体"/>
                <w:sz w:val="24"/>
                <w:szCs w:val="24"/>
              </w:rPr>
            </w:pPr>
          </w:p>
        </w:tc>
        <w:tc>
          <w:tcPr>
            <w:tcW w:w="5008"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w:t>
            </w:r>
            <w:r>
              <w:rPr>
                <w:rStyle w:val="20"/>
                <w:rFonts w:hint="eastAsia" w:ascii="宋体" w:hAnsi="宋体" w:eastAsia="宋体" w:cs="宋体"/>
                <w:sz w:val="24"/>
                <w:szCs w:val="24"/>
                <w:u w:val="single"/>
                <w:lang w:eastAsia="zh-CN"/>
              </w:rPr>
              <w:t>，</w:t>
            </w:r>
            <w:r>
              <w:rPr>
                <w:rStyle w:val="20"/>
                <w:rFonts w:hint="eastAsia" w:ascii="宋体" w:hAnsi="宋体" w:eastAsia="宋体" w:cs="宋体"/>
                <w:sz w:val="24"/>
                <w:szCs w:val="24"/>
                <w:u w:val="single"/>
              </w:rPr>
              <w:t>见采购文件供应商须知前附表3.5（</w:t>
            </w:r>
            <w:r>
              <w:rPr>
                <w:rStyle w:val="20"/>
                <w:rFonts w:hint="eastAsia" w:ascii="宋体" w:hAnsi="宋体" w:eastAsia="宋体" w:cs="宋体"/>
                <w:sz w:val="24"/>
                <w:szCs w:val="24"/>
                <w:u w:val="single"/>
                <w:lang w:val="en-US" w:eastAsia="zh-CN"/>
              </w:rPr>
              <w:t>5</w:t>
            </w:r>
            <w:r>
              <w:rPr>
                <w:rStyle w:val="20"/>
                <w:rFonts w:hint="eastAsia" w:ascii="宋体" w:hAnsi="宋体" w:eastAsia="宋体" w:cs="宋体"/>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447" w:type="dxa"/>
          </w:tcPr>
          <w:p>
            <w:pPr>
              <w:widowControl w:val="0"/>
              <w:spacing w:line="288" w:lineRule="auto"/>
              <w:jc w:val="both"/>
              <w:rPr>
                <w:rFonts w:hint="eastAsia" w:ascii="宋体" w:hAnsi="宋体" w:eastAsia="宋体" w:cs="宋体"/>
                <w:sz w:val="24"/>
                <w:szCs w:val="24"/>
              </w:rPr>
            </w:pPr>
            <w:r>
              <w:rPr>
                <w:rFonts w:hint="eastAsia" w:ascii="宋体" w:hAnsi="宋体" w:eastAsia="宋体" w:cs="宋体"/>
                <w:sz w:val="24"/>
                <w:szCs w:val="24"/>
              </w:rPr>
              <w:t>（6）承担本项目的主要人员要求</w:t>
            </w:r>
          </w:p>
        </w:tc>
        <w:tc>
          <w:tcPr>
            <w:tcW w:w="1643"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w:t>
            </w:r>
          </w:p>
        </w:tc>
        <w:tc>
          <w:tcPr>
            <w:tcW w:w="5008"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适用,见采购文件供应商须知前附表3.5（6）。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447" w:type="dxa"/>
          </w:tcPr>
          <w:p>
            <w:pPr>
              <w:widowControl w:val="0"/>
              <w:spacing w:line="288" w:lineRule="auto"/>
              <w:jc w:val="both"/>
              <w:rPr>
                <w:rFonts w:hint="eastAsia" w:ascii="宋体" w:hAnsi="宋体" w:eastAsia="宋体" w:cs="宋体"/>
                <w:sz w:val="24"/>
                <w:szCs w:val="24"/>
              </w:rPr>
            </w:pPr>
            <w:r>
              <w:rPr>
                <w:rFonts w:hint="eastAsia" w:ascii="宋体" w:hAnsi="宋体" w:eastAsia="宋体" w:cs="宋体"/>
                <w:sz w:val="24"/>
                <w:szCs w:val="24"/>
              </w:rPr>
              <w:t>（8）供应商不存在第一章3.1款情形的证明材料</w:t>
            </w:r>
          </w:p>
        </w:tc>
        <w:tc>
          <w:tcPr>
            <w:tcW w:w="1643"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w:t>
            </w:r>
          </w:p>
        </w:tc>
        <w:tc>
          <w:tcPr>
            <w:tcW w:w="5008" w:type="dxa"/>
          </w:tcPr>
          <w:p>
            <w:pPr>
              <w:widowControl w:val="0"/>
              <w:spacing w:line="320" w:lineRule="exact"/>
              <w:jc w:val="both"/>
              <w:rPr>
                <w:rFonts w:hint="eastAsia" w:ascii="宋体" w:hAnsi="宋体" w:eastAsia="宋体" w:cs="宋体"/>
                <w:sz w:val="24"/>
                <w:szCs w:val="24"/>
              </w:rPr>
            </w:pPr>
            <w:r>
              <w:rPr>
                <w:rStyle w:val="20"/>
                <w:rFonts w:hint="eastAsia" w:ascii="宋体" w:hAnsi="宋体" w:eastAsia="宋体" w:cs="宋体"/>
                <w:sz w:val="24"/>
                <w:szCs w:val="24"/>
                <w:u w:val="single"/>
              </w:rPr>
              <w:sym w:font="Wingdings 2" w:char="0052"/>
            </w:r>
            <w:r>
              <w:rPr>
                <w:rStyle w:val="20"/>
                <w:rFonts w:hint="eastAsia" w:ascii="宋体" w:hAnsi="宋体" w:eastAsia="宋体" w:cs="宋体"/>
                <w:sz w:val="24"/>
                <w:szCs w:val="24"/>
                <w:u w:val="single"/>
              </w:rPr>
              <w:t>适用,见采购文件供应商须知前附表3.5（8）。</w:t>
            </w:r>
          </w:p>
        </w:tc>
      </w:tr>
    </w:tbl>
    <w:p>
      <w:pPr>
        <w:pStyle w:val="15"/>
        <w:ind w:firstLine="0"/>
        <w:rPr>
          <w:rFonts w:hint="eastAsia" w:ascii="宋体" w:hAnsi="宋体" w:eastAsia="宋体" w:cs="宋体"/>
          <w:sz w:val="24"/>
          <w:szCs w:val="24"/>
        </w:rPr>
      </w:pPr>
    </w:p>
    <w:p>
      <w:pPr>
        <w:pStyle w:val="6"/>
        <w:jc w:val="both"/>
        <w:rPr>
          <w:rFonts w:hint="eastAsia" w:ascii="宋体" w:hAnsi="宋体" w:eastAsia="宋体" w:cs="宋体"/>
          <w:sz w:val="24"/>
          <w:szCs w:val="24"/>
        </w:rPr>
      </w:pPr>
      <w:r>
        <w:rPr>
          <w:rFonts w:hint="eastAsia" w:ascii="宋体" w:hAnsi="宋体" w:eastAsia="宋体" w:cs="宋体"/>
          <w:sz w:val="24"/>
          <w:szCs w:val="24"/>
        </w:rPr>
        <w:t>4 响应保证金</w:t>
      </w:r>
    </w:p>
    <w:tbl>
      <w:tblPr>
        <w:tblStyle w:val="18"/>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3314"/>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738" w:type="dxa"/>
          </w:tcPr>
          <w:p>
            <w:pPr>
              <w:widowControl w:val="0"/>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响应保证金的递交</w:t>
            </w:r>
          </w:p>
        </w:tc>
        <w:tc>
          <w:tcPr>
            <w:tcW w:w="3314" w:type="dxa"/>
          </w:tcPr>
          <w:p>
            <w:pPr>
              <w:widowControl w:val="0"/>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不退还响应保证金的其他情形</w:t>
            </w:r>
          </w:p>
        </w:tc>
        <w:tc>
          <w:tcPr>
            <w:tcW w:w="3046" w:type="dxa"/>
          </w:tcPr>
          <w:p>
            <w:pPr>
              <w:widowControl w:val="0"/>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退还响应保证金的时间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738" w:type="dxa"/>
          </w:tcPr>
          <w:p>
            <w:pPr>
              <w:widowControl w:val="0"/>
              <w:autoSpaceDE w:val="0"/>
              <w:spacing w:line="400" w:lineRule="exact"/>
              <w:jc w:val="both"/>
              <w:rPr>
                <w:rFonts w:hint="eastAsia" w:ascii="宋体" w:hAnsi="宋体" w:eastAsia="宋体" w:cs="宋体"/>
                <w:sz w:val="24"/>
                <w:szCs w:val="24"/>
              </w:rPr>
            </w:pPr>
            <w:r>
              <w:rPr>
                <w:rStyle w:val="20"/>
                <w:rFonts w:hint="eastAsia" w:ascii="宋体" w:hAnsi="宋体" w:eastAsia="宋体" w:cs="宋体"/>
                <w:sz w:val="24"/>
                <w:szCs w:val="24"/>
              </w:rPr>
              <w:t>☑</w:t>
            </w:r>
            <w:r>
              <w:rPr>
                <w:rFonts w:hint="eastAsia" w:ascii="宋体" w:hAnsi="宋体" w:eastAsia="宋体" w:cs="宋体"/>
                <w:sz w:val="24"/>
                <w:szCs w:val="24"/>
              </w:rPr>
              <w:t>不要求递交</w:t>
            </w:r>
          </w:p>
        </w:tc>
        <w:tc>
          <w:tcPr>
            <w:tcW w:w="3314" w:type="dxa"/>
          </w:tcPr>
          <w:p>
            <w:pPr>
              <w:widowControl w:val="0"/>
              <w:autoSpaceDE w:val="0"/>
              <w:spacing w:line="400" w:lineRule="exact"/>
              <w:jc w:val="both"/>
              <w:rPr>
                <w:rFonts w:hint="eastAsia" w:ascii="宋体" w:hAnsi="宋体" w:eastAsia="宋体" w:cs="宋体"/>
                <w:sz w:val="24"/>
                <w:szCs w:val="24"/>
              </w:rPr>
            </w:pPr>
            <w:r>
              <w:rPr>
                <w:rStyle w:val="20"/>
                <w:rFonts w:hint="eastAsia" w:ascii="宋体" w:hAnsi="宋体" w:eastAsia="宋体" w:cs="宋体"/>
                <w:sz w:val="24"/>
                <w:szCs w:val="24"/>
              </w:rPr>
              <w:t>☑不</w:t>
            </w:r>
            <w:r>
              <w:rPr>
                <w:rFonts w:hint="eastAsia" w:ascii="宋体" w:hAnsi="宋体" w:eastAsia="宋体" w:cs="宋体"/>
                <w:sz w:val="24"/>
                <w:szCs w:val="24"/>
              </w:rPr>
              <w:t>适用</w:t>
            </w:r>
          </w:p>
        </w:tc>
        <w:tc>
          <w:tcPr>
            <w:tcW w:w="3046" w:type="dxa"/>
          </w:tcPr>
          <w:p>
            <w:pPr>
              <w:widowControl w:val="0"/>
              <w:autoSpaceDE w:val="0"/>
              <w:spacing w:line="400" w:lineRule="exact"/>
              <w:jc w:val="both"/>
              <w:rPr>
                <w:rFonts w:hint="eastAsia" w:ascii="宋体" w:hAnsi="宋体" w:eastAsia="宋体" w:cs="宋体"/>
                <w:sz w:val="24"/>
                <w:szCs w:val="24"/>
              </w:rPr>
            </w:pPr>
            <w:r>
              <w:rPr>
                <w:rStyle w:val="20"/>
                <w:rFonts w:hint="eastAsia" w:ascii="宋体" w:hAnsi="宋体" w:eastAsia="宋体" w:cs="宋体"/>
                <w:sz w:val="24"/>
                <w:szCs w:val="24"/>
              </w:rPr>
              <w:t>☑</w:t>
            </w:r>
            <w:r>
              <w:rPr>
                <w:rFonts w:hint="eastAsia" w:ascii="宋体" w:hAnsi="宋体" w:eastAsia="宋体" w:cs="宋体"/>
                <w:sz w:val="24"/>
                <w:szCs w:val="24"/>
              </w:rPr>
              <w:t>不适用</w:t>
            </w:r>
          </w:p>
        </w:tc>
      </w:tr>
    </w:tbl>
    <w:p>
      <w:pPr>
        <w:rPr>
          <w:rFonts w:hint="eastAsia" w:ascii="宋体" w:hAnsi="宋体" w:eastAsia="宋体" w:cs="宋体"/>
          <w:sz w:val="24"/>
          <w:szCs w:val="24"/>
        </w:rPr>
      </w:pPr>
    </w:p>
    <w:p>
      <w:pPr>
        <w:pStyle w:val="6"/>
        <w:jc w:val="both"/>
        <w:rPr>
          <w:rFonts w:hint="eastAsia" w:ascii="宋体" w:hAnsi="宋体" w:eastAsia="宋体" w:cs="宋体"/>
          <w:sz w:val="24"/>
          <w:szCs w:val="24"/>
        </w:rPr>
      </w:pPr>
      <w:r>
        <w:rPr>
          <w:rFonts w:hint="eastAsia" w:ascii="宋体" w:hAnsi="宋体" w:eastAsia="宋体" w:cs="宋体"/>
          <w:sz w:val="24"/>
          <w:szCs w:val="24"/>
        </w:rPr>
        <w:t>5 确定成交供应商的方法</w:t>
      </w:r>
    </w:p>
    <w:p>
      <w:pPr>
        <w:autoSpaceDE w:val="0"/>
        <w:spacing w:line="400" w:lineRule="exact"/>
        <w:jc w:val="both"/>
        <w:rPr>
          <w:rStyle w:val="20"/>
          <w:rFonts w:hint="eastAsia" w:ascii="宋体" w:hAnsi="宋体" w:eastAsia="宋体" w:cs="宋体"/>
          <w:sz w:val="24"/>
          <w:szCs w:val="24"/>
        </w:rPr>
      </w:pPr>
      <w:r>
        <w:rPr>
          <w:rFonts w:hint="eastAsia" w:ascii="宋体" w:hAnsi="宋体" w:eastAsia="宋体" w:cs="宋体"/>
          <w:b/>
          <w:bCs/>
          <w:sz w:val="24"/>
          <w:szCs w:val="24"/>
        </w:rPr>
        <w:t>（一） 最低价法</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（二）</w:t>
      </w:r>
      <w:r>
        <w:rPr>
          <w:rFonts w:hint="eastAsia" w:ascii="宋体" w:hAnsi="宋体" w:eastAsia="宋体" w:cs="宋体"/>
          <w:sz w:val="24"/>
          <w:szCs w:val="24"/>
        </w:rPr>
        <w:t xml:space="preserve"> 采购人应当确定排名第一的成交候选供应商为成交供应商。若排名第一的成交候选供应商未通过履约能力和报价核查，采购人应按推荐的名单排序依次确定其他成交候选供应商为成交供应商。 </w:t>
      </w:r>
    </w:p>
    <w:p>
      <w:pPr>
        <w:pStyle w:val="6"/>
        <w:jc w:val="both"/>
        <w:rPr>
          <w:rFonts w:hint="eastAsia" w:ascii="宋体" w:hAnsi="宋体" w:eastAsia="宋体" w:cs="宋体"/>
          <w:sz w:val="24"/>
          <w:szCs w:val="24"/>
        </w:rPr>
      </w:pPr>
      <w:r>
        <w:rPr>
          <w:rFonts w:hint="eastAsia" w:ascii="宋体" w:hAnsi="宋体" w:eastAsia="宋体" w:cs="宋体"/>
          <w:sz w:val="24"/>
          <w:szCs w:val="24"/>
        </w:rPr>
        <w:t>6采购文件获取</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 xml:space="preserve">6.1 </w:t>
      </w:r>
      <w:r>
        <w:rPr>
          <w:rFonts w:hint="eastAsia" w:ascii="宋体" w:hAnsi="宋体" w:eastAsia="宋体" w:cs="宋体"/>
          <w:sz w:val="24"/>
          <w:szCs w:val="24"/>
        </w:rPr>
        <w:t>供应商应当于</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日至</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rPr>
        <w:t>月</w:t>
      </w:r>
      <w:r>
        <w:rPr>
          <w:rFonts w:hint="eastAsia" w:ascii="宋体" w:hAnsi="宋体" w:cs="宋体"/>
          <w:sz w:val="24"/>
          <w:szCs w:val="24"/>
          <w:lang w:val="en-US" w:eastAsia="zh-CN"/>
        </w:rPr>
        <w:t>19</w:t>
      </w:r>
      <w:r>
        <w:rPr>
          <w:rFonts w:hint="eastAsia" w:ascii="宋体" w:hAnsi="宋体" w:eastAsia="宋体" w:cs="宋体"/>
          <w:sz w:val="24"/>
          <w:szCs w:val="24"/>
        </w:rPr>
        <w:t>日，</w:t>
      </w:r>
      <w:r>
        <w:rPr>
          <w:rFonts w:hint="eastAsia" w:ascii="宋体" w:hAnsi="宋体" w:eastAsia="宋体" w:cs="宋体"/>
          <w:sz w:val="24"/>
          <w:szCs w:val="24"/>
          <w:highlight w:val="none"/>
          <w:lang w:eastAsia="zh-CN"/>
        </w:rPr>
        <w:t>在</w:t>
      </w:r>
      <w:r>
        <w:rPr>
          <w:rFonts w:hint="eastAsia" w:ascii="宋体" w:hAnsi="宋体" w:eastAsia="宋体" w:cs="宋体"/>
          <w:sz w:val="24"/>
          <w:szCs w:val="24"/>
          <w:highlight w:val="none"/>
          <w:u w:val="single"/>
        </w:rPr>
        <w:t>湖南省湘水集团有限公司网站（http：//www.hnsxsjt.com）、</w:t>
      </w:r>
      <w:r>
        <w:rPr>
          <w:rFonts w:hint="eastAsia" w:ascii="宋体" w:hAnsi="宋体" w:eastAsia="宋体" w:cs="宋体"/>
          <w:sz w:val="24"/>
          <w:szCs w:val="24"/>
          <w:highlight w:val="none"/>
          <w:u w:val="single"/>
          <w:lang w:eastAsia="zh-CN"/>
        </w:rPr>
        <w:t>湖南省港务集团有限公司网站（</w:t>
      </w:r>
      <w:r>
        <w:rPr>
          <w:rFonts w:hint="eastAsia" w:ascii="宋体" w:hAnsi="宋体" w:eastAsia="宋体" w:cs="宋体"/>
          <w:sz w:val="24"/>
          <w:szCs w:val="24"/>
          <w:highlight w:val="none"/>
          <w:u w:val="single"/>
        </w:rPr>
        <w:t>http://www.hnsgwjt.com</w:t>
      </w:r>
      <w:r>
        <w:rPr>
          <w:rFonts w:hint="eastAsia" w:ascii="宋体" w:hAnsi="宋体" w:eastAsia="宋体" w:cs="宋体"/>
          <w:sz w:val="24"/>
          <w:szCs w:val="24"/>
          <w:highlight w:val="none"/>
          <w:u w:val="single"/>
          <w:lang w:eastAsia="zh-CN"/>
        </w:rPr>
        <w:t>）网站上</w:t>
      </w:r>
      <w:r>
        <w:rPr>
          <w:rFonts w:hint="eastAsia" w:ascii="宋体" w:hAnsi="宋体" w:eastAsia="宋体" w:cs="宋体"/>
          <w:sz w:val="24"/>
          <w:szCs w:val="24"/>
          <w:highlight w:val="none"/>
        </w:rPr>
        <w:t>获取采购文件</w:t>
      </w:r>
      <w:r>
        <w:rPr>
          <w:rFonts w:hint="eastAsia" w:ascii="宋体" w:hAnsi="宋体" w:eastAsia="宋体" w:cs="宋体"/>
          <w:sz w:val="24"/>
          <w:szCs w:val="24"/>
          <w:highlight w:val="none"/>
          <w:lang w:eastAsia="zh-CN"/>
        </w:rPr>
        <w:t>；</w:t>
      </w:r>
    </w:p>
    <w:p>
      <w:pPr>
        <w:autoSpaceDE w:val="0"/>
        <w:spacing w:line="400" w:lineRule="exact"/>
        <w:jc w:val="both"/>
        <w:rPr>
          <w:rFonts w:hint="eastAsia" w:ascii="宋体" w:hAnsi="宋体" w:eastAsia="宋体" w:cs="宋体"/>
          <w:sz w:val="24"/>
          <w:szCs w:val="24"/>
        </w:rPr>
      </w:pPr>
      <w:r>
        <w:rPr>
          <w:rFonts w:hint="eastAsia" w:ascii="宋体" w:hAnsi="宋体" w:eastAsia="宋体" w:cs="宋体"/>
          <w:b/>
          <w:bCs/>
          <w:sz w:val="24"/>
          <w:szCs w:val="24"/>
        </w:rPr>
        <w:t xml:space="preserve">6.3 </w:t>
      </w:r>
      <w:r>
        <w:rPr>
          <w:rFonts w:hint="eastAsia" w:ascii="宋体" w:hAnsi="宋体" w:eastAsia="宋体" w:cs="宋体"/>
          <w:sz w:val="24"/>
          <w:szCs w:val="24"/>
        </w:rPr>
        <w:t>供应商若对本项目采购需求、资格要求等有疑问的，应当于</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w:t>
      </w:r>
      <w:r>
        <w:rPr>
          <w:rFonts w:hint="eastAsia" w:ascii="宋体" w:hAnsi="宋体" w:eastAsia="宋体" w:cs="宋体"/>
          <w:sz w:val="24"/>
          <w:szCs w:val="24"/>
        </w:rPr>
        <w:t>分前向采购人提出澄清要求</w:t>
      </w:r>
      <w:r>
        <w:rPr>
          <w:rFonts w:hint="eastAsia" w:ascii="宋体" w:hAnsi="宋体" w:cs="宋体"/>
          <w:sz w:val="24"/>
          <w:szCs w:val="24"/>
          <w:lang w:eastAsia="zh-CN"/>
        </w:rPr>
        <w:t>，</w:t>
      </w:r>
      <w:r>
        <w:rPr>
          <w:rFonts w:hint="eastAsia" w:ascii="宋体" w:hAnsi="宋体" w:eastAsia="宋体" w:cs="宋体"/>
          <w:sz w:val="24"/>
          <w:szCs w:val="24"/>
        </w:rPr>
        <w:t>于</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时</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w:t>
      </w:r>
      <w:r>
        <w:rPr>
          <w:rFonts w:hint="eastAsia" w:ascii="宋体" w:hAnsi="宋体" w:eastAsia="宋体" w:cs="宋体"/>
          <w:sz w:val="24"/>
          <w:szCs w:val="24"/>
        </w:rPr>
        <w:t>分前向采购人</w:t>
      </w:r>
      <w:r>
        <w:rPr>
          <w:rFonts w:hint="eastAsia" w:ascii="宋体" w:hAnsi="宋体" w:cs="宋体"/>
          <w:sz w:val="24"/>
          <w:szCs w:val="24"/>
          <w:lang w:val="en-US" w:eastAsia="zh-CN"/>
        </w:rPr>
        <w:t>递交响应文件</w:t>
      </w:r>
      <w:r>
        <w:rPr>
          <w:rFonts w:hint="eastAsia" w:ascii="宋体" w:hAnsi="宋体" w:eastAsia="宋体" w:cs="宋体"/>
          <w:sz w:val="24"/>
          <w:szCs w:val="24"/>
        </w:rPr>
        <w:t>。</w:t>
      </w:r>
    </w:p>
    <w:p>
      <w:pPr>
        <w:pStyle w:val="6"/>
        <w:jc w:val="both"/>
        <w:rPr>
          <w:rFonts w:hint="eastAsia" w:ascii="宋体" w:hAnsi="宋体" w:eastAsia="宋体" w:cs="宋体"/>
          <w:sz w:val="24"/>
          <w:szCs w:val="24"/>
        </w:rPr>
      </w:pPr>
      <w:r>
        <w:rPr>
          <w:rFonts w:hint="eastAsia" w:ascii="宋体" w:hAnsi="宋体" w:eastAsia="宋体" w:cs="宋体"/>
          <w:sz w:val="24"/>
          <w:szCs w:val="24"/>
        </w:rPr>
        <w:t>7 发布公告的媒介</w:t>
      </w:r>
    </w:p>
    <w:p>
      <w:pPr>
        <w:widowControl w:val="0"/>
        <w:spacing w:line="312" w:lineRule="auto"/>
        <w:ind w:firstLine="480" w:firstLineChars="200"/>
        <w:jc w:val="both"/>
        <w:rPr>
          <w:rFonts w:hint="eastAsia" w:ascii="宋体" w:hAnsi="宋体" w:eastAsia="宋体" w:cs="宋体"/>
          <w:sz w:val="24"/>
          <w:szCs w:val="24"/>
        </w:rPr>
      </w:pPr>
      <w:r>
        <w:rPr>
          <w:rFonts w:hint="eastAsia" w:ascii="宋体" w:hAnsi="宋体" w:eastAsia="宋体" w:cs="宋体"/>
          <w:bCs/>
          <w:sz w:val="24"/>
          <w:szCs w:val="24"/>
        </w:rPr>
        <w:t>本次采购公告</w:t>
      </w:r>
      <w:r>
        <w:rPr>
          <w:rFonts w:hint="eastAsia" w:ascii="宋体" w:hAnsi="宋体" w:eastAsia="宋体" w:cs="宋体"/>
          <w:sz w:val="24"/>
          <w:szCs w:val="24"/>
        </w:rPr>
        <w:t>发布的媒介: 中国招标投标公共服务平台（http：//www.cebpubservice.com）、湖南省湘水集团有限公司网站（http：//www.hnsxsjt.com）、湖南省港务集团有限公司门户网站（http://www.hnsgwjt.com/）上发布。</w:t>
      </w:r>
    </w:p>
    <w:p>
      <w:pPr>
        <w:pStyle w:val="6"/>
        <w:jc w:val="both"/>
        <w:rPr>
          <w:rFonts w:hint="eastAsia" w:ascii="宋体" w:hAnsi="宋体" w:eastAsia="宋体" w:cs="宋体"/>
          <w:sz w:val="24"/>
          <w:szCs w:val="24"/>
        </w:rPr>
      </w:pPr>
      <w:r>
        <w:rPr>
          <w:rFonts w:hint="eastAsia" w:ascii="宋体" w:hAnsi="宋体" w:eastAsia="宋体" w:cs="宋体"/>
          <w:sz w:val="24"/>
          <w:szCs w:val="24"/>
        </w:rPr>
        <w:t>8</w:t>
      </w:r>
      <w:bookmarkStart w:id="5" w:name="_Toc76635692"/>
      <w:bookmarkStart w:id="6" w:name="_Toc512257471"/>
      <w:bookmarkStart w:id="7" w:name="_Toc77254104"/>
      <w:bookmarkStart w:id="8" w:name="_Toc79596547"/>
      <w:r>
        <w:rPr>
          <w:rFonts w:hint="eastAsia" w:ascii="宋体" w:hAnsi="宋体" w:eastAsia="宋体" w:cs="宋体"/>
          <w:sz w:val="24"/>
          <w:szCs w:val="24"/>
        </w:rPr>
        <w:t xml:space="preserve"> 监督</w:t>
      </w:r>
      <w:bookmarkEnd w:id="5"/>
      <w:bookmarkEnd w:id="6"/>
      <w:bookmarkEnd w:id="7"/>
      <w:r>
        <w:rPr>
          <w:rFonts w:hint="eastAsia" w:ascii="宋体" w:hAnsi="宋体" w:eastAsia="宋体" w:cs="宋体"/>
          <w:sz w:val="24"/>
          <w:szCs w:val="24"/>
        </w:rPr>
        <w:t>部门</w:t>
      </w:r>
      <w:bookmarkEnd w:id="8"/>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本次采购监督部门为</w:t>
      </w:r>
      <w:r>
        <w:rPr>
          <w:rFonts w:hint="eastAsia" w:ascii="宋体" w:hAnsi="宋体" w:eastAsia="宋体" w:cs="宋体"/>
          <w:bCs/>
          <w:sz w:val="24"/>
          <w:szCs w:val="24"/>
        </w:rPr>
        <w:t>岳阳城陵矶港务有限责任公司</w:t>
      </w:r>
      <w:r>
        <w:rPr>
          <w:rFonts w:hint="eastAsia" w:ascii="宋体" w:hAnsi="宋体" w:eastAsia="宋体" w:cs="宋体"/>
          <w:sz w:val="24"/>
          <w:szCs w:val="24"/>
        </w:rPr>
        <w:t>纪检监察部</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bCs/>
          <w:sz w:val="24"/>
          <w:szCs w:val="24"/>
        </w:rPr>
        <w:t>湖南岳阳城陵矶长江路2号</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话：0730-</w:t>
      </w:r>
      <w:r>
        <w:rPr>
          <w:rFonts w:hint="eastAsia" w:ascii="宋体" w:hAnsi="宋体" w:eastAsia="宋体" w:cs="宋体"/>
          <w:sz w:val="24"/>
          <w:szCs w:val="24"/>
          <w:lang w:val="zh-CN"/>
        </w:rPr>
        <w:t>3050160</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邮政编码：414000</w:t>
      </w:r>
    </w:p>
    <w:p>
      <w:pPr>
        <w:pStyle w:val="4"/>
        <w:widowControl w:val="0"/>
        <w:adjustRightInd w:val="0"/>
        <w:snapToGrid w:val="0"/>
        <w:spacing w:after="0" w:line="312" w:lineRule="auto"/>
        <w:jc w:val="both"/>
        <w:rPr>
          <w:rFonts w:hint="eastAsia" w:ascii="宋体" w:hAnsi="宋体" w:eastAsia="宋体" w:cs="宋体"/>
          <w:sz w:val="24"/>
          <w:szCs w:val="24"/>
        </w:rPr>
      </w:pPr>
      <w:r>
        <w:rPr>
          <w:rFonts w:hint="eastAsia" w:ascii="宋体" w:hAnsi="宋体" w:eastAsia="宋体" w:cs="宋体"/>
          <w:sz w:val="24"/>
          <w:szCs w:val="24"/>
        </w:rPr>
        <w:t>9最高投标限价</w:t>
      </w:r>
    </w:p>
    <w:p>
      <w:pPr>
        <w:keepNext w:val="0"/>
        <w:keepLines w:val="0"/>
        <w:pageBreakBefore w:val="0"/>
        <w:widowControl/>
        <w:suppressLineNumbers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采购人对本次询价项目设置了最高限</w:t>
      </w:r>
      <w:r>
        <w:rPr>
          <w:rFonts w:hint="eastAsia" w:ascii="宋体" w:hAnsi="宋体" w:eastAsia="宋体" w:cs="宋体"/>
          <w:bCs/>
          <w:color w:val="000000"/>
          <w:sz w:val="24"/>
          <w:szCs w:val="24"/>
          <w:highlight w:val="none"/>
        </w:rPr>
        <w:t>价为</w:t>
      </w:r>
      <w:r>
        <w:rPr>
          <w:rFonts w:hint="eastAsia" w:ascii="宋体" w:hAnsi="宋体" w:eastAsia="宋体" w:cs="宋体"/>
          <w:bCs/>
          <w:color w:val="000000"/>
          <w:sz w:val="24"/>
          <w:szCs w:val="24"/>
          <w:highlight w:val="none"/>
          <w:lang w:val="en-US" w:eastAsia="zh-CN"/>
        </w:rPr>
        <w:t>人民币</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950，000元</w:t>
      </w:r>
      <w:r>
        <w:rPr>
          <w:rFonts w:hint="eastAsia" w:ascii="宋体" w:hAnsi="宋体" w:eastAsia="宋体" w:cs="宋体"/>
          <w:bCs/>
          <w:color w:val="000000"/>
          <w:sz w:val="24"/>
          <w:szCs w:val="24"/>
          <w:highlight w:val="none"/>
        </w:rPr>
        <w:t>（含</w:t>
      </w:r>
      <w:r>
        <w:rPr>
          <w:rFonts w:hint="eastAsia" w:ascii="宋体" w:hAnsi="宋体" w:eastAsia="宋体" w:cs="宋体"/>
          <w:bCs/>
          <w:color w:val="000000"/>
          <w:sz w:val="24"/>
          <w:szCs w:val="24"/>
        </w:rPr>
        <w:t>3%增值税）超过最高限价的作废。如果报价人提供其他税率的增值税专用发票，招标人按3%的税率调整后计算报价参与排序。</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本项目的报价采用包工、包质量、包安全生产和安全保卫、包文明施工，综合单价包干的方式进行承包。</w:t>
      </w:r>
      <w:r>
        <w:rPr>
          <w:rFonts w:hint="eastAsia" w:ascii="宋体" w:hAnsi="宋体" w:eastAsia="宋体" w:cs="宋体"/>
          <w:kern w:val="0"/>
          <w:sz w:val="24"/>
          <w:szCs w:val="24"/>
        </w:rPr>
        <w:t>综合单价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已综合考虑完成施工内容所需的全部材料、人工、机械设备等，及其相关的管理费、利润、措施费、安全文明施工费、规费、税费等其他费用</w:t>
      </w:r>
      <w:r>
        <w:rPr>
          <w:rFonts w:hint="eastAsia" w:ascii="宋体" w:hAnsi="宋体" w:eastAsia="宋体" w:cs="宋体"/>
          <w:bCs/>
          <w:color w:val="000000"/>
          <w:sz w:val="24"/>
          <w:szCs w:val="24"/>
          <w:u w:val="none"/>
        </w:rPr>
        <w:t>。</w:t>
      </w:r>
    </w:p>
    <w:p>
      <w:pPr>
        <w:pStyle w:val="6"/>
        <w:jc w:val="both"/>
        <w:rPr>
          <w:rFonts w:hint="eastAsia" w:ascii="宋体" w:hAnsi="宋体" w:eastAsia="宋体" w:cs="宋体"/>
          <w:sz w:val="24"/>
          <w:szCs w:val="24"/>
        </w:rPr>
      </w:pPr>
      <w:r>
        <w:rPr>
          <w:rFonts w:hint="eastAsia" w:ascii="宋体" w:hAnsi="宋体" w:eastAsia="宋体" w:cs="宋体"/>
          <w:sz w:val="24"/>
          <w:szCs w:val="24"/>
        </w:rPr>
        <w:t>10联系方式</w:t>
      </w:r>
    </w:p>
    <w:p>
      <w:pPr>
        <w:widowControl w:val="0"/>
        <w:spacing w:line="312" w:lineRule="auto"/>
        <w:ind w:firstLine="480" w:firstLineChars="200"/>
        <w:jc w:val="both"/>
        <w:outlineLvl w:val="0"/>
        <w:rPr>
          <w:rFonts w:hint="eastAsia" w:ascii="宋体" w:hAnsi="宋体" w:eastAsia="宋体" w:cs="宋体"/>
          <w:bCs/>
          <w:sz w:val="24"/>
          <w:szCs w:val="24"/>
        </w:rPr>
      </w:pPr>
      <w:bookmarkStart w:id="9" w:name="_Toc9250"/>
      <w:bookmarkStart w:id="10" w:name="_Toc5700"/>
      <w:bookmarkStart w:id="11" w:name="_Toc517787494"/>
      <w:bookmarkStart w:id="12" w:name="_Toc234832861"/>
      <w:r>
        <w:rPr>
          <w:rFonts w:hint="eastAsia" w:ascii="宋体" w:hAnsi="宋体" w:eastAsia="宋体" w:cs="宋体"/>
          <w:bCs/>
          <w:sz w:val="24"/>
          <w:szCs w:val="24"/>
        </w:rPr>
        <w:t>询 价 人：岳阳城陵矶港务有限责任公司</w:t>
      </w:r>
      <w:bookmarkEnd w:id="9"/>
      <w:bookmarkEnd w:id="10"/>
    </w:p>
    <w:p>
      <w:pPr>
        <w:widowControl w:val="0"/>
        <w:spacing w:line="312"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地    址：湖南省岳阳市城陵矶工业站（湖南省岳阳市城陵矶江陵路1号）3楼301室。</w:t>
      </w:r>
    </w:p>
    <w:p>
      <w:pPr>
        <w:widowControl w:val="0"/>
        <w:spacing w:line="312"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收 件 人：吴  勇</w:t>
      </w:r>
    </w:p>
    <w:p>
      <w:pPr>
        <w:widowControl w:val="0"/>
        <w:spacing w:line="312" w:lineRule="auto"/>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 xml:space="preserve">联系电话：13575080101 </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600" w:lineRule="exact"/>
        <w:jc w:val="center"/>
        <w:rPr>
          <w:rFonts w:hint="eastAsia" w:ascii="宋体" w:hAnsi="宋体" w:eastAsia="宋体" w:cs="宋体"/>
          <w:b/>
          <w:bCs/>
          <w:sz w:val="24"/>
          <w:szCs w:val="24"/>
        </w:rPr>
      </w:pPr>
      <w:r>
        <w:rPr>
          <w:rFonts w:hint="eastAsia" w:ascii="宋体" w:hAnsi="宋体" w:eastAsia="宋体" w:cs="宋体"/>
          <w:b/>
          <w:bCs/>
          <w:sz w:val="24"/>
          <w:szCs w:val="24"/>
        </w:rPr>
        <w:t>第二章  供应商须知</w:t>
      </w:r>
      <w:bookmarkEnd w:id="11"/>
      <w:bookmarkEnd w:id="12"/>
      <w:bookmarkStart w:id="13" w:name="_Toc234832862"/>
      <w:bookmarkStart w:id="14" w:name="_Toc517787495"/>
      <w:r>
        <w:rPr>
          <w:rFonts w:hint="eastAsia" w:ascii="宋体" w:hAnsi="宋体" w:eastAsia="宋体" w:cs="宋体"/>
          <w:b/>
          <w:bCs/>
          <w:sz w:val="24"/>
          <w:szCs w:val="24"/>
        </w:rPr>
        <w:t>供应商须知前附表</w:t>
      </w:r>
      <w:r>
        <w:rPr>
          <w:rStyle w:val="22"/>
          <w:rFonts w:hint="eastAsia" w:ascii="宋体" w:hAnsi="宋体" w:eastAsia="宋体" w:cs="宋体"/>
          <w:b/>
          <w:bCs/>
          <w:sz w:val="24"/>
          <w:szCs w:val="24"/>
        </w:rPr>
        <w:footnoteReference w:id="0"/>
      </w:r>
      <w:bookmarkEnd w:id="13"/>
      <w:bookmarkEnd w:id="14"/>
    </w:p>
    <w:tbl>
      <w:tblPr>
        <w:tblStyle w:val="17"/>
        <w:tblW w:w="9854" w:type="dxa"/>
        <w:tblInd w:w="0" w:type="dxa"/>
        <w:tblLayout w:type="fixed"/>
        <w:tblCellMar>
          <w:top w:w="0" w:type="dxa"/>
          <w:left w:w="108" w:type="dxa"/>
          <w:bottom w:w="0" w:type="dxa"/>
          <w:right w:w="108" w:type="dxa"/>
        </w:tblCellMar>
      </w:tblPr>
      <w:tblGrid>
        <w:gridCol w:w="1415"/>
        <w:gridCol w:w="3090"/>
        <w:gridCol w:w="5349"/>
      </w:tblGrid>
      <w:tr>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条款号</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编  列  内  容</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1.1.1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☑询价</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1.1.2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☑最低价法</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1.7.1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☑不组织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1.8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☑不召开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1.9</w:t>
            </w:r>
          </w:p>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（A、C）</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分包</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不得分包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1.10.2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允许偏差的范围：</w:t>
            </w:r>
            <w:r>
              <w:rPr>
                <w:rFonts w:hint="eastAsia" w:ascii="宋体" w:hAnsi="宋体" w:eastAsia="宋体" w:cs="宋体"/>
                <w:sz w:val="24"/>
                <w:szCs w:val="24"/>
                <w:lang w:val="en-US" w:eastAsia="zh-CN"/>
              </w:rPr>
              <w:t>无</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552"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2.1(7)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2.2.1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lang w:val="en-US" w:eastAsia="zh-CN"/>
              </w:rPr>
              <w:t>2022年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0日</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时</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0分</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2.2.3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确认的最晚时间：</w:t>
            </w:r>
            <w:r>
              <w:rPr>
                <w:rFonts w:hint="eastAsia" w:ascii="宋体" w:hAnsi="宋体" w:eastAsia="宋体" w:cs="宋体"/>
                <w:sz w:val="24"/>
                <w:szCs w:val="24"/>
                <w:lang w:eastAsia="zh-CN"/>
              </w:rPr>
              <w:t>收到补充文件的</w:t>
            </w:r>
            <w:r>
              <w:rPr>
                <w:rFonts w:hint="eastAsia" w:ascii="宋体" w:hAnsi="宋体" w:eastAsia="宋体" w:cs="宋体"/>
                <w:sz w:val="24"/>
                <w:szCs w:val="24"/>
                <w:lang w:val="en-US" w:eastAsia="zh-CN"/>
              </w:rPr>
              <w:t>24小时内</w:t>
            </w:r>
          </w:p>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确定的方式</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书面确认</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3.1.1（9）</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资料名称：无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采购标的数量增减幅度：</w:t>
            </w:r>
            <w:r>
              <w:rPr>
                <w:rFonts w:hint="eastAsia" w:ascii="宋体" w:hAnsi="宋体" w:cs="宋体"/>
                <w:sz w:val="24"/>
                <w:szCs w:val="24"/>
                <w:lang w:val="en-US" w:eastAsia="zh-CN"/>
              </w:rPr>
              <w:t>10%</w:t>
            </w: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3.2.3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5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4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☑有，</w:t>
            </w:r>
            <w:r>
              <w:rPr>
                <w:rFonts w:hint="eastAsia" w:ascii="宋体" w:hAnsi="宋体" w:eastAsia="宋体" w:cs="宋体"/>
                <w:bCs/>
                <w:color w:val="000000"/>
                <w:sz w:val="24"/>
                <w:szCs w:val="24"/>
              </w:rPr>
              <w:t>最高限</w:t>
            </w:r>
            <w:r>
              <w:rPr>
                <w:rFonts w:hint="eastAsia" w:ascii="宋体" w:hAnsi="宋体" w:eastAsia="宋体" w:cs="宋体"/>
                <w:bCs/>
                <w:color w:val="000000"/>
                <w:sz w:val="24"/>
                <w:szCs w:val="24"/>
                <w:highlight w:val="none"/>
              </w:rPr>
              <w:t>价为</w:t>
            </w:r>
            <w:r>
              <w:rPr>
                <w:rFonts w:hint="eastAsia" w:ascii="宋体" w:hAnsi="宋体" w:eastAsia="宋体" w:cs="宋体"/>
                <w:bCs/>
                <w:color w:val="000000"/>
                <w:sz w:val="24"/>
                <w:szCs w:val="24"/>
                <w:highlight w:val="none"/>
                <w:lang w:val="en-US" w:eastAsia="zh-CN"/>
              </w:rPr>
              <w:t>人民币</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950，000元</w:t>
            </w:r>
            <w:r>
              <w:rPr>
                <w:rFonts w:hint="eastAsia" w:ascii="宋体" w:hAnsi="宋体" w:eastAsia="宋体" w:cs="宋体"/>
                <w:bCs/>
                <w:color w:val="000000"/>
                <w:sz w:val="24"/>
                <w:szCs w:val="24"/>
                <w:highlight w:val="none"/>
              </w:rPr>
              <w:t>（含</w:t>
            </w:r>
            <w:r>
              <w:rPr>
                <w:rFonts w:hint="eastAsia" w:ascii="宋体" w:hAnsi="宋体" w:eastAsia="宋体" w:cs="宋体"/>
                <w:bCs/>
                <w:color w:val="000000"/>
                <w:sz w:val="24"/>
                <w:szCs w:val="24"/>
              </w:rPr>
              <w:t>3%增值税）超过最高限价的作废。如果报价人提供其他税率的增值税专用发票，招标人按3%的税率调整后计算报价参与排序。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3.3.1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递交响应文件截止之日起90日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3.4.1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☑不要求递交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3.4.2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3.4.3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 xml:space="preserve">        无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0"/>
                <w:rFonts w:hint="eastAsia" w:ascii="宋体" w:hAnsi="宋体" w:eastAsia="宋体" w:cs="宋体"/>
                <w:b w:val="0"/>
                <w:color w:val="000000"/>
                <w:sz w:val="24"/>
                <w:szCs w:val="24"/>
              </w:rPr>
            </w:pPr>
            <w:r>
              <w:rPr>
                <w:rStyle w:val="20"/>
                <w:rFonts w:hint="eastAsia" w:ascii="宋体" w:hAnsi="宋体" w:eastAsia="宋体" w:cs="宋体"/>
                <w:b w:val="0"/>
                <w:color w:val="000000"/>
                <w:sz w:val="24"/>
                <w:szCs w:val="24"/>
              </w:rPr>
              <w:t>依法设立的证明材料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000000"/>
                <w:sz w:val="24"/>
                <w:szCs w:val="24"/>
              </w:rPr>
            </w:pPr>
            <w:r>
              <w:rPr>
                <w:rFonts w:hint="eastAsia" w:ascii="宋体" w:hAnsi="宋体" w:eastAsia="宋体" w:cs="宋体"/>
                <w:sz w:val="24"/>
                <w:szCs w:val="24"/>
              </w:rPr>
              <w:t>☑适用。</w:t>
            </w:r>
            <w:r>
              <w:rPr>
                <w:rFonts w:hint="eastAsia" w:ascii="宋体" w:hAnsi="宋体" w:eastAsia="宋体" w:cs="宋体"/>
                <w:color w:val="000000"/>
                <w:sz w:val="24"/>
                <w:szCs w:val="24"/>
              </w:rPr>
              <w:t>供应商应提供市场监管部门或其他行政机关颁发的可以合法开展业务的执照或证书。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3.5（2）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Style w:val="20"/>
                <w:rFonts w:hint="eastAsia" w:ascii="宋体" w:hAnsi="宋体" w:eastAsia="宋体" w:cs="宋体"/>
                <w:b w:val="0"/>
                <w:color w:val="000000"/>
                <w:sz w:val="24"/>
                <w:szCs w:val="24"/>
              </w:rPr>
              <w:t>资质要求证明材料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☑适用。供应商应提供</w:t>
            </w:r>
            <w:r>
              <w:rPr>
                <w:rFonts w:hint="eastAsia" w:ascii="宋体" w:hAnsi="宋体" w:cs="宋体"/>
                <w:color w:val="000000"/>
                <w:sz w:val="24"/>
                <w:szCs w:val="24"/>
                <w:lang w:val="en-US" w:eastAsia="zh-CN"/>
              </w:rPr>
              <w:t>铁路施工工程</w:t>
            </w:r>
            <w:r>
              <w:rPr>
                <w:rFonts w:hint="eastAsia" w:ascii="宋体" w:hAnsi="宋体" w:eastAsia="宋体" w:cs="宋体"/>
                <w:color w:val="000000"/>
                <w:sz w:val="24"/>
                <w:szCs w:val="24"/>
                <w:lang w:val="en-US" w:eastAsia="zh-CN"/>
              </w:rPr>
              <w:t>叁级或</w:t>
            </w:r>
            <w:r>
              <w:rPr>
                <w:rFonts w:hint="eastAsia" w:ascii="宋体" w:hAnsi="宋体" w:cs="宋体"/>
                <w:color w:val="000000"/>
                <w:sz w:val="24"/>
                <w:szCs w:val="24"/>
                <w:lang w:val="en-US" w:eastAsia="zh-CN"/>
              </w:rPr>
              <w:t>铁路维修工程叁级及</w:t>
            </w:r>
            <w:r>
              <w:rPr>
                <w:rFonts w:hint="eastAsia" w:ascii="宋体" w:hAnsi="宋体" w:eastAsia="宋体" w:cs="宋体"/>
                <w:color w:val="000000"/>
                <w:sz w:val="24"/>
                <w:szCs w:val="24"/>
              </w:rPr>
              <w:t>以上资质，并提供相关资质证书副本的复印件，以证明供应商具有承担本项目要求的资质。</w:t>
            </w:r>
          </w:p>
        </w:tc>
      </w:tr>
      <w:tr>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sz w:val="24"/>
                <w:szCs w:val="24"/>
              </w:rPr>
              <w:t>3.5（3）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Style w:val="20"/>
                <w:rFonts w:hint="eastAsia" w:ascii="宋体" w:hAnsi="宋体" w:eastAsia="宋体" w:cs="宋体"/>
                <w:b w:val="0"/>
                <w:color w:val="000000"/>
                <w:sz w:val="24"/>
                <w:szCs w:val="24"/>
              </w:rPr>
            </w:pPr>
            <w:r>
              <w:rPr>
                <w:rStyle w:val="20"/>
                <w:rFonts w:hint="eastAsia" w:ascii="宋体" w:hAnsi="宋体" w:eastAsia="宋体" w:cs="宋体"/>
                <w:b w:val="0"/>
                <w:color w:val="000000"/>
                <w:sz w:val="24"/>
                <w:szCs w:val="24"/>
              </w:rPr>
              <w:t>财务要求证明材料</w:t>
            </w:r>
          </w:p>
        </w:tc>
        <w:tc>
          <w:tcPr>
            <w:tcW w:w="5349" w:type="dxa"/>
            <w:tcBorders>
              <w:top w:val="single" w:color="auto" w:sz="4" w:space="0"/>
              <w:left w:val="single" w:color="auto" w:sz="4" w:space="0"/>
              <w:bottom w:val="single" w:color="auto" w:sz="4" w:space="0"/>
              <w:right w:val="single" w:color="auto" w:sz="4" w:space="0"/>
            </w:tcBorders>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☑不适用</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3.5（4）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☑适用。供应商应提供近年的</w:t>
            </w:r>
            <w:r>
              <w:rPr>
                <w:rFonts w:hint="eastAsia" w:ascii="宋体" w:hAnsi="宋体" w:cs="宋体"/>
                <w:color w:val="000000"/>
                <w:sz w:val="24"/>
                <w:szCs w:val="24"/>
                <w:lang w:val="en-US" w:eastAsia="zh-CN"/>
              </w:rPr>
              <w:t>铁路维修</w:t>
            </w:r>
            <w:r>
              <w:rPr>
                <w:rFonts w:hint="eastAsia" w:ascii="宋体" w:hAnsi="宋体" w:eastAsia="宋体" w:cs="宋体"/>
                <w:color w:val="000000"/>
                <w:sz w:val="24"/>
                <w:szCs w:val="24"/>
              </w:rPr>
              <w:t>项目情况表（格式见第六章“响应文件格式”</w:t>
            </w:r>
            <w:r>
              <w:rPr>
                <w:rFonts w:hint="eastAsia" w:ascii="宋体" w:hAnsi="宋体" w:cs="宋体"/>
                <w:color w:val="000000"/>
                <w:sz w:val="24"/>
                <w:szCs w:val="24"/>
                <w:lang w:eastAsia="zh-CN"/>
              </w:rPr>
              <w:t>，</w:t>
            </w:r>
            <w:r>
              <w:rPr>
                <w:rFonts w:hint="eastAsia" w:ascii="宋体" w:hAnsi="宋体" w:eastAsia="宋体" w:cs="宋体"/>
                <w:sz w:val="24"/>
                <w:szCs w:val="24"/>
              </w:rPr>
              <w:t>最近3年（201</w:t>
            </w:r>
            <w:r>
              <w:rPr>
                <w:rFonts w:hint="eastAsia" w:ascii="宋体" w:hAnsi="宋体" w:eastAsia="宋体" w:cs="宋体"/>
                <w:sz w:val="24"/>
                <w:szCs w:val="24"/>
                <w:lang w:val="en-US" w:eastAsia="zh-CN"/>
              </w:rPr>
              <w:t>9</w:t>
            </w:r>
            <w:r>
              <w:rPr>
                <w:rFonts w:hint="eastAsia" w:ascii="宋体" w:hAnsi="宋体" w:eastAsia="宋体" w:cs="宋体"/>
                <w:sz w:val="24"/>
                <w:szCs w:val="24"/>
              </w:rPr>
              <w:t>年1</w:t>
            </w:r>
            <w:r>
              <w:rPr>
                <w:rFonts w:hint="eastAsia" w:ascii="宋体" w:hAnsi="宋体" w:cs="宋体"/>
                <w:sz w:val="24"/>
                <w:szCs w:val="24"/>
                <w:lang w:val="en-US" w:eastAsia="zh-CN"/>
              </w:rPr>
              <w:t>2</w:t>
            </w:r>
            <w:r>
              <w:rPr>
                <w:rFonts w:hint="eastAsia" w:ascii="宋体" w:hAnsi="宋体" w:eastAsia="宋体" w:cs="宋体"/>
                <w:sz w:val="24"/>
                <w:szCs w:val="24"/>
              </w:rPr>
              <w:t>月～202</w:t>
            </w:r>
            <w:r>
              <w:rPr>
                <w:rFonts w:hint="eastAsia" w:ascii="宋体" w:hAnsi="宋体" w:eastAsia="宋体" w:cs="宋体"/>
                <w:sz w:val="24"/>
                <w:szCs w:val="24"/>
                <w:lang w:val="en-US" w:eastAsia="zh-CN"/>
              </w:rPr>
              <w:t>2</w:t>
            </w:r>
            <w:r>
              <w:rPr>
                <w:rFonts w:hint="eastAsia" w:ascii="宋体" w:hAnsi="宋体" w:eastAsia="宋体" w:cs="宋体"/>
                <w:sz w:val="24"/>
                <w:szCs w:val="24"/>
              </w:rPr>
              <w:t>年1</w:t>
            </w:r>
            <w:r>
              <w:rPr>
                <w:rFonts w:hint="eastAsia" w:ascii="宋体" w:hAnsi="宋体" w:cs="宋体"/>
                <w:sz w:val="24"/>
                <w:szCs w:val="24"/>
                <w:lang w:val="en-US" w:eastAsia="zh-CN"/>
              </w:rPr>
              <w:t>2</w:t>
            </w:r>
            <w:r>
              <w:rPr>
                <w:rFonts w:hint="eastAsia" w:ascii="宋体" w:hAnsi="宋体" w:eastAsia="宋体" w:cs="宋体"/>
                <w:sz w:val="24"/>
                <w:szCs w:val="24"/>
              </w:rPr>
              <w:t>月）成功独立完成过1个铁路线施工</w:t>
            </w:r>
            <w:r>
              <w:rPr>
                <w:rFonts w:hint="eastAsia" w:ascii="宋体" w:hAnsi="宋体" w:eastAsia="宋体" w:cs="宋体"/>
                <w:sz w:val="24"/>
                <w:szCs w:val="24"/>
                <w:lang w:val="en-US" w:eastAsia="zh-CN"/>
              </w:rPr>
              <w:t>或维修</w:t>
            </w:r>
            <w:r>
              <w:rPr>
                <w:rFonts w:hint="eastAsia" w:ascii="宋体" w:hAnsi="宋体" w:eastAsia="宋体" w:cs="宋体"/>
                <w:sz w:val="24"/>
                <w:szCs w:val="24"/>
              </w:rPr>
              <w:t>业绩且金额不低于</w:t>
            </w:r>
            <w:r>
              <w:rPr>
                <w:rFonts w:hint="eastAsia" w:ascii="宋体" w:hAnsi="宋体" w:eastAsia="宋体" w:cs="宋体"/>
                <w:sz w:val="24"/>
                <w:szCs w:val="24"/>
                <w:lang w:val="en-US" w:eastAsia="zh-CN"/>
              </w:rPr>
              <w:t>10</w:t>
            </w:r>
            <w:r>
              <w:rPr>
                <w:rFonts w:hint="eastAsia" w:ascii="宋体" w:hAnsi="宋体" w:eastAsia="宋体" w:cs="宋体"/>
                <w:sz w:val="24"/>
                <w:szCs w:val="24"/>
              </w:rPr>
              <w:t>0万（含</w:t>
            </w:r>
            <w:r>
              <w:rPr>
                <w:rFonts w:hint="eastAsia" w:ascii="宋体" w:hAnsi="宋体" w:eastAsia="宋体" w:cs="宋体"/>
                <w:sz w:val="24"/>
                <w:szCs w:val="24"/>
                <w:lang w:val="en-US" w:eastAsia="zh-CN"/>
              </w:rPr>
              <w:t>10</w:t>
            </w:r>
            <w:r>
              <w:rPr>
                <w:rFonts w:hint="eastAsia" w:ascii="宋体" w:hAnsi="宋体" w:eastAsia="宋体" w:cs="宋体"/>
                <w:sz w:val="24"/>
                <w:szCs w:val="24"/>
              </w:rPr>
              <w:t>0万）。（附合同协议书、工程竣工或完工验收</w:t>
            </w:r>
            <w:r>
              <w:rPr>
                <w:rFonts w:hint="eastAsia" w:ascii="宋体" w:hAnsi="宋体" w:cs="宋体"/>
                <w:sz w:val="24"/>
                <w:szCs w:val="24"/>
                <w:lang w:val="en-US" w:eastAsia="zh-CN"/>
              </w:rPr>
              <w:t>证明</w:t>
            </w:r>
            <w:r>
              <w:rPr>
                <w:rFonts w:hint="eastAsia" w:ascii="宋体" w:hAnsi="宋体" w:eastAsia="宋体" w:cs="宋体"/>
                <w:sz w:val="24"/>
                <w:szCs w:val="24"/>
              </w:rPr>
              <w:t>的复印件）</w:t>
            </w:r>
            <w:r>
              <w:rPr>
                <w:rFonts w:hint="eastAsia" w:ascii="宋体" w:hAnsi="宋体" w:eastAsia="宋体" w:cs="宋体"/>
                <w:color w:val="000000"/>
                <w:sz w:val="24"/>
                <w:szCs w:val="24"/>
              </w:rPr>
              <w:t>七、资格审查资料（三）近年的类似项目情况表），以证明供应商具有承担本项目要求的业绩</w:t>
            </w:r>
            <w:r>
              <w:rPr>
                <w:rFonts w:hint="eastAsia" w:ascii="宋体" w:hAnsi="宋体" w:eastAsia="宋体" w:cs="宋体"/>
                <w:color w:val="000000"/>
                <w:sz w:val="24"/>
                <w:szCs w:val="24"/>
                <w:lang w:eastAsia="zh-CN"/>
              </w:rPr>
              <w:t>（</w:t>
            </w:r>
            <w:r>
              <w:rPr>
                <w:rFonts w:hint="eastAsia" w:ascii="宋体" w:hAnsi="宋体" w:eastAsia="宋体" w:cs="宋体"/>
                <w:sz w:val="24"/>
                <w:szCs w:val="24"/>
                <w:u w:val="single"/>
              </w:rPr>
              <w:t>至少提供1份业绩证明材料，提供复印件并加盖单位公章。</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。近年是指</w:t>
            </w:r>
            <w:r>
              <w:rPr>
                <w:rFonts w:hint="eastAsia" w:ascii="宋体" w:hAnsi="宋体" w:eastAsia="宋体" w:cs="宋体"/>
                <w:color w:val="000000"/>
                <w:sz w:val="24"/>
                <w:szCs w:val="24"/>
                <w:u w:val="single"/>
              </w:rPr>
              <w:t xml:space="preserve">2019 </w:t>
            </w:r>
            <w:r>
              <w:rPr>
                <w:rFonts w:hint="eastAsia" w:ascii="宋体" w:hAnsi="宋体" w:eastAsia="宋体" w:cs="宋体"/>
                <w:color w:val="000000"/>
                <w:sz w:val="24"/>
                <w:szCs w:val="24"/>
              </w:rPr>
              <w:t>至</w:t>
            </w:r>
            <w:r>
              <w:rPr>
                <w:rFonts w:hint="eastAsia" w:ascii="宋体" w:hAnsi="宋体" w:eastAsia="宋体" w:cs="宋体"/>
                <w:color w:val="000000"/>
                <w:sz w:val="24"/>
                <w:szCs w:val="24"/>
                <w:u w:val="single"/>
              </w:rPr>
              <w:t>2022年</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业绩证明材料：</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☑合同/订单</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□中标通知书/成交通知书</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0052"/>
            </w:r>
            <w:r>
              <w:rPr>
                <w:rFonts w:hint="eastAsia" w:ascii="宋体" w:hAnsi="宋体" w:eastAsia="宋体" w:cs="宋体"/>
                <w:color w:val="000000"/>
                <w:sz w:val="24"/>
                <w:szCs w:val="24"/>
              </w:rPr>
              <w:t>竣工</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完工</w:t>
            </w:r>
            <w:r>
              <w:rPr>
                <w:rFonts w:hint="eastAsia" w:ascii="宋体" w:hAnsi="宋体" w:cs="宋体"/>
                <w:color w:val="000000"/>
                <w:sz w:val="24"/>
                <w:szCs w:val="24"/>
                <w:lang w:eastAsia="zh-CN"/>
              </w:rPr>
              <w:t>）</w:t>
            </w:r>
            <w:r>
              <w:rPr>
                <w:rFonts w:hint="eastAsia" w:ascii="宋体" w:hAnsi="宋体" w:eastAsia="宋体" w:cs="宋体"/>
                <w:color w:val="000000"/>
                <w:sz w:val="24"/>
                <w:szCs w:val="24"/>
              </w:rPr>
              <w:t>验收报告/验收证明</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□业主证明</w:t>
            </w:r>
          </w:p>
          <w:p>
            <w:pPr>
              <w:spacing w:line="288" w:lineRule="auto"/>
              <w:jc w:val="both"/>
              <w:rPr>
                <w:rFonts w:hint="eastAsia" w:ascii="宋体" w:hAnsi="宋体" w:eastAsia="宋体" w:cs="宋体"/>
                <w:sz w:val="24"/>
                <w:szCs w:val="24"/>
              </w:rPr>
            </w:pPr>
            <w:r>
              <w:rPr>
                <w:rFonts w:hint="eastAsia" w:ascii="宋体" w:hAnsi="宋体" w:eastAsia="宋体" w:cs="宋体"/>
                <w:color w:val="000000"/>
                <w:sz w:val="24"/>
                <w:szCs w:val="24"/>
              </w:rPr>
              <w:t>□其他材料：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3.5（5）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sz w:val="24"/>
                <w:szCs w:val="24"/>
              </w:rPr>
            </w:pPr>
            <w:r>
              <w:rPr>
                <w:rFonts w:hint="eastAsia" w:ascii="宋体" w:hAnsi="宋体" w:eastAsia="宋体" w:cs="宋体"/>
                <w:color w:val="000000"/>
                <w:sz w:val="24"/>
                <w:szCs w:val="24"/>
                <w:lang w:eastAsia="zh-CN"/>
              </w:rPr>
              <w:sym w:font="Wingdings 2" w:char="0052"/>
            </w:r>
            <w:r>
              <w:rPr>
                <w:rFonts w:hint="eastAsia" w:ascii="宋体" w:hAnsi="宋体" w:eastAsia="宋体" w:cs="宋体"/>
                <w:color w:val="000000"/>
                <w:sz w:val="24"/>
                <w:szCs w:val="24"/>
              </w:rPr>
              <w:t>适用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需要提供证明材料，包括：信用中国</w:t>
            </w:r>
            <w:r>
              <w:rPr>
                <w:rFonts w:hint="eastAsia" w:ascii="宋体" w:hAnsi="宋体" w:eastAsia="宋体" w:cs="宋体"/>
                <w:sz w:val="24"/>
                <w:szCs w:val="24"/>
              </w:rPr>
              <w:t>（https://www.creditchina.gov.cn/）网站上所下载的“企业信用信息报告”第1、2页复印件并加盖公章。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3.5（6）</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□不适用</w:t>
            </w:r>
          </w:p>
          <w:p>
            <w:pPr>
              <w:spacing w:line="288" w:lineRule="auto"/>
              <w:jc w:val="both"/>
              <w:rPr>
                <w:rFonts w:hint="eastAsia" w:ascii="宋体" w:hAnsi="宋体" w:eastAsia="宋体" w:cs="宋体"/>
                <w:sz w:val="24"/>
                <w:szCs w:val="24"/>
              </w:rPr>
            </w:pPr>
            <w:r>
              <w:rPr>
                <w:rFonts w:hint="eastAsia" w:ascii="宋体" w:hAnsi="宋体" w:eastAsia="宋体" w:cs="宋体"/>
                <w:color w:val="000000"/>
                <w:sz w:val="24"/>
                <w:szCs w:val="24"/>
              </w:rPr>
              <w:t>☑适用。</w:t>
            </w:r>
            <w:r>
              <w:rPr>
                <w:rFonts w:hint="eastAsia" w:ascii="宋体" w:hAnsi="宋体" w:eastAsia="宋体" w:cs="宋体"/>
                <w:sz w:val="24"/>
                <w:szCs w:val="24"/>
              </w:rPr>
              <w:t>供应商应提供拟委任的主要人员汇总表和主要人员简历表（格式见第六章“响应文件格式”七、资格审查资料（</w:t>
            </w:r>
            <w:r>
              <w:rPr>
                <w:rFonts w:hint="eastAsia" w:ascii="宋体" w:hAnsi="宋体" w:eastAsia="宋体" w:cs="宋体"/>
                <w:sz w:val="24"/>
                <w:szCs w:val="24"/>
                <w:lang w:val="en-US" w:eastAsia="zh-CN"/>
              </w:rPr>
              <w:t>五</w:t>
            </w:r>
            <w:r>
              <w:rPr>
                <w:rFonts w:hint="eastAsia" w:ascii="宋体" w:hAnsi="宋体" w:eastAsia="宋体" w:cs="宋体"/>
                <w:sz w:val="24"/>
                <w:szCs w:val="24"/>
              </w:rPr>
              <w:t>）拟委任的主要人员汇总表和（</w:t>
            </w:r>
            <w:r>
              <w:rPr>
                <w:rFonts w:hint="eastAsia" w:ascii="宋体" w:hAnsi="宋体" w:eastAsia="宋体" w:cs="宋体"/>
                <w:sz w:val="24"/>
                <w:szCs w:val="24"/>
                <w:lang w:val="en-US" w:eastAsia="zh-CN"/>
              </w:rPr>
              <w:t>六</w:t>
            </w:r>
            <w:r>
              <w:rPr>
                <w:rFonts w:hint="eastAsia" w:ascii="宋体" w:hAnsi="宋体" w:eastAsia="宋体" w:cs="宋体"/>
                <w:sz w:val="24"/>
                <w:szCs w:val="24"/>
              </w:rPr>
              <w:t xml:space="preserve">）主要人员简历表）。供应商应填报满足第一章“采购公告”规定的项目负责人和其他主要人员的相关信息，并按如下要求提供相关证明文件：                    </w:t>
            </w:r>
          </w:p>
          <w:p>
            <w:pPr>
              <w:spacing w:line="288"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项目负责人1人：</w:t>
            </w:r>
            <w:r>
              <w:rPr>
                <w:rFonts w:hint="eastAsia" w:ascii="宋体" w:hAnsi="宋体" w:eastAsia="宋体" w:cs="宋体"/>
                <w:spacing w:val="4"/>
                <w:kern w:val="0"/>
                <w:sz w:val="24"/>
                <w:szCs w:val="24"/>
              </w:rPr>
              <w:t>具有铁道工程相关专业初级或以上技术职称；</w:t>
            </w:r>
          </w:p>
          <w:p>
            <w:pPr>
              <w:spacing w:line="288" w:lineRule="auto"/>
              <w:jc w:val="both"/>
              <w:rPr>
                <w:rFonts w:hint="eastAsia" w:ascii="宋体" w:hAnsi="宋体" w:eastAsia="宋体" w:cs="宋体"/>
                <w:color w:val="000000"/>
                <w:sz w:val="24"/>
                <w:szCs w:val="24"/>
              </w:rPr>
            </w:pPr>
            <w:r>
              <w:rPr>
                <w:rFonts w:hint="eastAsia" w:ascii="宋体" w:hAnsi="宋体" w:eastAsia="宋体" w:cs="宋体"/>
                <w:sz w:val="24"/>
                <w:szCs w:val="24"/>
              </w:rPr>
              <w:t>项目安全员1人：须具备安全考核合格证书C证；</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3.5（7）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3.5（8）</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☑需要提供提供</w:t>
            </w:r>
            <w:r>
              <w:rPr>
                <w:rFonts w:hint="eastAsia" w:ascii="宋体" w:hAnsi="宋体" w:eastAsia="宋体" w:cs="宋体"/>
                <w:color w:val="000000"/>
                <w:sz w:val="24"/>
                <w:szCs w:val="24"/>
                <w:lang w:val="en-US" w:eastAsia="zh-CN"/>
              </w:rPr>
              <w:t>承诺函。</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3.6.1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提供证据或证明材料复印件，并加盖单位公章。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3.6.2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☑供应商只能提出唯一响应方案</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3.7.5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是否要求提供电子版响应文件：</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☑不要求</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4.1.1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响应文件的密封</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响应文件须密封</w:t>
            </w:r>
            <w:r>
              <w:rPr>
                <w:rFonts w:hint="eastAsia" w:ascii="宋体" w:hAnsi="宋体" w:cs="宋体"/>
                <w:color w:val="000000"/>
                <w:sz w:val="24"/>
                <w:szCs w:val="24"/>
                <w:lang w:val="en-US" w:eastAsia="zh-CN"/>
              </w:rPr>
              <w:t>胶</w:t>
            </w:r>
            <w:r>
              <w:rPr>
                <w:rFonts w:hint="eastAsia" w:ascii="宋体" w:hAnsi="宋体" w:eastAsia="宋体" w:cs="宋体"/>
                <w:color w:val="000000"/>
                <w:sz w:val="24"/>
                <w:szCs w:val="24"/>
              </w:rPr>
              <w:t>装，并在封套的封口处加盖供应商单位章。</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4.1.2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12"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☑适用，供应商名称：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城港公司2023年工务代维</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4.2.1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截止时间：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2022年12月</w:t>
            </w:r>
            <w:r>
              <w:rPr>
                <w:rFonts w:hint="eastAsia" w:ascii="宋体" w:hAnsi="宋体" w:cs="宋体"/>
                <w:color w:val="000000"/>
                <w:sz w:val="24"/>
                <w:szCs w:val="24"/>
                <w:u w:val="single"/>
                <w:lang w:val="en-US" w:eastAsia="zh-CN"/>
              </w:rPr>
              <w:t>21</w:t>
            </w:r>
            <w:r>
              <w:rPr>
                <w:rFonts w:hint="eastAsia" w:ascii="宋体" w:hAnsi="宋体" w:eastAsia="宋体" w:cs="宋体"/>
                <w:color w:val="000000"/>
                <w:sz w:val="24"/>
                <w:szCs w:val="24"/>
                <w:u w:val="single"/>
                <w:lang w:val="en-US" w:eastAsia="zh-CN"/>
              </w:rPr>
              <w:t>日</w:t>
            </w:r>
            <w:r>
              <w:rPr>
                <w:rFonts w:hint="eastAsia" w:ascii="宋体" w:hAnsi="宋体" w:cs="宋体"/>
                <w:color w:val="000000"/>
                <w:sz w:val="24"/>
                <w:szCs w:val="24"/>
                <w:u w:val="single"/>
                <w:lang w:val="en-US" w:eastAsia="zh-CN"/>
              </w:rPr>
              <w:t>9</w:t>
            </w:r>
            <w:r>
              <w:rPr>
                <w:rFonts w:hint="eastAsia" w:ascii="宋体" w:hAnsi="宋体" w:eastAsia="宋体" w:cs="宋体"/>
                <w:color w:val="000000"/>
                <w:sz w:val="24"/>
                <w:szCs w:val="24"/>
                <w:u w:val="single"/>
                <w:lang w:val="en-US" w:eastAsia="zh-CN"/>
              </w:rPr>
              <w:t>时</w:t>
            </w:r>
            <w:r>
              <w:rPr>
                <w:rFonts w:hint="eastAsia" w:ascii="宋体" w:hAnsi="宋体" w:cs="宋体"/>
                <w:color w:val="000000"/>
                <w:sz w:val="24"/>
                <w:szCs w:val="24"/>
                <w:u w:val="single"/>
                <w:lang w:val="en-US" w:eastAsia="zh-CN"/>
              </w:rPr>
              <w:t>0</w:t>
            </w:r>
            <w:r>
              <w:rPr>
                <w:rFonts w:hint="eastAsia" w:ascii="宋体" w:hAnsi="宋体" w:eastAsia="宋体" w:cs="宋体"/>
                <w:color w:val="000000"/>
                <w:sz w:val="24"/>
                <w:szCs w:val="24"/>
                <w:u w:val="single"/>
                <w:lang w:val="en-US" w:eastAsia="zh-CN"/>
              </w:rPr>
              <w:t>0分</w:t>
            </w:r>
          </w:p>
          <w:p>
            <w:pPr>
              <w:widowControl w:val="0"/>
              <w:spacing w:line="312"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递交响应文件的地点： </w:t>
            </w:r>
            <w:r>
              <w:rPr>
                <w:rFonts w:hint="eastAsia" w:ascii="宋体" w:hAnsi="宋体" w:eastAsia="宋体" w:cs="宋体"/>
                <w:color w:val="000000"/>
                <w:sz w:val="24"/>
                <w:szCs w:val="24"/>
                <w:lang w:val="en-US" w:eastAsia="zh-CN"/>
              </w:rPr>
              <w:t>城港城陵矶工业站</w:t>
            </w:r>
            <w:r>
              <w:rPr>
                <w:rFonts w:hint="eastAsia" w:ascii="宋体" w:hAnsi="宋体" w:eastAsia="宋体" w:cs="宋体"/>
                <w:bCs/>
                <w:sz w:val="24"/>
                <w:szCs w:val="24"/>
              </w:rPr>
              <w:t>301室。</w:t>
            </w:r>
            <w:bookmarkStart w:id="100" w:name="_GoBack"/>
            <w:bookmarkEnd w:id="100"/>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4.2.2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4.3.3</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自采购人收到供应商递交的书面通知之日起</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☑否</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5.1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湖南省港务集团有限公司办公楼602室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5.2（4）</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开启顺序：</w:t>
            </w:r>
            <w:r>
              <w:rPr>
                <w:rFonts w:hint="eastAsia" w:ascii="宋体" w:hAnsi="宋体" w:eastAsia="宋体" w:cs="宋体"/>
                <w:color w:val="000000"/>
                <w:sz w:val="24"/>
                <w:szCs w:val="24"/>
                <w:u w:val="single"/>
              </w:rPr>
              <w:t xml:space="preserve">   随机       </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6.1.1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评审小组的组建</w:t>
            </w:r>
            <w:r>
              <w:rPr>
                <w:rStyle w:val="22"/>
                <w:rFonts w:hint="eastAsia" w:ascii="宋体" w:hAnsi="宋体" w:eastAsia="宋体" w:cs="宋体"/>
                <w:color w:val="000000"/>
                <w:sz w:val="24"/>
                <w:szCs w:val="24"/>
              </w:rPr>
              <w:footnoteReference w:id="1"/>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评标（谈判）小组构成：3人。</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评审（谈判）专家确定方式：在湖南省湘水集团有限公司综合评标专家库中随机抽取2人，业主代表1人。</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6.2.2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评审小组推荐成交候选供应商的数量</w:t>
            </w:r>
            <w:r>
              <w:rPr>
                <w:rStyle w:val="22"/>
                <w:rFonts w:hint="eastAsia" w:ascii="宋体" w:hAnsi="宋体" w:eastAsia="宋体" w:cs="宋体"/>
                <w:color w:val="000000"/>
                <w:sz w:val="24"/>
                <w:szCs w:val="24"/>
              </w:rPr>
              <w:footnoteReference w:id="2"/>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b/>
                <w:bCs/>
                <w:color w:val="000000"/>
                <w:sz w:val="24"/>
                <w:szCs w:val="24"/>
              </w:rPr>
              <w:t xml:space="preserve">  </w:t>
            </w: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-3</w:t>
            </w:r>
            <w:r>
              <w:rPr>
                <w:rFonts w:hint="eastAsia" w:ascii="宋体" w:hAnsi="宋体" w:eastAsia="宋体" w:cs="宋体"/>
                <w:color w:val="000000"/>
                <w:sz w:val="24"/>
                <w:szCs w:val="24"/>
              </w:rPr>
              <w:t>个（不超过3个），并标明推荐顺序。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6.7.2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推荐成交候选供应商的排序及数量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是否排序：</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☑排序</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7.2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成交候选供应商公示</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公示媒介：</w:t>
            </w:r>
            <w:r>
              <w:rPr>
                <w:rFonts w:hint="eastAsia" w:ascii="宋体" w:hAnsi="宋体" w:eastAsia="宋体" w:cs="宋体"/>
                <w:sz w:val="24"/>
                <w:szCs w:val="24"/>
              </w:rPr>
              <w:t>中国招标投标公共服务平台（http：//www.cebpubservice.com）、湖南省湘水集团有限公司网站（http：//www.hnsxsjt.co）、</w:t>
            </w:r>
            <w:r>
              <w:rPr>
                <w:rFonts w:hint="eastAsia" w:ascii="宋体" w:hAnsi="宋体" w:eastAsia="宋体" w:cs="宋体"/>
                <w:sz w:val="24"/>
                <w:szCs w:val="24"/>
                <w:u w:val="single"/>
              </w:rPr>
              <w:t xml:space="preserve">                                   </w:t>
            </w:r>
            <w:r>
              <w:rPr>
                <w:rFonts w:hint="eastAsia" w:ascii="宋体" w:hAnsi="宋体" w:eastAsia="宋体" w:cs="宋体"/>
                <w:sz w:val="24"/>
                <w:szCs w:val="24"/>
              </w:rPr>
              <w:t>湖南省港务集团有限公司门户网站（http://www.hnsgwjt.com/）上发布。</w:t>
            </w:r>
          </w:p>
          <w:p>
            <w:pPr>
              <w:spacing w:line="288" w:lineRule="auto"/>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公示期限：</w:t>
            </w:r>
            <w:r>
              <w:rPr>
                <w:rFonts w:hint="eastAsia" w:ascii="宋体" w:hAnsi="宋体" w:eastAsia="宋体" w:cs="宋体"/>
                <w:color w:val="000000"/>
                <w:sz w:val="24"/>
                <w:szCs w:val="24"/>
                <w:u w:val="single"/>
              </w:rPr>
              <w:t xml:space="preserve">   3日  </w:t>
            </w:r>
          </w:p>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u w:val="single"/>
              </w:rPr>
              <w:t>其他应公示的内容</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无  </w:t>
            </w:r>
          </w:p>
        </w:tc>
      </w:tr>
      <w:tr>
        <w:tblPrEx>
          <w:tblCellMar>
            <w:top w:w="0" w:type="dxa"/>
            <w:left w:w="108" w:type="dxa"/>
            <w:bottom w:w="0" w:type="dxa"/>
            <w:right w:w="108" w:type="dxa"/>
          </w:tblCellMar>
        </w:tblPrEx>
        <w:trPr>
          <w:trHeight w:val="753"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7.7</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☑不要求提交</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8.1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b w:val="0"/>
                <w:bCs w:val="0"/>
                <w:color w:val="000000"/>
                <w:sz w:val="24"/>
                <w:szCs w:val="24"/>
                <w:u w:val="none"/>
              </w:rPr>
            </w:pPr>
            <w:r>
              <w:rPr>
                <w:rFonts w:hint="eastAsia" w:ascii="宋体" w:hAnsi="宋体" w:eastAsia="宋体" w:cs="宋体"/>
                <w:color w:val="000000"/>
                <w:sz w:val="24"/>
                <w:szCs w:val="24"/>
              </w:rPr>
              <w:t>联系人</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u w:val="none"/>
              </w:rPr>
              <w:t xml:space="preserve"> </w:t>
            </w:r>
            <w:r>
              <w:rPr>
                <w:rFonts w:hint="eastAsia" w:ascii="宋体" w:hAnsi="宋体" w:eastAsia="宋体" w:cs="宋体"/>
                <w:b w:val="0"/>
                <w:bCs w:val="0"/>
                <w:color w:val="000000"/>
                <w:sz w:val="24"/>
                <w:szCs w:val="24"/>
                <w:u w:val="none"/>
                <w:lang w:val="en-US" w:eastAsia="zh-CN"/>
              </w:rPr>
              <w:t>城港</w:t>
            </w:r>
            <w:r>
              <w:rPr>
                <w:rFonts w:hint="eastAsia" w:ascii="宋体" w:hAnsi="宋体" w:eastAsia="宋体" w:cs="宋体"/>
                <w:b w:val="0"/>
                <w:bCs w:val="0"/>
                <w:sz w:val="24"/>
                <w:szCs w:val="24"/>
                <w:u w:val="none"/>
              </w:rPr>
              <w:t>纪检监察部</w:t>
            </w:r>
            <w:r>
              <w:rPr>
                <w:rFonts w:hint="eastAsia" w:ascii="宋体" w:hAnsi="宋体" w:eastAsia="宋体" w:cs="宋体"/>
                <w:b w:val="0"/>
                <w:bCs w:val="0"/>
                <w:color w:val="000000"/>
                <w:sz w:val="24"/>
                <w:szCs w:val="24"/>
                <w:u w:val="none"/>
              </w:rPr>
              <w:t xml:space="preserve">    </w:t>
            </w:r>
          </w:p>
          <w:p>
            <w:pPr>
              <w:snapToGrid w:val="0"/>
              <w:spacing w:line="52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联系电话：</w:t>
            </w:r>
            <w:r>
              <w:rPr>
                <w:rFonts w:hint="eastAsia" w:ascii="宋体" w:hAnsi="宋体" w:eastAsia="宋体" w:cs="宋体"/>
                <w:b w:val="0"/>
                <w:bCs w:val="0"/>
                <w:sz w:val="24"/>
                <w:szCs w:val="24"/>
              </w:rPr>
              <w:t>0730-</w:t>
            </w:r>
            <w:r>
              <w:rPr>
                <w:rFonts w:hint="eastAsia" w:ascii="宋体" w:hAnsi="宋体" w:eastAsia="宋体" w:cs="宋体"/>
                <w:b w:val="0"/>
                <w:bCs w:val="0"/>
                <w:sz w:val="24"/>
                <w:szCs w:val="24"/>
                <w:lang w:val="zh-CN"/>
              </w:rPr>
              <w:t>3050160</w:t>
            </w:r>
            <w:r>
              <w:rPr>
                <w:rFonts w:hint="eastAsia" w:ascii="宋体" w:hAnsi="宋体" w:eastAsia="宋体" w:cs="宋体"/>
                <w:b w:val="0"/>
                <w:bCs w:val="0"/>
                <w:color w:val="000000"/>
                <w:sz w:val="24"/>
                <w:szCs w:val="24"/>
              </w:rPr>
              <w:t xml:space="preserve"> </w:t>
            </w:r>
          </w:p>
          <w:p>
            <w:pPr>
              <w:snapToGrid w:val="0"/>
              <w:spacing w:line="520" w:lineRule="exac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通信地址：湖南岳阳城陵矶长江路2号</w:t>
            </w:r>
            <w:r>
              <w:rPr>
                <w:rFonts w:hint="eastAsia" w:ascii="宋体" w:hAnsi="宋体" w:eastAsia="宋体" w:cs="宋体"/>
                <w:b w:val="0"/>
                <w:bCs w:val="0"/>
                <w:sz w:val="24"/>
                <w:szCs w:val="24"/>
              </w:rPr>
              <w:t>岳阳城陵矶港务有限责任公司纪检监察部</w:t>
            </w:r>
          </w:p>
          <w:p>
            <w:pPr>
              <w:spacing w:line="288" w:lineRule="auto"/>
              <w:jc w:val="both"/>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10.1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☑不要求承担</w:t>
            </w:r>
          </w:p>
        </w:tc>
      </w:tr>
      <w:tr>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10.2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pPr>
              <w:spacing w:line="288"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供应商提供的相关证明文件若为复印件，必须加盖单位公章。</w:t>
            </w:r>
          </w:p>
          <w:p>
            <w:pPr>
              <w:spacing w:line="288"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本项目</w:t>
            </w:r>
            <w:r>
              <w:rPr>
                <w:rFonts w:hint="eastAsia" w:ascii="宋体" w:hAnsi="宋体" w:eastAsia="宋体" w:cs="宋体"/>
                <w:b/>
                <w:bCs/>
                <w:color w:val="000000"/>
                <w:sz w:val="24"/>
                <w:szCs w:val="24"/>
                <w:highlight w:val="none"/>
                <w:lang w:eastAsia="zh-CN"/>
              </w:rPr>
              <w:t>不接受</w:t>
            </w:r>
            <w:r>
              <w:rPr>
                <w:rFonts w:hint="eastAsia" w:ascii="宋体" w:hAnsi="宋体" w:eastAsia="宋体" w:cs="宋体"/>
                <w:color w:val="000000"/>
                <w:sz w:val="24"/>
                <w:szCs w:val="24"/>
                <w:highlight w:val="none"/>
                <w:lang w:eastAsia="zh-CN"/>
              </w:rPr>
              <w:t>联合体投标。</w:t>
            </w:r>
          </w:p>
          <w:p>
            <w:pPr>
              <w:spacing w:line="288" w:lineRule="auto"/>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highlight w:val="none"/>
                <w:lang w:val="en-US" w:eastAsia="zh-CN"/>
              </w:rPr>
              <w:t>3.响应文件份数：</w:t>
            </w:r>
            <w:r>
              <w:rPr>
                <w:rFonts w:hint="eastAsia" w:ascii="宋体" w:hAnsi="宋体" w:eastAsia="宋体" w:cs="宋体"/>
                <w:color w:val="000000"/>
                <w:sz w:val="24"/>
                <w:szCs w:val="24"/>
                <w:highlight w:val="none"/>
                <w:u w:val="single"/>
              </w:rPr>
              <w:t>正本</w:t>
            </w:r>
            <w:r>
              <w:rPr>
                <w:rFonts w:hint="eastAsia" w:ascii="宋体" w:hAnsi="宋体" w:cs="宋体"/>
                <w:color w:val="000000"/>
                <w:sz w:val="24"/>
                <w:szCs w:val="24"/>
                <w:highlight w:val="none"/>
                <w:u w:val="single"/>
                <w:lang w:val="en-US" w:eastAsia="zh-CN"/>
              </w:rPr>
              <w:t>1</w:t>
            </w:r>
            <w:r>
              <w:rPr>
                <w:rFonts w:hint="eastAsia" w:ascii="宋体" w:hAnsi="宋体" w:eastAsia="宋体" w:cs="宋体"/>
                <w:color w:val="000000"/>
                <w:sz w:val="24"/>
                <w:szCs w:val="24"/>
                <w:highlight w:val="none"/>
                <w:u w:val="single"/>
              </w:rPr>
              <w:t>份</w:t>
            </w:r>
            <w:r>
              <w:rPr>
                <w:rFonts w:hint="eastAsia" w:ascii="宋体" w:hAnsi="宋体" w:eastAsia="宋体" w:cs="宋体"/>
                <w:color w:val="000000"/>
                <w:sz w:val="24"/>
                <w:szCs w:val="24"/>
                <w:highlight w:val="none"/>
              </w:rPr>
              <w:t>，</w:t>
            </w:r>
            <w:r>
              <w:rPr>
                <w:rFonts w:hint="eastAsia" w:ascii="宋体" w:hAnsi="宋体" w:eastAsia="宋体" w:cs="宋体"/>
                <w:b w:val="0"/>
                <w:bCs w:val="0"/>
                <w:color w:val="000000"/>
                <w:sz w:val="24"/>
                <w:szCs w:val="24"/>
                <w:highlight w:val="none"/>
                <w:u w:val="single"/>
              </w:rPr>
              <w:t>副本 2 份</w:t>
            </w:r>
            <w:r>
              <w:rPr>
                <w:rFonts w:hint="eastAsia" w:ascii="宋体" w:hAnsi="宋体" w:cs="宋体"/>
                <w:b w:val="0"/>
                <w:bCs w:val="0"/>
                <w:color w:val="000000"/>
                <w:sz w:val="24"/>
                <w:szCs w:val="24"/>
                <w:highlight w:val="none"/>
                <w:u w:val="single"/>
                <w:lang w:eastAsia="zh-CN"/>
              </w:rPr>
              <w:t>。</w:t>
            </w:r>
          </w:p>
        </w:tc>
      </w:tr>
    </w:tbl>
    <w:p>
      <w:pPr>
        <w:rPr>
          <w:rFonts w:hint="eastAsia" w:ascii="宋体" w:hAnsi="宋体" w:eastAsia="宋体" w:cs="宋体"/>
          <w:sz w:val="24"/>
          <w:szCs w:val="24"/>
        </w:rPr>
      </w:pPr>
      <w:r>
        <w:rPr>
          <w:rFonts w:hint="eastAsia" w:ascii="宋体" w:hAnsi="宋体" w:eastAsia="宋体" w:cs="宋体"/>
          <w:sz w:val="24"/>
          <w:szCs w:val="24"/>
        </w:rPr>
        <w:br w:type="page"/>
      </w:r>
    </w:p>
    <w:p>
      <w:pPr>
        <w:spacing w:line="240" w:lineRule="auto"/>
        <w:jc w:val="center"/>
        <w:outlineLvl w:val="0"/>
        <w:rPr>
          <w:rFonts w:hint="eastAsia" w:ascii="黑体" w:hAnsi="黑体" w:eastAsia="黑体" w:cs="仿宋"/>
          <w:b/>
          <w:color w:val="000000"/>
          <w:kern w:val="0"/>
          <w:sz w:val="44"/>
          <w:szCs w:val="44"/>
          <w:lang w:val="en-US" w:eastAsia="zh-CN" w:bidi="ar-SA"/>
        </w:rPr>
      </w:pPr>
      <w:bookmarkStart w:id="15" w:name="_Toc12159"/>
      <w:bookmarkStart w:id="16" w:name="_Toc2443"/>
      <w:r>
        <w:rPr>
          <w:rFonts w:hint="eastAsia" w:ascii="黑体" w:hAnsi="黑体" w:eastAsia="黑体" w:cs="仿宋"/>
          <w:b/>
          <w:color w:val="000000"/>
          <w:kern w:val="0"/>
          <w:sz w:val="44"/>
          <w:szCs w:val="44"/>
          <w:lang w:val="en-US" w:eastAsia="zh-CN" w:bidi="ar-SA"/>
        </w:rPr>
        <w:t>第二章 供应商须知正文</w:t>
      </w:r>
      <w:bookmarkEnd w:id="15"/>
      <w:bookmarkEnd w:id="16"/>
    </w:p>
    <w:p>
      <w:pPr>
        <w:adjustRightInd w:val="0"/>
        <w:snapToGrid w:val="0"/>
        <w:spacing w:before="120" w:beforeLines="50" w:after="120" w:afterLines="50"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 总则</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1.1采购方法和评审办法</w:t>
      </w:r>
    </w:p>
    <w:p>
      <w:pPr>
        <w:pStyle w:val="27"/>
        <w:spacing w:before="120" w:after="120" w:line="312" w:lineRule="auto"/>
        <w:ind w:left="426" w:firstLine="48" w:firstLineChars="20"/>
        <w:jc w:val="both"/>
        <w:rPr>
          <w:rFonts w:hint="eastAsia" w:ascii="宋体" w:hAnsi="宋体" w:eastAsia="宋体" w:cs="宋体"/>
          <w:sz w:val="24"/>
          <w:szCs w:val="24"/>
        </w:rPr>
      </w:pPr>
      <w:r>
        <w:rPr>
          <w:rFonts w:hint="eastAsia" w:ascii="宋体" w:hAnsi="宋体" w:eastAsia="宋体" w:cs="宋体"/>
          <w:sz w:val="24"/>
          <w:szCs w:val="24"/>
        </w:rPr>
        <w:t>本项目采用供应商须知前附表规定的采购方式和评审办法。</w:t>
      </w:r>
    </w:p>
    <w:p>
      <w:pPr>
        <w:pStyle w:val="28"/>
        <w:spacing w:line="312" w:lineRule="auto"/>
        <w:ind w:firstLine="0" w:firstLineChars="0"/>
        <w:rPr>
          <w:rFonts w:hint="eastAsia" w:ascii="宋体" w:hAnsi="宋体" w:eastAsia="宋体" w:cs="宋体"/>
          <w:sz w:val="24"/>
          <w:szCs w:val="24"/>
        </w:rPr>
      </w:pPr>
      <w:r>
        <w:rPr>
          <w:rFonts w:hint="eastAsia" w:ascii="宋体" w:hAnsi="宋体" w:eastAsia="宋体" w:cs="宋体"/>
          <w:sz w:val="24"/>
          <w:szCs w:val="24"/>
        </w:rPr>
        <w:t>1.1.1采购方法</w:t>
      </w:r>
    </w:p>
    <w:p>
      <w:pPr>
        <w:pStyle w:val="28"/>
        <w:spacing w:line="312" w:lineRule="auto"/>
        <w:ind w:firstLine="453" w:firstLineChars="189"/>
        <w:rPr>
          <w:rFonts w:hint="eastAsia" w:ascii="宋体" w:hAnsi="宋体" w:eastAsia="宋体" w:cs="宋体"/>
          <w:sz w:val="24"/>
          <w:szCs w:val="24"/>
        </w:rPr>
      </w:pPr>
      <w:r>
        <w:rPr>
          <w:rFonts w:hint="eastAsia" w:ascii="宋体" w:hAnsi="宋体" w:eastAsia="宋体" w:cs="宋体"/>
          <w:sz w:val="24"/>
          <w:szCs w:val="24"/>
        </w:rPr>
        <w:t>询价采购，是指按照规定程序就采购项目向符合资格要求的供应商进行询价，通过评审、比较确定成交供应商的采购方式。</w:t>
      </w:r>
    </w:p>
    <w:p>
      <w:pPr>
        <w:pStyle w:val="28"/>
        <w:spacing w:line="312" w:lineRule="auto"/>
        <w:ind w:firstLine="0" w:firstLineChars="0"/>
        <w:rPr>
          <w:rFonts w:hint="eastAsia" w:ascii="宋体" w:hAnsi="宋体" w:eastAsia="宋体" w:cs="宋体"/>
          <w:sz w:val="24"/>
          <w:szCs w:val="24"/>
        </w:rPr>
      </w:pPr>
      <w:r>
        <w:rPr>
          <w:rFonts w:hint="eastAsia" w:ascii="宋体" w:hAnsi="宋体" w:eastAsia="宋体" w:cs="宋体"/>
          <w:sz w:val="24"/>
          <w:szCs w:val="24"/>
        </w:rPr>
        <w:t>1.1.2评审办法</w:t>
      </w:r>
    </w:p>
    <w:p>
      <w:pPr>
        <w:pStyle w:val="28"/>
        <w:spacing w:line="312" w:lineRule="auto"/>
        <w:ind w:firstLine="453" w:firstLineChars="189"/>
        <w:rPr>
          <w:rFonts w:hint="eastAsia" w:ascii="宋体" w:hAnsi="宋体" w:eastAsia="宋体" w:cs="宋体"/>
          <w:sz w:val="24"/>
          <w:szCs w:val="24"/>
        </w:rPr>
      </w:pPr>
      <w:r>
        <w:rPr>
          <w:rFonts w:hint="eastAsia" w:ascii="宋体" w:hAnsi="宋体" w:eastAsia="宋体" w:cs="宋体"/>
          <w:sz w:val="24"/>
          <w:szCs w:val="24"/>
        </w:rPr>
        <w:t>最低价法，是指在资质、业绩、信誉等条件均满足询价文件要求的前提下，按单项或总价价格最低原则确定成交供应商。包括同质比价法和同价比质法。</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1.2采购项目概况和供应商资格要求</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采购项目概况和供应商资格要求见第一章“采购公告”。</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1.3 费用承担</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供应商准备和参加采购活动所发生的各种费用由供应商自行承担。</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1.4保密</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参加采购活动的各方应对采购文件和响应文件中的商业和技术等秘密保密，否则应承担相应的法律责任。</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1.5语言文字</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采购文件和响应文件使用的语言文字为中文。专用术语使用外文的，应附有中文注释。</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1.6计量单位</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所有计量均采用中华人民共和国法定计量单位。</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1.7踏勘现场（本项目不组织踏勘现场）</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1.8采购预备会（本项目不组织采购预备会）</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1.9主要材料和关键部件外购</w:t>
      </w:r>
    </w:p>
    <w:p>
      <w:pPr>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供应商拟对主要材料和关键部件进行外购的，应符合第五章“采购需求”中提出的或允许外购的相关规定，并在响应文件中作出说明。</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1.10响应和偏差</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1.10.1采购需求和合同草案中的关键条款均以“*”符号标记。响应文件应当对采购需求和合同草案的关键条款作出满足性或更有利于采购人的响应，否则，供应商的响应文件将被视为无效。</w:t>
      </w:r>
    </w:p>
    <w:p>
      <w:pPr>
        <w:adjustRightInd w:val="0"/>
        <w:snapToGrid w:val="0"/>
        <w:spacing w:line="312" w:lineRule="auto"/>
        <w:ind w:left="105" w:leftChars="50"/>
        <w:jc w:val="both"/>
        <w:rPr>
          <w:rFonts w:hint="eastAsia" w:ascii="宋体" w:hAnsi="宋体" w:eastAsia="宋体" w:cs="宋体"/>
          <w:sz w:val="24"/>
          <w:szCs w:val="24"/>
        </w:rPr>
      </w:pPr>
      <w:r>
        <w:rPr>
          <w:rFonts w:hint="eastAsia" w:ascii="宋体" w:hAnsi="宋体" w:eastAsia="宋体" w:cs="宋体"/>
          <w:sz w:val="24"/>
          <w:szCs w:val="24"/>
        </w:rPr>
        <w:t>1.10.2供应商须知前附表规定了对非关键条款允许偏差的范围和可以偏差的项数的，如响应文件存在的偏差超出上述范围或项数，将被视为无效。</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2采购文件</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2.1采购文件的组成</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本采购文件包括:</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(1)采购公告:</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(2)供应商须知;</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(3)评审办法;</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(4)合同条款及格式;</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(5)采购需求;</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(6)响应文件格式;</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(7)供应商须知前附表规定的其他资料。</w:t>
      </w:r>
    </w:p>
    <w:p>
      <w:pPr>
        <w:adjustRightInd w:val="0"/>
        <w:snapToGrid w:val="0"/>
        <w:spacing w:line="312" w:lineRule="auto"/>
        <w:ind w:left="105" w:leftChars="50" w:firstLine="453" w:firstLineChars="189"/>
        <w:jc w:val="both"/>
        <w:rPr>
          <w:rFonts w:hint="eastAsia" w:ascii="宋体" w:hAnsi="宋体" w:eastAsia="宋体" w:cs="宋体"/>
          <w:sz w:val="24"/>
          <w:szCs w:val="24"/>
        </w:rPr>
      </w:pPr>
      <w:r>
        <w:rPr>
          <w:rFonts w:hint="eastAsia" w:ascii="宋体" w:hAnsi="宋体" w:eastAsia="宋体" w:cs="宋体"/>
          <w:sz w:val="24"/>
          <w:szCs w:val="24"/>
        </w:rPr>
        <w:t>采购人依照本章规定，对采购文件所作的澄清、修改，构成采购文件的组成部分。</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2.2采购文件的澄清和修改</w:t>
      </w:r>
    </w:p>
    <w:p>
      <w:pPr>
        <w:adjustRightInd w:val="0"/>
        <w:snapToGrid w:val="0"/>
        <w:spacing w:line="312" w:lineRule="auto"/>
        <w:ind w:left="105" w:leftChars="50"/>
        <w:jc w:val="both"/>
        <w:rPr>
          <w:rFonts w:hint="eastAsia" w:ascii="宋体" w:hAnsi="宋体" w:eastAsia="宋体" w:cs="宋体"/>
          <w:sz w:val="24"/>
          <w:szCs w:val="24"/>
        </w:rPr>
      </w:pPr>
      <w:r>
        <w:rPr>
          <w:rFonts w:hint="eastAsia" w:ascii="宋体" w:hAnsi="宋体" w:eastAsia="宋体" w:cs="宋体"/>
          <w:sz w:val="24"/>
          <w:szCs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312" w:lineRule="auto"/>
        <w:ind w:left="105" w:leftChars="50"/>
        <w:jc w:val="both"/>
        <w:rPr>
          <w:rFonts w:hint="eastAsia" w:ascii="宋体" w:hAnsi="宋体" w:eastAsia="宋体" w:cs="宋体"/>
          <w:sz w:val="24"/>
          <w:szCs w:val="24"/>
        </w:rPr>
      </w:pPr>
      <w:r>
        <w:rPr>
          <w:rFonts w:hint="eastAsia" w:ascii="宋体" w:hAnsi="宋体" w:eastAsia="宋体" w:cs="宋体"/>
          <w:sz w:val="24"/>
          <w:szCs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adjustRightInd w:val="0"/>
        <w:snapToGrid w:val="0"/>
        <w:spacing w:line="312" w:lineRule="auto"/>
        <w:ind w:left="105" w:leftChars="50"/>
        <w:jc w:val="both"/>
        <w:rPr>
          <w:rFonts w:hint="eastAsia" w:ascii="宋体" w:hAnsi="宋体" w:eastAsia="宋体" w:cs="宋体"/>
          <w:sz w:val="24"/>
          <w:szCs w:val="24"/>
        </w:rPr>
      </w:pPr>
      <w:r>
        <w:rPr>
          <w:rFonts w:hint="eastAsia" w:ascii="宋体" w:hAnsi="宋体" w:eastAsia="宋体" w:cs="宋体"/>
          <w:sz w:val="24"/>
          <w:szCs w:val="24"/>
        </w:rPr>
        <w:t>2.2.3供应商在收到补充文件后，应按供应商须知前附表规定的时间和方式通知采购人，确认已收到该补充文件。</w:t>
      </w:r>
    </w:p>
    <w:p>
      <w:pPr>
        <w:adjustRightInd w:val="0"/>
        <w:snapToGrid w:val="0"/>
        <w:spacing w:line="312" w:lineRule="auto"/>
        <w:ind w:left="105" w:leftChars="50"/>
        <w:jc w:val="both"/>
        <w:rPr>
          <w:rFonts w:hint="eastAsia" w:ascii="宋体" w:hAnsi="宋体" w:eastAsia="宋体" w:cs="宋体"/>
          <w:sz w:val="24"/>
          <w:szCs w:val="24"/>
        </w:rPr>
      </w:pPr>
      <w:r>
        <w:rPr>
          <w:rFonts w:hint="eastAsia" w:ascii="宋体" w:hAnsi="宋体" w:eastAsia="宋体" w:cs="宋体"/>
          <w:sz w:val="24"/>
          <w:szCs w:val="24"/>
        </w:rPr>
        <w:t>2.2.4除非确有必要，采购人有权拒绝回复供应商在本章第2.2.1项规定的时间后提出的任何澄清要求。</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3响应文件</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3.1响应文件的组成</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3.1.1响应文件应包括下列内容:</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(1)响应函;</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(2)授权委托书(如有);</w:t>
      </w:r>
    </w:p>
    <w:p>
      <w:pPr>
        <w:adjustRightInd w:val="0"/>
        <w:snapToGrid w:val="0"/>
        <w:spacing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(3)商务和技术偏差表;</w:t>
      </w:r>
    </w:p>
    <w:p>
      <w:pPr>
        <w:adjustRightInd w:val="0"/>
        <w:snapToGrid w:val="0"/>
        <w:spacing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(4)报价表;</w:t>
      </w:r>
    </w:p>
    <w:p>
      <w:pPr>
        <w:adjustRightInd w:val="0"/>
        <w:snapToGrid w:val="0"/>
        <w:spacing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(5)资格审查资料;</w:t>
      </w:r>
    </w:p>
    <w:p>
      <w:pPr>
        <w:adjustRightInd w:val="0"/>
        <w:snapToGrid w:val="0"/>
        <w:spacing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(6)响应方案;</w:t>
      </w:r>
    </w:p>
    <w:p>
      <w:pPr>
        <w:adjustRightInd w:val="0"/>
        <w:snapToGrid w:val="0"/>
        <w:spacing w:line="312"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(7)供应商须知前附表规定的其他资料。</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供应商在评审过程中作出的符合采购文件要求的澄清、说明和补正，构成响应文件的组成部分。</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3.1.2供应商的法定代表人(单位负责人)亲自签署响应文件、亲自参加采购的，响应文件不包括第3.1.1(2)目所指的授权委托书。</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3.2报价</w:t>
      </w:r>
    </w:p>
    <w:p>
      <w:pPr>
        <w:adjustRightInd w:val="0"/>
        <w:snapToGrid w:val="0"/>
        <w:spacing w:line="312" w:lineRule="auto"/>
        <w:jc w:val="both"/>
        <w:rPr>
          <w:rFonts w:hint="eastAsia" w:ascii="宋体" w:hAnsi="宋体" w:eastAsia="宋体" w:cs="宋体"/>
          <w:color w:val="FF0000"/>
          <w:sz w:val="24"/>
          <w:szCs w:val="24"/>
        </w:rPr>
      </w:pPr>
      <w:r>
        <w:rPr>
          <w:rFonts w:hint="eastAsia" w:ascii="宋体" w:hAnsi="宋体" w:eastAsia="宋体" w:cs="宋体"/>
          <w:sz w:val="24"/>
          <w:szCs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3.2.3采购人设有最高限价的，供应商的报价不得超过最高限价。最高限价或最高限价计算方法在供应商须知前附表中载明。</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3.2.4报价的其他要求见供应商须知前附表。</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3.3响应文件有效期</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3.3.1除供应商须知前附表另有规定外，响应文件有效期应为90日，从采购文件规定的递交响应文件的截止时间开始计算。</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3.3.2出现特殊情况需要延长响应文件有效期，采购人以书面形式通知所有供应商延长响应文件有效期的，供应商应予以书面答复。同意延长的，应相应延长其响应保证金的有效期，但不得修改其响应文件；供应商商拒绝延长的，其响应文件在原有效期届满后失效，但供应商有权收回其响应保证金。</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3.4响应保证金（本项目不提交响应保证金）</w:t>
      </w:r>
    </w:p>
    <w:p>
      <w:pPr>
        <w:adjustRightInd w:val="0"/>
        <w:snapToGrid w:val="0"/>
        <w:spacing w:line="312" w:lineRule="auto"/>
        <w:ind w:left="120" w:hanging="120" w:hangingChars="50"/>
        <w:jc w:val="both"/>
        <w:rPr>
          <w:rFonts w:hint="eastAsia" w:ascii="宋体" w:hAnsi="宋体" w:eastAsia="宋体" w:cs="宋体"/>
          <w:b/>
          <w:bCs/>
          <w:sz w:val="24"/>
          <w:szCs w:val="24"/>
        </w:rPr>
      </w:pPr>
      <w:r>
        <w:rPr>
          <w:rFonts w:hint="eastAsia" w:ascii="宋体" w:hAnsi="宋体" w:eastAsia="宋体" w:cs="宋体"/>
          <w:b/>
          <w:bCs/>
          <w:sz w:val="24"/>
          <w:szCs w:val="24"/>
        </w:rPr>
        <w:t>3.5资格审查资料</w:t>
      </w:r>
    </w:p>
    <w:p>
      <w:pPr>
        <w:adjustRightInd w:val="0"/>
        <w:snapToGrid w:val="0"/>
        <w:spacing w:line="312" w:lineRule="auto"/>
        <w:ind w:left="149" w:leftChars="71" w:firstLine="360" w:firstLineChars="150"/>
        <w:jc w:val="both"/>
        <w:rPr>
          <w:rFonts w:hint="eastAsia" w:ascii="宋体" w:hAnsi="宋体" w:eastAsia="宋体" w:cs="宋体"/>
          <w:sz w:val="24"/>
          <w:szCs w:val="24"/>
        </w:rPr>
      </w:pPr>
      <w:r>
        <w:rPr>
          <w:rFonts w:hint="eastAsia" w:ascii="宋体" w:hAnsi="宋体" w:eastAsia="宋体" w:cs="宋体"/>
          <w:sz w:val="24"/>
          <w:szCs w:val="24"/>
        </w:rPr>
        <w:t>供应商应提供供应商须知前附表3.5(1)-3.5(9)中规定的资格审查资料，以证明其满足第一章“采购公告”对供应商的各项资格要求。</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3.6响应方案</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3.6.1响应文件应当对采购文件中的实质性内容作出响应。采购需求中明确为关键条款(标记“*”)的，供应商还应按照供应商须知前附表的规定提供有关证据或证明材料。</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3.6.2供应商只能提出唯一的响应方案。供应商在响应文件中提出多个响应方案的，其响应文件将被视为无效。</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3.7响应文件的编制</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3.7.1响应文件应按第六章“响应文件格式”进行编写，如有必要，可以增加附件作为响应文件的组成部分。</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3.7.2响应文件应用不褪色的的材料书写或打印。</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响应函应由供应商的法定代表人(单位负责人)或其授权的代理人签字并加盖单位章。联合体协议书(如有)应由联合体各方的法定代表人(单位负责人)或其授权的代理人签字并加盖单位章。</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响应函或联合体协议书(如有)由代理人签字的，应在响应文件中附授权委托书，授权委托书应由供应商或联合体各方的法定代表人(单位负责人)签字并加盖单位章。</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3.7.3评审过程中供应商对响应文件的澄清、说明和补正应由供应商的法定代表人(单位负责人)或其授权的代理人签字或加盖单位章。</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3.7.4响应文件应尽量避免涂改、行间插字或删除。如果出现上述情况，改动之处应由供应商的法定代表人(单位负责人)或其授权的代理人签字或加盖单位章。</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3.7.5响应文件正本一份，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3.7.6响应文件的正本与副本应分别装订，并编制目录。响应文件需分册装订的，具体分册装订要求见供应商须知前附表规定。</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4响应文件的递交</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4.1响应文件的包装与标记</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4.1.1响应文件应安善包装。供应商须知前附表规定响应文件应密封的，响应文件应按要求密封。</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4.1.2响应文件封套上应载明的内容见供应商须知前附表。</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4.2响应文件的递交</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4.2.1供应商应在供应商须知前附表规定的递交响应文件的截止时间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日，下午</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点</w:t>
      </w:r>
      <w:r>
        <w:rPr>
          <w:rFonts w:hint="eastAsia" w:ascii="宋体" w:hAnsi="宋体" w:cs="宋体"/>
          <w:sz w:val="24"/>
          <w:szCs w:val="24"/>
          <w:lang w:val="en-US" w:eastAsia="zh-CN"/>
        </w:rPr>
        <w:t>30分</w:t>
      </w:r>
      <w:r>
        <w:rPr>
          <w:rFonts w:hint="eastAsia" w:ascii="宋体" w:hAnsi="宋体" w:eastAsia="宋体" w:cs="宋体"/>
          <w:sz w:val="24"/>
          <w:szCs w:val="24"/>
          <w:lang w:val="en-US" w:eastAsia="zh-CN"/>
        </w:rPr>
        <w:t>）</w:t>
      </w:r>
      <w:r>
        <w:rPr>
          <w:rFonts w:hint="eastAsia" w:ascii="宋体" w:hAnsi="宋体" w:eastAsia="宋体" w:cs="宋体"/>
          <w:sz w:val="24"/>
          <w:szCs w:val="24"/>
        </w:rPr>
        <w:t>前，将响应文件递交到供应商须知前附表规定的地点。逾期送达的或者未送达指定地点的响应文件，采购人将拒绝接收。采购人收到响应文件后，向供应商出具接收凭证。</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4.2.2除供应商须知前附表另有规定外，供应商所提交的响应文件不于退还。</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4.3响应文件的修改与撤回</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4.3.1在本章第4.2.1项规定的递交响应文件的截止时间前，供应商可以修改或撤回已递交的响应文件。</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4.3.3除供应商须知前附表另有规定外，供应商撤回响应文件的，采购人应在5日内退还已收取的响应保证金。</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4.3.4修改的内容为响应文件的组成部分。响应文件的修改文件应按照本章第3条、第4条的规定进行编制、包装、标记和递交，并注明“修改”字样。</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5开启响应文件</w:t>
      </w:r>
    </w:p>
    <w:p>
      <w:pPr>
        <w:adjustRightInd w:val="0"/>
        <w:snapToGrid w:val="0"/>
        <w:spacing w:line="312" w:lineRule="auto"/>
        <w:ind w:firstLine="455" w:firstLineChars="189"/>
        <w:jc w:val="both"/>
        <w:rPr>
          <w:rFonts w:hint="eastAsia" w:ascii="宋体" w:hAnsi="宋体" w:eastAsia="宋体" w:cs="宋体"/>
          <w:sz w:val="24"/>
          <w:szCs w:val="24"/>
        </w:rPr>
      </w:pPr>
      <w:r>
        <w:rPr>
          <w:rFonts w:hint="eastAsia" w:ascii="宋体" w:hAnsi="宋体" w:eastAsia="宋体" w:cs="宋体"/>
          <w:b/>
          <w:sz w:val="24"/>
          <w:szCs w:val="24"/>
        </w:rPr>
        <w:t>采购人一般不公开开启响应文件。如</w:t>
      </w:r>
      <w:r>
        <w:rPr>
          <w:rFonts w:hint="eastAsia" w:ascii="宋体" w:hAnsi="宋体" w:eastAsia="宋体" w:cs="宋体"/>
          <w:sz w:val="24"/>
          <w:szCs w:val="24"/>
        </w:rPr>
        <w:t>供应商须知前附表规定公开开启响应文件的，开启活动应按本条规定执行。</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5.1开启响应文件的时间和地点</w:t>
      </w:r>
    </w:p>
    <w:p>
      <w:pPr>
        <w:adjustRightInd w:val="0"/>
        <w:snapToGrid w:val="0"/>
        <w:spacing w:line="312" w:lineRule="auto"/>
        <w:ind w:firstLine="453" w:firstLineChars="189"/>
        <w:jc w:val="both"/>
        <w:rPr>
          <w:rFonts w:hint="eastAsia" w:ascii="宋体" w:hAnsi="宋体" w:eastAsia="宋体" w:cs="宋体"/>
          <w:color w:val="FF0000"/>
          <w:sz w:val="24"/>
          <w:szCs w:val="24"/>
        </w:rPr>
      </w:pPr>
      <w:r>
        <w:rPr>
          <w:rFonts w:hint="eastAsia" w:ascii="宋体" w:hAnsi="宋体" w:eastAsia="宋体" w:cs="宋体"/>
          <w:sz w:val="24"/>
          <w:szCs w:val="24"/>
        </w:rPr>
        <w:t>采购人在本章第4.2.1项规定的递交响应文件的截止时间和地点公开开启响应文件，并邀请所有供应商的法定代表人(单位负责人)或其授权的代理人参加开启会议，供应商未派代表参加的，视为默认开启结果。</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5.2开启程序</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主持人按下列程序公开开启响应文件:</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(1)按照供应商须知前附表规定的开启顺序开启响应文件，公布递交响应文件的供应商名称、响应报价及供应商须知前附表规定的其他应公布的信息，并记录在案;</w:t>
      </w:r>
    </w:p>
    <w:p>
      <w:pPr>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(2)开启会议结束。</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b/>
          <w:bCs/>
          <w:sz w:val="24"/>
          <w:szCs w:val="24"/>
        </w:rPr>
        <w:t>5.3递交响应文件的供应商不足的情形</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递交响应文件的供应商数量不足三家时，应终止采购并重新组织采购。重新采购递交响应文件的供应商不少于两家时，可开启响应文件并组织评审；重新采购递交响应文件的供应商只有一家时，经审批同意后可以采取单一来源采购方式。</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6评审</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6.1评审小组</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6.1.1评审由采购人组建的评审小组负责。</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6.1.2评审小组成员有下列情形之的，应当回避:</w:t>
      </w:r>
    </w:p>
    <w:p>
      <w:pPr>
        <w:adjustRightInd w:val="0"/>
        <w:snapToGrid w:val="0"/>
        <w:spacing w:line="312" w:lineRule="auto"/>
        <w:ind w:left="716" w:leftChars="284" w:hanging="120" w:hangingChars="50"/>
        <w:jc w:val="both"/>
        <w:rPr>
          <w:rFonts w:hint="eastAsia" w:ascii="宋体" w:hAnsi="宋体" w:eastAsia="宋体" w:cs="宋体"/>
          <w:sz w:val="24"/>
          <w:szCs w:val="24"/>
        </w:rPr>
      </w:pPr>
      <w:r>
        <w:rPr>
          <w:rFonts w:hint="eastAsia" w:ascii="宋体" w:hAnsi="宋体" w:eastAsia="宋体" w:cs="宋体"/>
          <w:sz w:val="24"/>
          <w:szCs w:val="24"/>
        </w:rPr>
        <w:t>（1）供应商主要负责人或供应商主要负责人的近亲属;</w:t>
      </w:r>
    </w:p>
    <w:p>
      <w:pPr>
        <w:pStyle w:val="15"/>
        <w:rPr>
          <w:rFonts w:hint="eastAsia" w:ascii="宋体" w:hAnsi="宋体" w:eastAsia="宋体" w:cs="宋体"/>
          <w:sz w:val="24"/>
          <w:szCs w:val="24"/>
        </w:rPr>
      </w:pPr>
    </w:p>
    <w:p>
      <w:pPr>
        <w:adjustRightInd w:val="0"/>
        <w:snapToGrid w:val="0"/>
        <w:spacing w:line="312" w:lineRule="auto"/>
        <w:ind w:left="716" w:leftChars="284" w:hanging="120" w:hangingChars="50"/>
        <w:jc w:val="both"/>
        <w:rPr>
          <w:rFonts w:hint="eastAsia" w:ascii="宋体" w:hAnsi="宋体" w:eastAsia="宋体" w:cs="宋体"/>
          <w:sz w:val="24"/>
          <w:szCs w:val="24"/>
        </w:rPr>
      </w:pPr>
      <w:r>
        <w:rPr>
          <w:rFonts w:hint="eastAsia" w:ascii="宋体" w:hAnsi="宋体" w:eastAsia="宋体" w:cs="宋体"/>
          <w:sz w:val="24"/>
          <w:szCs w:val="24"/>
        </w:rPr>
        <w:t>(2)与供应商有经济利益关系或其他利害关系，可能影响公正评审的。</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6.1.3评审小组组建后，评审小组成员共同推选或或由采购人指定评审小组组长，评审小组组长负责组织评审工作。</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6.2评审</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6.2.1评审小组按照第三章“评审办法”规定的评审标准和程序对响应文件进行评审和比较。</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6.2.2评审完成后，评审小组应当向采购人提交书面评审报告和成交候选供应商名单。评审小组推荐成交候选供应商的排序要求及数量见供应商须知前附表。</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7合同授予</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7.1成交候选供应商报价核查</w:t>
      </w:r>
    </w:p>
    <w:p>
      <w:pPr>
        <w:widowControl w:val="0"/>
        <w:adjustRightInd w:val="0"/>
        <w:snapToGrid w:val="0"/>
        <w:spacing w:line="312" w:lineRule="auto"/>
        <w:ind w:firstLine="475" w:firstLineChars="198"/>
        <w:jc w:val="both"/>
        <w:rPr>
          <w:rFonts w:hint="eastAsia" w:ascii="宋体" w:hAnsi="宋体" w:eastAsia="宋体" w:cs="宋体"/>
          <w:sz w:val="24"/>
          <w:szCs w:val="24"/>
        </w:rPr>
      </w:pPr>
      <w:r>
        <w:rPr>
          <w:rFonts w:hint="eastAsia" w:ascii="宋体" w:hAnsi="宋体" w:eastAsia="宋体" w:cs="宋体"/>
          <w:sz w:val="24"/>
          <w:szCs w:val="24"/>
        </w:rPr>
        <w:t>项目评审后，如果采购人认为推荐的成交候选供应商报价明显偏离市场价格时，采购人可以对该报价进行验证，验证后，对明显偏离市场价格的报价不予接受。</w:t>
      </w:r>
    </w:p>
    <w:p>
      <w:pPr>
        <w:widowControl w:val="0"/>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7.2成交候选供应商公示</w:t>
      </w:r>
    </w:p>
    <w:p>
      <w:pPr>
        <w:pStyle w:val="15"/>
        <w:rPr>
          <w:rFonts w:hint="eastAsia" w:ascii="宋体" w:hAnsi="宋体" w:eastAsia="宋体" w:cs="宋体"/>
          <w:sz w:val="24"/>
          <w:szCs w:val="24"/>
        </w:rPr>
      </w:pPr>
      <w:r>
        <w:rPr>
          <w:rFonts w:hint="eastAsia" w:ascii="宋体" w:hAnsi="宋体" w:eastAsia="宋体" w:cs="宋体"/>
          <w:sz w:val="24"/>
          <w:szCs w:val="24"/>
        </w:rPr>
        <w:t>采购人按照供应商须知前附表规定的公示媒介和期限公示成交候选供应商。</w:t>
      </w:r>
    </w:p>
    <w:p>
      <w:pPr>
        <w:widowControl w:val="0"/>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 xml:space="preserve">7.3成交结果异议 </w:t>
      </w:r>
    </w:p>
    <w:p>
      <w:pPr>
        <w:adjustRightInd w:val="0"/>
        <w:snapToGrid w:val="0"/>
        <w:spacing w:line="312" w:lineRule="auto"/>
        <w:ind w:firstLine="424" w:firstLineChars="177"/>
        <w:jc w:val="both"/>
        <w:rPr>
          <w:rFonts w:hint="eastAsia" w:ascii="宋体" w:hAnsi="宋体" w:eastAsia="宋体" w:cs="宋体"/>
          <w:sz w:val="24"/>
          <w:szCs w:val="24"/>
        </w:rPr>
      </w:pPr>
      <w:r>
        <w:rPr>
          <w:rFonts w:hint="eastAsia" w:ascii="宋体" w:hAnsi="宋体" w:eastAsia="宋体" w:cs="宋体"/>
          <w:sz w:val="24"/>
          <w:szCs w:val="24"/>
        </w:rPr>
        <w:t>供应商或者其他利害关系人对采购结果有异议的，应当在成交候选供应商公示期间提出。</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7.4成交候选供应商履约能力核查</w:t>
      </w:r>
    </w:p>
    <w:p>
      <w:pPr>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采购人可对成交候选供应商的相关证明材料原件进行核验或组织现场考察，以确认成交候选供应商的生产经营、财务等实际状况与响应文件是否一致及是否存在其他可能影响供应商履约能力的情况。核查结果将作为采购人选择确定成交供应商的依据之一。</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7.5发出成交通知书</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公示期结束后，在本章第3.3款规定的响应文件有效期内，采购人以书面形式向成交供应商发出成交通知书，并将成交结果书面通知所有提交响应文件的供应商。</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7.6履约保证金（本项目不要求递交履约保证金）</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7.7签订合同</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7.7.2发出成交通知书后，采购人无正当理由拒绝签订合同，或者在签订合同时向成交供应商提出附加条件的，采购人向成交供应商退还响应保证金；给成交供应商造成损失的，还应当赔偿损失。</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7.7.3联合体成交的，联合体各方应当共同与采购人签订合同，就成交项目向采购人承担连带责任。</w:t>
      </w:r>
    </w:p>
    <w:p>
      <w:pPr>
        <w:adjustRightInd w:val="0"/>
        <w:snapToGrid w:val="0"/>
        <w:spacing w:line="312" w:lineRule="auto"/>
        <w:jc w:val="both"/>
        <w:rPr>
          <w:rFonts w:hint="eastAsia" w:ascii="宋体" w:hAnsi="宋体" w:eastAsia="宋体" w:cs="宋体"/>
          <w:sz w:val="24"/>
          <w:szCs w:val="24"/>
        </w:rPr>
      </w:pPr>
      <w:r>
        <w:rPr>
          <w:rFonts w:hint="eastAsia" w:ascii="宋体" w:hAnsi="宋体" w:eastAsia="宋体" w:cs="宋体"/>
          <w:sz w:val="24"/>
          <w:szCs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7.8特殊情形处理</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因供应商对成交结果提出异议、成交供应商无正当理由拒绝签订合同、成交供应商在签订合同时向采购人提出附加条件或者不按照采购文件要求递交履约保证金等导致采购人变更成交结果的，采购人应按照本条规定的程序重新选择成交供应商、进行公示并公告。</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8异议</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8.1提出异议</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供应商或者其他利害关系人可以对成交结果提出异议。异议应在成交结果公示期间通过供应商须知前附表规定的异议渠道提出，并递交异议函和必要的证明材料。异议函包括但不限于下列内容:</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(1)异议人名称、地址、邮政编码、联系人及联系电话;</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(2)具体、明确的异议事项、事实依据及与异议事项相关的请求。</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异议函应由异议人的法定代表人(单位负责人)或其授权的代理人签字并加盖单位章。</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8.2异议处理</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采购人将针对异议事项进行核查，经过核查，发现异议人对相关问题理解有误的，应作出解释；发现采购活动中确实存在错误或不当行为的，应及时予以改正或补救。</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采购人认为异议不成立或不影响采购结果的，可以继续进行采购活动。</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9纪律要求</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9.1对采购人的纪律要求</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采购人不得泄露采购活动中应当保密的情况和资料，不得与供应商串通损害国家利益、社会公共利益或者他人合法权益。</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9.2对供应商的纪律要求</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供应商不得相互串通或者与采购人串通，不得向采购人或者评审小组成员行贿谋取成交，不得以他人名义参加采购活动或者以其他方式弄虚作假骗取成交；供应商不得以任何方式干扰、影响评审工作。</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9.3对评审小组成员的纪律要求</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评审小组成员不得收受他人的财物或者其他好处，不得向他人透露对响应文件的评审和比较、成交候选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9.4对与采购活动有关的工作人员的纪律要求</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与采购活动有关的工作人员不得收受他人的财物或者其他好处，不得向他人透露对响应文件的评审和比较、成交候选供应商的推荐情况以及采购有关的其他情况。在采购活动中，与采购活动有关的工作人员不得擅离职守，影响评审工作正常进行。</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10 需要补充的其他内容</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10.1其他</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需更补充的其他内容:见供应商须知前附表。</w:t>
      </w:r>
    </w:p>
    <w:p>
      <w:pPr>
        <w:spacing w:line="312" w:lineRule="auto"/>
        <w:jc w:val="both"/>
        <w:outlineLvl w:val="0"/>
        <w:rPr>
          <w:rFonts w:hint="eastAsia" w:ascii="宋体" w:hAnsi="宋体" w:eastAsia="宋体" w:cs="宋体"/>
          <w:sz w:val="24"/>
          <w:szCs w:val="24"/>
        </w:rPr>
      </w:pPr>
      <w:bookmarkStart w:id="17" w:name="_Toc20615"/>
      <w:bookmarkStart w:id="18" w:name="_Toc16597"/>
      <w:r>
        <w:rPr>
          <w:rFonts w:hint="eastAsia" w:ascii="宋体" w:hAnsi="宋体" w:eastAsia="宋体" w:cs="宋体"/>
          <w:sz w:val="24"/>
          <w:szCs w:val="24"/>
        </w:rPr>
        <w:t>附件1  开启记录表</w:t>
      </w:r>
      <w:bookmarkEnd w:id="17"/>
      <w:bookmarkEnd w:id="18"/>
    </w:p>
    <w:p>
      <w:pPr>
        <w:adjustRightInd w:val="0"/>
        <w:snapToGrid w:val="0"/>
        <w:spacing w:line="600" w:lineRule="exact"/>
        <w:ind w:firstLine="482" w:firstLineChars="200"/>
        <w:jc w:val="center"/>
        <w:rPr>
          <w:rFonts w:hint="eastAsia" w:ascii="宋体" w:hAnsi="宋体" w:eastAsia="宋体" w:cs="宋体"/>
          <w:b/>
          <w:bCs/>
          <w:sz w:val="24"/>
          <w:szCs w:val="24"/>
        </w:rPr>
      </w:pPr>
    </w:p>
    <w:p>
      <w:pPr>
        <w:adjustRightInd w:val="0"/>
        <w:snapToGrid w:val="0"/>
        <w:spacing w:line="6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开启记录表</w:t>
      </w:r>
    </w:p>
    <w:p>
      <w:pPr>
        <w:adjustRightInd w:val="0"/>
        <w:snapToGrid w:val="0"/>
        <w:spacing w:line="600" w:lineRule="exact"/>
        <w:ind w:firstLine="482" w:firstLineChars="200"/>
        <w:jc w:val="center"/>
        <w:rPr>
          <w:rFonts w:hint="eastAsia" w:ascii="宋体" w:hAnsi="宋体" w:eastAsia="宋体" w:cs="宋体"/>
          <w:b/>
          <w:bCs/>
          <w:sz w:val="24"/>
          <w:szCs w:val="24"/>
        </w:rPr>
      </w:pPr>
    </w:p>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                                        开启时间：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p>
    <w:tbl>
      <w:tblPr>
        <w:tblStyle w:val="18"/>
        <w:tblW w:w="485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307"/>
        <w:gridCol w:w="1918"/>
        <w:gridCol w:w="191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vAlign w:val="center"/>
          </w:tcPr>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序 号</w:t>
            </w:r>
          </w:p>
        </w:tc>
        <w:tc>
          <w:tcPr>
            <w:tcW w:w="1238" w:type="pct"/>
            <w:vAlign w:val="center"/>
          </w:tcPr>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w:t>
            </w:r>
          </w:p>
        </w:tc>
        <w:tc>
          <w:tcPr>
            <w:tcW w:w="1029" w:type="pct"/>
            <w:vAlign w:val="center"/>
          </w:tcPr>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（供应商须知前附表规定的其他应公布的信息）</w:t>
            </w:r>
          </w:p>
        </w:tc>
        <w:tc>
          <w:tcPr>
            <w:tcW w:w="1029" w:type="pct"/>
            <w:vAlign w:val="center"/>
          </w:tcPr>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1029" w:type="pct"/>
            <w:vAlign w:val="center"/>
          </w:tcPr>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sz w:val="24"/>
                <w:szCs w:val="24"/>
              </w:rPr>
            </w:pPr>
          </w:p>
        </w:tc>
        <w:tc>
          <w:tcPr>
            <w:tcW w:w="1238"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sz w:val="24"/>
                <w:szCs w:val="24"/>
              </w:rPr>
            </w:pPr>
          </w:p>
        </w:tc>
        <w:tc>
          <w:tcPr>
            <w:tcW w:w="1238"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sz w:val="24"/>
                <w:szCs w:val="24"/>
              </w:rPr>
            </w:pPr>
          </w:p>
        </w:tc>
        <w:tc>
          <w:tcPr>
            <w:tcW w:w="1238"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sz w:val="24"/>
                <w:szCs w:val="24"/>
              </w:rPr>
            </w:pPr>
          </w:p>
        </w:tc>
        <w:tc>
          <w:tcPr>
            <w:tcW w:w="1238"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pct"/>
            <w:vAlign w:val="center"/>
          </w:tcPr>
          <w:p>
            <w:pPr>
              <w:widowControl w:val="0"/>
              <w:spacing w:line="240" w:lineRule="auto"/>
              <w:jc w:val="both"/>
              <w:rPr>
                <w:rFonts w:hint="eastAsia" w:ascii="宋体" w:hAnsi="宋体" w:eastAsia="宋体" w:cs="宋体"/>
                <w:sz w:val="24"/>
                <w:szCs w:val="24"/>
              </w:rPr>
            </w:pPr>
          </w:p>
        </w:tc>
        <w:tc>
          <w:tcPr>
            <w:tcW w:w="1238"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c>
          <w:tcPr>
            <w:tcW w:w="1029" w:type="pct"/>
            <w:vAlign w:val="center"/>
          </w:tcPr>
          <w:p>
            <w:pPr>
              <w:widowControl w:val="0"/>
              <w:spacing w:line="240" w:lineRule="auto"/>
              <w:jc w:val="both"/>
              <w:rPr>
                <w:rFonts w:hint="eastAsia" w:ascii="宋体" w:hAnsi="宋体" w:eastAsia="宋体" w:cs="宋体"/>
                <w:sz w:val="24"/>
                <w:szCs w:val="24"/>
              </w:rPr>
            </w:pPr>
          </w:p>
        </w:tc>
      </w:tr>
    </w:tbl>
    <w:p>
      <w:pPr>
        <w:spacing w:line="240" w:lineRule="auto"/>
        <w:jc w:val="both"/>
        <w:rPr>
          <w:rFonts w:hint="eastAsia" w:ascii="宋体" w:hAnsi="宋体" w:eastAsia="宋体" w:cs="宋体"/>
          <w:sz w:val="24"/>
          <w:szCs w:val="24"/>
        </w:rPr>
      </w:pPr>
    </w:p>
    <w:p>
      <w:pPr>
        <w:spacing w:line="240" w:lineRule="auto"/>
        <w:jc w:val="both"/>
        <w:rPr>
          <w:rFonts w:hint="eastAsia" w:ascii="宋体" w:hAnsi="宋体" w:eastAsia="宋体" w:cs="宋体"/>
          <w:sz w:val="24"/>
          <w:szCs w:val="24"/>
          <w:u w:val="single"/>
        </w:rPr>
      </w:pPr>
      <w:r>
        <w:rPr>
          <w:rFonts w:hint="eastAsia" w:ascii="宋体" w:hAnsi="宋体" w:eastAsia="宋体" w:cs="宋体"/>
          <w:sz w:val="24"/>
          <w:szCs w:val="24"/>
        </w:rPr>
        <w:t>采购人代表：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记录人：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监督人：</w:t>
      </w:r>
      <w:r>
        <w:rPr>
          <w:rFonts w:hint="eastAsia" w:ascii="宋体" w:hAnsi="宋体" w:eastAsia="宋体" w:cs="宋体"/>
          <w:sz w:val="24"/>
          <w:szCs w:val="24"/>
          <w:u w:val="single"/>
        </w:rPr>
        <w:t xml:space="preserve">        </w:t>
      </w:r>
    </w:p>
    <w:p>
      <w:pPr>
        <w:spacing w:line="240" w:lineRule="auto"/>
        <w:jc w:val="both"/>
        <w:rPr>
          <w:rFonts w:hint="eastAsia" w:ascii="宋体" w:hAnsi="宋体" w:eastAsia="宋体" w:cs="宋体"/>
          <w:sz w:val="24"/>
          <w:szCs w:val="24"/>
        </w:rPr>
      </w:pPr>
    </w:p>
    <w:p>
      <w:pPr>
        <w:adjustRightInd w:val="0"/>
        <w:snapToGrid w:val="0"/>
        <w:spacing w:line="600" w:lineRule="exact"/>
        <w:ind w:firstLine="453" w:firstLineChars="189"/>
        <w:rPr>
          <w:rFonts w:hint="eastAsia" w:ascii="宋体" w:hAnsi="宋体" w:eastAsia="宋体" w:cs="宋体"/>
          <w:sz w:val="24"/>
          <w:szCs w:val="24"/>
        </w:rPr>
      </w:pPr>
    </w:p>
    <w:p>
      <w:pPr>
        <w:adjustRightInd w:val="0"/>
        <w:snapToGrid w:val="0"/>
        <w:spacing w:line="600" w:lineRule="exact"/>
        <w:ind w:firstLine="453" w:firstLineChars="189"/>
        <w:rPr>
          <w:rFonts w:hint="eastAsia" w:ascii="宋体" w:hAnsi="宋体" w:eastAsia="宋体" w:cs="宋体"/>
          <w:sz w:val="24"/>
          <w:szCs w:val="24"/>
        </w:rPr>
      </w:pPr>
    </w:p>
    <w:p>
      <w:pPr>
        <w:adjustRightInd w:val="0"/>
        <w:snapToGrid w:val="0"/>
        <w:spacing w:line="600" w:lineRule="exact"/>
        <w:ind w:firstLine="453" w:firstLineChars="189"/>
        <w:rPr>
          <w:rFonts w:hint="eastAsia" w:ascii="宋体" w:hAnsi="宋体" w:eastAsia="宋体" w:cs="宋体"/>
          <w:sz w:val="24"/>
          <w:szCs w:val="24"/>
        </w:rPr>
      </w:pPr>
    </w:p>
    <w:p>
      <w:pPr>
        <w:adjustRightInd w:val="0"/>
        <w:snapToGrid w:val="0"/>
        <w:spacing w:line="600" w:lineRule="exact"/>
        <w:rPr>
          <w:rFonts w:hint="eastAsia" w:ascii="宋体" w:hAnsi="宋体" w:eastAsia="宋体" w:cs="宋体"/>
          <w:sz w:val="24"/>
          <w:szCs w:val="24"/>
        </w:rPr>
      </w:pPr>
    </w:p>
    <w:p>
      <w:pPr>
        <w:adjustRightInd w:val="0"/>
        <w:snapToGrid w:val="0"/>
        <w:spacing w:line="600" w:lineRule="exact"/>
        <w:ind w:firstLine="453" w:firstLineChars="189"/>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adjustRightInd w:val="0"/>
        <w:snapToGrid w:val="0"/>
        <w:spacing w:line="600" w:lineRule="exact"/>
        <w:ind w:firstLine="480" w:firstLineChars="200"/>
        <w:rPr>
          <w:rFonts w:hint="eastAsia" w:ascii="宋体" w:hAnsi="宋体" w:eastAsia="宋体" w:cs="宋体"/>
          <w:sz w:val="24"/>
          <w:szCs w:val="24"/>
        </w:rPr>
      </w:pPr>
    </w:p>
    <w:p>
      <w:pPr>
        <w:adjustRightInd w:val="0"/>
        <w:snapToGrid w:val="0"/>
        <w:spacing w:line="600" w:lineRule="exact"/>
        <w:ind w:firstLine="480" w:firstLineChars="200"/>
        <w:rPr>
          <w:rFonts w:hint="eastAsia" w:ascii="宋体" w:hAnsi="宋体" w:eastAsia="宋体" w:cs="宋体"/>
          <w:sz w:val="24"/>
          <w:szCs w:val="24"/>
        </w:rPr>
      </w:pPr>
    </w:p>
    <w:p>
      <w:pPr>
        <w:adjustRightInd w:val="0"/>
        <w:snapToGrid w:val="0"/>
        <w:spacing w:line="600" w:lineRule="exact"/>
        <w:ind w:firstLine="480" w:firstLineChars="200"/>
        <w:rPr>
          <w:rFonts w:hint="eastAsia" w:ascii="宋体" w:hAnsi="宋体" w:eastAsia="宋体" w:cs="宋体"/>
          <w:sz w:val="24"/>
          <w:szCs w:val="24"/>
        </w:rPr>
      </w:pPr>
    </w:p>
    <w:p>
      <w:pPr>
        <w:adjustRightInd w:val="0"/>
        <w:snapToGri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附件2  问题澄清通知</w:t>
      </w:r>
    </w:p>
    <w:p>
      <w:pPr>
        <w:adjustRightInd w:val="0"/>
        <w:snapToGrid w:val="0"/>
        <w:spacing w:line="600" w:lineRule="exact"/>
        <w:ind w:firstLine="482" w:firstLineChars="200"/>
        <w:jc w:val="center"/>
        <w:rPr>
          <w:rFonts w:hint="eastAsia" w:ascii="宋体" w:hAnsi="宋体" w:eastAsia="宋体" w:cs="宋体"/>
          <w:b/>
          <w:bCs/>
          <w:sz w:val="24"/>
          <w:szCs w:val="24"/>
        </w:rPr>
      </w:pPr>
    </w:p>
    <w:p>
      <w:pPr>
        <w:adjustRightInd w:val="0"/>
        <w:snapToGrid w:val="0"/>
        <w:spacing w:line="6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问题澄清通知</w:t>
      </w:r>
    </w:p>
    <w:p>
      <w:pPr>
        <w:adjustRightInd w:val="0"/>
        <w:snapToGrid w:val="0"/>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600" w:lineRule="exact"/>
        <w:ind w:left="210" w:leftChars="100" w:firstLine="240" w:firstLineChars="100"/>
        <w:jc w:val="both"/>
        <w:rPr>
          <w:rFonts w:hint="eastAsia" w:ascii="宋体" w:hAnsi="宋体" w:eastAsia="宋体" w:cs="宋体"/>
          <w:sz w:val="24"/>
          <w:szCs w:val="24"/>
          <w:u w:val="single"/>
        </w:rPr>
      </w:pPr>
      <w:r>
        <w:rPr>
          <w:rFonts w:hint="eastAsia" w:ascii="宋体" w:hAnsi="宋体" w:eastAsia="宋体" w:cs="宋体"/>
          <w:sz w:val="24"/>
          <w:szCs w:val="24"/>
          <w:u w:val="single"/>
        </w:rPr>
        <w:t>(供应商名称):</w:t>
      </w:r>
    </w:p>
    <w:p>
      <w:pPr>
        <w:adjustRightInd w:val="0"/>
        <w:snapToGrid w:val="0"/>
        <w:spacing w:line="600" w:lineRule="exact"/>
        <w:ind w:left="210" w:leftChars="100" w:firstLine="496" w:firstLineChars="207"/>
        <w:jc w:val="both"/>
        <w:rPr>
          <w:rFonts w:hint="eastAsia" w:ascii="宋体" w:hAnsi="宋体" w:eastAsia="宋体" w:cs="宋体"/>
          <w:sz w:val="24"/>
          <w:szCs w:val="24"/>
        </w:rPr>
      </w:pPr>
      <w:r>
        <w:rPr>
          <w:rFonts w:hint="eastAsia" w:ascii="宋体" w:hAnsi="宋体" w:eastAsia="宋体" w:cs="宋体"/>
          <w:sz w:val="24"/>
          <w:szCs w:val="24"/>
        </w:rPr>
        <w:t>评审小组对你方的响应文件进行了仔细的审查，现需你方对下列问题以书面形式予以澄清、说明和补正:</w:t>
      </w:r>
    </w:p>
    <w:p>
      <w:pPr>
        <w:adjustRightInd w:val="0"/>
        <w:snapToGrid w:val="0"/>
        <w:spacing w:line="600" w:lineRule="exact"/>
        <w:ind w:left="210" w:leftChars="100" w:firstLine="496" w:firstLineChars="207"/>
        <w:jc w:val="both"/>
        <w:rPr>
          <w:rFonts w:hint="eastAsia" w:ascii="宋体" w:hAnsi="宋体" w:eastAsia="宋体" w:cs="宋体"/>
          <w:sz w:val="24"/>
          <w:szCs w:val="24"/>
        </w:rPr>
      </w:pPr>
      <w:r>
        <w:rPr>
          <w:rFonts w:hint="eastAsia" w:ascii="宋体" w:hAnsi="宋体" w:eastAsia="宋体" w:cs="宋体"/>
          <w:sz w:val="24"/>
          <w:szCs w:val="24"/>
        </w:rPr>
        <w:t>1.</w:t>
      </w:r>
    </w:p>
    <w:p>
      <w:pPr>
        <w:adjustRightInd w:val="0"/>
        <w:snapToGrid w:val="0"/>
        <w:spacing w:line="600" w:lineRule="exact"/>
        <w:ind w:left="210" w:leftChars="100" w:firstLine="496" w:firstLineChars="207"/>
        <w:jc w:val="both"/>
        <w:rPr>
          <w:rFonts w:hint="eastAsia" w:ascii="宋体" w:hAnsi="宋体" w:eastAsia="宋体" w:cs="宋体"/>
          <w:sz w:val="24"/>
          <w:szCs w:val="24"/>
        </w:rPr>
      </w:pPr>
      <w:r>
        <w:rPr>
          <w:rFonts w:hint="eastAsia" w:ascii="宋体" w:hAnsi="宋体" w:eastAsia="宋体" w:cs="宋体"/>
          <w:sz w:val="24"/>
          <w:szCs w:val="24"/>
        </w:rPr>
        <w:t>2.</w:t>
      </w:r>
    </w:p>
    <w:p>
      <w:pPr>
        <w:adjustRightInd w:val="0"/>
        <w:snapToGrid w:val="0"/>
        <w:spacing w:line="600" w:lineRule="exact"/>
        <w:ind w:left="508" w:leftChars="242" w:firstLine="496" w:firstLineChars="207"/>
        <w:jc w:val="both"/>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600" w:lineRule="exact"/>
        <w:ind w:left="141" w:leftChars="67" w:firstLine="566" w:firstLineChars="236"/>
        <w:jc w:val="both"/>
        <w:rPr>
          <w:rFonts w:hint="eastAsia" w:ascii="宋体" w:hAnsi="宋体" w:eastAsia="宋体" w:cs="宋体"/>
          <w:sz w:val="24"/>
          <w:szCs w:val="24"/>
        </w:rPr>
      </w:pPr>
      <w:r>
        <w:rPr>
          <w:rFonts w:hint="eastAsia" w:ascii="宋体" w:hAnsi="宋体" w:eastAsia="宋体" w:cs="宋体"/>
          <w:sz w:val="24"/>
          <w:szCs w:val="24"/>
        </w:rPr>
        <w:t>请将上述问题的澄清、说明和补正于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时前递交至</w:t>
      </w:r>
      <w:r>
        <w:rPr>
          <w:rFonts w:hint="eastAsia" w:ascii="宋体" w:hAnsi="宋体" w:eastAsia="宋体" w:cs="宋体"/>
          <w:sz w:val="24"/>
          <w:szCs w:val="24"/>
          <w:u w:val="single"/>
        </w:rPr>
        <w:t>(详细地址)</w:t>
      </w:r>
      <w:r>
        <w:rPr>
          <w:rFonts w:hint="eastAsia" w:ascii="宋体" w:hAnsi="宋体" w:eastAsia="宋体" w:cs="宋体"/>
          <w:sz w:val="24"/>
          <w:szCs w:val="24"/>
        </w:rPr>
        <w:t>或发电子邮件至</w:t>
      </w:r>
      <w:r>
        <w:rPr>
          <w:rFonts w:hint="eastAsia" w:ascii="宋体" w:hAnsi="宋体" w:eastAsia="宋体" w:cs="宋体"/>
          <w:sz w:val="24"/>
          <w:szCs w:val="24"/>
          <w:u w:val="single"/>
        </w:rPr>
        <w:t>(电子邮箱地址)</w:t>
      </w:r>
      <w:r>
        <w:rPr>
          <w:rFonts w:hint="eastAsia" w:ascii="宋体" w:hAnsi="宋体" w:eastAsia="宋体" w:cs="宋体"/>
          <w:sz w:val="24"/>
          <w:szCs w:val="24"/>
        </w:rPr>
        <w:t>。采用电子邮件方式的，应在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日_时前将原件递交至</w:t>
      </w:r>
      <w:r>
        <w:rPr>
          <w:rFonts w:hint="eastAsia" w:ascii="宋体" w:hAnsi="宋体" w:eastAsia="宋体" w:cs="宋体"/>
          <w:sz w:val="24"/>
          <w:szCs w:val="24"/>
          <w:u w:val="single"/>
        </w:rPr>
        <w:t>(详细地址)</w:t>
      </w:r>
      <w:r>
        <w:rPr>
          <w:rFonts w:hint="eastAsia" w:ascii="宋体" w:hAnsi="宋体" w:eastAsia="宋体" w:cs="宋体"/>
          <w:sz w:val="24"/>
          <w:szCs w:val="24"/>
        </w:rPr>
        <w:t>。</w:t>
      </w:r>
    </w:p>
    <w:p>
      <w:pPr>
        <w:adjustRightInd w:val="0"/>
        <w:snapToGrid w:val="0"/>
        <w:spacing w:line="600" w:lineRule="exact"/>
        <w:ind w:left="141" w:leftChars="67" w:firstLine="566" w:firstLineChars="236"/>
        <w:jc w:val="both"/>
        <w:rPr>
          <w:rFonts w:hint="eastAsia" w:ascii="宋体" w:hAnsi="宋体" w:eastAsia="宋体" w:cs="宋体"/>
          <w:sz w:val="24"/>
          <w:szCs w:val="24"/>
        </w:rPr>
      </w:pPr>
    </w:p>
    <w:p>
      <w:pPr>
        <w:adjustRightInd w:val="0"/>
        <w:snapToGrid w:val="0"/>
        <w:spacing w:line="600" w:lineRule="exact"/>
        <w:ind w:left="210" w:leftChars="100" w:firstLine="240" w:firstLineChars="100"/>
        <w:jc w:val="both"/>
        <w:rPr>
          <w:rFonts w:hint="eastAsia" w:ascii="宋体" w:hAnsi="宋体" w:eastAsia="宋体" w:cs="宋体"/>
          <w:sz w:val="24"/>
          <w:szCs w:val="24"/>
        </w:rPr>
      </w:pPr>
    </w:p>
    <w:p>
      <w:pPr>
        <w:adjustRightInd w:val="0"/>
        <w:snapToGrid w:val="0"/>
        <w:spacing w:line="600" w:lineRule="exact"/>
        <w:ind w:left="210" w:leftChars="100" w:firstLine="240" w:firstLineChars="100"/>
        <w:jc w:val="both"/>
        <w:rPr>
          <w:rFonts w:hint="eastAsia" w:ascii="宋体" w:hAnsi="宋体" w:eastAsia="宋体" w:cs="宋体"/>
          <w:sz w:val="24"/>
          <w:szCs w:val="24"/>
        </w:rPr>
      </w:pPr>
    </w:p>
    <w:p>
      <w:pPr>
        <w:adjustRightInd w:val="0"/>
        <w:snapToGrid w:val="0"/>
        <w:spacing w:line="600" w:lineRule="exact"/>
        <w:jc w:val="both"/>
        <w:rPr>
          <w:rFonts w:hint="eastAsia" w:ascii="宋体" w:hAnsi="宋体" w:eastAsia="宋体" w:cs="宋体"/>
          <w:sz w:val="24"/>
          <w:szCs w:val="24"/>
          <w:u w:val="single"/>
        </w:rPr>
      </w:pPr>
      <w:r>
        <w:rPr>
          <w:rFonts w:hint="eastAsia" w:ascii="宋体" w:hAnsi="宋体" w:eastAsia="宋体" w:cs="宋体"/>
          <w:sz w:val="24"/>
          <w:szCs w:val="24"/>
        </w:rPr>
        <w:t>采购人(或采购代理机构):</w:t>
      </w:r>
      <w:r>
        <w:rPr>
          <w:rFonts w:hint="eastAsia" w:ascii="宋体" w:hAnsi="宋体" w:eastAsia="宋体" w:cs="宋体"/>
          <w:sz w:val="24"/>
          <w:szCs w:val="24"/>
          <w:u w:val="single"/>
        </w:rPr>
        <w:t>(签字或盖单位章)</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page"/>
      </w:r>
    </w:p>
    <w:p>
      <w:pPr>
        <w:adjustRightInd w:val="0"/>
        <w:snapToGrid w:val="0"/>
        <w:spacing w:line="600" w:lineRule="exact"/>
        <w:rPr>
          <w:rFonts w:hint="eastAsia" w:ascii="宋体" w:hAnsi="宋体" w:eastAsia="宋体" w:cs="宋体"/>
          <w:sz w:val="24"/>
          <w:szCs w:val="24"/>
        </w:rPr>
      </w:pPr>
      <w:r>
        <w:rPr>
          <w:rFonts w:hint="eastAsia" w:ascii="宋体" w:hAnsi="宋体" w:eastAsia="宋体" w:cs="宋体"/>
          <w:sz w:val="24"/>
          <w:szCs w:val="24"/>
        </w:rPr>
        <w:t>附件3  问题的澄清</w:t>
      </w:r>
    </w:p>
    <w:p>
      <w:pPr>
        <w:adjustRightInd w:val="0"/>
        <w:snapToGrid w:val="0"/>
        <w:spacing w:line="600" w:lineRule="exact"/>
        <w:jc w:val="center"/>
        <w:rPr>
          <w:rFonts w:hint="eastAsia" w:ascii="宋体" w:hAnsi="宋体" w:eastAsia="宋体" w:cs="宋体"/>
          <w:b/>
          <w:bCs/>
          <w:sz w:val="24"/>
          <w:szCs w:val="24"/>
        </w:rPr>
      </w:pPr>
    </w:p>
    <w:p>
      <w:pPr>
        <w:adjustRightInd w:val="0"/>
        <w:snapToGrid w:val="0"/>
        <w:spacing w:line="600" w:lineRule="exact"/>
        <w:jc w:val="center"/>
        <w:rPr>
          <w:rFonts w:hint="eastAsia" w:ascii="宋体" w:hAnsi="宋体" w:eastAsia="宋体" w:cs="宋体"/>
          <w:b/>
          <w:bCs/>
          <w:sz w:val="24"/>
          <w:szCs w:val="24"/>
        </w:rPr>
      </w:pPr>
      <w:r>
        <w:rPr>
          <w:rFonts w:hint="eastAsia" w:ascii="宋体" w:hAnsi="宋体" w:eastAsia="宋体" w:cs="宋体"/>
          <w:b/>
          <w:bCs/>
          <w:sz w:val="24"/>
          <w:szCs w:val="24"/>
        </w:rPr>
        <w:t>问题的澄清</w:t>
      </w:r>
    </w:p>
    <w:p>
      <w:pPr>
        <w:adjustRightInd w:val="0"/>
        <w:snapToGrid w:val="0"/>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(编号: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评审小组:</w:t>
      </w:r>
    </w:p>
    <w:p>
      <w:pPr>
        <w:adjustRightInd w:val="0"/>
        <w:snapToGrid w:val="0"/>
        <w:spacing w:line="600" w:lineRule="exact"/>
        <w:ind w:firstLine="530" w:firstLineChars="221"/>
        <w:jc w:val="both"/>
        <w:rPr>
          <w:rFonts w:hint="eastAsia" w:ascii="宋体" w:hAnsi="宋体" w:eastAsia="宋体" w:cs="宋体"/>
          <w:sz w:val="24"/>
          <w:szCs w:val="24"/>
        </w:rPr>
      </w:pPr>
      <w:r>
        <w:rPr>
          <w:rFonts w:hint="eastAsia" w:ascii="宋体" w:hAnsi="宋体" w:eastAsia="宋体" w:cs="宋体"/>
          <w:sz w:val="24"/>
          <w:szCs w:val="24"/>
        </w:rPr>
        <w:t>问题澄清通知(编号:</w:t>
      </w:r>
      <w:r>
        <w:rPr>
          <w:rFonts w:hint="eastAsia" w:ascii="宋体" w:hAnsi="宋体" w:eastAsia="宋体" w:cs="宋体"/>
          <w:sz w:val="24"/>
          <w:szCs w:val="24"/>
          <w:u w:val="single"/>
        </w:rPr>
        <w:t xml:space="preserve">                </w:t>
      </w:r>
      <w:r>
        <w:rPr>
          <w:rFonts w:hint="eastAsia" w:ascii="宋体" w:hAnsi="宋体" w:eastAsia="宋体" w:cs="宋体"/>
          <w:sz w:val="24"/>
          <w:szCs w:val="24"/>
        </w:rPr>
        <w:t>)已收悉，现澄清、说明和补正如下：</w:t>
      </w:r>
    </w:p>
    <w:p>
      <w:pPr>
        <w:adjustRightInd w:val="0"/>
        <w:snapToGrid w:val="0"/>
        <w:spacing w:line="600" w:lineRule="exact"/>
        <w:ind w:firstLine="530" w:firstLineChars="221"/>
        <w:jc w:val="both"/>
        <w:rPr>
          <w:rFonts w:hint="eastAsia" w:ascii="宋体" w:hAnsi="宋体" w:eastAsia="宋体" w:cs="宋体"/>
          <w:sz w:val="24"/>
          <w:szCs w:val="24"/>
        </w:rPr>
      </w:pPr>
      <w:r>
        <w:rPr>
          <w:rFonts w:hint="eastAsia" w:ascii="宋体" w:hAnsi="宋体" w:eastAsia="宋体" w:cs="宋体"/>
          <w:sz w:val="24"/>
          <w:szCs w:val="24"/>
        </w:rPr>
        <w:t>1.</w:t>
      </w:r>
    </w:p>
    <w:p>
      <w:pPr>
        <w:adjustRightInd w:val="0"/>
        <w:snapToGrid w:val="0"/>
        <w:spacing w:line="600" w:lineRule="exact"/>
        <w:ind w:firstLine="530" w:firstLineChars="221"/>
        <w:jc w:val="both"/>
        <w:rPr>
          <w:rFonts w:hint="eastAsia" w:ascii="宋体" w:hAnsi="宋体" w:eastAsia="宋体" w:cs="宋体"/>
          <w:sz w:val="24"/>
          <w:szCs w:val="24"/>
        </w:rPr>
      </w:pPr>
      <w:r>
        <w:rPr>
          <w:rFonts w:hint="eastAsia" w:ascii="宋体" w:hAnsi="宋体" w:eastAsia="宋体" w:cs="宋体"/>
          <w:sz w:val="24"/>
          <w:szCs w:val="24"/>
        </w:rPr>
        <w:t>2.</w:t>
      </w:r>
    </w:p>
    <w:p>
      <w:pPr>
        <w:adjustRightInd w:val="0"/>
        <w:snapToGrid w:val="0"/>
        <w:spacing w:line="600" w:lineRule="exact"/>
        <w:ind w:firstLine="530" w:firstLineChars="221"/>
        <w:jc w:val="both"/>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600" w:lineRule="exact"/>
        <w:ind w:firstLine="530" w:firstLineChars="221"/>
        <w:jc w:val="both"/>
        <w:rPr>
          <w:rFonts w:hint="eastAsia" w:ascii="宋体" w:hAnsi="宋体" w:eastAsia="宋体" w:cs="宋体"/>
          <w:sz w:val="24"/>
          <w:szCs w:val="24"/>
        </w:rPr>
      </w:pPr>
      <w:r>
        <w:rPr>
          <w:rFonts w:hint="eastAsia" w:ascii="宋体" w:hAnsi="宋体" w:eastAsia="宋体" w:cs="宋体"/>
          <w:sz w:val="24"/>
          <w:szCs w:val="24"/>
        </w:rPr>
        <w:t>上述问题澄清、说明和补正，构成我方响应文件的组成部分。</w:t>
      </w:r>
    </w:p>
    <w:p>
      <w:pPr>
        <w:adjustRightInd w:val="0"/>
        <w:snapToGrid w:val="0"/>
        <w:spacing w:line="600" w:lineRule="exact"/>
        <w:ind w:firstLine="530" w:firstLineChars="221"/>
        <w:jc w:val="both"/>
        <w:rPr>
          <w:rFonts w:hint="eastAsia" w:ascii="宋体" w:hAnsi="宋体" w:eastAsia="宋体" w:cs="宋体"/>
          <w:sz w:val="24"/>
          <w:szCs w:val="24"/>
        </w:rPr>
      </w:pPr>
    </w:p>
    <w:p>
      <w:pPr>
        <w:adjustRightInd w:val="0"/>
        <w:snapToGrid w:val="0"/>
        <w:spacing w:line="600" w:lineRule="exact"/>
        <w:ind w:firstLine="4320" w:firstLineChars="1800"/>
        <w:jc w:val="both"/>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(盖单位章)      </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法定代表人(单位负责人)或其授权的代理人:</w:t>
      </w:r>
      <w:r>
        <w:rPr>
          <w:rFonts w:hint="eastAsia" w:ascii="宋体" w:hAnsi="宋体" w:eastAsia="宋体" w:cs="宋体"/>
          <w:sz w:val="24"/>
          <w:szCs w:val="24"/>
          <w:u w:val="single"/>
        </w:rPr>
        <w:t xml:space="preserve">  (签字)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page"/>
      </w:r>
    </w:p>
    <w:p>
      <w:pPr>
        <w:adjustRightInd w:val="0"/>
        <w:snapToGrid w:val="0"/>
        <w:spacing w:line="600" w:lineRule="exact"/>
        <w:ind w:firstLine="453" w:firstLineChars="189"/>
        <w:rPr>
          <w:rFonts w:hint="eastAsia" w:ascii="宋体" w:hAnsi="宋体" w:eastAsia="宋体" w:cs="宋体"/>
          <w:sz w:val="24"/>
          <w:szCs w:val="24"/>
        </w:rPr>
      </w:pPr>
      <w:r>
        <w:rPr>
          <w:rFonts w:hint="eastAsia" w:ascii="宋体" w:hAnsi="宋体" w:eastAsia="宋体" w:cs="宋体"/>
          <w:sz w:val="24"/>
          <w:szCs w:val="24"/>
        </w:rPr>
        <w:t>附件4  成交通知书</w:t>
      </w:r>
    </w:p>
    <w:p>
      <w:pPr>
        <w:adjustRightInd w:val="0"/>
        <w:snapToGrid w:val="0"/>
        <w:spacing w:line="600" w:lineRule="exact"/>
        <w:jc w:val="center"/>
        <w:rPr>
          <w:rFonts w:hint="eastAsia" w:ascii="宋体" w:hAnsi="宋体" w:eastAsia="宋体" w:cs="宋体"/>
          <w:b/>
          <w:bCs/>
          <w:sz w:val="24"/>
          <w:szCs w:val="24"/>
        </w:rPr>
      </w:pPr>
    </w:p>
    <w:p>
      <w:pPr>
        <w:adjustRightInd w:val="0"/>
        <w:snapToGrid w:val="0"/>
        <w:spacing w:line="600" w:lineRule="exact"/>
        <w:jc w:val="center"/>
        <w:rPr>
          <w:rFonts w:hint="eastAsia" w:ascii="宋体" w:hAnsi="宋体" w:eastAsia="宋体" w:cs="宋体"/>
          <w:b/>
          <w:bCs/>
          <w:sz w:val="24"/>
          <w:szCs w:val="24"/>
        </w:rPr>
      </w:pPr>
      <w:r>
        <w:rPr>
          <w:rFonts w:hint="eastAsia" w:ascii="宋体" w:hAnsi="宋体" w:eastAsia="宋体" w:cs="宋体"/>
          <w:b/>
          <w:bCs/>
          <w:sz w:val="24"/>
          <w:szCs w:val="24"/>
        </w:rPr>
        <w:t>成交通知书</w:t>
      </w:r>
    </w:p>
    <w:p>
      <w:pPr>
        <w:adjustRightInd w:val="0"/>
        <w:snapToGrid w:val="0"/>
        <w:spacing w:line="600" w:lineRule="exact"/>
        <w:ind w:firstLine="482" w:firstLineChars="200"/>
        <w:jc w:val="both"/>
        <w:rPr>
          <w:rFonts w:hint="eastAsia" w:ascii="宋体" w:hAnsi="宋体" w:eastAsia="宋体" w:cs="宋体"/>
          <w:b/>
          <w:bCs/>
          <w:sz w:val="24"/>
          <w:szCs w:val="24"/>
        </w:rPr>
      </w:pP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u w:val="single"/>
        </w:rPr>
        <w:t>(成交供应商名称)</w:t>
      </w:r>
      <w:r>
        <w:rPr>
          <w:rFonts w:hint="eastAsia" w:ascii="宋体" w:hAnsi="宋体" w:eastAsia="宋体" w:cs="宋体"/>
          <w:sz w:val="24"/>
          <w:szCs w:val="24"/>
        </w:rPr>
        <w:t>:</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你方所递交的</w:t>
      </w:r>
      <w:r>
        <w:rPr>
          <w:rFonts w:hint="eastAsia" w:ascii="宋体" w:hAnsi="宋体" w:eastAsia="宋体" w:cs="宋体"/>
          <w:sz w:val="24"/>
          <w:szCs w:val="24"/>
          <w:u w:val="single"/>
        </w:rPr>
        <w:t>(项目名称)</w:t>
      </w:r>
      <w:r>
        <w:rPr>
          <w:rFonts w:hint="eastAsia" w:ascii="宋体" w:hAnsi="宋体" w:eastAsia="宋体" w:cs="宋体"/>
          <w:sz w:val="24"/>
          <w:szCs w:val="24"/>
        </w:rPr>
        <w:t>的响应文件已被我方接受，被确定为成交供应商。</w:t>
      </w:r>
    </w:p>
    <w:p>
      <w:pPr>
        <w:adjustRightInd w:val="0"/>
        <w:snapToGrid w:val="0"/>
        <w:spacing w:line="600" w:lineRule="exact"/>
        <w:ind w:firstLine="480" w:firstLineChars="200"/>
        <w:jc w:val="both"/>
        <w:rPr>
          <w:rFonts w:hint="eastAsia" w:ascii="宋体" w:hAnsi="宋体" w:eastAsia="宋体" w:cs="宋体"/>
          <w:sz w:val="24"/>
          <w:szCs w:val="24"/>
          <w:u w:val="single"/>
        </w:rPr>
      </w:pPr>
      <w:r>
        <w:rPr>
          <w:rFonts w:hint="eastAsia" w:ascii="宋体" w:hAnsi="宋体" w:eastAsia="宋体" w:cs="宋体"/>
          <w:sz w:val="24"/>
          <w:szCs w:val="24"/>
        </w:rPr>
        <w:t>成交价: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请你方在接到本通知书后的</w:t>
      </w:r>
      <w:r>
        <w:rPr>
          <w:rFonts w:hint="eastAsia" w:ascii="宋体" w:hAnsi="宋体" w:eastAsia="宋体" w:cs="宋体"/>
          <w:sz w:val="24"/>
          <w:szCs w:val="24"/>
          <w:u w:val="single"/>
        </w:rPr>
        <w:t xml:space="preserve">    </w:t>
      </w:r>
      <w:r>
        <w:rPr>
          <w:rFonts w:hint="eastAsia" w:ascii="宋体" w:hAnsi="宋体" w:eastAsia="宋体" w:cs="宋体"/>
          <w:sz w:val="24"/>
          <w:szCs w:val="24"/>
        </w:rPr>
        <w:t>日内到</w:t>
      </w:r>
      <w:r>
        <w:rPr>
          <w:rFonts w:hint="eastAsia" w:ascii="宋体" w:hAnsi="宋体" w:eastAsia="宋体" w:cs="宋体"/>
          <w:sz w:val="24"/>
          <w:szCs w:val="24"/>
          <w:u w:val="single"/>
        </w:rPr>
        <w:t>(指定地点)</w:t>
      </w:r>
      <w:r>
        <w:rPr>
          <w:rFonts w:hint="eastAsia" w:ascii="宋体" w:hAnsi="宋体" w:eastAsia="宋体" w:cs="宋体"/>
          <w:sz w:val="24"/>
          <w:szCs w:val="24"/>
        </w:rPr>
        <w:t>与我方签订采购合同，并按采购文件第二章“供应商须知”第7.6款规定向我方递交履约保证金。</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特此通知。</w:t>
      </w:r>
    </w:p>
    <w:p>
      <w:pPr>
        <w:adjustRightInd w:val="0"/>
        <w:snapToGrid w:val="0"/>
        <w:spacing w:line="600" w:lineRule="exact"/>
        <w:ind w:firstLine="480" w:firstLineChars="200"/>
        <w:jc w:val="both"/>
        <w:rPr>
          <w:rFonts w:hint="eastAsia" w:ascii="宋体" w:hAnsi="宋体" w:eastAsia="宋体" w:cs="宋体"/>
          <w:sz w:val="24"/>
          <w:szCs w:val="24"/>
        </w:rPr>
      </w:pPr>
    </w:p>
    <w:p>
      <w:pPr>
        <w:adjustRightInd w:val="0"/>
        <w:snapToGrid w:val="0"/>
        <w:spacing w:line="600" w:lineRule="exact"/>
        <w:ind w:firstLine="480" w:firstLineChars="200"/>
        <w:jc w:val="both"/>
        <w:rPr>
          <w:rFonts w:hint="eastAsia" w:ascii="宋体" w:hAnsi="宋体" w:eastAsia="宋体" w:cs="宋体"/>
          <w:sz w:val="24"/>
          <w:szCs w:val="24"/>
        </w:rPr>
      </w:pPr>
    </w:p>
    <w:p>
      <w:pPr>
        <w:adjustRightInd w:val="0"/>
        <w:snapToGrid w:val="0"/>
        <w:spacing w:line="600" w:lineRule="exact"/>
        <w:ind w:firstLine="3360" w:firstLineChars="1400"/>
        <w:jc w:val="both"/>
        <w:rPr>
          <w:rFonts w:hint="eastAsia" w:ascii="宋体" w:hAnsi="宋体" w:eastAsia="宋体" w:cs="宋体"/>
          <w:sz w:val="24"/>
          <w:szCs w:val="24"/>
          <w:u w:val="single"/>
        </w:rPr>
      </w:pPr>
      <w:r>
        <w:rPr>
          <w:rFonts w:hint="eastAsia" w:ascii="宋体" w:hAnsi="宋体" w:eastAsia="宋体" w:cs="宋体"/>
          <w:sz w:val="24"/>
          <w:szCs w:val="24"/>
        </w:rPr>
        <w:t>采购人(或采购代理机构):</w:t>
      </w:r>
      <w:r>
        <w:rPr>
          <w:rFonts w:hint="eastAsia" w:ascii="宋体" w:hAnsi="宋体" w:eastAsia="宋体" w:cs="宋体"/>
          <w:sz w:val="24"/>
          <w:szCs w:val="24"/>
          <w:u w:val="single"/>
        </w:rPr>
        <w:t xml:space="preserve">   (盖单位章)      </w:t>
      </w:r>
    </w:p>
    <w:p>
      <w:pPr>
        <w:adjustRightInd w:val="0"/>
        <w:snapToGrid w:val="0"/>
        <w:spacing w:line="600" w:lineRule="exact"/>
        <w:ind w:firstLine="4800" w:firstLineChars="2000"/>
        <w:jc w:val="both"/>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page"/>
      </w:r>
    </w:p>
    <w:p>
      <w:pPr>
        <w:pStyle w:val="15"/>
        <w:ind w:firstLine="0"/>
        <w:rPr>
          <w:rFonts w:hint="eastAsia" w:ascii="宋体" w:hAnsi="宋体" w:eastAsia="宋体" w:cs="宋体"/>
          <w:sz w:val="24"/>
          <w:szCs w:val="24"/>
        </w:rPr>
      </w:pPr>
    </w:p>
    <w:p>
      <w:pPr>
        <w:adjustRightInd w:val="0"/>
        <w:snapToGrid w:val="0"/>
        <w:spacing w:line="600" w:lineRule="exact"/>
        <w:ind w:firstLine="453" w:firstLineChars="189"/>
        <w:rPr>
          <w:rFonts w:hint="eastAsia" w:ascii="宋体" w:hAnsi="宋体" w:eastAsia="宋体" w:cs="宋体"/>
          <w:sz w:val="24"/>
          <w:szCs w:val="24"/>
        </w:rPr>
      </w:pPr>
      <w:r>
        <w:rPr>
          <w:rFonts w:hint="eastAsia" w:ascii="宋体" w:hAnsi="宋体" w:eastAsia="宋体" w:cs="宋体"/>
          <w:sz w:val="24"/>
          <w:szCs w:val="24"/>
        </w:rPr>
        <w:t>附件5  确认通知</w:t>
      </w:r>
    </w:p>
    <w:p>
      <w:pPr>
        <w:adjustRightInd w:val="0"/>
        <w:snapToGrid w:val="0"/>
        <w:spacing w:line="600" w:lineRule="exact"/>
        <w:ind w:firstLine="482" w:firstLineChars="200"/>
        <w:jc w:val="both"/>
        <w:rPr>
          <w:rFonts w:hint="eastAsia" w:ascii="宋体" w:hAnsi="宋体" w:eastAsia="宋体" w:cs="宋体"/>
          <w:b/>
          <w:bCs/>
          <w:sz w:val="24"/>
          <w:szCs w:val="24"/>
        </w:rPr>
      </w:pPr>
    </w:p>
    <w:p>
      <w:pPr>
        <w:adjustRightInd w:val="0"/>
        <w:snapToGrid w:val="0"/>
        <w:spacing w:line="6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确认通知</w:t>
      </w:r>
    </w:p>
    <w:p>
      <w:pPr>
        <w:adjustRightInd w:val="0"/>
        <w:snapToGrid w:val="0"/>
        <w:spacing w:line="600" w:lineRule="exact"/>
        <w:ind w:firstLine="482" w:firstLineChars="200"/>
        <w:jc w:val="both"/>
        <w:rPr>
          <w:rFonts w:hint="eastAsia" w:ascii="宋体" w:hAnsi="宋体" w:eastAsia="宋体" w:cs="宋体"/>
          <w:b/>
          <w:bCs/>
          <w:sz w:val="24"/>
          <w:szCs w:val="24"/>
        </w:rPr>
      </w:pPr>
    </w:p>
    <w:p>
      <w:pPr>
        <w:adjustRightInd w:val="0"/>
        <w:snapToGrid w:val="0"/>
        <w:spacing w:line="600" w:lineRule="exact"/>
        <w:ind w:firstLine="480" w:firstLineChars="200"/>
        <w:jc w:val="both"/>
        <w:rPr>
          <w:rFonts w:hint="eastAsia" w:ascii="宋体" w:hAnsi="宋体" w:eastAsia="宋体" w:cs="宋体"/>
          <w:b/>
          <w:bCs/>
          <w:sz w:val="24"/>
          <w:szCs w:val="24"/>
        </w:rPr>
      </w:pPr>
      <w:r>
        <w:rPr>
          <w:rFonts w:hint="eastAsia" w:ascii="宋体" w:hAnsi="宋体" w:eastAsia="宋体" w:cs="宋体"/>
          <w:sz w:val="24"/>
          <w:szCs w:val="24"/>
          <w:u w:val="single"/>
        </w:rPr>
        <w:t xml:space="preserve">           （采购人或采购代理机构名称)</w:t>
      </w:r>
      <w:r>
        <w:rPr>
          <w:rFonts w:hint="eastAsia" w:ascii="宋体" w:hAnsi="宋体" w:eastAsia="宋体" w:cs="宋体"/>
          <w:sz w:val="24"/>
          <w:szCs w:val="24"/>
        </w:rPr>
        <w:t>:</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你方于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日发出的的</w:t>
      </w:r>
      <w:r>
        <w:rPr>
          <w:rFonts w:hint="eastAsia" w:ascii="宋体" w:hAnsi="宋体" w:eastAsia="宋体" w:cs="宋体"/>
          <w:sz w:val="24"/>
          <w:szCs w:val="24"/>
          <w:u w:val="single"/>
        </w:rPr>
        <w:t>(项目名称)</w:t>
      </w:r>
      <w:r>
        <w:rPr>
          <w:rFonts w:hint="eastAsia" w:ascii="宋体" w:hAnsi="宋体" w:eastAsia="宋体" w:cs="宋体"/>
          <w:sz w:val="24"/>
          <w:szCs w:val="24"/>
        </w:rPr>
        <w:t>采购文件的澄清/修改的通知，我方已于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日收到。</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特此确认。</w:t>
      </w:r>
    </w:p>
    <w:p>
      <w:pPr>
        <w:adjustRightInd w:val="0"/>
        <w:snapToGrid w:val="0"/>
        <w:spacing w:line="600" w:lineRule="exact"/>
        <w:ind w:firstLine="480" w:firstLineChars="200"/>
        <w:jc w:val="both"/>
        <w:rPr>
          <w:rFonts w:hint="eastAsia" w:ascii="宋体" w:hAnsi="宋体" w:eastAsia="宋体" w:cs="宋体"/>
          <w:sz w:val="24"/>
          <w:szCs w:val="24"/>
        </w:rPr>
      </w:pPr>
    </w:p>
    <w:p>
      <w:pPr>
        <w:adjustRightInd w:val="0"/>
        <w:snapToGrid w:val="0"/>
        <w:spacing w:line="600" w:lineRule="exact"/>
        <w:ind w:firstLine="480" w:firstLineChars="200"/>
        <w:jc w:val="both"/>
        <w:rPr>
          <w:rFonts w:hint="eastAsia" w:ascii="宋体" w:hAnsi="宋体" w:eastAsia="宋体" w:cs="宋体"/>
          <w:sz w:val="24"/>
          <w:szCs w:val="24"/>
        </w:rPr>
      </w:pPr>
    </w:p>
    <w:p>
      <w:pPr>
        <w:adjustRightInd w:val="0"/>
        <w:snapToGrid w:val="0"/>
        <w:spacing w:line="600" w:lineRule="exact"/>
        <w:ind w:firstLine="5090" w:firstLineChars="2121"/>
        <w:jc w:val="both"/>
        <w:rPr>
          <w:rFonts w:hint="eastAsia"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(盖单位章)      </w:t>
      </w:r>
    </w:p>
    <w:p>
      <w:pPr>
        <w:pStyle w:val="26"/>
        <w:adjustRightInd w:val="0"/>
        <w:snapToGrid w:val="0"/>
        <w:spacing w:line="600" w:lineRule="exact"/>
        <w:ind w:firstLine="6240" w:firstLineChars="2600"/>
        <w:jc w:val="center"/>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page"/>
      </w:r>
    </w:p>
    <w:p>
      <w:pPr>
        <w:adjustRightInd w:val="0"/>
        <w:snapToGrid w:val="0"/>
        <w:spacing w:line="600" w:lineRule="exact"/>
        <w:jc w:val="center"/>
        <w:outlineLvl w:val="0"/>
        <w:rPr>
          <w:rFonts w:hint="eastAsia" w:ascii="黑体" w:hAnsi="黑体" w:eastAsia="黑体" w:cs="仿宋"/>
          <w:b/>
          <w:color w:val="000000"/>
          <w:kern w:val="0"/>
          <w:sz w:val="44"/>
          <w:szCs w:val="44"/>
          <w:lang w:val="en-US" w:eastAsia="zh-CN" w:bidi="ar-SA"/>
        </w:rPr>
      </w:pPr>
      <w:bookmarkStart w:id="19" w:name="_Toc92"/>
      <w:bookmarkStart w:id="20" w:name="_Toc27443"/>
      <w:r>
        <w:rPr>
          <w:rFonts w:hint="eastAsia" w:ascii="黑体" w:hAnsi="黑体" w:eastAsia="黑体" w:cs="仿宋"/>
          <w:b/>
          <w:color w:val="000000"/>
          <w:kern w:val="0"/>
          <w:sz w:val="44"/>
          <w:szCs w:val="44"/>
          <w:lang w:val="en-US" w:eastAsia="zh-CN" w:bidi="ar-SA"/>
        </w:rPr>
        <w:t>第三章 评审办法</w:t>
      </w:r>
      <w:bookmarkEnd w:id="19"/>
      <w:bookmarkEnd w:id="20"/>
    </w:p>
    <w:p>
      <w:pPr>
        <w:adjustRightInd w:val="0"/>
        <w:snapToGrid w:val="0"/>
        <w:spacing w:before="120" w:beforeLines="50" w:after="120" w:afterLines="50" w:line="312" w:lineRule="auto"/>
        <w:jc w:val="center"/>
        <w:rPr>
          <w:rFonts w:hint="eastAsia" w:ascii="宋体" w:hAnsi="宋体" w:eastAsia="宋体" w:cs="宋体"/>
          <w:bCs/>
          <w:sz w:val="24"/>
          <w:szCs w:val="24"/>
        </w:rPr>
      </w:pPr>
      <w:r>
        <w:rPr>
          <w:rFonts w:hint="eastAsia" w:ascii="宋体" w:hAnsi="宋体" w:eastAsia="宋体" w:cs="宋体"/>
          <w:bCs/>
          <w:sz w:val="24"/>
          <w:szCs w:val="24"/>
        </w:rPr>
        <w:t>评审办法前附表</w:t>
      </w:r>
    </w:p>
    <w:tbl>
      <w:tblPr>
        <w:tblStyle w:val="18"/>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57"/>
        <w:gridCol w:w="1580"/>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rPr>
        <w:tc>
          <w:tcPr>
            <w:tcW w:w="2533" w:type="dxa"/>
            <w:gridSpan w:val="2"/>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条款号及名称</w:t>
            </w: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76"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57"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评审方法</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trPr>
        <w:tc>
          <w:tcPr>
            <w:tcW w:w="1276" w:type="dxa"/>
            <w:vMerge w:val="restart"/>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2.1.1</w:t>
            </w:r>
          </w:p>
        </w:tc>
        <w:tc>
          <w:tcPr>
            <w:tcW w:w="1257" w:type="dxa"/>
            <w:vMerge w:val="restart"/>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形式评审标准</w:t>
            </w: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与营业执照、资质证书一致；</w:t>
            </w:r>
          </w:p>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若法人名称发生变更，应提供相关部门的合法批件及企业法人营业执照和资质证书的副本变更记录复印件。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响应文件签字盖章</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响应函中实质性内容</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lang w:eastAsia="zh-CN"/>
              </w:rPr>
              <w:t>是否根据采购文件中的内容进行响应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276" w:type="dxa"/>
            <w:vMerge w:val="restart"/>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2.1.2</w:t>
            </w:r>
          </w:p>
        </w:tc>
        <w:tc>
          <w:tcPr>
            <w:tcW w:w="1257" w:type="dxa"/>
            <w:vMerge w:val="restart"/>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资格评审标准</w:t>
            </w: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依法设立</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供应商应提供市场监管部门或其他行政机关颁发的可以合法开展业务的执照或证书。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exac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资质要求</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符合第一章第3.1款及供应商须知前附表第3.5（</w:t>
            </w:r>
            <w:r>
              <w:rPr>
                <w:rFonts w:hint="eastAsia" w:ascii="宋体" w:hAnsi="宋体" w:eastAsia="宋体" w:cs="宋体"/>
                <w:sz w:val="24"/>
                <w:szCs w:val="24"/>
                <w:lang w:val="en-US" w:eastAsia="zh-CN"/>
              </w:rPr>
              <w:t>2</w:t>
            </w:r>
            <w:r>
              <w:rPr>
                <w:rFonts w:hint="eastAsia" w:ascii="宋体" w:hAnsi="宋体" w:eastAsia="宋体" w:cs="宋体"/>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财务要求</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业绩要求</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人员要求</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符合第一章第3.1款及供应商须知前附表第3.5（</w:t>
            </w:r>
            <w:r>
              <w:rPr>
                <w:rFonts w:hint="eastAsia" w:ascii="宋体" w:hAnsi="宋体" w:eastAsia="宋体" w:cs="宋体"/>
                <w:sz w:val="24"/>
                <w:szCs w:val="24"/>
                <w:lang w:val="en-US" w:eastAsia="zh-CN"/>
              </w:rPr>
              <w:t>6</w:t>
            </w:r>
            <w:r>
              <w:rPr>
                <w:rFonts w:hint="eastAsia" w:ascii="宋体" w:hAnsi="宋体" w:eastAsia="宋体" w:cs="宋体"/>
                <w:sz w:val="24"/>
                <w:szCs w:val="24"/>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restart"/>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2.1.3</w:t>
            </w:r>
          </w:p>
        </w:tc>
        <w:tc>
          <w:tcPr>
            <w:tcW w:w="1257" w:type="dxa"/>
            <w:vMerge w:val="restart"/>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响应性评审标准</w:t>
            </w: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响应文件有效期</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响应方案</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符合第二章第3.6款规定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质量标准</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完成期限</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257" w:type="dxa"/>
            <w:vMerge w:val="continue"/>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合同条款</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符合第二章第1.10.1项规定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2.2.2</w:t>
            </w:r>
          </w:p>
        </w:tc>
        <w:tc>
          <w:tcPr>
            <w:tcW w:w="1257" w:type="dxa"/>
            <w:vAlign w:val="center"/>
          </w:tcPr>
          <w:p>
            <w:pPr>
              <w:widowControl/>
              <w:adjustRightInd w:val="0"/>
              <w:snapToGrid w:val="0"/>
              <w:spacing w:line="288" w:lineRule="auto"/>
              <w:jc w:val="center"/>
              <w:rPr>
                <w:rFonts w:hint="eastAsia" w:ascii="宋体" w:hAnsi="宋体" w:eastAsia="宋体" w:cs="宋体"/>
                <w:sz w:val="24"/>
                <w:szCs w:val="24"/>
              </w:rPr>
            </w:pP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评审价格</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大写含税价格。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38" w:type="dxa"/>
            <w:gridSpan w:val="4"/>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33" w:type="dxa"/>
            <w:gridSpan w:val="2"/>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580"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条款内容</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533" w:type="dxa"/>
            <w:gridSpan w:val="2"/>
            <w:vAlign w:val="center"/>
          </w:tcPr>
          <w:p>
            <w:pPr>
              <w:widowControl/>
              <w:adjustRightInd w:val="0"/>
              <w:snapToGrid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80" w:type="dxa"/>
            <w:vAlign w:val="center"/>
          </w:tcPr>
          <w:p>
            <w:pPr>
              <w:widowControl w:val="0"/>
              <w:spacing w:line="288"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5425" w:type="dxa"/>
            <w:vAlign w:val="center"/>
          </w:tcPr>
          <w:p>
            <w:pPr>
              <w:widowControl/>
              <w:adjustRightInd w:val="0"/>
              <w:snapToGrid w:val="0"/>
              <w:spacing w:line="288"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根据2.2.2条规定，本项要求提供</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%的增值税专用发票，超过最高限价的作废。如果报价人提供其他税率的增值税专用发票，招标人按3%的增值税税率调整报价后参与排序。</w:t>
            </w:r>
          </w:p>
        </w:tc>
      </w:tr>
    </w:tbl>
    <w:p>
      <w:pPr>
        <w:spacing w:line="288" w:lineRule="auto"/>
        <w:jc w:val="both"/>
        <w:rPr>
          <w:rFonts w:hint="eastAsia" w:ascii="宋体" w:hAnsi="宋体" w:eastAsia="宋体" w:cs="宋体"/>
          <w:sz w:val="24"/>
          <w:szCs w:val="24"/>
        </w:rPr>
      </w:pPr>
    </w:p>
    <w:p>
      <w:pPr>
        <w:pStyle w:val="15"/>
        <w:spacing w:line="288" w:lineRule="auto"/>
        <w:ind w:firstLine="0"/>
        <w:jc w:val="both"/>
        <w:rPr>
          <w:rFonts w:hint="eastAsia" w:ascii="宋体" w:hAnsi="宋体" w:eastAsia="宋体" w:cs="宋体"/>
          <w:sz w:val="24"/>
          <w:szCs w:val="24"/>
        </w:rPr>
      </w:pPr>
    </w:p>
    <w:p>
      <w:pPr>
        <w:pStyle w:val="15"/>
        <w:spacing w:line="288" w:lineRule="auto"/>
        <w:ind w:firstLine="0"/>
        <w:jc w:val="both"/>
        <w:rPr>
          <w:rFonts w:hint="eastAsia" w:ascii="宋体" w:hAnsi="宋体" w:eastAsia="宋体" w:cs="宋体"/>
          <w:sz w:val="24"/>
          <w:szCs w:val="24"/>
        </w:rPr>
      </w:pPr>
    </w:p>
    <w:p>
      <w:pPr>
        <w:pStyle w:val="15"/>
        <w:spacing w:line="288" w:lineRule="auto"/>
        <w:ind w:firstLine="0"/>
        <w:jc w:val="both"/>
        <w:rPr>
          <w:rFonts w:hint="eastAsia" w:ascii="宋体" w:hAnsi="宋体" w:eastAsia="宋体" w:cs="宋体"/>
          <w:sz w:val="24"/>
          <w:szCs w:val="24"/>
        </w:rPr>
      </w:pPr>
    </w:p>
    <w:p>
      <w:pPr>
        <w:pStyle w:val="15"/>
        <w:spacing w:line="288" w:lineRule="auto"/>
        <w:ind w:firstLine="0"/>
        <w:jc w:val="both"/>
        <w:rPr>
          <w:rFonts w:hint="eastAsia" w:ascii="宋体" w:hAnsi="宋体" w:eastAsia="宋体" w:cs="宋体"/>
          <w:sz w:val="24"/>
          <w:szCs w:val="24"/>
        </w:rPr>
      </w:pPr>
    </w:p>
    <w:p>
      <w:pPr>
        <w:pStyle w:val="15"/>
        <w:spacing w:line="288" w:lineRule="auto"/>
        <w:ind w:firstLine="0"/>
        <w:jc w:val="both"/>
        <w:rPr>
          <w:rFonts w:hint="eastAsia" w:ascii="宋体" w:hAnsi="宋体" w:eastAsia="宋体" w:cs="宋体"/>
          <w:sz w:val="24"/>
          <w:szCs w:val="24"/>
        </w:rPr>
      </w:pPr>
    </w:p>
    <w:p>
      <w:pPr>
        <w:pStyle w:val="15"/>
        <w:spacing w:line="288" w:lineRule="auto"/>
        <w:ind w:firstLine="0"/>
        <w:jc w:val="both"/>
        <w:rPr>
          <w:rFonts w:hint="eastAsia" w:ascii="宋体" w:hAnsi="宋体" w:eastAsia="宋体" w:cs="宋体"/>
          <w:sz w:val="24"/>
          <w:szCs w:val="24"/>
        </w:rPr>
      </w:pPr>
    </w:p>
    <w:p>
      <w:pPr>
        <w:pStyle w:val="15"/>
        <w:spacing w:line="288" w:lineRule="auto"/>
        <w:ind w:firstLine="0"/>
        <w:jc w:val="both"/>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15"/>
        <w:spacing w:line="288" w:lineRule="auto"/>
        <w:ind w:firstLine="0"/>
        <w:jc w:val="both"/>
        <w:rPr>
          <w:rFonts w:hint="eastAsia" w:ascii="宋体" w:hAnsi="宋体" w:eastAsia="宋体" w:cs="宋体"/>
          <w:sz w:val="24"/>
          <w:szCs w:val="24"/>
        </w:rPr>
      </w:pPr>
    </w:p>
    <w:p>
      <w:pPr>
        <w:adjustRightInd w:val="0"/>
        <w:snapToGrid w:val="0"/>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评审办法正文</w:t>
      </w:r>
    </w:p>
    <w:p>
      <w:pPr>
        <w:adjustRightInd w:val="0"/>
        <w:snapToGrid w:val="0"/>
        <w:spacing w:line="312" w:lineRule="auto"/>
        <w:jc w:val="both"/>
        <w:rPr>
          <w:rFonts w:hint="eastAsia" w:ascii="宋体" w:hAnsi="宋体" w:eastAsia="宋体" w:cs="宋体"/>
          <w:b/>
          <w:bCs/>
          <w:sz w:val="24"/>
          <w:szCs w:val="24"/>
        </w:rPr>
      </w:pP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1评审方法(最低价法)</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本次评审采用最低价法。评审小组对满足采购文件实质性要求的响应文件按照本章第2.2.2项规定的方法确定供应商响应报价的评审价格，并按照评审价格由低到高的顺序推荐成交候选供应商。</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2初步评审标准和程序</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2.1初步评审标准</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2.1.1形式评审标准:见评审办法前附表。</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2.1.2资格评审标准:见评审办法前附表。</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2.1.3响应性评审标准:见评审办法前附表。</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2.2初步评审程序</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2.2.1评审小组依据本章第2.1款规定的标准对供应商速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2.2.2除评审办法前附表另有规定外，评审价格为供应商在响应函中填报的大写含税价格，本项要求提供3%的增值税专用发票，超过最高限价的作废。如果报价人提供其他税率的增值税专用发票，招标人按3%的增值税税率调整报价后参与排序。调整后的评审价格若超过最高限价(如有)，其响应文件将被视为无效。</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响应报价有算术错误及其他错误的，评审小组按以下原则要求供应商对响应报价进行修正，并要求供应商书面澄清确认。供应商拒不澄清确认的，其响应文件将被视为无效:</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(1)大写金额与小写金额不一致的，以大写金额为准;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(2)总价金额与单价金额不一致的，以单价金额为准，但单价金额小数点有明显错误的除外;</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(3)报价表合计报价与分项报价的合计不一致的，以各分项报价的合价累计数为准;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(4)如果分项报价中存在缺漏项，且缺漏项内容不属于实质性偏差的，则视为缺漏项内容的价格已包含在其他分项报价之中。</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2.2.4供应商有串通，弄虚作假、行贿等违法行为的，其响应文件将被视为无效。</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3详细评审标准和程序(最低价法)</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评审小组对评审价格进行比较后，按照评审价格由低到高的顺序对供应商排序。供应商评审价格相等时，按照评审办法前附表的规定确定供应商优先顺序。</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4评审结果</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4.1提交书面评审报告</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评审小组完成评审后，应当向采购人提交书面评审报告。</w:t>
      </w:r>
    </w:p>
    <w:p>
      <w:pPr>
        <w:adjustRightInd w:val="0"/>
        <w:snapToGrid w:val="0"/>
        <w:spacing w:line="312" w:lineRule="auto"/>
        <w:jc w:val="both"/>
        <w:rPr>
          <w:rFonts w:hint="eastAsia" w:ascii="宋体" w:hAnsi="宋体" w:eastAsia="宋体" w:cs="宋体"/>
          <w:b/>
          <w:bCs/>
          <w:sz w:val="24"/>
          <w:szCs w:val="24"/>
        </w:rPr>
      </w:pPr>
      <w:r>
        <w:rPr>
          <w:rFonts w:hint="eastAsia" w:ascii="宋体" w:hAnsi="宋体" w:eastAsia="宋体" w:cs="宋体"/>
          <w:b/>
          <w:bCs/>
          <w:sz w:val="24"/>
          <w:szCs w:val="24"/>
        </w:rPr>
        <w:t>4.2推荐成交候选供应商排序要求及数量</w:t>
      </w:r>
    </w:p>
    <w:p>
      <w:pPr>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评审小组应在书面评审报告中按照供应商排列的优先顺序向采购人推荐成交候选供应商(排序或不排序)。成交候选供应商的排序要求及数量见第二章“供应商须知”。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6"/>
        <w:numPr>
          <w:ilvl w:val="0"/>
          <w:numId w:val="0"/>
        </w:numPr>
        <w:spacing w:line="600" w:lineRule="exact"/>
        <w:ind w:leftChars="0"/>
        <w:jc w:val="center"/>
        <w:outlineLvl w:val="0"/>
        <w:rPr>
          <w:rFonts w:hint="eastAsia" w:ascii="黑体" w:hAnsi="黑体" w:eastAsia="黑体" w:cs="仿宋"/>
          <w:b/>
          <w:color w:val="000000"/>
          <w:sz w:val="44"/>
          <w:szCs w:val="44"/>
        </w:rPr>
      </w:pPr>
      <w:bookmarkStart w:id="21" w:name="_Toc9628"/>
      <w:bookmarkStart w:id="22" w:name="_Toc25396"/>
      <w:r>
        <w:rPr>
          <w:rFonts w:hint="eastAsia" w:ascii="黑体" w:hAnsi="黑体" w:eastAsia="黑体" w:cs="仿宋"/>
          <w:b/>
          <w:color w:val="000000"/>
          <w:sz w:val="44"/>
          <w:szCs w:val="44"/>
        </w:rPr>
        <w:t>第四章  合同条款及格式</w:t>
      </w:r>
      <w:bookmarkEnd w:id="21"/>
      <w:bookmarkEnd w:id="22"/>
    </w:p>
    <w:p>
      <w:pPr>
        <w:rPr>
          <w:rFonts w:hint="eastAsia" w:ascii="宋体" w:hAnsi="宋体" w:eastAsia="宋体" w:cs="宋体"/>
          <w:sz w:val="24"/>
          <w:szCs w:val="24"/>
        </w:rPr>
      </w:pPr>
    </w:p>
    <w:p>
      <w:pPr>
        <w:widowControl/>
        <w:spacing w:line="240" w:lineRule="auto"/>
        <w:jc w:val="center"/>
        <w:rPr>
          <w:rFonts w:asciiTheme="majorHAnsi" w:hAnsiTheme="majorHAnsi" w:eastAsiaTheme="majorEastAsia" w:cstheme="majorBidi"/>
          <w:b/>
          <w:caps/>
          <w:sz w:val="44"/>
          <w:szCs w:val="44"/>
        </w:rPr>
      </w:pPr>
      <w:r>
        <w:rPr>
          <w:rFonts w:hint="eastAsia" w:ascii="宋体" w:hAnsi="宋体" w:eastAsia="宋体" w:cs="宋体"/>
          <w:sz w:val="24"/>
          <w:szCs w:val="24"/>
        </w:rPr>
        <w:t xml:space="preserve"> </w:t>
      </w:r>
      <w:r>
        <w:rPr>
          <w:rFonts w:hint="eastAsia" w:asciiTheme="majorHAnsi" w:hAnsiTheme="majorHAnsi" w:eastAsiaTheme="majorEastAsia" w:cstheme="majorBidi"/>
          <w:b/>
          <w:caps/>
          <w:sz w:val="44"/>
          <w:szCs w:val="44"/>
        </w:rPr>
        <w:t>岳阳城陵矶港务有限责任公司</w:t>
      </w:r>
    </w:p>
    <w:p>
      <w:pPr>
        <w:widowControl/>
        <w:spacing w:line="240" w:lineRule="auto"/>
        <w:jc w:val="center"/>
        <w:rPr>
          <w:rFonts w:asciiTheme="majorHAnsi" w:hAnsiTheme="majorHAnsi" w:eastAsiaTheme="majorEastAsia" w:cstheme="majorBidi"/>
          <w:b/>
          <w:caps/>
          <w:sz w:val="44"/>
          <w:szCs w:val="44"/>
        </w:rPr>
      </w:pPr>
    </w:p>
    <w:p>
      <w:pPr>
        <w:widowControl/>
        <w:spacing w:line="240" w:lineRule="auto"/>
        <w:jc w:val="center"/>
        <w:rPr>
          <w:rFonts w:hint="eastAsia" w:asciiTheme="majorHAnsi" w:hAnsiTheme="majorHAnsi" w:eastAsiaTheme="majorEastAsia" w:cstheme="majorBidi"/>
          <w:b/>
          <w:caps/>
          <w:sz w:val="44"/>
          <w:szCs w:val="44"/>
          <w:lang w:val="en-US" w:eastAsia="zh-CN"/>
        </w:rPr>
      </w:pPr>
      <w:r>
        <w:rPr>
          <w:rFonts w:hint="eastAsia" w:asciiTheme="majorHAnsi" w:hAnsiTheme="majorHAnsi" w:eastAsiaTheme="majorEastAsia" w:cstheme="majorBidi"/>
          <w:b/>
          <w:caps/>
          <w:sz w:val="44"/>
          <w:szCs w:val="44"/>
          <w:lang w:val="en-US" w:eastAsia="zh-CN"/>
        </w:rPr>
        <w:t>2023年</w:t>
      </w:r>
    </w:p>
    <w:p>
      <w:pPr>
        <w:widowControl/>
        <w:spacing w:line="240" w:lineRule="auto"/>
        <w:jc w:val="center"/>
        <w:rPr>
          <w:rFonts w:asciiTheme="majorHAnsi" w:hAnsiTheme="majorHAnsi" w:eastAsiaTheme="majorEastAsia" w:cstheme="majorBidi"/>
          <w:b/>
          <w:caps/>
          <w:sz w:val="44"/>
          <w:szCs w:val="44"/>
        </w:rPr>
      </w:pPr>
      <w:r>
        <w:rPr>
          <w:rFonts w:hint="eastAsia" w:asciiTheme="majorHAnsi" w:hAnsiTheme="majorHAnsi" w:eastAsiaTheme="majorEastAsia" w:cstheme="majorBidi"/>
          <w:b/>
          <w:caps/>
          <w:sz w:val="44"/>
          <w:szCs w:val="44"/>
        </w:rPr>
        <w:t>铁路线工务代维技术服务合同</w:t>
      </w:r>
    </w:p>
    <w:p>
      <w:pPr>
        <w:widowControl/>
        <w:spacing w:line="240" w:lineRule="auto"/>
        <w:jc w:val="center"/>
        <w:rPr>
          <w:rFonts w:asciiTheme="majorHAnsi" w:hAnsiTheme="majorHAnsi" w:eastAsiaTheme="majorEastAsia" w:cstheme="majorBidi"/>
          <w:b/>
          <w:caps/>
          <w:sz w:val="44"/>
          <w:szCs w:val="44"/>
        </w:rPr>
      </w:pPr>
    </w:p>
    <w:p>
      <w:pPr>
        <w:widowControl/>
        <w:spacing w:line="240" w:lineRule="auto"/>
        <w:jc w:val="center"/>
        <w:rPr>
          <w:rFonts w:asciiTheme="majorHAnsi" w:hAnsiTheme="majorHAnsi" w:eastAsiaTheme="majorEastAsia" w:cstheme="majorBidi"/>
          <w:caps/>
          <w:sz w:val="44"/>
          <w:szCs w:val="44"/>
        </w:rPr>
      </w:pPr>
    </w:p>
    <w:p/>
    <w:p/>
    <w:p/>
    <w:p/>
    <w:p/>
    <w:p/>
    <w:p/>
    <w:p/>
    <w:p/>
    <w:p/>
    <w:p/>
    <w:p/>
    <w:p/>
    <w:p>
      <w:pPr>
        <w:jc w:val="right"/>
      </w:pPr>
      <w:r>
        <w:rPr>
          <w:rFonts w:hint="eastAsia"/>
        </w:rPr>
        <w:t>签订地点：湖南岳阳</w:t>
      </w:r>
    </w:p>
    <w:p/>
    <w:p/>
    <w:p>
      <w:pPr>
        <w:pStyle w:val="3"/>
        <w:outlineLvl w:val="9"/>
        <w:rPr>
          <w:rFonts w:hint="eastAsia"/>
        </w:rPr>
      </w:pPr>
      <w:r>
        <w:rPr>
          <w:rFonts w:hint="eastAsia"/>
        </w:rPr>
        <w:t xml:space="preserve">     </w:t>
      </w:r>
    </w:p>
    <w:p>
      <w:pPr>
        <w:pStyle w:val="3"/>
      </w:pPr>
      <w:bookmarkStart w:id="23" w:name="_Toc8599"/>
      <w:r>
        <w:rPr>
          <w:rFonts w:hint="eastAsia"/>
        </w:rPr>
        <w:t>一 合同协议书</w:t>
      </w:r>
      <w:bookmarkEnd w:id="23"/>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本合同协议书由岳阳城陵矶港务有限责任公司（以下简称“甲方”或“发包人”）与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(以下简称“乙方”或“技术服务人”)于202</w:t>
      </w:r>
      <w:r>
        <w:rPr>
          <w:rFonts w:hint="eastAsia" w:ascii="宋体" w:hAnsi="宋体" w:eastAsia="宋体" w:cs="宋体"/>
          <w:sz w:val="24"/>
          <w:szCs w:val="24"/>
          <w:lang w:val="en-US" w:eastAsia="zh-CN"/>
        </w:rPr>
        <w:t>2</w:t>
      </w:r>
      <w:r>
        <w:rPr>
          <w:rFonts w:hint="eastAsia" w:ascii="宋体" w:hAnsi="宋体" w:eastAsia="宋体" w:cs="宋体"/>
          <w:sz w:val="24"/>
          <w:szCs w:val="24"/>
        </w:rPr>
        <w:t>年12月31日共同订署。</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鉴于甲方接受了乙方铁路线工务代维技术服务的投标书，为明确双方在合同期间的义务、责任、权力和利益，兹就以下事项达成协议：</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一、本协议书中的词句和用语与本合同条款所规定的定义相同。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二、下列文件是本合同协议书的组成部分，各个组成部分应作为协议书的有效内容予以遵守和执行。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（1）合同协议书及各种合同附件（含评标期间和合同谈判过程中的澄清文件和补充资料等，如果有）；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（2）中标通知书（如有）；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（3）投标函；</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（4）专用合同条款；</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（5）通用合同条款；</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（6）技术标准及要求</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（7）报价清单；</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（8）安全合同；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（9）廉政合同。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三、上述文件将互相补充，如有不明确或不一致之处，以上列次序在先者为准。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四、本合同的总金额是完成本合同所规定义务的一切费用，合同金额为人民币（大写）：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.00）。</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五、甲方在此同意按照本合同协议规定的期限、方式和条件向乙方支付应支付的费用和提供工作条件、有关图纸等文件。</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六、乙方基于甲方的上述保证，在此向甲方承诺按照本技术服务合同的规定履行技术服务。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七、本协议书经双方签字盖章后生效，双方全面履行合同义务后终止。</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八、本合同协议书一式 六 份，甲方执三 份，乙方执三份。</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甲方：岳阳城陵矶港务有限责任      乙方：湖南省铁工建设集团有限公司                      公司</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法定代表人                       法定代表人</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或其委托代理人：                 或其委托代理人：           </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签订日期                         签订日期：</w:t>
      </w:r>
    </w:p>
    <w:p>
      <w:pPr>
        <w:tabs>
          <w:tab w:val="left" w:pos="312"/>
        </w:tabs>
        <w:adjustRightInd w:val="0"/>
        <w:snapToGrid w:val="0"/>
        <w:spacing w:line="312" w:lineRule="auto"/>
        <w:ind w:firstLine="3039" w:firstLineChars="688"/>
        <w:jc w:val="both"/>
        <w:rPr>
          <w:rFonts w:hint="eastAsia" w:ascii="黑体" w:hAnsi="黑体" w:eastAsia="黑体" w:cs="仿宋"/>
          <w:b/>
          <w:color w:val="000000"/>
          <w:kern w:val="0"/>
          <w:sz w:val="44"/>
          <w:szCs w:val="44"/>
          <w:lang w:val="en-US" w:eastAsia="zh-CN" w:bidi="ar-SA"/>
        </w:rPr>
      </w:pPr>
      <w:r>
        <w:rPr>
          <w:rFonts w:hint="eastAsia" w:ascii="黑体" w:hAnsi="黑体" w:eastAsia="黑体" w:cs="仿宋"/>
          <w:b/>
          <w:color w:val="000000"/>
          <w:kern w:val="0"/>
          <w:sz w:val="44"/>
          <w:szCs w:val="44"/>
          <w:lang w:val="en-US" w:eastAsia="zh-CN" w:bidi="ar-SA"/>
        </w:rPr>
        <w:t>合同专用条款</w:t>
      </w:r>
    </w:p>
    <w:p>
      <w:pPr>
        <w:pStyle w:val="2"/>
        <w:numPr>
          <w:ilvl w:val="0"/>
          <w:numId w:val="0"/>
        </w:numPr>
        <w:rPr>
          <w:rFonts w:hint="eastAsia"/>
          <w:lang w:val="en-US" w:eastAsia="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经甲乙双方协商，甲方将所属的线路设备（包括工业站、城陵矶港区和岳纸股份厂内铁路专用线）工务代维护委托给乙方，为明确双方权利和义务，依据《中华人民共和国民法典》及有关规定，签订本合同，双方须共同遵照执行。</w:t>
      </w:r>
    </w:p>
    <w:p>
      <w:pPr>
        <w:spacing w:line="52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第一条、维修和看守范围及内容：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1、专用线的维修和保养：  总长 1</w:t>
      </w:r>
      <w:r>
        <w:rPr>
          <w:rFonts w:hint="eastAsia" w:ascii="宋体" w:hAnsi="宋体" w:eastAsia="宋体" w:cs="宋体"/>
          <w:sz w:val="24"/>
          <w:szCs w:val="24"/>
          <w:lang w:val="en-US" w:eastAsia="zh-CN"/>
        </w:rPr>
        <w:t>6.26</w:t>
      </w:r>
      <w:r>
        <w:rPr>
          <w:rFonts w:hint="eastAsia" w:ascii="宋体" w:hAnsi="宋体" w:eastAsia="宋体" w:cs="宋体"/>
          <w:sz w:val="24"/>
          <w:szCs w:val="24"/>
        </w:rPr>
        <w:t>KM；</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2、铁路道岔的维修和保养：  </w:t>
      </w:r>
      <w:r>
        <w:rPr>
          <w:rFonts w:hint="eastAsia" w:ascii="宋体" w:hAnsi="宋体" w:eastAsia="宋体" w:cs="宋体"/>
          <w:sz w:val="24"/>
          <w:szCs w:val="24"/>
          <w:lang w:val="en-US" w:eastAsia="zh-CN"/>
        </w:rPr>
        <w:t>4</w:t>
      </w:r>
      <w:r>
        <w:rPr>
          <w:rFonts w:hint="eastAsia" w:ascii="宋体" w:hAnsi="宋体" w:eastAsia="宋体" w:cs="宋体"/>
          <w:sz w:val="24"/>
          <w:szCs w:val="24"/>
        </w:rPr>
        <w:t>5 组</w:t>
      </w:r>
    </w:p>
    <w:tbl>
      <w:tblPr>
        <w:tblStyle w:val="17"/>
        <w:tblW w:w="96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1"/>
        <w:gridCol w:w="1164"/>
        <w:gridCol w:w="1903"/>
        <w:gridCol w:w="2753"/>
        <w:gridCol w:w="2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85" w:type="dxa"/>
            <w:gridSpan w:val="5"/>
            <w:tcBorders>
              <w:top w:val="nil"/>
              <w:left w:val="nil"/>
              <w:bottom w:val="nil"/>
              <w:right w:val="nil"/>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工业站线路设备表(2022)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股道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全长(延米）</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起</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站场6920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686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868</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1066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D1</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D2粮干线长574米，北头齐Ｄ2信号机492米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1012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8#岔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5道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1010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5#岔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6#岔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6道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981</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12#岔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993</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16#岔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整备线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156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20#岔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机车库（含）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9#岔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13#岔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17#岔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19#岔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港口3301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港干线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826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站4#岔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港38#岔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430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港40#岔1357-29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车档1809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435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港40#岔1328</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油库接轨点（距土档93米）2116-93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港38#岔1357-29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港40#岔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429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港42#岔1392-29</w:t>
            </w:r>
          </w:p>
        </w:tc>
        <w:tc>
          <w:tcPr>
            <w:tcW w:w="2624" w:type="dxa"/>
            <w:tcBorders>
              <w:top w:val="nil"/>
              <w:left w:val="nil"/>
              <w:bottom w:val="nil"/>
              <w:right w:val="nil"/>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429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港42#岔1392-29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车档1792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港38#岔1357-29</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港42#岔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5道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332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K1+506</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K1+838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纸厂6184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977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纸电道岔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944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纸2#岔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12#岔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13#岔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新渡线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渡2#岔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6道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847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通海路道岔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纸10#岔（不含）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601</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纸7#岔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8道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126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纸9#岔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渡线</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80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纸9#岔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纸10#岔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9道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纸11#岔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10道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792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纸10#岔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294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纸5#岔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土档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510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纸4#岔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纸8#岔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164" w:type="dxa"/>
            <w:tcBorders>
              <w:top w:val="nil"/>
              <w:left w:val="nil"/>
              <w:bottom w:val="nil"/>
              <w:right w:val="nil"/>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5道</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455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纸6#岔</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纸9#岔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线路小计</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16405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道岔</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标号</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站场</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1、3、5、7、9、11、13、15、17、19、21、23、2、4、6、8、10、12、14、16、18、20、22、24、26、28、30</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港口</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38、40、42</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纸厂</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32、34、3、4、5、6、7、8、9、10、11、12、13、14、15</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道岔小计</w:t>
            </w:r>
          </w:p>
        </w:tc>
        <w:tc>
          <w:tcPr>
            <w:tcW w:w="5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lang w:val="en-US" w:eastAsia="zh-CN"/>
              </w:rPr>
              <w:t>45</w:t>
            </w:r>
          </w:p>
        </w:tc>
      </w:tr>
    </w:tbl>
    <w:p>
      <w:pPr>
        <w:spacing w:line="52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第二条、技术服务期限：</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月1日至202</w:t>
      </w:r>
      <w:r>
        <w:rPr>
          <w:rFonts w:hint="eastAsia" w:ascii="宋体" w:hAnsi="宋体" w:eastAsia="宋体" w:cs="宋体"/>
          <w:sz w:val="24"/>
          <w:szCs w:val="24"/>
          <w:lang w:val="en-US" w:eastAsia="zh-CN"/>
        </w:rPr>
        <w:t>3</w:t>
      </w:r>
      <w:r>
        <w:rPr>
          <w:rFonts w:hint="eastAsia" w:ascii="宋体" w:hAnsi="宋体" w:eastAsia="宋体" w:cs="宋体"/>
          <w:sz w:val="24"/>
          <w:szCs w:val="24"/>
        </w:rPr>
        <w:t>年12月31日</w:t>
      </w:r>
    </w:p>
    <w:p>
      <w:pPr>
        <w:spacing w:line="520" w:lineRule="exact"/>
        <w:ind w:firstLine="551" w:firstLineChars="196"/>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第三条、合同方式及费用：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包工不包料，大宗线上料、道岔用料、道口大宗配件由甲方供应，其他一般材料由乙方负责。总承包费用为人民币柒拾肆万元整（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元，已按3%代扣增值税）。因优化改造、改扩建等造成工务代维范围变动时，根据实际变更数量和工务代维时间调整相应工务代维费用。</w:t>
      </w:r>
    </w:p>
    <w:p>
      <w:pPr>
        <w:spacing w:line="520" w:lineRule="exact"/>
        <w:ind w:firstLine="551" w:firstLineChars="196"/>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第四条、技术质量及要求：</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乙方工务代维服务项目常驻现场保持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人，依据甲方提供的线路、道岔等设备数量及有关要求，按照现行《铁路技术管理规程》和《铁路线路维修规则》有关技术标准、操作规程、质量要求组织线路维修工作，维修质量必须满足现行铁路技术标准及验收规范要求，达到合格标准。经常保持线路及建筑物的技术状态良好，保证行车安全，并负责向甲方提供有关专用线技术状态的情况。</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spacing w:line="520" w:lineRule="exact"/>
        <w:ind w:firstLine="562" w:firstLineChars="200"/>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第五条、付款方式：</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乙方按和甲方商定的年度维修计划安排维修。甲方每月末的25日前检查验收本季度维修工作，验收合格后，向乙方出具月度代维质量合格单。乙方凭此合格单和增值税专用发票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向甲方提出付款申请，甲方于10个工作日内以银行转账的方式向乙方支付当月的维修款。</w:t>
      </w:r>
    </w:p>
    <w:p>
      <w:pPr>
        <w:spacing w:line="520" w:lineRule="exact"/>
        <w:ind w:left="472"/>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第六条、双方职责：</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（一）甲方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1、针对线路技术状况向乙方进行全面技术交底，负责审定乙方提出的维修计划，对乙方针对线路安全等所提出的问题、报告等应快速有效响应和回复；</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2、负责质量、安全监督及组织验收；</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3、设立专人专岗负责监督、检查乙方的维修质量，并负责协调乙方维修工作与甲方其他部门的配合事宜；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4、为乙方免费提供水电、办公、值班休息场所、机具材料库房，协调产权单位相关部门关系和岳纸公司关系，提供工务代维工作便利；</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5、合同期内甲方线路的大中修、技改等项目在同等、合规的前提下应优先乙方；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6、及时按本合同要求给乙方办理结算和付款。</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（二）乙方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配合甲方生产需要，根据线路技术状况制订年度、月度、周维修计划，并报甲方审核；按铁路技术规程要求逐步完善设备台帐，建立设备履历、巡查保养消缺记录，妥善保管，定期留存。每月25日前向甲方提供当月线路状况相关数据资料及下月度工作计划。</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积极组织线路维修，合理安排并按计划完成维修任务，确保维修质量。对各种可能发生的紧急、突发情况制定可行的应急预案。合同期内对甲方线路的大中修、技改等项目，要协助甲方把好安全、质量关，配合做好对标验收工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3、抓好维修队伍及人员管理，购置维修工具；负责对人员进行安全教育并配置劳保用品；不得随意封闭铁路线维修作业，应按规定执行要点消点制度，维修完毕应及时与甲方进行维修情况说明。</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4、乙方代维人员应在生产现场值守，及时响应，发现线路故障15分钟内，必须到达设备故障点进行处理。节假日也应安排人员巡道，巡道工作制定具体的考核制度。</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加强现场材料、设备、人员及其他各项管理工作，维修作业不得影响甲方正常生产运输，确保工完料尽场地清，切实搞好文明维修作业；不能及时消除运行缺陷时，乙方在确保安全的前提下应采取应急措施临时开通线路，保证甲方正常生产作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6、每年对铁路线进行一次以上的全面钢轨探伤，并做好秋季设备调查，作为下年度代维及大中修技术资料，以书面形式提交甲方。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7、铁路线范围的树、草及时清理，不得影响行车人员瞭望；排水沟定期清理，保持畅通。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8、在甲方有应急抢险情况需要乙方支持时，从人员、设备上全力配合甲方排除险情。</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9、做好卫生责任区清扫等工作。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第七条、安全：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1、与本合同同步签订安全协议，乙方人员在在甲方厂区应遵守甲方各项安全管理制度并服从甲方现场作业管理。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乙方人员应遵纪守法，自觉遵守甲方的安全规章制度，服从甲方管理、安全监督检查，重要作业前须进行危害识别和风险评估工作。加强对施工人员的教育，认真做好安全防范工作，杜绝安全、环境、健康事故的发生；</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3、乙方必须按照国家有关安全生产条例及操作规程进行维修作业，加强安全教育，强化安全管理，维修时有人进行安全监护，确保作业安全。若因乙方原因导致的一切安全责任事故，均由乙方负责并承担相应经济损失；</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4、乙方在维修作业时，不得破坏和改变原有线路及设备设施，否则，由此造成的损失由乙方承担，并负责无偿修复。</w:t>
      </w:r>
    </w:p>
    <w:p>
      <w:pPr>
        <w:spacing w:line="520" w:lineRule="exact"/>
        <w:ind w:firstLine="551" w:firstLineChars="196"/>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第八条、违约责任：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1、甲方如不能按期付款，应偿付逾期的违约金，每逾期一天，按拖欠款额的1‰偿付。</w:t>
      </w:r>
    </w:p>
    <w:p>
      <w:pPr>
        <w:tabs>
          <w:tab w:val="left" w:pos="312"/>
        </w:tabs>
        <w:adjustRightInd w:val="0"/>
        <w:snapToGrid w:val="0"/>
        <w:spacing w:line="312" w:lineRule="auto"/>
        <w:ind w:firstLine="453" w:firstLineChars="18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维修期内对线路质量或安全问题，乙方应及时整改；如乙方接甲方书面整改通知5日内仍不能及时整改的，每次处以罚款1000元；同时甲方有权另行安排队伍进行维修，所产生的费用及损失均由乙方承担。该费用在每季度代维费支付时扣除。</w:t>
      </w:r>
    </w:p>
    <w:p>
      <w:pPr>
        <w:tabs>
          <w:tab w:val="left" w:pos="312"/>
        </w:tabs>
        <w:adjustRightInd w:val="0"/>
        <w:snapToGrid w:val="0"/>
        <w:spacing w:line="312" w:lineRule="auto"/>
        <w:ind w:firstLine="453" w:firstLineChars="18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3、乙方必须严格遵守自己承诺的维修期及质量约定，如期按质地完成承包维修任务。如因维修质量问题发生事故或影响生产所造成的一切损失由乙方承担。</w:t>
      </w:r>
    </w:p>
    <w:p>
      <w:pPr>
        <w:tabs>
          <w:tab w:val="left" w:pos="312"/>
        </w:tabs>
        <w:adjustRightInd w:val="0"/>
        <w:snapToGrid w:val="0"/>
        <w:spacing w:line="312" w:lineRule="auto"/>
        <w:ind w:firstLine="453" w:firstLineChars="18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4、若一方违约，应承担对方因此而造成的直接损失，违约损失超过10万元的，受损方有权提前中止本合同。</w:t>
      </w:r>
    </w:p>
    <w:p>
      <w:pPr>
        <w:spacing w:line="520" w:lineRule="exact"/>
        <w:ind w:firstLine="551" w:firstLineChars="196"/>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第九条、附则：</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highlight w:val="none"/>
        </w:rPr>
        <w:t>1、本合同签订后，因其他原因影响</w:t>
      </w:r>
      <w:r>
        <w:rPr>
          <w:rFonts w:hint="eastAsia" w:ascii="宋体" w:hAnsi="宋体" w:eastAsia="宋体" w:cs="宋体"/>
          <w:sz w:val="24"/>
          <w:szCs w:val="24"/>
        </w:rPr>
        <w:t>需要修改、补充或终止时，经双方协商一致后签订补充协议或解除合同。补充协议和本合同具有同等法律效力；</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2、本合同执行过程中，双方发生争议，可协商解决，若协商不成，由岳阳市道路运输服务中心铁路管理所调解；调解不成，可向履约地人民法院起诉。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br w:type="page"/>
      </w:r>
    </w:p>
    <w:p>
      <w:pPr>
        <w:pStyle w:val="26"/>
        <w:numPr>
          <w:ilvl w:val="0"/>
          <w:numId w:val="0"/>
        </w:numPr>
        <w:spacing w:line="600" w:lineRule="exact"/>
        <w:ind w:leftChars="0" w:firstLine="442" w:firstLineChars="100"/>
        <w:jc w:val="center"/>
        <w:rPr>
          <w:rFonts w:hint="eastAsia" w:ascii="黑体" w:hAnsi="黑体" w:eastAsia="黑体" w:cs="仿宋"/>
          <w:b/>
          <w:color w:val="000000"/>
          <w:sz w:val="44"/>
          <w:szCs w:val="44"/>
        </w:rPr>
      </w:pPr>
      <w:r>
        <w:rPr>
          <w:rFonts w:hint="eastAsia" w:ascii="黑体" w:hAnsi="黑体" w:eastAsia="黑体" w:cs="仿宋"/>
          <w:b/>
          <w:color w:val="000000"/>
          <w:sz w:val="44"/>
          <w:szCs w:val="44"/>
        </w:rPr>
        <w:t xml:space="preserve"> 通用合同条款</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 定义与解释</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24" w:name="_Toc493143918"/>
      <w:r>
        <w:rPr>
          <w:rFonts w:hint="eastAsia" w:ascii="宋体" w:hAnsi="宋体" w:eastAsia="宋体" w:cs="宋体"/>
          <w:sz w:val="24"/>
          <w:szCs w:val="24"/>
        </w:rPr>
        <w:t>1.1 定义</w:t>
      </w:r>
      <w:bookmarkEnd w:id="24"/>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下列词句或用语，除根据上下文另有其意义外，一般应具有如下含义：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1.1.1 项目:发包人委托技术服务人提供技术服务的对象。</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1.1.2 服务:技术服务人根据技术服务合同所承担的工作，包括正常的服务、附加的服务、额外的服务，亦称技术服务。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1.1.3发包人:委托技术服务人提供技术服务的法人或其合法继承人或其合法受让人。</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1.1.4技术服务人:具有法人资格和相应资质并与发包人签订了合同协议书承担技术服务的法人或其合法继承人或其受让人（经发包人同意），如为联合体，则包括联合体所有成员，根据上下文的内容，也指由其派驻到现场履行技术服务的机构。</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1.1.5 一方:发包人或技术服务人。</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双方:发包人和技术服务人。</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第三方:本合同双方以外的任何中国境内外的自然人、法人或其他经济组织。</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1.1.6技术服务合同:发包人和技术服务人双方签署的，与本项目相关的合同协议书及附件、附录等一切文件，还包括招标文件、投标文件中的相关内容及双方签认的补充或修正文件。</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1.1.7 附件:与本合同的订立、履行有关的，经双方认可的，对本合同约定的内容进行细化、补充、修改、变更的文件、图纸、音像制品等资料。</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1.1.8 法律法规:由中国有关部门制定的法律、行政法规、地方性法规、规章及其他规范性文件以及经全国人民代表大会常务委员会批准的中国缔结、参加的国际条公约的有关规定。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1.1.9 书面形式:指任何手写、打字、印刷或电子文档等用文字表达的方式。</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1.1.10 日: 即日历日。</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1.1.11月:根据公历从某一个月份中的任何一日开始至下一个月份相应日期的前一日截止的时间段。</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25" w:name="_Toc493143919"/>
      <w:r>
        <w:rPr>
          <w:rFonts w:hint="eastAsia" w:ascii="宋体" w:hAnsi="宋体" w:eastAsia="宋体" w:cs="宋体"/>
          <w:sz w:val="24"/>
          <w:szCs w:val="24"/>
        </w:rPr>
        <w:t>1.2 解释</w:t>
      </w:r>
      <w:bookmarkEnd w:id="25"/>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1.2.1技术服务合同中的标题只是为了方便查阅，不应作为技术服务合同本身的内容予以理解，也不应将其用于对技术服务合同进行解释。</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1.2.2为了简练文字，技术服务合同中有些词句或用语可能会有多种含义，阅读时应视上下文的实际需要而定义。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1.2.3组成技术服务合同的各个文件应该认为是一个整体，彼此相互解释，相互补充，如出现相互矛盾的情况，</w:t>
      </w:r>
      <w:bookmarkStart w:id="26" w:name="_Toc493143920"/>
      <w:r>
        <w:rPr>
          <w:rFonts w:hint="eastAsia" w:ascii="宋体" w:hAnsi="宋体" w:eastAsia="宋体" w:cs="宋体"/>
          <w:sz w:val="24"/>
          <w:szCs w:val="24"/>
        </w:rPr>
        <w:t>应按时间顺序以最新文件为准。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 技术服务人的义务</w:t>
      </w:r>
      <w:bookmarkEnd w:id="26"/>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27" w:name="_Toc493143921"/>
      <w:r>
        <w:rPr>
          <w:rFonts w:hint="eastAsia" w:ascii="宋体" w:hAnsi="宋体" w:eastAsia="宋体" w:cs="宋体"/>
          <w:sz w:val="24"/>
          <w:szCs w:val="24"/>
        </w:rPr>
        <w:t>2.1技术服务的范围、目标、内容</w:t>
      </w:r>
      <w:bookmarkEnd w:id="27"/>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28" w:name="_Toc493143922"/>
      <w:r>
        <w:rPr>
          <w:rFonts w:hint="eastAsia" w:ascii="宋体" w:hAnsi="宋体" w:eastAsia="宋体" w:cs="宋体"/>
          <w:sz w:val="24"/>
          <w:szCs w:val="24"/>
        </w:rPr>
        <w:t>2.1.1服务范围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（1）技术服务的工程范围：在合同专用条款中约定。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（2）技术服务的工作范围：技术服务人应当按照合同要求和发包人的授权范围进行下述技术服务：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i.正常技术服务的范围：指在合同约定的期限内的技术服务范围和技术服务范围内的技术服务工作。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ii.附加技术服务的范围：为完成正常技术服务工作所必须进行的相关技术服务工作。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iii.额外技术服务的范围：是指技术服务范围（包括正常技术服务和附加技术服务）以外的不影响技术服务内容执行但与技术服务内容紧密相关的并经发包人同意增加的技术服务工作。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2.1.2技术服务的目标</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在合同专用条款中约定。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2.1.3技术服务的内容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在合同专用条款中约定。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2.2技术服务的依据</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2.2.1适用的法律、法规、规章；</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2.2.2国家和行业有关标准、规范、规程；</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2.2.3技术服务合同（包括招投标相关文件及附录）；</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2.2.4技术服务实施过程中有关的函件；</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2.2.5 补充规定。</w:t>
      </w:r>
    </w:p>
    <w:bookmarkEnd w:id="28"/>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29" w:name="_Toc493143923"/>
      <w:r>
        <w:rPr>
          <w:rFonts w:hint="eastAsia" w:ascii="宋体" w:hAnsi="宋体" w:eastAsia="宋体" w:cs="宋体"/>
          <w:sz w:val="24"/>
          <w:szCs w:val="24"/>
        </w:rPr>
        <w:t>2.3 技术服务人</w:t>
      </w:r>
      <w:bookmarkEnd w:id="29"/>
      <w:r>
        <w:rPr>
          <w:rFonts w:hint="eastAsia" w:ascii="宋体" w:hAnsi="宋体" w:eastAsia="宋体" w:cs="宋体"/>
          <w:sz w:val="24"/>
          <w:szCs w:val="24"/>
        </w:rPr>
        <w:t>的一般义务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2.3.1应按照技术服务合同及相关法律、法规的要求，严格、严密、科学、公正地完成技术服务工作。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2.3.2应妥善保护发包人提供的相关文件与资料，未经发包人同意不得复制给任何第三者。其技术服务成果、报告未经发包人同意不得告知、复制给任何第三者。</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2.3.3应对自己及其雇员的生命财产全权负责，并避免对发包人及相关第三者的财产造成损坏。</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2.3.4应对发包人提交中间执行情况报告，并接受发包人的指令做出必要的调整、变更。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2.3.5 提供的技术服务不得擅自涉及他人的知识产权保护。</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2.3.6 未经发包人同意，不得将服务工作的部分或全部工作发包给第三者。</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2.3.7 应对所有现场作业的完备性、稳定性和安全性负责。其各项工作应按正式颁布的国家标准及部颁行业标准进行。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2.3.8 负责为技术服务成果的确认，完成必要的评审、鉴定等，负责向发包人解读技术服务成果的应用及提交相关建议。</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0" w:name="_Toc493143924"/>
      <w:r>
        <w:rPr>
          <w:rFonts w:hint="eastAsia" w:ascii="宋体" w:hAnsi="宋体" w:eastAsia="宋体" w:cs="宋体"/>
          <w:sz w:val="24"/>
          <w:szCs w:val="24"/>
        </w:rPr>
        <w:t>2.4 技术服务人的服务人员</w:t>
      </w:r>
      <w:bookmarkEnd w:id="30"/>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2.4.1 技术服务人应按合同约定指派项目负责人，并负责组织合同的实施。技术服务人为履行合同发出的一切函件均应盖有服务人的管理机构章，并由技术服务人项目负责人签字。</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2.4.2技术服务人派驻到项目服务的其他人员，必须持有相关的资格证书，并得到发包人的认可。</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2.4.3技术服务人因工作安排或其它原因，需要更换项目的服务人员时，应事先得到发包人的同意。发包人有权同意或拒绝。</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1" w:name="_Toc493143927"/>
      <w:r>
        <w:rPr>
          <w:rFonts w:hint="eastAsia" w:ascii="宋体" w:hAnsi="宋体" w:eastAsia="宋体" w:cs="宋体"/>
          <w:sz w:val="24"/>
          <w:szCs w:val="24"/>
        </w:rPr>
        <w:t>3. 发包人的一般义务</w:t>
      </w:r>
      <w:bookmarkEnd w:id="31"/>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2" w:name="_Toc493143930"/>
      <w:r>
        <w:rPr>
          <w:rFonts w:hint="eastAsia" w:ascii="宋体" w:hAnsi="宋体" w:eastAsia="宋体" w:cs="宋体"/>
          <w:sz w:val="24"/>
          <w:szCs w:val="24"/>
        </w:rPr>
        <w:t>3.</w:t>
      </w:r>
      <w:bookmarkEnd w:id="32"/>
      <w:r>
        <w:rPr>
          <w:rFonts w:hint="eastAsia" w:ascii="宋体" w:hAnsi="宋体" w:eastAsia="宋体" w:cs="宋体"/>
          <w:sz w:val="24"/>
          <w:szCs w:val="24"/>
        </w:rPr>
        <w:t>1应按合同约定为技术服务人及时提供其履行合同所必须的有关文件和资料。</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3" w:name="_Toc493143931"/>
      <w:r>
        <w:rPr>
          <w:rFonts w:hint="eastAsia" w:ascii="宋体" w:hAnsi="宋体" w:eastAsia="宋体" w:cs="宋体"/>
          <w:sz w:val="24"/>
          <w:szCs w:val="24"/>
        </w:rPr>
        <w:t>3.</w:t>
      </w:r>
      <w:bookmarkEnd w:id="33"/>
      <w:r>
        <w:rPr>
          <w:rFonts w:hint="eastAsia" w:ascii="宋体" w:hAnsi="宋体" w:eastAsia="宋体" w:cs="宋体"/>
          <w:sz w:val="24"/>
          <w:szCs w:val="24"/>
        </w:rPr>
        <w:t>2应指定专人负责相关技术服务管理工作，就有关发包人的关于技术服务的调整、变更的决定及时以书面指令形式发至技术服务人，有必要时签订相关补充协议、合同。负责人更换必须及时通知技术服务人。</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4" w:name="_Toc493143932"/>
      <w:r>
        <w:rPr>
          <w:rFonts w:hint="eastAsia" w:ascii="宋体" w:hAnsi="宋体" w:eastAsia="宋体" w:cs="宋体"/>
          <w:sz w:val="24"/>
          <w:szCs w:val="24"/>
        </w:rPr>
        <w:t>3.</w:t>
      </w:r>
      <w:bookmarkEnd w:id="34"/>
      <w:r>
        <w:rPr>
          <w:rFonts w:hint="eastAsia" w:ascii="宋体" w:hAnsi="宋体" w:eastAsia="宋体" w:cs="宋体"/>
          <w:sz w:val="24"/>
          <w:szCs w:val="24"/>
        </w:rPr>
        <w:t>3按合同约定为技术服务人做好必要的联络协调工作，方便技术服务人开展技术服务工作。</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5" w:name="_Toc493143935"/>
      <w:r>
        <w:rPr>
          <w:rFonts w:hint="eastAsia" w:ascii="宋体" w:hAnsi="宋体" w:eastAsia="宋体" w:cs="宋体"/>
          <w:sz w:val="24"/>
          <w:szCs w:val="24"/>
        </w:rPr>
        <w:t>3.4应按合同规定向技术服务人书面提交并要求答复的重大问题，做出书面决定。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3.5应按合同约定及时支付技术服务的费用。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3.6未经技术服务人同意不得泄密涉及其知识产权的资料。</w:t>
      </w:r>
    </w:p>
    <w:p>
      <w:pPr>
        <w:pStyle w:val="6"/>
        <w:spacing w:line="520" w:lineRule="exact"/>
        <w:rPr>
          <w:rFonts w:hint="eastAsia" w:ascii="宋体" w:hAnsi="宋体" w:eastAsia="宋体" w:cs="宋体"/>
        </w:rPr>
      </w:pPr>
      <w:r>
        <w:rPr>
          <w:rFonts w:hint="eastAsia" w:ascii="宋体" w:hAnsi="宋体" w:eastAsia="宋体" w:cs="宋体"/>
        </w:rPr>
        <w:t>4. 责任和保障</w:t>
      </w:r>
      <w:bookmarkEnd w:id="35"/>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4.1技术服务人的违约及赔偿责任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4.1.1 技术服务人违反技术服务合同的规定，将技术服务的任何部分违法转让或非法分包；</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4.1.2 技术服务人未能按照投标文件的承诺配备满足技术服务要求的人员或设备；</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4.1.3 技术服务人不履行职责，造成质量、安全事故或向相关人索贿、谋取私利，或与相关人串通损害发包人利益，给发包人造成损失；</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4.1.4技术服务人拒绝或未能遵守发包人的指示，或未能按合同进度计划及时完成合同约定的工作，造成工期延误；</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4.1.5 技术服务人未按投标文件中承诺的服务人员履行合同，擅自缺岗或变更；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4.1.6 尽管技术服务人已按承诺派遣了各类技术服务人员，但若这些人员仍不能满足合同进度计划和(或)质量要求时，发包人有权要求技术服务人继续增派或雇用这类人员，技术服务人应立即执行，由此增加的费用和(或)工期延误由技术服务人承担。</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4.1.7 尽管技术服务人己经提供了合同附件要求的仪器设备，但若这些仪器设备仍不能满足技术服务要求时，发包人有权要求技术服务人增加或更换仪器设备，技术服务人应及时增加或更换仪器设备由此增加的费用和(或)工期延误由技术服务人承担。发包人有权在应付给技术服务人的费用中扣除新购仪器设备的费用以满足技术服务要求。</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4.1.8 若因服务人员不负责任、失职读职，使给服务对象造成质量安全事故并造成一定经济损失或被上级通报批评的，技术服务人向发包人支付违约金及赔偿金，同时发包人将上报有关部门追究相应责任人的责任。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4.1.9 在合同履行期间，如技术服务人提供虚假成果，技术服务人应更换主要负责人，并向发包人支付违约金，并应重新完成相关服务工作。因虚假服务造成发包人损失的，依法追究相关责任和赔偿。</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4.1.10 对执行发包人的工作指令不力，工作责任心不强、职业道德差而造成严重影响的服务人员，发包人有权作出调整或更换，技术服务人必须服从，技术服务人应向发包人支付违约金。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4.1.11 发包人在向技术服务人发出书面指令的7天内未见执行的，可以向技术服务人课以违约金，在14天以上还不执行的发包人有权终止合同。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4.1.12 技术服务人违反技术服务合同的规定并造成发包人的经济损失，应向发包人赔偿。技术服务人对因第三方责任造成的任何经济损失，不承担责任。如果技术服务人与发包人或第三方对有关经济损失共责任时，应按责任比例计算赔偿。技术服务人的上述责任赔偿。均应按照本合同条欺第4.4款的规定办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4.1.14 技术服务人发生上述的违约情况时，均以项目专用合同条款中规定的违约金的规定办理。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4.2发包人的违约及赔偿责任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发包人违反技术服务合同规定的应当及时予以改正，并造成技术服务人的经济损失，应向技术服务人赔偿。</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 3赔偿责任的期限</w:t>
      </w:r>
    </w:p>
    <w:p>
      <w:pPr>
        <w:tabs>
          <w:tab w:val="left" w:pos="312"/>
        </w:tabs>
        <w:adjustRightInd w:val="0"/>
        <w:snapToGrid w:val="0"/>
        <w:spacing w:line="312" w:lineRule="auto"/>
        <w:ind w:firstLine="453" w:firstLineChars="189"/>
        <w:jc w:val="both"/>
        <w:rPr>
          <w:rFonts w:ascii="仿宋" w:hAnsi="仿宋" w:eastAsia="仿宋" w:cs="仿宋"/>
          <w:sz w:val="28"/>
          <w:szCs w:val="28"/>
        </w:rPr>
      </w:pPr>
      <w:r>
        <w:rPr>
          <w:rFonts w:hint="eastAsia" w:ascii="宋体" w:hAnsi="宋体" w:eastAsia="宋体" w:cs="宋体"/>
          <w:sz w:val="24"/>
          <w:szCs w:val="24"/>
        </w:rPr>
        <w:t>发包人或技术服务人任何一方向另一方要求的赔偿，都应在赔偿事件发生后的7日之内以书面形式提出索赔。如果该事件具有持续性，则应在事件首次发生后7日之内提出索赔意向，并每隔7日提供一次该事件仍在持续发展的证明材料，直至该事件结束后7日之内提出正式的索赔文件。否则，无论是发包人还是技术服务人均有权对上述索赔不予受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4.</w:t>
      </w:r>
      <w:bookmarkStart w:id="36" w:name="_Toc493143939"/>
      <w:r>
        <w:rPr>
          <w:rFonts w:hint="eastAsia" w:ascii="宋体" w:hAnsi="宋体" w:eastAsia="宋体" w:cs="宋体"/>
          <w:sz w:val="24"/>
          <w:szCs w:val="24"/>
        </w:rPr>
        <w:t xml:space="preserve"> 4赔偿的限额</w:t>
      </w:r>
      <w:bookmarkEnd w:id="36"/>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除非发包人、技术服务人相互或给相关第三方造成重大损失需提交司法或仲裁外，违约处罚或责任赔偿累计一般不超过合同额的10%，具体在合同专用条款中约定（鉴于双方在合同条款中，约定了任何一方向另一方依据本合同条款第4.1款和第4. 2款支付赔偿的最高限额，双方在此一致同意放弃超过该限额的剩余赔偿要求。但本合同条款其它条款规定的补偿和由于任何一方故意违约而引起的索赔，不受该限额的限制）。</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7" w:name="_Toc493143940"/>
      <w:r>
        <w:rPr>
          <w:rFonts w:hint="eastAsia" w:ascii="宋体" w:hAnsi="宋体" w:eastAsia="宋体" w:cs="宋体"/>
          <w:sz w:val="24"/>
          <w:szCs w:val="24"/>
        </w:rPr>
        <w:t>4.5保障</w:t>
      </w:r>
      <w:bookmarkEnd w:id="37"/>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4.5.1在技术服务人不违反有关法律、法规的前提下，发包人应保障技术服务人免受因履行本技术服务合同而引起的外界索赔或干扰。</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4.5.2技术服务人在签订技术服务合同协议前应按照发包人认可的形式向发包人递交履约保函或履约保证金。如果技术服务人无正当理由全部或部分不履行本技术服务合同时，发包人有权根据具体情况没收全部或部分履约保证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4.5.3在签发合同工程交工证书后，发包人向技术服务人返还履约保证金。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8" w:name="_Toc493143941"/>
      <w:r>
        <w:rPr>
          <w:rFonts w:hint="eastAsia" w:ascii="宋体" w:hAnsi="宋体" w:eastAsia="宋体" w:cs="宋体"/>
          <w:sz w:val="24"/>
          <w:szCs w:val="24"/>
        </w:rPr>
        <w:t>4.6保险</w:t>
      </w:r>
      <w:bookmarkEnd w:id="38"/>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技术服务人应在技术服务期内、自费办理派驻到项目所在地的人员人身和自备财产的有关保险，保险时间应随服务时间的延长而顺延，井在出险后自行办理索赔。如果技术服务人不办理上述保险，则应对有关风险及后果自负其责。</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 技术服务合同的生效、终止、暂停与解除</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39" w:name="_Toc493143943"/>
      <w:r>
        <w:rPr>
          <w:rFonts w:hint="eastAsia" w:ascii="宋体" w:hAnsi="宋体" w:eastAsia="宋体" w:cs="宋体"/>
          <w:sz w:val="24"/>
          <w:szCs w:val="24"/>
        </w:rPr>
        <w:t>5. 1技术服务合同协议书的生效</w:t>
      </w:r>
      <w:bookmarkEnd w:id="39"/>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技术服务合同协议书生效的时间，以双方签署的协议书上约定的时间为准。</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0" w:name="_Toc493143944"/>
      <w:r>
        <w:rPr>
          <w:rFonts w:hint="eastAsia" w:ascii="宋体" w:hAnsi="宋体" w:eastAsia="宋体" w:cs="宋体"/>
          <w:sz w:val="24"/>
          <w:szCs w:val="24"/>
        </w:rPr>
        <w:t>5. 2技术服务的时间和期限</w:t>
      </w:r>
      <w:bookmarkEnd w:id="40"/>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技术服务人必须按照合同条款中规定的时间和有关期限履行和完成技术服务。如果非技术服务人的原因。致使技术服务时向需要延长，双方应通过协商，另行签订补充协议。</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1" w:name="_Toc493143945"/>
      <w:r>
        <w:rPr>
          <w:rFonts w:hint="eastAsia" w:ascii="宋体" w:hAnsi="宋体" w:eastAsia="宋体" w:cs="宋体"/>
          <w:sz w:val="24"/>
          <w:szCs w:val="24"/>
        </w:rPr>
        <w:t>5.3技术服务合同的终止</w:t>
      </w:r>
      <w:bookmarkEnd w:id="41"/>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5.3.1根据技术服务的内容要求，技术服务人应提交最终服务执行情况报告或服务成果总结报告并得到发包人的认可后方可终止合同；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5.3.2技术服务合同终止和失效的时间，按双方签署的协议书上注明的方式确定。技术服务合同失效后，双方均不再受本技术服务合同的约束。</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5.4 技术服务费用的调整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在签订本技术服务合同后，因物价变动等因素或因国家或地方政府的法律、法规变动而引起技术服务费用的增加或服务时间的延长，而引起技术服务费用的变化，不予调整。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2" w:name="_Toc493143947"/>
      <w:r>
        <w:rPr>
          <w:rFonts w:hint="eastAsia" w:ascii="宋体" w:hAnsi="宋体" w:eastAsia="宋体" w:cs="宋体"/>
          <w:sz w:val="24"/>
          <w:szCs w:val="24"/>
        </w:rPr>
        <w:t>5.5 技术服务合同的暂停与</w:t>
      </w:r>
      <w:bookmarkEnd w:id="42"/>
      <w:r>
        <w:rPr>
          <w:rFonts w:hint="eastAsia" w:ascii="宋体" w:hAnsi="宋体" w:eastAsia="宋体" w:cs="宋体"/>
          <w:sz w:val="24"/>
          <w:szCs w:val="24"/>
        </w:rPr>
        <w:t>解除</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5.5.1 出现根据本技术服务合同的规定不应由技术服务人负责的情况，且该情况已使技术服务人不能继续履行全部或部分技术服务时，技术服务人应立即书面通知发包人。并且不得不暂停或减缓某些技术服务时，则上述服务的完成期限应予以延长；因此而增加的技术服务工作量或延长的服务时间应作为技术服务人附加的服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5.5.2 全部技术服务已无法继续履行时，技术服务人在书面通知发包人7日之后，有权单方面解除本技术服务合同，因此而增加的技术服务工作量应作为技术服务人额外的服务。发包人应及时向技术服务人返还全部或剩余部分的履约保证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5.5.3因不可抗力致使本技术服务合同不能履行或只能部分履行时，一方应立即书面通知另一方，暂停或解除技术服务合同。双方应对由此而产生的任何损失、损害或延误各负其责。不可抗力是指服务人和发包人在订立合同时不可预见，在履行合同过程中不可避免发生并不能克服的自然灾害和社会性突发事件，如地震、海啸、瘟疫、水灾、骚乱、暴动、战争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5.5.4发包人要求技术服务人全部或部分暂停技术服务或解除本技术服务合同时，必须在7日之前发出书面通知。技术服务人在接到通知后，应立即安排停止全部或该部分技术服务并将相关费用开支减至最小。因此而增加的技术服务工作量应作为技术服务人额外的服务，发包人应及时向技术服务人返还全部或剩余部分的履约保证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5.5.5技术服务人无正当的理由，未根据技术服务合同的规定履行全部或部分技术服务，发包人可书面要求技术服务人予以解释。若技术服务人在28日内未能根据本技术服务合同给予合理的答复，发包人可在进一步发出书面通知14日后，单方面解除本技术服务合同，并视情况没收技术服务人的全部或部分履约保证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5.5.6发包人拖延支付技术服务费用，并已超过规定支付期限后28日，或暂停技术服务己超过6个月时，技术服务人可书面要求发包人予以解释。若发包人在28日内未能根据本技术服务合同给予合理的答复，技术服务人可在进一步发出书面通知14日后，单方面解除本技术服务合同或自行暂停全部或部分技术服务。因此而增加的技术服务工作量应作为技术服务人附加的服务，发包人应及时向技术服务人返还全部或剩余部分的履约保证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5.5.7技术服务合同的解除，不得损害或影响双方根据本技术服务合同应有的义务、责任、权力和利益。</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3" w:name="_Toc493143949"/>
      <w:r>
        <w:rPr>
          <w:rFonts w:hint="eastAsia" w:ascii="宋体" w:hAnsi="宋体" w:eastAsia="宋体" w:cs="宋体"/>
          <w:sz w:val="24"/>
          <w:szCs w:val="24"/>
        </w:rPr>
        <w:t>6. 技术服务的费用与支付</w:t>
      </w:r>
      <w:bookmarkEnd w:id="43"/>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4" w:name="_Toc493143950"/>
      <w:r>
        <w:rPr>
          <w:rFonts w:hint="eastAsia" w:ascii="宋体" w:hAnsi="宋体" w:eastAsia="宋体" w:cs="宋体"/>
          <w:sz w:val="24"/>
          <w:szCs w:val="24"/>
        </w:rPr>
        <w:t>6.1技术服务费用内容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技术服务人服务费用应包括如下内容：</w:t>
      </w:r>
    </w:p>
    <w:p>
      <w:pPr>
        <w:spacing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6.1.1人员费用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6.1.1.1基本工资</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6.1.1.2工资性津贴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6.1.1.3职工福利费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6.1.1.4劳动保护费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6.1.1.5加班费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6.1.1.6其它</w:t>
      </w:r>
    </w:p>
    <w:p>
      <w:pPr>
        <w:spacing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6.1.2现场费用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6.1.2.1临时设施费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6.1.2.2办公费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6.1.2.3会议费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6.1.2.4差旅交通费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6.1.2.5固定资产使用费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6.1.2.6通讯设备购置、使用费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6.1.2.7投标人提供的测量、试验、检测设备仪器折旧、维修或租赁费，其他设备折旧、维修或租赁费等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6.1.2.8招标人提供的试验设备、办公用品及办公用房的维护维修费等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6.1.2.9零星固定资产购置费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6.1.2.10 投标人在技术服务期间试验检测发生的易耗品或损耗仪器的购置</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6.1.2.11其它</w:t>
      </w:r>
    </w:p>
    <w:p>
      <w:pPr>
        <w:spacing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6.1.3企业管理费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6.1.3.1工会经费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6.1.3.2职工教育经费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6.1.3.3业务招待费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6.1.3.4财务费用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6.1.3.5社会保险费用（基本养老、基本医疗、失业、工伤保险）</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6.1.3.6住房公积金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6.1.3.7其它</w:t>
      </w:r>
    </w:p>
    <w:p>
      <w:pPr>
        <w:spacing w:line="52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6.1.4利润和税金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6.2技术服务费计费方法</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技术服务费用由正常的技术服务、附加技术服务和额外技术服务三个方面的费用组成。</w:t>
      </w:r>
    </w:p>
    <w:bookmarkEnd w:id="44"/>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6.2.1（正常技术服务+附加技术服务）的费用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5" w:name="_Toc493143951"/>
      <w:r>
        <w:rPr>
          <w:rFonts w:hint="eastAsia" w:ascii="宋体" w:hAnsi="宋体" w:eastAsia="宋体" w:cs="宋体"/>
          <w:sz w:val="24"/>
          <w:szCs w:val="24"/>
        </w:rPr>
        <w:t>（正常服务+附加服务）的费用是技术服务人为完成合同所确定的技术服务范围内的全部服务所发生的一切费用。包括但不限于：人员费用、现场费用、企业管理费用、保险、利润和税金等。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6.2.2额外技术服务的费用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额外服务费用的计算方法，由双方协商确定，另行制定；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6.2.3技术服务费的调整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除非合同专用条款中另有规定，本合同为固定总价合同，技术服务费用不随国家政策或法规、标准及市场因素的变化而进行调整，也不因实际服务周期的延长或缩短而调整。</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6.3支付</w:t>
      </w:r>
      <w:bookmarkEnd w:id="45"/>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6.3.1支付方式与支付内容</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6.3.1发包人采用的支付方式与支付内容在合同专用条款中约定。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6.3.2履约保证金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6.3.2.1履约保证金的提交和返还按照投标人须知第7.3条和技术服务合同条款第4.5.2款、第4.5.3款执行。</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6.3.2.2发包人没收技术服务人的全部或部分履约保证金时，不影响技术服务人根据技术服务合同应当得到的其它款项的支付。</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6.3.3违约赔偿金</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6.3.3.1根据技术服务合同条款第4.1款确定的技术服务人对发包人的赔偿，由发包人从对技术服务人的日常支付中扣回。</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6.3.3.2根据技术服务合同条款第4.2款确定的发包人对技术服务人的赔偿，应由发包人在日常支付中向技术服务人支付。</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6" w:name="_Toc493143952"/>
      <w:r>
        <w:rPr>
          <w:rFonts w:hint="eastAsia" w:ascii="宋体" w:hAnsi="宋体" w:eastAsia="宋体" w:cs="宋体"/>
          <w:sz w:val="24"/>
          <w:szCs w:val="24"/>
        </w:rPr>
        <w:t>6.4货币</w:t>
      </w:r>
      <w:bookmarkEnd w:id="46"/>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发包人支付技术服务人履行技术服务的费用，其货币为人民币。</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7" w:name="_Toc493143953"/>
      <w:r>
        <w:rPr>
          <w:rFonts w:hint="eastAsia" w:ascii="宋体" w:hAnsi="宋体" w:eastAsia="宋体" w:cs="宋体"/>
          <w:sz w:val="24"/>
          <w:szCs w:val="24"/>
        </w:rPr>
        <w:t>7. 其它</w:t>
      </w:r>
      <w:bookmarkEnd w:id="47"/>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8" w:name="_Toc493143954"/>
      <w:r>
        <w:rPr>
          <w:rFonts w:hint="eastAsia" w:ascii="宋体" w:hAnsi="宋体" w:eastAsia="宋体" w:cs="宋体"/>
          <w:sz w:val="24"/>
          <w:szCs w:val="24"/>
        </w:rPr>
        <w:t>7.1合同双方的关系</w:t>
      </w:r>
      <w:bookmarkEnd w:id="48"/>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合同双方互为权利和义务主体，双方应遵循平等互利、协商一致的原则履行本技术服务合同。发包人和技术服务人均应按照技术服务合同公正的行使权力和全面履行自己的职责。</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49" w:name="_Toc493143955"/>
      <w:r>
        <w:rPr>
          <w:rFonts w:hint="eastAsia" w:ascii="宋体" w:hAnsi="宋体" w:eastAsia="宋体" w:cs="宋体"/>
          <w:sz w:val="24"/>
          <w:szCs w:val="24"/>
        </w:rPr>
        <w:t>7.2语言和法律</w:t>
      </w:r>
      <w:bookmarkEnd w:id="49"/>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本技术服务合同使用中文，遵循中华人民共和国的相关法律。</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50" w:name="_Toc493143957"/>
      <w:r>
        <w:rPr>
          <w:rFonts w:hint="eastAsia" w:ascii="宋体" w:hAnsi="宋体" w:eastAsia="宋体" w:cs="宋体"/>
          <w:sz w:val="24"/>
          <w:szCs w:val="24"/>
        </w:rPr>
        <w:t>7.3利益矛盾</w:t>
      </w:r>
      <w:bookmarkEnd w:id="50"/>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未经发包人书面同意，技术服务人不得获取本技术服务合同规定以外的与本项目有关的任何利益，不得参与与本技术服务合同规定的发包人利益相冲突的任何活动。</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51" w:name="_Toc493143958"/>
      <w:r>
        <w:rPr>
          <w:rFonts w:hint="eastAsia" w:ascii="宋体" w:hAnsi="宋体" w:eastAsia="宋体" w:cs="宋体"/>
          <w:sz w:val="24"/>
          <w:szCs w:val="24"/>
        </w:rPr>
        <w:t>7.4版权</w:t>
      </w:r>
      <w:bookmarkEnd w:id="51"/>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7.4.1对技术服务人拥有版权并已用于本技术服务中的所有文件，发包人有权在本合同项目中使用或复制。但未经技术服务人的同意，发包人不得将上述文件直接或间接用于其它项目或服务之中。</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7.4.2如果在合同条款中没有另外规定，则技术服务人有权出版与本项目技术服务有关的资料。但未经发包人同意，上述出版物中不得涉及发包人的专利、专有技术以及经济情报。</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 xml:space="preserve"> </w:t>
      </w:r>
      <w:bookmarkStart w:id="52" w:name="_Toc493143959"/>
      <w:r>
        <w:rPr>
          <w:rFonts w:hint="eastAsia" w:ascii="宋体" w:hAnsi="宋体" w:eastAsia="宋体" w:cs="宋体"/>
          <w:sz w:val="24"/>
          <w:szCs w:val="24"/>
        </w:rPr>
        <w:t>7. 5通知</w:t>
      </w:r>
      <w:bookmarkEnd w:id="52"/>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本技术服务合同涉及的通知均为书面形式，在送达协议书中注明的地址并由收受方签收后生效。无论发送方采用何种方式递送通知，收受方都应用书面回执确认。</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bookmarkStart w:id="53" w:name="_Toc493143960"/>
      <w:r>
        <w:rPr>
          <w:rFonts w:hint="eastAsia" w:ascii="宋体" w:hAnsi="宋体" w:eastAsia="宋体" w:cs="宋体"/>
          <w:sz w:val="24"/>
          <w:szCs w:val="24"/>
        </w:rPr>
        <w:t>8. 争端的解决</w:t>
      </w:r>
      <w:bookmarkEnd w:id="53"/>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本合同在执行过程中，如发生争议，双方协商解决；协商不成按下列中的一种方式解决：</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（1）向约定的仲裁委员会申请仲裁；</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t>（2）向约定的人民法院提起诉讼。</w:t>
      </w:r>
    </w:p>
    <w:p>
      <w:pPr>
        <w:tabs>
          <w:tab w:val="left" w:pos="312"/>
        </w:tabs>
        <w:adjustRightInd w:val="0"/>
        <w:snapToGrid w:val="0"/>
        <w:spacing w:line="312" w:lineRule="auto"/>
        <w:ind w:firstLine="453" w:firstLineChars="189"/>
        <w:jc w:val="both"/>
        <w:rPr>
          <w:rFonts w:hint="eastAsia" w:ascii="宋体" w:hAnsi="宋体" w:eastAsia="宋体" w:cs="宋体"/>
          <w:sz w:val="24"/>
          <w:szCs w:val="24"/>
        </w:rPr>
      </w:pPr>
      <w:r>
        <w:rPr>
          <w:rFonts w:hint="eastAsia" w:ascii="宋体" w:hAnsi="宋体" w:eastAsia="宋体" w:cs="宋体"/>
          <w:sz w:val="24"/>
          <w:szCs w:val="24"/>
        </w:rPr>
        <w:br w:type="page"/>
      </w:r>
    </w:p>
    <w:p>
      <w:pPr>
        <w:pStyle w:val="26"/>
        <w:numPr>
          <w:ilvl w:val="0"/>
          <w:numId w:val="0"/>
        </w:numPr>
        <w:spacing w:line="600" w:lineRule="exact"/>
        <w:ind w:leftChars="0" w:firstLine="442" w:firstLineChars="100"/>
        <w:jc w:val="center"/>
        <w:rPr>
          <w:rFonts w:hint="eastAsia" w:ascii="黑体" w:hAnsi="黑体" w:eastAsia="黑体" w:cs="仿宋"/>
          <w:b/>
          <w:color w:val="000000"/>
          <w:sz w:val="44"/>
          <w:szCs w:val="44"/>
          <w:lang w:val="en-US" w:eastAsia="zh-CN"/>
        </w:rPr>
      </w:pPr>
      <w:r>
        <w:rPr>
          <w:rFonts w:hint="eastAsia" w:ascii="黑体" w:hAnsi="黑体" w:eastAsia="黑体" w:cs="仿宋"/>
          <w:b/>
          <w:color w:val="000000"/>
          <w:sz w:val="44"/>
          <w:szCs w:val="44"/>
          <w:lang w:val="en-US" w:eastAsia="zh-CN"/>
        </w:rPr>
        <w:t>铁路线安全合同</w:t>
      </w:r>
    </w:p>
    <w:p>
      <w:pPr>
        <w:pStyle w:val="26"/>
        <w:numPr>
          <w:ilvl w:val="0"/>
          <w:numId w:val="0"/>
        </w:numPr>
        <w:spacing w:line="600" w:lineRule="exact"/>
        <w:ind w:leftChars="0" w:firstLine="442" w:firstLineChars="100"/>
        <w:jc w:val="center"/>
        <w:rPr>
          <w:rFonts w:hint="eastAsia" w:ascii="黑体" w:hAnsi="黑体" w:eastAsia="黑体" w:cs="仿宋"/>
          <w:b/>
          <w:color w:val="000000"/>
          <w:sz w:val="44"/>
          <w:szCs w:val="44"/>
          <w:lang w:val="en-US" w:eastAsia="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甲方：岳阳城陵矶港务有限责任公司</w:t>
      </w:r>
    </w:p>
    <w:p>
      <w:pPr>
        <w:tabs>
          <w:tab w:val="left" w:pos="312"/>
        </w:tabs>
        <w:adjustRightInd w:val="0"/>
        <w:snapToGrid w:val="0"/>
        <w:spacing w:line="312" w:lineRule="auto"/>
        <w:ind w:firstLine="453" w:firstLineChars="189"/>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乙方：</w:t>
      </w:r>
      <w:r>
        <w:rPr>
          <w:rFonts w:hint="eastAsia" w:ascii="宋体" w:hAnsi="宋体" w:eastAsia="宋体" w:cs="宋体"/>
          <w:sz w:val="24"/>
          <w:szCs w:val="24"/>
          <w:lang w:val="en-US" w:eastAsia="zh-CN"/>
        </w:rPr>
        <w:t xml:space="preserve">   </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为了切实做好安全生产工作，依据《中华人民共和国安全生产法》、《中华人民共和国民法典》以及国家有关安全生产管理的法律、法规、标准，按照“安全第一、预防为主、综合治理”的原则，明确甲乙双方及监理单位的责任，就甲乙双方在本项目中的安全生产事项，经协商一致，签订本合同。</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项目名称：202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年岳阳城陵矶港务有限责任公司工务代维</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本合同内容只涉及甲乙双方在本项目中关于安全生产的权利和责任。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第三条　甲方的权利：</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（一）有权要求乙方建立安全组织机构，严格执行安全生产法律、法规、条例、标准，遵守甲方的安全生产规章制度等。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（二）有权按规定对乙方安全业绩、资质进行审查，对乙方针对作业项目制定的职业健康安全、环境项目进行审查并备案。</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（三）有权要求乙方维护好相关的甲方的安全生产设施、设备和器材。</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（四）有权要求乙方在进入甲方现场作业前所有作业人员接受甲方的安全培训与教育。</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（五）有权对乙方的作业现场的安全作业情况进行监督检查，有权对乙方不符合安全生产要求的行为进行纠正、处罚、制止、停止作业、直至清退出场。</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（六）有权要求乙方所有作业人员必须进行工伤保险和意外伤害保险。</w:t>
      </w:r>
    </w:p>
    <w:p>
      <w:pPr>
        <w:tabs>
          <w:tab w:val="left" w:pos="312"/>
        </w:tabs>
        <w:adjustRightInd w:val="0"/>
        <w:snapToGrid w:val="0"/>
        <w:spacing w:line="312" w:lineRule="auto"/>
        <w:ind w:firstLine="453" w:firstLineChars="189"/>
        <w:jc w:val="both"/>
        <w:rPr>
          <w:rFonts w:ascii="仿宋" w:hAnsi="仿宋" w:eastAsia="仿宋" w:cs="宋体"/>
          <w:kern w:val="0"/>
          <w:sz w:val="28"/>
          <w:szCs w:val="28"/>
        </w:rPr>
      </w:pPr>
      <w:r>
        <w:rPr>
          <w:rFonts w:hint="eastAsia" w:ascii="宋体" w:hAnsi="宋体" w:eastAsia="宋体" w:cs="宋体"/>
          <w:sz w:val="24"/>
          <w:szCs w:val="24"/>
          <w:lang w:val="zh-CN"/>
        </w:rPr>
        <w:t xml:space="preserve">    （七）乙方在作业中如发生国务院《生产安全事故报告和调查处理条例》所规定的伤亡事故，甲方有权督促乙方立即通知乙方上级主管部门和当地政府安全生产监督管理部门，要求派人保护现场，并有权要求乙方提供事故调查书面结论及处理意见。发生事故后、有权根据有关规定参与事故</w:t>
      </w:r>
      <w:r>
        <w:rPr>
          <w:rFonts w:hint="eastAsia" w:ascii="仿宋" w:hAnsi="仿宋" w:eastAsia="仿宋" w:cs="Arial"/>
          <w:kern w:val="0"/>
          <w:sz w:val="28"/>
          <w:szCs w:val="28"/>
        </w:rPr>
        <w:t>的调查。</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第四条　甲方的责任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（一）认真贯彻落实国家有关法律、法规、标准及甲方公司安全生产规章制度。</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（二）向乙方明确作业区的范围、危险点源及安全技术交底，并要有书面记录。</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（三）为乙方提供项目合同中规定的安全作业条件。</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（四）发生事故后积极协助抢险，防止事故扩大，并按照甲方公司有关规定进行报告。</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第五条　乙方的权利</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（一）有权对甲方的安全工作提出合理化建议和改进意见。</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（二）日常作业中，若甲方违章指挥、强令乙方冒险作业，有权拒绝执行。</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（三）有权要求甲方提供符合安全作业的工艺条件和环境。</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（四）发生严重危及乙方生命安全的紧急情况时，乙方有权采取必要的避险措施。</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第六条　乙方的责任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（一）乙方是本项目的安全生产责任主体，对本项目的安全生产工作全面负责。</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（二）健全安全组织机构，建立安全生产责任制，制定健全的安全生产规章制度，制定生产安全事故应急求援预案，配备必要的安全生产管理人员和劳动保护用品，严格执行甲方相关的规章制度。</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（三）应对作业人员进行作业前安全教育培训，使其具备相应的安全意识和安全技能；特种作业人员应具有相应的资格证书。</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（四）不得使用不符合国家、行业标准和甲方规定的原材料、设备、装置、防护用品、器材、安全检测仪器等。所使用的特种设备，必须经具有专业资质的检验检测机构检测。经检测不合格的，不得继续使用。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（五）指定专人负责现场安全监督检查工作，认真开展安全检查，发现作业过程中不安全行为和隐患、应采取有效措施积极处理。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（六）乙方有责任对作业区域的安全生产条件进行详细了解。</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（七）乙方在作业过程中有属于危及安全生产的关健作业时，应提出切实可行的方案，经甲方同意后，方可实施。</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（八）乙方不能将项目转包给第三方。</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（九）乙方在施工期间只能在甲方规定的路线进出公司，只能在规定的施工区域内作业，禁止私自进入甲方其他生产区域。</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（十）发生事故时，应积极抢险，避免事故的进一步扩大，并按照国家相关要求报告事故。</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一）当乙方在施工过程中发生伤亡事故时，乙方作为工程项目的承包人，对发生的人身伤害、设备损坏事故承担相应安全责任。由乙方向自己的主管上级部门及当地政府的安全生产监督管理部门、公安部门报告，并自行承担相应的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（十二）乙方维修施工作业时应遵守现行《铁路技术管理规程》、《铁路工务安全规则》和《岳阳市城陵矶工业站管理细则》，科学组织、监控施工，确保施工质量和安全。</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（十三）乙方负有确保施工范围内行车安全和设备安全的责任。甲方要积极协助乙方和设计部门核查既有设备的情况，施工期间，甲方应派专人到现指导、盯控、配合乙方的施工。</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（十四）乙方在施工前应将制定施工组织措施交甲方及上级有关部门审查批准。</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五）乙方要点维修作业时，应将每日施工的地点、进度、范围、作业项目、起止时间及线路区域搬运材料、笨重机具提前通知甲方，甲方现场施工安全监督检查员到场后方可施工作业。使用大型机械设备必须做一机一人安全监控防护。施工期间甲方要向施工单位派出安全检查员，全过程监督检查施工，发现质量不合格或施工安全隐患立即纠正，危及行车安全时，有权责令立即停工整改，并向上级报告，乙方不得拒绝；经整改合格双方确认签字后方可复工。</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六）乙方施工使用的所有机具、材料等严禁放置在既有线路道床上，施工人员不得在既有线上行走、坐卧、休息，所有施工管线禁止从既有线穿越，当日施工作业完成后，所有料具必须及时回收或集中堆码安排专人看守，且不得侵入既有线限界。</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（十七）乙方在基坑开挖时不得破坏路基的稳定，雨季开挖基坑必须有建全的防洪措施，开挖后要对基坑进行防护，开挖的废料不得污染道床，施工结束后立即回填夯实。</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八）乙方当日进行既有线及邻近既有线施工，在作业完成后，乙方负责人应对施工地段既有线路进行检查，并决定线路状态良好，甲方应检查认定，达不到放行列车条件的严禁放行列车。每日施工完毕后，乙方必须安排巡养人员携带检查工具对既有线路进行巡视检查，做好相应设备检查记录，发现安全隐患处所立即处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（十九）施工中如造成既有线行车设备发生损坏或故障时，应及时通知甲方，并及时进行抢修和维护，由此产生的一切费用全部由乙方承担。若乙方请求甲方帮助时，甲方应积极予以配合支持，确保行车安全。</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（二十）乙方对甲方下发的整改、停工等通知书因整改不到位继续施工造成事故的由施工单位负全责，乙方因施工而造成设备不良影响行车的由施工单位负全责，按照相关规定进行赔偿和处罚。</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十一）乙方人员应遵纪守法，自觉遵守甲方的安全规章制度，服从甲方管理、安全监督检查，重要作业前须进行危害识别和风险评估工作；加强对施工人员的教育，认真做好安全防范工作，杜绝安全、环境、健康事故的发生；对作业期间发生的人身伤亡事故负完全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十二）乙方必须按照国家有关安全生产条例及操作规程进行维修作业，加强安全教育，强化安全管理，维修时有人进行安全监护，确保作业安全。若因乙方原因导致的一切安全责任事故，均由乙方负责并承担全部经济损失；</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（二十三）乙方在维修作业时，不得破坏和改变原有线路及设备设施，否则，由此造成的损失由乙方承担，并负责无偿恢复。</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第七条　违约责任及处理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（一）甲乙双方违反本合同要求，未造成事故时，依据相关合同对违约者进行处理（包括但不限于支付违约金、赔偿损失等）。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（二）发生事故时，甲、乙双方有抢险、救灾的责任，所发生的费用由责任方承担。</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（三）发生的事故，应经事故调查确认责任；事故报告和调查应按照国家和甲方有关规定进行。</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（四）乙方违约造成的事故，乙方承担全部责任，并按规定追究有关人员责任并报告甲方；由于乙方工程质量、检修质量及购买的原材料导致的事故，由乙方承担全部责任。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（五）对乙方发生事故后弄虚作假、隐瞒不报、迟报或谎报，一经查出，按有关规定从重处罚，情节严重的，甲方有权向当地政府安全生产监督管理部门报告，并取消其进入甲方市场资格。</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（六）施工期间，需要办理的有关安全的批文或其它手续，乙方必须办理齐全，否则发生安全事故由乙方承担全部责任。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第八条　由于不可抗力造成合同项目施工作业事故及生产的损失，当事人双方各自承担相应的损失。</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第九条　甲乙双方的施工作业人员和机具设备的保险，由甲乙双方依据国家相关规定或约定各自承担。</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第十条　本合同履行过程中发生争议纠纷，应通过友好协商方式解决，如协商不成，按双方在项目经济合同中约定的管辖地和纠纷解决的方式执行。</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第十一条　本合同是项目经济合同的附件，与项目经济合同具有同等法律效力。本合同与项目经济合同同时生效、终止。</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第十二条　甲方施工期间现场安全监护人员　叶飞；进场前安全教育培训人员　王向延　；乙方施工期间指定现场安全监护人员　李学龙　。</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第十三条　本合同一式贰份，双方各持壹份。</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甲方：岳阳城陵矶港务有限责任公      乙方：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司</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法定代表人                            法定代表人</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或其委托代理人：                 或其委托代理人：         </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center"/>
        <w:rPr>
          <w:rFonts w:hint="eastAsia" w:ascii="黑体" w:hAnsi="黑体" w:eastAsia="黑体" w:cs="仿宋"/>
          <w:b/>
          <w:color w:val="000000"/>
          <w:kern w:val="0"/>
          <w:sz w:val="44"/>
          <w:szCs w:val="44"/>
          <w:lang w:val="en-US" w:eastAsia="zh-CN" w:bidi="ar-SA"/>
        </w:rPr>
      </w:pPr>
      <w:r>
        <w:rPr>
          <w:rFonts w:hint="eastAsia" w:ascii="宋体" w:hAnsi="宋体" w:eastAsia="宋体" w:cs="宋体"/>
          <w:sz w:val="24"/>
          <w:szCs w:val="24"/>
          <w:lang w:val="zh-CN"/>
        </w:rPr>
        <w:t xml:space="preserve">签订日期                         签订日期：                    </w:t>
      </w:r>
      <w:r>
        <w:rPr>
          <w:rFonts w:hint="eastAsia" w:ascii="仿宋" w:hAnsi="仿宋" w:eastAsia="仿宋" w:cs="Arial"/>
          <w:b/>
          <w:kern w:val="0"/>
          <w:sz w:val="28"/>
          <w:szCs w:val="28"/>
        </w:rPr>
        <w:t xml:space="preserve">                </w:t>
      </w:r>
      <w:r>
        <w:rPr>
          <w:rFonts w:hint="eastAsia"/>
          <w:b/>
        </w:rPr>
        <w:br w:type="page"/>
      </w:r>
      <w:r>
        <w:rPr>
          <w:rFonts w:hint="eastAsia" w:ascii="黑体" w:hAnsi="黑体" w:eastAsia="黑体" w:cs="仿宋"/>
          <w:b/>
          <w:color w:val="000000"/>
          <w:kern w:val="0"/>
          <w:sz w:val="44"/>
          <w:szCs w:val="44"/>
          <w:lang w:val="en-US" w:eastAsia="zh-CN" w:bidi="ar-SA"/>
        </w:rPr>
        <w:t>廉政合同书</w:t>
      </w:r>
    </w:p>
    <w:p>
      <w:pPr>
        <w:spacing w:line="400" w:lineRule="exact"/>
        <w:ind w:left="480" w:firstLine="480"/>
        <w:jc w:val="center"/>
        <w:rPr>
          <w:rFonts w:ascii="仿宋" w:hAnsi="仿宋" w:eastAsia="仿宋" w:cs="仿宋"/>
          <w:sz w:val="28"/>
          <w:szCs w:val="28"/>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根据交通运输部《关于在交通基础设施建设中加强廉政建设的若干意见》以及有关工程建设、廉政建设的规定，为做好工程建设中的党风廉政建设，保证工程建设高效优质，保证建设资金的安全和有效使用以及投资效益， 岳阳城陵矶港务有限责任公司工务代维   的项目法人 岳阳城陵矶港务有限责任公司 （以下简称“发包人） 岳阳城陵矶港务有限责任公司工务代维 与技术服务人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，（以下简称“技术服务人）特订立如下合同。</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1、发包人和技术服务人双方的权利和义务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（1）严格遵守党的政策规定和国家有关法律法规及交通运输部的有关规定。</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（2）严格执行 岳阳城陵矶港务有限责任公司工务代维 的合同文件，自觉按合同办事。</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（3）双方的业务活动坚持公开、公正、诚信、透明的原则（法律认定的商业秘密和合同文件另有规定除外），不得损害国家和集体利益，不得违反工程建设管理规章制度。</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（4）建立健全廉政制度，开展廉政教育，设立廉政告示牌，公布举报电话，监督并认真查处违法违纪行为。</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（5）发现对方在业务活动中有违反廉政规定的行为，有及时提醒对方纠正的权利和义务。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（6）发现对方严重违反本合同义务条款的行为，有向其上级有关部门举报、建议给予处理并要求告知处理结果的权利。</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2、发包人的义务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（1）发包人及其工作人员不得索要或接受技术服务人的礼金、有价证券和贵重物品，不得让技术服务人报销任何应由发包人或发包人工作人员个人支付的费用等。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（2）发包人工作人员不得参加技术服务人安排的超标准宴请和娱乐活动；不得接受技术服务人提供的通讯工具、交通工具和高档办公用品等。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（3）发包人及其工作人员不得要求或者接受技术服务人为其住房装修、婚丧嫁娶活动、配偶子女的工作安排以及出国出境、旅游等提供方便等。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（4）发包人工作人员及其配偶、子女不得从事与发包人工作有关的材料设备供应、工程分包、劳务等经济活动等。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3、技术服务人的义务</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（1）技术服务人不得以任何理由向发包人及其工作人员行贿或馈赠礼金、有价证券、贵重礼品。</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（2）技术服务人不得以任何名义为发包人及其工作人员报销应由发包人单位或个人支付的任何费用。</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（3）技术服务人不得以任何理由安排发包人工作人员参加超标准宴请及娱乐活动。</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（4）技术服务人不得为发包人单位和个人购置或提供通讯工具、交通工具和高档办公用品等。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4、违约责任</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（1）发包人及其工作人员违反本合同第1、2条，按管理权限，依据有关规定给予党纪、政纪或组织处理；涉嫌犯罪的，移交司法机关追究刑事责任；给试验检测技术服务人单位造成经济损失的，应予以赔偿。</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技术服务人及其工作人员违反本合同第1、3条，按管理权限，依据有关规定给予党纪、政纪或组织处理；给发包人单位造成经济损失的，应予以赔偿；情节严重的，发包人建议交通主管部门给予技术服务人一至三年内不得进入其主管的公路水运建设市场的处罚。</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5、双方约定：本合同由双方或双方上级单位的纪检监察部门负责监督执行。由发包人或发包人上级单位的纪检监察部门约请技术服务人或技术服务人上级单位纪检监察部门对本合同执行情况进行检查，提出在本合同规定范围内的裁定意见。</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6、本合同有效期为发包人和技术服务人签署之日起至该工程项目竣工验收后止。</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7、本合同作为 岳阳城陵矶港务有限责任公司工务代维技术服务合同的附件，与技术服务合同具有同等的法律效力，经合同双方签署并加盖公章后立即生效。</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8、本合同一式  份；其中正本 4 份，发包人、技术服务人各执 2 份；副本 2 份，发包人 1  份，技术服务人 1  份。</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发包人：岳阳城陵矶港务有限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技术服务：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 xml:space="preserve">                     责任公司</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法定代表人                       法定代表人</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或其委托代理人：                 或其委托代理人：         </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签订日期                         签订日期：</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p>
    <w:p>
      <w:pPr>
        <w:numPr>
          <w:ilvl w:val="0"/>
          <w:numId w:val="0"/>
        </w:numPr>
        <w:adjustRightInd w:val="0"/>
        <w:snapToGrid w:val="0"/>
        <w:spacing w:line="600" w:lineRule="exact"/>
        <w:jc w:val="center"/>
        <w:outlineLvl w:val="0"/>
        <w:rPr>
          <w:rFonts w:hint="eastAsia" w:ascii="黑体" w:hAnsi="黑体" w:eastAsia="黑体" w:cs="仿宋"/>
          <w:b/>
          <w:color w:val="000000"/>
          <w:kern w:val="0"/>
          <w:sz w:val="44"/>
          <w:szCs w:val="44"/>
          <w:lang w:val="en-US" w:eastAsia="zh-CN" w:bidi="ar-SA"/>
        </w:rPr>
      </w:pPr>
      <w:bookmarkStart w:id="54" w:name="_Toc14299"/>
      <w:bookmarkStart w:id="55" w:name="_Toc31503"/>
      <w:r>
        <w:rPr>
          <w:rFonts w:hint="eastAsia" w:ascii="黑体" w:hAnsi="黑体" w:eastAsia="黑体" w:cs="仿宋"/>
          <w:b/>
          <w:color w:val="000000"/>
          <w:kern w:val="0"/>
          <w:sz w:val="44"/>
          <w:szCs w:val="44"/>
          <w:lang w:val="en-US" w:eastAsia="zh-CN" w:bidi="ar-SA"/>
        </w:rPr>
        <w:t>第五章 采购需求</w:t>
      </w:r>
      <w:bookmarkEnd w:id="54"/>
      <w:bookmarkEnd w:id="55"/>
    </w:p>
    <w:p>
      <w:pPr>
        <w:pStyle w:val="2"/>
        <w:rPr>
          <w:rFonts w:hint="eastAsia"/>
          <w:lang w:val="en-US" w:eastAsia="zh-CN"/>
        </w:rPr>
      </w:pP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整体目标：完成2023年岳阳市城陵矶工业站所辖线路、道岔的日常保养工作，满足铁路运输需要，及时整治线路、道岔的安全隐患。</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采购方提供的线路、道岔等设备数量及有关要求，按照现行《铁路技术管理规程》和《铁路线路维修规则》有关技术标准、操作规程、质量要求组织线路维修工作，维修质量必须满足现行铁路技术标准及验收规范要求，达到合格标准。经常保持线路及建筑物的技术状态良好，保证行车安全，并负责向甲方提供有关专用线技术状态的情况。</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《铁路线路修理规则》：</w:t>
      </w:r>
    </w:p>
    <w:p>
      <w:pPr>
        <w:pStyle w:val="38"/>
        <w:widowControl/>
        <w:spacing w:line="460" w:lineRule="exact"/>
        <w:ind w:firstLine="0"/>
        <w:rPr>
          <w:rStyle w:val="39"/>
          <w:rFonts w:hint="eastAsia" w:ascii="宋体" w:hAnsi="宋体" w:eastAsia="宋体" w:cs="宋体"/>
          <w:b w:val="0"/>
          <w:sz w:val="24"/>
          <w:szCs w:val="24"/>
          <w:lang w:val="zh-CN"/>
        </w:rPr>
      </w:pPr>
      <w:r>
        <w:rPr>
          <w:rStyle w:val="39"/>
          <w:rFonts w:hint="eastAsia" w:ascii="宋体" w:hAnsi="宋体" w:eastAsia="宋体" w:cs="宋体"/>
          <w:sz w:val="24"/>
          <w:szCs w:val="24"/>
          <w:lang w:val="en-US" w:eastAsia="zh-CN"/>
        </w:rPr>
        <w:t>一</w:t>
      </w:r>
      <w:r>
        <w:rPr>
          <w:rStyle w:val="39"/>
          <w:rFonts w:hint="eastAsia" w:ascii="宋体" w:hAnsi="宋体" w:eastAsia="宋体" w:cs="宋体"/>
          <w:sz w:val="24"/>
          <w:szCs w:val="24"/>
          <w:lang w:val="zh-CN"/>
        </w:rPr>
        <w:t>、铁路专用线线路设备维修养护工作基本内容</w:t>
      </w:r>
    </w:p>
    <w:p>
      <w:pPr>
        <w:pStyle w:val="38"/>
        <w:widowControl/>
        <w:spacing w:line="460" w:lineRule="exact"/>
        <w:ind w:firstLine="552" w:firstLineChars="250"/>
        <w:rPr>
          <w:rStyle w:val="40"/>
          <w:rFonts w:hint="eastAsia" w:ascii="宋体" w:hAnsi="宋体" w:eastAsia="宋体" w:cs="宋体"/>
          <w:b w:val="0"/>
          <w:sz w:val="24"/>
          <w:szCs w:val="24"/>
          <w:lang w:val="zh-CN"/>
        </w:rPr>
      </w:pPr>
      <w:r>
        <w:rPr>
          <w:rStyle w:val="40"/>
          <w:rFonts w:hint="eastAsia" w:ascii="宋体" w:hAnsi="宋体" w:eastAsia="宋体" w:cs="宋体"/>
          <w:sz w:val="24"/>
          <w:szCs w:val="24"/>
          <w:lang w:val="zh-CN"/>
        </w:rPr>
        <w:t>A</w:t>
      </w:r>
      <w:r>
        <w:rPr>
          <w:rStyle w:val="40"/>
          <w:rFonts w:hint="eastAsia" w:ascii="宋体" w:hAnsi="宋体" w:eastAsia="宋体" w:cs="宋体"/>
          <w:spacing w:val="-30"/>
          <w:sz w:val="24"/>
          <w:szCs w:val="24"/>
          <w:lang w:val="zh-CN"/>
        </w:rPr>
        <w:t>、</w:t>
      </w:r>
      <w:r>
        <w:rPr>
          <w:rStyle w:val="40"/>
          <w:rFonts w:hint="eastAsia" w:ascii="宋体" w:hAnsi="宋体" w:eastAsia="宋体" w:cs="宋体"/>
          <w:sz w:val="24"/>
          <w:szCs w:val="24"/>
          <w:lang w:val="zh-CN"/>
        </w:rPr>
        <w:t>线路、道岔综合维修基本内容：</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根据线路变化规律和特点，以全面改善轨道弹性，调整轨道几何尺寸和更换整修失效零部件为重点，有计划的对线路进行综合性维修，以恢复线路完好的技术状态。</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1、根据线路、道岔状态起道、拨道和改道，全面捣固。混凝土枕地段，捣固前撤除所有调高垫板；混凝土宽枕地段，垫碴与垫板相结合。</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2、调整线路、道岔各部尺寸，拨正曲线。</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3、清筛枕盒不洁道床和边坡，整治道床翻浆冒泥，补充道碴， 整理道床。</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4、更换、方正和修理轨枕。</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5、调整轨缝，整修、更换和补充轨道加强设备，整治线路爬行，锁定线路、道岔。</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6、矫直、焊补、打磨钢轨，综合整治接头病害。</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7、有计划地釆用打磨列车对钢轨、道岔进行预防性或修理性打磨。</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8、整修、更换和补充联结零件，并有计划地涂油。</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9、整修路肩，疏通排水设备，清除道床杂草和路肩大草。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10、修理、补充和刷新线路标志，整修道口及其排水设备，收集旧料。</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11、其他病害的预防和整治。</w:t>
      </w:r>
    </w:p>
    <w:p>
      <w:pPr>
        <w:pStyle w:val="46"/>
        <w:widowControl/>
        <w:spacing w:line="460" w:lineRule="exact"/>
        <w:ind w:firstLine="475" w:firstLineChars="197"/>
        <w:rPr>
          <w:rStyle w:val="40"/>
          <w:rFonts w:hint="eastAsia" w:ascii="宋体" w:hAnsi="宋体" w:eastAsia="宋体" w:cs="宋体"/>
          <w:b w:val="0"/>
          <w:sz w:val="24"/>
          <w:szCs w:val="24"/>
          <w:lang w:val="zh-CN"/>
        </w:rPr>
      </w:pPr>
      <w:r>
        <w:rPr>
          <w:rStyle w:val="47"/>
          <w:rFonts w:hint="eastAsia" w:ascii="宋体" w:hAnsi="宋体" w:eastAsia="宋体" w:cs="宋体"/>
          <w:sz w:val="24"/>
          <w:szCs w:val="24"/>
          <w:lang w:val="zh-CN"/>
        </w:rPr>
        <w:t>B</w:t>
      </w:r>
      <w:r>
        <w:rPr>
          <w:rStyle w:val="40"/>
          <w:rFonts w:hint="eastAsia" w:ascii="宋体" w:hAnsi="宋体" w:eastAsia="宋体" w:cs="宋体"/>
          <w:sz w:val="24"/>
          <w:szCs w:val="24"/>
          <w:lang w:val="zh-CN"/>
        </w:rPr>
        <w:t>、线路、道岔经常保养基本内容：</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根据线路变化情况，对全线进行有计划、有重点的经常性养护， 以保持线路质量处于均衡状态。每季度对曲线正矢进行一次全面检查，每旬对线路、道岔进行一次检查，每天安排巡道工对线路进行正常的巡查，每季对设备状况不少于一次的全面检查；不定期进行重点检查，发现问题及时处理。</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1、根据轨道几何尺寸超过经常保养容许偏差管理值的状态，成段整修线路。</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2、整治道床翻浆冒泥，均匀道碴，整理道床。</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3、更换和修理轨枕。</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 xml:space="preserve">4、调整轨缝，锁定线路。 </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5、焊补、打磨钢轨，整治接头病害。</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6、有计划地成段整修扣件，螺栓涂油。</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7、无缝线路应力放散或调整。</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8、更换伤损钢轨，断轨焊复。</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9、整修防沙、防雪设备，整治冻害。</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10、整修道口，疏通排水设备，清除道床杂草和路肩大草。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11、季节性工作、周期短于综合维修的其他单项工作。</w:t>
      </w:r>
    </w:p>
    <w:p>
      <w:pPr>
        <w:pStyle w:val="48"/>
        <w:widowControl/>
        <w:tabs>
          <w:tab w:val="left" w:pos="1253"/>
        </w:tabs>
        <w:spacing w:line="460" w:lineRule="exact"/>
        <w:ind w:firstLine="602" w:firstLineChars="250"/>
        <w:rPr>
          <w:rStyle w:val="40"/>
          <w:rFonts w:hint="eastAsia" w:ascii="宋体" w:hAnsi="宋体" w:eastAsia="宋体" w:cs="宋体"/>
          <w:b w:val="0"/>
          <w:sz w:val="24"/>
          <w:szCs w:val="24"/>
          <w:lang w:val="zh-CN"/>
        </w:rPr>
      </w:pPr>
      <w:r>
        <w:rPr>
          <w:rStyle w:val="47"/>
          <w:rFonts w:hint="eastAsia" w:ascii="宋体" w:hAnsi="宋体" w:eastAsia="宋体" w:cs="宋体"/>
          <w:sz w:val="24"/>
          <w:szCs w:val="24"/>
          <w:lang w:val="zh-CN"/>
        </w:rPr>
        <w:t>C</w:t>
      </w:r>
      <w:r>
        <w:rPr>
          <w:rStyle w:val="40"/>
          <w:rFonts w:hint="eastAsia" w:ascii="宋体" w:hAnsi="宋体" w:eastAsia="宋体" w:cs="宋体"/>
          <w:sz w:val="24"/>
          <w:szCs w:val="24"/>
          <w:lang w:val="zh-CN"/>
        </w:rPr>
        <w:t>、线路、道岔临时补修主要内容：</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及时对线路几何尺寸超过临时补修容许偏差管理值及其他不良处进行临时性修整，以保证行车安全和平稳。</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1、整修轨道几何尺寸超过临时补修容许偏差管理值的处所。</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2、更换(或处理)折断、重伤钢轨及桥上、隧道内轻伤钢轨。</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3、更换达到更换标准的伤损夹板，更换折断的接头螺栓、道岔护轨螺栓、可动心轨凸缘与接头铁联结螺栓、可动心轨咽喉和叉后间隔铁螺栓、长心轨与短心轨联结螺栓、钢枕立柱螺栓等。</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4、调整严重不良轨缝。</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5、疏通严重淤塞的排水设备，处理严重冲刷的路肩和道床。</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6、整修严重不良的道口设备。</w:t>
      </w:r>
    </w:p>
    <w:p>
      <w:pPr>
        <w:tabs>
          <w:tab w:val="left" w:pos="312"/>
        </w:tabs>
        <w:adjustRightInd w:val="0"/>
        <w:snapToGrid w:val="0"/>
        <w:spacing w:line="312" w:lineRule="auto"/>
        <w:ind w:firstLine="453" w:firstLineChars="189"/>
        <w:jc w:val="both"/>
        <w:rPr>
          <w:rFonts w:hint="eastAsia" w:ascii="宋体" w:hAnsi="宋体" w:eastAsia="宋体" w:cs="宋体"/>
          <w:sz w:val="24"/>
          <w:szCs w:val="24"/>
          <w:lang w:val="zh-CN"/>
        </w:rPr>
      </w:pPr>
      <w:r>
        <w:rPr>
          <w:rFonts w:hint="eastAsia" w:ascii="宋体" w:hAnsi="宋体" w:eastAsia="宋体" w:cs="宋体"/>
          <w:sz w:val="24"/>
          <w:szCs w:val="24"/>
          <w:lang w:val="zh-CN"/>
        </w:rPr>
        <w:t>7、其他需要临时补修的工作。</w:t>
      </w:r>
    </w:p>
    <w:p>
      <w:pPr>
        <w:pStyle w:val="45"/>
        <w:widowControl/>
        <w:spacing w:line="460" w:lineRule="exact"/>
        <w:ind w:left="626"/>
        <w:rPr>
          <w:rStyle w:val="42"/>
          <w:rFonts w:hint="eastAsia" w:ascii="宋体" w:hAnsi="宋体" w:eastAsia="宋体" w:cs="宋体"/>
          <w:sz w:val="24"/>
          <w:szCs w:val="24"/>
          <w:lang w:val="zh-CN"/>
        </w:rPr>
      </w:pPr>
    </w:p>
    <w:p>
      <w:pPr>
        <w:pStyle w:val="38"/>
        <w:widowControl/>
        <w:spacing w:line="360" w:lineRule="auto"/>
        <w:ind w:firstLine="0"/>
        <w:rPr>
          <w:rStyle w:val="39"/>
          <w:rFonts w:hint="eastAsia" w:ascii="宋体" w:hAnsi="宋体" w:eastAsia="宋体" w:cs="宋体"/>
          <w:b w:val="0"/>
          <w:sz w:val="24"/>
          <w:szCs w:val="24"/>
          <w:lang w:val="zh-CN"/>
        </w:rPr>
      </w:pPr>
      <w:r>
        <w:rPr>
          <w:rStyle w:val="39"/>
          <w:rFonts w:hint="eastAsia" w:ascii="宋体" w:hAnsi="宋体" w:eastAsia="宋体" w:cs="宋体"/>
          <w:sz w:val="24"/>
          <w:szCs w:val="24"/>
          <w:lang w:val="en-US" w:eastAsia="zh-CN"/>
        </w:rPr>
        <w:t>二</w:t>
      </w:r>
      <w:r>
        <w:rPr>
          <w:rStyle w:val="39"/>
          <w:rFonts w:hint="eastAsia" w:ascii="宋体" w:hAnsi="宋体" w:eastAsia="宋体" w:cs="宋体"/>
          <w:sz w:val="24"/>
          <w:szCs w:val="24"/>
          <w:lang w:val="zh-CN"/>
        </w:rPr>
        <w:t>、铁路专用线线路设备验收标准</w:t>
      </w:r>
    </w:p>
    <w:p>
      <w:pPr>
        <w:pStyle w:val="50"/>
        <w:widowControl/>
        <w:spacing w:line="360" w:lineRule="auto"/>
        <w:ind w:right="2059" w:firstLine="482" w:firstLineChars="200"/>
        <w:jc w:val="left"/>
        <w:rPr>
          <w:rStyle w:val="39"/>
          <w:rFonts w:hint="eastAsia" w:ascii="宋体" w:hAnsi="宋体" w:eastAsia="宋体" w:cs="宋体"/>
          <w:b w:val="0"/>
          <w:sz w:val="24"/>
          <w:szCs w:val="24"/>
          <w:lang w:val="zh-CN"/>
        </w:rPr>
      </w:pPr>
      <w:r>
        <w:rPr>
          <w:rStyle w:val="39"/>
          <w:rFonts w:hint="eastAsia" w:ascii="宋体" w:hAnsi="宋体" w:eastAsia="宋体" w:cs="宋体"/>
          <w:sz w:val="24"/>
          <w:szCs w:val="24"/>
          <w:lang w:val="zh-CN"/>
        </w:rPr>
        <w:t>A、线路综合维修验收标准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1596"/>
        <w:gridCol w:w="485"/>
        <w:gridCol w:w="3893"/>
        <w:gridCol w:w="182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7" w:type="pct"/>
            <w:vAlign w:val="center"/>
          </w:tcPr>
          <w:p>
            <w:pPr>
              <w:widowControl/>
              <w:spacing w:line="24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832" w:type="pc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 容</w:t>
            </w:r>
          </w:p>
        </w:tc>
        <w:tc>
          <w:tcPr>
            <w:tcW w:w="253" w:type="pc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编号</w:t>
            </w:r>
          </w:p>
        </w:tc>
        <w:tc>
          <w:tcPr>
            <w:tcW w:w="2029" w:type="pct"/>
            <w:vAlign w:val="center"/>
          </w:tcPr>
          <w:p>
            <w:pPr>
              <w:widowControl/>
              <w:spacing w:line="24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站线标准</w:t>
            </w:r>
          </w:p>
        </w:tc>
        <w:tc>
          <w:tcPr>
            <w:tcW w:w="951" w:type="pc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抽验数量</w:t>
            </w:r>
          </w:p>
        </w:tc>
        <w:tc>
          <w:tcPr>
            <w:tcW w:w="638" w:type="pc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轨道几何尺寸</w:t>
            </w: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轨距、水平、三角坑</w:t>
            </w:r>
          </w:p>
        </w:tc>
        <w:tc>
          <w:tcPr>
            <w:tcW w:w="253"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29"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不超过作业标准容许偏差。</w:t>
            </w:r>
          </w:p>
        </w:tc>
        <w:tc>
          <w:tcPr>
            <w:tcW w:w="951"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连续检测100米</w:t>
            </w:r>
          </w:p>
        </w:tc>
        <w:tc>
          <w:tcPr>
            <w:tcW w:w="638"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Merge w:val="continue"/>
            <w:vAlign w:val="center"/>
          </w:tcPr>
          <w:p>
            <w:pPr>
              <w:widowControl/>
              <w:spacing w:line="240" w:lineRule="auto"/>
              <w:rPr>
                <w:rFonts w:hint="eastAsia" w:ascii="宋体" w:hAnsi="宋体" w:eastAsia="宋体" w:cs="宋体"/>
                <w:color w:val="000000"/>
                <w:sz w:val="24"/>
                <w:szCs w:val="24"/>
              </w:rPr>
            </w:pPr>
          </w:p>
        </w:tc>
        <w:tc>
          <w:tcPr>
            <w:tcW w:w="2029" w:type="pct"/>
            <w:vMerge w:val="continue"/>
            <w:vAlign w:val="center"/>
          </w:tcPr>
          <w:p>
            <w:pPr>
              <w:widowControl/>
              <w:spacing w:line="240" w:lineRule="auto"/>
              <w:rPr>
                <w:rFonts w:hint="eastAsia" w:ascii="宋体" w:hAnsi="宋体" w:eastAsia="宋体" w:cs="宋体"/>
                <w:color w:val="000000"/>
                <w:sz w:val="24"/>
                <w:szCs w:val="24"/>
              </w:rPr>
            </w:pP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不超过经常保养标准容许偏差。</w:t>
            </w: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轨距变化率小于3‰（不含规定的递减率）</w:t>
            </w: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轨向、高低</w:t>
            </w:r>
          </w:p>
        </w:tc>
        <w:tc>
          <w:tcPr>
            <w:tcW w:w="253"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 ^</w:t>
            </w:r>
          </w:p>
        </w:tc>
        <w:tc>
          <w:tcPr>
            <w:tcW w:w="2029"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不超过作业标准容许偏差。</w:t>
            </w:r>
          </w:p>
        </w:tc>
        <w:tc>
          <w:tcPr>
            <w:tcW w:w="951"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全面査看重点检测</w:t>
            </w:r>
          </w:p>
        </w:tc>
        <w:tc>
          <w:tcPr>
            <w:tcW w:w="638"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Merge w:val="continue"/>
            <w:vAlign w:val="center"/>
          </w:tcPr>
          <w:p>
            <w:pPr>
              <w:widowControl/>
              <w:spacing w:line="240" w:lineRule="auto"/>
              <w:rPr>
                <w:rFonts w:hint="eastAsia" w:ascii="宋体" w:hAnsi="宋体" w:eastAsia="宋体" w:cs="宋体"/>
                <w:color w:val="000000"/>
                <w:sz w:val="24"/>
                <w:szCs w:val="24"/>
              </w:rPr>
            </w:pPr>
          </w:p>
        </w:tc>
        <w:tc>
          <w:tcPr>
            <w:tcW w:w="2029" w:type="pct"/>
            <w:vMerge w:val="continue"/>
            <w:vAlign w:val="center"/>
          </w:tcPr>
          <w:p>
            <w:pPr>
              <w:widowControl/>
              <w:spacing w:line="240" w:lineRule="auto"/>
              <w:rPr>
                <w:rFonts w:hint="eastAsia" w:ascii="宋体" w:hAnsi="宋体" w:eastAsia="宋体" w:cs="宋体"/>
                <w:color w:val="000000"/>
                <w:sz w:val="24"/>
                <w:szCs w:val="24"/>
              </w:rPr>
            </w:pP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不超过经常保养标准容许偏差</w:t>
            </w: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钢轨</w:t>
            </w: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接头错牙</w:t>
            </w:r>
          </w:p>
        </w:tc>
        <w:tc>
          <w:tcPr>
            <w:tcW w:w="253"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029"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轨面及内侧错牙小于2mm</w:t>
            </w:r>
          </w:p>
        </w:tc>
        <w:tc>
          <w:tcPr>
            <w:tcW w:w="951"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Merge w:val="continue"/>
            <w:vAlign w:val="center"/>
          </w:tcPr>
          <w:p>
            <w:pPr>
              <w:widowControl/>
              <w:spacing w:line="240" w:lineRule="auto"/>
              <w:rPr>
                <w:rFonts w:hint="eastAsia" w:ascii="宋体" w:hAnsi="宋体" w:eastAsia="宋体" w:cs="宋体"/>
                <w:color w:val="000000"/>
                <w:sz w:val="24"/>
                <w:szCs w:val="24"/>
              </w:rPr>
            </w:pPr>
          </w:p>
        </w:tc>
        <w:tc>
          <w:tcPr>
            <w:tcW w:w="2029" w:type="pct"/>
            <w:vMerge w:val="continue"/>
            <w:vAlign w:val="center"/>
          </w:tcPr>
          <w:p>
            <w:pPr>
              <w:widowControl/>
              <w:spacing w:line="240" w:lineRule="auto"/>
              <w:rPr>
                <w:rFonts w:hint="eastAsia" w:ascii="宋体" w:hAnsi="宋体" w:eastAsia="宋体" w:cs="宋体"/>
                <w:color w:val="000000"/>
                <w:sz w:val="24"/>
                <w:szCs w:val="24"/>
              </w:rPr>
            </w:pP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接头相对</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直线偏差小于60mm,曲线偏差大于60mm加缩短量一半。</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轨缝</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连续瞎缝或大于构造轨缝，普通绝缘接头轨缝小于6mm。</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029"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轨端肥边小于2mm。</w:t>
            </w:r>
          </w:p>
        </w:tc>
        <w:tc>
          <w:tcPr>
            <w:tcW w:w="951"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Merge w:val="continue"/>
            <w:vAlign w:val="center"/>
          </w:tcPr>
          <w:p>
            <w:pPr>
              <w:widowControl/>
              <w:spacing w:line="240" w:lineRule="auto"/>
              <w:rPr>
                <w:rFonts w:hint="eastAsia" w:ascii="宋体" w:hAnsi="宋体" w:eastAsia="宋体" w:cs="宋体"/>
                <w:color w:val="000000"/>
                <w:sz w:val="24"/>
                <w:szCs w:val="24"/>
              </w:rPr>
            </w:pPr>
          </w:p>
        </w:tc>
        <w:tc>
          <w:tcPr>
            <w:tcW w:w="2029" w:type="pct"/>
            <w:vMerge w:val="continue"/>
            <w:vAlign w:val="center"/>
          </w:tcPr>
          <w:p>
            <w:pPr>
              <w:widowControl/>
              <w:spacing w:line="240" w:lineRule="auto"/>
              <w:rPr>
                <w:rFonts w:hint="eastAsia" w:ascii="宋体" w:hAnsi="宋体" w:eastAsia="宋体" w:cs="宋体"/>
                <w:color w:val="000000"/>
                <w:sz w:val="24"/>
                <w:szCs w:val="24"/>
              </w:rPr>
            </w:pP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焊缝</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新焊接的钢轨符合《钢轨焊接技术条件》(TB/T 1632.1-TB/T 1632.4)的标准；原焊缝打磨后，应符合钢轨打磨作业验收标准。</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全面检测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轨枕</w:t>
            </w: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位置</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位置、间距偏差或偏斜小于60mm。</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全面查看重点检测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失效</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接头或焊缝处无失效，其他处无连续失效。</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修理</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达到混凝土枕在技术规定内，无木枕应削平及劈裂者。</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空吊率^</w:t>
            </w:r>
          </w:p>
        </w:tc>
        <w:tc>
          <w:tcPr>
            <w:tcW w:w="253"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029"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小于12%。</w:t>
            </w:r>
          </w:p>
        </w:tc>
        <w:tc>
          <w:tcPr>
            <w:tcW w:w="951"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连续检测50 头</w:t>
            </w:r>
          </w:p>
        </w:tc>
        <w:tc>
          <w:tcPr>
            <w:tcW w:w="638"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每增加1%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Merge w:val="continue"/>
            <w:vAlign w:val="center"/>
          </w:tcPr>
          <w:p>
            <w:pPr>
              <w:widowControl/>
              <w:spacing w:line="240" w:lineRule="auto"/>
              <w:rPr>
                <w:rFonts w:hint="eastAsia" w:ascii="宋体" w:hAnsi="宋体" w:eastAsia="宋体" w:cs="宋体"/>
                <w:color w:val="000000"/>
                <w:sz w:val="24"/>
                <w:szCs w:val="24"/>
              </w:rPr>
            </w:pPr>
          </w:p>
        </w:tc>
        <w:tc>
          <w:tcPr>
            <w:tcW w:w="2029" w:type="pct"/>
            <w:vMerge w:val="continue"/>
            <w:vAlign w:val="center"/>
          </w:tcPr>
          <w:p>
            <w:pPr>
              <w:widowControl/>
              <w:spacing w:line="240" w:lineRule="auto"/>
              <w:rPr>
                <w:rFonts w:hint="eastAsia" w:ascii="宋体" w:hAnsi="宋体" w:eastAsia="宋体" w:cs="宋体"/>
                <w:color w:val="000000"/>
                <w:sz w:val="24"/>
                <w:szCs w:val="24"/>
              </w:rPr>
            </w:pP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联结零件</w:t>
            </w: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接头螺栓</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缺少/松动或扭矩应符合规定。</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全面查看，抽个接头扭矩</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铁垫板、胶垫</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铁垫板和橡胶垫板、橡胶垫片无缺少。</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连续查100头</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橡胶垫板或橡胶垫片失效不超过16%。</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连续査看，检测100头</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道钉、扣件</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道钉、扣件不缺少.</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连续查看100</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jc w:val="center"/>
              <w:rPr>
                <w:rFonts w:hint="eastAsia" w:ascii="宋体" w:hAnsi="宋体" w:eastAsia="宋体" w:cs="宋体"/>
                <w:color w:val="000000"/>
                <w:sz w:val="24"/>
                <w:szCs w:val="24"/>
              </w:rPr>
            </w:pP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道钉浮离或扣板(或距挡板)前、后离缝应小于2mm者，不超过12%。</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连续检测50个</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jc w:val="center"/>
              <w:rPr>
                <w:rFonts w:hint="eastAsia" w:ascii="宋体" w:hAnsi="宋体" w:eastAsia="宋体" w:cs="宋体"/>
                <w:color w:val="000000"/>
                <w:sz w:val="24"/>
                <w:szCs w:val="24"/>
              </w:rPr>
            </w:pP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扣件扭矩(扣压力）符合规定或弹条扣件中部前端下颚离缝小于1mm，不超过12%。</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每增1%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轨道加强设备</w:t>
            </w: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轨距杆、轨撑</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无缺损或松动。</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 重点检测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防爬设备</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防爬器无缺损、松动或离缝应小于2mm。</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连续査看， 检测50个</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jc w:val="center"/>
              <w:rPr>
                <w:rFonts w:hint="eastAsia" w:ascii="宋体" w:hAnsi="宋体" w:eastAsia="宋体" w:cs="宋体"/>
                <w:color w:val="000000"/>
                <w:sz w:val="24"/>
                <w:szCs w:val="24"/>
              </w:rPr>
            </w:pP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支撑无缺损失效、尺寸符合标准。</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线路爬行</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普通线路爬行量要小于20mm，有无缝线路位移观测记录。</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全面检测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道床</w:t>
            </w: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脏污</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枕盒或边坡清筛深度到位，清筛整洁、无翻浆冒泥现象。</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全面查看，重点扒开道床检查</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每10m/孔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尺寸</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I型混凝土枕中部道床凹下尺寸符合规定。</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连续查看，检测100m</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外观</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道床断面应符合标准、达到均匀、整齐、无杂草。</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每10m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路基</w:t>
            </w: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路肩</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平整无反坡、无大草。</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全面査看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排水</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侧沟通畅或弃土应符合规定。</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道口</w:t>
            </w: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铺面</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要求平整无松动。</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查看检测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轮缘槽</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尺寸符合规定。</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护桩</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无缺损、歪斜等。</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9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标志标记</w:t>
            </w:r>
          </w:p>
        </w:tc>
        <w:tc>
          <w:tcPr>
            <w:tcW w:w="832"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标志</w:t>
            </w:r>
          </w:p>
        </w:tc>
        <w:tc>
          <w:tcPr>
            <w:tcW w:w="253"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2029"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字迹清晰，无缺损和歪斜。</w:t>
            </w:r>
          </w:p>
        </w:tc>
        <w:tc>
          <w:tcPr>
            <w:tcW w:w="951"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标记</w:t>
            </w:r>
          </w:p>
        </w:tc>
        <w:tc>
          <w:tcPr>
            <w:tcW w:w="253"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2029"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锯轨上各种标记应齐全，位置正确， 清晰。</w:t>
            </w:r>
          </w:p>
        </w:tc>
        <w:tc>
          <w:tcPr>
            <w:tcW w:w="951"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38"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7" w:type="pct"/>
            <w:vMerge w:val="continue"/>
            <w:vAlign w:val="center"/>
          </w:tcPr>
          <w:p>
            <w:pPr>
              <w:widowControl/>
              <w:spacing w:line="240" w:lineRule="auto"/>
              <w:rPr>
                <w:rFonts w:hint="eastAsia" w:ascii="宋体" w:hAnsi="宋体" w:eastAsia="宋体" w:cs="宋体"/>
                <w:color w:val="000000"/>
                <w:sz w:val="24"/>
                <w:szCs w:val="24"/>
              </w:rPr>
            </w:pPr>
          </w:p>
        </w:tc>
        <w:tc>
          <w:tcPr>
            <w:tcW w:w="832" w:type="pct"/>
            <w:vMerge w:val="continue"/>
            <w:vAlign w:val="center"/>
          </w:tcPr>
          <w:p>
            <w:pPr>
              <w:widowControl/>
              <w:spacing w:line="240" w:lineRule="auto"/>
              <w:rPr>
                <w:rFonts w:hint="eastAsia" w:ascii="宋体" w:hAnsi="宋体" w:eastAsia="宋体" w:cs="宋体"/>
                <w:color w:val="000000"/>
                <w:sz w:val="24"/>
                <w:szCs w:val="24"/>
              </w:rPr>
            </w:pPr>
          </w:p>
        </w:tc>
        <w:tc>
          <w:tcPr>
            <w:tcW w:w="253" w:type="pct"/>
            <w:vMerge w:val="continue"/>
            <w:vAlign w:val="center"/>
          </w:tcPr>
          <w:p>
            <w:pPr>
              <w:widowControl/>
              <w:spacing w:line="240" w:lineRule="auto"/>
              <w:rPr>
                <w:rFonts w:hint="eastAsia" w:ascii="宋体" w:hAnsi="宋体" w:eastAsia="宋体" w:cs="宋体"/>
                <w:color w:val="000000"/>
                <w:sz w:val="24"/>
                <w:szCs w:val="24"/>
              </w:rPr>
            </w:pPr>
          </w:p>
        </w:tc>
        <w:tc>
          <w:tcPr>
            <w:tcW w:w="2029" w:type="pct"/>
            <w:vMerge w:val="continue"/>
            <w:vAlign w:val="center"/>
          </w:tcPr>
          <w:p>
            <w:pPr>
              <w:widowControl/>
              <w:spacing w:line="240" w:lineRule="auto"/>
              <w:rPr>
                <w:rFonts w:hint="eastAsia" w:ascii="宋体" w:hAnsi="宋体" w:eastAsia="宋体" w:cs="宋体"/>
                <w:color w:val="000000"/>
                <w:sz w:val="24"/>
                <w:szCs w:val="24"/>
              </w:rPr>
            </w:pPr>
          </w:p>
        </w:tc>
        <w:tc>
          <w:tcPr>
            <w:tcW w:w="951" w:type="pct"/>
            <w:vMerge w:val="continue"/>
            <w:vAlign w:val="center"/>
          </w:tcPr>
          <w:p>
            <w:pPr>
              <w:widowControl/>
              <w:spacing w:line="240" w:lineRule="auto"/>
              <w:rPr>
                <w:rFonts w:hint="eastAsia" w:ascii="宋体" w:hAnsi="宋体" w:eastAsia="宋体" w:cs="宋体"/>
                <w:color w:val="000000"/>
                <w:sz w:val="24"/>
                <w:szCs w:val="24"/>
              </w:rPr>
            </w:pPr>
          </w:p>
        </w:tc>
        <w:tc>
          <w:tcPr>
            <w:tcW w:w="638" w:type="pct"/>
            <w:vMerge w:val="continue"/>
            <w:vAlign w:val="center"/>
          </w:tcPr>
          <w:p>
            <w:pPr>
              <w:widowControl/>
              <w:spacing w:line="240" w:lineRule="auto"/>
              <w:rPr>
                <w:rFonts w:hint="eastAsia" w:ascii="宋体" w:hAnsi="宋体" w:eastAsia="宋体" w:cs="宋体"/>
                <w:color w:val="000000"/>
                <w:sz w:val="24"/>
                <w:szCs w:val="24"/>
              </w:rPr>
            </w:pPr>
          </w:p>
        </w:tc>
      </w:tr>
    </w:tbl>
    <w:p>
      <w:pPr>
        <w:spacing w:line="460" w:lineRule="exact"/>
        <w:ind w:right="420" w:rightChars="200" w:firstLine="480" w:firstLineChars="200"/>
        <w:rPr>
          <w:rFonts w:hint="eastAsia" w:ascii="宋体" w:hAnsi="宋体" w:eastAsia="宋体" w:cs="宋体"/>
          <w:sz w:val="24"/>
          <w:szCs w:val="24"/>
        </w:rPr>
      </w:pPr>
    </w:p>
    <w:p>
      <w:pPr>
        <w:spacing w:line="460" w:lineRule="exact"/>
        <w:ind w:right="420" w:rightChars="200" w:firstLine="480" w:firstLineChars="200"/>
        <w:rPr>
          <w:rFonts w:hint="eastAsia" w:ascii="宋体" w:hAnsi="宋体" w:eastAsia="宋体" w:cs="宋体"/>
          <w:sz w:val="24"/>
          <w:szCs w:val="24"/>
        </w:rPr>
      </w:pPr>
      <w:r>
        <w:rPr>
          <w:rFonts w:hint="eastAsia" w:ascii="宋体" w:hAnsi="宋体" w:eastAsia="宋体" w:cs="宋体"/>
          <w:sz w:val="24"/>
          <w:szCs w:val="24"/>
        </w:rPr>
        <w:t>B、道岔综合维修验收标准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16"/>
        <w:gridCol w:w="1295"/>
        <w:gridCol w:w="497"/>
        <w:gridCol w:w="3941"/>
        <w:gridCol w:w="2026"/>
        <w:gridCol w:w="13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269" w:type="pct"/>
            <w:vMerge w:val="restar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w:t>
            </w:r>
          </w:p>
        </w:tc>
        <w:tc>
          <w:tcPr>
            <w:tcW w:w="675" w:type="pct"/>
            <w:vMerge w:val="restar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内容</w:t>
            </w:r>
          </w:p>
        </w:tc>
        <w:tc>
          <w:tcPr>
            <w:tcW w:w="259" w:type="pct"/>
            <w:vMerge w:val="restar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编号</w:t>
            </w:r>
          </w:p>
        </w:tc>
        <w:tc>
          <w:tcPr>
            <w:tcW w:w="3110" w:type="pct"/>
            <w:gridSpan w:val="2"/>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内 容</w:t>
            </w:r>
          </w:p>
        </w:tc>
        <w:tc>
          <w:tcPr>
            <w:tcW w:w="687" w:type="pct"/>
            <w:vMerge w:val="restar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b/>
                <w:bCs/>
                <w:color w:val="000000"/>
                <w:sz w:val="24"/>
                <w:szCs w:val="24"/>
              </w:rPr>
            </w:pPr>
          </w:p>
        </w:tc>
        <w:tc>
          <w:tcPr>
            <w:tcW w:w="675" w:type="pct"/>
            <w:vMerge w:val="continue"/>
            <w:vAlign w:val="center"/>
          </w:tcPr>
          <w:p>
            <w:pPr>
              <w:widowControl/>
              <w:spacing w:line="240" w:lineRule="auto"/>
              <w:rPr>
                <w:rFonts w:hint="eastAsia" w:ascii="宋体" w:hAnsi="宋体" w:eastAsia="宋体" w:cs="宋体"/>
                <w:b/>
                <w:bCs/>
                <w:color w:val="000000"/>
                <w:sz w:val="24"/>
                <w:szCs w:val="24"/>
              </w:rPr>
            </w:pPr>
          </w:p>
        </w:tc>
        <w:tc>
          <w:tcPr>
            <w:tcW w:w="259" w:type="pct"/>
            <w:vMerge w:val="continue"/>
            <w:vAlign w:val="center"/>
          </w:tcPr>
          <w:p>
            <w:pPr>
              <w:widowControl/>
              <w:spacing w:line="240" w:lineRule="auto"/>
              <w:rPr>
                <w:rFonts w:hint="eastAsia" w:ascii="宋体" w:hAnsi="宋体" w:eastAsia="宋体" w:cs="宋体"/>
                <w:b/>
                <w:bCs/>
                <w:color w:val="000000"/>
                <w:sz w:val="24"/>
                <w:szCs w:val="24"/>
              </w:rPr>
            </w:pPr>
          </w:p>
        </w:tc>
        <w:tc>
          <w:tcPr>
            <w:tcW w:w="2054" w:type="pct"/>
            <w:vMerge w:val="restart"/>
            <w:vAlign w:val="center"/>
          </w:tcPr>
          <w:p>
            <w:pPr>
              <w:widowControl/>
              <w:spacing w:line="24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站线道岔</w:t>
            </w:r>
          </w:p>
        </w:tc>
        <w:tc>
          <w:tcPr>
            <w:tcW w:w="1056" w:type="pct"/>
            <w:vMerge w:val="restart"/>
            <w:vAlign w:val="center"/>
          </w:tcPr>
          <w:p>
            <w:pPr>
              <w:widowControl/>
              <w:spacing w:line="24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抽验数量</w:t>
            </w:r>
          </w:p>
        </w:tc>
        <w:tc>
          <w:tcPr>
            <w:tcW w:w="687" w:type="pct"/>
            <w:vMerge w:val="continue"/>
            <w:vAlign w:val="center"/>
          </w:tcPr>
          <w:p>
            <w:pPr>
              <w:widowControl/>
              <w:spacing w:line="240" w:lineRule="auto"/>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b/>
                <w:bCs/>
                <w:color w:val="000000"/>
                <w:sz w:val="24"/>
                <w:szCs w:val="24"/>
              </w:rPr>
            </w:pPr>
          </w:p>
        </w:tc>
        <w:tc>
          <w:tcPr>
            <w:tcW w:w="675" w:type="pct"/>
            <w:vMerge w:val="continue"/>
            <w:vAlign w:val="center"/>
          </w:tcPr>
          <w:p>
            <w:pPr>
              <w:widowControl/>
              <w:spacing w:line="240" w:lineRule="auto"/>
              <w:rPr>
                <w:rFonts w:hint="eastAsia" w:ascii="宋体" w:hAnsi="宋体" w:eastAsia="宋体" w:cs="宋体"/>
                <w:b/>
                <w:bCs/>
                <w:color w:val="000000"/>
                <w:sz w:val="24"/>
                <w:szCs w:val="24"/>
              </w:rPr>
            </w:pPr>
          </w:p>
        </w:tc>
        <w:tc>
          <w:tcPr>
            <w:tcW w:w="259" w:type="pct"/>
            <w:vMerge w:val="continue"/>
            <w:vAlign w:val="center"/>
          </w:tcPr>
          <w:p>
            <w:pPr>
              <w:widowControl/>
              <w:spacing w:line="240" w:lineRule="auto"/>
              <w:rPr>
                <w:rFonts w:hint="eastAsia" w:ascii="宋体" w:hAnsi="宋体" w:eastAsia="宋体" w:cs="宋体"/>
                <w:b/>
                <w:bCs/>
                <w:color w:val="000000"/>
                <w:sz w:val="24"/>
                <w:szCs w:val="24"/>
              </w:rPr>
            </w:pPr>
          </w:p>
        </w:tc>
        <w:tc>
          <w:tcPr>
            <w:tcW w:w="2054" w:type="pct"/>
            <w:vMerge w:val="continue"/>
            <w:vAlign w:val="center"/>
          </w:tcPr>
          <w:p>
            <w:pPr>
              <w:widowControl/>
              <w:spacing w:line="240" w:lineRule="auto"/>
              <w:rPr>
                <w:rFonts w:hint="eastAsia" w:ascii="宋体" w:hAnsi="宋体" w:eastAsia="宋体" w:cs="宋体"/>
                <w:b/>
                <w:bCs/>
                <w:color w:val="000000"/>
                <w:sz w:val="24"/>
                <w:szCs w:val="24"/>
              </w:rPr>
            </w:pPr>
          </w:p>
        </w:tc>
        <w:tc>
          <w:tcPr>
            <w:tcW w:w="1056" w:type="pct"/>
            <w:vMerge w:val="continue"/>
            <w:vAlign w:val="center"/>
          </w:tcPr>
          <w:p>
            <w:pPr>
              <w:widowControl/>
              <w:spacing w:line="240" w:lineRule="auto"/>
              <w:rPr>
                <w:rFonts w:hint="eastAsia" w:ascii="宋体" w:hAnsi="宋体" w:eastAsia="宋体" w:cs="宋体"/>
                <w:b/>
                <w:bCs/>
                <w:color w:val="000000"/>
                <w:sz w:val="24"/>
                <w:szCs w:val="24"/>
              </w:rPr>
            </w:pPr>
          </w:p>
        </w:tc>
        <w:tc>
          <w:tcPr>
            <w:tcW w:w="687" w:type="pct"/>
            <w:vMerge w:val="continue"/>
            <w:vAlign w:val="center"/>
          </w:tcPr>
          <w:p>
            <w:pPr>
              <w:widowControl/>
              <w:spacing w:line="240" w:lineRule="auto"/>
              <w:rPr>
                <w:rFonts w:hint="eastAsia" w:ascii="宋体" w:hAnsi="宋体" w:eastAsia="宋体" w:cs="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轨道几何尺寸</w:t>
            </w: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轨距、水平、支距</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不超过作业验收标准容许偏差。</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不超过经常保养标准容许偏差。</w:t>
            </w: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轨向、高低</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不超过作业验收标准容许偏差。</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全面査看重点检测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不超过经常保养标准容许偏差。</w:t>
            </w: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查照间隔</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不超过容许限度。</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护背距离</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不超过容许限度。</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尖趾距离</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不超过容许限度。</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钢轨</w:t>
            </w: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尖轨、可动心轨靠贴</w:t>
            </w:r>
          </w:p>
        </w:tc>
        <w:tc>
          <w:tcPr>
            <w:tcW w:w="25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2054"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尖轨尖端与基本轨、可动心轨尖端与翼轨靠贴。</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全面捡查</w:t>
            </w:r>
          </w:p>
        </w:tc>
        <w:tc>
          <w:tcPr>
            <w:tcW w:w="68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continue"/>
            <w:vAlign w:val="center"/>
          </w:tcPr>
          <w:p>
            <w:pPr>
              <w:widowControl/>
              <w:spacing w:line="240" w:lineRule="auto"/>
              <w:rPr>
                <w:rFonts w:hint="eastAsia" w:ascii="宋体" w:hAnsi="宋体" w:eastAsia="宋体" w:cs="宋体"/>
                <w:color w:val="000000"/>
                <w:sz w:val="24"/>
                <w:szCs w:val="24"/>
              </w:rPr>
            </w:pPr>
          </w:p>
        </w:tc>
        <w:tc>
          <w:tcPr>
            <w:tcW w:w="2054" w:type="pct"/>
            <w:vMerge w:val="continue"/>
            <w:vAlign w:val="center"/>
          </w:tcPr>
          <w:p>
            <w:pPr>
              <w:widowControl/>
              <w:spacing w:line="240" w:lineRule="auto"/>
              <w:rPr>
                <w:rFonts w:hint="eastAsia" w:ascii="宋体" w:hAnsi="宋体" w:eastAsia="宋体" w:cs="宋体"/>
                <w:color w:val="000000"/>
                <w:sz w:val="24"/>
                <w:szCs w:val="24"/>
              </w:rPr>
            </w:pP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接头错牙</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轨顶面或内侧面错牙小于1mm。</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全面查看重点检测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轨缝</w:t>
            </w:r>
          </w:p>
        </w:tc>
        <w:tc>
          <w:tcPr>
            <w:tcW w:w="25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2054"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连续瞎缝、小于构造轨缝，普通绝缘接头轨缝达到6mm。</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continue"/>
            <w:vAlign w:val="center"/>
          </w:tcPr>
          <w:p>
            <w:pPr>
              <w:widowControl/>
              <w:spacing w:line="240" w:lineRule="auto"/>
              <w:rPr>
                <w:rFonts w:hint="eastAsia" w:ascii="宋体" w:hAnsi="宋体" w:eastAsia="宋体" w:cs="宋体"/>
                <w:color w:val="000000"/>
                <w:sz w:val="24"/>
                <w:szCs w:val="24"/>
              </w:rPr>
            </w:pPr>
          </w:p>
        </w:tc>
        <w:tc>
          <w:tcPr>
            <w:tcW w:w="2054" w:type="pct"/>
            <w:vMerge w:val="continue"/>
            <w:vAlign w:val="center"/>
          </w:tcPr>
          <w:p>
            <w:pPr>
              <w:widowControl/>
              <w:spacing w:line="240" w:lineRule="auto"/>
              <w:rPr>
                <w:rFonts w:hint="eastAsia" w:ascii="宋体" w:hAnsi="宋体" w:eastAsia="宋体" w:cs="宋体"/>
                <w:color w:val="000000"/>
                <w:sz w:val="24"/>
                <w:szCs w:val="24"/>
              </w:rPr>
            </w:pP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轨端肥边小于2mm。</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岔枕</w:t>
            </w: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位置</w:t>
            </w:r>
          </w:p>
        </w:tc>
        <w:tc>
          <w:tcPr>
            <w:tcW w:w="25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2054"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位置或间距偏差小于50mm。</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continue"/>
            <w:vAlign w:val="center"/>
          </w:tcPr>
          <w:p>
            <w:pPr>
              <w:widowControl/>
              <w:spacing w:line="240" w:lineRule="auto"/>
              <w:rPr>
                <w:rFonts w:hint="eastAsia" w:ascii="宋体" w:hAnsi="宋体" w:eastAsia="宋体" w:cs="宋体"/>
                <w:color w:val="000000"/>
                <w:sz w:val="24"/>
                <w:szCs w:val="24"/>
              </w:rPr>
            </w:pPr>
          </w:p>
        </w:tc>
        <w:tc>
          <w:tcPr>
            <w:tcW w:w="2054" w:type="pct"/>
            <w:vMerge w:val="continue"/>
            <w:vAlign w:val="center"/>
          </w:tcPr>
          <w:p>
            <w:pPr>
              <w:widowControl/>
              <w:spacing w:line="240" w:lineRule="auto"/>
              <w:rPr>
                <w:rFonts w:hint="eastAsia" w:ascii="宋体" w:hAnsi="宋体" w:eastAsia="宋体" w:cs="宋体"/>
                <w:color w:val="000000"/>
                <w:sz w:val="24"/>
                <w:szCs w:val="24"/>
              </w:rPr>
            </w:pP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失效</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接头处无失效，无其他处连续失效.</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全面査看， 重点检测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修理</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应修混凝土岔枕符合规定，木岔枕未无削平或劈裂。</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空吊率</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小于12%。(钢枕不得有空吊〕。</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连续检测50头</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联结零件</w:t>
            </w: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滑床板</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尖轨、可动心轨与滑床板缝隙小于2mm。</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2054"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滑床板及护轨弹片上反或离缝小于2mm，钉离缝小于5mm。</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continue"/>
            <w:vAlign w:val="center"/>
          </w:tcPr>
          <w:p>
            <w:pPr>
              <w:widowControl/>
              <w:spacing w:line="240" w:lineRule="auto"/>
              <w:rPr>
                <w:rFonts w:hint="eastAsia" w:ascii="宋体" w:hAnsi="宋体" w:eastAsia="宋体" w:cs="宋体"/>
                <w:color w:val="000000"/>
                <w:sz w:val="24"/>
                <w:szCs w:val="24"/>
              </w:rPr>
            </w:pPr>
          </w:p>
        </w:tc>
        <w:tc>
          <w:tcPr>
            <w:tcW w:w="2054" w:type="pct"/>
            <w:vMerge w:val="continue"/>
            <w:vAlign w:val="center"/>
          </w:tcPr>
          <w:p>
            <w:pPr>
              <w:widowControl/>
              <w:spacing w:line="240" w:lineRule="auto"/>
              <w:rPr>
                <w:rFonts w:hint="eastAsia" w:ascii="宋体" w:hAnsi="宋体" w:eastAsia="宋体" w:cs="宋体"/>
                <w:color w:val="000000"/>
                <w:sz w:val="24"/>
                <w:szCs w:val="24"/>
              </w:rPr>
            </w:pP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螺栓</w:t>
            </w:r>
          </w:p>
        </w:tc>
        <w:tc>
          <w:tcPr>
            <w:tcW w:w="25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2054"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接头、连杆、顶铁、间隔铁及护轨螺栓无缺少，顶铁离缝小于2mm。</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w:t>
            </w:r>
          </w:p>
        </w:tc>
        <w:tc>
          <w:tcPr>
            <w:tcW w:w="68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continue"/>
            <w:vAlign w:val="center"/>
          </w:tcPr>
          <w:p>
            <w:pPr>
              <w:widowControl/>
              <w:spacing w:line="240" w:lineRule="auto"/>
              <w:rPr>
                <w:rFonts w:hint="eastAsia" w:ascii="宋体" w:hAnsi="宋体" w:eastAsia="宋体" w:cs="宋体"/>
                <w:color w:val="000000"/>
                <w:sz w:val="24"/>
                <w:szCs w:val="24"/>
              </w:rPr>
            </w:pPr>
          </w:p>
        </w:tc>
        <w:tc>
          <w:tcPr>
            <w:tcW w:w="2054" w:type="pct"/>
            <w:vMerge w:val="continue"/>
            <w:vAlign w:val="center"/>
          </w:tcPr>
          <w:p>
            <w:pPr>
              <w:widowControl/>
              <w:spacing w:line="240" w:lineRule="auto"/>
              <w:rPr>
                <w:rFonts w:hint="eastAsia" w:ascii="宋体" w:hAnsi="宋体" w:eastAsia="宋体" w:cs="宋体"/>
                <w:color w:val="000000"/>
                <w:sz w:val="24"/>
                <w:szCs w:val="24"/>
              </w:rPr>
            </w:pP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2054" w:type="pct"/>
            <w:vMerge w:val="restar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接头螺栓无松动，扭矩符合规定，连杆顶铁、间隔铁及护轨的螺栓无松动。</w:t>
            </w:r>
          </w:p>
        </w:tc>
        <w:tc>
          <w:tcPr>
            <w:tcW w:w="1056"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查看检测</w:t>
            </w:r>
          </w:p>
        </w:tc>
        <w:tc>
          <w:tcPr>
            <w:tcW w:w="687"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Merge w:val="continue"/>
            <w:vAlign w:val="center"/>
          </w:tcPr>
          <w:p>
            <w:pPr>
              <w:widowControl/>
              <w:spacing w:line="240" w:lineRule="auto"/>
              <w:rPr>
                <w:rFonts w:hint="eastAsia" w:ascii="宋体" w:hAnsi="宋体" w:eastAsia="宋体" w:cs="宋体"/>
                <w:color w:val="000000"/>
                <w:sz w:val="24"/>
                <w:szCs w:val="24"/>
              </w:rPr>
            </w:pPr>
          </w:p>
        </w:tc>
        <w:tc>
          <w:tcPr>
            <w:tcW w:w="2054" w:type="pct"/>
            <w:vMerge w:val="continue"/>
            <w:vAlign w:val="center"/>
          </w:tcPr>
          <w:p>
            <w:pPr>
              <w:widowControl/>
              <w:spacing w:line="240" w:lineRule="auto"/>
              <w:rPr>
                <w:rFonts w:hint="eastAsia" w:ascii="宋体" w:hAnsi="宋体" w:eastAsia="宋体" w:cs="宋体"/>
                <w:color w:val="000000"/>
                <w:sz w:val="24"/>
                <w:szCs w:val="24"/>
              </w:rPr>
            </w:pPr>
          </w:p>
        </w:tc>
        <w:tc>
          <w:tcPr>
            <w:tcW w:w="1056" w:type="pct"/>
            <w:vMerge w:val="continue"/>
            <w:vAlign w:val="center"/>
          </w:tcPr>
          <w:p>
            <w:pPr>
              <w:widowControl/>
              <w:spacing w:line="240" w:lineRule="auto"/>
              <w:rPr>
                <w:rFonts w:hint="eastAsia" w:ascii="宋体" w:hAnsi="宋体" w:eastAsia="宋体" w:cs="宋体"/>
                <w:color w:val="000000"/>
                <w:sz w:val="24"/>
                <w:szCs w:val="24"/>
              </w:rPr>
            </w:pPr>
          </w:p>
        </w:tc>
        <w:tc>
          <w:tcPr>
            <w:tcW w:w="687" w:type="pct"/>
            <w:vMerge w:val="continue"/>
            <w:vAlign w:val="center"/>
          </w:tcPr>
          <w:p>
            <w:pPr>
              <w:widowControl/>
              <w:spacing w:line="240" w:lineRule="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心轨凸缘螺栓无缺少、松动。</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长心轨与短心轨联结螺栓无缺少、松动。</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査看检测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其他各种螺栓无缺少松动。</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铁垫板</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铁垫板或橡胶垫板、橡胶垫片无缺少。</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连续查看50块</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胶垫</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橡胶垫板或橡胶垫片失效不超过12%。</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连续查看检查50块</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道钉扣件</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道钉、扣件无缺少。</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连续查看50个</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0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Merge w:val="continue"/>
            <w:vAlign w:val="center"/>
          </w:tcPr>
          <w:p>
            <w:pPr>
              <w:widowControl/>
              <w:spacing w:line="240" w:lineRule="auto"/>
              <w:rPr>
                <w:rFonts w:hint="eastAsia" w:ascii="宋体" w:hAnsi="宋体" w:eastAsia="宋体" w:cs="宋体"/>
                <w:color w:val="000000"/>
                <w:sz w:val="24"/>
                <w:szCs w:val="24"/>
              </w:rPr>
            </w:pP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26</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扣件扭矩(扣压力）符合规定或弹条扣件中部前端下颚离缝小于1mm，不超过12%。</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连续查看检测50个</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每增1%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轨道加强设备</w:t>
            </w: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轨撑、轨距杆</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转辙或辙又部位轨撑离缝小于2mm，其他部位轨撑或轨距杆无缺损、松动。</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查看检查</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个、根</w:t>
            </w:r>
          </w:p>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防爬设备</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28</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防爬器无缺损、松动，离缝应小于2mm。无缺损、失效，尺寸符合标准。</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查看检査</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爬行</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29</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道岔两尖轨尖端相错量小于20mm、无缝道岔位移有观测记录。</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道床</w:t>
            </w: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脏污</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枕盒内或边坡道床清楚无翻浆冒泥。</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全面查看。重点检查</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1"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外观</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道床断面符合标准，均匀、整齐、无杂草。</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全面查看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路基</w:t>
            </w: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路肩</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平整、无反坡、大草。</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排水</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侧沟通畅或无弃土。</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同上</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69" w:type="pct"/>
            <w:vMerge w:val="restar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标志标记</w:t>
            </w: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标志</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警冲标清晰无破损。</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查看检査</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269" w:type="pct"/>
            <w:vMerge w:val="continue"/>
            <w:vAlign w:val="center"/>
          </w:tcPr>
          <w:p>
            <w:pPr>
              <w:widowControl/>
              <w:spacing w:line="240" w:lineRule="auto"/>
              <w:rPr>
                <w:rFonts w:hint="eastAsia" w:ascii="宋体" w:hAnsi="宋体" w:eastAsia="宋体" w:cs="宋体"/>
                <w:color w:val="000000"/>
                <w:sz w:val="24"/>
                <w:szCs w:val="24"/>
              </w:rPr>
            </w:pPr>
          </w:p>
        </w:tc>
        <w:tc>
          <w:tcPr>
            <w:tcW w:w="675"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 记</w:t>
            </w:r>
          </w:p>
        </w:tc>
        <w:tc>
          <w:tcPr>
            <w:tcW w:w="259"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2054" w:type="pct"/>
            <w:vAlign w:val="center"/>
          </w:tcPr>
          <w:p>
            <w:pPr>
              <w:widowControl/>
              <w:spacing w:line="240" w:lineRule="auto"/>
              <w:rPr>
                <w:rFonts w:hint="eastAsia" w:ascii="宋体" w:hAnsi="宋体" w:eastAsia="宋体" w:cs="宋体"/>
                <w:color w:val="000000"/>
                <w:sz w:val="24"/>
                <w:szCs w:val="24"/>
              </w:rPr>
            </w:pPr>
            <w:r>
              <w:rPr>
                <w:rFonts w:hint="eastAsia" w:ascii="宋体" w:hAnsi="宋体" w:eastAsia="宋体" w:cs="宋体"/>
                <w:color w:val="000000"/>
                <w:sz w:val="24"/>
                <w:szCs w:val="24"/>
              </w:rPr>
              <w:t>钢轨上各项标记齐全清晰无错误、位置符合标准。</w:t>
            </w:r>
          </w:p>
        </w:tc>
        <w:tc>
          <w:tcPr>
            <w:tcW w:w="1056"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全面査看</w:t>
            </w:r>
          </w:p>
        </w:tc>
        <w:tc>
          <w:tcPr>
            <w:tcW w:w="687" w:type="pct"/>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处</w:t>
            </w:r>
          </w:p>
        </w:tc>
      </w:tr>
    </w:tbl>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
      <w:pPr>
        <w:rPr>
          <w:rFonts w:hint="eastAsia"/>
          <w:lang w:val="en-US" w:eastAsia="zh-CN"/>
        </w:rPr>
      </w:pPr>
    </w:p>
    <w:p>
      <w:pPr>
        <w:rPr>
          <w:rFonts w:hint="eastAsia" w:ascii="宋体" w:hAnsi="宋体" w:eastAsia="宋体" w:cs="宋体"/>
          <w:b w:val="0"/>
          <w:bCs/>
          <w:color w:val="000000"/>
          <w:sz w:val="24"/>
          <w:szCs w:val="24"/>
          <w:lang w:val="en-US" w:eastAsia="zh-CN"/>
        </w:rPr>
      </w:pPr>
    </w:p>
    <w:p>
      <w:pPr>
        <w:spacing w:line="312" w:lineRule="auto"/>
        <w:jc w:val="both"/>
        <w:outlineLvl w:val="9"/>
        <w:rPr>
          <w:rFonts w:hint="eastAsia" w:ascii="宋体" w:hAnsi="宋体" w:eastAsia="宋体" w:cs="宋体"/>
          <w:b/>
          <w:color w:val="000000"/>
          <w:sz w:val="24"/>
          <w:szCs w:val="24"/>
        </w:rPr>
      </w:pPr>
      <w:bookmarkStart w:id="56" w:name="_Toc13840"/>
    </w:p>
    <w:p>
      <w:pPr>
        <w:spacing w:line="312" w:lineRule="auto"/>
        <w:jc w:val="center"/>
        <w:outlineLvl w:val="9"/>
        <w:rPr>
          <w:rFonts w:hint="eastAsia" w:ascii="宋体" w:hAnsi="宋体" w:eastAsia="宋体" w:cs="宋体"/>
          <w:b/>
          <w:color w:val="000000"/>
          <w:sz w:val="24"/>
          <w:szCs w:val="24"/>
        </w:rPr>
      </w:pPr>
    </w:p>
    <w:p>
      <w:pPr>
        <w:numPr>
          <w:ilvl w:val="0"/>
          <w:numId w:val="0"/>
        </w:numPr>
        <w:adjustRightInd w:val="0"/>
        <w:snapToGrid w:val="0"/>
        <w:spacing w:line="600" w:lineRule="exact"/>
        <w:jc w:val="center"/>
        <w:outlineLvl w:val="0"/>
        <w:rPr>
          <w:rFonts w:hint="eastAsia" w:ascii="黑体" w:hAnsi="黑体" w:eastAsia="黑体" w:cs="仿宋"/>
          <w:b/>
          <w:color w:val="000000"/>
          <w:kern w:val="0"/>
          <w:sz w:val="44"/>
          <w:szCs w:val="44"/>
          <w:lang w:val="en-US" w:eastAsia="zh-CN" w:bidi="ar-SA"/>
        </w:rPr>
      </w:pPr>
      <w:bookmarkStart w:id="57" w:name="_Toc11833"/>
      <w:r>
        <w:rPr>
          <w:rFonts w:hint="eastAsia" w:ascii="黑体" w:hAnsi="黑体" w:eastAsia="黑体" w:cs="仿宋"/>
          <w:b/>
          <w:color w:val="000000"/>
          <w:kern w:val="0"/>
          <w:sz w:val="44"/>
          <w:szCs w:val="44"/>
          <w:lang w:val="en-US" w:eastAsia="zh-CN" w:bidi="ar-SA"/>
        </w:rPr>
        <w:t>第六章  响应文件格式</w:t>
      </w:r>
      <w:bookmarkEnd w:id="56"/>
      <w:bookmarkEnd w:id="57"/>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outlineLvl w:val="0"/>
        <w:rPr>
          <w:rFonts w:hint="eastAsia" w:ascii="宋体" w:hAnsi="宋体" w:eastAsia="宋体" w:cs="宋体"/>
          <w:b/>
          <w:bCs/>
          <w:sz w:val="24"/>
          <w:szCs w:val="24"/>
        </w:rPr>
      </w:pPr>
      <w:r>
        <w:rPr>
          <w:rFonts w:hint="eastAsia" w:ascii="宋体" w:hAnsi="宋体" w:eastAsia="宋体" w:cs="宋体"/>
          <w:bCs/>
          <w:sz w:val="24"/>
          <w:szCs w:val="24"/>
          <w:u w:val="single"/>
        </w:rPr>
        <w:t xml:space="preserve">                   </w:t>
      </w:r>
      <w:bookmarkStart w:id="58" w:name="_Toc11696"/>
      <w:bookmarkStart w:id="59" w:name="_Toc22352"/>
      <w:r>
        <w:rPr>
          <w:rFonts w:hint="eastAsia" w:ascii="宋体" w:hAnsi="宋体" w:eastAsia="宋体" w:cs="宋体"/>
          <w:b/>
          <w:bCs/>
          <w:sz w:val="24"/>
          <w:szCs w:val="24"/>
        </w:rPr>
        <w:t>项目</w:t>
      </w:r>
      <w:bookmarkEnd w:id="58"/>
      <w:bookmarkEnd w:id="59"/>
    </w:p>
    <w:p>
      <w:pPr>
        <w:widowControl w:val="0"/>
        <w:spacing w:before="312" w:beforeLines="100" w:after="312" w:afterLines="100" w:line="240" w:lineRule="auto"/>
        <w:jc w:val="center"/>
        <w:outlineLvl w:val="0"/>
        <w:rPr>
          <w:rFonts w:hint="eastAsia" w:ascii="宋体" w:hAnsi="宋体" w:eastAsia="宋体" w:cs="宋体"/>
          <w:b/>
          <w:bCs/>
          <w:sz w:val="24"/>
          <w:szCs w:val="24"/>
        </w:rPr>
      </w:pPr>
      <w:bookmarkStart w:id="60" w:name="_Toc20582"/>
      <w:bookmarkStart w:id="61" w:name="_Toc23766"/>
      <w:r>
        <w:rPr>
          <w:rFonts w:hint="eastAsia" w:ascii="宋体" w:hAnsi="宋体" w:eastAsia="宋体" w:cs="宋体"/>
          <w:b/>
          <w:bCs/>
          <w:sz w:val="24"/>
          <w:szCs w:val="24"/>
        </w:rPr>
        <w:t>（项目采购编号：</w:t>
      </w:r>
      <w:r>
        <w:rPr>
          <w:rFonts w:hint="eastAsia" w:ascii="宋体" w:hAnsi="宋体" w:eastAsia="宋体" w:cs="宋体"/>
          <w:b/>
          <w:bCs/>
          <w:sz w:val="24"/>
          <w:szCs w:val="24"/>
          <w:u w:val="single"/>
        </w:rPr>
        <w:t xml:space="preserve">   填入项目采购编号     </w:t>
      </w:r>
      <w:r>
        <w:rPr>
          <w:rFonts w:hint="eastAsia" w:ascii="宋体" w:hAnsi="宋体" w:eastAsia="宋体" w:cs="宋体"/>
          <w:b/>
          <w:bCs/>
          <w:sz w:val="24"/>
          <w:szCs w:val="24"/>
        </w:rPr>
        <w:t>）</w:t>
      </w:r>
      <w:bookmarkEnd w:id="60"/>
      <w:bookmarkEnd w:id="61"/>
    </w:p>
    <w:p>
      <w:pPr>
        <w:widowControl w:val="0"/>
        <w:adjustRightInd w:val="0"/>
        <w:snapToGrid w:val="0"/>
        <w:rPr>
          <w:rFonts w:hint="eastAsia" w:ascii="宋体" w:hAnsi="宋体" w:eastAsia="宋体" w:cs="宋体"/>
          <w:b/>
          <w:sz w:val="24"/>
          <w:szCs w:val="24"/>
        </w:rPr>
      </w:pPr>
    </w:p>
    <w:p>
      <w:pPr>
        <w:spacing w:line="288" w:lineRule="auto"/>
        <w:jc w:val="center"/>
        <w:rPr>
          <w:rFonts w:hint="eastAsia" w:ascii="宋体" w:hAnsi="宋体" w:eastAsia="宋体" w:cs="宋体"/>
          <w:b/>
          <w:bCs/>
          <w:spacing w:val="160"/>
          <w:sz w:val="24"/>
          <w:szCs w:val="24"/>
        </w:rPr>
      </w:pPr>
    </w:p>
    <w:p>
      <w:pPr>
        <w:spacing w:line="288" w:lineRule="auto"/>
        <w:jc w:val="center"/>
        <w:rPr>
          <w:rFonts w:hint="eastAsia" w:ascii="宋体" w:hAnsi="宋体" w:eastAsia="宋体" w:cs="宋体"/>
          <w:b/>
          <w:bCs/>
          <w:spacing w:val="160"/>
          <w:sz w:val="24"/>
          <w:szCs w:val="24"/>
        </w:rPr>
      </w:pPr>
    </w:p>
    <w:p>
      <w:pPr>
        <w:spacing w:line="288" w:lineRule="auto"/>
        <w:jc w:val="center"/>
        <w:outlineLvl w:val="9"/>
        <w:rPr>
          <w:rFonts w:hint="eastAsia" w:ascii="宋体" w:hAnsi="宋体" w:eastAsia="宋体" w:cs="宋体"/>
          <w:b/>
          <w:bCs/>
          <w:spacing w:val="160"/>
          <w:sz w:val="24"/>
          <w:szCs w:val="24"/>
        </w:rPr>
      </w:pPr>
      <w:bookmarkStart w:id="62" w:name="_Toc7555"/>
    </w:p>
    <w:p>
      <w:pPr>
        <w:spacing w:line="288" w:lineRule="auto"/>
        <w:jc w:val="center"/>
        <w:outlineLvl w:val="0"/>
        <w:rPr>
          <w:rFonts w:hint="eastAsia" w:ascii="宋体" w:hAnsi="宋体" w:eastAsia="宋体" w:cs="宋体"/>
          <w:b/>
          <w:bCs/>
          <w:spacing w:val="160"/>
          <w:sz w:val="30"/>
          <w:szCs w:val="30"/>
        </w:rPr>
      </w:pPr>
      <w:bookmarkStart w:id="63" w:name="_Toc32067"/>
      <w:r>
        <w:rPr>
          <w:rFonts w:hint="eastAsia" w:ascii="宋体" w:hAnsi="宋体" w:eastAsia="宋体" w:cs="宋体"/>
          <w:b/>
          <w:bCs/>
          <w:spacing w:val="160"/>
          <w:sz w:val="30"/>
          <w:szCs w:val="30"/>
        </w:rPr>
        <w:t>响应文件</w:t>
      </w:r>
      <w:bookmarkEnd w:id="62"/>
      <w:bookmarkEnd w:id="63"/>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288" w:lineRule="auto"/>
        <w:rPr>
          <w:rFonts w:hint="eastAsia" w:ascii="宋体" w:hAnsi="宋体" w:eastAsia="宋体" w:cs="宋体"/>
          <w:sz w:val="24"/>
          <w:szCs w:val="24"/>
        </w:rPr>
      </w:pPr>
    </w:p>
    <w:p>
      <w:pPr>
        <w:spacing w:line="900" w:lineRule="exact"/>
        <w:jc w:val="center"/>
        <w:outlineLvl w:val="0"/>
        <w:rPr>
          <w:rFonts w:hint="eastAsia" w:ascii="宋体" w:hAnsi="宋体" w:eastAsia="宋体" w:cs="宋体"/>
          <w:bCs/>
          <w:sz w:val="24"/>
          <w:szCs w:val="24"/>
        </w:rPr>
      </w:pPr>
      <w:bookmarkStart w:id="64" w:name="_Toc3779"/>
      <w:bookmarkStart w:id="65" w:name="_Toc148"/>
      <w:r>
        <w:rPr>
          <w:rFonts w:hint="eastAsia" w:ascii="宋体" w:hAnsi="宋体" w:eastAsia="宋体" w:cs="宋体"/>
          <w:bCs/>
          <w:sz w:val="24"/>
          <w:szCs w:val="24"/>
        </w:rPr>
        <w:t>供 应 商：</w:t>
      </w:r>
      <w:r>
        <w:rPr>
          <w:rFonts w:hint="eastAsia" w:ascii="宋体" w:hAnsi="宋体" w:eastAsia="宋体" w:cs="宋体"/>
          <w:bCs/>
          <w:sz w:val="24"/>
          <w:szCs w:val="24"/>
          <w:u w:val="single"/>
        </w:rPr>
        <w:t xml:space="preserve">  供应商全称并盖单位公章</w:t>
      </w:r>
      <w:bookmarkEnd w:id="64"/>
      <w:bookmarkEnd w:id="65"/>
      <w:r>
        <w:rPr>
          <w:rFonts w:hint="eastAsia" w:ascii="宋体" w:hAnsi="宋体" w:eastAsia="宋体" w:cs="宋体"/>
          <w:bCs/>
          <w:sz w:val="24"/>
          <w:szCs w:val="24"/>
          <w:u w:val="single"/>
        </w:rPr>
        <w:t xml:space="preserve"> </w:t>
      </w:r>
    </w:p>
    <w:p>
      <w:pPr>
        <w:spacing w:line="900" w:lineRule="exact"/>
        <w:jc w:val="center"/>
        <w:outlineLvl w:val="0"/>
        <w:rPr>
          <w:rFonts w:hint="eastAsia" w:ascii="宋体" w:hAnsi="宋体" w:eastAsia="宋体" w:cs="宋体"/>
          <w:sz w:val="24"/>
          <w:szCs w:val="24"/>
        </w:rPr>
      </w:pPr>
      <w:bookmarkStart w:id="66" w:name="_Toc12460"/>
      <w:bookmarkStart w:id="67" w:name="_Toc31175"/>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bookmarkEnd w:id="66"/>
      <w:bookmarkEnd w:id="67"/>
    </w:p>
    <w:p>
      <w:pPr>
        <w:pStyle w:val="15"/>
        <w:ind w:firstLine="0"/>
        <w:rPr>
          <w:rFonts w:hint="eastAsia" w:ascii="宋体" w:hAnsi="宋体" w:eastAsia="宋体" w:cs="宋体"/>
          <w:sz w:val="24"/>
          <w:szCs w:val="24"/>
        </w:rPr>
      </w:pPr>
    </w:p>
    <w:p>
      <w:pPr>
        <w:adjustRightInd w:val="0"/>
        <w:snapToGrid w:val="0"/>
        <w:spacing w:line="600" w:lineRule="exact"/>
        <w:jc w:val="center"/>
        <w:outlineLvl w:val="9"/>
        <w:rPr>
          <w:rFonts w:hint="eastAsia" w:ascii="宋体" w:hAnsi="宋体" w:eastAsia="宋体" w:cs="宋体"/>
          <w:sz w:val="24"/>
          <w:szCs w:val="24"/>
        </w:rPr>
      </w:pPr>
      <w:bookmarkStart w:id="68" w:name="_Toc12780"/>
    </w:p>
    <w:p>
      <w:pPr>
        <w:adjustRightInd w:val="0"/>
        <w:snapToGrid w:val="0"/>
        <w:spacing w:line="600" w:lineRule="exact"/>
        <w:jc w:val="center"/>
        <w:outlineLvl w:val="9"/>
        <w:rPr>
          <w:rFonts w:hint="eastAsia" w:ascii="宋体" w:hAnsi="宋体" w:eastAsia="宋体" w:cs="宋体"/>
          <w:sz w:val="24"/>
          <w:szCs w:val="24"/>
        </w:rPr>
      </w:pPr>
    </w:p>
    <w:p>
      <w:pPr>
        <w:adjustRightInd w:val="0"/>
        <w:snapToGrid w:val="0"/>
        <w:spacing w:line="600" w:lineRule="exact"/>
        <w:jc w:val="center"/>
        <w:outlineLvl w:val="9"/>
        <w:rPr>
          <w:rFonts w:hint="eastAsia" w:ascii="宋体" w:hAnsi="宋体" w:eastAsia="宋体" w:cs="宋体"/>
          <w:sz w:val="24"/>
          <w:szCs w:val="24"/>
        </w:rPr>
      </w:pPr>
    </w:p>
    <w:p>
      <w:pPr>
        <w:adjustRightInd w:val="0"/>
        <w:snapToGrid w:val="0"/>
        <w:spacing w:line="600" w:lineRule="exact"/>
        <w:jc w:val="center"/>
        <w:outlineLvl w:val="9"/>
        <w:rPr>
          <w:rFonts w:hint="eastAsia" w:ascii="宋体" w:hAnsi="宋体" w:eastAsia="宋体" w:cs="宋体"/>
          <w:sz w:val="24"/>
          <w:szCs w:val="24"/>
        </w:rPr>
      </w:pPr>
    </w:p>
    <w:p>
      <w:pPr>
        <w:adjustRightInd w:val="0"/>
        <w:snapToGrid w:val="0"/>
        <w:spacing w:line="600" w:lineRule="exact"/>
        <w:jc w:val="center"/>
        <w:outlineLvl w:val="9"/>
        <w:rPr>
          <w:rFonts w:hint="eastAsia" w:ascii="宋体" w:hAnsi="宋体" w:eastAsia="宋体" w:cs="宋体"/>
          <w:sz w:val="24"/>
          <w:szCs w:val="24"/>
        </w:rPr>
      </w:pPr>
    </w:p>
    <w:p>
      <w:pPr>
        <w:adjustRightInd w:val="0"/>
        <w:snapToGrid w:val="0"/>
        <w:spacing w:line="600" w:lineRule="exact"/>
        <w:jc w:val="center"/>
        <w:outlineLvl w:val="0"/>
        <w:rPr>
          <w:rFonts w:hint="eastAsia" w:ascii="宋体" w:hAnsi="宋体" w:eastAsia="宋体" w:cs="宋体"/>
          <w:sz w:val="24"/>
          <w:szCs w:val="24"/>
        </w:rPr>
      </w:pPr>
      <w:bookmarkStart w:id="69" w:name="_Toc11175"/>
      <w:r>
        <w:rPr>
          <w:rFonts w:hint="eastAsia" w:ascii="宋体" w:hAnsi="宋体" w:eastAsia="宋体" w:cs="宋体"/>
          <w:sz w:val="24"/>
          <w:szCs w:val="24"/>
        </w:rPr>
        <w:t>目  录</w:t>
      </w:r>
      <w:bookmarkEnd w:id="68"/>
      <w:bookmarkEnd w:id="69"/>
    </w:p>
    <w:p>
      <w:pPr>
        <w:adjustRightInd w:val="0"/>
        <w:snapToGrid w:val="0"/>
        <w:spacing w:line="600" w:lineRule="exact"/>
        <w:jc w:val="both"/>
        <w:rPr>
          <w:rFonts w:hint="eastAsia" w:ascii="宋体" w:hAnsi="宋体" w:eastAsia="宋体" w:cs="宋体"/>
          <w:sz w:val="24"/>
          <w:szCs w:val="24"/>
        </w:rPr>
      </w:pPr>
    </w:p>
    <w:p>
      <w:pPr>
        <w:adjustRightInd w:val="0"/>
        <w:snapToGrid w:val="0"/>
        <w:spacing w:line="600" w:lineRule="exact"/>
        <w:jc w:val="both"/>
        <w:outlineLvl w:val="0"/>
        <w:rPr>
          <w:rFonts w:hint="eastAsia" w:ascii="宋体" w:hAnsi="宋体" w:eastAsia="宋体" w:cs="宋体"/>
          <w:sz w:val="24"/>
          <w:szCs w:val="24"/>
        </w:rPr>
      </w:pPr>
      <w:bookmarkStart w:id="70" w:name="_Toc15730"/>
      <w:bookmarkStart w:id="71" w:name="_Toc11455"/>
      <w:r>
        <w:rPr>
          <w:rFonts w:hint="eastAsia" w:ascii="宋体" w:hAnsi="宋体" w:eastAsia="宋体" w:cs="宋体"/>
          <w:sz w:val="24"/>
          <w:szCs w:val="24"/>
        </w:rPr>
        <w:t>一、响应函</w:t>
      </w:r>
      <w:bookmarkEnd w:id="70"/>
      <w:bookmarkEnd w:id="71"/>
    </w:p>
    <w:p>
      <w:pPr>
        <w:adjustRightInd w:val="0"/>
        <w:snapToGrid w:val="0"/>
        <w:spacing w:line="600" w:lineRule="exact"/>
        <w:jc w:val="both"/>
        <w:outlineLvl w:val="0"/>
        <w:rPr>
          <w:rFonts w:hint="eastAsia" w:ascii="宋体" w:hAnsi="宋体" w:eastAsia="宋体" w:cs="宋体"/>
          <w:sz w:val="24"/>
          <w:szCs w:val="24"/>
        </w:rPr>
      </w:pPr>
      <w:bookmarkStart w:id="72" w:name="_Toc24943"/>
      <w:bookmarkStart w:id="73" w:name="_Toc22217"/>
      <w:r>
        <w:rPr>
          <w:rFonts w:hint="eastAsia" w:ascii="宋体" w:hAnsi="宋体" w:eastAsia="宋体" w:cs="宋体"/>
          <w:sz w:val="24"/>
          <w:szCs w:val="24"/>
        </w:rPr>
        <w:t>二、授权委托书(适用于有委托代理人的情况)</w:t>
      </w:r>
      <w:bookmarkEnd w:id="72"/>
      <w:bookmarkEnd w:id="73"/>
    </w:p>
    <w:p>
      <w:pPr>
        <w:spacing w:line="600" w:lineRule="exact"/>
        <w:jc w:val="both"/>
        <w:outlineLvl w:val="0"/>
        <w:rPr>
          <w:rFonts w:hint="eastAsia" w:ascii="宋体" w:hAnsi="宋体" w:eastAsia="宋体" w:cs="宋体"/>
          <w:sz w:val="24"/>
          <w:szCs w:val="24"/>
        </w:rPr>
      </w:pPr>
      <w:bookmarkStart w:id="74" w:name="_Toc14971"/>
      <w:bookmarkStart w:id="75" w:name="_Toc1639"/>
      <w:r>
        <w:rPr>
          <w:rFonts w:hint="eastAsia" w:ascii="宋体" w:hAnsi="宋体" w:eastAsia="宋体" w:cs="宋体"/>
          <w:sz w:val="24"/>
          <w:szCs w:val="24"/>
        </w:rPr>
        <w:t>三、商务与技术偏差表</w:t>
      </w:r>
      <w:bookmarkEnd w:id="74"/>
      <w:bookmarkEnd w:id="75"/>
    </w:p>
    <w:p>
      <w:pPr>
        <w:adjustRightInd w:val="0"/>
        <w:snapToGrid w:val="0"/>
        <w:spacing w:line="600" w:lineRule="exact"/>
        <w:jc w:val="both"/>
        <w:outlineLvl w:val="0"/>
        <w:rPr>
          <w:rFonts w:hint="eastAsia" w:ascii="宋体" w:hAnsi="宋体" w:eastAsia="宋体" w:cs="宋体"/>
          <w:sz w:val="24"/>
          <w:szCs w:val="24"/>
        </w:rPr>
      </w:pPr>
      <w:bookmarkStart w:id="76" w:name="_Toc22074"/>
      <w:bookmarkStart w:id="77" w:name="_Toc3405"/>
      <w:r>
        <w:rPr>
          <w:rFonts w:hint="eastAsia" w:ascii="宋体" w:hAnsi="宋体" w:eastAsia="宋体" w:cs="宋体"/>
          <w:sz w:val="24"/>
          <w:szCs w:val="24"/>
        </w:rPr>
        <w:t>四、报价表</w:t>
      </w:r>
      <w:bookmarkEnd w:id="76"/>
      <w:bookmarkEnd w:id="77"/>
    </w:p>
    <w:p>
      <w:pPr>
        <w:adjustRightInd w:val="0"/>
        <w:snapToGrid w:val="0"/>
        <w:spacing w:line="600" w:lineRule="exact"/>
        <w:jc w:val="both"/>
        <w:outlineLvl w:val="0"/>
        <w:rPr>
          <w:rFonts w:hint="eastAsia" w:ascii="宋体" w:hAnsi="宋体" w:eastAsia="宋体" w:cs="宋体"/>
          <w:sz w:val="24"/>
          <w:szCs w:val="24"/>
        </w:rPr>
      </w:pPr>
      <w:bookmarkStart w:id="78" w:name="_Toc6796"/>
      <w:bookmarkStart w:id="79" w:name="_Toc27785"/>
      <w:r>
        <w:rPr>
          <w:rFonts w:hint="eastAsia" w:ascii="宋体" w:hAnsi="宋体" w:eastAsia="宋体" w:cs="宋体"/>
          <w:sz w:val="24"/>
          <w:szCs w:val="24"/>
        </w:rPr>
        <w:t>五、资格审查资料</w:t>
      </w:r>
      <w:bookmarkEnd w:id="78"/>
      <w:bookmarkEnd w:id="79"/>
    </w:p>
    <w:p>
      <w:pPr>
        <w:adjustRightInd w:val="0"/>
        <w:snapToGrid w:val="0"/>
        <w:spacing w:line="600" w:lineRule="exact"/>
        <w:jc w:val="both"/>
        <w:outlineLvl w:val="0"/>
        <w:rPr>
          <w:rFonts w:hint="eastAsia" w:ascii="宋体" w:hAnsi="宋体" w:eastAsia="宋体" w:cs="宋体"/>
          <w:sz w:val="24"/>
          <w:szCs w:val="24"/>
        </w:rPr>
      </w:pPr>
      <w:bookmarkStart w:id="80" w:name="_Toc4714"/>
      <w:bookmarkStart w:id="81" w:name="_Toc9064"/>
      <w:r>
        <w:rPr>
          <w:rFonts w:hint="eastAsia" w:ascii="宋体" w:hAnsi="宋体" w:eastAsia="宋体" w:cs="宋体"/>
          <w:sz w:val="24"/>
          <w:szCs w:val="24"/>
        </w:rPr>
        <w:t>六、响应方案</w:t>
      </w:r>
      <w:bookmarkEnd w:id="80"/>
      <w:bookmarkEnd w:id="81"/>
    </w:p>
    <w:p>
      <w:pPr>
        <w:adjustRightInd w:val="0"/>
        <w:snapToGrid w:val="0"/>
        <w:spacing w:line="600" w:lineRule="exact"/>
        <w:jc w:val="both"/>
        <w:outlineLvl w:val="0"/>
        <w:rPr>
          <w:rFonts w:hint="eastAsia" w:ascii="宋体" w:hAnsi="宋体" w:eastAsia="宋体" w:cs="宋体"/>
          <w:sz w:val="24"/>
          <w:szCs w:val="24"/>
        </w:rPr>
      </w:pPr>
      <w:bookmarkStart w:id="82" w:name="_Toc13831"/>
      <w:bookmarkStart w:id="83" w:name="_Toc29630"/>
      <w:r>
        <w:rPr>
          <w:rFonts w:hint="eastAsia" w:ascii="宋体" w:hAnsi="宋体" w:eastAsia="宋体" w:cs="宋体"/>
          <w:sz w:val="24"/>
          <w:szCs w:val="24"/>
        </w:rPr>
        <w:t>七、其他资料</w:t>
      </w:r>
      <w:bookmarkEnd w:id="82"/>
      <w:bookmarkEnd w:id="83"/>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br w:type="page"/>
      </w:r>
    </w:p>
    <w:p>
      <w:pPr>
        <w:numPr>
          <w:ilvl w:val="0"/>
          <w:numId w:val="2"/>
        </w:numPr>
        <w:adjustRightInd w:val="0"/>
        <w:snapToGrid w:val="0"/>
        <w:spacing w:line="600" w:lineRule="exact"/>
        <w:jc w:val="center"/>
        <w:outlineLvl w:val="0"/>
        <w:rPr>
          <w:rFonts w:hint="eastAsia" w:ascii="宋体" w:hAnsi="宋体" w:eastAsia="宋体" w:cs="宋体"/>
          <w:sz w:val="24"/>
          <w:szCs w:val="24"/>
        </w:rPr>
      </w:pPr>
      <w:bookmarkStart w:id="84" w:name="_Toc3054"/>
      <w:bookmarkStart w:id="85" w:name="_Toc23650"/>
      <w:r>
        <w:rPr>
          <w:rFonts w:hint="eastAsia" w:ascii="宋体" w:hAnsi="宋体" w:eastAsia="宋体" w:cs="宋体"/>
          <w:sz w:val="24"/>
          <w:szCs w:val="24"/>
        </w:rPr>
        <w:t>响应函</w:t>
      </w:r>
      <w:bookmarkEnd w:id="84"/>
      <w:bookmarkEnd w:id="85"/>
    </w:p>
    <w:p>
      <w:pPr>
        <w:adjustRightInd w:val="0"/>
        <w:snapToGrid w:val="0"/>
        <w:spacing w:line="600" w:lineRule="exact"/>
        <w:jc w:val="both"/>
        <w:rPr>
          <w:rFonts w:hint="eastAsia" w:ascii="宋体" w:hAnsi="宋体" w:eastAsia="宋体" w:cs="宋体"/>
          <w:sz w:val="24"/>
          <w:szCs w:val="24"/>
        </w:rPr>
      </w:pP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(采购人名称):</w:t>
      </w:r>
    </w:p>
    <w:p>
      <w:pPr>
        <w:autoSpaceDE w:val="0"/>
        <w:spacing w:line="400" w:lineRule="exact"/>
        <w:jc w:val="both"/>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__                     </w:t>
      </w:r>
      <w:r>
        <w:rPr>
          <w:rFonts w:hint="eastAsia" w:ascii="宋体" w:hAnsi="宋体" w:eastAsia="宋体" w:cs="宋体"/>
          <w:sz w:val="24"/>
          <w:szCs w:val="24"/>
        </w:rPr>
        <w:t>(项目名称)采购文件的全部内容，愿意以含税价人民币(大写)(￥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)的报价（其中：不含税价为:</w:t>
      </w:r>
      <w:r>
        <w:rPr>
          <w:rFonts w:hint="eastAsia" w:ascii="宋体" w:hAnsi="宋体" w:eastAsia="宋体" w:cs="宋体"/>
          <w:sz w:val="24"/>
          <w:szCs w:val="24"/>
          <w:u w:val="single"/>
        </w:rPr>
        <w:t xml:space="preserve">       </w:t>
      </w:r>
      <w:r>
        <w:rPr>
          <w:rFonts w:hint="eastAsia" w:ascii="宋体" w:hAnsi="宋体" w:eastAsia="宋体" w:cs="宋体"/>
          <w:sz w:val="24"/>
          <w:szCs w:val="24"/>
        </w:rPr>
        <w:t>;增值税税率为:</w:t>
      </w:r>
      <w:r>
        <w:rPr>
          <w:rFonts w:hint="eastAsia" w:ascii="宋体" w:hAnsi="宋体" w:eastAsia="宋体" w:cs="宋体"/>
          <w:sz w:val="24"/>
          <w:szCs w:val="24"/>
          <w:u w:val="single"/>
        </w:rPr>
        <w:t xml:space="preserve">            </w:t>
      </w:r>
      <w:r>
        <w:rPr>
          <w:rFonts w:hint="eastAsia" w:ascii="宋体" w:hAnsi="宋体" w:eastAsia="宋体" w:cs="宋体"/>
          <w:sz w:val="24"/>
          <w:szCs w:val="24"/>
        </w:rPr>
        <w:t>)完成/提供本项目/服务，并按合同约定履行义务。施工期限为：合同签订，进场开工后2</w:t>
      </w:r>
      <w:r>
        <w:rPr>
          <w:rFonts w:hint="eastAsia" w:ascii="宋体" w:hAnsi="宋体" w:eastAsia="宋体" w:cs="宋体"/>
          <w:sz w:val="24"/>
          <w:szCs w:val="24"/>
          <w:lang w:val="en-US" w:eastAsia="zh-CN"/>
        </w:rPr>
        <w:t>5</w:t>
      </w:r>
      <w:r>
        <w:rPr>
          <w:rFonts w:hint="eastAsia" w:ascii="宋体" w:hAnsi="宋体" w:eastAsia="宋体" w:cs="宋体"/>
          <w:sz w:val="24"/>
          <w:szCs w:val="24"/>
        </w:rPr>
        <w:t>个日历日  ，响应有效期为：90天。</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2.我方的响应文件包括下列内容:</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(1)响应函;</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(2)授权委托书(如有);</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(3)商务和技术偏差表;</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(4)报价表;</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(5)资格审查资料;</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(6)响应方案;</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响应文件的上述组成部分如存在内容不-致的，以响应函为准。</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3.我方承诺除商务和技术偏差表列出的偏差外，我方响应采购文件的全部要求。</w:t>
      </w:r>
    </w:p>
    <w:p>
      <w:pPr>
        <w:numPr>
          <w:ilvl w:val="0"/>
          <w:numId w:val="3"/>
        </w:num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我方承诺在采购文件规定的响应文件有效期内不撤销响应文件。</w:t>
      </w:r>
    </w:p>
    <w:p>
      <w:pPr>
        <w:numPr>
          <w:ilvl w:val="0"/>
          <w:numId w:val="3"/>
        </w:num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如我方成交，我方承诺:</w:t>
      </w:r>
    </w:p>
    <w:p>
      <w:pPr>
        <w:tabs>
          <w:tab w:val="left" w:pos="312"/>
        </w:tabs>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(1)在收到成交通知书后，在成交通知书规定的期限内与你方签订合同;</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(3)按照采购文件要求递交履约保证金;</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(4)在合同约定的期限内完成合同规定的全部义务。</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6.我方在此声明，所递交的响应文件及有关资料内容完整、真实和准确，且不存在第一章“采购公告”中规定的供应商不得存在的情形。</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7.(其他补充说明)。</w:t>
      </w:r>
    </w:p>
    <w:p>
      <w:pPr>
        <w:adjustRightInd w:val="0"/>
        <w:snapToGrid w:val="0"/>
        <w:spacing w:line="600" w:lineRule="exact"/>
        <w:jc w:val="both"/>
        <w:rPr>
          <w:rFonts w:hint="eastAsia" w:ascii="宋体" w:hAnsi="宋体" w:eastAsia="宋体" w:cs="宋体"/>
          <w:sz w:val="24"/>
          <w:szCs w:val="24"/>
        </w:rPr>
      </w:pP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供应商:________________________(盖单位章)</w:t>
      </w:r>
    </w:p>
    <w:p>
      <w:pPr>
        <w:adjustRightInd w:val="0"/>
        <w:snapToGrid w:val="0"/>
        <w:spacing w:line="600" w:lineRule="exact"/>
        <w:jc w:val="both"/>
        <w:rPr>
          <w:rFonts w:hint="eastAsia" w:ascii="宋体" w:hAnsi="宋体" w:eastAsia="宋体" w:cs="宋体"/>
          <w:sz w:val="24"/>
          <w:szCs w:val="24"/>
        </w:rPr>
      </w:pPr>
      <w:r>
        <w:rPr>
          <w:rFonts w:hint="eastAsia" w:ascii="宋体" w:hAnsi="宋体" w:eastAsia="宋体" w:cs="宋体"/>
          <w:sz w:val="24"/>
          <w:szCs w:val="24"/>
        </w:rPr>
        <w:t xml:space="preserve">法定代表人(单位负责人)或其授权的代理人:(签字) </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地址:____________________________________________</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电子邮箱：_______________________________________</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电话：____________________________________________</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传真：____________________________________________</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邮政编码：_______________________________________</w:t>
      </w:r>
    </w:p>
    <w:p>
      <w:pPr>
        <w:spacing w:line="600" w:lineRule="exact"/>
        <w:jc w:val="both"/>
        <w:rPr>
          <w:rFonts w:hint="eastAsia" w:ascii="宋体" w:hAnsi="宋体" w:eastAsia="宋体" w:cs="宋体"/>
          <w:sz w:val="24"/>
          <w:szCs w:val="24"/>
        </w:rPr>
      </w:pPr>
    </w:p>
    <w:p>
      <w:pPr>
        <w:spacing w:line="600" w:lineRule="exact"/>
        <w:jc w:val="right"/>
        <w:rPr>
          <w:rFonts w:hint="eastAsia" w:ascii="宋体" w:hAnsi="宋体" w:eastAsia="宋体" w:cs="宋体"/>
          <w:sz w:val="24"/>
          <w:szCs w:val="24"/>
        </w:rPr>
      </w:pPr>
      <w:r>
        <w:rPr>
          <w:rFonts w:hint="eastAsia" w:ascii="宋体" w:hAnsi="宋体" w:eastAsia="宋体" w:cs="宋体"/>
          <w:sz w:val="24"/>
          <w:szCs w:val="24"/>
        </w:rPr>
        <w:t>年   月   日</w:t>
      </w:r>
    </w:p>
    <w:p>
      <w:pPr>
        <w:spacing w:line="240" w:lineRule="auto"/>
        <w:jc w:val="both"/>
        <w:rPr>
          <w:rFonts w:hint="eastAsia" w:ascii="宋体" w:hAnsi="宋体" w:eastAsia="宋体" w:cs="宋体"/>
          <w:sz w:val="24"/>
          <w:szCs w:val="24"/>
        </w:rPr>
      </w:pPr>
      <w:r>
        <w:rPr>
          <w:rFonts w:hint="eastAsia" w:ascii="宋体" w:hAnsi="宋体" w:eastAsia="宋体" w:cs="宋体"/>
          <w:sz w:val="24"/>
          <w:szCs w:val="24"/>
        </w:rPr>
        <w:br w:type="page"/>
      </w:r>
    </w:p>
    <w:p>
      <w:pPr>
        <w:spacing w:line="400" w:lineRule="exact"/>
        <w:jc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rPr>
        <w:t>附：守法诚信承诺书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××公司：</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为维护社会的公平正义，我司郑重承诺，与贵公司不存在有可能影响采购公正的利害关系。</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1、我司已仔细阅读《××单位××文件》（编号××）（以下简称采购文件），包括采购文件的澄清或修改说明，完全支持并响应，不存在误解或不明。</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2、遵纪守法，不触底线，公平公正参与竞争。我司提供的《响应文件》及其资料真实合法有效。 </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3、响应期间没有因质量或服务问题被采购人或采购人上级机构通报且在整改期内。</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4、响应单位法定代表人为同一个人或者存在控股关系，管理关系的不同单位，没有在本项目中同时报价。</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5、无联合体另外报价。</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6、单位、法定代表人（单位负责人）、委托代理人（授权代表）无暂停或取消投标资格、骗取中标、行贿等不良记录以及其他违法犯罪记录；无围标串标、恶意投诉、买卖资质等违法违规行为。</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7、诚实守信，优质高效履行合同。一旦中选，我司将严格遵守采购文件的约定，不附加条件,及时商谈、签约、履约。</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8、自我管理，知行合一，主动承担社会责任。坚持“五大发展理念”，始终为用户着想，维护同业形象，自觉接受监管，维护和谐稳定。</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专此承诺。</w:t>
      </w:r>
    </w:p>
    <w:p>
      <w:pPr>
        <w:spacing w:line="360" w:lineRule="auto"/>
        <w:ind w:firstLine="2880" w:firstLineChars="1200"/>
        <w:jc w:val="both"/>
        <w:rPr>
          <w:rFonts w:hint="eastAsia" w:ascii="宋体" w:hAnsi="宋体" w:eastAsia="宋体" w:cs="宋体"/>
          <w:sz w:val="24"/>
          <w:szCs w:val="24"/>
        </w:rPr>
      </w:pPr>
      <w:r>
        <w:rPr>
          <w:rFonts w:hint="eastAsia" w:ascii="宋体" w:hAnsi="宋体" w:eastAsia="宋体" w:cs="宋体"/>
          <w:sz w:val="24"/>
          <w:szCs w:val="24"/>
        </w:rPr>
        <w:t xml:space="preserve">承诺单位（印刷体全称+单位公章）：        </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承诺单位法定代表人或其委托代理人（印刷体+签字）：</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600" w:lineRule="exact"/>
        <w:jc w:val="center"/>
        <w:outlineLvl w:val="0"/>
        <w:rPr>
          <w:rFonts w:hint="eastAsia" w:ascii="宋体" w:hAnsi="宋体" w:eastAsia="宋体" w:cs="宋体"/>
          <w:sz w:val="24"/>
          <w:szCs w:val="24"/>
        </w:rPr>
      </w:pPr>
      <w:r>
        <w:rPr>
          <w:rFonts w:hint="eastAsia" w:ascii="宋体" w:hAnsi="宋体" w:eastAsia="宋体" w:cs="宋体"/>
          <w:sz w:val="24"/>
          <w:szCs w:val="24"/>
        </w:rPr>
        <w:br w:type="page"/>
      </w:r>
      <w:bookmarkStart w:id="86" w:name="_Toc747"/>
      <w:bookmarkStart w:id="87" w:name="_Toc2549"/>
      <w:r>
        <w:rPr>
          <w:rFonts w:hint="eastAsia" w:ascii="宋体" w:hAnsi="宋体" w:eastAsia="宋体" w:cs="宋体"/>
          <w:sz w:val="24"/>
          <w:szCs w:val="24"/>
        </w:rPr>
        <w:t>二、授权委托书</w:t>
      </w:r>
      <w:bookmarkEnd w:id="86"/>
      <w:bookmarkEnd w:id="87"/>
    </w:p>
    <w:p>
      <w:pPr>
        <w:adjustRightInd w:val="0"/>
        <w:snapToGrid w:val="0"/>
        <w:spacing w:line="600" w:lineRule="exact"/>
        <w:ind w:left="420" w:leftChars="200"/>
        <w:jc w:val="both"/>
        <w:rPr>
          <w:rFonts w:hint="eastAsia" w:ascii="宋体" w:hAnsi="宋体" w:eastAsia="宋体" w:cs="宋体"/>
          <w:sz w:val="24"/>
          <w:szCs w:val="24"/>
        </w:rPr>
      </w:pPr>
    </w:p>
    <w:p>
      <w:pPr>
        <w:adjustRightInd w:val="0"/>
        <w:snapToGrid w:val="0"/>
        <w:spacing w:line="600" w:lineRule="exact"/>
        <w:ind w:left="420" w:leftChars="200"/>
        <w:jc w:val="both"/>
        <w:rPr>
          <w:rFonts w:hint="eastAsia" w:ascii="宋体" w:hAnsi="宋体" w:eastAsia="宋体" w:cs="宋体"/>
          <w:sz w:val="24"/>
          <w:szCs w:val="24"/>
        </w:rPr>
      </w:pPr>
      <w:r>
        <w:rPr>
          <w:rFonts w:hint="eastAsia" w:ascii="宋体" w:hAnsi="宋体" w:eastAsia="宋体" w:cs="宋体"/>
          <w:sz w:val="24"/>
          <w:szCs w:val="24"/>
        </w:rPr>
        <w:t>(适用于有委托代理人的情况)</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本人（姓名）系（供应商名称）的法定代表人(单位负责人)，现委托___(姓名)为我方代理人。代理人根据授权，以我方名义签署、澄清确认、递交、撤回、修改采购项目响应文件，签订合同和处理有关事宜，其法律后果由我方承担。</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委托期限:自本委托书签署之日起至</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采购项目签订采购合同之日止。</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代理人无转委托权。</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附:法定代表人(单位负责人)身份证复印件及委托代理人身份证复印件。</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供应商:(盖单位章)</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法定代表人(单位负责人):(签字)</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身份证号码:</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委托代理人:(签字)</w:t>
      </w:r>
    </w:p>
    <w:p>
      <w:pPr>
        <w:adjustRightInd w:val="0"/>
        <w:snapToGrid w:val="0"/>
        <w:spacing w:line="600" w:lineRule="exact"/>
        <w:ind w:left="420" w:leftChars="200" w:firstLine="480" w:firstLineChars="200"/>
        <w:jc w:val="both"/>
        <w:rPr>
          <w:rFonts w:hint="eastAsia" w:ascii="宋体" w:hAnsi="宋体" w:eastAsia="宋体" w:cs="宋体"/>
          <w:sz w:val="24"/>
          <w:szCs w:val="24"/>
        </w:rPr>
      </w:pPr>
      <w:r>
        <w:rPr>
          <w:rFonts w:hint="eastAsia" w:ascii="宋体" w:hAnsi="宋体" w:eastAsia="宋体" w:cs="宋体"/>
          <w:sz w:val="24"/>
          <w:szCs w:val="24"/>
        </w:rPr>
        <w:t>身份证号码:</w:t>
      </w:r>
    </w:p>
    <w:p>
      <w:pPr>
        <w:adjustRightInd w:val="0"/>
        <w:snapToGrid w:val="0"/>
        <w:spacing w:line="600" w:lineRule="exact"/>
        <w:ind w:left="420" w:leftChars="200" w:firstLine="480" w:firstLineChars="200"/>
        <w:jc w:val="right"/>
        <w:rPr>
          <w:rFonts w:hint="eastAsia" w:ascii="宋体" w:hAnsi="宋体" w:eastAsia="宋体" w:cs="宋体"/>
          <w:sz w:val="24"/>
          <w:szCs w:val="24"/>
        </w:rPr>
      </w:pPr>
      <w:r>
        <w:rPr>
          <w:rFonts w:hint="eastAsia" w:ascii="宋体" w:hAnsi="宋体" w:eastAsia="宋体" w:cs="宋体"/>
          <w:sz w:val="24"/>
          <w:szCs w:val="24"/>
        </w:rPr>
        <w:t>年   月   日</w:t>
      </w:r>
    </w:p>
    <w:p>
      <w:pPr>
        <w:jc w:val="both"/>
        <w:rPr>
          <w:rFonts w:hint="eastAsia" w:ascii="宋体" w:hAnsi="宋体" w:eastAsia="宋体" w:cs="宋体"/>
          <w:sz w:val="24"/>
          <w:szCs w:val="24"/>
        </w:rPr>
      </w:pPr>
      <w:r>
        <w:rPr>
          <w:rFonts w:hint="eastAsia" w:ascii="宋体" w:hAnsi="宋体" w:eastAsia="宋体" w:cs="宋体"/>
          <w:sz w:val="24"/>
          <w:szCs w:val="24"/>
        </w:rPr>
        <w:br w:type="page"/>
      </w:r>
    </w:p>
    <w:p>
      <w:pPr>
        <w:spacing w:line="600" w:lineRule="exact"/>
        <w:jc w:val="center"/>
        <w:outlineLvl w:val="0"/>
        <w:rPr>
          <w:rFonts w:hint="eastAsia" w:ascii="宋体" w:hAnsi="宋体" w:eastAsia="宋体" w:cs="宋体"/>
          <w:sz w:val="24"/>
          <w:szCs w:val="24"/>
        </w:rPr>
      </w:pPr>
      <w:bookmarkStart w:id="88" w:name="_Toc21897"/>
      <w:bookmarkStart w:id="89" w:name="_Toc6895"/>
      <w:r>
        <w:rPr>
          <w:rFonts w:hint="eastAsia" w:ascii="宋体" w:hAnsi="宋体" w:eastAsia="宋体" w:cs="宋体"/>
          <w:sz w:val="24"/>
          <w:szCs w:val="24"/>
        </w:rPr>
        <w:t>三、商务和技术偏差表</w:t>
      </w:r>
      <w:bookmarkEnd w:id="88"/>
      <w:bookmarkEnd w:id="89"/>
    </w:p>
    <w:p>
      <w:pPr>
        <w:spacing w:line="600" w:lineRule="exact"/>
        <w:jc w:val="center"/>
        <w:rPr>
          <w:rFonts w:hint="eastAsia" w:ascii="宋体" w:hAnsi="宋体" w:eastAsia="宋体" w:cs="宋体"/>
          <w:sz w:val="24"/>
          <w:szCs w:val="24"/>
        </w:rPr>
      </w:pPr>
    </w:p>
    <w:tbl>
      <w:tblPr>
        <w:tblStyle w:val="18"/>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809"/>
        <w:gridCol w:w="265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58" w:type="dxa"/>
            <w:vAlign w:val="center"/>
          </w:tcPr>
          <w:p>
            <w:pPr>
              <w:widowControl/>
              <w:spacing w:line="6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09" w:type="dxa"/>
            <w:vAlign w:val="center"/>
          </w:tcPr>
          <w:p>
            <w:pPr>
              <w:widowControl/>
              <w:spacing w:line="600" w:lineRule="exact"/>
              <w:jc w:val="center"/>
              <w:rPr>
                <w:rFonts w:hint="eastAsia" w:ascii="宋体" w:hAnsi="宋体" w:eastAsia="宋体" w:cs="宋体"/>
                <w:sz w:val="24"/>
                <w:szCs w:val="24"/>
              </w:rPr>
            </w:pPr>
            <w:r>
              <w:rPr>
                <w:rFonts w:hint="eastAsia" w:ascii="宋体" w:hAnsi="宋体" w:eastAsia="宋体" w:cs="宋体"/>
                <w:sz w:val="24"/>
                <w:szCs w:val="24"/>
              </w:rPr>
              <w:t>采购文件章节及条款号</w:t>
            </w:r>
          </w:p>
        </w:tc>
        <w:tc>
          <w:tcPr>
            <w:tcW w:w="2656" w:type="dxa"/>
            <w:vAlign w:val="center"/>
          </w:tcPr>
          <w:p>
            <w:pPr>
              <w:widowControl/>
              <w:spacing w:line="600" w:lineRule="exact"/>
              <w:jc w:val="center"/>
              <w:rPr>
                <w:rFonts w:hint="eastAsia" w:ascii="宋体" w:hAnsi="宋体" w:eastAsia="宋体" w:cs="宋体"/>
                <w:sz w:val="24"/>
                <w:szCs w:val="24"/>
              </w:rPr>
            </w:pPr>
            <w:r>
              <w:rPr>
                <w:rFonts w:hint="eastAsia" w:ascii="宋体" w:hAnsi="宋体" w:eastAsia="宋体" w:cs="宋体"/>
                <w:sz w:val="24"/>
                <w:szCs w:val="24"/>
              </w:rPr>
              <w:t>响应文件章节及条款号</w:t>
            </w:r>
          </w:p>
        </w:tc>
        <w:tc>
          <w:tcPr>
            <w:tcW w:w="2175" w:type="dxa"/>
            <w:vAlign w:val="center"/>
          </w:tcPr>
          <w:p>
            <w:pPr>
              <w:widowControl/>
              <w:spacing w:line="600" w:lineRule="exact"/>
              <w:jc w:val="center"/>
              <w:rPr>
                <w:rFonts w:hint="eastAsia" w:ascii="宋体" w:hAnsi="宋体" w:eastAsia="宋体" w:cs="宋体"/>
                <w:sz w:val="24"/>
                <w:szCs w:val="24"/>
              </w:rPr>
            </w:pPr>
            <w:r>
              <w:rPr>
                <w:rFonts w:hint="eastAsia" w:ascii="宋体" w:hAnsi="宋体" w:eastAsia="宋体" w:cs="宋体"/>
                <w:sz w:val="24"/>
                <w:szCs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宋体" w:hAnsi="宋体" w:eastAsia="宋体" w:cs="宋体"/>
                <w:sz w:val="24"/>
                <w:szCs w:val="24"/>
              </w:rPr>
            </w:pPr>
          </w:p>
        </w:tc>
        <w:tc>
          <w:tcPr>
            <w:tcW w:w="2809" w:type="dxa"/>
          </w:tcPr>
          <w:p>
            <w:pPr>
              <w:widowControl/>
              <w:spacing w:line="600" w:lineRule="exact"/>
              <w:jc w:val="both"/>
              <w:rPr>
                <w:rFonts w:hint="eastAsia" w:ascii="宋体" w:hAnsi="宋体" w:eastAsia="宋体" w:cs="宋体"/>
                <w:sz w:val="24"/>
                <w:szCs w:val="24"/>
              </w:rPr>
            </w:pPr>
          </w:p>
        </w:tc>
        <w:tc>
          <w:tcPr>
            <w:tcW w:w="2656" w:type="dxa"/>
          </w:tcPr>
          <w:p>
            <w:pPr>
              <w:widowControl/>
              <w:spacing w:line="600" w:lineRule="exact"/>
              <w:jc w:val="both"/>
              <w:rPr>
                <w:rFonts w:hint="eastAsia" w:ascii="宋体" w:hAnsi="宋体" w:eastAsia="宋体" w:cs="宋体"/>
                <w:sz w:val="24"/>
                <w:szCs w:val="24"/>
              </w:rPr>
            </w:pPr>
          </w:p>
        </w:tc>
        <w:tc>
          <w:tcPr>
            <w:tcW w:w="2175" w:type="dxa"/>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宋体" w:hAnsi="宋体" w:eastAsia="宋体" w:cs="宋体"/>
                <w:sz w:val="24"/>
                <w:szCs w:val="24"/>
              </w:rPr>
            </w:pPr>
          </w:p>
        </w:tc>
        <w:tc>
          <w:tcPr>
            <w:tcW w:w="2809" w:type="dxa"/>
          </w:tcPr>
          <w:p>
            <w:pPr>
              <w:widowControl/>
              <w:spacing w:line="600" w:lineRule="exact"/>
              <w:jc w:val="both"/>
              <w:rPr>
                <w:rFonts w:hint="eastAsia" w:ascii="宋体" w:hAnsi="宋体" w:eastAsia="宋体" w:cs="宋体"/>
                <w:sz w:val="24"/>
                <w:szCs w:val="24"/>
              </w:rPr>
            </w:pPr>
          </w:p>
        </w:tc>
        <w:tc>
          <w:tcPr>
            <w:tcW w:w="2656" w:type="dxa"/>
          </w:tcPr>
          <w:p>
            <w:pPr>
              <w:widowControl/>
              <w:spacing w:line="600" w:lineRule="exact"/>
              <w:jc w:val="both"/>
              <w:rPr>
                <w:rFonts w:hint="eastAsia" w:ascii="宋体" w:hAnsi="宋体" w:eastAsia="宋体" w:cs="宋体"/>
                <w:sz w:val="24"/>
                <w:szCs w:val="24"/>
              </w:rPr>
            </w:pPr>
          </w:p>
        </w:tc>
        <w:tc>
          <w:tcPr>
            <w:tcW w:w="2175" w:type="dxa"/>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058" w:type="dxa"/>
          </w:tcPr>
          <w:p>
            <w:pPr>
              <w:widowControl/>
              <w:spacing w:line="600" w:lineRule="exact"/>
              <w:jc w:val="both"/>
              <w:rPr>
                <w:rFonts w:hint="eastAsia" w:ascii="宋体" w:hAnsi="宋体" w:eastAsia="宋体" w:cs="宋体"/>
                <w:sz w:val="24"/>
                <w:szCs w:val="24"/>
              </w:rPr>
            </w:pPr>
          </w:p>
        </w:tc>
        <w:tc>
          <w:tcPr>
            <w:tcW w:w="2809" w:type="dxa"/>
          </w:tcPr>
          <w:p>
            <w:pPr>
              <w:widowControl/>
              <w:spacing w:line="600" w:lineRule="exact"/>
              <w:jc w:val="both"/>
              <w:rPr>
                <w:rFonts w:hint="eastAsia" w:ascii="宋体" w:hAnsi="宋体" w:eastAsia="宋体" w:cs="宋体"/>
                <w:sz w:val="24"/>
                <w:szCs w:val="24"/>
              </w:rPr>
            </w:pPr>
          </w:p>
        </w:tc>
        <w:tc>
          <w:tcPr>
            <w:tcW w:w="2656" w:type="dxa"/>
          </w:tcPr>
          <w:p>
            <w:pPr>
              <w:widowControl/>
              <w:spacing w:line="600" w:lineRule="exact"/>
              <w:jc w:val="both"/>
              <w:rPr>
                <w:rFonts w:hint="eastAsia" w:ascii="宋体" w:hAnsi="宋体" w:eastAsia="宋体" w:cs="宋体"/>
                <w:sz w:val="24"/>
                <w:szCs w:val="24"/>
              </w:rPr>
            </w:pPr>
          </w:p>
        </w:tc>
        <w:tc>
          <w:tcPr>
            <w:tcW w:w="2175" w:type="dxa"/>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58" w:type="dxa"/>
          </w:tcPr>
          <w:p>
            <w:pPr>
              <w:widowControl/>
              <w:spacing w:line="600" w:lineRule="exact"/>
              <w:jc w:val="both"/>
              <w:rPr>
                <w:rFonts w:hint="eastAsia" w:ascii="宋体" w:hAnsi="宋体" w:eastAsia="宋体" w:cs="宋体"/>
                <w:sz w:val="24"/>
                <w:szCs w:val="24"/>
              </w:rPr>
            </w:pPr>
          </w:p>
        </w:tc>
        <w:tc>
          <w:tcPr>
            <w:tcW w:w="2809" w:type="dxa"/>
          </w:tcPr>
          <w:p>
            <w:pPr>
              <w:widowControl/>
              <w:spacing w:line="600" w:lineRule="exact"/>
              <w:jc w:val="both"/>
              <w:rPr>
                <w:rFonts w:hint="eastAsia" w:ascii="宋体" w:hAnsi="宋体" w:eastAsia="宋体" w:cs="宋体"/>
                <w:sz w:val="24"/>
                <w:szCs w:val="24"/>
              </w:rPr>
            </w:pPr>
          </w:p>
        </w:tc>
        <w:tc>
          <w:tcPr>
            <w:tcW w:w="2656" w:type="dxa"/>
          </w:tcPr>
          <w:p>
            <w:pPr>
              <w:widowControl/>
              <w:spacing w:line="600" w:lineRule="exact"/>
              <w:jc w:val="both"/>
              <w:rPr>
                <w:rFonts w:hint="eastAsia" w:ascii="宋体" w:hAnsi="宋体" w:eastAsia="宋体" w:cs="宋体"/>
                <w:sz w:val="24"/>
                <w:szCs w:val="24"/>
              </w:rPr>
            </w:pPr>
          </w:p>
        </w:tc>
        <w:tc>
          <w:tcPr>
            <w:tcW w:w="2175" w:type="dxa"/>
          </w:tcPr>
          <w:p>
            <w:pPr>
              <w:widowControl/>
              <w:spacing w:line="600" w:lineRule="exact"/>
              <w:jc w:val="both"/>
              <w:rPr>
                <w:rFonts w:hint="eastAsia" w:ascii="宋体" w:hAnsi="宋体" w:eastAsia="宋体" w:cs="宋体"/>
                <w:sz w:val="24"/>
                <w:szCs w:val="24"/>
              </w:rPr>
            </w:pPr>
          </w:p>
        </w:tc>
      </w:tr>
    </w:tbl>
    <w:p>
      <w:pPr>
        <w:spacing w:line="600" w:lineRule="exact"/>
        <w:ind w:left="420" w:leftChars="200"/>
        <w:jc w:val="both"/>
        <w:rPr>
          <w:rFonts w:hint="eastAsia" w:ascii="宋体" w:hAnsi="宋体" w:eastAsia="宋体" w:cs="宋体"/>
          <w:sz w:val="24"/>
          <w:szCs w:val="24"/>
        </w:rPr>
      </w:pPr>
      <w:r>
        <w:rPr>
          <w:rFonts w:hint="eastAsia" w:ascii="宋体" w:hAnsi="宋体" w:eastAsia="宋体" w:cs="宋体"/>
          <w:sz w:val="24"/>
          <w:szCs w:val="24"/>
        </w:rPr>
        <w:t>供应商保证：除商务和技术偏差表列出的偏差外，供应商响应采购文件的全部要求。</w:t>
      </w:r>
    </w:p>
    <w:p>
      <w:pPr>
        <w:spacing w:line="240" w:lineRule="auto"/>
        <w:rPr>
          <w:rFonts w:hint="eastAsia" w:ascii="宋体" w:hAnsi="宋体" w:eastAsia="宋体" w:cs="宋体"/>
          <w:color w:val="FF0000"/>
          <w:sz w:val="24"/>
          <w:szCs w:val="24"/>
        </w:rPr>
      </w:pPr>
      <w:r>
        <w:rPr>
          <w:rFonts w:hint="eastAsia" w:ascii="宋体" w:hAnsi="宋体" w:eastAsia="宋体" w:cs="宋体"/>
          <w:sz w:val="24"/>
          <w:szCs w:val="24"/>
        </w:rPr>
        <w:br w:type="page"/>
      </w:r>
    </w:p>
    <w:p>
      <w:pPr>
        <w:spacing w:line="600" w:lineRule="exact"/>
        <w:ind w:left="420"/>
        <w:jc w:val="center"/>
        <w:outlineLvl w:val="0"/>
        <w:rPr>
          <w:rFonts w:hint="eastAsia" w:ascii="宋体" w:hAnsi="宋体" w:eastAsia="宋体" w:cs="宋体"/>
          <w:sz w:val="24"/>
          <w:szCs w:val="24"/>
        </w:rPr>
      </w:pPr>
      <w:bookmarkStart w:id="90" w:name="_Toc5506"/>
      <w:bookmarkStart w:id="91" w:name="_Toc26297"/>
      <w:r>
        <w:rPr>
          <w:rFonts w:hint="eastAsia" w:ascii="宋体" w:hAnsi="宋体" w:eastAsia="宋体" w:cs="宋体"/>
          <w:sz w:val="24"/>
          <w:szCs w:val="24"/>
        </w:rPr>
        <w:t>四、报价表</w:t>
      </w:r>
      <w:bookmarkEnd w:id="90"/>
      <w:bookmarkEnd w:id="91"/>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1.报价表说明</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2.报价表</w:t>
      </w:r>
    </w:p>
    <w:tbl>
      <w:tblPr>
        <w:tblStyle w:val="17"/>
        <w:tblW w:w="9821" w:type="dxa"/>
        <w:tblInd w:w="93" w:type="dxa"/>
        <w:tblLayout w:type="autofit"/>
        <w:tblCellMar>
          <w:top w:w="0" w:type="dxa"/>
          <w:left w:w="108" w:type="dxa"/>
          <w:bottom w:w="0" w:type="dxa"/>
          <w:right w:w="108" w:type="dxa"/>
        </w:tblCellMar>
      </w:tblPr>
      <w:tblGrid>
        <w:gridCol w:w="1080"/>
        <w:gridCol w:w="1034"/>
        <w:gridCol w:w="1080"/>
        <w:gridCol w:w="1080"/>
        <w:gridCol w:w="1034"/>
        <w:gridCol w:w="1080"/>
        <w:gridCol w:w="1080"/>
        <w:gridCol w:w="1034"/>
        <w:gridCol w:w="1319"/>
      </w:tblGrid>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计量单位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数量或金  额</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计量单位</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数量或金  额</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计量单位</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数量或金  额</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1、线路设备</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道口维修</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道口板</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块</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A、线路</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延长公里</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16.26</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3、年平均工资</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元/人年</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鱼尾板螺栓</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套</w:t>
            </w:r>
          </w:p>
        </w:tc>
        <w:tc>
          <w:tcPr>
            <w:tcW w:w="131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B、道岔</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45</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4、工资总额</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螺纹道钉</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颗</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C、桥换算延长</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米</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6、工会经费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13、线上料资金占用费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其中：钢梁桥</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米/座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7、培训费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14、线路维修料费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其它桥</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米/座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8、待业金</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15、道岔维修料费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涵  洞</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米/座</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9、统筹退休金</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16、桥涵维修料费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D、有人看守道口</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10、间接费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17、道口材料</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E、无人看守道口</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处</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11、管理费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18、房屋维修费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2、维修养护定员</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12、大宗线上料费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甲供</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19、钢轨探伤费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其中：工长</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枕木</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21、机械折旧费</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养路工</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岔枕</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22、保健津贴</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巡道工</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桥枕</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23、计划利润</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道口工</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尖轨</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24、4~23项小计</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r>
      <w:tr>
        <w:tblPrEx>
          <w:tblCellMar>
            <w:top w:w="0" w:type="dxa"/>
            <w:left w:w="108" w:type="dxa"/>
            <w:bottom w:w="0" w:type="dxa"/>
            <w:right w:w="108" w:type="dxa"/>
          </w:tblCellMar>
        </w:tblPrEx>
        <w:trPr>
          <w:trHeight w:val="93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桥梁工</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道岔心</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个</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25、代扣税金按实际结算总额</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%计算</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道岔</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人</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4.5</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石碴</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立米</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b/>
                <w:bCs/>
                <w:kern w:val="0"/>
                <w:sz w:val="24"/>
                <w:szCs w:val="24"/>
              </w:rPr>
            </w:pPr>
            <w:r>
              <w:rPr>
                <w:rFonts w:hint="eastAsia" w:ascii="宋体" w:hAnsi="宋体" w:eastAsia="宋体" w:cs="宋体"/>
                <w:b/>
                <w:bCs/>
                <w:kern w:val="0"/>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元</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val="en-US" w:eastAsia="zh-CN"/>
              </w:rPr>
            </w:pPr>
          </w:p>
        </w:tc>
      </w:tr>
    </w:tbl>
    <w:p>
      <w:pPr>
        <w:rPr>
          <w:rFonts w:hint="eastAsia" w:ascii="宋体" w:hAnsi="宋体" w:eastAsia="宋体" w:cs="宋体"/>
          <w:sz w:val="24"/>
          <w:szCs w:val="24"/>
        </w:rPr>
      </w:pPr>
      <w:r>
        <w:rPr>
          <w:rFonts w:hint="eastAsia" w:ascii="宋体" w:hAnsi="宋体" w:eastAsia="宋体" w:cs="宋体"/>
          <w:sz w:val="24"/>
          <w:szCs w:val="24"/>
        </w:rPr>
        <w:t>二、计费依据</w:t>
      </w:r>
    </w:p>
    <w:p>
      <w:pPr>
        <w:rPr>
          <w:rFonts w:hint="eastAsia" w:ascii="宋体" w:hAnsi="宋体" w:eastAsia="宋体" w:cs="宋体"/>
          <w:sz w:val="24"/>
          <w:szCs w:val="24"/>
        </w:rPr>
      </w:pPr>
      <w:r>
        <w:rPr>
          <w:rFonts w:hint="eastAsia" w:ascii="宋体" w:hAnsi="宋体" w:eastAsia="宋体" w:cs="宋体"/>
          <w:sz w:val="24"/>
          <w:szCs w:val="24"/>
        </w:rPr>
        <w:t>1、湖南省铁路专用线维修价格文件(湘商价[2010]87号)；</w:t>
      </w:r>
    </w:p>
    <w:p>
      <w:pPr>
        <w:rPr>
          <w:rFonts w:hint="eastAsia" w:ascii="宋体" w:hAnsi="宋体" w:eastAsia="宋体" w:cs="宋体"/>
          <w:sz w:val="24"/>
          <w:szCs w:val="24"/>
        </w:rPr>
      </w:pPr>
      <w:r>
        <w:rPr>
          <w:rFonts w:hint="eastAsia" w:ascii="宋体" w:hAnsi="宋体" w:eastAsia="宋体" w:cs="宋体"/>
          <w:sz w:val="24"/>
          <w:szCs w:val="24"/>
        </w:rPr>
        <w:t>2、岳阳市本地人工成本水平；</w:t>
      </w:r>
    </w:p>
    <w:p>
      <w:pPr>
        <w:numPr>
          <w:ilvl w:val="255"/>
          <w:numId w:val="0"/>
        </w:numPr>
        <w:adjustRightInd w:val="0"/>
        <w:snapToGrid w:val="0"/>
        <w:spacing w:line="312" w:lineRule="auto"/>
        <w:rPr>
          <w:rFonts w:hint="eastAsia" w:ascii="宋体" w:hAnsi="宋体" w:eastAsia="宋体" w:cs="宋体"/>
          <w:sz w:val="24"/>
          <w:szCs w:val="24"/>
        </w:rPr>
      </w:pPr>
      <w:r>
        <w:rPr>
          <w:rFonts w:hint="eastAsia" w:ascii="宋体" w:hAnsi="宋体" w:eastAsia="宋体" w:cs="宋体"/>
          <w:sz w:val="24"/>
          <w:szCs w:val="24"/>
        </w:rPr>
        <w:t>3、铁路线技术状态及使用情况；</w:t>
      </w:r>
    </w:p>
    <w:p>
      <w:pPr>
        <w:widowControl/>
        <w:autoSpaceDE w:val="0"/>
        <w:autoSpaceDN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注：以上单价为综合单价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已综合考虑完成施工内容所需的全部材料、人工、机械设备等，及其相关的管理费、利润、措施费、安全文明施工费、规费、税费等其他费用</w:t>
      </w:r>
      <w:r>
        <w:rPr>
          <w:rFonts w:hint="eastAsia" w:ascii="宋体" w:hAnsi="宋体" w:eastAsia="宋体" w:cs="宋体"/>
          <w:color w:val="FF0000"/>
          <w:kern w:val="0"/>
          <w:sz w:val="24"/>
          <w:szCs w:val="24"/>
        </w:rPr>
        <w:t>，最终报价按优惠价约定，不作调整。</w:t>
      </w:r>
      <w:r>
        <w:rPr>
          <w:rFonts w:hint="eastAsia" w:ascii="宋体" w:hAnsi="宋体" w:eastAsia="宋体" w:cs="宋体"/>
          <w:kern w:val="0"/>
          <w:sz w:val="24"/>
          <w:szCs w:val="24"/>
        </w:rPr>
        <w:t>每页加盖公章。</w:t>
      </w:r>
    </w:p>
    <w:p>
      <w:pPr>
        <w:pStyle w:val="2"/>
        <w:rPr>
          <w:rFonts w:hint="eastAsia" w:ascii="宋体" w:hAnsi="宋体" w:eastAsia="宋体" w:cs="宋体"/>
          <w:sz w:val="24"/>
          <w:szCs w:val="24"/>
        </w:rPr>
      </w:pPr>
    </w:p>
    <w:p>
      <w:pPr>
        <w:pStyle w:val="23"/>
        <w:rPr>
          <w:rFonts w:hint="eastAsia" w:ascii="宋体" w:hAnsi="宋体" w:eastAsia="宋体" w:cs="宋体"/>
          <w:sz w:val="24"/>
          <w:szCs w:val="24"/>
        </w:rPr>
      </w:pPr>
    </w:p>
    <w:p>
      <w:pPr>
        <w:pStyle w:val="23"/>
        <w:rPr>
          <w:rFonts w:hint="eastAsia" w:ascii="宋体" w:hAnsi="宋体" w:eastAsia="宋体" w:cs="宋体"/>
          <w:sz w:val="24"/>
          <w:szCs w:val="24"/>
        </w:rPr>
      </w:pPr>
    </w:p>
    <w:p>
      <w:pPr>
        <w:pStyle w:val="23"/>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outlineLvl w:val="9"/>
        <w:rPr>
          <w:rFonts w:hint="eastAsia" w:ascii="宋体" w:hAnsi="宋体" w:eastAsia="宋体" w:cs="宋体"/>
          <w:sz w:val="24"/>
          <w:szCs w:val="24"/>
        </w:rPr>
      </w:pPr>
      <w:bookmarkStart w:id="92" w:name="_Toc25545"/>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9"/>
        <w:rPr>
          <w:rFonts w:hint="eastAsia" w:ascii="宋体" w:hAnsi="宋体" w:eastAsia="宋体" w:cs="宋体"/>
          <w:sz w:val="24"/>
          <w:szCs w:val="24"/>
        </w:rPr>
      </w:pPr>
    </w:p>
    <w:p>
      <w:pPr>
        <w:jc w:val="center"/>
        <w:outlineLvl w:val="0"/>
        <w:rPr>
          <w:rFonts w:hint="eastAsia" w:ascii="宋体" w:hAnsi="宋体" w:eastAsia="宋体" w:cs="宋体"/>
          <w:sz w:val="24"/>
          <w:szCs w:val="24"/>
        </w:rPr>
      </w:pPr>
      <w:bookmarkStart w:id="93" w:name="_Toc21097"/>
      <w:r>
        <w:rPr>
          <w:rFonts w:hint="eastAsia" w:ascii="宋体" w:hAnsi="宋体" w:eastAsia="宋体" w:cs="宋体"/>
          <w:sz w:val="24"/>
          <w:szCs w:val="24"/>
        </w:rPr>
        <w:t>五、资格审查资料</w:t>
      </w:r>
      <w:bookmarkEnd w:id="92"/>
      <w:bookmarkEnd w:id="93"/>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（一）基本情况</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供应商应根据供应商须知前附表第3.5（1）项和第3.5（2）项的要求提供主体资格证明及相关资质证明资料。</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供应商还应根据供应商须知前地表第3.5（5）项、第3.5（7）项和第3.5（8）项的要求提供其他相关证明材料。</w:t>
      </w: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（三）近年的类似项目情况表</w:t>
      </w:r>
    </w:p>
    <w:tbl>
      <w:tblPr>
        <w:tblStyle w:val="18"/>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617"/>
        <w:gridCol w:w="1678"/>
        <w:gridCol w:w="171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项目名称</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服务内容</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委托人/发包人名称</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委托人/发包人联系人及电话</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合同价格</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服务是否完成</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项目负责人（如有）</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项目概况及供应商履约情况</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备注</w:t>
            </w:r>
          </w:p>
        </w:tc>
        <w:tc>
          <w:tcPr>
            <w:tcW w:w="1617" w:type="dxa"/>
          </w:tcPr>
          <w:p>
            <w:pPr>
              <w:widowControl/>
              <w:spacing w:line="288" w:lineRule="auto"/>
              <w:jc w:val="both"/>
              <w:rPr>
                <w:rFonts w:hint="eastAsia" w:ascii="宋体" w:hAnsi="宋体" w:eastAsia="宋体" w:cs="宋体"/>
                <w:sz w:val="24"/>
                <w:szCs w:val="24"/>
              </w:rPr>
            </w:pPr>
          </w:p>
        </w:tc>
        <w:tc>
          <w:tcPr>
            <w:tcW w:w="1678" w:type="dxa"/>
          </w:tcPr>
          <w:p>
            <w:pPr>
              <w:widowControl/>
              <w:spacing w:line="288" w:lineRule="auto"/>
              <w:jc w:val="both"/>
              <w:rPr>
                <w:rFonts w:hint="eastAsia" w:ascii="宋体" w:hAnsi="宋体" w:eastAsia="宋体" w:cs="宋体"/>
                <w:sz w:val="24"/>
                <w:szCs w:val="24"/>
              </w:rPr>
            </w:pPr>
          </w:p>
        </w:tc>
        <w:tc>
          <w:tcPr>
            <w:tcW w:w="1718" w:type="dxa"/>
          </w:tcPr>
          <w:p>
            <w:pPr>
              <w:widowControl/>
              <w:spacing w:line="288" w:lineRule="auto"/>
              <w:jc w:val="both"/>
              <w:rPr>
                <w:rFonts w:hint="eastAsia" w:ascii="宋体" w:hAnsi="宋体" w:eastAsia="宋体" w:cs="宋体"/>
                <w:sz w:val="24"/>
                <w:szCs w:val="24"/>
              </w:rPr>
            </w:pPr>
          </w:p>
        </w:tc>
        <w:tc>
          <w:tcPr>
            <w:tcW w:w="1691" w:type="dxa"/>
          </w:tcPr>
          <w:p>
            <w:pPr>
              <w:widowControl/>
              <w:spacing w:line="288" w:lineRule="auto"/>
              <w:jc w:val="both"/>
              <w:rPr>
                <w:rFonts w:hint="eastAsia" w:ascii="宋体" w:hAnsi="宋体" w:eastAsia="宋体" w:cs="宋体"/>
                <w:sz w:val="24"/>
                <w:szCs w:val="24"/>
              </w:rPr>
            </w:pPr>
          </w:p>
        </w:tc>
      </w:tr>
    </w:tbl>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注：供应商应根据供应商须知前附表第3.5（4）项的要求在本表后附相关证明材料。</w:t>
      </w:r>
    </w:p>
    <w:p>
      <w:pPr>
        <w:jc w:val="both"/>
        <w:rPr>
          <w:rFonts w:hint="eastAsia" w:ascii="宋体" w:hAnsi="宋体" w:eastAsia="宋体" w:cs="宋体"/>
          <w:sz w:val="24"/>
          <w:szCs w:val="24"/>
        </w:rPr>
      </w:pPr>
      <w:r>
        <w:rPr>
          <w:rFonts w:hint="eastAsia" w:ascii="宋体" w:hAnsi="宋体" w:eastAsia="宋体" w:cs="宋体"/>
          <w:sz w:val="24"/>
          <w:szCs w:val="24"/>
        </w:rPr>
        <w:br w:type="page"/>
      </w:r>
    </w:p>
    <w:p>
      <w:pPr>
        <w:numPr>
          <w:ilvl w:val="0"/>
          <w:numId w:val="4"/>
        </w:numPr>
        <w:spacing w:line="600" w:lineRule="exact"/>
        <w:jc w:val="both"/>
        <w:rPr>
          <w:rFonts w:hint="eastAsia" w:ascii="宋体" w:hAnsi="宋体" w:eastAsia="宋体" w:cs="宋体"/>
          <w:sz w:val="24"/>
          <w:szCs w:val="24"/>
        </w:rPr>
      </w:pPr>
      <w:r>
        <w:rPr>
          <w:rFonts w:hint="eastAsia" w:ascii="宋体" w:hAnsi="宋体" w:eastAsia="宋体" w:cs="宋体"/>
          <w:sz w:val="24"/>
          <w:szCs w:val="24"/>
        </w:rPr>
        <w:t>拟委任的主要人员汇总表</w:t>
      </w:r>
    </w:p>
    <w:tbl>
      <w:tblPr>
        <w:tblStyle w:val="18"/>
        <w:tblpPr w:leftFromText="180" w:rightFromText="180" w:vertAnchor="text" w:horzAnchor="page" w:tblpX="1267" w:tblpY="487"/>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552"/>
        <w:gridCol w:w="1095"/>
        <w:gridCol w:w="1095"/>
        <w:gridCol w:w="1095"/>
        <w:gridCol w:w="1095"/>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 w:type="dxa"/>
            <w:vMerge w:val="restart"/>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序号</w:t>
            </w:r>
          </w:p>
        </w:tc>
        <w:tc>
          <w:tcPr>
            <w:tcW w:w="1552" w:type="dxa"/>
            <w:vMerge w:val="restart"/>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本项目任职</w:t>
            </w:r>
          </w:p>
        </w:tc>
        <w:tc>
          <w:tcPr>
            <w:tcW w:w="1095" w:type="dxa"/>
            <w:vMerge w:val="restart"/>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姓名</w:t>
            </w:r>
          </w:p>
        </w:tc>
        <w:tc>
          <w:tcPr>
            <w:tcW w:w="1095" w:type="dxa"/>
            <w:vMerge w:val="restart"/>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职称</w:t>
            </w:r>
          </w:p>
        </w:tc>
        <w:tc>
          <w:tcPr>
            <w:tcW w:w="1095" w:type="dxa"/>
            <w:vMerge w:val="restart"/>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专业</w:t>
            </w:r>
          </w:p>
        </w:tc>
        <w:tc>
          <w:tcPr>
            <w:tcW w:w="3285" w:type="dxa"/>
            <w:gridSpan w:val="3"/>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执业或职业资格证明</w:t>
            </w:r>
          </w:p>
        </w:tc>
        <w:tc>
          <w:tcPr>
            <w:tcW w:w="1095"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vMerge w:val="continue"/>
          </w:tcPr>
          <w:p>
            <w:pPr>
              <w:widowControl/>
              <w:spacing w:line="288" w:lineRule="auto"/>
              <w:jc w:val="both"/>
              <w:rPr>
                <w:rFonts w:hint="eastAsia" w:ascii="宋体" w:hAnsi="宋体" w:eastAsia="宋体" w:cs="宋体"/>
                <w:sz w:val="24"/>
                <w:szCs w:val="24"/>
              </w:rPr>
            </w:pPr>
          </w:p>
        </w:tc>
        <w:tc>
          <w:tcPr>
            <w:tcW w:w="1552" w:type="dxa"/>
            <w:vMerge w:val="continue"/>
          </w:tcPr>
          <w:p>
            <w:pPr>
              <w:widowControl/>
              <w:spacing w:line="288" w:lineRule="auto"/>
              <w:jc w:val="both"/>
              <w:rPr>
                <w:rFonts w:hint="eastAsia" w:ascii="宋体" w:hAnsi="宋体" w:eastAsia="宋体" w:cs="宋体"/>
                <w:sz w:val="24"/>
                <w:szCs w:val="24"/>
              </w:rPr>
            </w:pPr>
          </w:p>
        </w:tc>
        <w:tc>
          <w:tcPr>
            <w:tcW w:w="1095" w:type="dxa"/>
            <w:vMerge w:val="continue"/>
          </w:tcPr>
          <w:p>
            <w:pPr>
              <w:widowControl/>
              <w:spacing w:line="288" w:lineRule="auto"/>
              <w:jc w:val="both"/>
              <w:rPr>
                <w:rFonts w:hint="eastAsia" w:ascii="宋体" w:hAnsi="宋体" w:eastAsia="宋体" w:cs="宋体"/>
                <w:sz w:val="24"/>
                <w:szCs w:val="24"/>
              </w:rPr>
            </w:pPr>
          </w:p>
        </w:tc>
        <w:tc>
          <w:tcPr>
            <w:tcW w:w="1095" w:type="dxa"/>
            <w:vMerge w:val="continue"/>
          </w:tcPr>
          <w:p>
            <w:pPr>
              <w:widowControl/>
              <w:spacing w:line="288" w:lineRule="auto"/>
              <w:jc w:val="both"/>
              <w:rPr>
                <w:rFonts w:hint="eastAsia" w:ascii="宋体" w:hAnsi="宋体" w:eastAsia="宋体" w:cs="宋体"/>
                <w:sz w:val="24"/>
                <w:szCs w:val="24"/>
              </w:rPr>
            </w:pPr>
          </w:p>
        </w:tc>
        <w:tc>
          <w:tcPr>
            <w:tcW w:w="1095" w:type="dxa"/>
            <w:vMerge w:val="continue"/>
          </w:tcPr>
          <w:p>
            <w:pPr>
              <w:widowControl/>
              <w:spacing w:line="288" w:lineRule="auto"/>
              <w:jc w:val="both"/>
              <w:rPr>
                <w:rFonts w:hint="eastAsia" w:ascii="宋体" w:hAnsi="宋体" w:eastAsia="宋体" w:cs="宋体"/>
                <w:sz w:val="24"/>
                <w:szCs w:val="24"/>
              </w:rPr>
            </w:pPr>
          </w:p>
        </w:tc>
        <w:tc>
          <w:tcPr>
            <w:tcW w:w="1095"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证书名称</w:t>
            </w:r>
          </w:p>
        </w:tc>
        <w:tc>
          <w:tcPr>
            <w:tcW w:w="1095"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级别</w:t>
            </w:r>
          </w:p>
        </w:tc>
        <w:tc>
          <w:tcPr>
            <w:tcW w:w="1095" w:type="dxa"/>
          </w:tcPr>
          <w:p>
            <w:pPr>
              <w:widowControl/>
              <w:spacing w:line="288" w:lineRule="auto"/>
              <w:jc w:val="both"/>
              <w:rPr>
                <w:rFonts w:hint="eastAsia" w:ascii="宋体" w:hAnsi="宋体" w:eastAsia="宋体" w:cs="宋体"/>
                <w:sz w:val="24"/>
                <w:szCs w:val="24"/>
              </w:rPr>
            </w:pPr>
            <w:r>
              <w:rPr>
                <w:rFonts w:hint="eastAsia" w:ascii="宋体" w:hAnsi="宋体" w:eastAsia="宋体" w:cs="宋体"/>
                <w:sz w:val="24"/>
                <w:szCs w:val="24"/>
              </w:rPr>
              <w:t>证号</w:t>
            </w:r>
          </w:p>
        </w:tc>
        <w:tc>
          <w:tcPr>
            <w:tcW w:w="1095" w:type="dxa"/>
          </w:tcPr>
          <w:p>
            <w:pPr>
              <w:widowControl/>
              <w:spacing w:line="288" w:lineRule="auto"/>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pPr>
              <w:widowControl/>
              <w:spacing w:line="600" w:lineRule="exact"/>
              <w:jc w:val="both"/>
              <w:rPr>
                <w:rFonts w:hint="eastAsia" w:ascii="宋体" w:hAnsi="宋体" w:eastAsia="宋体" w:cs="宋体"/>
                <w:sz w:val="24"/>
                <w:szCs w:val="24"/>
              </w:rPr>
            </w:pPr>
            <w:r>
              <w:rPr>
                <w:rFonts w:hint="eastAsia" w:ascii="宋体" w:hAnsi="宋体" w:eastAsia="宋体" w:cs="宋体"/>
                <w:sz w:val="24"/>
                <w:szCs w:val="24"/>
              </w:rPr>
              <w:t>1</w:t>
            </w:r>
          </w:p>
        </w:tc>
        <w:tc>
          <w:tcPr>
            <w:tcW w:w="1552" w:type="dxa"/>
          </w:tcPr>
          <w:p>
            <w:pPr>
              <w:widowControl/>
              <w:spacing w:line="600" w:lineRule="exact"/>
              <w:jc w:val="both"/>
              <w:rPr>
                <w:rFonts w:hint="eastAsia" w:ascii="宋体" w:hAnsi="宋体" w:eastAsia="宋体" w:cs="宋体"/>
                <w:sz w:val="24"/>
                <w:szCs w:val="24"/>
              </w:rPr>
            </w:pPr>
            <w:r>
              <w:rPr>
                <w:rFonts w:hint="eastAsia" w:ascii="宋体" w:hAnsi="宋体" w:eastAsia="宋体" w:cs="宋体"/>
                <w:sz w:val="24"/>
                <w:szCs w:val="24"/>
              </w:rPr>
              <w:t>项目负责人</w:t>
            </w: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pPr>
              <w:widowControl/>
              <w:spacing w:line="600" w:lineRule="exact"/>
              <w:jc w:val="both"/>
              <w:rPr>
                <w:rFonts w:hint="eastAsia" w:ascii="宋体" w:hAnsi="宋体" w:eastAsia="宋体" w:cs="宋体"/>
                <w:sz w:val="24"/>
                <w:szCs w:val="24"/>
              </w:rPr>
            </w:pPr>
            <w:r>
              <w:rPr>
                <w:rFonts w:hint="eastAsia" w:ascii="宋体" w:hAnsi="宋体" w:eastAsia="宋体" w:cs="宋体"/>
                <w:sz w:val="24"/>
                <w:szCs w:val="24"/>
              </w:rPr>
              <w:t>2</w:t>
            </w:r>
          </w:p>
        </w:tc>
        <w:tc>
          <w:tcPr>
            <w:tcW w:w="1552" w:type="dxa"/>
          </w:tcPr>
          <w:p>
            <w:pPr>
              <w:widowControl/>
              <w:spacing w:line="600" w:lineRule="exact"/>
              <w:jc w:val="both"/>
              <w:rPr>
                <w:rFonts w:hint="eastAsia" w:ascii="宋体" w:hAnsi="宋体" w:eastAsia="宋体" w:cs="宋体"/>
                <w:sz w:val="24"/>
                <w:szCs w:val="24"/>
              </w:rPr>
            </w:pPr>
            <w:r>
              <w:rPr>
                <w:rFonts w:hint="eastAsia" w:ascii="宋体" w:hAnsi="宋体" w:eastAsia="宋体" w:cs="宋体"/>
                <w:sz w:val="24"/>
                <w:szCs w:val="24"/>
              </w:rPr>
              <w:t>项目安全员</w:t>
            </w: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Pr>
          <w:p>
            <w:pPr>
              <w:widowControl/>
              <w:spacing w:line="600" w:lineRule="exact"/>
              <w:jc w:val="both"/>
              <w:rPr>
                <w:rFonts w:hint="eastAsia" w:ascii="宋体" w:hAnsi="宋体" w:eastAsia="宋体" w:cs="宋体"/>
                <w:sz w:val="24"/>
                <w:szCs w:val="24"/>
              </w:rPr>
            </w:pPr>
          </w:p>
        </w:tc>
        <w:tc>
          <w:tcPr>
            <w:tcW w:w="1552"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c>
          <w:tcPr>
            <w:tcW w:w="1095" w:type="dxa"/>
          </w:tcPr>
          <w:p>
            <w:pPr>
              <w:widowControl/>
              <w:spacing w:line="600" w:lineRule="exact"/>
              <w:jc w:val="both"/>
              <w:rPr>
                <w:rFonts w:hint="eastAsia" w:ascii="宋体" w:hAnsi="宋体" w:eastAsia="宋体" w:cs="宋体"/>
                <w:sz w:val="24"/>
                <w:szCs w:val="24"/>
              </w:rPr>
            </w:pPr>
          </w:p>
        </w:tc>
      </w:tr>
    </w:tbl>
    <w:p>
      <w:pPr>
        <w:jc w:val="both"/>
        <w:rPr>
          <w:rFonts w:hint="eastAsia" w:ascii="宋体" w:hAnsi="宋体" w:eastAsia="宋体" w:cs="宋体"/>
          <w:sz w:val="24"/>
          <w:szCs w:val="24"/>
        </w:rPr>
      </w:pPr>
    </w:p>
    <w:p>
      <w:pPr>
        <w:pStyle w:val="3"/>
        <w:spacing w:before="0" w:after="0" w:line="380" w:lineRule="atLeast"/>
        <w:jc w:val="both"/>
        <w:outlineLvl w:val="9"/>
        <w:rPr>
          <w:rFonts w:hint="eastAsia" w:ascii="宋体" w:hAnsi="宋体" w:eastAsia="宋体" w:cs="宋体"/>
          <w:b w:val="0"/>
          <w:sz w:val="24"/>
          <w:szCs w:val="24"/>
        </w:rPr>
      </w:pPr>
    </w:p>
    <w:p>
      <w:pPr>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15"/>
        <w:rPr>
          <w:rFonts w:hint="eastAsia" w:ascii="宋体" w:hAnsi="宋体" w:eastAsia="宋体" w:cs="宋体"/>
          <w:sz w:val="24"/>
          <w:szCs w:val="24"/>
        </w:rPr>
      </w:pPr>
    </w:p>
    <w:p>
      <w:pPr>
        <w:pStyle w:val="3"/>
        <w:spacing w:before="0" w:after="0" w:line="380" w:lineRule="atLeast"/>
        <w:jc w:val="both"/>
        <w:outlineLvl w:val="9"/>
        <w:rPr>
          <w:rFonts w:hint="eastAsia" w:ascii="宋体" w:hAnsi="宋体" w:eastAsia="宋体" w:cs="宋体"/>
          <w:b w:val="0"/>
          <w:sz w:val="24"/>
          <w:szCs w:val="24"/>
        </w:rPr>
      </w:pPr>
      <w:bookmarkStart w:id="94" w:name="_Toc14209"/>
    </w:p>
    <w:p>
      <w:pPr>
        <w:pStyle w:val="3"/>
        <w:spacing w:before="0" w:after="0" w:line="380" w:lineRule="atLeast"/>
        <w:jc w:val="both"/>
        <w:outlineLvl w:val="9"/>
        <w:rPr>
          <w:rFonts w:hint="eastAsia" w:ascii="宋体" w:hAnsi="宋体" w:eastAsia="宋体" w:cs="宋体"/>
          <w:b w:val="0"/>
          <w:sz w:val="24"/>
          <w:szCs w:val="24"/>
        </w:rPr>
      </w:pPr>
    </w:p>
    <w:p>
      <w:pPr>
        <w:pStyle w:val="3"/>
        <w:spacing w:before="0" w:after="0" w:line="380" w:lineRule="atLeast"/>
        <w:jc w:val="both"/>
        <w:outlineLvl w:val="9"/>
        <w:rPr>
          <w:rFonts w:hint="eastAsia" w:ascii="宋体" w:hAnsi="宋体" w:eastAsia="宋体" w:cs="宋体"/>
          <w:b w:val="0"/>
          <w:sz w:val="24"/>
          <w:szCs w:val="24"/>
        </w:rPr>
      </w:pPr>
    </w:p>
    <w:p>
      <w:pPr>
        <w:pStyle w:val="3"/>
        <w:spacing w:before="0" w:after="0" w:line="380" w:lineRule="atLeast"/>
        <w:jc w:val="both"/>
        <w:outlineLvl w:val="9"/>
        <w:rPr>
          <w:rFonts w:hint="eastAsia" w:ascii="宋体" w:hAnsi="宋体" w:eastAsia="宋体" w:cs="宋体"/>
          <w:b w:val="0"/>
          <w:sz w:val="24"/>
          <w:szCs w:val="24"/>
        </w:rPr>
      </w:pPr>
    </w:p>
    <w:p>
      <w:pPr>
        <w:pStyle w:val="3"/>
        <w:spacing w:before="0" w:after="0" w:line="380" w:lineRule="atLeast"/>
        <w:jc w:val="both"/>
        <w:rPr>
          <w:rFonts w:hint="eastAsia" w:ascii="宋体" w:hAnsi="宋体" w:eastAsia="宋体" w:cs="宋体"/>
          <w:b w:val="0"/>
          <w:sz w:val="24"/>
          <w:szCs w:val="24"/>
        </w:rPr>
      </w:pPr>
      <w:bookmarkStart w:id="95" w:name="_Toc13932"/>
      <w:r>
        <w:rPr>
          <w:rFonts w:hint="eastAsia" w:ascii="宋体" w:hAnsi="宋体" w:eastAsia="宋体" w:cs="宋体"/>
          <w:b w:val="0"/>
          <w:sz w:val="24"/>
          <w:szCs w:val="24"/>
        </w:rPr>
        <w:t>（</w:t>
      </w:r>
      <w:r>
        <w:rPr>
          <w:rFonts w:hint="eastAsia" w:ascii="宋体" w:hAnsi="宋体" w:eastAsia="宋体" w:cs="宋体"/>
          <w:b w:val="0"/>
          <w:sz w:val="24"/>
          <w:szCs w:val="24"/>
          <w:lang w:val="en-US" w:eastAsia="zh-CN"/>
        </w:rPr>
        <w:t>七</w:t>
      </w:r>
      <w:r>
        <w:rPr>
          <w:rFonts w:hint="eastAsia" w:ascii="宋体" w:hAnsi="宋体" w:eastAsia="宋体" w:cs="宋体"/>
          <w:b w:val="0"/>
          <w:sz w:val="24"/>
          <w:szCs w:val="24"/>
        </w:rPr>
        <w:t>）主要人员简历表</w:t>
      </w:r>
      <w:bookmarkEnd w:id="94"/>
      <w:bookmarkEnd w:id="95"/>
    </w:p>
    <w:tbl>
      <w:tblPr>
        <w:tblStyle w:val="17"/>
        <w:tblpPr w:leftFromText="180" w:rightFromText="180" w:vertAnchor="text" w:horzAnchor="page" w:tblpX="1296" w:tblpY="366"/>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姓    名</w:t>
            </w:r>
          </w:p>
        </w:tc>
        <w:tc>
          <w:tcPr>
            <w:tcW w:w="1671" w:type="dxa"/>
            <w:gridSpan w:val="2"/>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p>
        </w:tc>
        <w:tc>
          <w:tcPr>
            <w:tcW w:w="1177" w:type="dxa"/>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年    龄</w:t>
            </w:r>
          </w:p>
        </w:tc>
        <w:tc>
          <w:tcPr>
            <w:tcW w:w="1534" w:type="dxa"/>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p>
        </w:tc>
        <w:tc>
          <w:tcPr>
            <w:tcW w:w="2088" w:type="dxa"/>
            <w:gridSpan w:val="2"/>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执业或职业资格证书名称</w:t>
            </w:r>
          </w:p>
        </w:tc>
        <w:tc>
          <w:tcPr>
            <w:tcW w:w="1853"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职称</w:t>
            </w:r>
          </w:p>
        </w:tc>
        <w:tc>
          <w:tcPr>
            <w:tcW w:w="1671" w:type="dxa"/>
            <w:gridSpan w:val="2"/>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p>
        </w:tc>
        <w:tc>
          <w:tcPr>
            <w:tcW w:w="1177" w:type="dxa"/>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学    历</w:t>
            </w:r>
          </w:p>
        </w:tc>
        <w:tc>
          <w:tcPr>
            <w:tcW w:w="1534" w:type="dxa"/>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p>
        </w:tc>
        <w:tc>
          <w:tcPr>
            <w:tcW w:w="2088" w:type="dxa"/>
            <w:gridSpan w:val="2"/>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拟在本项目任职</w:t>
            </w:r>
          </w:p>
        </w:tc>
        <w:tc>
          <w:tcPr>
            <w:tcW w:w="1853"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工作年限</w:t>
            </w:r>
          </w:p>
        </w:tc>
        <w:tc>
          <w:tcPr>
            <w:tcW w:w="4382" w:type="dxa"/>
            <w:gridSpan w:val="4"/>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p>
        </w:tc>
        <w:tc>
          <w:tcPr>
            <w:tcW w:w="2088" w:type="dxa"/>
            <w:gridSpan w:val="2"/>
            <w:vAlign w:val="center"/>
          </w:tcPr>
          <w:p>
            <w:pPr>
              <w:autoSpaceDE w:val="0"/>
              <w:autoSpaceDN w:val="0"/>
              <w:spacing w:before="78" w:beforeLines="25" w:after="78" w:afterLines="25" w:line="288"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从事类似工作年限</w:t>
            </w:r>
          </w:p>
        </w:tc>
        <w:tc>
          <w:tcPr>
            <w:tcW w:w="1853"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r>
              <w:rPr>
                <w:rFonts w:hint="eastAsia" w:ascii="宋体" w:hAnsi="宋体" w:eastAsia="宋体" w:cs="宋体"/>
                <w:sz w:val="24"/>
                <w:szCs w:val="24"/>
              </w:rPr>
              <w:t>毕业学校</w:t>
            </w:r>
          </w:p>
        </w:tc>
        <w:tc>
          <w:tcPr>
            <w:tcW w:w="8323" w:type="dxa"/>
            <w:gridSpan w:val="8"/>
            <w:vAlign w:val="center"/>
          </w:tcPr>
          <w:p>
            <w:pPr>
              <w:autoSpaceDE w:val="0"/>
              <w:autoSpaceDN w:val="0"/>
              <w:spacing w:before="78" w:beforeLines="25" w:after="78" w:afterLines="25" w:line="288" w:lineRule="auto"/>
              <w:ind w:left="-187" w:leftChars="-89"/>
              <w:jc w:val="both"/>
              <w:textAlignment w:val="bottom"/>
              <w:rPr>
                <w:rFonts w:hint="eastAsia" w:ascii="宋体" w:hAnsi="宋体" w:eastAsia="宋体" w:cs="宋体"/>
                <w:sz w:val="24"/>
                <w:szCs w:val="24"/>
              </w:rPr>
            </w:pPr>
            <w:r>
              <w:rPr>
                <w:rFonts w:hint="eastAsia" w:ascii="宋体" w:hAnsi="宋体" w:eastAsia="宋体" w:cs="宋体"/>
                <w:sz w:val="24"/>
                <w:szCs w:val="24"/>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r>
              <w:rPr>
                <w:rFonts w:hint="eastAsia" w:ascii="宋体" w:hAnsi="宋体" w:eastAsia="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r>
              <w:rPr>
                <w:rFonts w:hint="eastAsia" w:ascii="宋体" w:hAnsi="宋体" w:eastAsia="宋体" w:cs="宋体"/>
                <w:sz w:val="24"/>
                <w:szCs w:val="24"/>
              </w:rPr>
              <w:t>时  间</w:t>
            </w:r>
          </w:p>
        </w:tc>
        <w:tc>
          <w:tcPr>
            <w:tcW w:w="4700" w:type="dxa"/>
            <w:gridSpan w:val="4"/>
            <w:vAlign w:val="center"/>
          </w:tcPr>
          <w:p>
            <w:pPr>
              <w:pStyle w:val="29"/>
              <w:adjustRightInd/>
              <w:snapToGrid/>
              <w:spacing w:before="78" w:beforeLines="25" w:after="78" w:afterLines="25" w:line="288" w:lineRule="auto"/>
              <w:jc w:val="both"/>
              <w:textAlignment w:val="bottom"/>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参加过的类似项目</w:t>
            </w:r>
          </w:p>
        </w:tc>
        <w:tc>
          <w:tcPr>
            <w:tcW w:w="2142" w:type="dxa"/>
            <w:gridSpan w:val="2"/>
            <w:vAlign w:val="center"/>
          </w:tcPr>
          <w:p>
            <w:pPr>
              <w:pStyle w:val="29"/>
              <w:adjustRightInd/>
              <w:snapToGrid/>
              <w:spacing w:before="78" w:beforeLines="25" w:after="78" w:afterLines="25" w:line="288" w:lineRule="auto"/>
              <w:jc w:val="both"/>
              <w:textAlignment w:val="bottom"/>
              <w:rPr>
                <w:rFonts w:hint="eastAsia" w:ascii="宋体" w:hAnsi="宋体" w:eastAsia="宋体" w:cs="宋体"/>
                <w:spacing w:val="0"/>
                <w:kern w:val="2"/>
                <w:sz w:val="24"/>
                <w:szCs w:val="24"/>
              </w:rPr>
            </w:pPr>
            <w:r>
              <w:rPr>
                <w:rFonts w:hint="eastAsia" w:ascii="宋体" w:hAnsi="宋体" w:eastAsia="宋体" w:cs="宋体"/>
                <w:spacing w:val="0"/>
                <w:kern w:val="2"/>
                <w:sz w:val="24"/>
                <w:szCs w:val="24"/>
              </w:rPr>
              <w:t>担任职务</w:t>
            </w:r>
          </w:p>
        </w:tc>
        <w:tc>
          <w:tcPr>
            <w:tcW w:w="1425" w:type="dxa"/>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r>
              <w:rPr>
                <w:rFonts w:hint="eastAsia" w:ascii="宋体" w:hAnsi="宋体" w:eastAsia="宋体" w:cs="宋体"/>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4700" w:type="dxa"/>
            <w:gridSpan w:val="4"/>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2142"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1425" w:type="dxa"/>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4700" w:type="dxa"/>
            <w:gridSpan w:val="4"/>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2142"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1425" w:type="dxa"/>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4700" w:type="dxa"/>
            <w:gridSpan w:val="4"/>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2142"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1425" w:type="dxa"/>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4700" w:type="dxa"/>
            <w:gridSpan w:val="4"/>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2142"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1425" w:type="dxa"/>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4700" w:type="dxa"/>
            <w:gridSpan w:val="4"/>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2142"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1425" w:type="dxa"/>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4700" w:type="dxa"/>
            <w:gridSpan w:val="4"/>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2142"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1425" w:type="dxa"/>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4700" w:type="dxa"/>
            <w:gridSpan w:val="4"/>
            <w:vAlign w:val="center"/>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2142" w:type="dxa"/>
            <w:gridSpan w:val="2"/>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c>
          <w:tcPr>
            <w:tcW w:w="1425" w:type="dxa"/>
          </w:tcPr>
          <w:p>
            <w:pPr>
              <w:autoSpaceDE w:val="0"/>
              <w:autoSpaceDN w:val="0"/>
              <w:spacing w:before="78" w:beforeLines="25" w:after="78" w:afterLines="25" w:line="288" w:lineRule="auto"/>
              <w:jc w:val="both"/>
              <w:textAlignment w:val="bottom"/>
              <w:rPr>
                <w:rFonts w:hint="eastAsia" w:ascii="宋体" w:hAnsi="宋体" w:eastAsia="宋体" w:cs="宋体"/>
                <w:sz w:val="24"/>
                <w:szCs w:val="24"/>
              </w:rPr>
            </w:pPr>
          </w:p>
        </w:tc>
      </w:tr>
    </w:tbl>
    <w:p>
      <w:pPr>
        <w:autoSpaceDE w:val="0"/>
        <w:autoSpaceDN w:val="0"/>
        <w:spacing w:line="400" w:lineRule="atLeast"/>
        <w:jc w:val="both"/>
        <w:textAlignment w:val="bottom"/>
        <w:rPr>
          <w:rFonts w:hint="eastAsia" w:ascii="宋体" w:hAnsi="宋体" w:eastAsia="宋体" w:cs="宋体"/>
          <w:sz w:val="24"/>
          <w:szCs w:val="24"/>
        </w:rPr>
      </w:pPr>
    </w:p>
    <w:p>
      <w:pPr>
        <w:spacing w:line="600" w:lineRule="exact"/>
        <w:jc w:val="both"/>
        <w:rPr>
          <w:rFonts w:hint="eastAsia" w:ascii="宋体" w:hAnsi="宋体" w:eastAsia="宋体" w:cs="宋体"/>
          <w:sz w:val="24"/>
          <w:szCs w:val="24"/>
        </w:rPr>
      </w:pPr>
      <w:r>
        <w:rPr>
          <w:rFonts w:hint="eastAsia" w:ascii="宋体" w:hAnsi="宋体" w:eastAsia="宋体" w:cs="宋体"/>
          <w:sz w:val="24"/>
          <w:szCs w:val="24"/>
        </w:rPr>
        <w:t>注：供应商应根据供应商须知前附表第3.5（6）项的要求在本表后附相关证明材料。</w:t>
      </w:r>
    </w:p>
    <w:p>
      <w:pPr>
        <w:jc w:val="both"/>
        <w:rPr>
          <w:rFonts w:hint="eastAsia" w:ascii="宋体" w:hAnsi="宋体" w:eastAsia="宋体" w:cs="宋体"/>
          <w:sz w:val="24"/>
          <w:szCs w:val="24"/>
        </w:rPr>
      </w:pPr>
      <w:r>
        <w:rPr>
          <w:rFonts w:hint="eastAsia" w:ascii="宋体" w:hAnsi="宋体" w:eastAsia="宋体" w:cs="宋体"/>
          <w:sz w:val="24"/>
          <w:szCs w:val="24"/>
        </w:rPr>
        <w:br w:type="page"/>
      </w:r>
    </w:p>
    <w:p>
      <w:pPr>
        <w:adjustRightInd w:val="0"/>
        <w:snapToGrid w:val="0"/>
        <w:spacing w:line="600" w:lineRule="exact"/>
        <w:jc w:val="center"/>
        <w:outlineLvl w:val="0"/>
        <w:rPr>
          <w:rFonts w:hint="eastAsia" w:ascii="宋体" w:hAnsi="宋体" w:eastAsia="宋体" w:cs="宋体"/>
          <w:sz w:val="24"/>
          <w:szCs w:val="24"/>
        </w:rPr>
      </w:pPr>
      <w:bookmarkStart w:id="96" w:name="_Toc18091"/>
      <w:bookmarkStart w:id="97" w:name="_Toc22288"/>
      <w:r>
        <w:rPr>
          <w:rFonts w:hint="eastAsia" w:ascii="宋体" w:hAnsi="宋体" w:eastAsia="宋体" w:cs="宋体"/>
          <w:sz w:val="24"/>
          <w:szCs w:val="24"/>
        </w:rPr>
        <w:t>六、响应方案</w:t>
      </w:r>
      <w:bookmarkEnd w:id="96"/>
      <w:bookmarkEnd w:id="97"/>
    </w:p>
    <w:p>
      <w:pPr>
        <w:pStyle w:val="15"/>
        <w:rPr>
          <w:rFonts w:hint="eastAsia" w:ascii="宋体" w:hAnsi="宋体" w:eastAsia="宋体" w:cs="宋体"/>
          <w:sz w:val="24"/>
          <w:szCs w:val="24"/>
        </w:rPr>
      </w:pP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响应方案一般包括(但不限于)下列内容:</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(1)对项目的理解;</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(2)服务范围及内容;</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(3)服务工作的依据、工作目标;</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(4)服务机构设置(框图)、岗位职责;</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(5)拟投入本项目的服务人员及主要人员简历;</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(6)拟分包计划及情况说明;</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(7)服务质量、进度、保密等保证措施;</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 (8)服务工作重点、难点分析;</w:t>
      </w:r>
    </w:p>
    <w:p>
      <w:pPr>
        <w:adjustRightInd w:val="0"/>
        <w:snapToGrid w:val="0"/>
        <w:spacing w:line="60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(9)对本项目的合理化建议。</w:t>
      </w:r>
    </w:p>
    <w:p>
      <w:pPr>
        <w:jc w:val="both"/>
        <w:rPr>
          <w:rFonts w:hint="eastAsia" w:ascii="宋体" w:hAnsi="宋体" w:eastAsia="宋体" w:cs="宋体"/>
          <w:sz w:val="24"/>
          <w:szCs w:val="24"/>
        </w:rPr>
      </w:pPr>
      <w:r>
        <w:rPr>
          <w:rFonts w:hint="eastAsia" w:ascii="宋体" w:hAnsi="宋体" w:eastAsia="宋体" w:cs="宋体"/>
          <w:sz w:val="24"/>
          <w:szCs w:val="24"/>
        </w:rPr>
        <w:br w:type="page"/>
      </w:r>
    </w:p>
    <w:p>
      <w:pPr>
        <w:adjustRightInd w:val="0"/>
        <w:snapToGrid w:val="0"/>
        <w:spacing w:line="600" w:lineRule="exact"/>
        <w:jc w:val="center"/>
        <w:outlineLvl w:val="0"/>
        <w:rPr>
          <w:rFonts w:hint="eastAsia" w:ascii="宋体" w:hAnsi="宋体" w:eastAsia="宋体" w:cs="宋体"/>
          <w:sz w:val="24"/>
          <w:szCs w:val="24"/>
        </w:rPr>
      </w:pPr>
      <w:bookmarkStart w:id="98" w:name="_Toc30187"/>
      <w:bookmarkStart w:id="99" w:name="_Toc31689"/>
      <w:r>
        <w:rPr>
          <w:rFonts w:hint="eastAsia" w:ascii="宋体" w:hAnsi="宋体" w:eastAsia="宋体" w:cs="宋体"/>
          <w:sz w:val="24"/>
          <w:szCs w:val="24"/>
        </w:rPr>
        <w:t>七、其他资料</w:t>
      </w:r>
      <w:bookmarkEnd w:id="98"/>
      <w:bookmarkEnd w:id="99"/>
    </w:p>
    <w:p>
      <w:pPr>
        <w:adjustRightInd w:val="0"/>
        <w:snapToGrid w:val="0"/>
        <w:spacing w:line="600" w:lineRule="exact"/>
        <w:ind w:left="420" w:leftChars="200"/>
        <w:jc w:val="both"/>
        <w:rPr>
          <w:rFonts w:hint="eastAsia" w:ascii="宋体" w:hAnsi="宋体" w:eastAsia="宋体" w:cs="宋体"/>
          <w:sz w:val="24"/>
          <w:szCs w:val="24"/>
        </w:rPr>
      </w:pPr>
    </w:p>
    <w:p>
      <w:pPr>
        <w:adjustRightInd w:val="0"/>
        <w:snapToGrid w:val="0"/>
        <w:spacing w:line="600" w:lineRule="exact"/>
        <w:ind w:left="420" w:leftChars="200"/>
        <w:jc w:val="both"/>
        <w:rPr>
          <w:rFonts w:hint="eastAsia" w:ascii="宋体" w:hAnsi="宋体" w:eastAsia="宋体" w:cs="宋体"/>
          <w:sz w:val="24"/>
          <w:szCs w:val="24"/>
        </w:rPr>
      </w:pPr>
      <w:r>
        <w:rPr>
          <w:rFonts w:hint="eastAsia" w:ascii="宋体" w:hAnsi="宋体" w:eastAsia="宋体" w:cs="宋体"/>
          <w:sz w:val="24"/>
          <w:szCs w:val="24"/>
        </w:rPr>
        <w:t>供应商需提交的其他资料。</w:t>
      </w:r>
    </w:p>
    <w:p>
      <w:pPr>
        <w:spacing w:line="240" w:lineRule="auto"/>
        <w:jc w:val="both"/>
        <w:rPr>
          <w:rFonts w:hint="eastAsia" w:ascii="宋体" w:hAnsi="宋体" w:eastAsia="宋体" w:cs="宋体"/>
          <w:sz w:val="24"/>
          <w:szCs w:val="24"/>
        </w:rPr>
      </w:pPr>
    </w:p>
    <w:p>
      <w:pPr>
        <w:pStyle w:val="15"/>
        <w:rPr>
          <w:rFonts w:hint="eastAsia" w:ascii="宋体" w:hAnsi="宋体" w:eastAsia="宋体" w:cs="宋体"/>
          <w:sz w:val="24"/>
          <w:szCs w:val="24"/>
        </w:rPr>
      </w:pPr>
    </w:p>
    <w:sectPr>
      <w:footerReference r:id="rId8" w:type="default"/>
      <w:pgSz w:w="11906" w:h="16838"/>
      <w:pgMar w:top="1157" w:right="1236" w:bottom="1157" w:left="1293"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tabs>
                              <w:tab w:val="center" w:pos="4153"/>
                              <w:tab w:val="right" w:pos="8306"/>
                            </w:tabs>
                          </w:pPr>
                          <w:r>
                            <w:fldChar w:fldCharType="begin"/>
                          </w:r>
                          <w:r>
                            <w:instrText xml:space="preserve"> PAGE  \* MERGEFORMAT </w:instrText>
                          </w:r>
                          <w:r>
                            <w:fldChar w:fldCharType="separate"/>
                          </w:r>
                          <w:r>
                            <w:t>28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eg5pLHAQAAj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o+8MNweI7XP3FKzscPEgd4pq5tmKg3C8zyfevqPt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Neg5pLHAQAAjwMAAA4AAAAAAAAAAQAgAAAAHwEAAGRycy9lMm9Eb2Mu&#10;eG1sUEsFBgAAAAAGAAYAWQEAAFgFAAAAAA==&#10;">
              <v:fill on="f" focussize="0,0"/>
              <v:stroke on="f"/>
              <v:imagedata o:title=""/>
              <o:lock v:ext="edit" aspectratio="f"/>
              <v:textbox inset="0mm,0mm,0mm,0mm" style="mso-fit-shape-to-text:t;">
                <w:txbxContent>
                  <w:p>
                    <w:pPr>
                      <w:pStyle w:val="10"/>
                      <w:tabs>
                        <w:tab w:val="center" w:pos="4153"/>
                        <w:tab w:val="right" w:pos="8306"/>
                      </w:tabs>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3"/>
        <w:spacing w:line="280" w:lineRule="atLeast"/>
        <w:ind w:left="180" w:hanging="180" w:hangingChars="100"/>
      </w:pPr>
      <w:r>
        <w:rPr>
          <w:rStyle w:val="22"/>
        </w:rPr>
        <w:footnoteRef/>
      </w:r>
      <w:r>
        <w:t xml:space="preserve"> </w:t>
      </w:r>
      <w:r>
        <w:rPr>
          <w:rFonts w:hint="eastAsia"/>
        </w:rPr>
        <w:t>a.“供应商须知前附表”用于进一步明确正文中的未尽事宜，由采购人根据采购项目具体特点和实际需要编制和填写，且</w:t>
      </w:r>
      <w:r>
        <w:t>应</w:t>
      </w:r>
      <w:r>
        <w:rPr>
          <w:rFonts w:hint="eastAsia"/>
        </w:rPr>
        <w:t>与采购文件中其他章节相衔接，并不得与本章正文内容相抵触。</w:t>
      </w:r>
    </w:p>
    <w:p>
      <w:pPr>
        <w:pStyle w:val="13"/>
        <w:spacing w:line="280" w:lineRule="atLeast"/>
        <w:ind w:left="0" w:firstLine="0"/>
      </w:pPr>
      <w:r>
        <w:rPr>
          <w:rFonts w:hint="eastAsia"/>
        </w:rPr>
        <w:t>b.</w:t>
      </w:r>
      <w:r>
        <w:rPr>
          <w:rFonts w:hint="eastAsia" w:hAnsi="宋体" w:cs="宋体-18030"/>
        </w:rPr>
        <w:t>“供应商须知前附表”中的附录表格同属“供应商须知前附表”内容，具有同等效力。</w:t>
      </w:r>
    </w:p>
  </w:footnote>
  <w:footnote w:id="1">
    <w:p>
      <w:pPr>
        <w:pStyle w:val="13"/>
        <w:rPr>
          <w:sz w:val="24"/>
          <w:szCs w:val="24"/>
        </w:rPr>
      </w:pPr>
      <w:r>
        <w:rPr>
          <w:rStyle w:val="22"/>
          <w:sz w:val="24"/>
          <w:szCs w:val="24"/>
        </w:rPr>
        <w:footnoteRef/>
      </w:r>
      <w:r>
        <w:rPr>
          <w:rStyle w:val="22"/>
          <w:sz w:val="24"/>
          <w:szCs w:val="24"/>
        </w:rPr>
        <w:t>4</w:t>
      </w:r>
      <w:r>
        <w:rPr>
          <w:rFonts w:hint="eastAsia"/>
          <w:sz w:val="24"/>
          <w:szCs w:val="24"/>
        </w:rPr>
        <w:t>仅适用于询价采购和竞争性谈判。</w:t>
      </w:r>
    </w:p>
  </w:footnote>
  <w:footnote w:id="2">
    <w:p>
      <w:pPr>
        <w:pStyle w:val="13"/>
        <w:rPr>
          <w:sz w:val="24"/>
          <w:szCs w:val="24"/>
        </w:rPr>
      </w:pPr>
      <w:r>
        <w:rPr>
          <w:rStyle w:val="22"/>
          <w:sz w:val="24"/>
          <w:szCs w:val="24"/>
        </w:rPr>
        <w:footnoteRef/>
      </w:r>
      <w:r>
        <w:rPr>
          <w:rStyle w:val="22"/>
          <w:sz w:val="24"/>
          <w:szCs w:val="24"/>
        </w:rPr>
        <w:t>4</w:t>
      </w:r>
      <w:r>
        <w:rPr>
          <w:rFonts w:hint="eastAsia"/>
          <w:sz w:val="24"/>
          <w:szCs w:val="24"/>
        </w:rPr>
        <w:t>仅适用于询价采购。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4"/>
    <w:multiLevelType w:val="singleLevel"/>
    <w:tmpl w:val="00000004"/>
    <w:lvl w:ilvl="0" w:tentative="0">
      <w:start w:val="4"/>
      <w:numFmt w:val="decimal"/>
      <w:lvlText w:val="%1."/>
      <w:lvlJc w:val="left"/>
      <w:pPr>
        <w:tabs>
          <w:tab w:val="left" w:pos="312"/>
        </w:tabs>
      </w:p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abstractNum w:abstractNumId="3">
    <w:nsid w:val="00000007"/>
    <w:multiLevelType w:val="multilevel"/>
    <w:tmpl w:val="00000007"/>
    <w:lvl w:ilvl="0" w:tentative="0">
      <w:start w:val="1"/>
      <w:numFmt w:val="japaneseCounting"/>
      <w:lvlText w:val="第%1章"/>
      <w:lvlJc w:val="left"/>
      <w:pPr>
        <w:ind w:left="1785" w:hanging="17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ZTIxNzAxNjQyOTkxN2U1NmM2YWZkODNhNTExYWMifQ=="/>
  </w:docVars>
  <w:rsids>
    <w:rsidRoot w:val="00000000"/>
    <w:rsid w:val="03A61589"/>
    <w:rsid w:val="0405748B"/>
    <w:rsid w:val="04151A01"/>
    <w:rsid w:val="06767483"/>
    <w:rsid w:val="078608E3"/>
    <w:rsid w:val="0AF73FD1"/>
    <w:rsid w:val="0DE0217C"/>
    <w:rsid w:val="0E7E0566"/>
    <w:rsid w:val="110D6D3A"/>
    <w:rsid w:val="11717F0E"/>
    <w:rsid w:val="14EF5D19"/>
    <w:rsid w:val="15121A08"/>
    <w:rsid w:val="15307A85"/>
    <w:rsid w:val="16454E2D"/>
    <w:rsid w:val="18ED49EC"/>
    <w:rsid w:val="1917583F"/>
    <w:rsid w:val="1BD619E1"/>
    <w:rsid w:val="1D6F40F8"/>
    <w:rsid w:val="1F6B0692"/>
    <w:rsid w:val="21172D16"/>
    <w:rsid w:val="21A460DD"/>
    <w:rsid w:val="27D8088F"/>
    <w:rsid w:val="2D5A5398"/>
    <w:rsid w:val="2E690493"/>
    <w:rsid w:val="316B3224"/>
    <w:rsid w:val="3384586B"/>
    <w:rsid w:val="342F7F36"/>
    <w:rsid w:val="3A8946E5"/>
    <w:rsid w:val="3E015FF2"/>
    <w:rsid w:val="42132798"/>
    <w:rsid w:val="43C02831"/>
    <w:rsid w:val="46D24BDA"/>
    <w:rsid w:val="46ED1809"/>
    <w:rsid w:val="4B67077F"/>
    <w:rsid w:val="4F391364"/>
    <w:rsid w:val="508D7BB9"/>
    <w:rsid w:val="51954F77"/>
    <w:rsid w:val="54A379AB"/>
    <w:rsid w:val="571F7091"/>
    <w:rsid w:val="577E46FF"/>
    <w:rsid w:val="5AC67B21"/>
    <w:rsid w:val="615D5386"/>
    <w:rsid w:val="620F6680"/>
    <w:rsid w:val="624A590A"/>
    <w:rsid w:val="68685AF9"/>
    <w:rsid w:val="68850695"/>
    <w:rsid w:val="69DF5EC4"/>
    <w:rsid w:val="6CCD4D5C"/>
    <w:rsid w:val="71147D4B"/>
    <w:rsid w:val="71786E8E"/>
    <w:rsid w:val="72410613"/>
    <w:rsid w:val="726D73CF"/>
    <w:rsid w:val="760F4A49"/>
    <w:rsid w:val="776112D4"/>
    <w:rsid w:val="7866431C"/>
    <w:rsid w:val="7BBA479B"/>
    <w:rsid w:val="7C790E6E"/>
    <w:rsid w:val="7E5016E5"/>
    <w:rsid w:val="7E9C52E7"/>
    <w:rsid w:val="7EAE586A"/>
    <w:rsid w:val="7F36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100" w:beforeAutospacing="1" w:after="100" w:afterAutospacing="1"/>
      <w:outlineLvl w:val="1"/>
    </w:pPr>
    <w:rPr>
      <w:rFonts w:ascii="宋体" w:hAnsi="宋体"/>
      <w:b/>
      <w:bCs/>
      <w:kern w:val="0"/>
      <w:sz w:val="36"/>
      <w:szCs w:val="36"/>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9"/>
    <w:pPr>
      <w:keepNext/>
      <w:keepLines/>
      <w:spacing w:before="280" w:after="290" w:line="376" w:lineRule="atLeast"/>
      <w:outlineLvl w:val="3"/>
    </w:pPr>
    <w:rPr>
      <w:rFonts w:ascii="Calibri Light" w:hAnsi="Calibri Light" w:eastAsia="宋体" w:cs="宋体"/>
      <w:b/>
      <w:bCs/>
      <w:sz w:val="28"/>
      <w:szCs w:val="28"/>
    </w:rPr>
  </w:style>
  <w:style w:type="paragraph" w:styleId="7">
    <w:name w:val="heading 5"/>
    <w:basedOn w:val="1"/>
    <w:next w:val="1"/>
    <w:qFormat/>
    <w:uiPriority w:val="0"/>
    <w:pPr>
      <w:keepNext/>
      <w:keepLines/>
      <w:spacing w:before="120" w:after="120"/>
      <w:outlineLvl w:val="4"/>
    </w:pPr>
    <w:rPr>
      <w:rFonts w:ascii="Calibri" w:hAnsi="Calibri" w:eastAsia="黑体"/>
      <w:bCs/>
      <w:sz w:val="28"/>
      <w:szCs w:val="28"/>
    </w:rPr>
  </w:style>
  <w:style w:type="paragraph" w:styleId="8">
    <w:name w:val="heading 6"/>
    <w:basedOn w:val="1"/>
    <w:next w:val="1"/>
    <w:qFormat/>
    <w:uiPriority w:val="0"/>
    <w:pPr>
      <w:keepNext/>
      <w:keepLines/>
      <w:widowControl/>
      <w:tabs>
        <w:tab w:val="left" w:pos="1440"/>
      </w:tabs>
      <w:spacing w:before="120" w:after="120"/>
      <w:ind w:hanging="1151" w:hangingChars="480"/>
      <w:outlineLvl w:val="5"/>
    </w:pPr>
    <w:rPr>
      <w:rFonts w:ascii="Arial" w:hAnsi="Arial" w:eastAsia="黑体"/>
      <w:bCs/>
      <w:szCs w:val="24"/>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9">
    <w:name w:val="Body Text Indent"/>
    <w:basedOn w:val="1"/>
    <w:qFormat/>
    <w:uiPriority w:val="0"/>
    <w:pPr>
      <w:spacing w:line="400" w:lineRule="exact"/>
      <w:ind w:firstLine="435"/>
    </w:pPr>
  </w:style>
  <w:style w:type="paragraph" w:styleId="10">
    <w:name w:val="footer"/>
    <w:basedOn w:val="1"/>
    <w:qFormat/>
    <w:uiPriority w:val="99"/>
    <w:pPr>
      <w:snapToGrid w:val="0"/>
      <w:ind w:right="210" w:rightChars="100"/>
      <w:jc w:val="right"/>
    </w:pPr>
    <w:rPr>
      <w:rFonts w:ascii="Calibri" w:hAnsi="Calibri" w:eastAsia="宋体" w:cs="宋体"/>
      <w:sz w:val="18"/>
      <w:szCs w:val="18"/>
    </w:rPr>
  </w:style>
  <w:style w:type="paragraph" w:styleId="11">
    <w:name w:val="header"/>
    <w:basedOn w:val="1"/>
    <w:qFormat/>
    <w:uiPriority w:val="99"/>
    <w:pPr>
      <w:snapToGrid w:val="0"/>
    </w:pPr>
    <w:rPr>
      <w:rFonts w:ascii="Calibri" w:hAnsi="Calibri" w:eastAsia="宋体" w:cs="宋体"/>
      <w:sz w:val="18"/>
      <w:szCs w:val="18"/>
    </w:rPr>
  </w:style>
  <w:style w:type="paragraph" w:styleId="12">
    <w:name w:val="toc 1"/>
    <w:basedOn w:val="1"/>
    <w:next w:val="1"/>
    <w:qFormat/>
    <w:uiPriority w:val="0"/>
    <w:pPr>
      <w:tabs>
        <w:tab w:val="right" w:leader="dot" w:pos="9242"/>
      </w:tabs>
      <w:spacing w:beforeLines="25" w:afterLines="25"/>
    </w:pPr>
    <w:rPr>
      <w:rFonts w:ascii="宋体"/>
      <w:szCs w:val="21"/>
    </w:rPr>
  </w:style>
  <w:style w:type="paragraph" w:styleId="13">
    <w:name w:val="footnote text"/>
    <w:basedOn w:val="1"/>
    <w:qFormat/>
    <w:uiPriority w:val="0"/>
    <w:pPr>
      <w:tabs>
        <w:tab w:val="left" w:pos="0"/>
      </w:tabs>
      <w:snapToGrid w:val="0"/>
      <w:ind w:left="720" w:hanging="357"/>
    </w:pPr>
    <w:rPr>
      <w:rFonts w:ascii="宋体" w:hAnsi="Calibri" w:eastAsia="宋体" w:cs="宋体"/>
      <w:sz w:val="18"/>
      <w:szCs w:val="18"/>
    </w:rPr>
  </w:style>
  <w:style w:type="paragraph" w:styleId="14">
    <w:name w:val="Normal (Web)"/>
    <w:basedOn w:val="1"/>
    <w:qFormat/>
    <w:uiPriority w:val="99"/>
    <w:pPr>
      <w:spacing w:before="100" w:beforeAutospacing="1" w:after="100" w:afterAutospacing="1"/>
    </w:pPr>
    <w:rPr>
      <w:rFonts w:ascii="宋体" w:hAnsi="宋体" w:cs="宋体"/>
      <w:kern w:val="0"/>
      <w:sz w:val="24"/>
    </w:rPr>
  </w:style>
  <w:style w:type="paragraph" w:styleId="15">
    <w:name w:val="Body Text First Indent"/>
    <w:basedOn w:val="2"/>
    <w:qFormat/>
    <w:uiPriority w:val="0"/>
    <w:pPr>
      <w:adjustRightInd w:val="0"/>
      <w:snapToGrid w:val="0"/>
      <w:ind w:firstLine="420"/>
      <w:textAlignment w:val="baseline"/>
    </w:pPr>
    <w:rPr>
      <w:rFonts w:ascii="宋体"/>
      <w:snapToGrid w:val="0"/>
      <w:kern w:val="24"/>
      <w:sz w:val="24"/>
      <w:szCs w:val="20"/>
    </w:rPr>
  </w:style>
  <w:style w:type="paragraph" w:styleId="16">
    <w:name w:val="Body Text First Indent 2"/>
    <w:basedOn w:val="9"/>
    <w:qFormat/>
    <w:uiPriority w:val="0"/>
    <w:pPr>
      <w:spacing w:after="120" w:line="240" w:lineRule="auto"/>
      <w:ind w:left="420" w:firstLine="210"/>
    </w:pPr>
    <w:rPr>
      <w:szCs w:val="20"/>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footnote reference"/>
    <w:qFormat/>
    <w:uiPriority w:val="0"/>
    <w:rPr>
      <w:vertAlign w:val="superscript"/>
    </w:rPr>
  </w:style>
  <w:style w:type="paragraph" w:customStyle="1" w:styleId="23">
    <w:name w:val="Default"/>
    <w:basedOn w:val="1"/>
    <w:qFormat/>
    <w:uiPriority w:val="0"/>
    <w:pPr>
      <w:widowControl w:val="0"/>
      <w:autoSpaceDE w:val="0"/>
      <w:autoSpaceDN w:val="0"/>
      <w:adjustRightInd w:val="0"/>
      <w:spacing w:line="240" w:lineRule="auto"/>
    </w:pPr>
    <w:rPr>
      <w:rFonts w:ascii="黑体" w:hAnsi="黑体" w:eastAsia="黑体" w:cs="宋体"/>
      <w:kern w:val="0"/>
      <w:sz w:val="24"/>
    </w:rPr>
  </w:style>
  <w:style w:type="paragraph" w:customStyle="1" w:styleId="24">
    <w:name w:val="_Style 2"/>
    <w:basedOn w:val="3"/>
    <w:next w:val="1"/>
    <w:qFormat/>
    <w:uiPriority w:val="0"/>
    <w:pPr>
      <w:spacing w:before="480" w:after="0" w:line="276" w:lineRule="auto"/>
      <w:outlineLvl w:val="9"/>
    </w:pPr>
    <w:rPr>
      <w:rFonts w:ascii="Cambria" w:hAnsi="Cambria"/>
      <w:color w:val="365F91"/>
      <w:kern w:val="0"/>
      <w:sz w:val="28"/>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34"/>
    <w:pPr>
      <w:ind w:firstLine="420" w:firstLineChars="200"/>
    </w:pPr>
    <w:rPr>
      <w:rFonts w:ascii="宋体" w:hAnsi="宋体" w:cs="宋体"/>
      <w:kern w:val="0"/>
      <w:sz w:val="24"/>
    </w:rPr>
  </w:style>
  <w:style w:type="paragraph" w:customStyle="1" w:styleId="27">
    <w:name w:val="一级条标题"/>
    <w:next w:val="28"/>
    <w:qFormat/>
    <w:uiPriority w:val="0"/>
    <w:pPr>
      <w:spacing w:beforeLines="50" w:afterLines="50" w:line="360" w:lineRule="exact"/>
      <w:ind w:left="851"/>
      <w:outlineLvl w:val="2"/>
    </w:pPr>
    <w:rPr>
      <w:rFonts w:ascii="黑体" w:hAnsi="Calibri" w:eastAsia="黑体" w:cs="宋体"/>
      <w:kern w:val="2"/>
      <w:sz w:val="21"/>
      <w:szCs w:val="21"/>
      <w:lang w:val="en-US" w:eastAsia="zh-CN" w:bidi="ar-SA"/>
    </w:rPr>
  </w:style>
  <w:style w:type="paragraph" w:customStyle="1" w:styleId="28">
    <w:name w:val="段"/>
    <w:qFormat/>
    <w:uiPriority w:val="0"/>
    <w:pPr>
      <w:tabs>
        <w:tab w:val="center" w:pos="4201"/>
        <w:tab w:val="right" w:leader="dot" w:pos="9298"/>
      </w:tabs>
      <w:autoSpaceDE w:val="0"/>
      <w:autoSpaceDN w:val="0"/>
      <w:spacing w:line="360" w:lineRule="exact"/>
      <w:ind w:firstLine="420" w:firstLineChars="200"/>
      <w:jc w:val="both"/>
    </w:pPr>
    <w:rPr>
      <w:rFonts w:ascii="宋体" w:hAnsi="Calibri" w:eastAsia="宋体" w:cs="宋体"/>
      <w:kern w:val="2"/>
      <w:sz w:val="21"/>
      <w:szCs w:val="22"/>
      <w:lang w:val="en-US" w:eastAsia="zh-CN" w:bidi="ar-SA"/>
    </w:rPr>
  </w:style>
  <w:style w:type="paragraph" w:customStyle="1" w:styleId="2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30">
    <w:name w:val="font11"/>
    <w:basedOn w:val="19"/>
    <w:qFormat/>
    <w:uiPriority w:val="0"/>
    <w:rPr>
      <w:rFonts w:hint="eastAsia" w:ascii="宋体" w:hAnsi="宋体" w:eastAsia="宋体" w:cs="宋体"/>
      <w:color w:val="000000"/>
      <w:sz w:val="21"/>
      <w:szCs w:val="21"/>
      <w:u w:val="none"/>
    </w:rPr>
  </w:style>
  <w:style w:type="character" w:customStyle="1" w:styleId="31">
    <w:name w:val="font31"/>
    <w:basedOn w:val="19"/>
    <w:qFormat/>
    <w:uiPriority w:val="0"/>
    <w:rPr>
      <w:rFonts w:hint="eastAsia" w:ascii="宋体" w:hAnsi="宋体" w:eastAsia="宋体" w:cs="宋体"/>
      <w:color w:val="000000"/>
      <w:sz w:val="21"/>
      <w:szCs w:val="21"/>
      <w:u w:val="none"/>
    </w:rPr>
  </w:style>
  <w:style w:type="paragraph" w:customStyle="1" w:styleId="32">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71"/>
    <w:basedOn w:val="19"/>
    <w:qFormat/>
    <w:uiPriority w:val="0"/>
    <w:rPr>
      <w:rFonts w:hint="eastAsia" w:ascii="仿宋" w:hAnsi="仿宋" w:eastAsia="仿宋" w:cs="仿宋"/>
      <w:color w:val="000000"/>
      <w:sz w:val="22"/>
      <w:szCs w:val="22"/>
      <w:u w:val="none"/>
    </w:rPr>
  </w:style>
  <w:style w:type="character" w:customStyle="1" w:styleId="34">
    <w:name w:val="font21"/>
    <w:basedOn w:val="19"/>
    <w:qFormat/>
    <w:uiPriority w:val="0"/>
    <w:rPr>
      <w:rFonts w:hint="eastAsia" w:ascii="仿宋" w:hAnsi="仿宋" w:eastAsia="仿宋" w:cs="仿宋"/>
      <w:color w:val="000000"/>
      <w:sz w:val="20"/>
      <w:szCs w:val="20"/>
      <w:u w:val="none"/>
    </w:rPr>
  </w:style>
  <w:style w:type="character" w:customStyle="1" w:styleId="35">
    <w:name w:val="font112"/>
    <w:basedOn w:val="19"/>
    <w:qFormat/>
    <w:uiPriority w:val="0"/>
    <w:rPr>
      <w:rFonts w:hint="eastAsia" w:ascii="仿宋" w:hAnsi="仿宋" w:eastAsia="仿宋" w:cs="仿宋"/>
      <w:color w:val="FF0000"/>
      <w:sz w:val="20"/>
      <w:szCs w:val="20"/>
      <w:u w:val="none"/>
    </w:rPr>
  </w:style>
  <w:style w:type="character" w:customStyle="1" w:styleId="36">
    <w:name w:val="font01"/>
    <w:basedOn w:val="19"/>
    <w:qFormat/>
    <w:uiPriority w:val="0"/>
    <w:rPr>
      <w:rFonts w:hint="eastAsia" w:ascii="仿宋" w:hAnsi="仿宋" w:eastAsia="仿宋" w:cs="仿宋"/>
      <w:color w:val="000000"/>
      <w:sz w:val="20"/>
      <w:szCs w:val="20"/>
      <w:u w:val="none"/>
    </w:rPr>
  </w:style>
  <w:style w:type="character" w:customStyle="1" w:styleId="37">
    <w:name w:val="font91"/>
    <w:basedOn w:val="19"/>
    <w:qFormat/>
    <w:uiPriority w:val="0"/>
    <w:rPr>
      <w:rFonts w:hint="eastAsia" w:ascii="仿宋" w:hAnsi="仿宋" w:eastAsia="仿宋" w:cs="仿宋"/>
      <w:color w:val="FF0000"/>
      <w:sz w:val="24"/>
      <w:szCs w:val="24"/>
      <w:u w:val="none"/>
    </w:rPr>
  </w:style>
  <w:style w:type="paragraph" w:customStyle="1" w:styleId="38">
    <w:name w:val="Style50"/>
    <w:basedOn w:val="1"/>
    <w:qFormat/>
    <w:uiPriority w:val="0"/>
    <w:pPr>
      <w:adjustRightInd w:val="0"/>
      <w:spacing w:line="562" w:lineRule="exact"/>
      <w:ind w:hanging="612"/>
    </w:pPr>
    <w:rPr>
      <w:kern w:val="0"/>
      <w:szCs w:val="24"/>
    </w:rPr>
  </w:style>
  <w:style w:type="character" w:customStyle="1" w:styleId="39">
    <w:name w:val="Font Style76"/>
    <w:qFormat/>
    <w:uiPriority w:val="0"/>
    <w:rPr>
      <w:rFonts w:ascii="黑体" w:eastAsia="黑体" w:cs="黑体"/>
      <w:b/>
      <w:bCs/>
      <w:sz w:val="30"/>
      <w:szCs w:val="30"/>
    </w:rPr>
  </w:style>
  <w:style w:type="character" w:customStyle="1" w:styleId="40">
    <w:name w:val="Font Style77"/>
    <w:qFormat/>
    <w:uiPriority w:val="0"/>
    <w:rPr>
      <w:rFonts w:ascii="黑体" w:eastAsia="黑体" w:cs="黑体"/>
      <w:b/>
      <w:bCs/>
      <w:spacing w:val="-10"/>
      <w:sz w:val="30"/>
      <w:szCs w:val="30"/>
    </w:rPr>
  </w:style>
  <w:style w:type="paragraph" w:customStyle="1" w:styleId="41">
    <w:name w:val="Style11"/>
    <w:basedOn w:val="1"/>
    <w:qFormat/>
    <w:uiPriority w:val="0"/>
    <w:pPr>
      <w:adjustRightInd w:val="0"/>
      <w:spacing w:line="530" w:lineRule="exact"/>
      <w:ind w:firstLine="662"/>
      <w:jc w:val="both"/>
    </w:pPr>
    <w:rPr>
      <w:kern w:val="0"/>
      <w:szCs w:val="24"/>
    </w:rPr>
  </w:style>
  <w:style w:type="character" w:customStyle="1" w:styleId="42">
    <w:name w:val="Font Style68"/>
    <w:qFormat/>
    <w:uiPriority w:val="0"/>
    <w:rPr>
      <w:rFonts w:ascii="黑体" w:eastAsia="黑体" w:cs="黑体"/>
      <w:spacing w:val="10"/>
      <w:sz w:val="30"/>
      <w:szCs w:val="30"/>
    </w:rPr>
  </w:style>
  <w:style w:type="paragraph" w:customStyle="1" w:styleId="43">
    <w:name w:val="Style53"/>
    <w:basedOn w:val="1"/>
    <w:qFormat/>
    <w:uiPriority w:val="0"/>
    <w:pPr>
      <w:adjustRightInd w:val="0"/>
      <w:spacing w:line="594" w:lineRule="exact"/>
      <w:ind w:firstLine="662"/>
    </w:pPr>
    <w:rPr>
      <w:kern w:val="0"/>
      <w:szCs w:val="24"/>
    </w:rPr>
  </w:style>
  <w:style w:type="character" w:customStyle="1" w:styleId="44">
    <w:name w:val="Font Style75"/>
    <w:qFormat/>
    <w:uiPriority w:val="0"/>
    <w:rPr>
      <w:rFonts w:ascii="Times New Roman" w:hAnsi="Times New Roman" w:cs="Times New Roman"/>
      <w:sz w:val="30"/>
      <w:szCs w:val="30"/>
    </w:rPr>
  </w:style>
  <w:style w:type="paragraph" w:customStyle="1" w:styleId="45">
    <w:name w:val="Style17"/>
    <w:basedOn w:val="1"/>
    <w:qFormat/>
    <w:uiPriority w:val="0"/>
    <w:pPr>
      <w:adjustRightInd w:val="0"/>
      <w:spacing w:line="240" w:lineRule="auto"/>
    </w:pPr>
    <w:rPr>
      <w:kern w:val="0"/>
      <w:szCs w:val="24"/>
    </w:rPr>
  </w:style>
  <w:style w:type="paragraph" w:customStyle="1" w:styleId="46">
    <w:name w:val="Style55"/>
    <w:basedOn w:val="1"/>
    <w:qFormat/>
    <w:uiPriority w:val="0"/>
    <w:pPr>
      <w:adjustRightInd w:val="0"/>
      <w:spacing w:line="240" w:lineRule="auto"/>
    </w:pPr>
    <w:rPr>
      <w:kern w:val="0"/>
      <w:szCs w:val="24"/>
    </w:rPr>
  </w:style>
  <w:style w:type="character" w:customStyle="1" w:styleId="47">
    <w:name w:val="Font Style80"/>
    <w:qFormat/>
    <w:uiPriority w:val="0"/>
    <w:rPr>
      <w:rFonts w:ascii="Georgia" w:hAnsi="Georgia" w:cs="Georgia"/>
      <w:b/>
      <w:bCs/>
      <w:sz w:val="48"/>
      <w:szCs w:val="48"/>
    </w:rPr>
  </w:style>
  <w:style w:type="paragraph" w:customStyle="1" w:styleId="48">
    <w:name w:val="Style27"/>
    <w:basedOn w:val="1"/>
    <w:qFormat/>
    <w:uiPriority w:val="0"/>
    <w:pPr>
      <w:adjustRightInd w:val="0"/>
      <w:spacing w:line="576" w:lineRule="exact"/>
    </w:pPr>
    <w:rPr>
      <w:kern w:val="0"/>
      <w:szCs w:val="24"/>
    </w:rPr>
  </w:style>
  <w:style w:type="paragraph" w:customStyle="1" w:styleId="49">
    <w:name w:val="Style15"/>
    <w:basedOn w:val="1"/>
    <w:qFormat/>
    <w:uiPriority w:val="0"/>
    <w:pPr>
      <w:adjustRightInd w:val="0"/>
      <w:spacing w:line="240" w:lineRule="auto"/>
      <w:jc w:val="both"/>
    </w:pPr>
    <w:rPr>
      <w:kern w:val="0"/>
      <w:szCs w:val="24"/>
    </w:rPr>
  </w:style>
  <w:style w:type="paragraph" w:customStyle="1" w:styleId="50">
    <w:name w:val="Style10"/>
    <w:basedOn w:val="1"/>
    <w:qFormat/>
    <w:uiPriority w:val="0"/>
    <w:pPr>
      <w:adjustRightInd w:val="0"/>
      <w:spacing w:line="425" w:lineRule="exact"/>
      <w:jc w:val="both"/>
    </w:pPr>
    <w:rPr>
      <w:kern w:val="0"/>
      <w:szCs w:val="24"/>
    </w:rPr>
  </w:style>
  <w:style w:type="paragraph" w:customStyle="1" w:styleId="51">
    <w:name w:val="detailstitle"/>
    <w:basedOn w:val="1"/>
    <w:qFormat/>
    <w:uiPriority w:val="0"/>
    <w:pPr>
      <w:widowControl/>
      <w:spacing w:after="225"/>
      <w:jc w:val="center"/>
    </w:pPr>
    <w:rPr>
      <w:color w:val="233E59"/>
      <w:kern w:val="0"/>
      <w:sz w:val="39"/>
      <w:szCs w:val="39"/>
    </w:rPr>
  </w:style>
  <w:style w:type="paragraph" w:customStyle="1" w:styleId="52">
    <w:name w:val="CM82"/>
    <w:basedOn w:val="23"/>
    <w:qFormat/>
    <w:uiPriority w:val="0"/>
    <w:pPr>
      <w:spacing w:after="1088"/>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32009</Words>
  <Characters>34500</Characters>
  <Paragraphs>1672</Paragraphs>
  <TotalTime>0</TotalTime>
  <ScaleCrop>false</ScaleCrop>
  <LinksUpToDate>false</LinksUpToDate>
  <CharactersWithSpaces>36605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2022-04-19T02:12:00Z</dcterms:created>
  <dc:creator>Administrator</dc:creator>
  <cp:lastModifiedBy>蔡艳</cp:lastModifiedBy>
  <dcterms:modified xsi:type="dcterms:W3CDTF">2022-12-14T07:26:58Z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28984586EE294C3586E9DF5D9502DD93</vt:lpwstr>
  </property>
</Properties>
</file>