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outlineLvl w:val="0"/>
        <w:rPr>
          <w:rFonts w:hint="eastAsia" w:ascii="黑体" w:hAnsi="黑体" w:eastAsia="黑体"/>
          <w:b/>
          <w:bCs/>
          <w:sz w:val="52"/>
          <w:szCs w:val="52"/>
          <w:highlight w:val="none"/>
          <w:u w:val="none"/>
          <w:lang w:val="en-US" w:eastAsia="zh-CN"/>
        </w:rPr>
      </w:pPr>
      <w:bookmarkStart w:id="0" w:name="_Toc4638"/>
      <w:bookmarkStart w:id="1" w:name="_Toc29375"/>
      <w:bookmarkStart w:id="2" w:name="_Toc10234"/>
      <w:bookmarkStart w:id="3" w:name="_Toc32714"/>
      <w:r>
        <w:rPr>
          <w:rFonts w:hint="eastAsia" w:ascii="黑体" w:hAnsi="黑体" w:eastAsia="黑体"/>
          <w:b/>
          <w:bCs/>
          <w:color w:val="auto"/>
          <w:sz w:val="52"/>
          <w:szCs w:val="52"/>
          <w:highlight w:val="none"/>
          <w:lang w:val="en-US" w:eastAsia="zh-CN"/>
        </w:rPr>
        <w:t>长沙集星集装箱码头门机大车轨道提质改造施工</w:t>
      </w:r>
      <w:r>
        <w:rPr>
          <w:rFonts w:hint="eastAsia" w:ascii="黑体" w:hAnsi="黑体" w:eastAsia="黑体" w:cs="Times New Roman"/>
          <w:b/>
          <w:bCs/>
          <w:sz w:val="52"/>
          <w:szCs w:val="52"/>
          <w:highlight w:val="none"/>
          <w:lang w:val="en-US" w:eastAsia="zh-CN"/>
        </w:rPr>
        <w:t>劳务</w:t>
      </w:r>
      <w:bookmarkEnd w:id="0"/>
      <w:bookmarkEnd w:id="1"/>
      <w:bookmarkEnd w:id="2"/>
      <w:bookmarkEnd w:id="3"/>
      <w:r>
        <w:rPr>
          <w:rFonts w:hint="eastAsia" w:ascii="黑体" w:hAnsi="黑体" w:eastAsia="黑体" w:cs="Times New Roman"/>
          <w:b/>
          <w:bCs/>
          <w:sz w:val="52"/>
          <w:szCs w:val="52"/>
          <w:highlight w:val="none"/>
          <w:lang w:val="en-US" w:eastAsia="zh-CN"/>
        </w:rPr>
        <w:t>二次</w:t>
      </w:r>
      <w:r>
        <w:rPr>
          <w:rFonts w:hint="eastAsia" w:ascii="黑体" w:hAnsi="黑体" w:eastAsia="黑体"/>
          <w:b/>
          <w:bCs/>
          <w:sz w:val="52"/>
          <w:szCs w:val="52"/>
          <w:highlight w:val="none"/>
          <w:u w:val="none"/>
          <w:lang w:val="en-US" w:eastAsia="zh-CN"/>
        </w:rPr>
        <w:t xml:space="preserve">询价 </w:t>
      </w:r>
    </w:p>
    <w:p>
      <w:pPr>
        <w:snapToGrid w:val="0"/>
        <w:spacing w:line="900" w:lineRule="exact"/>
        <w:jc w:val="center"/>
        <w:outlineLvl w:val="0"/>
        <w:rPr>
          <w:rFonts w:hint="eastAsia" w:ascii="黑体" w:hAnsi="黑体" w:eastAsia="黑体"/>
          <w:b/>
          <w:bCs/>
          <w:sz w:val="52"/>
          <w:szCs w:val="52"/>
          <w:highlight w:val="none"/>
          <w:u w:val="none"/>
          <w:lang w:val="en-US" w:eastAsia="zh-CN"/>
        </w:rPr>
      </w:pPr>
      <w:r>
        <w:rPr>
          <w:rFonts w:hint="eastAsia" w:ascii="黑体" w:hAnsi="黑体" w:eastAsia="黑体"/>
          <w:b/>
          <w:bCs/>
          <w:sz w:val="52"/>
          <w:szCs w:val="52"/>
          <w:highlight w:val="none"/>
          <w:u w:val="none"/>
          <w:lang w:val="en-US" w:eastAsia="zh-CN"/>
        </w:rPr>
        <w:t>采 购 文 件</w:t>
      </w:r>
    </w:p>
    <w:p>
      <w:pPr>
        <w:pStyle w:val="17"/>
        <w:rPr>
          <w:rFonts w:hint="default" w:ascii="宋体" w:hAnsi="Times New Roman" w:eastAsia="宋体"/>
          <w:b w:val="0"/>
          <w:bCs w:val="0"/>
          <w:sz w:val="24"/>
          <w:szCs w:val="20"/>
          <w:u w:val="none"/>
          <w:lang w:val="en-US" w:eastAsia="zh-CN"/>
        </w:rPr>
      </w:pPr>
    </w:p>
    <w:p>
      <w:pPr>
        <w:jc w:val="center"/>
        <w:rPr>
          <w:rFonts w:ascii="宋体" w:hAnsi="宋体" w:cs="宋体"/>
          <w:b/>
          <w:color w:val="000000"/>
          <w:kern w:val="0"/>
          <w:sz w:val="28"/>
          <w:szCs w:val="28"/>
          <w:highlight w:val="none"/>
        </w:rPr>
      </w:pPr>
    </w:p>
    <w:p>
      <w:pPr>
        <w:snapToGrid w:val="0"/>
        <w:spacing w:line="480" w:lineRule="auto"/>
        <w:jc w:val="center"/>
        <w:rPr>
          <w:rFonts w:hint="default" w:ascii="黑体" w:hAnsi="黑体" w:eastAsia="黑体" w:cs="黑体"/>
          <w:b/>
          <w:bCs/>
          <w:sz w:val="30"/>
          <w:szCs w:val="30"/>
          <w:highlight w:val="none"/>
          <w:lang w:val="en-US" w:eastAsia="zh-CN"/>
        </w:rPr>
      </w:pPr>
      <w:r>
        <w:rPr>
          <w:rFonts w:hint="eastAsia" w:ascii="黑体" w:hAnsi="黑体" w:eastAsia="黑体" w:cs="黑体"/>
          <w:b/>
          <w:bCs/>
          <w:sz w:val="30"/>
          <w:szCs w:val="30"/>
          <w:highlight w:val="none"/>
          <w:lang w:val="en-US" w:eastAsia="zh-CN"/>
        </w:rPr>
        <w:t>采购编号：</w:t>
      </w:r>
      <w:bookmarkStart w:id="257" w:name="_GoBack"/>
      <w:r>
        <w:rPr>
          <w:rFonts w:hint="eastAsia" w:ascii="黑体" w:hAnsi="黑体" w:eastAsia="黑体" w:cs="黑体"/>
          <w:b/>
          <w:bCs/>
          <w:sz w:val="30"/>
          <w:szCs w:val="30"/>
          <w:highlight w:val="none"/>
          <w:lang w:val="en-US" w:eastAsia="zh-CN"/>
        </w:rPr>
        <w:t>省港服（2022）年询第 44号【港产】</w:t>
      </w:r>
    </w:p>
    <w:bookmarkEnd w:id="257"/>
    <w:p>
      <w:pPr>
        <w:spacing w:line="600" w:lineRule="exact"/>
        <w:rPr>
          <w:highlight w:val="none"/>
        </w:rPr>
      </w:pPr>
    </w:p>
    <w:p>
      <w:pPr>
        <w:spacing w:line="600" w:lineRule="exact"/>
        <w:rPr>
          <w:highlight w:val="none"/>
        </w:rPr>
      </w:pPr>
    </w:p>
    <w:p>
      <w:pPr>
        <w:spacing w:line="600" w:lineRule="exact"/>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ind w:left="0" w:firstLine="0"/>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spacing w:line="600" w:lineRule="exact"/>
        <w:rPr>
          <w:highlight w:val="none"/>
        </w:rPr>
      </w:pPr>
    </w:p>
    <w:p>
      <w:pPr>
        <w:tabs>
          <w:tab w:val="left" w:pos="0"/>
          <w:tab w:val="left" w:pos="4185"/>
        </w:tabs>
        <w:spacing w:line="288" w:lineRule="auto"/>
        <w:ind w:right="-6"/>
        <w:jc w:val="center"/>
        <w:outlineLvl w:val="0"/>
        <w:rPr>
          <w:rFonts w:ascii="黑体" w:hAnsi="黑体" w:eastAsia="黑体"/>
          <w:bCs/>
          <w:sz w:val="48"/>
          <w:szCs w:val="48"/>
          <w:highlight w:val="none"/>
        </w:rPr>
      </w:pPr>
      <w:bookmarkStart w:id="4" w:name="_Toc29273"/>
      <w:bookmarkStart w:id="5" w:name="_Toc13550"/>
      <w:bookmarkStart w:id="6" w:name="_Toc32029"/>
      <w:bookmarkStart w:id="7" w:name="_Toc2287"/>
      <w:r>
        <w:rPr>
          <w:rFonts w:hint="eastAsia" w:ascii="黑体" w:hAnsi="黑体" w:eastAsia="黑体"/>
          <w:bCs/>
          <w:sz w:val="48"/>
          <w:szCs w:val="48"/>
          <w:highlight w:val="none"/>
        </w:rPr>
        <w:t>湖南港产科技有限公司</w:t>
      </w:r>
      <w:bookmarkEnd w:id="4"/>
      <w:bookmarkEnd w:id="5"/>
      <w:bookmarkEnd w:id="6"/>
      <w:bookmarkEnd w:id="7"/>
    </w:p>
    <w:p>
      <w:pPr>
        <w:tabs>
          <w:tab w:val="left" w:pos="0"/>
          <w:tab w:val="left" w:pos="4185"/>
        </w:tabs>
        <w:spacing w:line="288" w:lineRule="auto"/>
        <w:ind w:right="-6"/>
        <w:jc w:val="center"/>
        <w:rPr>
          <w:rFonts w:ascii="黑体" w:hAnsi="黑体" w:eastAsia="黑体"/>
          <w:bCs/>
          <w:sz w:val="48"/>
          <w:szCs w:val="48"/>
          <w:highlight w:val="none"/>
        </w:rPr>
      </w:pPr>
      <w:r>
        <w:rPr>
          <w:rFonts w:hint="eastAsia" w:ascii="黑体" w:hAnsi="黑体" w:eastAsia="黑体"/>
          <w:bCs/>
          <w:sz w:val="48"/>
          <w:szCs w:val="48"/>
          <w:highlight w:val="none"/>
        </w:rPr>
        <w:t>二О二二年</w:t>
      </w:r>
      <w:r>
        <w:rPr>
          <w:rFonts w:hint="eastAsia" w:ascii="黑体" w:hAnsi="黑体" w:eastAsia="黑体"/>
          <w:bCs/>
          <w:sz w:val="48"/>
          <w:szCs w:val="48"/>
          <w:highlight w:val="none"/>
          <w:lang w:val="en-US" w:eastAsia="zh-CN"/>
        </w:rPr>
        <w:t>九</w:t>
      </w:r>
      <w:r>
        <w:rPr>
          <w:rFonts w:hint="eastAsia" w:ascii="黑体" w:hAnsi="黑体" w:eastAsia="黑体"/>
          <w:bCs/>
          <w:sz w:val="48"/>
          <w:szCs w:val="48"/>
          <w:highlight w:val="none"/>
        </w:rPr>
        <w:t>月</w:t>
      </w:r>
    </w:p>
    <w:p>
      <w:pPr>
        <w:pStyle w:val="25"/>
        <w:keepNext w:val="0"/>
        <w:keepLines w:val="0"/>
        <w:widowControl w:val="0"/>
        <w:spacing w:before="0" w:line="600" w:lineRule="exact"/>
        <w:ind w:left="440"/>
        <w:jc w:val="center"/>
        <w:rPr>
          <w:rFonts w:ascii="黑体" w:hAnsi="黑体" w:eastAsia="黑体"/>
          <w:b w:val="0"/>
          <w:color w:val="auto"/>
          <w:sz w:val="44"/>
          <w:szCs w:val="44"/>
          <w:lang w:val="zh-CN"/>
        </w:rPr>
        <w:sectPr>
          <w:headerReference r:id="rId5" w:type="default"/>
          <w:footerReference r:id="rId6" w:type="default"/>
          <w:pgSz w:w="11900" w:h="16840"/>
          <w:pgMar w:top="1440" w:right="1800" w:bottom="1440" w:left="1800" w:header="720" w:footer="720" w:gutter="0"/>
          <w:cols w:space="720" w:num="1"/>
          <w:docGrid w:linePitch="286" w:charSpace="0"/>
        </w:sectPr>
      </w:pPr>
    </w:p>
    <w:p>
      <w:pPr>
        <w:pStyle w:val="25"/>
        <w:keepNext w:val="0"/>
        <w:keepLines w:val="0"/>
        <w:widowControl w:val="0"/>
        <w:spacing w:before="0" w:line="600" w:lineRule="exact"/>
        <w:ind w:left="440"/>
        <w:jc w:val="center"/>
        <w:outlineLvl w:val="0"/>
        <w:rPr>
          <w:rFonts w:ascii="黑体" w:hAnsi="黑体" w:eastAsia="黑体"/>
          <w:b w:val="0"/>
          <w:color w:val="auto"/>
          <w:sz w:val="32"/>
          <w:szCs w:val="32"/>
          <w:lang w:val="zh-CN"/>
        </w:rPr>
      </w:pPr>
      <w:bookmarkStart w:id="8" w:name="_Toc1325"/>
      <w:bookmarkStart w:id="9" w:name="_Toc7574"/>
      <w:bookmarkStart w:id="10" w:name="_Toc1640"/>
      <w:bookmarkStart w:id="11" w:name="_Toc28071"/>
      <w:r>
        <w:rPr>
          <w:rFonts w:ascii="黑体" w:hAnsi="黑体" w:eastAsia="黑体"/>
          <w:b w:val="0"/>
          <w:color w:val="auto"/>
          <w:sz w:val="32"/>
          <w:szCs w:val="32"/>
          <w:lang w:val="zh-CN"/>
        </w:rPr>
        <w:t>目    录</w:t>
      </w:r>
      <w:bookmarkEnd w:id="8"/>
      <w:bookmarkEnd w:id="9"/>
      <w:bookmarkEnd w:id="10"/>
      <w:bookmarkEnd w:id="11"/>
    </w:p>
    <w:sdt>
      <w:sdtPr>
        <w:rPr>
          <w:rFonts w:hint="eastAsia" w:ascii="宋体" w:hAnsi="宋体" w:eastAsia="宋体" w:cs="宋体"/>
          <w:kern w:val="2"/>
          <w:sz w:val="24"/>
          <w:szCs w:val="24"/>
          <w:lang w:val="en-US" w:eastAsia="zh-CN" w:bidi="ar-SA"/>
        </w:rPr>
        <w:id w:val="147468922"/>
        <w15:color w:val="DBDBDB"/>
        <w:docPartObj>
          <w:docPartGallery w:val="Table of Contents"/>
          <w:docPartUnique/>
        </w:docPartObj>
      </w:sdtPr>
      <w:sdtEndPr>
        <w:rPr>
          <w:rFonts w:hint="eastAsia" w:ascii="黑体" w:hAnsi="黑体" w:eastAsia="黑体" w:cs="Times New Roman"/>
          <w:snapToGrid w:val="0"/>
          <w:color w:val="auto"/>
          <w:kern w:val="24"/>
          <w:sz w:val="24"/>
          <w:szCs w:val="44"/>
          <w:lang w:val="zh-CN" w:eastAsia="zh-CN" w:bidi="ar-SA"/>
        </w:rPr>
      </w:sdtEndPr>
      <w:sdtContent>
        <w:p>
          <w:pPr>
            <w:pStyle w:val="17"/>
            <w:rPr>
              <w:rFonts w:hint="eastAsia" w:ascii="宋体" w:hAnsi="宋体" w:eastAsia="宋体" w:cs="宋体"/>
              <w:snapToGrid w:val="0"/>
              <w:color w:val="auto"/>
              <w:kern w:val="24"/>
              <w:sz w:val="24"/>
              <w:szCs w:val="24"/>
              <w:lang w:val="zh-CN" w:eastAsia="zh-CN" w:bidi="ar-SA"/>
            </w:rPr>
          </w:pPr>
          <w:r>
            <w:rPr>
              <w:rFonts w:hint="eastAsia" w:ascii="宋体" w:hAnsi="宋体" w:eastAsia="宋体" w:cs="宋体"/>
              <w:b w:val="0"/>
              <w:color w:val="auto"/>
              <w:sz w:val="24"/>
              <w:szCs w:val="24"/>
              <w:lang w:val="zh-CN"/>
            </w:rPr>
            <w:fldChar w:fldCharType="begin"/>
          </w:r>
          <w:r>
            <w:rPr>
              <w:rFonts w:hint="eastAsia" w:ascii="宋体" w:hAnsi="宋体" w:eastAsia="宋体" w:cs="宋体"/>
              <w:b w:val="0"/>
              <w:color w:val="auto"/>
              <w:sz w:val="24"/>
              <w:szCs w:val="24"/>
              <w:lang w:val="zh-CN"/>
            </w:rPr>
            <w:instrText xml:space="preserve">TOC \o "1-3" \h \u </w:instrText>
          </w:r>
          <w:r>
            <w:rPr>
              <w:rFonts w:hint="eastAsia" w:ascii="宋体" w:hAnsi="宋体" w:eastAsia="宋体" w:cs="宋体"/>
              <w:b w:val="0"/>
              <w:color w:val="auto"/>
              <w:sz w:val="24"/>
              <w:szCs w:val="24"/>
              <w:lang w:val="zh-CN"/>
            </w:rPr>
            <w:fldChar w:fldCharType="separate"/>
          </w:r>
        </w:p>
        <w:p>
          <w:pPr>
            <w:pStyle w:val="12"/>
            <w:tabs>
              <w:tab w:val="right" w:leader="dot" w:pos="8300"/>
              <w:tab w:val="clear" w:pos="9242"/>
            </w:tabs>
            <w:rPr>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sz w:val="24"/>
              <w:szCs w:val="24"/>
              <w:lang w:val="zh-CN"/>
            </w:rPr>
            <w:instrText xml:space="preserve"> HYPERLINK \l _Toc3376 </w:instrText>
          </w:r>
          <w:r>
            <w:rPr>
              <w:rFonts w:hint="eastAsia" w:ascii="宋体" w:hAnsi="宋体" w:eastAsia="宋体" w:cs="宋体"/>
              <w:sz w:val="24"/>
              <w:szCs w:val="24"/>
              <w:lang w:val="zh-CN"/>
            </w:rPr>
            <w:fldChar w:fldCharType="separate"/>
          </w:r>
          <w:r>
            <w:rPr>
              <w:rFonts w:hint="default" w:ascii="黑体" w:hAnsi="黑体" w:eastAsia="黑体" w:cs="仿宋"/>
              <w:sz w:val="24"/>
              <w:szCs w:val="24"/>
            </w:rPr>
            <w:t xml:space="preserve">第一章 </w:t>
          </w:r>
          <w:r>
            <w:rPr>
              <w:rFonts w:hint="eastAsia" w:ascii="黑体" w:hAnsi="黑体" w:eastAsia="黑体" w:cs="仿宋"/>
              <w:sz w:val="24"/>
              <w:szCs w:val="24"/>
              <w:highlight w:val="none"/>
            </w:rPr>
            <w:t>采购公告</w:t>
          </w:r>
          <w:r>
            <w:rPr>
              <w:sz w:val="24"/>
              <w:szCs w:val="24"/>
            </w:rPr>
            <w:tab/>
          </w:r>
          <w:r>
            <w:rPr>
              <w:sz w:val="24"/>
              <w:szCs w:val="24"/>
            </w:rPr>
            <w:fldChar w:fldCharType="begin"/>
          </w:r>
          <w:r>
            <w:rPr>
              <w:sz w:val="24"/>
              <w:szCs w:val="24"/>
            </w:rPr>
            <w:instrText xml:space="preserve"> PAGEREF _Toc3376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color w:val="auto"/>
              <w:sz w:val="24"/>
              <w:szCs w:val="24"/>
              <w:lang w:val="zh-CN"/>
            </w:rPr>
            <w:fldChar w:fldCharType="end"/>
          </w:r>
        </w:p>
        <w:p>
          <w:pPr>
            <w:pStyle w:val="12"/>
            <w:tabs>
              <w:tab w:val="right" w:leader="dot" w:pos="8300"/>
              <w:tab w:val="clear" w:pos="9242"/>
            </w:tabs>
            <w:rPr>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sz w:val="24"/>
              <w:szCs w:val="24"/>
              <w:lang w:val="zh-CN"/>
            </w:rPr>
            <w:instrText xml:space="preserve"> HYPERLINK \l _Toc26296 </w:instrText>
          </w:r>
          <w:r>
            <w:rPr>
              <w:rFonts w:hint="eastAsia" w:ascii="宋体" w:hAnsi="宋体" w:eastAsia="宋体" w:cs="宋体"/>
              <w:sz w:val="24"/>
              <w:szCs w:val="24"/>
              <w:lang w:val="zh-CN"/>
            </w:rPr>
            <w:fldChar w:fldCharType="separate"/>
          </w:r>
          <w:r>
            <w:rPr>
              <w:rFonts w:hint="eastAsia" w:ascii="黑体" w:hAnsi="黑体" w:eastAsia="黑体"/>
              <w:sz w:val="24"/>
              <w:szCs w:val="24"/>
              <w:highlight w:val="none"/>
            </w:rPr>
            <w:t>第二章 供应商须知</w:t>
          </w:r>
          <w:r>
            <w:rPr>
              <w:sz w:val="24"/>
              <w:szCs w:val="24"/>
            </w:rPr>
            <w:tab/>
          </w:r>
          <w:r>
            <w:rPr>
              <w:sz w:val="24"/>
              <w:szCs w:val="24"/>
            </w:rPr>
            <w:fldChar w:fldCharType="begin"/>
          </w:r>
          <w:r>
            <w:rPr>
              <w:sz w:val="24"/>
              <w:szCs w:val="24"/>
            </w:rPr>
            <w:instrText xml:space="preserve"> PAGEREF _Toc26296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color w:val="auto"/>
              <w:sz w:val="24"/>
              <w:szCs w:val="24"/>
              <w:lang w:val="zh-CN"/>
            </w:rPr>
            <w:fldChar w:fldCharType="end"/>
          </w:r>
        </w:p>
        <w:p>
          <w:pPr>
            <w:pStyle w:val="12"/>
            <w:tabs>
              <w:tab w:val="right" w:leader="dot" w:pos="8300"/>
              <w:tab w:val="clear" w:pos="9242"/>
            </w:tabs>
            <w:rPr>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sz w:val="24"/>
              <w:szCs w:val="24"/>
              <w:lang w:val="zh-CN"/>
            </w:rPr>
            <w:instrText xml:space="preserve"> HYPERLINK \l _Toc17291 </w:instrText>
          </w:r>
          <w:r>
            <w:rPr>
              <w:rFonts w:hint="eastAsia" w:ascii="宋体" w:hAnsi="宋体" w:eastAsia="宋体" w:cs="宋体"/>
              <w:sz w:val="24"/>
              <w:szCs w:val="24"/>
              <w:lang w:val="zh-CN"/>
            </w:rPr>
            <w:fldChar w:fldCharType="separate"/>
          </w:r>
          <w:r>
            <w:rPr>
              <w:rFonts w:hint="eastAsia" w:ascii="华文中宋" w:hAnsi="华文中宋" w:eastAsia="华文中宋" w:cs="仿宋"/>
              <w:bCs/>
              <w:sz w:val="24"/>
              <w:szCs w:val="24"/>
              <w:highlight w:val="none"/>
            </w:rPr>
            <w:t>第二章 供应商须知正文</w:t>
          </w:r>
          <w:r>
            <w:rPr>
              <w:sz w:val="24"/>
              <w:szCs w:val="24"/>
            </w:rPr>
            <w:tab/>
          </w:r>
          <w:r>
            <w:rPr>
              <w:sz w:val="24"/>
              <w:szCs w:val="24"/>
            </w:rPr>
            <w:fldChar w:fldCharType="begin"/>
          </w:r>
          <w:r>
            <w:rPr>
              <w:sz w:val="24"/>
              <w:szCs w:val="24"/>
            </w:rPr>
            <w:instrText xml:space="preserve"> PAGEREF _Toc17291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color w:val="auto"/>
              <w:sz w:val="24"/>
              <w:szCs w:val="24"/>
              <w:lang w:val="zh-CN"/>
            </w:rPr>
            <w:fldChar w:fldCharType="end"/>
          </w:r>
        </w:p>
        <w:p>
          <w:pPr>
            <w:pStyle w:val="12"/>
            <w:tabs>
              <w:tab w:val="right" w:leader="dot" w:pos="8300"/>
              <w:tab w:val="clear" w:pos="9242"/>
            </w:tabs>
            <w:rPr>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sz w:val="24"/>
              <w:szCs w:val="24"/>
              <w:lang w:val="zh-CN"/>
            </w:rPr>
            <w:instrText xml:space="preserve"> HYPERLINK \l _Toc20521 </w:instrText>
          </w:r>
          <w:r>
            <w:rPr>
              <w:rFonts w:hint="eastAsia" w:ascii="宋体" w:hAnsi="宋体" w:eastAsia="宋体" w:cs="宋体"/>
              <w:sz w:val="24"/>
              <w:szCs w:val="24"/>
              <w:lang w:val="zh-CN"/>
            </w:rPr>
            <w:fldChar w:fldCharType="separate"/>
          </w:r>
          <w:r>
            <w:rPr>
              <w:rFonts w:hint="eastAsia" w:ascii="黑体" w:hAnsi="黑体" w:eastAsia="黑体" w:cs="仿宋"/>
              <w:bCs/>
              <w:sz w:val="24"/>
              <w:szCs w:val="24"/>
              <w:highlight w:val="none"/>
            </w:rPr>
            <w:t>第三章 评审办法</w:t>
          </w:r>
          <w:r>
            <w:rPr>
              <w:sz w:val="24"/>
              <w:szCs w:val="24"/>
            </w:rPr>
            <w:tab/>
          </w:r>
          <w:r>
            <w:rPr>
              <w:sz w:val="24"/>
              <w:szCs w:val="24"/>
            </w:rPr>
            <w:fldChar w:fldCharType="begin"/>
          </w:r>
          <w:r>
            <w:rPr>
              <w:sz w:val="24"/>
              <w:szCs w:val="24"/>
            </w:rPr>
            <w:instrText xml:space="preserve"> PAGEREF _Toc20521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color w:val="auto"/>
              <w:sz w:val="24"/>
              <w:szCs w:val="24"/>
              <w:lang w:val="zh-CN"/>
            </w:rPr>
            <w:fldChar w:fldCharType="end"/>
          </w:r>
        </w:p>
        <w:p>
          <w:pPr>
            <w:pStyle w:val="12"/>
            <w:tabs>
              <w:tab w:val="right" w:leader="dot" w:pos="8300"/>
              <w:tab w:val="clear" w:pos="9242"/>
            </w:tabs>
            <w:rPr>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sz w:val="24"/>
              <w:szCs w:val="24"/>
              <w:lang w:val="zh-CN"/>
            </w:rPr>
            <w:instrText xml:space="preserve"> HYPERLINK \l _Toc11830 </w:instrText>
          </w:r>
          <w:r>
            <w:rPr>
              <w:rFonts w:hint="eastAsia" w:ascii="宋体" w:hAnsi="宋体" w:eastAsia="宋体" w:cs="宋体"/>
              <w:sz w:val="24"/>
              <w:szCs w:val="24"/>
              <w:lang w:val="zh-CN"/>
            </w:rPr>
            <w:fldChar w:fldCharType="separate"/>
          </w:r>
          <w:r>
            <w:rPr>
              <w:rFonts w:hint="eastAsia" w:ascii="黑体" w:hAnsi="黑体" w:eastAsia="黑体" w:cs="仿宋"/>
              <w:sz w:val="24"/>
              <w:szCs w:val="24"/>
              <w:highlight w:val="none"/>
            </w:rPr>
            <w:t>第四章 合同条款及格式</w:t>
          </w:r>
          <w:r>
            <w:rPr>
              <w:sz w:val="24"/>
              <w:szCs w:val="24"/>
            </w:rPr>
            <w:tab/>
          </w:r>
          <w:r>
            <w:rPr>
              <w:sz w:val="24"/>
              <w:szCs w:val="24"/>
            </w:rPr>
            <w:fldChar w:fldCharType="begin"/>
          </w:r>
          <w:r>
            <w:rPr>
              <w:sz w:val="24"/>
              <w:szCs w:val="24"/>
            </w:rPr>
            <w:instrText xml:space="preserve"> PAGEREF _Toc11830 \h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color w:val="auto"/>
              <w:sz w:val="24"/>
              <w:szCs w:val="24"/>
              <w:lang w:val="zh-CN"/>
            </w:rPr>
            <w:fldChar w:fldCharType="end"/>
          </w:r>
        </w:p>
        <w:p>
          <w:pPr>
            <w:pStyle w:val="12"/>
            <w:tabs>
              <w:tab w:val="right" w:leader="dot" w:pos="8300"/>
              <w:tab w:val="clear" w:pos="9242"/>
            </w:tabs>
            <w:rPr>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sz w:val="24"/>
              <w:szCs w:val="24"/>
              <w:lang w:val="zh-CN"/>
            </w:rPr>
            <w:instrText xml:space="preserve"> HYPERLINK \l _Toc1701 </w:instrText>
          </w:r>
          <w:r>
            <w:rPr>
              <w:rFonts w:hint="eastAsia" w:ascii="宋体" w:hAnsi="宋体" w:eastAsia="宋体" w:cs="宋体"/>
              <w:sz w:val="24"/>
              <w:szCs w:val="24"/>
              <w:lang w:val="zh-CN"/>
            </w:rPr>
            <w:fldChar w:fldCharType="separate"/>
          </w:r>
          <w:r>
            <w:rPr>
              <w:rFonts w:hint="eastAsia" w:ascii="黑体" w:hAnsi="黑体" w:eastAsia="黑体" w:cs="仿宋"/>
              <w:sz w:val="24"/>
              <w:szCs w:val="24"/>
              <w:highlight w:val="none"/>
              <w:lang w:val="en-US" w:eastAsia="zh-CN"/>
            </w:rPr>
            <w:t>第五章</w:t>
          </w:r>
          <w:r>
            <w:rPr>
              <w:rFonts w:hint="eastAsia" w:ascii="黑体" w:hAnsi="黑体" w:eastAsia="黑体" w:cs="仿宋"/>
              <w:sz w:val="24"/>
              <w:szCs w:val="24"/>
              <w:highlight w:val="none"/>
            </w:rPr>
            <w:t xml:space="preserve"> 采购需求</w:t>
          </w:r>
          <w:r>
            <w:rPr>
              <w:sz w:val="24"/>
              <w:szCs w:val="24"/>
            </w:rPr>
            <w:tab/>
          </w:r>
          <w:r>
            <w:rPr>
              <w:sz w:val="24"/>
              <w:szCs w:val="24"/>
            </w:rPr>
            <w:fldChar w:fldCharType="begin"/>
          </w:r>
          <w:r>
            <w:rPr>
              <w:sz w:val="24"/>
              <w:szCs w:val="24"/>
            </w:rPr>
            <w:instrText xml:space="preserve"> PAGEREF _Toc1701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color w:val="auto"/>
              <w:sz w:val="24"/>
              <w:szCs w:val="24"/>
              <w:lang w:val="zh-CN"/>
            </w:rPr>
            <w:fldChar w:fldCharType="end"/>
          </w:r>
        </w:p>
        <w:p>
          <w:pPr>
            <w:pStyle w:val="12"/>
            <w:tabs>
              <w:tab w:val="right" w:leader="dot" w:pos="8300"/>
              <w:tab w:val="clear" w:pos="9242"/>
            </w:tabs>
            <w:rPr>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sz w:val="24"/>
              <w:szCs w:val="24"/>
              <w:lang w:val="zh-CN"/>
            </w:rPr>
            <w:instrText xml:space="preserve"> HYPERLINK \l _Toc29506 </w:instrText>
          </w:r>
          <w:r>
            <w:rPr>
              <w:rFonts w:hint="eastAsia" w:ascii="宋体" w:hAnsi="宋体" w:eastAsia="宋体" w:cs="宋体"/>
              <w:sz w:val="24"/>
              <w:szCs w:val="24"/>
              <w:lang w:val="zh-CN"/>
            </w:rPr>
            <w:fldChar w:fldCharType="separate"/>
          </w:r>
          <w:r>
            <w:rPr>
              <w:rFonts w:hint="eastAsia" w:ascii="黑体" w:hAnsi="黑体" w:eastAsia="黑体" w:cs="仿宋"/>
              <w:sz w:val="24"/>
              <w:szCs w:val="24"/>
              <w:highlight w:val="none"/>
            </w:rPr>
            <w:t>第六章 响应文件格式</w:t>
          </w:r>
          <w:r>
            <w:rPr>
              <w:sz w:val="24"/>
              <w:szCs w:val="24"/>
            </w:rPr>
            <w:tab/>
          </w:r>
          <w:r>
            <w:rPr>
              <w:sz w:val="24"/>
              <w:szCs w:val="24"/>
            </w:rPr>
            <w:fldChar w:fldCharType="begin"/>
          </w:r>
          <w:r>
            <w:rPr>
              <w:sz w:val="24"/>
              <w:szCs w:val="24"/>
            </w:rPr>
            <w:instrText xml:space="preserve"> PAGEREF _Toc29506 \h </w:instrText>
          </w:r>
          <w:r>
            <w:rPr>
              <w:sz w:val="24"/>
              <w:szCs w:val="24"/>
            </w:rPr>
            <w:fldChar w:fldCharType="separate"/>
          </w:r>
          <w:r>
            <w:rPr>
              <w:sz w:val="24"/>
              <w:szCs w:val="24"/>
            </w:rPr>
            <w:t>50</w:t>
          </w:r>
          <w:r>
            <w:rPr>
              <w:sz w:val="24"/>
              <w:szCs w:val="24"/>
            </w:rPr>
            <w:fldChar w:fldCharType="end"/>
          </w:r>
          <w:r>
            <w:rPr>
              <w:rFonts w:hint="eastAsia" w:ascii="宋体" w:hAnsi="宋体" w:eastAsia="宋体" w:cs="宋体"/>
              <w:color w:val="auto"/>
              <w:sz w:val="24"/>
              <w:szCs w:val="24"/>
              <w:lang w:val="zh-CN"/>
            </w:rPr>
            <w:fldChar w:fldCharType="end"/>
          </w:r>
        </w:p>
        <w:p>
          <w:pPr>
            <w:pStyle w:val="9"/>
            <w:tabs>
              <w:tab w:val="right" w:leader="dot" w:pos="8300"/>
            </w:tabs>
            <w:rPr>
              <w:sz w:val="24"/>
              <w:szCs w:val="24"/>
            </w:rPr>
          </w:pPr>
        </w:p>
        <w:p>
          <w:pPr>
            <w:pStyle w:val="26"/>
            <w:tabs>
              <w:tab w:val="right" w:leader="dot" w:pos="8300"/>
            </w:tabs>
            <w:rPr>
              <w:rFonts w:ascii="黑体" w:hAnsi="黑体" w:eastAsia="黑体"/>
              <w:b w:val="0"/>
              <w:color w:val="auto"/>
              <w:sz w:val="44"/>
              <w:szCs w:val="44"/>
              <w:lang w:val="zh-CN"/>
            </w:rPr>
          </w:pPr>
          <w:r>
            <w:rPr>
              <w:rFonts w:hint="eastAsia" w:ascii="宋体" w:hAnsi="宋体" w:eastAsia="宋体" w:cs="宋体"/>
              <w:color w:val="auto"/>
              <w:sz w:val="24"/>
              <w:szCs w:val="24"/>
              <w:lang w:val="zh-CN"/>
            </w:rPr>
            <w:fldChar w:fldCharType="end"/>
          </w:r>
        </w:p>
      </w:sdtContent>
    </w:sdt>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17"/>
        <w:rPr>
          <w:rFonts w:ascii="黑体" w:hAnsi="黑体" w:eastAsia="黑体"/>
          <w:b w:val="0"/>
          <w:color w:val="auto"/>
          <w:sz w:val="44"/>
          <w:szCs w:val="44"/>
          <w:lang w:val="zh-CN"/>
        </w:rPr>
      </w:pPr>
    </w:p>
    <w:p>
      <w:pPr>
        <w:pStyle w:val="27"/>
        <w:numPr>
          <w:ilvl w:val="0"/>
          <w:numId w:val="1"/>
        </w:numPr>
        <w:spacing w:line="600" w:lineRule="exact"/>
        <w:ind w:firstLineChars="0"/>
        <w:jc w:val="center"/>
        <w:outlineLvl w:val="0"/>
        <w:rPr>
          <w:rFonts w:ascii="黑体" w:hAnsi="黑体" w:eastAsia="黑体" w:cs="仿宋"/>
          <w:b/>
          <w:color w:val="000000"/>
          <w:sz w:val="44"/>
          <w:szCs w:val="44"/>
          <w:highlight w:val="none"/>
        </w:rPr>
      </w:pPr>
      <w:bookmarkStart w:id="12" w:name="_Toc20031"/>
      <w:bookmarkStart w:id="13" w:name="_Toc3376"/>
      <w:bookmarkStart w:id="14" w:name="_Toc28813"/>
      <w:r>
        <w:rPr>
          <w:rFonts w:hint="eastAsia" w:ascii="黑体" w:hAnsi="黑体" w:eastAsia="黑体" w:cs="仿宋"/>
          <w:b/>
          <w:color w:val="000000"/>
          <w:sz w:val="44"/>
          <w:szCs w:val="44"/>
          <w:highlight w:val="none"/>
        </w:rPr>
        <w:t>采购公告</w:t>
      </w:r>
      <w:bookmarkEnd w:id="12"/>
      <w:bookmarkEnd w:id="13"/>
      <w:bookmarkEnd w:id="14"/>
    </w:p>
    <w:p>
      <w:pPr>
        <w:widowControl/>
        <w:autoSpaceDE w:val="0"/>
        <w:spacing w:line="600" w:lineRule="exact"/>
        <w:ind w:firstLine="0" w:firstLineChars="0"/>
        <w:jc w:val="center"/>
        <w:outlineLvl w:val="1"/>
        <w:rPr>
          <w:rFonts w:hint="eastAsia" w:ascii="宋体" w:hAnsi="宋体" w:eastAsia="宋体"/>
          <w:b w:val="0"/>
          <w:bCs w:val="0"/>
          <w:sz w:val="32"/>
          <w:szCs w:val="32"/>
          <w:highlight w:val="none"/>
          <w:u w:val="none"/>
        </w:rPr>
      </w:pPr>
      <w:bookmarkStart w:id="15" w:name="_Toc20024"/>
      <w:bookmarkStart w:id="16" w:name="_Toc2538"/>
      <w:r>
        <w:rPr>
          <w:rFonts w:hint="eastAsia" w:ascii="宋体" w:hAnsi="宋体" w:eastAsia="宋体"/>
          <w:b w:val="0"/>
          <w:bCs w:val="0"/>
          <w:sz w:val="32"/>
          <w:szCs w:val="32"/>
          <w:highlight w:val="none"/>
          <w:u w:val="none"/>
        </w:rPr>
        <w:t>湖南港产科技有限公司</w:t>
      </w:r>
      <w:bookmarkEnd w:id="15"/>
      <w:bookmarkEnd w:id="16"/>
    </w:p>
    <w:p>
      <w:pPr>
        <w:widowControl/>
        <w:autoSpaceDE w:val="0"/>
        <w:adjustRightInd/>
        <w:snapToGrid/>
        <w:spacing w:line="600" w:lineRule="exact"/>
        <w:jc w:val="center"/>
        <w:rPr>
          <w:rFonts w:hint="eastAsia" w:ascii="宋体" w:hAnsi="宋体" w:cs="Times New Roman"/>
          <w:b w:val="0"/>
          <w:bCs w:val="0"/>
          <w:sz w:val="32"/>
          <w:szCs w:val="32"/>
          <w:highlight w:val="none"/>
          <w:u w:val="none"/>
          <w:lang w:val="en-US" w:eastAsia="zh-CN"/>
        </w:rPr>
      </w:pPr>
      <w:r>
        <w:rPr>
          <w:rFonts w:hint="eastAsia" w:ascii="宋体" w:hAnsi="宋体" w:cs="Times New Roman"/>
          <w:b w:val="0"/>
          <w:bCs w:val="0"/>
          <w:sz w:val="32"/>
          <w:szCs w:val="32"/>
          <w:highlight w:val="none"/>
          <w:u w:val="none"/>
          <w:lang w:val="en-US" w:eastAsia="zh-CN"/>
        </w:rPr>
        <w:t>长沙集星集装箱码头门机大车轨道提质改造施工劳务</w:t>
      </w:r>
    </w:p>
    <w:p>
      <w:pPr>
        <w:widowControl/>
        <w:autoSpaceDE w:val="0"/>
        <w:adjustRightInd/>
        <w:snapToGrid/>
        <w:spacing w:line="600" w:lineRule="exact"/>
        <w:jc w:val="center"/>
        <w:rPr>
          <w:rFonts w:hint="eastAsia" w:ascii="宋体" w:hAnsi="宋体"/>
          <w:b w:val="0"/>
          <w:bCs w:val="0"/>
          <w:sz w:val="32"/>
          <w:szCs w:val="32"/>
          <w:highlight w:val="none"/>
          <w:u w:val="single"/>
        </w:rPr>
      </w:pPr>
      <w:r>
        <w:rPr>
          <w:rFonts w:hint="eastAsia" w:ascii="宋体" w:hAnsi="宋体"/>
          <w:b w:val="0"/>
          <w:bCs w:val="0"/>
          <w:sz w:val="32"/>
          <w:szCs w:val="32"/>
          <w:highlight w:val="none"/>
          <w:u w:val="none"/>
          <w:lang w:val="en-US" w:eastAsia="zh-CN"/>
        </w:rPr>
        <w:t>询价</w:t>
      </w:r>
      <w:r>
        <w:rPr>
          <w:rFonts w:hint="eastAsia" w:ascii="宋体" w:hAnsi="宋体" w:eastAsia="宋体"/>
          <w:b w:val="0"/>
          <w:bCs w:val="0"/>
          <w:sz w:val="32"/>
          <w:szCs w:val="32"/>
          <w:highlight w:val="none"/>
          <w:u w:val="none"/>
        </w:rPr>
        <w:t>公告</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 xml:space="preserve">长沙集星集装箱码头门机大车轨道提质改造施工劳务项目经公司批准，现将项目安装施工劳务外包，现公开邀请具备安装实施能力的供应商参加招标活动。 </w:t>
      </w:r>
    </w:p>
    <w:p>
      <w:pPr>
        <w:pStyle w:val="6"/>
        <w:jc w:val="both"/>
        <w:outlineLvl w:val="1"/>
        <w:rPr>
          <w:rFonts w:hint="eastAsia" w:ascii="黑体" w:hAnsi="黑体"/>
          <w:highlight w:val="none"/>
          <w:lang w:val="en-US" w:eastAsia="zh-CN"/>
        </w:rPr>
      </w:pPr>
      <w:bookmarkStart w:id="17" w:name="_Toc6249"/>
      <w:bookmarkStart w:id="18" w:name="_Toc9790"/>
      <w:r>
        <w:rPr>
          <w:rFonts w:hint="eastAsia" w:ascii="黑体" w:hAnsi="黑体"/>
          <w:highlight w:val="none"/>
          <w:lang w:val="en-US" w:eastAsia="zh-CN"/>
        </w:rPr>
        <w:t>一、采购项目简介</w:t>
      </w:r>
      <w:bookmarkEnd w:id="17"/>
      <w:bookmarkEnd w:id="18"/>
      <w:r>
        <w:rPr>
          <w:rFonts w:hint="eastAsia" w:ascii="黑体" w:hAnsi="黑体"/>
          <w:highlight w:val="none"/>
          <w:lang w:val="en-US" w:eastAsia="zh-CN"/>
        </w:rPr>
        <w:t xml:space="preserve"> </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 采购项目名称:长沙集星集装箱码头门机大车轨道提质改造施工劳务项目</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（二）采购人: 湖南港产科技有限公司</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（三）采购代理机构:无</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（四）采购项目资金落实情况:自筹资金，已落实</w:t>
      </w:r>
    </w:p>
    <w:p>
      <w:pPr>
        <w:adjustRightInd w:val="0"/>
        <w:snapToGrid w:val="0"/>
        <w:spacing w:line="540" w:lineRule="exact"/>
        <w:ind w:firstLine="480" w:firstLineChars="200"/>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采购项目概况:长沙集星集装箱码头门机大车轨道使用年限长，轨道出现下沉，接头高差错位严重超标，严重处接头有断裂。轨道沟基础有破损，紧固螺栓锈蚀，压板松动，轨道橡胶垫破损。急需修复轨道基础，调整安装轨道。</w:t>
      </w:r>
    </w:p>
    <w:p>
      <w:pPr>
        <w:pStyle w:val="6"/>
        <w:jc w:val="both"/>
        <w:outlineLvl w:val="1"/>
        <w:rPr>
          <w:rFonts w:ascii="黑体" w:hAnsi="黑体"/>
          <w:highlight w:val="none"/>
        </w:rPr>
      </w:pPr>
      <w:bookmarkStart w:id="19" w:name="_Toc15115"/>
      <w:bookmarkStart w:id="20" w:name="_Toc23250"/>
      <w:r>
        <w:rPr>
          <w:rFonts w:hint="eastAsia" w:ascii="黑体" w:hAnsi="黑体"/>
          <w:highlight w:val="none"/>
          <w:lang w:val="en-US" w:eastAsia="zh-CN"/>
        </w:rPr>
        <w:t>二、</w:t>
      </w:r>
      <w:r>
        <w:rPr>
          <w:rFonts w:hint="eastAsia" w:ascii="黑体" w:hAnsi="黑体"/>
          <w:highlight w:val="none"/>
        </w:rPr>
        <w:t>采购范围及相关要求</w:t>
      </w:r>
      <w:bookmarkEnd w:id="19"/>
      <w:bookmarkEnd w:id="20"/>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bookmarkStart w:id="21" w:name="_Toc19063"/>
      <w:r>
        <w:rPr>
          <w:rFonts w:hint="eastAsia" w:ascii="宋体" w:hAnsi="宋体" w:eastAsia="宋体" w:cs="宋体"/>
          <w:bCs/>
          <w:color w:val="000000"/>
          <w:sz w:val="24"/>
          <w:szCs w:val="24"/>
          <w:highlight w:val="none"/>
          <w:lang w:val="en-US" w:eastAsia="zh-CN"/>
        </w:rPr>
        <w:t>（一）采购范围:</w:t>
      </w:r>
      <w:bookmarkEnd w:id="21"/>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 分阶段拆除门机大车轨道；</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 破除找平层，清理轨道沟;</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 修复砼基础，修复损坏螺杆，更换轨道垫，通铺钢板垫;</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 轨道焊联安装并调整轨道，技术指导下调整全线轨道平直度;</w:t>
      </w:r>
    </w:p>
    <w:p>
      <w:pPr>
        <w:adjustRightInd w:val="0"/>
        <w:snapToGrid w:val="0"/>
        <w:spacing w:line="540" w:lineRule="exact"/>
        <w:ind w:firstLine="480" w:firstLineChars="200"/>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 垃圾清运。</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 xml:space="preserve">（二）服务期限: 合同签订，进场开工后18个日历日  </w:t>
      </w:r>
    </w:p>
    <w:p>
      <w:pPr>
        <w:adjustRightInd w:val="0"/>
        <w:snapToGrid w:val="0"/>
        <w:spacing w:line="540" w:lineRule="exact"/>
        <w:ind w:firstLine="480" w:firstLineChars="200"/>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（三）服务地点: 长沙集星集装箱码头有限公司</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（四）质量要求或服务标准: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1、本工程的施工质量必须达到国家起重机钢轨安装GB3426-82相关规定的标准要求。</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2、本工程严格按照招标方质量管理体系的要求，进行工程质量控制，并按招标方有关要求填报相关表格，交招标方整理存档。</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3、所承包的工程结束，满足安全性、可靠性、使用性能的要求（开工前签订安全施工责任合同），符合国家最新相关施工验收规范、检验标准的要求。</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4、工程质量保修期按从竣工验收合格后18个月执行。工程质量保修期起始日期自竣工验收报告签署之日起。</w:t>
      </w:r>
    </w:p>
    <w:p>
      <w:pPr>
        <w:pStyle w:val="6"/>
        <w:jc w:val="both"/>
        <w:outlineLvl w:val="1"/>
        <w:rPr>
          <w:rFonts w:ascii="Arial" w:hAnsi="Arial"/>
          <w:highlight w:val="none"/>
        </w:rPr>
      </w:pPr>
      <w:bookmarkStart w:id="22" w:name="_Toc5655"/>
      <w:bookmarkStart w:id="23" w:name="_Toc1381"/>
      <w:r>
        <w:rPr>
          <w:rFonts w:hint="eastAsia"/>
          <w:highlight w:val="none"/>
          <w:lang w:val="en-US" w:eastAsia="zh-CN"/>
        </w:rPr>
        <w:t>三、</w:t>
      </w:r>
      <w:r>
        <w:rPr>
          <w:rFonts w:hint="eastAsia" w:ascii="黑体" w:hAnsi="黑体"/>
          <w:highlight w:val="none"/>
        </w:rPr>
        <w:t>供应商资格要求</w:t>
      </w:r>
      <w:bookmarkEnd w:id="22"/>
      <w:bookmarkEnd w:id="23"/>
    </w:p>
    <w:p>
      <w:pPr>
        <w:autoSpaceDE w:val="0"/>
        <w:spacing w:line="400" w:lineRule="exact"/>
        <w:jc w:val="both"/>
        <w:outlineLvl w:val="2"/>
        <w:rPr>
          <w:rFonts w:ascii="宋体" w:hAnsi="宋体"/>
          <w:sz w:val="24"/>
          <w:highlight w:val="none"/>
        </w:rPr>
      </w:pPr>
      <w:bookmarkStart w:id="24" w:name="_Toc24824"/>
      <w:bookmarkStart w:id="25" w:name="_Toc14392"/>
      <w:r>
        <w:rPr>
          <w:rFonts w:hint="eastAsia" w:ascii="宋体" w:hAnsi="宋体"/>
          <w:b/>
          <w:bCs/>
          <w:sz w:val="24"/>
          <w:highlight w:val="none"/>
          <w:lang w:eastAsia="zh-CN"/>
        </w:rPr>
        <w:t>（</w:t>
      </w:r>
      <w:r>
        <w:rPr>
          <w:rFonts w:hint="eastAsia" w:ascii="宋体" w:hAnsi="宋体"/>
          <w:b/>
          <w:bCs/>
          <w:sz w:val="24"/>
          <w:highlight w:val="none"/>
          <w:lang w:val="en-US" w:eastAsia="zh-CN"/>
        </w:rPr>
        <w:t>一</w:t>
      </w:r>
      <w:r>
        <w:rPr>
          <w:rFonts w:hint="eastAsia" w:ascii="宋体" w:hAnsi="宋体"/>
          <w:b/>
          <w:bCs/>
          <w:sz w:val="24"/>
          <w:highlight w:val="none"/>
          <w:lang w:eastAsia="zh-CN"/>
        </w:rPr>
        <w:t>）</w:t>
      </w:r>
      <w:r>
        <w:rPr>
          <w:rFonts w:hint="eastAsia" w:ascii="宋体" w:hAnsi="宋体"/>
          <w:sz w:val="24"/>
          <w:highlight w:val="none"/>
        </w:rPr>
        <w:t>供应商不得存在下列情形之一:</w:t>
      </w:r>
      <w:bookmarkEnd w:id="24"/>
      <w:bookmarkEnd w:id="25"/>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（1）处于被责令停产停业、暂扣或者吊销执照、暂扣或者吊销许可证、吊销资质证书状态;</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（2）进入清算程序，或被宣告破产，或其他丧失履约能力的情形;</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（3）被采购人或采购人上级单位纳入黑名单</w:t>
      </w:r>
    </w:p>
    <w:p>
      <w:pPr>
        <w:autoSpaceDE w:val="0"/>
        <w:spacing w:line="400" w:lineRule="exact"/>
        <w:jc w:val="both"/>
        <w:outlineLvl w:val="2"/>
        <w:rPr>
          <w:rFonts w:ascii="宋体" w:hAnsi="宋体"/>
          <w:sz w:val="24"/>
          <w:highlight w:val="none"/>
        </w:rPr>
      </w:pPr>
      <w:bookmarkStart w:id="26" w:name="_Toc951"/>
      <w:bookmarkStart w:id="27" w:name="_Toc4443"/>
      <w:r>
        <w:rPr>
          <w:rFonts w:hint="eastAsia" w:ascii="宋体" w:hAnsi="宋体"/>
          <w:b/>
          <w:bCs/>
          <w:sz w:val="24"/>
          <w:highlight w:val="none"/>
          <w:lang w:eastAsia="zh-CN"/>
        </w:rPr>
        <w:t>（</w:t>
      </w:r>
      <w:r>
        <w:rPr>
          <w:rFonts w:hint="eastAsia" w:ascii="宋体" w:hAnsi="宋体"/>
          <w:b/>
          <w:bCs/>
          <w:sz w:val="24"/>
          <w:highlight w:val="none"/>
          <w:lang w:val="en-US" w:eastAsia="zh-CN"/>
        </w:rPr>
        <w:t>二）</w:t>
      </w:r>
      <w:r>
        <w:rPr>
          <w:rFonts w:hint="eastAsia" w:ascii="宋体" w:hAnsi="宋体"/>
          <w:sz w:val="24"/>
          <w:highlight w:val="none"/>
        </w:rPr>
        <w:t>供应商应满足如下要求:</w:t>
      </w:r>
      <w:bookmarkEnd w:id="26"/>
      <w:bookmarkEnd w:id="27"/>
    </w:p>
    <w:tbl>
      <w:tblPr>
        <w:tblStyle w:val="20"/>
        <w:tblpPr w:leftFromText="180" w:rightFromText="180" w:vertAnchor="text" w:horzAnchor="margin" w:tblpY="216"/>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643"/>
        <w:gridCol w:w="5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47" w:type="dxa"/>
          </w:tcPr>
          <w:p>
            <w:pPr>
              <w:widowControl w:val="0"/>
              <w:spacing w:line="320" w:lineRule="exact"/>
              <w:jc w:val="center"/>
              <w:rPr>
                <w:rFonts w:ascii="宋体" w:hAnsi="宋体"/>
                <w:sz w:val="24"/>
                <w:highlight w:val="none"/>
              </w:rPr>
            </w:pPr>
            <w:r>
              <w:rPr>
                <w:rFonts w:hint="eastAsia" w:ascii="宋体" w:hAnsi="宋体"/>
                <w:sz w:val="24"/>
                <w:highlight w:val="none"/>
              </w:rPr>
              <w:t>资格条件</w:t>
            </w:r>
          </w:p>
        </w:tc>
        <w:tc>
          <w:tcPr>
            <w:tcW w:w="1643" w:type="dxa"/>
          </w:tcPr>
          <w:p>
            <w:pPr>
              <w:widowControl w:val="0"/>
              <w:spacing w:line="320" w:lineRule="exact"/>
              <w:jc w:val="center"/>
              <w:rPr>
                <w:rFonts w:ascii="宋体" w:hAnsi="宋体"/>
                <w:sz w:val="24"/>
                <w:highlight w:val="none"/>
              </w:rPr>
            </w:pPr>
            <w:r>
              <w:rPr>
                <w:rFonts w:hint="eastAsia" w:ascii="宋体" w:hAnsi="宋体"/>
                <w:sz w:val="24"/>
                <w:highlight w:val="none"/>
              </w:rPr>
              <w:t>对供应商要求</w:t>
            </w:r>
          </w:p>
        </w:tc>
        <w:tc>
          <w:tcPr>
            <w:tcW w:w="5008" w:type="dxa"/>
          </w:tcPr>
          <w:p>
            <w:pPr>
              <w:widowControl w:val="0"/>
              <w:spacing w:line="320" w:lineRule="exact"/>
              <w:jc w:val="center"/>
              <w:rPr>
                <w:rFonts w:ascii="宋体" w:hAnsi="宋体"/>
                <w:sz w:val="24"/>
                <w:highlight w:val="none"/>
              </w:rPr>
            </w:pPr>
            <w:r>
              <w:rPr>
                <w:rFonts w:hint="eastAsia" w:ascii="宋体" w:hAnsi="宋体"/>
                <w:sz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sz w:val="24"/>
                <w:highlight w:val="none"/>
              </w:rPr>
            </w:pPr>
            <w:r>
              <w:rPr>
                <w:rFonts w:hint="eastAsia" w:ascii="宋体" w:hAnsi="宋体"/>
                <w:sz w:val="24"/>
                <w:highlight w:val="none"/>
              </w:rPr>
              <w:t>（1）依法设立</w:t>
            </w:r>
          </w:p>
        </w:tc>
        <w:tc>
          <w:tcPr>
            <w:tcW w:w="1643"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w:t>
            </w:r>
          </w:p>
        </w:tc>
        <w:tc>
          <w:tcPr>
            <w:tcW w:w="5008"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sz w:val="24"/>
                <w:highlight w:val="none"/>
              </w:rPr>
            </w:pPr>
            <w:r>
              <w:rPr>
                <w:rFonts w:hint="eastAsia" w:ascii="宋体" w:hAnsi="宋体"/>
                <w:sz w:val="24"/>
                <w:highlight w:val="none"/>
              </w:rPr>
              <w:t>（2）资质要求</w:t>
            </w:r>
          </w:p>
        </w:tc>
        <w:tc>
          <w:tcPr>
            <w:tcW w:w="1643"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w:t>
            </w:r>
          </w:p>
        </w:tc>
        <w:tc>
          <w:tcPr>
            <w:tcW w:w="5008"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color w:val="FF0000"/>
                <w:sz w:val="24"/>
                <w:highlight w:val="none"/>
              </w:rPr>
            </w:pPr>
            <w:r>
              <w:rPr>
                <w:rFonts w:hint="eastAsia" w:ascii="宋体" w:hAnsi="宋体"/>
                <w:color w:val="auto"/>
                <w:sz w:val="24"/>
                <w:highlight w:val="none"/>
              </w:rPr>
              <w:t>（3）财务要求</w:t>
            </w:r>
          </w:p>
        </w:tc>
        <w:tc>
          <w:tcPr>
            <w:tcW w:w="1643" w:type="dxa"/>
          </w:tcPr>
          <w:p>
            <w:pPr>
              <w:widowControl w:val="0"/>
              <w:spacing w:line="320" w:lineRule="exact"/>
              <w:jc w:val="both"/>
              <w:rPr>
                <w:rStyle w:val="22"/>
                <w:highlight w:val="none"/>
                <w:u w:val="single"/>
              </w:rPr>
            </w:pPr>
            <w:r>
              <w:rPr>
                <w:rStyle w:val="22"/>
                <w:rFonts w:hint="eastAsia"/>
                <w:highlight w:val="none"/>
                <w:u w:val="single"/>
              </w:rPr>
              <w:sym w:font="Wingdings 2" w:char="0052"/>
            </w:r>
            <w:r>
              <w:rPr>
                <w:rStyle w:val="22"/>
                <w:rFonts w:hint="eastAsia"/>
                <w:highlight w:val="none"/>
                <w:u w:val="single"/>
              </w:rPr>
              <w:t xml:space="preserve">不适用  </w:t>
            </w:r>
          </w:p>
          <w:p>
            <w:pPr>
              <w:widowControl w:val="0"/>
              <w:spacing w:line="320" w:lineRule="exact"/>
              <w:jc w:val="both"/>
              <w:rPr>
                <w:rFonts w:ascii="宋体" w:hAnsi="宋体"/>
                <w:color w:val="FF0000"/>
                <w:sz w:val="24"/>
                <w:highlight w:val="none"/>
              </w:rPr>
            </w:pPr>
          </w:p>
        </w:tc>
        <w:tc>
          <w:tcPr>
            <w:tcW w:w="5008" w:type="dxa"/>
          </w:tcPr>
          <w:p>
            <w:pPr>
              <w:widowControl w:val="0"/>
              <w:spacing w:line="320" w:lineRule="exact"/>
              <w:jc w:val="both"/>
              <w:rPr>
                <w:rStyle w:val="22"/>
                <w:highlight w:val="none"/>
                <w:u w:val="single"/>
              </w:rPr>
            </w:pPr>
            <w:r>
              <w:rPr>
                <w:rStyle w:val="22"/>
                <w:rFonts w:hint="eastAsia"/>
                <w:highlight w:val="none"/>
                <w:u w:val="single"/>
              </w:rPr>
              <w:sym w:font="Wingdings 2" w:char="0052"/>
            </w:r>
            <w:r>
              <w:rPr>
                <w:rStyle w:val="22"/>
                <w:rFonts w:hint="eastAsia"/>
                <w:highlight w:val="none"/>
                <w:u w:val="single"/>
              </w:rPr>
              <w:t xml:space="preserve">不适用  </w:t>
            </w:r>
          </w:p>
          <w:p>
            <w:pPr>
              <w:widowControl w:val="0"/>
              <w:spacing w:line="320" w:lineRule="exact"/>
              <w:jc w:val="both"/>
              <w:rPr>
                <w:rFonts w:ascii="宋体" w:hAnsi="宋体"/>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sz w:val="24"/>
                <w:highlight w:val="none"/>
              </w:rPr>
            </w:pPr>
            <w:r>
              <w:rPr>
                <w:rFonts w:hint="eastAsia" w:ascii="宋体" w:hAnsi="宋体"/>
                <w:sz w:val="24"/>
                <w:highlight w:val="none"/>
              </w:rPr>
              <w:t>（4）业绩要求</w:t>
            </w:r>
          </w:p>
        </w:tc>
        <w:tc>
          <w:tcPr>
            <w:tcW w:w="1643" w:type="dxa"/>
          </w:tcPr>
          <w:p>
            <w:pPr>
              <w:widowControl w:val="0"/>
              <w:spacing w:line="320" w:lineRule="exact"/>
              <w:jc w:val="both"/>
              <w:rPr>
                <w:rStyle w:val="22"/>
                <w:highlight w:val="none"/>
                <w:u w:val="single"/>
              </w:rPr>
            </w:pPr>
            <w:r>
              <w:rPr>
                <w:rStyle w:val="22"/>
                <w:rFonts w:hint="eastAsia"/>
                <w:highlight w:val="none"/>
                <w:u w:val="single"/>
              </w:rPr>
              <w:sym w:font="Wingdings 2" w:char="0052"/>
            </w:r>
            <w:r>
              <w:rPr>
                <w:rStyle w:val="22"/>
                <w:rFonts w:hint="eastAsia"/>
                <w:highlight w:val="none"/>
                <w:u w:val="single"/>
              </w:rPr>
              <w:t xml:space="preserve">适用  </w:t>
            </w:r>
          </w:p>
          <w:p>
            <w:pPr>
              <w:widowControl w:val="0"/>
              <w:spacing w:line="320" w:lineRule="exact"/>
              <w:jc w:val="both"/>
              <w:rPr>
                <w:rFonts w:ascii="宋体" w:hAnsi="宋体"/>
                <w:sz w:val="24"/>
                <w:highlight w:val="none"/>
              </w:rPr>
            </w:pPr>
          </w:p>
        </w:tc>
        <w:tc>
          <w:tcPr>
            <w:tcW w:w="5008"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sz w:val="24"/>
                <w:highlight w:val="none"/>
              </w:rPr>
            </w:pPr>
            <w:r>
              <w:rPr>
                <w:rFonts w:hint="eastAsia" w:ascii="宋体" w:hAnsi="宋体"/>
                <w:sz w:val="24"/>
                <w:highlight w:val="none"/>
              </w:rPr>
              <w:t>（5）信誉要求</w:t>
            </w:r>
          </w:p>
        </w:tc>
        <w:tc>
          <w:tcPr>
            <w:tcW w:w="1643" w:type="dxa"/>
          </w:tcPr>
          <w:p>
            <w:pPr>
              <w:widowControl w:val="0"/>
              <w:spacing w:line="320" w:lineRule="exact"/>
              <w:jc w:val="both"/>
              <w:rPr>
                <w:rStyle w:val="22"/>
                <w:highlight w:val="none"/>
                <w:u w:val="single"/>
              </w:rPr>
            </w:pPr>
            <w:r>
              <w:rPr>
                <w:rStyle w:val="22"/>
                <w:rFonts w:hint="eastAsia"/>
                <w:highlight w:val="none"/>
                <w:u w:val="single"/>
              </w:rPr>
              <w:sym w:font="Wingdings 2" w:char="0052"/>
            </w:r>
            <w:r>
              <w:rPr>
                <w:rStyle w:val="22"/>
                <w:rFonts w:hint="eastAsia"/>
                <w:highlight w:val="none"/>
                <w:u w:val="single"/>
              </w:rPr>
              <w:t xml:space="preserve">不适用  </w:t>
            </w:r>
          </w:p>
          <w:p>
            <w:pPr>
              <w:widowControl w:val="0"/>
              <w:spacing w:line="320" w:lineRule="exact"/>
              <w:jc w:val="both"/>
              <w:rPr>
                <w:rFonts w:ascii="宋体" w:hAnsi="宋体"/>
                <w:sz w:val="24"/>
                <w:highlight w:val="none"/>
              </w:rPr>
            </w:pPr>
          </w:p>
        </w:tc>
        <w:tc>
          <w:tcPr>
            <w:tcW w:w="5008" w:type="dxa"/>
          </w:tcPr>
          <w:p>
            <w:pPr>
              <w:widowControl w:val="0"/>
              <w:spacing w:line="320" w:lineRule="exact"/>
              <w:jc w:val="both"/>
              <w:rPr>
                <w:rStyle w:val="22"/>
                <w:highlight w:val="none"/>
                <w:u w:val="single"/>
              </w:rPr>
            </w:pPr>
            <w:r>
              <w:rPr>
                <w:rStyle w:val="22"/>
                <w:rFonts w:hint="eastAsia"/>
                <w:highlight w:val="none"/>
                <w:u w:val="single"/>
              </w:rPr>
              <w:sym w:font="Wingdings 2" w:char="0052"/>
            </w:r>
            <w:r>
              <w:rPr>
                <w:rStyle w:val="22"/>
                <w:rFonts w:hint="eastAsia"/>
                <w:highlight w:val="none"/>
                <w:u w:val="single"/>
              </w:rPr>
              <w:t xml:space="preserve">不适用  </w:t>
            </w:r>
          </w:p>
          <w:p>
            <w:pPr>
              <w:widowControl w:val="0"/>
              <w:spacing w:line="320" w:lineRule="exact"/>
              <w:jc w:val="both"/>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47" w:type="dxa"/>
          </w:tcPr>
          <w:p>
            <w:pPr>
              <w:widowControl w:val="0"/>
              <w:spacing w:line="288" w:lineRule="auto"/>
              <w:jc w:val="both"/>
              <w:rPr>
                <w:rFonts w:ascii="宋体" w:hAnsi="宋体"/>
                <w:sz w:val="24"/>
                <w:highlight w:val="none"/>
              </w:rPr>
            </w:pPr>
            <w:r>
              <w:rPr>
                <w:rFonts w:hint="eastAsia" w:ascii="宋体" w:hAnsi="宋体"/>
                <w:sz w:val="24"/>
                <w:highlight w:val="none"/>
              </w:rPr>
              <w:t>（6）承担本项目的主要人员要求</w:t>
            </w:r>
          </w:p>
        </w:tc>
        <w:tc>
          <w:tcPr>
            <w:tcW w:w="1643"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w:t>
            </w:r>
          </w:p>
        </w:tc>
        <w:tc>
          <w:tcPr>
            <w:tcW w:w="5008"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sz w:val="24"/>
                <w:highlight w:val="none"/>
              </w:rPr>
            </w:pPr>
            <w:r>
              <w:rPr>
                <w:rFonts w:hint="eastAsia" w:ascii="宋体" w:hAnsi="宋体"/>
                <w:sz w:val="24"/>
                <w:highlight w:val="none"/>
              </w:rPr>
              <w:t>（7）其他要求</w:t>
            </w:r>
          </w:p>
        </w:tc>
        <w:tc>
          <w:tcPr>
            <w:tcW w:w="1643" w:type="dxa"/>
          </w:tcPr>
          <w:p>
            <w:pPr>
              <w:widowControl w:val="0"/>
              <w:spacing w:line="320" w:lineRule="exact"/>
              <w:jc w:val="both"/>
              <w:rPr>
                <w:rStyle w:val="22"/>
                <w:highlight w:val="none"/>
                <w:u w:val="single"/>
              </w:rPr>
            </w:pPr>
            <w:r>
              <w:rPr>
                <w:rStyle w:val="22"/>
                <w:rFonts w:hint="eastAsia"/>
                <w:highlight w:val="none"/>
                <w:u w:val="single"/>
              </w:rPr>
              <w:sym w:font="Wingdings 2" w:char="0052"/>
            </w:r>
            <w:r>
              <w:rPr>
                <w:rStyle w:val="22"/>
                <w:rFonts w:hint="eastAsia"/>
                <w:highlight w:val="none"/>
                <w:u w:val="single"/>
              </w:rPr>
              <w:t xml:space="preserve">不适用  </w:t>
            </w:r>
          </w:p>
          <w:p>
            <w:pPr>
              <w:widowControl w:val="0"/>
              <w:spacing w:line="320" w:lineRule="exact"/>
              <w:jc w:val="both"/>
              <w:rPr>
                <w:rFonts w:ascii="宋体" w:hAnsi="宋体"/>
                <w:sz w:val="24"/>
                <w:highlight w:val="none"/>
              </w:rPr>
            </w:pPr>
          </w:p>
        </w:tc>
        <w:tc>
          <w:tcPr>
            <w:tcW w:w="5008" w:type="dxa"/>
          </w:tcPr>
          <w:p>
            <w:pPr>
              <w:widowControl w:val="0"/>
              <w:spacing w:line="320" w:lineRule="exact"/>
              <w:jc w:val="both"/>
              <w:rPr>
                <w:rStyle w:val="22"/>
                <w:highlight w:val="none"/>
                <w:u w:val="single"/>
              </w:rPr>
            </w:pPr>
            <w:r>
              <w:rPr>
                <w:rStyle w:val="22"/>
                <w:rFonts w:hint="eastAsia"/>
                <w:highlight w:val="none"/>
                <w:u w:val="single"/>
              </w:rPr>
              <w:sym w:font="Wingdings 2" w:char="0052"/>
            </w:r>
            <w:r>
              <w:rPr>
                <w:rStyle w:val="22"/>
                <w:rFonts w:hint="eastAsia"/>
                <w:highlight w:val="none"/>
                <w:u w:val="single"/>
              </w:rPr>
              <w:t xml:space="preserve">不适用  </w:t>
            </w:r>
          </w:p>
          <w:p>
            <w:pPr>
              <w:widowControl w:val="0"/>
              <w:spacing w:line="320" w:lineRule="exact"/>
              <w:jc w:val="both"/>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447" w:type="dxa"/>
          </w:tcPr>
          <w:p>
            <w:pPr>
              <w:widowControl w:val="0"/>
              <w:spacing w:line="288" w:lineRule="auto"/>
              <w:jc w:val="both"/>
              <w:rPr>
                <w:rFonts w:ascii="宋体" w:hAnsi="宋体"/>
                <w:sz w:val="24"/>
                <w:highlight w:val="none"/>
              </w:rPr>
            </w:pPr>
            <w:r>
              <w:rPr>
                <w:rFonts w:hint="eastAsia" w:ascii="宋体" w:hAnsi="宋体"/>
                <w:sz w:val="24"/>
                <w:highlight w:val="none"/>
              </w:rPr>
              <w:t>（8）供应商不存在第一章3.1款情形的证明材料</w:t>
            </w:r>
          </w:p>
        </w:tc>
        <w:tc>
          <w:tcPr>
            <w:tcW w:w="1643"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w:t>
            </w:r>
          </w:p>
        </w:tc>
        <w:tc>
          <w:tcPr>
            <w:tcW w:w="5008" w:type="dxa"/>
          </w:tcPr>
          <w:p>
            <w:pPr>
              <w:widowControl w:val="0"/>
              <w:spacing w:line="320" w:lineRule="exact"/>
              <w:jc w:val="both"/>
              <w:rPr>
                <w:rFonts w:ascii="宋体" w:hAnsi="宋体"/>
                <w:sz w:val="24"/>
                <w:highlight w:val="none"/>
              </w:rPr>
            </w:pPr>
            <w:r>
              <w:rPr>
                <w:rStyle w:val="22"/>
                <w:rFonts w:hint="eastAsia"/>
                <w:highlight w:val="none"/>
                <w:u w:val="single"/>
              </w:rPr>
              <w:sym w:font="Wingdings 2" w:char="0052"/>
            </w:r>
            <w:r>
              <w:rPr>
                <w:rStyle w:val="22"/>
                <w:rFonts w:hint="eastAsia"/>
                <w:highlight w:val="none"/>
                <w:u w:val="single"/>
              </w:rPr>
              <w:t>适用,见采购文件供应商须知前附表3.5（8）。</w:t>
            </w:r>
          </w:p>
        </w:tc>
      </w:tr>
    </w:tbl>
    <w:p>
      <w:pPr>
        <w:autoSpaceDE w:val="0"/>
        <w:spacing w:line="400" w:lineRule="exact"/>
        <w:ind w:firstLine="240" w:firstLineChars="100"/>
        <w:rPr>
          <w:rFonts w:ascii="宋体" w:hAnsi="宋体"/>
          <w:color w:val="000000" w:themeColor="text1"/>
          <w:sz w:val="24"/>
          <w:highlight w:val="none"/>
          <w14:textFill>
            <w14:solidFill>
              <w14:schemeClr w14:val="tx1"/>
            </w14:solidFill>
          </w14:textFill>
        </w:rPr>
      </w:pPr>
    </w:p>
    <w:p>
      <w:pPr>
        <w:pStyle w:val="6"/>
        <w:jc w:val="both"/>
        <w:outlineLvl w:val="1"/>
        <w:rPr>
          <w:rFonts w:ascii="Arial" w:hAnsi="Arial"/>
          <w:highlight w:val="none"/>
        </w:rPr>
      </w:pPr>
      <w:bookmarkStart w:id="28" w:name="_Toc15951"/>
      <w:bookmarkStart w:id="29" w:name="_Toc17031"/>
      <w:r>
        <w:rPr>
          <w:rFonts w:hint="eastAsia"/>
          <w:highlight w:val="none"/>
          <w:lang w:val="en-US" w:eastAsia="zh-CN"/>
        </w:rPr>
        <w:t>四、</w:t>
      </w:r>
      <w:r>
        <w:rPr>
          <w:rFonts w:hint="eastAsia" w:ascii="黑体" w:hAnsi="黑体"/>
          <w:highlight w:val="none"/>
        </w:rPr>
        <w:t>响应保证金</w:t>
      </w:r>
      <w:bookmarkEnd w:id="28"/>
      <w:bookmarkEnd w:id="29"/>
    </w:p>
    <w:tbl>
      <w:tblPr>
        <w:tblStyle w:val="20"/>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3314"/>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38" w:type="dxa"/>
          </w:tcPr>
          <w:p>
            <w:pPr>
              <w:widowControl w:val="0"/>
              <w:autoSpaceDE w:val="0"/>
              <w:spacing w:line="400" w:lineRule="exact"/>
              <w:jc w:val="both"/>
              <w:rPr>
                <w:rFonts w:ascii="宋体" w:hAnsi="宋体"/>
                <w:sz w:val="24"/>
                <w:highlight w:val="none"/>
              </w:rPr>
            </w:pPr>
            <w:r>
              <w:rPr>
                <w:rFonts w:hint="eastAsia" w:ascii="宋体" w:hAnsi="宋体"/>
                <w:sz w:val="24"/>
                <w:highlight w:val="none"/>
              </w:rPr>
              <w:t>响应保证金的递交</w:t>
            </w:r>
          </w:p>
        </w:tc>
        <w:tc>
          <w:tcPr>
            <w:tcW w:w="3314" w:type="dxa"/>
          </w:tcPr>
          <w:p>
            <w:pPr>
              <w:widowControl w:val="0"/>
              <w:autoSpaceDE w:val="0"/>
              <w:spacing w:line="400" w:lineRule="exact"/>
              <w:jc w:val="both"/>
              <w:rPr>
                <w:rFonts w:ascii="黑体" w:hAnsi="黑体"/>
                <w:highlight w:val="none"/>
              </w:rPr>
            </w:pPr>
            <w:r>
              <w:rPr>
                <w:rFonts w:hint="eastAsia" w:ascii="宋体" w:hAnsi="宋体"/>
                <w:sz w:val="24"/>
                <w:highlight w:val="none"/>
              </w:rPr>
              <w:t>不退还响应保证金的其他情形</w:t>
            </w:r>
          </w:p>
        </w:tc>
        <w:tc>
          <w:tcPr>
            <w:tcW w:w="3046" w:type="dxa"/>
          </w:tcPr>
          <w:p>
            <w:pPr>
              <w:widowControl w:val="0"/>
              <w:autoSpaceDE w:val="0"/>
              <w:spacing w:line="400" w:lineRule="exact"/>
              <w:jc w:val="both"/>
              <w:rPr>
                <w:rFonts w:ascii="黑体" w:hAnsi="黑体"/>
                <w:highlight w:val="none"/>
              </w:rPr>
            </w:pPr>
            <w:r>
              <w:rPr>
                <w:rFonts w:hint="eastAsia" w:ascii="宋体" w:hAnsi="宋体"/>
                <w:sz w:val="24"/>
                <w:highlight w:val="none"/>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738" w:type="dxa"/>
          </w:tcPr>
          <w:p>
            <w:pPr>
              <w:widowControl w:val="0"/>
              <w:autoSpaceDE w:val="0"/>
              <w:spacing w:line="400" w:lineRule="exact"/>
              <w:jc w:val="both"/>
              <w:rPr>
                <w:rFonts w:ascii="宋体" w:hAnsi="宋体"/>
                <w:sz w:val="24"/>
                <w:highlight w:val="none"/>
              </w:rPr>
            </w:pPr>
            <w:r>
              <w:rPr>
                <w:rStyle w:val="22"/>
                <w:rFonts w:hint="eastAsia"/>
                <w:highlight w:val="none"/>
              </w:rPr>
              <w:t>☑</w:t>
            </w:r>
            <w:r>
              <w:rPr>
                <w:rFonts w:hint="eastAsia" w:ascii="宋体" w:hAnsi="宋体"/>
                <w:sz w:val="24"/>
                <w:highlight w:val="none"/>
              </w:rPr>
              <w:t>不要求递交</w:t>
            </w:r>
          </w:p>
        </w:tc>
        <w:tc>
          <w:tcPr>
            <w:tcW w:w="3314" w:type="dxa"/>
          </w:tcPr>
          <w:p>
            <w:pPr>
              <w:widowControl w:val="0"/>
              <w:autoSpaceDE w:val="0"/>
              <w:spacing w:line="400" w:lineRule="exact"/>
              <w:jc w:val="both"/>
              <w:rPr>
                <w:rFonts w:ascii="黑体" w:hAnsi="黑体"/>
                <w:highlight w:val="none"/>
              </w:rPr>
            </w:pPr>
            <w:r>
              <w:rPr>
                <w:rStyle w:val="22"/>
                <w:rFonts w:hint="eastAsia"/>
                <w:highlight w:val="none"/>
              </w:rPr>
              <w:t>☑不</w:t>
            </w:r>
            <w:r>
              <w:rPr>
                <w:rFonts w:hint="eastAsia" w:ascii="宋体" w:hAnsi="宋体"/>
                <w:sz w:val="24"/>
                <w:highlight w:val="none"/>
              </w:rPr>
              <w:t>适用</w:t>
            </w:r>
          </w:p>
        </w:tc>
        <w:tc>
          <w:tcPr>
            <w:tcW w:w="3046" w:type="dxa"/>
          </w:tcPr>
          <w:p>
            <w:pPr>
              <w:widowControl w:val="0"/>
              <w:autoSpaceDE w:val="0"/>
              <w:spacing w:line="400" w:lineRule="exact"/>
              <w:jc w:val="both"/>
              <w:rPr>
                <w:rFonts w:ascii="黑体" w:hAnsi="黑体"/>
                <w:highlight w:val="none"/>
              </w:rPr>
            </w:pPr>
            <w:r>
              <w:rPr>
                <w:rStyle w:val="22"/>
                <w:rFonts w:hint="eastAsia"/>
                <w:highlight w:val="none"/>
              </w:rPr>
              <w:t>☑</w:t>
            </w:r>
            <w:r>
              <w:rPr>
                <w:rFonts w:hint="eastAsia" w:ascii="宋体" w:hAnsi="宋体"/>
                <w:sz w:val="24"/>
                <w:highlight w:val="none"/>
              </w:rPr>
              <w:t>不适用</w:t>
            </w:r>
          </w:p>
        </w:tc>
      </w:tr>
    </w:tbl>
    <w:p>
      <w:pPr>
        <w:pStyle w:val="6"/>
        <w:jc w:val="both"/>
        <w:outlineLvl w:val="1"/>
        <w:rPr>
          <w:rFonts w:ascii="Arial" w:hAnsi="Arial"/>
          <w:highlight w:val="none"/>
        </w:rPr>
      </w:pPr>
      <w:bookmarkStart w:id="30" w:name="_Toc15711"/>
      <w:bookmarkStart w:id="31" w:name="_Toc9928"/>
      <w:r>
        <w:rPr>
          <w:rFonts w:hint="eastAsia"/>
          <w:highlight w:val="none"/>
          <w:lang w:val="en-US" w:eastAsia="zh-CN"/>
        </w:rPr>
        <w:t>五、</w:t>
      </w:r>
      <w:r>
        <w:rPr>
          <w:rFonts w:hint="eastAsia" w:ascii="黑体" w:hAnsi="黑体"/>
          <w:highlight w:val="none"/>
        </w:rPr>
        <w:t>确定成交供应商的方法</w:t>
      </w:r>
      <w:bookmarkEnd w:id="30"/>
      <w:bookmarkEnd w:id="31"/>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bookmarkStart w:id="32" w:name="_Toc25167"/>
      <w:r>
        <w:rPr>
          <w:rFonts w:hint="eastAsia" w:ascii="宋体" w:hAnsi="宋体" w:eastAsia="宋体" w:cs="宋体"/>
          <w:bCs/>
          <w:color w:val="000000"/>
          <w:sz w:val="24"/>
          <w:szCs w:val="24"/>
          <w:highlight w:val="none"/>
          <w:lang w:val="en-US" w:eastAsia="zh-CN"/>
        </w:rPr>
        <w:t>（一）最低价法</w:t>
      </w:r>
      <w:bookmarkEnd w:id="3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 xml:space="preserve">（二）采购人应当确定排名第一的成交候选供应商为成交供应商。若排名第一的成交候选供应商未通过履约能力和报价核查，采购人应按推荐的名单排序依次确定其他成交候选供应商为成交供应商。 </w:t>
      </w:r>
    </w:p>
    <w:p>
      <w:pPr>
        <w:pStyle w:val="6"/>
        <w:jc w:val="both"/>
        <w:outlineLvl w:val="1"/>
        <w:rPr>
          <w:rFonts w:ascii="黑体" w:hAnsi="黑体"/>
          <w:highlight w:val="none"/>
        </w:rPr>
      </w:pPr>
      <w:bookmarkStart w:id="33" w:name="_Toc5484"/>
      <w:bookmarkStart w:id="34" w:name="_Toc18447"/>
      <w:r>
        <w:rPr>
          <w:rFonts w:hint="eastAsia"/>
          <w:highlight w:val="none"/>
          <w:lang w:val="en-US" w:eastAsia="zh-CN"/>
        </w:rPr>
        <w:t>六、</w:t>
      </w:r>
      <w:r>
        <w:rPr>
          <w:rFonts w:hint="eastAsia" w:ascii="黑体" w:hAnsi="黑体"/>
          <w:highlight w:val="none"/>
        </w:rPr>
        <w:t>采购文件获取</w:t>
      </w:r>
      <w:bookmarkEnd w:id="33"/>
      <w:bookmarkEnd w:id="3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 供应商应当于2022年</w:t>
      </w:r>
      <w:r>
        <w:rPr>
          <w:rFonts w:hint="eastAsia" w:ascii="宋体" w:hAnsi="宋体" w:cs="宋体"/>
          <w:bCs/>
          <w:color w:val="000000"/>
          <w:sz w:val="24"/>
          <w:szCs w:val="24"/>
          <w:highlight w:val="none"/>
          <w:lang w:val="en-US" w:eastAsia="zh-CN"/>
        </w:rPr>
        <w:t>9</w:t>
      </w:r>
      <w:r>
        <w:rPr>
          <w:rFonts w:hint="eastAsia" w:ascii="宋体" w:hAnsi="宋体" w:eastAsia="宋体" w:cs="宋体"/>
          <w:bCs/>
          <w:color w:val="000000"/>
          <w:sz w:val="24"/>
          <w:szCs w:val="24"/>
          <w:highlight w:val="none"/>
          <w:lang w:val="en-US" w:eastAsia="zh-CN"/>
        </w:rPr>
        <w:t>月</w:t>
      </w:r>
      <w:r>
        <w:rPr>
          <w:rFonts w:hint="eastAsia" w:ascii="宋体" w:hAnsi="宋体" w:cs="宋体"/>
          <w:bCs/>
          <w:color w:val="000000"/>
          <w:sz w:val="24"/>
          <w:szCs w:val="24"/>
          <w:highlight w:val="none"/>
          <w:lang w:val="en-US" w:eastAsia="zh-CN"/>
        </w:rPr>
        <w:t>20</w:t>
      </w:r>
      <w:r>
        <w:rPr>
          <w:rFonts w:hint="eastAsia" w:ascii="宋体" w:hAnsi="宋体" w:eastAsia="宋体" w:cs="宋体"/>
          <w:bCs/>
          <w:color w:val="000000"/>
          <w:sz w:val="24"/>
          <w:szCs w:val="24"/>
          <w:highlight w:val="none"/>
          <w:lang w:val="en-US" w:eastAsia="zh-CN"/>
        </w:rPr>
        <w:t>至2022年</w:t>
      </w:r>
      <w:r>
        <w:rPr>
          <w:rFonts w:hint="eastAsia" w:ascii="宋体" w:hAnsi="宋体" w:cs="宋体"/>
          <w:bCs/>
          <w:color w:val="000000"/>
          <w:sz w:val="24"/>
          <w:szCs w:val="24"/>
          <w:highlight w:val="none"/>
          <w:lang w:val="en-US" w:eastAsia="zh-CN"/>
        </w:rPr>
        <w:t>9</w:t>
      </w:r>
      <w:r>
        <w:rPr>
          <w:rFonts w:hint="eastAsia" w:ascii="宋体" w:hAnsi="宋体" w:eastAsia="宋体" w:cs="宋体"/>
          <w:bCs/>
          <w:color w:val="000000"/>
          <w:sz w:val="24"/>
          <w:szCs w:val="24"/>
          <w:highlight w:val="none"/>
          <w:lang w:val="en-US" w:eastAsia="zh-CN"/>
        </w:rPr>
        <w:t>月</w:t>
      </w:r>
      <w:r>
        <w:rPr>
          <w:rFonts w:hint="eastAsia" w:ascii="宋体" w:hAnsi="宋体" w:cs="宋体"/>
          <w:bCs/>
          <w:color w:val="000000"/>
          <w:sz w:val="24"/>
          <w:szCs w:val="24"/>
          <w:highlight w:val="none"/>
          <w:lang w:val="en-US" w:eastAsia="zh-CN"/>
        </w:rPr>
        <w:t>24</w:t>
      </w:r>
      <w:r>
        <w:rPr>
          <w:rFonts w:hint="eastAsia" w:ascii="宋体" w:hAnsi="宋体" w:eastAsia="宋体" w:cs="宋体"/>
          <w:bCs/>
          <w:color w:val="000000"/>
          <w:sz w:val="24"/>
          <w:szCs w:val="24"/>
          <w:highlight w:val="none"/>
          <w:lang w:val="en-US" w:eastAsia="zh-CN"/>
        </w:rPr>
        <w:t>日，在中国招标投标公共服务平台（http：//www.cebpubservice.com）、湖南省湘水集团有限公司网站（http：//www.hnsxsjt.com）、湖南省港务集团有限公司门户网站（http://www.hnsgwjt.com/）上获取采购文件。</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（二）供应商若对本项目采购需求、资格要求等有疑问的，应当于2022年</w:t>
      </w:r>
      <w:r>
        <w:rPr>
          <w:rFonts w:hint="eastAsia" w:ascii="宋体" w:hAnsi="宋体" w:cs="宋体"/>
          <w:bCs/>
          <w:color w:val="000000"/>
          <w:sz w:val="24"/>
          <w:szCs w:val="24"/>
          <w:highlight w:val="none"/>
          <w:lang w:val="en-US" w:eastAsia="zh-CN"/>
        </w:rPr>
        <w:t>9</w:t>
      </w:r>
      <w:r>
        <w:rPr>
          <w:rFonts w:hint="eastAsia" w:ascii="宋体" w:hAnsi="宋体" w:eastAsia="宋体" w:cs="宋体"/>
          <w:bCs/>
          <w:color w:val="000000"/>
          <w:sz w:val="24"/>
          <w:szCs w:val="24"/>
          <w:highlight w:val="none"/>
          <w:lang w:val="en-US" w:eastAsia="zh-CN"/>
        </w:rPr>
        <w:t>月</w:t>
      </w:r>
      <w:r>
        <w:rPr>
          <w:rFonts w:hint="eastAsia" w:ascii="宋体" w:hAnsi="宋体" w:cs="宋体"/>
          <w:bCs/>
          <w:color w:val="000000"/>
          <w:sz w:val="24"/>
          <w:szCs w:val="24"/>
          <w:highlight w:val="none"/>
          <w:lang w:val="en-US" w:eastAsia="zh-CN"/>
        </w:rPr>
        <w:t>25</w:t>
      </w:r>
      <w:r>
        <w:rPr>
          <w:rFonts w:hint="eastAsia" w:ascii="宋体" w:hAnsi="宋体" w:eastAsia="宋体" w:cs="宋体"/>
          <w:bCs/>
          <w:color w:val="000000"/>
          <w:sz w:val="24"/>
          <w:szCs w:val="24"/>
          <w:highlight w:val="none"/>
          <w:lang w:val="en-US" w:eastAsia="zh-CN"/>
        </w:rPr>
        <w:t>日</w:t>
      </w:r>
      <w:r>
        <w:rPr>
          <w:rFonts w:hint="eastAsia" w:ascii="宋体" w:hAnsi="宋体" w:cs="宋体"/>
          <w:bCs/>
          <w:color w:val="000000"/>
          <w:sz w:val="24"/>
          <w:szCs w:val="24"/>
          <w:highlight w:val="none"/>
          <w:lang w:val="en-US" w:eastAsia="zh-CN"/>
        </w:rPr>
        <w:t>9</w:t>
      </w:r>
      <w:r>
        <w:rPr>
          <w:rFonts w:hint="eastAsia" w:ascii="宋体" w:hAnsi="宋体" w:eastAsia="宋体" w:cs="宋体"/>
          <w:bCs/>
          <w:color w:val="000000"/>
          <w:sz w:val="24"/>
          <w:szCs w:val="24"/>
          <w:highlight w:val="none"/>
          <w:lang w:val="en-US" w:eastAsia="zh-CN"/>
        </w:rPr>
        <w:t>时00分前向采购人提出澄清要求</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CN"/>
        </w:rPr>
        <w:t>于2022年</w:t>
      </w:r>
      <w:r>
        <w:rPr>
          <w:rFonts w:hint="eastAsia" w:ascii="宋体" w:hAnsi="宋体" w:cs="宋体"/>
          <w:bCs/>
          <w:color w:val="000000"/>
          <w:sz w:val="24"/>
          <w:szCs w:val="24"/>
          <w:highlight w:val="none"/>
          <w:lang w:val="en-US" w:eastAsia="zh-CN"/>
        </w:rPr>
        <w:t>9</w:t>
      </w:r>
      <w:r>
        <w:rPr>
          <w:rFonts w:hint="eastAsia" w:ascii="宋体" w:hAnsi="宋体" w:eastAsia="宋体" w:cs="宋体"/>
          <w:bCs/>
          <w:color w:val="000000"/>
          <w:sz w:val="24"/>
          <w:szCs w:val="24"/>
          <w:highlight w:val="none"/>
          <w:lang w:val="en-US" w:eastAsia="zh-CN"/>
        </w:rPr>
        <w:t>月</w:t>
      </w:r>
      <w:r>
        <w:rPr>
          <w:rFonts w:hint="eastAsia" w:ascii="宋体" w:hAnsi="宋体" w:cs="宋体"/>
          <w:bCs/>
          <w:color w:val="000000"/>
          <w:sz w:val="24"/>
          <w:szCs w:val="24"/>
          <w:highlight w:val="none"/>
          <w:lang w:val="en-US" w:eastAsia="zh-CN"/>
        </w:rPr>
        <w:t>26</w:t>
      </w:r>
      <w:r>
        <w:rPr>
          <w:rFonts w:hint="eastAsia" w:ascii="宋体" w:hAnsi="宋体" w:eastAsia="宋体" w:cs="宋体"/>
          <w:bCs/>
          <w:color w:val="000000"/>
          <w:sz w:val="24"/>
          <w:szCs w:val="24"/>
          <w:highlight w:val="none"/>
          <w:lang w:val="en-US" w:eastAsia="zh-CN"/>
        </w:rPr>
        <w:t>日</w:t>
      </w:r>
      <w:r>
        <w:rPr>
          <w:rFonts w:hint="eastAsia" w:ascii="宋体" w:hAnsi="宋体" w:cs="宋体"/>
          <w:bCs/>
          <w:color w:val="000000"/>
          <w:sz w:val="24"/>
          <w:szCs w:val="24"/>
          <w:highlight w:val="none"/>
          <w:lang w:val="en-US" w:eastAsia="zh-CN"/>
        </w:rPr>
        <w:t>9</w:t>
      </w:r>
      <w:r>
        <w:rPr>
          <w:rFonts w:hint="eastAsia" w:ascii="宋体" w:hAnsi="宋体" w:eastAsia="宋体" w:cs="宋体"/>
          <w:bCs/>
          <w:color w:val="000000"/>
          <w:sz w:val="24"/>
          <w:szCs w:val="24"/>
          <w:highlight w:val="none"/>
          <w:lang w:val="en-US" w:eastAsia="zh-CN"/>
        </w:rPr>
        <w:t>时00分前向采购人</w:t>
      </w:r>
      <w:r>
        <w:rPr>
          <w:rFonts w:hint="eastAsia" w:ascii="宋体" w:hAnsi="宋体" w:cs="宋体"/>
          <w:bCs/>
          <w:color w:val="000000"/>
          <w:sz w:val="24"/>
          <w:szCs w:val="24"/>
          <w:highlight w:val="none"/>
          <w:lang w:val="en-US" w:eastAsia="zh-CN"/>
        </w:rPr>
        <w:t>递交响应文件</w:t>
      </w:r>
      <w:r>
        <w:rPr>
          <w:rFonts w:hint="eastAsia" w:ascii="宋体" w:hAnsi="宋体" w:eastAsia="宋体" w:cs="宋体"/>
          <w:bCs/>
          <w:color w:val="000000"/>
          <w:sz w:val="24"/>
          <w:szCs w:val="24"/>
          <w:highlight w:val="none"/>
          <w:lang w:val="en-US" w:eastAsia="zh-CN"/>
        </w:rPr>
        <w:t>。</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w:t>
      </w:r>
    </w:p>
    <w:p>
      <w:pPr>
        <w:rPr>
          <w:highlight w:val="none"/>
        </w:rPr>
      </w:pPr>
    </w:p>
    <w:p>
      <w:pPr>
        <w:pStyle w:val="5"/>
        <w:keepNext w:val="0"/>
        <w:keepLines w:val="0"/>
        <w:widowControl w:val="0"/>
        <w:adjustRightInd w:val="0"/>
        <w:snapToGrid w:val="0"/>
        <w:spacing w:after="0" w:line="312" w:lineRule="auto"/>
        <w:ind w:left="0" w:right="0" w:firstLine="0" w:firstLineChars="0"/>
        <w:jc w:val="both"/>
        <w:rPr>
          <w:rFonts w:hint="eastAsia" w:ascii="宋体" w:hAnsi="宋体" w:eastAsia="宋体" w:cs="宋体"/>
          <w:b/>
          <w:color w:val="auto"/>
          <w:sz w:val="24"/>
          <w:szCs w:val="24"/>
        </w:rPr>
      </w:pPr>
      <w:bookmarkStart w:id="35" w:name="_Toc10310"/>
      <w:bookmarkStart w:id="36" w:name="_Toc10295"/>
      <w:r>
        <w:rPr>
          <w:rFonts w:hint="eastAsia" w:cs="宋体"/>
          <w:b/>
          <w:color w:val="auto"/>
          <w:sz w:val="24"/>
          <w:szCs w:val="24"/>
          <w:lang w:val="en-US" w:eastAsia="zh-CN"/>
        </w:rPr>
        <w:t>七</w:t>
      </w:r>
      <w:r>
        <w:rPr>
          <w:rFonts w:hint="eastAsia" w:ascii="宋体" w:hAnsi="宋体" w:eastAsia="宋体" w:cs="宋体"/>
          <w:b/>
          <w:color w:val="auto"/>
          <w:sz w:val="24"/>
          <w:szCs w:val="24"/>
        </w:rPr>
        <w:t>、最高投标限价</w:t>
      </w:r>
      <w:bookmarkEnd w:id="35"/>
      <w:bookmarkEnd w:id="3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采购人对本次询价项目设置了最高限价为叁拾壹万伍仟元整：¥315，000.00（含3%增值税）超过最高限价的作废。如果报价人提供其他税率的增值税专用发票，</w:t>
      </w:r>
      <w:r>
        <w:rPr>
          <w:rFonts w:hint="eastAsia" w:ascii="宋体" w:hAnsi="宋体" w:cs="宋体"/>
          <w:bCs/>
          <w:color w:val="000000"/>
          <w:sz w:val="24"/>
          <w:szCs w:val="24"/>
          <w:highlight w:val="none"/>
          <w:lang w:val="en-US" w:eastAsia="zh-CN"/>
        </w:rPr>
        <w:t>采购</w:t>
      </w:r>
      <w:r>
        <w:rPr>
          <w:rFonts w:hint="eastAsia" w:ascii="宋体" w:hAnsi="宋体" w:eastAsia="宋体" w:cs="宋体"/>
          <w:bCs/>
          <w:color w:val="000000"/>
          <w:sz w:val="24"/>
          <w:szCs w:val="24"/>
          <w:highlight w:val="none"/>
          <w:lang w:val="en-US" w:eastAsia="zh-CN"/>
        </w:rPr>
        <w:t>人按3%的税率调整后计算报价参与排序。</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项目的报价采用包工、包质量、包安全生产和安全保卫、包文明施工、包伙食费与交通费，综合单价包干的方式进行承包。综合单价包括：相应所有直接费、各种技术措施费用、管理费、利润、安全文明施工费、冬雨季施工增加费、社会保险费、规费、税金、从指定的水电接驳点接水接电费用及夜间施工照明费用、合同工期内的赶工费、各种施工风险因素后的综合单价。最终结算金额以实际发生量为准。</w:t>
      </w:r>
    </w:p>
    <w:p>
      <w:pPr>
        <w:pStyle w:val="6"/>
        <w:jc w:val="both"/>
        <w:outlineLvl w:val="1"/>
        <w:rPr>
          <w:highlight w:val="none"/>
        </w:rPr>
      </w:pPr>
      <w:bookmarkStart w:id="37" w:name="_Toc76635692"/>
      <w:bookmarkStart w:id="38" w:name="_Toc77254104"/>
      <w:bookmarkStart w:id="39" w:name="_Toc512257471"/>
      <w:bookmarkStart w:id="40" w:name="_Toc1011"/>
      <w:bookmarkStart w:id="41" w:name="_Toc79596547"/>
      <w:bookmarkStart w:id="42" w:name="_Toc246"/>
      <w:r>
        <w:rPr>
          <w:rFonts w:hint="eastAsia"/>
          <w:highlight w:val="none"/>
          <w:lang w:val="en-US" w:eastAsia="zh-CN"/>
        </w:rPr>
        <w:t>八、</w:t>
      </w:r>
      <w:r>
        <w:rPr>
          <w:highlight w:val="none"/>
        </w:rPr>
        <w:t>监督</w:t>
      </w:r>
      <w:bookmarkEnd w:id="37"/>
      <w:bookmarkEnd w:id="38"/>
      <w:bookmarkEnd w:id="39"/>
      <w:r>
        <w:rPr>
          <w:rFonts w:hint="eastAsia"/>
          <w:highlight w:val="none"/>
        </w:rPr>
        <w:t>部门</w:t>
      </w:r>
      <w:bookmarkEnd w:id="40"/>
      <w:bookmarkEnd w:id="41"/>
      <w:bookmarkEnd w:id="42"/>
    </w:p>
    <w:p>
      <w:pPr>
        <w:pStyle w:val="16"/>
        <w:widowControl w:val="0"/>
        <w:adjustRightInd w:val="0"/>
        <w:snapToGrid w:val="0"/>
        <w:spacing w:before="0" w:beforeAutospacing="0" w:after="0" w:afterAutospacing="0" w:line="312" w:lineRule="auto"/>
        <w:ind w:firstLine="480" w:firstLineChars="200"/>
        <w:jc w:val="both"/>
        <w:rPr>
          <w:rFonts w:cs="Times New Roman"/>
          <w:color w:val="auto"/>
          <w:highlight w:val="none"/>
        </w:rPr>
      </w:pPr>
      <w:r>
        <w:rPr>
          <w:rFonts w:cs="Times New Roman"/>
          <w:color w:val="auto"/>
          <w:highlight w:val="none"/>
        </w:rPr>
        <w:t>本次</w:t>
      </w:r>
      <w:r>
        <w:rPr>
          <w:rFonts w:hint="eastAsia" w:cs="Times New Roman"/>
          <w:color w:val="auto"/>
          <w:highlight w:val="none"/>
        </w:rPr>
        <w:t>采购</w:t>
      </w:r>
      <w:r>
        <w:rPr>
          <w:rFonts w:cs="Times New Roman"/>
          <w:color w:val="auto"/>
          <w:highlight w:val="none"/>
        </w:rPr>
        <w:t>监督部门为</w:t>
      </w:r>
      <w:r>
        <w:rPr>
          <w:rFonts w:hint="eastAsia" w:cs="Times New Roman"/>
          <w:color w:val="auto"/>
          <w:highlight w:val="none"/>
        </w:rPr>
        <w:t>湖南</w:t>
      </w:r>
      <w:r>
        <w:rPr>
          <w:rFonts w:hint="eastAsia"/>
          <w:color w:val="auto"/>
          <w:highlight w:val="none"/>
        </w:rPr>
        <w:t>港产科技有限公司党群综合部</w:t>
      </w:r>
      <w:r>
        <w:rPr>
          <w:rFonts w:hint="eastAsia"/>
          <w:color w:val="auto"/>
          <w:highlight w:val="none"/>
          <w:lang w:val="en-US" w:eastAsia="zh-CN"/>
        </w:rPr>
        <w:t>晏晶</w:t>
      </w:r>
      <w:r>
        <w:rPr>
          <w:rFonts w:cs="Times New Roman"/>
          <w:color w:val="auto"/>
          <w:highlight w:val="none"/>
        </w:rPr>
        <w:t>，电话：</w:t>
      </w:r>
      <w:r>
        <w:rPr>
          <w:rFonts w:hint="eastAsia" w:ascii="宋体" w:hAnsi="宋体" w:cs="宋体"/>
          <w:color w:val="auto"/>
          <w:highlight w:val="none"/>
          <w:u w:val="single"/>
          <w:lang w:eastAsia="zh-CN"/>
        </w:rPr>
        <w:t>1</w:t>
      </w:r>
      <w:r>
        <w:rPr>
          <w:rFonts w:hint="eastAsia" w:ascii="宋体" w:hAnsi="宋体" w:cs="宋体"/>
          <w:color w:val="auto"/>
          <w:highlight w:val="none"/>
          <w:u w:val="single"/>
          <w:lang w:val="en-US" w:eastAsia="zh-CN"/>
        </w:rPr>
        <w:t>3873063063</w:t>
      </w:r>
    </w:p>
    <w:p>
      <w:pPr>
        <w:pStyle w:val="6"/>
        <w:jc w:val="both"/>
        <w:outlineLvl w:val="1"/>
        <w:rPr>
          <w:rFonts w:ascii="Arial" w:hAnsi="Arial"/>
          <w:color w:val="auto"/>
          <w:highlight w:val="none"/>
        </w:rPr>
      </w:pPr>
      <w:bookmarkStart w:id="43" w:name="_Toc10723"/>
      <w:bookmarkStart w:id="44" w:name="_Toc23943"/>
      <w:r>
        <w:rPr>
          <w:rFonts w:hint="eastAsia"/>
          <w:color w:val="auto"/>
          <w:highlight w:val="none"/>
          <w:lang w:val="en-US" w:eastAsia="zh-CN"/>
        </w:rPr>
        <w:t>九、</w:t>
      </w:r>
      <w:r>
        <w:rPr>
          <w:rFonts w:hint="eastAsia" w:ascii="黑体" w:hAnsi="黑体"/>
          <w:color w:val="auto"/>
          <w:highlight w:val="none"/>
        </w:rPr>
        <w:t>其他</w:t>
      </w:r>
      <w:bookmarkEnd w:id="43"/>
      <w:bookmarkEnd w:id="44"/>
    </w:p>
    <w:p>
      <w:pPr>
        <w:autoSpaceDE w:val="0"/>
        <w:spacing w:line="360" w:lineRule="auto"/>
        <w:jc w:val="both"/>
        <w:rPr>
          <w:rFonts w:hint="eastAsia" w:ascii="宋体" w:hAnsi="宋体"/>
          <w:sz w:val="24"/>
          <w:highlight w:val="none"/>
        </w:rPr>
      </w:pPr>
      <w:r>
        <w:rPr>
          <w:rFonts w:hint="eastAsia" w:ascii="宋体" w:hAnsi="宋体"/>
          <w:sz w:val="24"/>
          <w:highlight w:val="none"/>
        </w:rPr>
        <w:t xml:space="preserve">采购人在签署采购合同时及合同履行过程中，有权对采购标的数量进行增加或减少的幅度: </w:t>
      </w:r>
      <w:r>
        <w:rPr>
          <w:rFonts w:hint="eastAsia" w:ascii="宋体" w:hAnsi="宋体"/>
          <w:sz w:val="24"/>
          <w:highlight w:val="none"/>
          <w:u w:val="single"/>
        </w:rPr>
        <w:t>10</w:t>
      </w:r>
      <w:r>
        <w:rPr>
          <w:rFonts w:hint="eastAsia" w:ascii="宋体" w:hAnsi="宋体"/>
          <w:sz w:val="24"/>
          <w:highlight w:val="none"/>
        </w:rPr>
        <w:t>%。</w:t>
      </w:r>
    </w:p>
    <w:p>
      <w:pPr>
        <w:pStyle w:val="6"/>
        <w:jc w:val="both"/>
        <w:outlineLvl w:val="1"/>
        <w:rPr>
          <w:rFonts w:ascii="Arial" w:hAnsi="Arial"/>
          <w:highlight w:val="none"/>
        </w:rPr>
      </w:pPr>
      <w:bookmarkStart w:id="45" w:name="_Toc1242"/>
      <w:bookmarkStart w:id="46" w:name="_Toc17244"/>
      <w:r>
        <w:rPr>
          <w:rFonts w:hint="eastAsia"/>
          <w:highlight w:val="none"/>
          <w:lang w:val="en-US" w:eastAsia="zh-CN"/>
        </w:rPr>
        <w:t>十、</w:t>
      </w:r>
      <w:r>
        <w:rPr>
          <w:rFonts w:hint="eastAsia" w:ascii="黑体" w:hAnsi="黑体"/>
          <w:highlight w:val="none"/>
        </w:rPr>
        <w:t>联系方式</w:t>
      </w:r>
      <w:bookmarkEnd w:id="45"/>
      <w:bookmarkEnd w:id="46"/>
    </w:p>
    <w:p>
      <w:pPr>
        <w:autoSpaceDE w:val="0"/>
        <w:spacing w:line="400" w:lineRule="exact"/>
        <w:ind w:firstLine="240" w:firstLineChars="100"/>
        <w:jc w:val="both"/>
        <w:rPr>
          <w:rFonts w:hint="default" w:ascii="宋体" w:hAnsi="宋体" w:eastAsia="宋体"/>
          <w:sz w:val="24"/>
          <w:highlight w:val="none"/>
          <w:lang w:val="en-US" w:eastAsia="zh-CN"/>
        </w:rPr>
      </w:pPr>
      <w:r>
        <w:rPr>
          <w:rFonts w:hint="eastAsia" w:ascii="宋体" w:hAnsi="宋体"/>
          <w:sz w:val="24"/>
          <w:highlight w:val="none"/>
        </w:rPr>
        <w:t>采 购 人: 湖南港产</w:t>
      </w:r>
      <w:r>
        <w:rPr>
          <w:rFonts w:hint="eastAsia" w:ascii="宋体" w:hAnsi="宋体"/>
          <w:sz w:val="24"/>
          <w:highlight w:val="none"/>
          <w:lang w:val="en-US" w:eastAsia="zh-CN"/>
        </w:rPr>
        <w:t>科技</w:t>
      </w:r>
      <w:r>
        <w:rPr>
          <w:rFonts w:hint="eastAsia" w:ascii="宋体" w:hAnsi="宋体"/>
          <w:sz w:val="24"/>
          <w:highlight w:val="none"/>
        </w:rPr>
        <w:t xml:space="preserve">有限公司         </w:t>
      </w:r>
      <w:r>
        <w:rPr>
          <w:rFonts w:hint="eastAsia" w:ascii="宋体" w:hAnsi="宋体"/>
          <w:sz w:val="24"/>
          <w:highlight w:val="none"/>
          <w:lang w:val="en-US" w:eastAsia="zh-CN"/>
        </w:rPr>
        <w:t xml:space="preserve">        </w:t>
      </w:r>
    </w:p>
    <w:p>
      <w:pPr>
        <w:autoSpaceDE w:val="0"/>
        <w:spacing w:line="400" w:lineRule="exact"/>
        <w:ind w:firstLine="240" w:firstLineChars="100"/>
        <w:jc w:val="both"/>
        <w:rPr>
          <w:rFonts w:hint="default" w:ascii="宋体" w:hAnsi="宋体" w:eastAsia="宋体"/>
          <w:sz w:val="24"/>
          <w:highlight w:val="none"/>
          <w:lang w:val="en-US" w:eastAsia="zh-CN"/>
        </w:rPr>
      </w:pPr>
      <w:r>
        <w:rPr>
          <w:rFonts w:hint="eastAsia" w:ascii="宋体" w:hAnsi="宋体"/>
          <w:sz w:val="24"/>
          <w:highlight w:val="none"/>
        </w:rPr>
        <w:t>地    址:</w:t>
      </w:r>
      <w:r>
        <w:rPr>
          <w:rFonts w:hint="eastAsia" w:ascii="宋体" w:hAnsi="宋体"/>
          <w:sz w:val="24"/>
          <w:highlight w:val="none"/>
          <w:lang w:val="en-US" w:eastAsia="zh-CN"/>
        </w:rPr>
        <w:t xml:space="preserve"> </w:t>
      </w:r>
      <w:r>
        <w:rPr>
          <w:rFonts w:hint="eastAsia" w:ascii="宋体" w:hAnsi="宋体" w:cs="宋体"/>
          <w:kern w:val="0"/>
          <w:sz w:val="24"/>
          <w:szCs w:val="24"/>
        </w:rPr>
        <w:t>岳阳市城陵矶长江路二号</w:t>
      </w:r>
      <w:r>
        <w:rPr>
          <w:rFonts w:hint="eastAsia" w:ascii="宋体" w:hAnsi="宋体" w:cs="宋体"/>
          <w:kern w:val="0"/>
          <w:sz w:val="24"/>
          <w:szCs w:val="24"/>
          <w:lang w:val="en-US" w:eastAsia="zh-CN"/>
        </w:rPr>
        <w:t xml:space="preserve">           </w:t>
      </w:r>
    </w:p>
    <w:p>
      <w:pPr>
        <w:autoSpaceDE w:val="0"/>
        <w:spacing w:line="400" w:lineRule="exact"/>
        <w:ind w:firstLine="240" w:firstLineChars="100"/>
        <w:jc w:val="both"/>
        <w:rPr>
          <w:rFonts w:hint="default" w:ascii="宋体" w:hAnsi="宋体" w:eastAsia="宋体"/>
          <w:sz w:val="24"/>
          <w:highlight w:val="none"/>
          <w:lang w:val="en-US" w:eastAsia="zh-CN"/>
        </w:rPr>
      </w:pPr>
      <w:r>
        <w:rPr>
          <w:rFonts w:hint="eastAsia" w:ascii="宋体" w:hAnsi="宋体"/>
          <w:sz w:val="24"/>
          <w:highlight w:val="none"/>
        </w:rPr>
        <w:t xml:space="preserve">邮政编码: 414000                         </w:t>
      </w:r>
      <w:r>
        <w:rPr>
          <w:rFonts w:hint="eastAsia" w:ascii="宋体" w:hAnsi="宋体"/>
          <w:sz w:val="24"/>
          <w:highlight w:val="none"/>
          <w:lang w:val="en-US" w:eastAsia="zh-CN"/>
        </w:rPr>
        <w:t xml:space="preserve">  </w:t>
      </w:r>
    </w:p>
    <w:p>
      <w:pPr>
        <w:autoSpaceDE w:val="0"/>
        <w:spacing w:line="400" w:lineRule="exact"/>
        <w:ind w:firstLine="240" w:firstLineChars="100"/>
        <w:jc w:val="both"/>
        <w:rPr>
          <w:rFonts w:hint="default" w:ascii="宋体" w:hAnsi="宋体" w:eastAsia="宋体"/>
          <w:sz w:val="24"/>
          <w:highlight w:val="none"/>
          <w:lang w:val="en-US" w:eastAsia="zh-CN"/>
        </w:rPr>
      </w:pPr>
      <w:r>
        <w:rPr>
          <w:rFonts w:hint="eastAsia" w:ascii="宋体" w:hAnsi="宋体"/>
          <w:sz w:val="24"/>
          <w:highlight w:val="none"/>
        </w:rPr>
        <w:t xml:space="preserve">联 系 人: </w:t>
      </w:r>
      <w:r>
        <w:rPr>
          <w:rFonts w:hint="eastAsia" w:ascii="宋体" w:hAnsi="宋体"/>
          <w:sz w:val="24"/>
          <w:highlight w:val="none"/>
          <w:lang w:val="en-US" w:eastAsia="zh-CN"/>
        </w:rPr>
        <w:t>彭钰文</w:t>
      </w:r>
      <w:r>
        <w:rPr>
          <w:rFonts w:hint="eastAsia" w:ascii="宋体" w:hAnsi="宋体"/>
          <w:sz w:val="24"/>
          <w:highlight w:val="none"/>
        </w:rPr>
        <w:t xml:space="preserve">                      </w:t>
      </w:r>
      <w:r>
        <w:rPr>
          <w:rFonts w:hint="eastAsia" w:ascii="宋体" w:hAnsi="宋体"/>
          <w:sz w:val="24"/>
          <w:highlight w:val="none"/>
          <w:lang w:val="en-US" w:eastAsia="zh-CN"/>
        </w:rPr>
        <w:t xml:space="preserve">     </w:t>
      </w:r>
    </w:p>
    <w:p>
      <w:pPr>
        <w:autoSpaceDE w:val="0"/>
        <w:spacing w:line="400" w:lineRule="exact"/>
        <w:ind w:firstLine="240" w:firstLineChars="100"/>
        <w:jc w:val="both"/>
        <w:rPr>
          <w:rFonts w:hint="eastAsia" w:ascii="宋体" w:hAnsi="宋体"/>
          <w:sz w:val="24"/>
          <w:highlight w:val="none"/>
        </w:rPr>
      </w:pPr>
      <w:r>
        <w:rPr>
          <w:rFonts w:hint="eastAsia" w:ascii="宋体" w:hAnsi="宋体"/>
          <w:sz w:val="24"/>
          <w:highlight w:val="none"/>
        </w:rPr>
        <w:t xml:space="preserve">电    话: </w:t>
      </w:r>
      <w:r>
        <w:rPr>
          <w:rFonts w:hint="eastAsia" w:ascii="宋体" w:hAnsi="宋体"/>
          <w:sz w:val="24"/>
          <w:highlight w:val="none"/>
          <w:lang w:val="en-US" w:eastAsia="zh-CN"/>
        </w:rPr>
        <w:t>15807210736</w:t>
      </w:r>
      <w:r>
        <w:rPr>
          <w:rFonts w:hint="eastAsia" w:ascii="宋体" w:hAnsi="宋体"/>
          <w:sz w:val="24"/>
          <w:highlight w:val="none"/>
        </w:rPr>
        <w:t xml:space="preserve">  </w:t>
      </w:r>
    </w:p>
    <w:p>
      <w:pPr>
        <w:pStyle w:val="6"/>
        <w:jc w:val="both"/>
        <w:outlineLvl w:val="1"/>
        <w:rPr>
          <w:rFonts w:hint="default"/>
          <w:highlight w:val="none"/>
          <w:lang w:val="en-US" w:eastAsia="zh-CN"/>
        </w:rPr>
      </w:pPr>
      <w:bookmarkStart w:id="47" w:name="_Toc29317"/>
      <w:bookmarkStart w:id="48" w:name="_Toc17275"/>
      <w:r>
        <w:rPr>
          <w:rFonts w:hint="eastAsia"/>
          <w:highlight w:val="none"/>
          <w:lang w:val="en-US" w:eastAsia="zh-CN"/>
        </w:rPr>
        <w:t>十一、附件下载</w:t>
      </w:r>
      <w:bookmarkEnd w:id="47"/>
      <w:bookmarkEnd w:id="48"/>
      <w:r>
        <w:rPr>
          <w:rFonts w:hint="eastAsia"/>
          <w:highlight w:val="none"/>
          <w:lang w:val="en-US" w:eastAsia="zh-CN"/>
        </w:rPr>
        <w:t xml:space="preserve">                    </w:t>
      </w:r>
    </w:p>
    <w:p>
      <w:r>
        <w:br w:type="page"/>
      </w:r>
    </w:p>
    <w:p>
      <w:pPr>
        <w:spacing w:line="600" w:lineRule="exact"/>
        <w:jc w:val="center"/>
        <w:outlineLvl w:val="0"/>
        <w:rPr>
          <w:rFonts w:ascii="黑体" w:hAnsi="黑体" w:eastAsia="黑体"/>
          <w:sz w:val="32"/>
          <w:szCs w:val="32"/>
          <w:highlight w:val="none"/>
        </w:rPr>
      </w:pPr>
      <w:bookmarkStart w:id="49" w:name="_Toc26296"/>
      <w:bookmarkStart w:id="50" w:name="_Toc10294"/>
      <w:bookmarkStart w:id="51" w:name="_Toc8532"/>
      <w:r>
        <w:rPr>
          <w:rFonts w:hint="eastAsia" w:ascii="黑体" w:hAnsi="黑体" w:eastAsia="黑体"/>
          <w:sz w:val="32"/>
          <w:szCs w:val="32"/>
          <w:highlight w:val="none"/>
        </w:rPr>
        <w:t>第二章  供应商须知</w:t>
      </w:r>
      <w:bookmarkEnd w:id="49"/>
      <w:bookmarkEnd w:id="50"/>
      <w:bookmarkEnd w:id="51"/>
    </w:p>
    <w:p>
      <w:pPr>
        <w:pStyle w:val="4"/>
        <w:spacing w:before="240" w:after="240" w:line="600" w:lineRule="exact"/>
        <w:jc w:val="both"/>
        <w:outlineLvl w:val="1"/>
        <w:rPr>
          <w:rFonts w:ascii="仿宋" w:hAnsi="仿宋" w:eastAsia="仿宋" w:cs="仿宋"/>
          <w:sz w:val="30"/>
          <w:szCs w:val="30"/>
          <w:highlight w:val="none"/>
        </w:rPr>
      </w:pPr>
      <w:bookmarkStart w:id="52" w:name="_Toc12285"/>
      <w:bookmarkStart w:id="53" w:name="_Toc10449"/>
      <w:bookmarkStart w:id="54" w:name="_Toc517787495"/>
      <w:bookmarkStart w:id="55" w:name="_Toc234832862"/>
      <w:bookmarkStart w:id="56" w:name="_Toc15534"/>
      <w:bookmarkStart w:id="57" w:name="_Toc19912"/>
      <w:r>
        <w:rPr>
          <w:rFonts w:hint="eastAsia" w:ascii="仿宋" w:hAnsi="仿宋" w:eastAsia="仿宋" w:cs="仿宋"/>
          <w:sz w:val="30"/>
          <w:szCs w:val="30"/>
          <w:highlight w:val="none"/>
        </w:rPr>
        <w:t>供应商须知前附表</w:t>
      </w:r>
      <w:r>
        <w:rPr>
          <w:rStyle w:val="24"/>
          <w:rFonts w:hint="eastAsia" w:ascii="仿宋" w:hAnsi="仿宋" w:eastAsia="仿宋" w:cs="仿宋"/>
          <w:sz w:val="30"/>
          <w:szCs w:val="30"/>
          <w:highlight w:val="none"/>
        </w:rPr>
        <w:footnoteReference w:id="0"/>
      </w:r>
      <w:bookmarkEnd w:id="52"/>
      <w:bookmarkEnd w:id="53"/>
      <w:bookmarkEnd w:id="54"/>
      <w:bookmarkEnd w:id="55"/>
      <w:bookmarkEnd w:id="56"/>
      <w:bookmarkEnd w:id="57"/>
    </w:p>
    <w:tbl>
      <w:tblPr>
        <w:tblStyle w:val="19"/>
        <w:tblW w:w="9018" w:type="dxa"/>
        <w:tblInd w:w="-278" w:type="dxa"/>
        <w:tblLayout w:type="fixed"/>
        <w:tblCellMar>
          <w:top w:w="0" w:type="dxa"/>
          <w:left w:w="108" w:type="dxa"/>
          <w:bottom w:w="0" w:type="dxa"/>
          <w:right w:w="108" w:type="dxa"/>
        </w:tblCellMar>
      </w:tblPr>
      <w:tblGrid>
        <w:gridCol w:w="1526"/>
        <w:gridCol w:w="2743"/>
        <w:gridCol w:w="4749"/>
      </w:tblGrid>
      <w:tr>
        <w:tblPrEx>
          <w:tblCellMar>
            <w:top w:w="0" w:type="dxa"/>
            <w:left w:w="108" w:type="dxa"/>
            <w:bottom w:w="0" w:type="dxa"/>
            <w:right w:w="108" w:type="dxa"/>
          </w:tblCellMar>
        </w:tblPrEx>
        <w:trPr>
          <w:trHeight w:val="387" w:hRule="atLeast"/>
          <w:tblHeader/>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条款号</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  款  名  称</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编  列  内  容</w:t>
            </w:r>
          </w:p>
        </w:tc>
      </w:tr>
      <w:tr>
        <w:trPr>
          <w:trHeight w:val="459" w:hRule="atLeast"/>
        </w:trPr>
        <w:tc>
          <w:tcPr>
            <w:tcW w:w="152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1.1.1</w:t>
            </w:r>
          </w:p>
        </w:tc>
        <w:tc>
          <w:tcPr>
            <w:tcW w:w="274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采购方法</w:t>
            </w:r>
          </w:p>
        </w:tc>
        <w:tc>
          <w:tcPr>
            <w:tcW w:w="474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sym w:font="Wingdings 2" w:char="0052"/>
            </w:r>
            <w:r>
              <w:rPr>
                <w:rFonts w:hint="eastAsia" w:cs="仿宋" w:asciiTheme="minorEastAsia" w:hAnsiTheme="minorEastAsia" w:eastAsiaTheme="minorEastAsia"/>
                <w:sz w:val="24"/>
                <w:highlight w:val="none"/>
              </w:rPr>
              <w:t>询价</w:t>
            </w:r>
          </w:p>
        </w:tc>
      </w:tr>
      <w:tr>
        <w:tblPrEx>
          <w:tblCellMar>
            <w:top w:w="0" w:type="dxa"/>
            <w:left w:w="108" w:type="dxa"/>
            <w:bottom w:w="0" w:type="dxa"/>
            <w:right w:w="108" w:type="dxa"/>
          </w:tblCellMar>
        </w:tblPrEx>
        <w:trPr>
          <w:trHeight w:val="568" w:hRule="atLeast"/>
        </w:trPr>
        <w:tc>
          <w:tcPr>
            <w:tcW w:w="152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1.1.2</w:t>
            </w:r>
          </w:p>
        </w:tc>
        <w:tc>
          <w:tcPr>
            <w:tcW w:w="274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评审办法</w:t>
            </w:r>
          </w:p>
        </w:tc>
        <w:tc>
          <w:tcPr>
            <w:tcW w:w="474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sym w:font="Wingdings 2" w:char="0052"/>
            </w:r>
            <w:r>
              <w:rPr>
                <w:rFonts w:hint="eastAsia" w:cs="仿宋" w:asciiTheme="minorEastAsia" w:hAnsiTheme="minorEastAsia" w:eastAsiaTheme="minorEastAsia"/>
                <w:sz w:val="24"/>
                <w:highlight w:val="none"/>
              </w:rPr>
              <w:t>最低价法</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1.7.1</w:t>
            </w:r>
          </w:p>
        </w:tc>
        <w:tc>
          <w:tcPr>
            <w:tcW w:w="274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踏勘现场</w:t>
            </w:r>
          </w:p>
        </w:tc>
        <w:tc>
          <w:tcPr>
            <w:tcW w:w="474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sym w:font="Wingdings 2" w:char="0052"/>
            </w:r>
            <w:r>
              <w:rPr>
                <w:rFonts w:hint="eastAsia" w:cs="仿宋" w:asciiTheme="minorEastAsia" w:hAnsiTheme="minorEastAsia" w:eastAsiaTheme="minorEastAsia"/>
                <w:sz w:val="24"/>
                <w:highlight w:val="none"/>
              </w:rPr>
              <w:t>不组织</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1.8</w:t>
            </w:r>
          </w:p>
        </w:tc>
        <w:tc>
          <w:tcPr>
            <w:tcW w:w="274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采购预备会</w:t>
            </w:r>
          </w:p>
        </w:tc>
        <w:tc>
          <w:tcPr>
            <w:tcW w:w="474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ind w:leftChars="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sym w:font="Wingdings 2" w:char="0052"/>
            </w:r>
            <w:r>
              <w:rPr>
                <w:rFonts w:hint="eastAsia" w:cs="仿宋" w:asciiTheme="minorEastAsia" w:hAnsiTheme="minorEastAsia" w:eastAsiaTheme="minorEastAsia"/>
                <w:sz w:val="24"/>
                <w:highlight w:val="none"/>
              </w:rPr>
              <w:t>不召开</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1.9</w:t>
            </w:r>
          </w:p>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（A、C）</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分包</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不得分包的内容：</w:t>
            </w:r>
            <w:r>
              <w:rPr>
                <w:rFonts w:hint="eastAsia" w:cs="仿宋" w:asciiTheme="minorEastAsia" w:hAnsiTheme="minorEastAsia" w:eastAsiaTheme="minorEastAsia"/>
                <w:sz w:val="24"/>
                <w:highlight w:val="none"/>
                <w:u w:val="single"/>
              </w:rPr>
              <w:t>不允许分包</w:t>
            </w:r>
          </w:p>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对分包供应商的要求：</w:t>
            </w:r>
            <w:r>
              <w:rPr>
                <w:rFonts w:hint="eastAsia" w:cs="仿宋" w:asciiTheme="minorEastAsia" w:hAnsiTheme="minorEastAsia" w:eastAsiaTheme="minorEastAsia"/>
                <w:sz w:val="24"/>
                <w:highlight w:val="none"/>
                <w:u w:val="single"/>
              </w:rPr>
              <w:t>不允许分包</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1.10.2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对非关键条款的偏差</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允许偏差的范围：细微偏差</w:t>
            </w:r>
          </w:p>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允许偏差的项数：</w:t>
            </w:r>
            <w:r>
              <w:rPr>
                <w:rFonts w:hint="eastAsia" w:cs="仿宋" w:asciiTheme="minorEastAsia" w:hAnsiTheme="minorEastAsia" w:eastAsiaTheme="minorEastAsia"/>
                <w:sz w:val="24"/>
                <w:highlight w:val="none"/>
                <w:u w:val="single"/>
              </w:rPr>
              <w:t>2项</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2.1(7)</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构成采购文件的其他资料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资料名称：无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3.1.1（9）</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构成响应文件的其他资料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资料名称：无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采购标的数量增减幅度</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采购标的数量增减幅度：10%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3.2.3</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最高限价或其计算方法</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ascii="宋体" w:hAnsi="宋体" w:cs="宋体"/>
                <w:sz w:val="24"/>
                <w:highlight w:val="none"/>
              </w:rPr>
              <w:sym w:font="Wingdings 2" w:char="0052"/>
            </w:r>
            <w:r>
              <w:rPr>
                <w:rFonts w:hint="eastAsia" w:ascii="宋体" w:hAnsi="宋体" w:cs="宋体"/>
                <w:sz w:val="24"/>
                <w:highlight w:val="none"/>
              </w:rPr>
              <w:t>有，最高限价：</w:t>
            </w:r>
            <w:r>
              <w:rPr>
                <w:rFonts w:hint="eastAsia" w:ascii="宋体" w:hAnsi="宋体" w:cs="宋体"/>
                <w:sz w:val="24"/>
                <w:highlight w:val="none"/>
                <w:lang w:val="en-US" w:eastAsia="zh-CN"/>
              </w:rPr>
              <w:t>叁拾壹万伍仟元</w:t>
            </w:r>
            <w:r>
              <w:rPr>
                <w:rFonts w:hint="eastAsia" w:ascii="宋体" w:hAnsi="宋体" w:cs="宋体"/>
                <w:sz w:val="24"/>
                <w:highlight w:val="none"/>
              </w:rPr>
              <w:t>整（小写：¥</w:t>
            </w:r>
            <w:r>
              <w:rPr>
                <w:rFonts w:hint="eastAsia" w:ascii="宋体" w:hAnsi="宋体" w:cs="宋体"/>
                <w:sz w:val="24"/>
                <w:highlight w:val="none"/>
                <w:lang w:val="en-US" w:eastAsia="zh-CN"/>
              </w:rPr>
              <w:t>315，000.00</w:t>
            </w:r>
            <w:r>
              <w:rPr>
                <w:rFonts w:hint="eastAsia" w:ascii="宋体" w:hAnsi="宋体" w:cs="宋体"/>
                <w:sz w:val="24"/>
                <w:highlight w:val="none"/>
              </w:rPr>
              <w:t>）</w:t>
            </w:r>
            <w:r>
              <w:rPr>
                <w:rFonts w:hint="eastAsia" w:ascii="宋体" w:hAnsi="宋体" w:cs="宋体"/>
                <w:sz w:val="24"/>
                <w:highlight w:val="none"/>
                <w:lang w:val="en-US" w:eastAsia="zh-CN"/>
              </w:rPr>
              <w:t>含3%增值税</w:t>
            </w:r>
            <w:r>
              <w:rPr>
                <w:rFonts w:hint="eastAsia" w:ascii="宋体" w:hAnsi="宋体" w:cs="宋体"/>
                <w:sz w:val="24"/>
                <w:highlight w:val="none"/>
              </w:rPr>
              <w:t xml:space="preserve">  </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90"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3.2.4</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报价的其他要求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此报价应包含</w:t>
            </w:r>
            <w:r>
              <w:rPr>
                <w:rFonts w:hint="eastAsia" w:cs="仿宋" w:asciiTheme="minorEastAsia" w:hAnsiTheme="minorEastAsia" w:eastAsiaTheme="minorEastAsia"/>
                <w:sz w:val="24"/>
                <w:highlight w:val="none"/>
                <w:lang w:val="en-US" w:eastAsia="zh-CN"/>
              </w:rPr>
              <w:t>3%增值税，本项目采取清单报价</w:t>
            </w: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lang w:val="en-US" w:eastAsia="zh-CN"/>
              </w:rPr>
              <w:t>按实结算。</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3.3.1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响应文件有效期</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递交响应文件截止之日起90日                                        </w:t>
            </w:r>
          </w:p>
        </w:tc>
      </w:tr>
      <w:tr>
        <w:tblPrEx>
          <w:tblCellMar>
            <w:top w:w="0" w:type="dxa"/>
            <w:left w:w="108" w:type="dxa"/>
            <w:bottom w:w="0" w:type="dxa"/>
            <w:right w:w="108" w:type="dxa"/>
          </w:tblCellMar>
        </w:tblPrEx>
        <w:trPr>
          <w:trHeight w:val="433"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响应保证金</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sym w:font="Wingdings 2" w:char="0052"/>
            </w:r>
            <w:r>
              <w:rPr>
                <w:rFonts w:hint="eastAsia" w:cs="仿宋" w:asciiTheme="minorEastAsia" w:hAnsiTheme="minorEastAsia" w:eastAsiaTheme="minorEastAsia"/>
                <w:sz w:val="24"/>
                <w:highlight w:val="none"/>
              </w:rPr>
              <w:t xml:space="preserve">不要求递交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退还响应保证金的时间</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无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3.4.3</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不退还响应保证金的其他情形</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无                                                             </w:t>
            </w:r>
          </w:p>
        </w:tc>
      </w:tr>
      <w:tr>
        <w:tblPrEx>
          <w:tblCellMar>
            <w:top w:w="0" w:type="dxa"/>
            <w:left w:w="108" w:type="dxa"/>
            <w:bottom w:w="0" w:type="dxa"/>
            <w:right w:w="108" w:type="dxa"/>
          </w:tblCellMar>
        </w:tblPrEx>
        <w:trPr>
          <w:trHeight w:val="116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22"/>
                <w:rFonts w:asciiTheme="minorEastAsia" w:hAnsiTheme="minorEastAsia" w:eastAsiaTheme="minorEastAsia"/>
                <w:b w:val="0"/>
                <w:color w:val="000000"/>
                <w:sz w:val="24"/>
                <w:highlight w:val="none"/>
              </w:rPr>
            </w:pPr>
            <w:r>
              <w:rPr>
                <w:rStyle w:val="22"/>
                <w:rFonts w:hint="eastAsia" w:asciiTheme="minorEastAsia" w:hAnsiTheme="minorEastAsia" w:eastAsiaTheme="minorEastAsia"/>
                <w:b w:val="0"/>
                <w:color w:val="000000"/>
                <w:sz w:val="24"/>
                <w:highlight w:val="none"/>
              </w:rPr>
              <w:t>依法设立的证明材料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sym w:font="Wingdings 2" w:char="0052"/>
            </w:r>
            <w:r>
              <w:rPr>
                <w:rFonts w:hint="eastAsia" w:cs="仿宋" w:asciiTheme="minorEastAsia" w:hAnsiTheme="minorEastAsia" w:eastAsiaTheme="minorEastAsia"/>
                <w:sz w:val="24"/>
                <w:highlight w:val="none"/>
              </w:rPr>
              <w:t>适用。</w:t>
            </w:r>
            <w:r>
              <w:rPr>
                <w:rFonts w:hint="eastAsia" w:asciiTheme="minorEastAsia" w:hAnsiTheme="minorEastAsia" w:eastAsiaTheme="minorEastAsia"/>
                <w:color w:val="000000"/>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1398"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Style w:val="22"/>
                <w:rFonts w:hint="eastAsia" w:asciiTheme="minorEastAsia" w:hAnsiTheme="minorEastAsia" w:eastAsiaTheme="minorEastAsia"/>
                <w:b w:val="0"/>
                <w:color w:val="000000"/>
                <w:sz w:val="24"/>
                <w:highlight w:val="none"/>
              </w:rPr>
              <w:t>资质要求证明材料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适用。供应商应提供相关资质证书副本的复印件，以证明供应商具有承担本项目要求的资质。</w:t>
            </w:r>
          </w:p>
          <w:p>
            <w:pPr>
              <w:spacing w:line="288" w:lineRule="auto"/>
              <w:jc w:val="both"/>
              <w:rPr>
                <w:rFonts w:hint="default" w:cs="宋体" w:asciiTheme="minorEastAsia" w:hAnsiTheme="minorEastAsia" w:eastAsiaTheme="minorEastAsia"/>
                <w:color w:val="000000"/>
                <w:sz w:val="24"/>
                <w:highlight w:val="none"/>
                <w:lang w:val="en-US"/>
              </w:rPr>
            </w:pPr>
            <w:r>
              <w:rPr>
                <w:rFonts w:hint="eastAsia" w:cs="宋体" w:asciiTheme="minorEastAsia" w:hAnsiTheme="minorEastAsia" w:eastAsiaTheme="minorEastAsia"/>
                <w:color w:val="000000"/>
                <w:sz w:val="24"/>
                <w:highlight w:val="none"/>
              </w:rPr>
              <w:t>资质证书包括：</w:t>
            </w:r>
            <w:r>
              <w:rPr>
                <w:rFonts w:hint="eastAsia" w:cs="宋体" w:asciiTheme="minorEastAsia" w:hAnsiTheme="minorEastAsia" w:eastAsiaTheme="minorEastAsia"/>
                <w:color w:val="000000"/>
                <w:sz w:val="24"/>
                <w:highlight w:val="none"/>
                <w:lang w:val="en-US" w:eastAsia="zh-CN"/>
              </w:rPr>
              <w:t>施工劳务不分等级</w:t>
            </w:r>
          </w:p>
        </w:tc>
      </w:tr>
      <w:tr>
        <w:tblPrEx>
          <w:tblCellMar>
            <w:top w:w="0" w:type="dxa"/>
            <w:left w:w="108" w:type="dxa"/>
            <w:bottom w:w="0" w:type="dxa"/>
            <w:right w:w="108" w:type="dxa"/>
          </w:tblCellMar>
        </w:tblPrEx>
        <w:trPr>
          <w:trHeight w:val="1172"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3.5（3）</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22"/>
                <w:rFonts w:asciiTheme="minorEastAsia" w:hAnsiTheme="minorEastAsia" w:eastAsiaTheme="minorEastAsia"/>
                <w:b w:val="0"/>
                <w:color w:val="000000"/>
                <w:sz w:val="24"/>
                <w:highlight w:val="none"/>
              </w:rPr>
            </w:pPr>
            <w:r>
              <w:rPr>
                <w:rStyle w:val="22"/>
                <w:rFonts w:hint="eastAsia" w:asciiTheme="minorEastAsia" w:hAnsiTheme="minorEastAsia" w:eastAsiaTheme="minorEastAsia"/>
                <w:b w:val="0"/>
                <w:color w:val="000000"/>
                <w:sz w:val="24"/>
                <w:highlight w:val="none"/>
              </w:rPr>
              <w:t>财务要求证明材料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center"/>
              <w:rPr>
                <w:rFonts w:hint="eastAsia" w:ascii="宋体" w:hAnsi="宋体" w:cs="宋体"/>
                <w:color w:val="000000"/>
                <w:sz w:val="24"/>
                <w:highlight w:val="none"/>
              </w:rPr>
            </w:pPr>
          </w:p>
          <w:p>
            <w:pPr>
              <w:spacing w:line="288" w:lineRule="auto"/>
              <w:jc w:val="center"/>
              <w:rPr>
                <w:rFonts w:hint="eastAsia" w:asciiTheme="minorEastAsia" w:hAnsiTheme="minorEastAsia" w:eastAsiaTheme="minorEastAsia"/>
                <w:color w:val="000000"/>
                <w:sz w:val="24"/>
                <w:highlight w:val="none"/>
                <w:lang w:val="en-US" w:eastAsia="zh-CN"/>
              </w:rPr>
            </w:pPr>
            <w:r>
              <w:rPr>
                <w:rFonts w:hint="eastAsia" w:ascii="宋体" w:hAnsi="宋体" w:cs="宋体"/>
                <w:color w:val="000000"/>
                <w:sz w:val="24"/>
                <w:highlight w:val="none"/>
              </w:rPr>
              <w:sym w:font="Wingdings 2" w:char="0052"/>
            </w:r>
            <w:r>
              <w:rPr>
                <w:rFonts w:hint="eastAsia" w:ascii="宋体" w:hAnsi="宋体" w:cs="宋体"/>
                <w:color w:val="000000"/>
                <w:sz w:val="24"/>
                <w:highlight w:val="none"/>
              </w:rPr>
              <w:t>不适用</w:t>
            </w:r>
          </w:p>
        </w:tc>
      </w:tr>
      <w:tr>
        <w:tblPrEx>
          <w:tblCellMar>
            <w:top w:w="0" w:type="dxa"/>
            <w:left w:w="108" w:type="dxa"/>
            <w:bottom w:w="0" w:type="dxa"/>
            <w:right w:w="108" w:type="dxa"/>
          </w:tblCellMar>
        </w:tblPrEx>
        <w:trPr>
          <w:trHeight w:val="4358"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3.5（4）</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业绩要求证明材料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sym w:font="Wingdings 2" w:char="0052"/>
            </w:r>
            <w:r>
              <w:rPr>
                <w:rFonts w:hint="eastAsia" w:cs="宋体" w:asciiTheme="minorEastAsia" w:hAnsiTheme="minorEastAsia" w:eastAsiaTheme="minorEastAsia"/>
                <w:sz w:val="24"/>
                <w:highlight w:val="none"/>
              </w:rPr>
              <w:t>适用。供应商应提供近年的</w:t>
            </w:r>
            <w:r>
              <w:rPr>
                <w:rFonts w:hint="eastAsia" w:cs="宋体" w:asciiTheme="minorEastAsia" w:hAnsiTheme="minorEastAsia" w:eastAsiaTheme="minorEastAsia"/>
                <w:sz w:val="24"/>
                <w:highlight w:val="none"/>
                <w:lang w:val="en-US" w:eastAsia="zh-CN"/>
              </w:rPr>
              <w:t>轨道施工</w:t>
            </w:r>
            <w:r>
              <w:rPr>
                <w:rFonts w:hint="eastAsia" w:cs="宋体" w:asciiTheme="minorEastAsia" w:hAnsiTheme="minorEastAsia" w:eastAsiaTheme="minorEastAsia"/>
                <w:sz w:val="24"/>
                <w:highlight w:val="none"/>
              </w:rPr>
              <w:t>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sz w:val="24"/>
                <w:highlight w:val="none"/>
                <w:u w:val="single"/>
              </w:rPr>
              <w:t>2019年</w:t>
            </w:r>
            <w:r>
              <w:rPr>
                <w:rFonts w:hint="eastAsia" w:cs="宋体" w:asciiTheme="minorEastAsia" w:hAnsiTheme="minorEastAsia" w:eastAsiaTheme="minorEastAsia"/>
                <w:sz w:val="24"/>
                <w:highlight w:val="none"/>
                <w:u w:val="single"/>
                <w:lang w:val="en-US" w:eastAsia="zh-CN"/>
              </w:rPr>
              <w:t>9</w:t>
            </w:r>
            <w:r>
              <w:rPr>
                <w:rFonts w:hint="eastAsia" w:cs="宋体" w:asciiTheme="minorEastAsia" w:hAnsiTheme="minorEastAsia" w:eastAsiaTheme="minorEastAsia"/>
                <w:sz w:val="24"/>
                <w:highlight w:val="none"/>
                <w:u w:val="single"/>
              </w:rPr>
              <w:t>月</w:t>
            </w:r>
            <w:r>
              <w:rPr>
                <w:rFonts w:hint="eastAsia" w:cs="宋体" w:asciiTheme="minorEastAsia" w:hAnsiTheme="minorEastAsia" w:eastAsiaTheme="minorEastAsia"/>
                <w:sz w:val="24"/>
                <w:highlight w:val="none"/>
              </w:rPr>
              <w:t>至</w:t>
            </w:r>
            <w:r>
              <w:rPr>
                <w:rFonts w:cs="宋体" w:asciiTheme="minorEastAsia" w:hAnsiTheme="minorEastAsia" w:eastAsiaTheme="minorEastAsia"/>
                <w:sz w:val="24"/>
                <w:highlight w:val="none"/>
                <w:u w:val="single"/>
              </w:rPr>
              <w:t>202</w:t>
            </w:r>
            <w:r>
              <w:rPr>
                <w:rFonts w:hint="eastAsia" w:cs="宋体" w:asciiTheme="minorEastAsia" w:hAnsiTheme="minorEastAsia" w:eastAsiaTheme="minorEastAsia"/>
                <w:sz w:val="24"/>
                <w:highlight w:val="none"/>
                <w:u w:val="single"/>
              </w:rPr>
              <w:t>2年</w:t>
            </w:r>
            <w:r>
              <w:rPr>
                <w:rFonts w:hint="eastAsia" w:cs="宋体" w:asciiTheme="minorEastAsia" w:hAnsiTheme="minorEastAsia" w:eastAsiaTheme="minorEastAsia"/>
                <w:sz w:val="24"/>
                <w:highlight w:val="none"/>
                <w:u w:val="single"/>
                <w:lang w:val="en-US" w:eastAsia="zh-CN"/>
              </w:rPr>
              <w:t>9</w:t>
            </w:r>
            <w:r>
              <w:rPr>
                <w:rFonts w:hint="eastAsia" w:cs="宋体" w:asciiTheme="minorEastAsia" w:hAnsiTheme="minorEastAsia" w:eastAsiaTheme="minorEastAsia"/>
                <w:sz w:val="24"/>
                <w:highlight w:val="none"/>
                <w:u w:val="single"/>
              </w:rPr>
              <w:t>月</w:t>
            </w:r>
          </w:p>
          <w:p>
            <w:pPr>
              <w:spacing w:line="288" w:lineRule="auto"/>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业绩证明材料：</w:t>
            </w:r>
          </w:p>
          <w:p>
            <w:pPr>
              <w:spacing w:line="288" w:lineRule="auto"/>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sym w:font="Wingdings 2" w:char="0052"/>
            </w:r>
            <w:r>
              <w:rPr>
                <w:rFonts w:hint="eastAsia" w:cs="宋体" w:asciiTheme="minorEastAsia" w:hAnsiTheme="minorEastAsia" w:eastAsiaTheme="minorEastAsia"/>
                <w:sz w:val="24"/>
                <w:highlight w:val="none"/>
              </w:rPr>
              <w:t>合同/订单</w:t>
            </w:r>
          </w:p>
          <w:p>
            <w:pPr>
              <w:spacing w:line="288" w:lineRule="auto"/>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sym w:font="Wingdings 2" w:char="0052"/>
            </w:r>
            <w:r>
              <w:rPr>
                <w:rFonts w:hint="eastAsia" w:cs="宋体" w:asciiTheme="minorEastAsia" w:hAnsiTheme="minorEastAsia" w:eastAsiaTheme="minorEastAsia"/>
                <w:sz w:val="24"/>
                <w:highlight w:val="none"/>
              </w:rPr>
              <w:t>竣工验收报告/验收证明</w:t>
            </w:r>
          </w:p>
          <w:p>
            <w:pPr>
              <w:spacing w:line="288" w:lineRule="auto"/>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业绩证明材料种类要求：</w:t>
            </w:r>
          </w:p>
          <w:p>
            <w:pPr>
              <w:spacing w:line="288" w:lineRule="auto"/>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eastAsia="zh-CN"/>
              </w:rPr>
              <w:sym w:font="Wingdings 2" w:char="0052"/>
            </w:r>
            <w:r>
              <w:rPr>
                <w:rFonts w:hint="eastAsia" w:cs="宋体" w:asciiTheme="minorEastAsia" w:hAnsiTheme="minorEastAsia" w:eastAsiaTheme="minorEastAsia"/>
                <w:sz w:val="24"/>
                <w:highlight w:val="none"/>
              </w:rPr>
              <w:t>需同时提供上述勾选的所有证明材料</w:t>
            </w:r>
          </w:p>
          <w:p>
            <w:pPr>
              <w:spacing w:line="288" w:lineRule="auto"/>
              <w:jc w:val="both"/>
              <w:rPr>
                <w:rFonts w:cs="仿宋" w:asciiTheme="minorEastAsia" w:hAnsiTheme="minorEastAsia" w:eastAsiaTheme="minorEastAsia"/>
                <w:sz w:val="24"/>
                <w:highlight w:val="none"/>
              </w:rPr>
            </w:pPr>
            <w:r>
              <w:rPr>
                <w:rFonts w:hint="eastAsia" w:cs="宋体" w:asciiTheme="minorEastAsia" w:hAnsiTheme="minorEastAsia" w:eastAsiaTheme="minorEastAsia"/>
                <w:sz w:val="24"/>
                <w:highlight w:val="none"/>
              </w:rPr>
              <w:t>☑其他要求：</w:t>
            </w:r>
            <w:r>
              <w:rPr>
                <w:rFonts w:hint="eastAsia" w:cs="宋体" w:asciiTheme="minorEastAsia" w:hAnsiTheme="minorEastAsia" w:eastAsiaTheme="minorEastAsia"/>
                <w:sz w:val="24"/>
                <w:highlight w:val="none"/>
                <w:u w:val="single"/>
              </w:rPr>
              <w:t xml:space="preserve"> 至少提供</w:t>
            </w:r>
            <w:r>
              <w:rPr>
                <w:rFonts w:hint="eastAsia" w:cs="宋体" w:asciiTheme="minorEastAsia" w:hAnsiTheme="minorEastAsia" w:eastAsiaTheme="minorEastAsia"/>
                <w:sz w:val="24"/>
                <w:highlight w:val="none"/>
                <w:u w:val="single"/>
                <w:lang w:val="en-US" w:eastAsia="zh-CN"/>
              </w:rPr>
              <w:t>1</w:t>
            </w:r>
            <w:r>
              <w:rPr>
                <w:rFonts w:hint="eastAsia" w:cs="宋体" w:asciiTheme="minorEastAsia" w:hAnsiTheme="minorEastAsia" w:eastAsiaTheme="minorEastAsia"/>
                <w:sz w:val="24"/>
                <w:highlight w:val="none"/>
                <w:u w:val="single"/>
              </w:rPr>
              <w:t>份业绩证明材料，提供复印件并加盖单位公章。</w:t>
            </w:r>
            <w:r>
              <w:rPr>
                <w:rFonts w:hint="eastAsia" w:cs="宋体"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3.5（5）</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信誉要求证明材料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1680" w:firstLineChars="700"/>
              <w:jc w:val="both"/>
              <w:rPr>
                <w:rFonts w:cs="仿宋" w:asciiTheme="minorEastAsia" w:hAnsiTheme="minorEastAsia" w:eastAsiaTheme="minorEastAsia"/>
                <w:sz w:val="24"/>
                <w:highlight w:val="none"/>
              </w:rPr>
            </w:pPr>
            <w:r>
              <w:rPr>
                <w:rFonts w:hint="eastAsia" w:cs="宋体" w:asciiTheme="minorEastAsia" w:hAnsiTheme="minorEastAsia" w:eastAsiaTheme="minorEastAsia"/>
                <w:sz w:val="24"/>
                <w:highlight w:val="none"/>
              </w:rPr>
              <w:sym w:font="Wingdings 2" w:char="0052"/>
            </w:r>
            <w:r>
              <w:rPr>
                <w:rFonts w:hint="eastAsia" w:cs="宋体" w:asciiTheme="minorEastAsia" w:hAnsiTheme="minorEastAsia" w:eastAsiaTheme="minorEastAsia"/>
                <w:sz w:val="24"/>
                <w:highlight w:val="none"/>
              </w:rPr>
              <w:t>不适用</w:t>
            </w:r>
          </w:p>
        </w:tc>
      </w:tr>
      <w:tr>
        <w:tblPrEx>
          <w:tblCellMar>
            <w:top w:w="0" w:type="dxa"/>
            <w:left w:w="108" w:type="dxa"/>
            <w:bottom w:w="0" w:type="dxa"/>
            <w:right w:w="108" w:type="dxa"/>
          </w:tblCellMar>
        </w:tblPrEx>
        <w:trPr>
          <w:trHeight w:val="2232"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3.5（6）</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承担本项目的主要人员要求证明材料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both"/>
              <w:rPr>
                <w:rFonts w:cs="宋体" w:asciiTheme="minorEastAsia" w:hAnsiTheme="minorEastAsia" w:eastAsiaTheme="minorEastAsia"/>
                <w:color w:val="000000"/>
                <w:sz w:val="24"/>
                <w:highlight w:val="yellow"/>
                <w:u w:val="none"/>
              </w:rPr>
            </w:pPr>
            <w:r>
              <w:rPr>
                <w:rFonts w:hint="eastAsia" w:cs="宋体" w:asciiTheme="minorEastAsia" w:hAnsiTheme="minorEastAsia" w:eastAsiaTheme="minorEastAsia"/>
                <w:color w:val="000000"/>
                <w:sz w:val="24"/>
                <w:highlight w:val="none"/>
                <w:u w:val="none"/>
              </w:rPr>
              <w:sym w:font="Wingdings 2" w:char="0052"/>
            </w:r>
            <w:r>
              <w:rPr>
                <w:rFonts w:hint="eastAsia" w:ascii="宋体" w:hAnsi="宋体" w:eastAsia="宋体"/>
                <w:sz w:val="24"/>
                <w:szCs w:val="24"/>
                <w:lang w:val="en-US" w:eastAsia="zh-CN"/>
              </w:rPr>
              <w:t>劳务工</w:t>
            </w:r>
            <w:r>
              <w:rPr>
                <w:rFonts w:hint="eastAsia" w:ascii="宋体" w:hAnsi="宋体"/>
                <w:sz w:val="24"/>
                <w:szCs w:val="24"/>
                <w:lang w:val="en-US" w:eastAsia="zh-CN"/>
              </w:rPr>
              <w:t>8人，</w:t>
            </w:r>
            <w:r>
              <w:rPr>
                <w:rFonts w:hint="eastAsia" w:ascii="宋体" w:hAnsi="宋体" w:eastAsia="宋体"/>
                <w:sz w:val="24"/>
                <w:szCs w:val="24"/>
                <w:lang w:val="en-US" w:eastAsia="zh-CN"/>
              </w:rPr>
              <w:t>须年满十八周岁、不满60周岁，身体健康、现实表现好</w:t>
            </w:r>
            <w:r>
              <w:rPr>
                <w:rFonts w:hint="eastAsia" w:ascii="宋体" w:hAnsi="宋体"/>
                <w:sz w:val="24"/>
                <w:szCs w:val="24"/>
                <w:lang w:val="en-US" w:eastAsia="zh-CN"/>
              </w:rPr>
              <w:t>；</w:t>
            </w:r>
            <w:r>
              <w:rPr>
                <w:rFonts w:hint="eastAsia" w:ascii="宋体" w:hAnsi="宋体" w:eastAsia="宋体"/>
                <w:sz w:val="24"/>
                <w:szCs w:val="24"/>
                <w:lang w:val="en-US" w:eastAsia="zh-CN"/>
              </w:rPr>
              <w:t>劳务管理人员</w:t>
            </w:r>
            <w:r>
              <w:rPr>
                <w:rFonts w:hint="eastAsia" w:ascii="宋体" w:hAnsi="宋体"/>
                <w:sz w:val="24"/>
                <w:szCs w:val="24"/>
                <w:lang w:val="en-US" w:eastAsia="zh-CN"/>
              </w:rPr>
              <w:t>1人，</w:t>
            </w:r>
            <w:r>
              <w:rPr>
                <w:rFonts w:hint="eastAsia" w:ascii="宋体" w:hAnsi="宋体" w:eastAsia="宋体"/>
                <w:sz w:val="24"/>
                <w:szCs w:val="24"/>
                <w:lang w:val="en-US" w:eastAsia="zh-CN"/>
              </w:rPr>
              <w:t>具有2年以上从事劳务管理工作经验。</w:t>
            </w:r>
            <w:r>
              <w:rPr>
                <w:rFonts w:hint="eastAsia" w:ascii="宋体" w:hAnsi="宋体"/>
                <w:sz w:val="24"/>
                <w:szCs w:val="24"/>
                <w:lang w:val="en-US" w:eastAsia="zh-CN"/>
              </w:rPr>
              <w:t>提供所有人员</w:t>
            </w:r>
            <w:r>
              <w:rPr>
                <w:rFonts w:hint="eastAsia" w:ascii="宋体" w:hAnsi="宋体" w:eastAsia="宋体"/>
                <w:sz w:val="24"/>
                <w:szCs w:val="24"/>
                <w:lang w:val="en-US" w:eastAsia="zh-CN"/>
              </w:rPr>
              <w:t>的工伤保险或人身意外保险证明</w:t>
            </w:r>
            <w:r>
              <w:rPr>
                <w:rFonts w:hint="eastAsia" w:ascii="宋体" w:hAnsi="宋体"/>
                <w:sz w:val="24"/>
                <w:szCs w:val="24"/>
                <w:lang w:val="en-US" w:eastAsia="zh-CN"/>
              </w:rPr>
              <w:t>(提供签合同前购买以上保险的承诺函也可）、身份证复印件及劳务管理人员的业绩说明</w:t>
            </w:r>
            <w:r>
              <w:rPr>
                <w:rFonts w:hint="eastAsia" w:ascii="宋体" w:hAnsi="宋体" w:eastAsia="宋体"/>
                <w:sz w:val="24"/>
                <w:szCs w:val="24"/>
                <w:lang w:val="en-US" w:eastAsia="zh-CN"/>
              </w:rPr>
              <w:t>。</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3.5（7）</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其他要求的证明材料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无</w:t>
            </w:r>
          </w:p>
        </w:tc>
      </w:tr>
      <w:tr>
        <w:tblPrEx>
          <w:tblCellMar>
            <w:top w:w="0" w:type="dxa"/>
            <w:left w:w="108" w:type="dxa"/>
            <w:bottom w:w="0" w:type="dxa"/>
            <w:right w:w="108" w:type="dxa"/>
          </w:tblCellMar>
        </w:tblPrEx>
        <w:trPr>
          <w:trHeight w:val="1868"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需要提供证明材料，包括：</w:t>
            </w:r>
            <w:r>
              <w:rPr>
                <w:rFonts w:hint="eastAsia" w:cs="宋体" w:asciiTheme="minorEastAsia" w:hAnsiTheme="minorEastAsia" w:eastAsiaTheme="minorEastAsia"/>
                <w:color w:val="000000"/>
                <w:sz w:val="24"/>
                <w:highlight w:val="none"/>
                <w:u w:val="none"/>
              </w:rPr>
              <w:t xml:space="preserve"> 信用中国</w:t>
            </w:r>
            <w:r>
              <w:rPr>
                <w:rFonts w:hint="eastAsia" w:ascii="宋体" w:hAnsi="宋体" w:cs="宋体"/>
                <w:sz w:val="24"/>
                <w:highlight w:val="none"/>
                <w:u w:val="none"/>
              </w:rPr>
              <w:t>（https://www.creditchina.gov.cn/）网站上所下载的“企业信用信息报告”第1、2页复印件。</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对关键条款进行响应的证据或证明材料要求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提供证据或证明材料复印件，并加盖单位公章。</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响应方案数量</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sym w:font="Wingdings 2" w:char="0052"/>
            </w:r>
            <w:r>
              <w:rPr>
                <w:rFonts w:hint="eastAsia" w:cs="宋体" w:asciiTheme="minorEastAsia" w:hAnsiTheme="minorEastAsia" w:eastAsiaTheme="minorEastAsia"/>
                <w:sz w:val="24"/>
                <w:highlight w:val="none"/>
              </w:rPr>
              <w:t>供应商只能提出唯一响应方案</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3.7.5</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响应文件及电子版要求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是否要求提供电子版响应文件：</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不要求</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响应文件的密封</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响应文件须密封包装，并在封套的封口处加盖供应商单位章。</w:t>
            </w:r>
          </w:p>
        </w:tc>
      </w:tr>
      <w:tr>
        <w:trPr>
          <w:trHeight w:val="149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封套上应载明的信息</w:t>
            </w:r>
          </w:p>
        </w:tc>
        <w:tc>
          <w:tcPr>
            <w:tcW w:w="474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both"/>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sym w:font="Wingdings 2" w:char="0052"/>
            </w:r>
            <w:r>
              <w:rPr>
                <w:rFonts w:hint="eastAsia" w:asciiTheme="minorEastAsia" w:hAnsiTheme="minorEastAsia" w:eastAsiaTheme="minorEastAsia" w:cstheme="minorEastAsia"/>
                <w:color w:val="000000"/>
                <w:sz w:val="24"/>
                <w:highlight w:val="none"/>
              </w:rPr>
              <w:t>适用：</w:t>
            </w:r>
            <w:r>
              <w:rPr>
                <w:rFonts w:hint="eastAsia" w:cs="宋体" w:asciiTheme="minorEastAsia" w:hAnsiTheme="minorEastAsia" w:eastAsiaTheme="minorEastAsia"/>
                <w:b w:val="0"/>
                <w:bCs w:val="0"/>
                <w:color w:val="000000"/>
                <w:sz w:val="24"/>
                <w:szCs w:val="24"/>
                <w:highlight w:val="none"/>
                <w:u w:val="single"/>
                <w:lang w:val="en-US" w:eastAsia="zh-CN"/>
              </w:rPr>
              <w:t>长沙集星集装箱码头</w:t>
            </w:r>
            <w:r>
              <w:rPr>
                <w:rFonts w:hint="eastAsia" w:ascii="宋体" w:hAnsi="宋体" w:cs="宋体"/>
                <w:bCs/>
                <w:sz w:val="24"/>
                <w:highlight w:val="none"/>
                <w:lang w:val="en-US" w:eastAsia="zh-CN"/>
              </w:rPr>
              <w:t>门机大车</w:t>
            </w:r>
            <w:r>
              <w:rPr>
                <w:rFonts w:hint="eastAsia" w:cs="宋体" w:asciiTheme="minorEastAsia" w:hAnsiTheme="minorEastAsia" w:eastAsiaTheme="minorEastAsia"/>
                <w:b w:val="0"/>
                <w:bCs w:val="0"/>
                <w:color w:val="000000"/>
                <w:sz w:val="24"/>
                <w:szCs w:val="24"/>
                <w:highlight w:val="none"/>
                <w:u w:val="single"/>
                <w:lang w:val="en-US" w:eastAsia="zh-CN"/>
              </w:rPr>
              <w:t>轨道提质改造施工劳务</w:t>
            </w:r>
            <w:r>
              <w:rPr>
                <w:rFonts w:hint="eastAsia" w:cs="宋体" w:asciiTheme="minorEastAsia" w:hAnsiTheme="minorEastAsia" w:eastAsiaTheme="minorEastAsia"/>
                <w:b w:val="0"/>
                <w:bCs w:val="0"/>
                <w:color w:val="000000"/>
                <w:sz w:val="24"/>
                <w:szCs w:val="24"/>
                <w:highlight w:val="none"/>
                <w:u w:val="single"/>
              </w:rPr>
              <w:t>项目</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递交响应文件截止时间和地点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u w:val="single"/>
                <w:lang w:val="en-US" w:eastAsia="zh-CN"/>
              </w:rPr>
            </w:pPr>
            <w:r>
              <w:rPr>
                <w:rFonts w:hint="eastAsia" w:cs="宋体" w:asciiTheme="minorEastAsia" w:hAnsiTheme="minorEastAsia" w:eastAsiaTheme="minorEastAsia"/>
                <w:color w:val="000000"/>
                <w:sz w:val="24"/>
                <w:highlight w:val="none"/>
              </w:rPr>
              <w:t>截止时间：</w:t>
            </w:r>
            <w:r>
              <w:rPr>
                <w:rFonts w:hint="eastAsia" w:cs="宋体" w:asciiTheme="minorEastAsia" w:hAnsiTheme="minorEastAsia" w:eastAsiaTheme="minorEastAsia"/>
                <w:color w:val="000000"/>
                <w:sz w:val="24"/>
                <w:highlight w:val="none"/>
                <w:u w:val="single"/>
                <w:lang w:val="en-US" w:eastAsia="zh-CN"/>
              </w:rPr>
              <w:t>2022年9月26日9时00分</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递交响应文件的地点：</w:t>
            </w:r>
            <w:r>
              <w:rPr>
                <w:rFonts w:hint="eastAsia" w:cs="宋体" w:asciiTheme="minorEastAsia" w:hAnsiTheme="minorEastAsia" w:eastAsiaTheme="minorEastAsia"/>
                <w:color w:val="000000"/>
                <w:sz w:val="24"/>
                <w:highlight w:val="none"/>
                <w:u w:val="single"/>
              </w:rPr>
              <w:t xml:space="preserve"> 湖南</w:t>
            </w:r>
            <w:r>
              <w:rPr>
                <w:rFonts w:hint="eastAsia" w:ascii="宋体" w:hAnsi="宋体"/>
                <w:sz w:val="24"/>
                <w:highlight w:val="none"/>
                <w:u w:val="single"/>
              </w:rPr>
              <w:t>港产科技有限公司办公楼1楼10</w:t>
            </w:r>
            <w:r>
              <w:rPr>
                <w:rFonts w:hint="eastAsia" w:ascii="宋体" w:hAnsi="宋体"/>
                <w:sz w:val="24"/>
                <w:highlight w:val="none"/>
                <w:u w:val="single"/>
                <w:lang w:val="en-US" w:eastAsia="zh-CN"/>
              </w:rPr>
              <w:t>8</w:t>
            </w:r>
            <w:r>
              <w:rPr>
                <w:rFonts w:hint="eastAsia" w:ascii="宋体" w:hAnsi="宋体"/>
                <w:sz w:val="24"/>
                <w:highlight w:val="none"/>
                <w:u w:val="single"/>
              </w:rPr>
              <w:t>室</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  </w:t>
            </w:r>
            <w:r>
              <w:rPr>
                <w:rFonts w:hint="eastAsia" w:cs="宋体" w:asciiTheme="minorEastAsia" w:hAnsiTheme="minorEastAsia" w:eastAsiaTheme="minorEastAsia"/>
                <w:color w:val="000000"/>
                <w:sz w:val="24"/>
                <w:highlight w:val="none"/>
              </w:rPr>
              <w:t xml:space="preserve">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是否退还响应文件</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否</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4.3.3</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供应商撤回响应文件情况下退还响应保证金的时间</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无</w:t>
            </w:r>
          </w:p>
        </w:tc>
      </w:tr>
      <w:tr>
        <w:tblPrEx>
          <w:tblCellMar>
            <w:top w:w="0" w:type="dxa"/>
            <w:left w:w="108" w:type="dxa"/>
            <w:bottom w:w="0" w:type="dxa"/>
            <w:right w:w="108" w:type="dxa"/>
          </w:tblCellMar>
        </w:tblPrEx>
        <w:trPr>
          <w:trHeight w:val="632"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是否公开开启响应文件</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sym w:font="Wingdings 2" w:char="0052"/>
            </w:r>
            <w:r>
              <w:rPr>
                <w:rFonts w:hint="eastAsia" w:cs="宋体" w:asciiTheme="minorEastAsia" w:hAnsiTheme="minorEastAsia" w:eastAsiaTheme="minorEastAsia"/>
                <w:sz w:val="24"/>
                <w:highlight w:val="none"/>
              </w:rPr>
              <w:t>否</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开启地点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ascii="宋体" w:hAnsi="宋体" w:eastAsia="宋体" w:cs="宋体"/>
                <w:color w:val="000000"/>
                <w:sz w:val="24"/>
                <w:szCs w:val="24"/>
                <w:lang w:eastAsia="zh-CN"/>
              </w:rPr>
              <w:t>湖南省港务集团有限公司六楼</w:t>
            </w:r>
            <w:r>
              <w:rPr>
                <w:rFonts w:hint="eastAsia" w:ascii="宋体" w:hAnsi="宋体" w:eastAsia="宋体" w:cs="宋体"/>
                <w:color w:val="000000"/>
                <w:sz w:val="24"/>
                <w:szCs w:val="24"/>
                <w:lang w:val="en-US" w:eastAsia="zh-CN"/>
              </w:rPr>
              <w:t>602开评标室</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5.2（4）</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开启程序</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开启顺序：</w:t>
            </w:r>
            <w:r>
              <w:rPr>
                <w:rFonts w:hint="eastAsia" w:cs="宋体" w:asciiTheme="minorEastAsia" w:hAnsiTheme="minorEastAsia" w:eastAsiaTheme="minorEastAsia"/>
                <w:color w:val="000000"/>
                <w:sz w:val="24"/>
                <w:highlight w:val="none"/>
                <w:u w:val="single"/>
              </w:rPr>
              <w:t xml:space="preserve">   随机 </w:t>
            </w:r>
            <w:r>
              <w:rPr>
                <w:rFonts w:cs="宋体" w:asciiTheme="minorEastAsia" w:hAnsiTheme="minorEastAsia" w:eastAsiaTheme="minorEastAsia"/>
                <w:color w:val="000000"/>
                <w:sz w:val="24"/>
                <w:highlight w:val="none"/>
                <w:u w:val="single"/>
              </w:rPr>
              <w:t xml:space="preserve"> </w:t>
            </w:r>
            <w:r>
              <w:rPr>
                <w:rFonts w:hint="eastAsia" w:cs="宋体" w:asciiTheme="minorEastAsia" w:hAnsiTheme="minorEastAsia" w:eastAsiaTheme="minorEastAsia"/>
                <w:color w:val="000000"/>
                <w:sz w:val="24"/>
                <w:highlight w:val="none"/>
                <w:u w:val="single"/>
              </w:rPr>
              <w:t xml:space="preserve">     </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6.1.1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评审小组的组建</w:t>
            </w:r>
            <w:r>
              <w:rPr>
                <w:rStyle w:val="24"/>
                <w:rFonts w:cs="宋体" w:asciiTheme="minorEastAsia" w:hAnsiTheme="minorEastAsia" w:eastAsiaTheme="minorEastAsia"/>
                <w:color w:val="000000"/>
                <w:sz w:val="24"/>
                <w:highlight w:val="none"/>
              </w:rPr>
              <w:footnoteReference w:id="1"/>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评标小组构成：</w:t>
            </w:r>
            <w:r>
              <w:rPr>
                <w:rFonts w:hint="eastAsia" w:cs="宋体" w:asciiTheme="minorEastAsia" w:hAnsiTheme="minorEastAsia" w:eastAsiaTheme="minorEastAsia"/>
                <w:color w:val="000000"/>
                <w:sz w:val="24"/>
                <w:highlight w:val="none"/>
                <w:u w:val="single"/>
              </w:rPr>
              <w:t>3</w:t>
            </w:r>
            <w:r>
              <w:rPr>
                <w:rFonts w:hint="eastAsia" w:cs="宋体" w:asciiTheme="minorEastAsia" w:hAnsiTheme="minorEastAsia" w:eastAsiaTheme="minorEastAsia"/>
                <w:color w:val="000000"/>
                <w:sz w:val="24"/>
                <w:highlight w:val="none"/>
              </w:rPr>
              <w:t>人。</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评审专家确定方式：在湖南省湘水集团有限公司综合评标专家库中随机抽取</w:t>
            </w:r>
            <w:r>
              <w:rPr>
                <w:rFonts w:hint="eastAsia" w:cs="宋体" w:asciiTheme="minorEastAsia" w:hAnsiTheme="minorEastAsia" w:eastAsiaTheme="minorEastAsia"/>
                <w:color w:val="000000"/>
                <w:sz w:val="24"/>
                <w:highlight w:val="none"/>
                <w:u w:val="none"/>
                <w:lang w:val="en-US" w:eastAsia="zh-CN"/>
              </w:rPr>
              <w:t>2人，业主代表1人</w:t>
            </w:r>
            <w:r>
              <w:rPr>
                <w:rFonts w:hint="eastAsia" w:cs="宋体" w:asciiTheme="minorEastAsia" w:hAnsiTheme="minorEastAsia" w:eastAsiaTheme="minorEastAsia"/>
                <w:color w:val="000000"/>
                <w:sz w:val="24"/>
                <w:highlight w:val="none"/>
              </w:rPr>
              <w:t>。</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6.2.2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评审小组推荐成交候选供应商的数量</w:t>
            </w:r>
            <w:r>
              <w:rPr>
                <w:rStyle w:val="24"/>
                <w:rFonts w:cs="宋体" w:asciiTheme="minorEastAsia" w:hAnsiTheme="minorEastAsia" w:eastAsiaTheme="minorEastAsia"/>
                <w:color w:val="000000"/>
                <w:sz w:val="24"/>
                <w:highlight w:val="none"/>
              </w:rPr>
              <w:footnoteReference w:id="2"/>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b/>
                <w:bCs/>
                <w:color w:val="000000"/>
                <w:sz w:val="24"/>
                <w:highlight w:val="none"/>
                <w:lang w:val="en-US" w:eastAsia="zh-CN"/>
              </w:rPr>
              <w:t>2</w:t>
            </w:r>
            <w:r>
              <w:rPr>
                <w:rFonts w:hint="eastAsia" w:cs="宋体" w:asciiTheme="minorEastAsia" w:hAnsiTheme="minorEastAsia" w:eastAsiaTheme="minorEastAsia"/>
                <w:b w:val="0"/>
                <w:bCs w:val="0"/>
                <w:color w:val="000000"/>
                <w:sz w:val="24"/>
                <w:highlight w:val="none"/>
              </w:rPr>
              <w:t>-</w:t>
            </w:r>
            <w:r>
              <w:rPr>
                <w:rFonts w:hint="eastAsia" w:cs="宋体" w:asciiTheme="minorEastAsia" w:hAnsiTheme="minorEastAsia" w:eastAsiaTheme="minorEastAsia"/>
                <w:b w:val="0"/>
                <w:bCs w:val="0"/>
                <w:color w:val="000000"/>
                <w:sz w:val="24"/>
                <w:highlight w:val="none"/>
                <w:lang w:val="en-US" w:eastAsia="zh-CN"/>
              </w:rPr>
              <w:t>3人</w:t>
            </w:r>
          </w:p>
        </w:tc>
      </w:tr>
      <w:tr>
        <w:tblPrEx>
          <w:tblCellMar>
            <w:top w:w="0" w:type="dxa"/>
            <w:left w:w="108" w:type="dxa"/>
            <w:bottom w:w="0" w:type="dxa"/>
            <w:right w:w="108" w:type="dxa"/>
          </w:tblCellMar>
        </w:tblPrEx>
        <w:trPr>
          <w:trHeight w:val="949"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6.7.2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推荐成交候选供应商的排序及数量</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是否排序：</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☑排序</w:t>
            </w:r>
          </w:p>
        </w:tc>
      </w:tr>
      <w:tr>
        <w:tblPrEx>
          <w:tblCellMar>
            <w:top w:w="0" w:type="dxa"/>
            <w:left w:w="108" w:type="dxa"/>
            <w:bottom w:w="0" w:type="dxa"/>
            <w:right w:w="108" w:type="dxa"/>
          </w:tblCellMar>
        </w:tblPrEx>
        <w:trPr>
          <w:trHeight w:val="3169"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7.2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成交候选供应商公示</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公示媒介：</w:t>
            </w:r>
            <w:r>
              <w:rPr>
                <w:rFonts w:hint="eastAsia" w:ascii="宋体" w:hAnsi="宋体" w:cs="宋体"/>
                <w:sz w:val="24"/>
                <w:highlight w:val="none"/>
              </w:rPr>
              <w:t>中国招标投标公共服务平台（http：//www.cebpubservice.com）、湖南省湘水集团有限公司网站（http：//www.hnsxsjt.co）、</w:t>
            </w:r>
            <w:r>
              <w:rPr>
                <w:rFonts w:hint="eastAsia" w:ascii="宋体" w:hAnsi="宋体" w:cs="宋体"/>
                <w:sz w:val="24"/>
                <w:highlight w:val="none"/>
                <w:u w:val="single"/>
              </w:rPr>
              <w:t xml:space="preserve">                                   </w:t>
            </w:r>
            <w:r>
              <w:rPr>
                <w:rFonts w:hint="eastAsia" w:ascii="宋体" w:hAnsi="宋体" w:cs="宋体"/>
                <w:sz w:val="24"/>
                <w:highlight w:val="none"/>
              </w:rPr>
              <w:t>湖南省港务集团有限公司门户网站（http://www.hnsgwjt.com/）上发布。</w:t>
            </w:r>
          </w:p>
          <w:p>
            <w:pPr>
              <w:spacing w:line="288" w:lineRule="auto"/>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公示期限：</w:t>
            </w:r>
            <w:r>
              <w:rPr>
                <w:rFonts w:hint="eastAsia" w:cs="宋体" w:asciiTheme="minorEastAsia" w:hAnsiTheme="minorEastAsia" w:eastAsiaTheme="minorEastAsia"/>
                <w:color w:val="000000"/>
                <w:sz w:val="24"/>
                <w:highlight w:val="none"/>
                <w:u w:val="single"/>
              </w:rPr>
              <w:t xml:space="preserve">   3日  </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u w:val="single"/>
              </w:rPr>
              <w:t>其他应公示的内容</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000000"/>
                <w:sz w:val="24"/>
                <w:highlight w:val="none"/>
                <w:u w:val="single"/>
              </w:rPr>
              <w:t xml:space="preserve"> 无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7.7</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履约保证金</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不要求提交</w:t>
            </w:r>
          </w:p>
        </w:tc>
      </w:tr>
      <w:tr>
        <w:tblPrEx>
          <w:tblCellMar>
            <w:top w:w="0" w:type="dxa"/>
            <w:left w:w="108" w:type="dxa"/>
            <w:bottom w:w="0" w:type="dxa"/>
            <w:right w:w="108" w:type="dxa"/>
          </w:tblCellMar>
        </w:tblPrEx>
        <w:trPr>
          <w:trHeight w:val="149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8.1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异议渠道</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联系人：晏晶</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联系电话：13873063063                  </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通信地址：</w:t>
            </w:r>
            <w:r>
              <w:rPr>
                <w:rFonts w:hint="eastAsia" w:cs="宋体" w:asciiTheme="minorEastAsia" w:hAnsiTheme="minorEastAsia" w:eastAsiaTheme="minorEastAsia"/>
                <w:color w:val="000000"/>
                <w:sz w:val="24"/>
                <w:highlight w:val="none"/>
                <w:lang w:val="en-US" w:eastAsia="zh-CN"/>
              </w:rPr>
              <w:t>湖南省</w:t>
            </w:r>
            <w:r>
              <w:rPr>
                <w:rFonts w:hint="eastAsia" w:ascii="宋体" w:hAnsi="宋体" w:cs="宋体"/>
                <w:kern w:val="0"/>
                <w:sz w:val="24"/>
                <w:szCs w:val="24"/>
              </w:rPr>
              <w:t>岳阳市城陵矶长江路二号</w:t>
            </w:r>
            <w:r>
              <w:rPr>
                <w:rFonts w:hint="eastAsia" w:ascii="宋体" w:hAnsi="宋体" w:cs="宋体"/>
                <w:kern w:val="0"/>
                <w:sz w:val="24"/>
                <w:szCs w:val="24"/>
                <w:lang w:val="en-US" w:eastAsia="zh-CN"/>
              </w:rPr>
              <w:t xml:space="preserve"> </w:t>
            </w:r>
            <w:r>
              <w:rPr>
                <w:rFonts w:hint="eastAsia" w:cs="宋体" w:asciiTheme="minorEastAsia" w:hAnsiTheme="minorEastAsia" w:eastAsiaTheme="minorEastAsia"/>
                <w:color w:val="000000"/>
                <w:sz w:val="24"/>
                <w:highlight w:val="none"/>
              </w:rPr>
              <w:t xml:space="preserve">               </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u w:val="single"/>
              </w:rPr>
              <w:t>其他：</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无</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10.1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采购代理服务费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不要求承担</w:t>
            </w:r>
          </w:p>
        </w:tc>
      </w:tr>
      <w:tr>
        <w:trPr>
          <w:trHeight w:val="40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10.2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需要补充的其他内容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无</w:t>
            </w:r>
          </w:p>
        </w:tc>
      </w:tr>
    </w:tbl>
    <w:p>
      <w:pPr>
        <w:spacing w:line="240" w:lineRule="auto"/>
        <w:jc w:val="center"/>
        <w:outlineLvl w:val="0"/>
        <w:rPr>
          <w:rFonts w:ascii="仿宋" w:hAnsi="仿宋" w:eastAsia="仿宋" w:cs="仿宋"/>
          <w:sz w:val="30"/>
          <w:szCs w:val="30"/>
          <w:highlight w:val="none"/>
          <w:u w:val="single"/>
        </w:rPr>
      </w:pPr>
      <w:r>
        <w:rPr>
          <w:rFonts w:ascii="仿宋" w:hAnsi="仿宋" w:eastAsia="仿宋" w:cs="仿宋"/>
          <w:b/>
          <w:bCs/>
          <w:sz w:val="30"/>
          <w:szCs w:val="30"/>
          <w:highlight w:val="none"/>
        </w:rPr>
        <w:br w:type="page"/>
      </w:r>
      <w:bookmarkStart w:id="58" w:name="_Toc17291"/>
      <w:bookmarkStart w:id="59" w:name="_Toc8576"/>
      <w:bookmarkStart w:id="60" w:name="_Toc6417"/>
      <w:bookmarkStart w:id="61" w:name="_Toc30736"/>
      <w:r>
        <w:rPr>
          <w:rFonts w:hint="eastAsia" w:ascii="华文中宋" w:hAnsi="华文中宋" w:eastAsia="华文中宋" w:cs="仿宋"/>
          <w:b/>
          <w:bCs/>
          <w:sz w:val="30"/>
          <w:szCs w:val="30"/>
          <w:highlight w:val="none"/>
          <w:u w:val="single"/>
        </w:rPr>
        <w:t>第二章 供应商须知正文</w:t>
      </w:r>
      <w:bookmarkEnd w:id="58"/>
      <w:bookmarkEnd w:id="59"/>
      <w:bookmarkEnd w:id="60"/>
      <w:bookmarkEnd w:id="61"/>
    </w:p>
    <w:p>
      <w:pPr>
        <w:adjustRightInd w:val="0"/>
        <w:snapToGrid w:val="0"/>
        <w:spacing w:before="120" w:beforeLines="50" w:after="120" w:afterLines="50" w:line="312" w:lineRule="auto"/>
        <w:jc w:val="both"/>
        <w:outlineLvl w:val="1"/>
        <w:rPr>
          <w:rFonts w:ascii="宋体" w:hAnsi="宋体" w:cs="仿宋"/>
          <w:b/>
          <w:bCs/>
          <w:sz w:val="24"/>
          <w:highlight w:val="none"/>
        </w:rPr>
      </w:pPr>
      <w:bookmarkStart w:id="62" w:name="_Toc4987"/>
      <w:bookmarkStart w:id="63" w:name="_Toc25341"/>
      <w:r>
        <w:rPr>
          <w:rFonts w:hint="eastAsia" w:ascii="宋体" w:hAnsi="宋体" w:cs="仿宋"/>
          <w:b/>
          <w:bCs/>
          <w:sz w:val="24"/>
          <w:highlight w:val="none"/>
        </w:rPr>
        <w:t>1 总则</w:t>
      </w:r>
      <w:bookmarkEnd w:id="62"/>
      <w:bookmarkEnd w:id="63"/>
    </w:p>
    <w:p>
      <w:pPr>
        <w:adjustRightInd w:val="0"/>
        <w:snapToGrid w:val="0"/>
        <w:spacing w:line="312" w:lineRule="auto"/>
        <w:jc w:val="both"/>
        <w:outlineLvl w:val="2"/>
        <w:rPr>
          <w:rFonts w:ascii="宋体" w:hAnsi="宋体" w:cs="仿宋"/>
          <w:b/>
          <w:bCs/>
          <w:sz w:val="24"/>
          <w:highlight w:val="none"/>
        </w:rPr>
      </w:pPr>
      <w:bookmarkStart w:id="64" w:name="_Toc24096"/>
      <w:bookmarkStart w:id="65" w:name="_Toc15797"/>
      <w:r>
        <w:rPr>
          <w:rFonts w:hint="eastAsia" w:ascii="宋体" w:hAnsi="宋体" w:cs="仿宋"/>
          <w:b/>
          <w:bCs/>
          <w:sz w:val="24"/>
          <w:highlight w:val="none"/>
        </w:rPr>
        <w:t>1.1采购方法和评审办法</w:t>
      </w:r>
      <w:bookmarkEnd w:id="64"/>
      <w:bookmarkEnd w:id="65"/>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bookmarkStart w:id="66" w:name="_Toc9332"/>
      <w:r>
        <w:rPr>
          <w:rFonts w:hint="eastAsia" w:ascii="宋体" w:hAnsi="宋体" w:eastAsia="宋体" w:cs="宋体"/>
          <w:bCs/>
          <w:color w:val="000000"/>
          <w:sz w:val="24"/>
          <w:szCs w:val="24"/>
          <w:highlight w:val="none"/>
          <w:lang w:val="en-US" w:eastAsia="zh-CN"/>
        </w:rPr>
        <w:t>本项目采用供应商须知前附表规定的采购方式和评审办法。</w:t>
      </w:r>
      <w:bookmarkEnd w:id="66"/>
    </w:p>
    <w:p>
      <w:pPr>
        <w:pStyle w:val="29"/>
        <w:spacing w:line="312" w:lineRule="auto"/>
        <w:ind w:firstLine="0" w:firstLineChars="0"/>
        <w:rPr>
          <w:rFonts w:hAnsi="宋体" w:eastAsia="宋体" w:cs="仿宋"/>
          <w:sz w:val="24"/>
          <w:szCs w:val="24"/>
          <w:highlight w:val="none"/>
        </w:rPr>
      </w:pPr>
      <w:r>
        <w:rPr>
          <w:rFonts w:hint="eastAsia" w:hAnsi="宋体" w:eastAsia="宋体" w:cs="仿宋"/>
          <w:sz w:val="24"/>
          <w:szCs w:val="24"/>
          <w:highlight w:val="none"/>
        </w:rPr>
        <w:t>1.1.1采购方法</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询价采购，是指按照规定程序就采购项目向符合资格要求的供应商进行询价，通过评审、比较确定成交供应商的采购方式。</w:t>
      </w:r>
    </w:p>
    <w:p>
      <w:pPr>
        <w:pStyle w:val="29"/>
        <w:spacing w:line="312" w:lineRule="auto"/>
        <w:ind w:firstLine="0" w:firstLineChars="0"/>
        <w:rPr>
          <w:rFonts w:hAnsi="宋体" w:eastAsia="宋体" w:cs="仿宋"/>
          <w:sz w:val="24"/>
          <w:szCs w:val="24"/>
          <w:highlight w:val="none"/>
        </w:rPr>
      </w:pPr>
      <w:r>
        <w:rPr>
          <w:rFonts w:hint="eastAsia" w:hAnsi="宋体" w:eastAsia="宋体" w:cs="仿宋"/>
          <w:sz w:val="24"/>
          <w:szCs w:val="24"/>
          <w:highlight w:val="none"/>
        </w:rPr>
        <w:t>1.1.2评审办法</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outlineLvl w:val="2"/>
        <w:rPr>
          <w:rFonts w:ascii="宋体" w:hAnsi="宋体" w:cs="仿宋"/>
          <w:b/>
          <w:bCs/>
          <w:sz w:val="24"/>
          <w:highlight w:val="none"/>
        </w:rPr>
      </w:pPr>
      <w:bookmarkStart w:id="67" w:name="_Toc8927"/>
      <w:bookmarkStart w:id="68" w:name="_Toc10903"/>
      <w:r>
        <w:rPr>
          <w:rFonts w:hint="eastAsia" w:ascii="宋体" w:hAnsi="宋体" w:cs="仿宋"/>
          <w:b/>
          <w:bCs/>
          <w:sz w:val="24"/>
          <w:highlight w:val="none"/>
        </w:rPr>
        <w:t>1.2采购项目概况和供应商资格要求</w:t>
      </w:r>
      <w:bookmarkEnd w:id="67"/>
      <w:bookmarkEnd w:id="6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采购项目概况和供应商资格要求见第一章“采购公告”。</w:t>
      </w:r>
    </w:p>
    <w:p>
      <w:pPr>
        <w:adjustRightInd w:val="0"/>
        <w:snapToGrid w:val="0"/>
        <w:spacing w:line="312" w:lineRule="auto"/>
        <w:jc w:val="both"/>
        <w:outlineLvl w:val="2"/>
        <w:rPr>
          <w:rFonts w:ascii="宋体" w:hAnsi="宋体" w:cs="仿宋"/>
          <w:b/>
          <w:bCs/>
          <w:sz w:val="24"/>
          <w:highlight w:val="none"/>
        </w:rPr>
      </w:pPr>
      <w:bookmarkStart w:id="69" w:name="_Toc13374"/>
      <w:bookmarkStart w:id="70" w:name="_Toc9946"/>
      <w:r>
        <w:rPr>
          <w:rFonts w:hint="eastAsia" w:ascii="宋体" w:hAnsi="宋体" w:cs="仿宋"/>
          <w:b/>
          <w:bCs/>
          <w:sz w:val="24"/>
          <w:highlight w:val="none"/>
        </w:rPr>
        <w:t>1.3 费用承担</w:t>
      </w:r>
      <w:bookmarkEnd w:id="69"/>
      <w:bookmarkEnd w:id="70"/>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供应商准备和参加采购活动所发生的各种费用由供应商自行承担。</w:t>
      </w:r>
    </w:p>
    <w:p>
      <w:pPr>
        <w:adjustRightInd w:val="0"/>
        <w:snapToGrid w:val="0"/>
        <w:spacing w:line="312" w:lineRule="auto"/>
        <w:jc w:val="both"/>
        <w:outlineLvl w:val="2"/>
        <w:rPr>
          <w:rFonts w:ascii="宋体" w:hAnsi="宋体" w:cs="仿宋"/>
          <w:b/>
          <w:bCs/>
          <w:sz w:val="24"/>
          <w:highlight w:val="none"/>
        </w:rPr>
      </w:pPr>
      <w:bookmarkStart w:id="71" w:name="_Toc736"/>
      <w:bookmarkStart w:id="72" w:name="_Toc4109"/>
      <w:r>
        <w:rPr>
          <w:rFonts w:hint="eastAsia" w:ascii="宋体" w:hAnsi="宋体" w:cs="仿宋"/>
          <w:b/>
          <w:bCs/>
          <w:sz w:val="24"/>
          <w:highlight w:val="none"/>
        </w:rPr>
        <w:t>1.4保密</w:t>
      </w:r>
      <w:bookmarkEnd w:id="71"/>
      <w:bookmarkEnd w:id="7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参加采购活动的各方应对采购文件和响应文件中的商业和技术等秘密保密，否则应承担相应的法律责任。</w:t>
      </w:r>
    </w:p>
    <w:p>
      <w:pPr>
        <w:adjustRightInd w:val="0"/>
        <w:snapToGrid w:val="0"/>
        <w:spacing w:line="312" w:lineRule="auto"/>
        <w:jc w:val="both"/>
        <w:outlineLvl w:val="2"/>
        <w:rPr>
          <w:rFonts w:ascii="宋体" w:hAnsi="宋体" w:cs="仿宋"/>
          <w:b/>
          <w:bCs/>
          <w:sz w:val="24"/>
          <w:highlight w:val="none"/>
        </w:rPr>
      </w:pPr>
      <w:bookmarkStart w:id="73" w:name="_Toc5445"/>
      <w:bookmarkStart w:id="74" w:name="_Toc17883"/>
      <w:r>
        <w:rPr>
          <w:rFonts w:hint="eastAsia" w:ascii="宋体" w:hAnsi="宋体" w:cs="仿宋"/>
          <w:b/>
          <w:bCs/>
          <w:sz w:val="24"/>
          <w:highlight w:val="none"/>
        </w:rPr>
        <w:t>1.5语言文字</w:t>
      </w:r>
      <w:bookmarkEnd w:id="73"/>
      <w:bookmarkEnd w:id="74"/>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采购文件和响应文件使用的语言文字为中文。专用术语使用外文的，应附有中文注释。</w:t>
      </w:r>
    </w:p>
    <w:p>
      <w:pPr>
        <w:adjustRightInd w:val="0"/>
        <w:snapToGrid w:val="0"/>
        <w:spacing w:line="312" w:lineRule="auto"/>
        <w:jc w:val="both"/>
        <w:outlineLvl w:val="2"/>
        <w:rPr>
          <w:rFonts w:ascii="宋体" w:hAnsi="宋体" w:cs="仿宋"/>
          <w:b/>
          <w:bCs/>
          <w:sz w:val="24"/>
          <w:highlight w:val="none"/>
        </w:rPr>
      </w:pPr>
      <w:bookmarkStart w:id="75" w:name="_Toc2808"/>
      <w:bookmarkStart w:id="76" w:name="_Toc29410"/>
      <w:r>
        <w:rPr>
          <w:rFonts w:hint="eastAsia" w:ascii="宋体" w:hAnsi="宋体" w:cs="仿宋"/>
          <w:b/>
          <w:bCs/>
          <w:sz w:val="24"/>
          <w:highlight w:val="none"/>
        </w:rPr>
        <w:t>1.6计量单位</w:t>
      </w:r>
      <w:bookmarkEnd w:id="75"/>
      <w:bookmarkEnd w:id="7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所有计量均采用中华人民共和国法定计量单位。</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1.7踏勘现场（本项目不组织踏勘现场）</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1.8采购预备会（本项目不组织采购预备会）</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1.9主要材料和关键部件外购</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供应商拟对主要材料和关键部件进行外购的，应符合第五章“采购需求”中提出的或允许外购的相关规定，并在响应文件中作出说明。</w:t>
      </w:r>
    </w:p>
    <w:p>
      <w:pPr>
        <w:adjustRightInd w:val="0"/>
        <w:snapToGrid w:val="0"/>
        <w:spacing w:line="312" w:lineRule="auto"/>
        <w:jc w:val="both"/>
        <w:outlineLvl w:val="2"/>
        <w:rPr>
          <w:rFonts w:ascii="宋体" w:hAnsi="宋体" w:cs="仿宋"/>
          <w:b/>
          <w:bCs/>
          <w:sz w:val="24"/>
          <w:highlight w:val="none"/>
        </w:rPr>
      </w:pPr>
      <w:bookmarkStart w:id="77" w:name="_Toc6115"/>
      <w:bookmarkStart w:id="78" w:name="_Toc11438"/>
      <w:r>
        <w:rPr>
          <w:rFonts w:hint="eastAsia" w:ascii="宋体" w:hAnsi="宋体" w:cs="仿宋"/>
          <w:b/>
          <w:bCs/>
          <w:sz w:val="24"/>
          <w:highlight w:val="none"/>
        </w:rPr>
        <w:t>1.10响应和偏差</w:t>
      </w:r>
      <w:bookmarkEnd w:id="77"/>
      <w:bookmarkEnd w:id="7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outlineLvl w:val="1"/>
        <w:rPr>
          <w:rFonts w:ascii="宋体" w:hAnsi="宋体" w:cs="仿宋"/>
          <w:b/>
          <w:bCs/>
          <w:sz w:val="24"/>
          <w:highlight w:val="none"/>
        </w:rPr>
      </w:pPr>
      <w:bookmarkStart w:id="79" w:name="_Toc30734"/>
      <w:bookmarkStart w:id="80" w:name="_Toc2312"/>
      <w:r>
        <w:rPr>
          <w:rFonts w:hint="eastAsia" w:ascii="宋体" w:hAnsi="宋体" w:cs="仿宋"/>
          <w:b/>
          <w:bCs/>
          <w:sz w:val="24"/>
          <w:highlight w:val="none"/>
        </w:rPr>
        <w:t>2采购文件</w:t>
      </w:r>
      <w:bookmarkEnd w:id="79"/>
      <w:bookmarkEnd w:id="80"/>
    </w:p>
    <w:p>
      <w:pPr>
        <w:adjustRightInd w:val="0"/>
        <w:snapToGrid w:val="0"/>
        <w:spacing w:line="312" w:lineRule="auto"/>
        <w:jc w:val="both"/>
        <w:outlineLvl w:val="2"/>
        <w:rPr>
          <w:rFonts w:ascii="宋体" w:hAnsi="宋体" w:cs="仿宋"/>
          <w:b/>
          <w:bCs/>
          <w:sz w:val="24"/>
          <w:highlight w:val="none"/>
        </w:rPr>
      </w:pPr>
      <w:bookmarkStart w:id="81" w:name="_Toc6549"/>
      <w:bookmarkStart w:id="82" w:name="_Toc10200"/>
      <w:r>
        <w:rPr>
          <w:rFonts w:hint="eastAsia" w:ascii="宋体" w:hAnsi="宋体" w:cs="仿宋"/>
          <w:b/>
          <w:bCs/>
          <w:sz w:val="24"/>
          <w:highlight w:val="none"/>
        </w:rPr>
        <w:t>2.1采购文件的组成</w:t>
      </w:r>
      <w:bookmarkEnd w:id="81"/>
      <w:bookmarkEnd w:id="8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本采购文件包括:</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(1)采购公告:</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(2)供应商须知;</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(3)评审办法;</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(4)合同条款及格式;</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(5)采购需求;</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(6)响应文件格式;</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(7)供应商须知前附表规定的其他资料。</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采购人依照本章规定，对采购文件所作的澄清、修改，构成采购文件的组成部分。</w:t>
      </w:r>
    </w:p>
    <w:p>
      <w:pPr>
        <w:adjustRightInd w:val="0"/>
        <w:snapToGrid w:val="0"/>
        <w:spacing w:line="312" w:lineRule="auto"/>
        <w:jc w:val="both"/>
        <w:outlineLvl w:val="2"/>
        <w:rPr>
          <w:rFonts w:ascii="宋体" w:hAnsi="宋体" w:cs="仿宋"/>
          <w:b/>
          <w:bCs/>
          <w:sz w:val="24"/>
          <w:highlight w:val="none"/>
        </w:rPr>
      </w:pPr>
      <w:bookmarkStart w:id="83" w:name="_Toc1757"/>
      <w:bookmarkStart w:id="84" w:name="_Toc8249"/>
      <w:r>
        <w:rPr>
          <w:rFonts w:hint="eastAsia" w:ascii="宋体" w:hAnsi="宋体" w:cs="仿宋"/>
          <w:b/>
          <w:bCs/>
          <w:sz w:val="24"/>
          <w:highlight w:val="none"/>
        </w:rPr>
        <w:t>2.2采购文件的澄清和修改</w:t>
      </w:r>
      <w:bookmarkEnd w:id="83"/>
      <w:bookmarkEnd w:id="8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2.2.3供应商在收到补充文件后，应按供应商须知前附表规定的时间和方式通知采购人，确认已收到该补充文件。</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2.2.4除非确有必要，采购人有权拒绝回复供应商在本章第2.2.1项规定的时间后提出的任何澄清要求。</w:t>
      </w:r>
    </w:p>
    <w:p>
      <w:pPr>
        <w:adjustRightInd w:val="0"/>
        <w:snapToGrid w:val="0"/>
        <w:spacing w:line="312" w:lineRule="auto"/>
        <w:jc w:val="both"/>
        <w:outlineLvl w:val="1"/>
        <w:rPr>
          <w:rFonts w:ascii="宋体" w:hAnsi="宋体" w:cs="仿宋"/>
          <w:b/>
          <w:bCs/>
          <w:sz w:val="24"/>
          <w:highlight w:val="none"/>
        </w:rPr>
      </w:pPr>
      <w:bookmarkStart w:id="85" w:name="_Toc10259"/>
      <w:bookmarkStart w:id="86" w:name="_Toc16612"/>
      <w:r>
        <w:rPr>
          <w:rFonts w:hint="eastAsia" w:ascii="宋体" w:hAnsi="宋体" w:cs="仿宋"/>
          <w:b/>
          <w:bCs/>
          <w:sz w:val="24"/>
          <w:highlight w:val="none"/>
        </w:rPr>
        <w:t>3响应文件</w:t>
      </w:r>
      <w:bookmarkEnd w:id="85"/>
      <w:bookmarkEnd w:id="86"/>
    </w:p>
    <w:p>
      <w:pPr>
        <w:adjustRightInd w:val="0"/>
        <w:snapToGrid w:val="0"/>
        <w:spacing w:line="312" w:lineRule="auto"/>
        <w:jc w:val="both"/>
        <w:outlineLvl w:val="2"/>
        <w:rPr>
          <w:rFonts w:ascii="宋体" w:hAnsi="宋体" w:cs="仿宋"/>
          <w:b/>
          <w:bCs/>
          <w:sz w:val="24"/>
          <w:highlight w:val="none"/>
        </w:rPr>
      </w:pPr>
      <w:bookmarkStart w:id="87" w:name="_Toc12606"/>
      <w:bookmarkStart w:id="88" w:name="_Toc25826"/>
      <w:r>
        <w:rPr>
          <w:rFonts w:hint="eastAsia" w:ascii="宋体" w:hAnsi="宋体" w:cs="仿宋"/>
          <w:b/>
          <w:bCs/>
          <w:sz w:val="24"/>
          <w:highlight w:val="none"/>
        </w:rPr>
        <w:t>3.1响应文件的组成</w:t>
      </w:r>
      <w:bookmarkEnd w:id="87"/>
      <w:bookmarkEnd w:id="8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3.1.1响应文件应包括下列内容:</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(1)响应函;</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(2)授权委托书(如有);</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(3)商务和技术偏差表;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(4)报价表;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(5)资格审查资料;</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(6)响应方案;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(7)供应商须知前附表规定的其他资料。</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供应商在评审过程中作出的符合采购文件要求的澄清、说明和补正，构成响应文件的组成部分。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3.1.2供应商的法定代表人(单位负责人)亲自签署响应文件、亲自参加采购的，响应文件不包括第3.1.1(2)目所指的授权委托书。</w:t>
      </w:r>
    </w:p>
    <w:p>
      <w:pPr>
        <w:adjustRightInd w:val="0"/>
        <w:snapToGrid w:val="0"/>
        <w:spacing w:line="312" w:lineRule="auto"/>
        <w:jc w:val="both"/>
        <w:outlineLvl w:val="2"/>
        <w:rPr>
          <w:rFonts w:ascii="宋体" w:hAnsi="宋体" w:cs="仿宋"/>
          <w:b/>
          <w:bCs/>
          <w:sz w:val="24"/>
          <w:highlight w:val="none"/>
        </w:rPr>
      </w:pPr>
      <w:bookmarkStart w:id="89" w:name="_Toc31309"/>
      <w:bookmarkStart w:id="90" w:name="_Toc22991"/>
      <w:r>
        <w:rPr>
          <w:rFonts w:hint="eastAsia" w:ascii="宋体" w:hAnsi="宋体" w:cs="仿宋"/>
          <w:b/>
          <w:bCs/>
          <w:sz w:val="24"/>
          <w:highlight w:val="none"/>
        </w:rPr>
        <w:t>3.2报价</w:t>
      </w:r>
      <w:bookmarkEnd w:id="89"/>
      <w:bookmarkEnd w:id="90"/>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3.2.3采购人设有最高限价的，供应商的报价不得超过最高限价。最高限价或最高限价计算方法在供应商须知前附表中载明。</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3.2.4报价的其他要求见供应商须知前附表。</w:t>
      </w:r>
    </w:p>
    <w:p>
      <w:pPr>
        <w:adjustRightInd w:val="0"/>
        <w:snapToGrid w:val="0"/>
        <w:spacing w:line="312" w:lineRule="auto"/>
        <w:jc w:val="both"/>
        <w:outlineLvl w:val="2"/>
        <w:rPr>
          <w:rFonts w:ascii="宋体" w:hAnsi="宋体" w:cs="仿宋"/>
          <w:b/>
          <w:bCs/>
          <w:sz w:val="24"/>
          <w:highlight w:val="none"/>
        </w:rPr>
      </w:pPr>
      <w:bookmarkStart w:id="91" w:name="_Toc13424"/>
      <w:bookmarkStart w:id="92" w:name="_Toc15287"/>
      <w:r>
        <w:rPr>
          <w:rFonts w:hint="eastAsia" w:ascii="宋体" w:hAnsi="宋体" w:cs="仿宋"/>
          <w:b/>
          <w:bCs/>
          <w:sz w:val="24"/>
          <w:highlight w:val="none"/>
        </w:rPr>
        <w:t>3.3响应文件有效期</w:t>
      </w:r>
      <w:bookmarkEnd w:id="91"/>
      <w:bookmarkEnd w:id="9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3.3.1除供应商须知前附表另有规定外，响应文件有效期应为90日，从采购文件规定的递交响应文件的截止时间开始计算。</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3.4响应保证金（本项目不提交响应保证金）</w:t>
      </w:r>
    </w:p>
    <w:p>
      <w:pPr>
        <w:adjustRightInd w:val="0"/>
        <w:snapToGrid w:val="0"/>
        <w:spacing w:line="312" w:lineRule="auto"/>
        <w:ind w:left="120" w:hanging="120" w:hangingChars="50"/>
        <w:jc w:val="both"/>
        <w:rPr>
          <w:rFonts w:ascii="宋体" w:hAnsi="宋体" w:cs="仿宋"/>
          <w:b/>
          <w:bCs/>
          <w:sz w:val="24"/>
          <w:highlight w:val="none"/>
        </w:rPr>
      </w:pPr>
      <w:r>
        <w:rPr>
          <w:rFonts w:hint="eastAsia" w:ascii="宋体" w:hAnsi="宋体" w:cs="仿宋"/>
          <w:b/>
          <w:bCs/>
          <w:sz w:val="24"/>
          <w:highlight w:val="none"/>
        </w:rPr>
        <w:t>3.5资格审查资料</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供应商应提供供应商须知前附表3.5(1)-3.5(9)中规定的资格审查资料，以证明其满足第一章“采购公告”对供应商的各项资格要求。</w:t>
      </w:r>
    </w:p>
    <w:p>
      <w:pPr>
        <w:adjustRightInd w:val="0"/>
        <w:snapToGrid w:val="0"/>
        <w:spacing w:line="312" w:lineRule="auto"/>
        <w:jc w:val="both"/>
        <w:outlineLvl w:val="2"/>
        <w:rPr>
          <w:rFonts w:ascii="宋体" w:hAnsi="宋体" w:cs="仿宋"/>
          <w:b/>
          <w:bCs/>
          <w:sz w:val="24"/>
          <w:highlight w:val="none"/>
        </w:rPr>
      </w:pPr>
      <w:bookmarkStart w:id="93" w:name="_Toc9215"/>
      <w:bookmarkStart w:id="94" w:name="_Toc747"/>
      <w:r>
        <w:rPr>
          <w:rFonts w:hint="eastAsia" w:ascii="宋体" w:hAnsi="宋体" w:cs="仿宋"/>
          <w:b/>
          <w:bCs/>
          <w:sz w:val="24"/>
          <w:highlight w:val="none"/>
        </w:rPr>
        <w:t>3.6响应方案</w:t>
      </w:r>
      <w:bookmarkEnd w:id="93"/>
      <w:bookmarkEnd w:id="9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3.6.2供应商只能提出唯一的响应方案。供应商在响应文件中提出多个响应方案的，其响应文件将被视为无效。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outlineLvl w:val="2"/>
        <w:rPr>
          <w:rFonts w:ascii="宋体" w:hAnsi="宋体" w:cs="仿宋"/>
          <w:b/>
          <w:bCs/>
          <w:sz w:val="24"/>
          <w:highlight w:val="none"/>
        </w:rPr>
      </w:pPr>
      <w:bookmarkStart w:id="95" w:name="_Toc8619"/>
      <w:bookmarkStart w:id="96" w:name="_Toc6563"/>
      <w:r>
        <w:rPr>
          <w:rFonts w:hint="eastAsia" w:ascii="宋体" w:hAnsi="宋体" w:cs="仿宋"/>
          <w:b/>
          <w:bCs/>
          <w:sz w:val="24"/>
          <w:highlight w:val="none"/>
        </w:rPr>
        <w:t>3.7响应文件的编制</w:t>
      </w:r>
      <w:bookmarkEnd w:id="95"/>
      <w:bookmarkEnd w:id="9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3.7.1响应文件应按第六章“响应文件格式”进行编写，如有必要，可以增加附件作为响应文件的组成部分。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3.7.2响应文件应用不褪色的的材料书写或打印。</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3.7.3评审过程中供应商对响应文件的澄清、说明和补正应由供应商的法定代表人(单位负责人)或其授权的代理人签字或加盖单位章。</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3.7.4响应文件应尽量避免涂改、行间插字或删除。如果出现上述情况，改动之处应由供应商的法定代表人(单位负责人)或其授权的代理人签字或加盖单位章。</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3.7.6响应文件的正本与副本应分别装订，并编制目录。响应文件需分册装订的，具体分册装订要求见供应商须知前附表规定。</w:t>
      </w:r>
    </w:p>
    <w:p>
      <w:pPr>
        <w:adjustRightInd w:val="0"/>
        <w:snapToGrid w:val="0"/>
        <w:spacing w:line="312" w:lineRule="auto"/>
        <w:jc w:val="both"/>
        <w:outlineLvl w:val="1"/>
        <w:rPr>
          <w:rFonts w:ascii="宋体" w:hAnsi="宋体" w:cs="仿宋"/>
          <w:b/>
          <w:bCs/>
          <w:sz w:val="24"/>
          <w:highlight w:val="none"/>
        </w:rPr>
      </w:pPr>
      <w:bookmarkStart w:id="97" w:name="_Toc9105"/>
      <w:bookmarkStart w:id="98" w:name="_Toc9327"/>
      <w:r>
        <w:rPr>
          <w:rFonts w:hint="eastAsia" w:ascii="宋体" w:hAnsi="宋体" w:cs="仿宋"/>
          <w:b/>
          <w:bCs/>
          <w:sz w:val="24"/>
          <w:highlight w:val="none"/>
        </w:rPr>
        <w:t>4响应文件的递交</w:t>
      </w:r>
      <w:bookmarkEnd w:id="97"/>
      <w:bookmarkEnd w:id="98"/>
    </w:p>
    <w:p>
      <w:pPr>
        <w:adjustRightInd w:val="0"/>
        <w:snapToGrid w:val="0"/>
        <w:spacing w:line="312" w:lineRule="auto"/>
        <w:jc w:val="both"/>
        <w:outlineLvl w:val="2"/>
        <w:rPr>
          <w:rFonts w:ascii="宋体" w:hAnsi="宋体" w:cs="仿宋"/>
          <w:b/>
          <w:bCs/>
          <w:sz w:val="24"/>
          <w:highlight w:val="none"/>
        </w:rPr>
      </w:pPr>
      <w:bookmarkStart w:id="99" w:name="_Toc19793"/>
      <w:bookmarkStart w:id="100" w:name="_Toc7009"/>
      <w:r>
        <w:rPr>
          <w:rFonts w:ascii="宋体" w:hAnsi="宋体" w:cs="仿宋"/>
          <w:b/>
          <w:bCs/>
          <w:sz w:val="24"/>
          <w:highlight w:val="none"/>
        </w:rPr>
        <w:t>4.1响应文件的包装与标记</w:t>
      </w:r>
      <w:bookmarkEnd w:id="99"/>
      <w:bookmarkEnd w:id="100"/>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4.1.1响应文件应安善包装。供应商须知前附表规定响应文件应密封的，响应文件应按要求密封。</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4.1.2响应文件封套上应载明的内容见供应商须知前附表。</w:t>
      </w:r>
    </w:p>
    <w:p>
      <w:pPr>
        <w:adjustRightInd w:val="0"/>
        <w:snapToGrid w:val="0"/>
        <w:spacing w:line="312" w:lineRule="auto"/>
        <w:jc w:val="both"/>
        <w:outlineLvl w:val="2"/>
        <w:rPr>
          <w:rFonts w:ascii="宋体" w:hAnsi="宋体" w:cs="仿宋"/>
          <w:b/>
          <w:bCs/>
          <w:sz w:val="24"/>
          <w:highlight w:val="none"/>
        </w:rPr>
      </w:pPr>
      <w:bookmarkStart w:id="101" w:name="_Toc9210"/>
      <w:bookmarkStart w:id="102" w:name="_Toc8492"/>
      <w:r>
        <w:rPr>
          <w:rFonts w:hint="eastAsia" w:ascii="宋体" w:hAnsi="宋体" w:cs="仿宋"/>
          <w:b/>
          <w:bCs/>
          <w:sz w:val="24"/>
          <w:highlight w:val="none"/>
        </w:rPr>
        <w:t>4.2响应文件的递交</w:t>
      </w:r>
      <w:bookmarkEnd w:id="101"/>
      <w:bookmarkEnd w:id="10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4.2.2除供应商须知前附表另有规定外，供应商所提交的响应文件不于退还。</w:t>
      </w:r>
    </w:p>
    <w:p>
      <w:pPr>
        <w:adjustRightInd w:val="0"/>
        <w:snapToGrid w:val="0"/>
        <w:spacing w:line="312" w:lineRule="auto"/>
        <w:jc w:val="both"/>
        <w:outlineLvl w:val="2"/>
        <w:rPr>
          <w:rFonts w:ascii="宋体" w:hAnsi="宋体" w:cs="仿宋"/>
          <w:b/>
          <w:bCs/>
          <w:sz w:val="24"/>
          <w:highlight w:val="none"/>
        </w:rPr>
      </w:pPr>
      <w:bookmarkStart w:id="103" w:name="_Toc26516"/>
      <w:bookmarkStart w:id="104" w:name="_Toc21492"/>
      <w:r>
        <w:rPr>
          <w:rFonts w:hint="eastAsia" w:ascii="宋体" w:hAnsi="宋体" w:cs="仿宋"/>
          <w:b/>
          <w:bCs/>
          <w:sz w:val="24"/>
          <w:highlight w:val="none"/>
        </w:rPr>
        <w:t>4.3响应文件的修改与撤回</w:t>
      </w:r>
      <w:bookmarkEnd w:id="103"/>
      <w:bookmarkEnd w:id="10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4.3.1在本章第4.2.1项规定的递交响应文件的截止时间前，供应商可以修改或撤回已递交的响应文件。</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4.3.3除供应商须知前附表另有规定外，供应商撤回响应文件的，采购人应在5日内退还已收取的响应保证金。</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4.3.4修改的内容为响应文件的组成部分。响应文件的修改文件应按照本章第3条、第4条的规定进行编制、包装、标记和递交，并注明“修改”字样。</w:t>
      </w:r>
    </w:p>
    <w:p>
      <w:pPr>
        <w:adjustRightInd w:val="0"/>
        <w:snapToGrid w:val="0"/>
        <w:spacing w:line="312" w:lineRule="auto"/>
        <w:jc w:val="both"/>
        <w:outlineLvl w:val="1"/>
        <w:rPr>
          <w:rFonts w:ascii="宋体" w:hAnsi="宋体" w:cs="仿宋"/>
          <w:b/>
          <w:bCs/>
          <w:sz w:val="24"/>
          <w:highlight w:val="none"/>
        </w:rPr>
      </w:pPr>
      <w:bookmarkStart w:id="105" w:name="_Toc2943"/>
      <w:bookmarkStart w:id="106" w:name="_Toc21378"/>
      <w:r>
        <w:rPr>
          <w:rFonts w:hint="eastAsia" w:ascii="宋体" w:hAnsi="宋体" w:cs="仿宋"/>
          <w:b/>
          <w:bCs/>
          <w:sz w:val="24"/>
          <w:highlight w:val="none"/>
        </w:rPr>
        <w:t>5开启响应文件</w:t>
      </w:r>
      <w:bookmarkEnd w:id="105"/>
      <w:bookmarkEnd w:id="10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采购人一般不公开开启响应文件。如供应商须知前附表规定公开开启响应文件的，开启活动应按本条规定执行。</w:t>
      </w:r>
    </w:p>
    <w:p>
      <w:pPr>
        <w:adjustRightInd w:val="0"/>
        <w:snapToGrid w:val="0"/>
        <w:spacing w:line="312" w:lineRule="auto"/>
        <w:jc w:val="both"/>
        <w:outlineLvl w:val="2"/>
        <w:rPr>
          <w:rFonts w:ascii="宋体" w:hAnsi="宋体" w:cs="仿宋"/>
          <w:b/>
          <w:bCs/>
          <w:sz w:val="24"/>
          <w:highlight w:val="none"/>
        </w:rPr>
      </w:pPr>
      <w:bookmarkStart w:id="107" w:name="_Toc16054"/>
      <w:bookmarkStart w:id="108" w:name="_Toc9319"/>
      <w:r>
        <w:rPr>
          <w:rFonts w:hint="eastAsia" w:ascii="宋体" w:hAnsi="宋体" w:cs="仿宋"/>
          <w:b/>
          <w:bCs/>
          <w:sz w:val="24"/>
          <w:highlight w:val="none"/>
        </w:rPr>
        <w:t>5.1开启响应文件的时间和地点</w:t>
      </w:r>
      <w:bookmarkEnd w:id="107"/>
      <w:bookmarkEnd w:id="10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outlineLvl w:val="2"/>
        <w:rPr>
          <w:rFonts w:ascii="宋体" w:hAnsi="宋体" w:cs="仿宋"/>
          <w:b/>
          <w:bCs/>
          <w:sz w:val="24"/>
          <w:highlight w:val="none"/>
        </w:rPr>
      </w:pPr>
      <w:bookmarkStart w:id="109" w:name="_Toc19841"/>
      <w:bookmarkStart w:id="110" w:name="_Toc13968"/>
      <w:r>
        <w:rPr>
          <w:rFonts w:hint="eastAsia" w:ascii="宋体" w:hAnsi="宋体" w:cs="仿宋"/>
          <w:b/>
          <w:bCs/>
          <w:sz w:val="24"/>
          <w:highlight w:val="none"/>
        </w:rPr>
        <w:t>5.2开启程序</w:t>
      </w:r>
      <w:bookmarkEnd w:id="109"/>
      <w:bookmarkEnd w:id="110"/>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主持人按下列程序公开开启响应文件:</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(1)按照供应商须知前附表规定的开启顺序开启响应文件，公布递交响应文件的供应商名称、响应报价及供应商须知前附表规定的其他应公布的信息，并记录在案;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(2)开启会议结束。</w:t>
      </w:r>
    </w:p>
    <w:p>
      <w:pPr>
        <w:adjustRightInd w:val="0"/>
        <w:snapToGrid w:val="0"/>
        <w:spacing w:line="312" w:lineRule="auto"/>
        <w:jc w:val="both"/>
        <w:outlineLvl w:val="2"/>
        <w:rPr>
          <w:rFonts w:ascii="宋体" w:hAnsi="宋体" w:cs="仿宋"/>
          <w:sz w:val="24"/>
          <w:highlight w:val="none"/>
        </w:rPr>
      </w:pPr>
      <w:bookmarkStart w:id="111" w:name="_Toc8044"/>
      <w:bookmarkStart w:id="112" w:name="_Toc3927"/>
      <w:r>
        <w:rPr>
          <w:rFonts w:hint="eastAsia" w:ascii="宋体" w:hAnsi="宋体" w:cs="仿宋"/>
          <w:b/>
          <w:bCs/>
          <w:sz w:val="24"/>
          <w:highlight w:val="none"/>
        </w:rPr>
        <w:t>5.3递交响应文件的供应商不足的情形</w:t>
      </w:r>
      <w:bookmarkEnd w:id="111"/>
      <w:bookmarkEnd w:id="11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outlineLvl w:val="1"/>
        <w:rPr>
          <w:rFonts w:ascii="宋体" w:hAnsi="宋体" w:cs="仿宋"/>
          <w:b/>
          <w:bCs/>
          <w:sz w:val="24"/>
          <w:highlight w:val="none"/>
        </w:rPr>
      </w:pPr>
      <w:bookmarkStart w:id="113" w:name="_Toc2035"/>
      <w:bookmarkStart w:id="114" w:name="_Toc15857"/>
      <w:r>
        <w:rPr>
          <w:rFonts w:hint="eastAsia" w:ascii="宋体" w:hAnsi="宋体" w:cs="仿宋"/>
          <w:b/>
          <w:bCs/>
          <w:sz w:val="24"/>
          <w:highlight w:val="none"/>
        </w:rPr>
        <w:t>6评审</w:t>
      </w:r>
      <w:bookmarkEnd w:id="113"/>
      <w:bookmarkEnd w:id="114"/>
    </w:p>
    <w:p>
      <w:pPr>
        <w:adjustRightInd w:val="0"/>
        <w:snapToGrid w:val="0"/>
        <w:spacing w:line="312" w:lineRule="auto"/>
        <w:jc w:val="both"/>
        <w:outlineLvl w:val="2"/>
        <w:rPr>
          <w:rFonts w:ascii="宋体" w:hAnsi="宋体" w:cs="仿宋"/>
          <w:b/>
          <w:bCs/>
          <w:sz w:val="24"/>
          <w:highlight w:val="none"/>
        </w:rPr>
      </w:pPr>
      <w:bookmarkStart w:id="115" w:name="_Toc8637"/>
      <w:bookmarkStart w:id="116" w:name="_Toc22919"/>
      <w:r>
        <w:rPr>
          <w:rFonts w:hint="eastAsia" w:ascii="宋体" w:hAnsi="宋体" w:cs="仿宋"/>
          <w:b/>
          <w:bCs/>
          <w:sz w:val="24"/>
          <w:highlight w:val="none"/>
        </w:rPr>
        <w:t>6.1评审小组</w:t>
      </w:r>
      <w:bookmarkEnd w:id="115"/>
      <w:bookmarkEnd w:id="11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6.1.1评审由采购人组建的评审小组负责。</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6.1.2评审小组成员有下列情形之的，应当回避:</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（1）供应商主要负责人或供应商主要负责人的近亲属;</w:t>
      </w:r>
      <w:r>
        <w:rPr>
          <w:rFonts w:hint="eastAsia" w:ascii="宋体" w:hAnsi="宋体" w:eastAsia="宋体" w:cs="宋体"/>
          <w:bCs/>
          <w:color w:val="000000"/>
          <w:sz w:val="24"/>
          <w:szCs w:val="24"/>
          <w:highlight w:val="none"/>
          <w:lang w:val="en-US" w:eastAsia="zh-CN"/>
        </w:rPr>
        <w:br w:type="textWrapping"/>
      </w:r>
      <w:r>
        <w:rPr>
          <w:rFonts w:hint="eastAsia" w:ascii="宋体" w:hAnsi="宋体" w:eastAsia="宋体" w:cs="宋体"/>
          <w:bCs/>
          <w:color w:val="000000"/>
          <w:sz w:val="24"/>
          <w:szCs w:val="24"/>
          <w:highlight w:val="none"/>
          <w:lang w:val="en-US" w:eastAsia="zh-CN"/>
        </w:rPr>
        <w:t>(2)与供应商有经济利益关系或其他利害关系，可能影响公正评审的。</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6.1.3评审小组组建后，评审小组成员共同推选或或由采购人指定评审小组组长，评审小组组长负责组织评审工作。</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outlineLvl w:val="2"/>
        <w:rPr>
          <w:rFonts w:ascii="宋体" w:hAnsi="宋体" w:cs="仿宋"/>
          <w:b/>
          <w:bCs/>
          <w:sz w:val="24"/>
          <w:highlight w:val="none"/>
        </w:rPr>
      </w:pPr>
      <w:bookmarkStart w:id="117" w:name="_Toc23050"/>
      <w:bookmarkStart w:id="118" w:name="_Toc20402"/>
      <w:r>
        <w:rPr>
          <w:rFonts w:hint="eastAsia" w:ascii="宋体" w:hAnsi="宋体" w:cs="仿宋"/>
          <w:b/>
          <w:bCs/>
          <w:sz w:val="24"/>
          <w:highlight w:val="none"/>
        </w:rPr>
        <w:t>6.2评审</w:t>
      </w:r>
      <w:bookmarkEnd w:id="117"/>
      <w:bookmarkEnd w:id="11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6.2.1评审小组按照第三章“评审办法”规定的评审标准和程序对响应文件进行评审和比较。</w:t>
      </w:r>
    </w:p>
    <w:p>
      <w:pPr>
        <w:adjustRightInd w:val="0"/>
        <w:snapToGrid w:val="0"/>
        <w:spacing w:line="540" w:lineRule="exact"/>
        <w:ind w:firstLine="480" w:firstLineChars="200"/>
        <w:rPr>
          <w:rFonts w:ascii="宋体" w:hAnsi="宋体" w:cs="仿宋"/>
          <w:sz w:val="24"/>
          <w:highlight w:val="none"/>
        </w:rPr>
      </w:pPr>
      <w:r>
        <w:rPr>
          <w:rFonts w:hint="eastAsia" w:ascii="宋体" w:hAnsi="宋体" w:eastAsia="宋体" w:cs="宋体"/>
          <w:bCs/>
          <w:color w:val="000000"/>
          <w:sz w:val="24"/>
          <w:szCs w:val="24"/>
          <w:highlight w:val="none"/>
          <w:lang w:val="en-US" w:eastAsia="zh-CN"/>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outlineLvl w:val="1"/>
        <w:rPr>
          <w:rFonts w:ascii="宋体" w:hAnsi="宋体" w:cs="仿宋"/>
          <w:b/>
          <w:bCs/>
          <w:sz w:val="24"/>
          <w:highlight w:val="none"/>
        </w:rPr>
      </w:pPr>
      <w:bookmarkStart w:id="119" w:name="_Toc16992"/>
      <w:bookmarkStart w:id="120" w:name="_Toc13192"/>
      <w:r>
        <w:rPr>
          <w:rFonts w:hint="eastAsia" w:ascii="宋体" w:hAnsi="宋体" w:cs="仿宋"/>
          <w:b/>
          <w:bCs/>
          <w:sz w:val="24"/>
          <w:highlight w:val="none"/>
        </w:rPr>
        <w:t>7合同授予</w:t>
      </w:r>
      <w:bookmarkEnd w:id="119"/>
      <w:bookmarkEnd w:id="120"/>
    </w:p>
    <w:p>
      <w:pPr>
        <w:adjustRightInd w:val="0"/>
        <w:snapToGrid w:val="0"/>
        <w:spacing w:line="312" w:lineRule="auto"/>
        <w:jc w:val="both"/>
        <w:outlineLvl w:val="2"/>
        <w:rPr>
          <w:rFonts w:ascii="宋体" w:hAnsi="宋体" w:cs="仿宋"/>
          <w:b/>
          <w:bCs/>
          <w:sz w:val="24"/>
          <w:highlight w:val="none"/>
        </w:rPr>
      </w:pPr>
      <w:bookmarkStart w:id="121" w:name="_Toc24750"/>
      <w:bookmarkStart w:id="122" w:name="_Toc24539"/>
      <w:r>
        <w:rPr>
          <w:rFonts w:hint="eastAsia" w:ascii="宋体" w:hAnsi="宋体" w:cs="仿宋"/>
          <w:b/>
          <w:bCs/>
          <w:sz w:val="24"/>
          <w:highlight w:val="none"/>
        </w:rPr>
        <w:t>7.1成交候选供应商报价核查</w:t>
      </w:r>
      <w:bookmarkEnd w:id="121"/>
      <w:bookmarkEnd w:id="12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outlineLvl w:val="2"/>
        <w:rPr>
          <w:rFonts w:ascii="宋体" w:hAnsi="宋体" w:cs="宋体"/>
          <w:b/>
          <w:bCs/>
          <w:sz w:val="24"/>
          <w:highlight w:val="none"/>
        </w:rPr>
      </w:pPr>
      <w:bookmarkStart w:id="123" w:name="_Toc12432"/>
      <w:bookmarkStart w:id="124" w:name="_Toc264"/>
      <w:r>
        <w:rPr>
          <w:rFonts w:hint="eastAsia" w:ascii="宋体" w:hAnsi="宋体" w:cs="仿宋"/>
          <w:b/>
          <w:bCs/>
          <w:sz w:val="24"/>
          <w:highlight w:val="none"/>
        </w:rPr>
        <w:t>7.2</w:t>
      </w:r>
      <w:r>
        <w:rPr>
          <w:rFonts w:hint="eastAsia" w:ascii="宋体" w:hAnsi="宋体" w:cs="宋体"/>
          <w:b/>
          <w:bCs/>
          <w:sz w:val="24"/>
          <w:highlight w:val="none"/>
        </w:rPr>
        <w:t>成交候选</w:t>
      </w:r>
      <w:r>
        <w:rPr>
          <w:rFonts w:hint="eastAsia" w:ascii="宋体" w:hAnsi="宋体" w:cs="仿宋"/>
          <w:b/>
          <w:bCs/>
          <w:sz w:val="24"/>
          <w:highlight w:val="none"/>
        </w:rPr>
        <w:t>供应商</w:t>
      </w:r>
      <w:r>
        <w:rPr>
          <w:rFonts w:hint="eastAsia" w:ascii="宋体" w:hAnsi="宋体" w:cs="宋体"/>
          <w:b/>
          <w:bCs/>
          <w:sz w:val="24"/>
          <w:highlight w:val="none"/>
        </w:rPr>
        <w:t>公示</w:t>
      </w:r>
      <w:bookmarkEnd w:id="123"/>
      <w:bookmarkEnd w:id="12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采购人按照供应商须知前附表规定的公示媒介和期限公示成交候选供应商。</w:t>
      </w:r>
    </w:p>
    <w:p>
      <w:pPr>
        <w:widowControl w:val="0"/>
        <w:adjustRightInd w:val="0"/>
        <w:snapToGrid w:val="0"/>
        <w:spacing w:line="312" w:lineRule="auto"/>
        <w:jc w:val="both"/>
        <w:outlineLvl w:val="2"/>
        <w:rPr>
          <w:rFonts w:ascii="宋体" w:hAnsi="宋体" w:cs="宋体"/>
          <w:b/>
          <w:bCs/>
          <w:sz w:val="24"/>
          <w:highlight w:val="none"/>
        </w:rPr>
      </w:pPr>
      <w:bookmarkStart w:id="125" w:name="_Toc27291"/>
      <w:bookmarkStart w:id="126" w:name="_Toc26068"/>
      <w:r>
        <w:rPr>
          <w:rFonts w:hint="eastAsia" w:ascii="宋体" w:hAnsi="宋体" w:cs="宋体"/>
          <w:b/>
          <w:bCs/>
          <w:sz w:val="24"/>
          <w:highlight w:val="none"/>
        </w:rPr>
        <w:t>7.3成交结果异议</w:t>
      </w:r>
      <w:bookmarkEnd w:id="125"/>
      <w:bookmarkEnd w:id="126"/>
      <w:r>
        <w:rPr>
          <w:rFonts w:hint="eastAsia" w:ascii="宋体" w:hAnsi="宋体" w:cs="宋体"/>
          <w:b/>
          <w:bCs/>
          <w:sz w:val="24"/>
          <w:highlight w:val="none"/>
        </w:rPr>
        <w:t xml:space="preserve"> </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供应商或者其他利害关系人对采购结果有异议的，应当在成交候选供应商公示期间提出。</w:t>
      </w:r>
    </w:p>
    <w:p>
      <w:pPr>
        <w:adjustRightInd w:val="0"/>
        <w:snapToGrid w:val="0"/>
        <w:spacing w:line="312" w:lineRule="auto"/>
        <w:jc w:val="both"/>
        <w:outlineLvl w:val="2"/>
        <w:rPr>
          <w:rFonts w:ascii="宋体" w:hAnsi="宋体" w:cs="仿宋"/>
          <w:b/>
          <w:bCs/>
          <w:sz w:val="24"/>
          <w:highlight w:val="none"/>
        </w:rPr>
      </w:pPr>
      <w:bookmarkStart w:id="127" w:name="_Toc5779"/>
      <w:bookmarkStart w:id="128" w:name="_Toc22697"/>
      <w:r>
        <w:rPr>
          <w:rFonts w:hint="eastAsia" w:ascii="宋体" w:hAnsi="宋体" w:cs="仿宋"/>
          <w:b/>
          <w:bCs/>
          <w:sz w:val="24"/>
          <w:highlight w:val="none"/>
        </w:rPr>
        <w:t>7.4成交候选供应商履约能力核查</w:t>
      </w:r>
      <w:bookmarkEnd w:id="127"/>
      <w:bookmarkEnd w:id="12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outlineLvl w:val="2"/>
        <w:rPr>
          <w:rFonts w:ascii="宋体" w:hAnsi="宋体" w:cs="仿宋"/>
          <w:b/>
          <w:bCs/>
          <w:sz w:val="24"/>
          <w:highlight w:val="none"/>
        </w:rPr>
      </w:pPr>
      <w:bookmarkStart w:id="129" w:name="_Toc32423"/>
      <w:bookmarkStart w:id="130" w:name="_Toc11802"/>
      <w:r>
        <w:rPr>
          <w:rFonts w:hint="eastAsia" w:ascii="宋体" w:hAnsi="宋体" w:cs="仿宋"/>
          <w:b/>
          <w:bCs/>
          <w:sz w:val="24"/>
          <w:highlight w:val="none"/>
        </w:rPr>
        <w:t>7.5发出成交通知书</w:t>
      </w:r>
      <w:bookmarkEnd w:id="129"/>
      <w:bookmarkEnd w:id="130"/>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7.6履约保证金（本项目不要求递交履约保证金）</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7.7签订合同</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7.7.3联合体成交的，联合体各方应当共同与采购人签订合同，就成交项目向采购人承担连带责任。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outlineLvl w:val="2"/>
        <w:rPr>
          <w:rFonts w:ascii="宋体" w:hAnsi="宋体" w:cs="仿宋"/>
          <w:b/>
          <w:bCs/>
          <w:sz w:val="24"/>
          <w:highlight w:val="none"/>
        </w:rPr>
      </w:pPr>
      <w:bookmarkStart w:id="131" w:name="_Toc21414"/>
      <w:bookmarkStart w:id="132" w:name="_Toc12072"/>
      <w:r>
        <w:rPr>
          <w:rFonts w:hint="eastAsia" w:ascii="宋体" w:hAnsi="宋体" w:cs="仿宋"/>
          <w:b/>
          <w:bCs/>
          <w:sz w:val="24"/>
          <w:highlight w:val="none"/>
        </w:rPr>
        <w:t>7.</w:t>
      </w:r>
      <w:r>
        <w:rPr>
          <w:rFonts w:ascii="宋体" w:hAnsi="宋体" w:cs="仿宋"/>
          <w:b/>
          <w:bCs/>
          <w:sz w:val="24"/>
          <w:highlight w:val="none"/>
        </w:rPr>
        <w:t>8</w:t>
      </w:r>
      <w:r>
        <w:rPr>
          <w:rFonts w:hint="eastAsia" w:ascii="宋体" w:hAnsi="宋体" w:cs="仿宋"/>
          <w:b/>
          <w:bCs/>
          <w:sz w:val="24"/>
          <w:highlight w:val="none"/>
        </w:rPr>
        <w:t>特殊情形处理</w:t>
      </w:r>
      <w:bookmarkEnd w:id="131"/>
      <w:bookmarkEnd w:id="13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outlineLvl w:val="1"/>
        <w:rPr>
          <w:rFonts w:ascii="宋体" w:hAnsi="宋体" w:cs="仿宋"/>
          <w:b/>
          <w:bCs/>
          <w:sz w:val="24"/>
          <w:highlight w:val="none"/>
        </w:rPr>
      </w:pPr>
      <w:bookmarkStart w:id="133" w:name="_Toc30822"/>
      <w:bookmarkStart w:id="134" w:name="_Toc18253"/>
      <w:r>
        <w:rPr>
          <w:rFonts w:hint="eastAsia" w:ascii="宋体" w:hAnsi="宋体" w:cs="仿宋"/>
          <w:b/>
          <w:bCs/>
          <w:sz w:val="24"/>
          <w:highlight w:val="none"/>
        </w:rPr>
        <w:t>8异议</w:t>
      </w:r>
      <w:bookmarkEnd w:id="133"/>
      <w:bookmarkEnd w:id="134"/>
    </w:p>
    <w:p>
      <w:pPr>
        <w:adjustRightInd w:val="0"/>
        <w:snapToGrid w:val="0"/>
        <w:spacing w:line="312" w:lineRule="auto"/>
        <w:jc w:val="both"/>
        <w:outlineLvl w:val="2"/>
        <w:rPr>
          <w:rFonts w:ascii="宋体" w:hAnsi="宋体" w:cs="仿宋"/>
          <w:b/>
          <w:bCs/>
          <w:sz w:val="24"/>
          <w:highlight w:val="none"/>
        </w:rPr>
      </w:pPr>
      <w:bookmarkStart w:id="135" w:name="_Toc31906"/>
      <w:bookmarkStart w:id="136" w:name="_Toc3751"/>
      <w:r>
        <w:rPr>
          <w:rFonts w:hint="eastAsia" w:ascii="宋体" w:hAnsi="宋体" w:cs="仿宋"/>
          <w:b/>
          <w:bCs/>
          <w:sz w:val="24"/>
          <w:highlight w:val="none"/>
        </w:rPr>
        <w:t>8.1提出异议</w:t>
      </w:r>
      <w:bookmarkEnd w:id="135"/>
      <w:bookmarkEnd w:id="13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 xml:space="preserve"> (1)异议人名称、地址、邮政编码、联系人及联系电话;</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 xml:space="preserve"> (2)具体、明确的异议事项、事实依据及与异议事项相关的请求。</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异议函应由异议人的法定代表人(单位负责人)或其授权的代理人签字并加盖单位章。</w:t>
      </w:r>
    </w:p>
    <w:p>
      <w:pPr>
        <w:adjustRightInd w:val="0"/>
        <w:snapToGrid w:val="0"/>
        <w:spacing w:line="312" w:lineRule="auto"/>
        <w:jc w:val="both"/>
        <w:outlineLvl w:val="2"/>
        <w:rPr>
          <w:rFonts w:ascii="宋体" w:hAnsi="宋体" w:cs="仿宋"/>
          <w:b/>
          <w:bCs/>
          <w:sz w:val="24"/>
          <w:highlight w:val="none"/>
        </w:rPr>
      </w:pPr>
      <w:bookmarkStart w:id="137" w:name="_Toc9257"/>
      <w:bookmarkStart w:id="138" w:name="_Toc16230"/>
      <w:r>
        <w:rPr>
          <w:rFonts w:hint="eastAsia" w:ascii="宋体" w:hAnsi="宋体" w:cs="仿宋"/>
          <w:b/>
          <w:bCs/>
          <w:sz w:val="24"/>
          <w:highlight w:val="none"/>
        </w:rPr>
        <w:t>8.2异议处理</w:t>
      </w:r>
      <w:bookmarkEnd w:id="137"/>
      <w:bookmarkEnd w:id="13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540" w:lineRule="exact"/>
        <w:ind w:firstLine="480" w:firstLineChars="200"/>
        <w:rPr>
          <w:rFonts w:ascii="宋体" w:hAnsi="宋体" w:cs="仿宋"/>
          <w:sz w:val="24"/>
          <w:highlight w:val="none"/>
        </w:rPr>
      </w:pPr>
      <w:r>
        <w:rPr>
          <w:rFonts w:hint="eastAsia" w:ascii="宋体" w:hAnsi="宋体" w:eastAsia="宋体" w:cs="宋体"/>
          <w:bCs/>
          <w:color w:val="000000"/>
          <w:sz w:val="24"/>
          <w:szCs w:val="24"/>
          <w:highlight w:val="none"/>
          <w:lang w:val="en-US" w:eastAsia="zh-CN"/>
        </w:rPr>
        <w:t>采购人认为异议不成立或不影响采购结果的，可以继续进行采购活动。</w:t>
      </w:r>
    </w:p>
    <w:p>
      <w:pPr>
        <w:adjustRightInd w:val="0"/>
        <w:snapToGrid w:val="0"/>
        <w:spacing w:line="312" w:lineRule="auto"/>
        <w:jc w:val="both"/>
        <w:outlineLvl w:val="1"/>
        <w:rPr>
          <w:rFonts w:ascii="宋体" w:hAnsi="宋体" w:cs="仿宋"/>
          <w:b/>
          <w:bCs/>
          <w:sz w:val="24"/>
          <w:highlight w:val="none"/>
        </w:rPr>
      </w:pPr>
      <w:bookmarkStart w:id="139" w:name="_Toc21473"/>
      <w:bookmarkStart w:id="140" w:name="_Toc4126"/>
      <w:r>
        <w:rPr>
          <w:rFonts w:hint="eastAsia" w:ascii="宋体" w:hAnsi="宋体" w:cs="仿宋"/>
          <w:b/>
          <w:bCs/>
          <w:sz w:val="24"/>
          <w:highlight w:val="none"/>
        </w:rPr>
        <w:t>9纪律要求</w:t>
      </w:r>
      <w:bookmarkEnd w:id="139"/>
      <w:bookmarkEnd w:id="140"/>
    </w:p>
    <w:p>
      <w:pPr>
        <w:adjustRightInd w:val="0"/>
        <w:snapToGrid w:val="0"/>
        <w:spacing w:line="312" w:lineRule="auto"/>
        <w:jc w:val="both"/>
        <w:outlineLvl w:val="2"/>
        <w:rPr>
          <w:rFonts w:ascii="宋体" w:hAnsi="宋体" w:cs="仿宋"/>
          <w:b/>
          <w:bCs/>
          <w:sz w:val="24"/>
          <w:highlight w:val="none"/>
        </w:rPr>
      </w:pPr>
      <w:bookmarkStart w:id="141" w:name="_Toc14658"/>
      <w:bookmarkStart w:id="142" w:name="_Toc24209"/>
      <w:r>
        <w:rPr>
          <w:rFonts w:hint="eastAsia" w:ascii="宋体" w:hAnsi="宋体" w:cs="仿宋"/>
          <w:b/>
          <w:bCs/>
          <w:sz w:val="24"/>
          <w:highlight w:val="none"/>
        </w:rPr>
        <w:t>9.1对采购人的纪律要求</w:t>
      </w:r>
      <w:bookmarkEnd w:id="141"/>
      <w:bookmarkEnd w:id="14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采购人不得泄露采购活动中应当保密的情况和资料，不得与供应商串通损害国家利益、社会公共利益或者他人合法权益。</w:t>
      </w:r>
    </w:p>
    <w:p>
      <w:pPr>
        <w:adjustRightInd w:val="0"/>
        <w:snapToGrid w:val="0"/>
        <w:spacing w:line="312" w:lineRule="auto"/>
        <w:jc w:val="both"/>
        <w:outlineLvl w:val="2"/>
        <w:rPr>
          <w:rFonts w:ascii="宋体" w:hAnsi="宋体" w:cs="仿宋"/>
          <w:b/>
          <w:bCs/>
          <w:sz w:val="24"/>
          <w:highlight w:val="none"/>
        </w:rPr>
      </w:pPr>
      <w:bookmarkStart w:id="143" w:name="_Toc24446"/>
      <w:bookmarkStart w:id="144" w:name="_Toc2763"/>
      <w:r>
        <w:rPr>
          <w:rFonts w:hint="eastAsia" w:ascii="宋体" w:hAnsi="宋体" w:cs="仿宋"/>
          <w:b/>
          <w:bCs/>
          <w:sz w:val="24"/>
          <w:highlight w:val="none"/>
        </w:rPr>
        <w:t>9.2对供应商的纪律要求</w:t>
      </w:r>
      <w:bookmarkEnd w:id="143"/>
      <w:bookmarkEnd w:id="14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outlineLvl w:val="2"/>
        <w:rPr>
          <w:rFonts w:ascii="宋体" w:hAnsi="宋体" w:cs="仿宋"/>
          <w:b/>
          <w:bCs/>
          <w:sz w:val="24"/>
          <w:highlight w:val="none"/>
        </w:rPr>
      </w:pPr>
      <w:bookmarkStart w:id="145" w:name="_Toc3521"/>
      <w:bookmarkStart w:id="146" w:name="_Toc29483"/>
      <w:r>
        <w:rPr>
          <w:rFonts w:hint="eastAsia" w:ascii="宋体" w:hAnsi="宋体" w:cs="仿宋"/>
          <w:b/>
          <w:bCs/>
          <w:sz w:val="24"/>
          <w:highlight w:val="none"/>
        </w:rPr>
        <w:t>9.3对评审小组成员的纪律要求</w:t>
      </w:r>
      <w:bookmarkEnd w:id="145"/>
      <w:bookmarkEnd w:id="14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outlineLvl w:val="2"/>
        <w:rPr>
          <w:rFonts w:ascii="宋体" w:hAnsi="宋体" w:cs="仿宋"/>
          <w:b/>
          <w:bCs/>
          <w:sz w:val="24"/>
          <w:highlight w:val="none"/>
        </w:rPr>
      </w:pPr>
      <w:bookmarkStart w:id="147" w:name="_Toc20036"/>
      <w:bookmarkStart w:id="148" w:name="_Toc15635"/>
      <w:r>
        <w:rPr>
          <w:rFonts w:hint="eastAsia" w:ascii="宋体" w:hAnsi="宋体" w:cs="仿宋"/>
          <w:b/>
          <w:bCs/>
          <w:sz w:val="24"/>
          <w:highlight w:val="none"/>
        </w:rPr>
        <w:t>9.4对与采购活动有关的工作人员的纪律要求</w:t>
      </w:r>
      <w:bookmarkEnd w:id="147"/>
      <w:bookmarkEnd w:id="14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outlineLvl w:val="1"/>
        <w:rPr>
          <w:rFonts w:ascii="宋体" w:hAnsi="宋体" w:cs="仿宋"/>
          <w:b/>
          <w:bCs/>
          <w:sz w:val="24"/>
          <w:highlight w:val="none"/>
        </w:rPr>
      </w:pPr>
      <w:bookmarkStart w:id="149" w:name="_Toc14255"/>
      <w:bookmarkStart w:id="150" w:name="_Toc24640"/>
      <w:r>
        <w:rPr>
          <w:rFonts w:hint="eastAsia" w:ascii="宋体" w:hAnsi="宋体" w:cs="仿宋"/>
          <w:b/>
          <w:bCs/>
          <w:sz w:val="24"/>
          <w:highlight w:val="none"/>
        </w:rPr>
        <w:t>10</w:t>
      </w:r>
      <w:r>
        <w:rPr>
          <w:rFonts w:ascii="宋体" w:hAnsi="宋体" w:cs="仿宋"/>
          <w:b/>
          <w:bCs/>
          <w:sz w:val="24"/>
          <w:highlight w:val="none"/>
        </w:rPr>
        <w:t xml:space="preserve"> </w:t>
      </w:r>
      <w:r>
        <w:rPr>
          <w:rFonts w:hint="eastAsia" w:ascii="宋体" w:hAnsi="宋体" w:cs="仿宋"/>
          <w:b/>
          <w:bCs/>
          <w:sz w:val="24"/>
          <w:highlight w:val="none"/>
        </w:rPr>
        <w:t>需要补充的其他内容</w:t>
      </w:r>
      <w:bookmarkEnd w:id="149"/>
      <w:bookmarkEnd w:id="150"/>
    </w:p>
    <w:p>
      <w:pPr>
        <w:adjustRightInd w:val="0"/>
        <w:snapToGrid w:val="0"/>
        <w:spacing w:line="312" w:lineRule="auto"/>
        <w:jc w:val="both"/>
        <w:outlineLvl w:val="2"/>
        <w:rPr>
          <w:rFonts w:ascii="宋体" w:hAnsi="宋体" w:cs="仿宋"/>
          <w:b/>
          <w:bCs/>
          <w:sz w:val="24"/>
          <w:highlight w:val="none"/>
        </w:rPr>
      </w:pPr>
      <w:bookmarkStart w:id="151" w:name="_Toc20337"/>
      <w:bookmarkStart w:id="152" w:name="_Toc23186"/>
      <w:r>
        <w:rPr>
          <w:rFonts w:hint="eastAsia" w:ascii="宋体" w:hAnsi="宋体" w:cs="仿宋"/>
          <w:b/>
          <w:bCs/>
          <w:sz w:val="24"/>
          <w:highlight w:val="none"/>
        </w:rPr>
        <w:t>10.1其他</w:t>
      </w:r>
      <w:bookmarkEnd w:id="151"/>
      <w:bookmarkEnd w:id="15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需更补充的其他内容:见供应商须知前附表。</w:t>
      </w:r>
    </w:p>
    <w:p>
      <w:pPr>
        <w:rPr>
          <w:rFonts w:ascii="微软雅黑" w:hAnsi="微软雅黑" w:eastAsia="微软雅黑"/>
          <w:sz w:val="24"/>
          <w:szCs w:val="24"/>
          <w:highlight w:val="none"/>
          <w:lang w:val="zh-CN"/>
        </w:rPr>
      </w:pPr>
      <w:r>
        <w:rPr>
          <w:rFonts w:ascii="微软雅黑" w:hAnsi="微软雅黑" w:eastAsia="微软雅黑"/>
          <w:sz w:val="24"/>
          <w:szCs w:val="24"/>
          <w:highlight w:val="none"/>
          <w:lang w:val="zh-CN"/>
        </w:rPr>
        <w:br w:type="page"/>
      </w:r>
    </w:p>
    <w:p>
      <w:pPr>
        <w:spacing w:line="312" w:lineRule="auto"/>
        <w:jc w:val="both"/>
        <w:outlineLvl w:val="0"/>
        <w:rPr>
          <w:rFonts w:ascii="宋体" w:hAnsi="宋体" w:cs="仿宋"/>
          <w:sz w:val="30"/>
          <w:szCs w:val="30"/>
          <w:highlight w:val="none"/>
        </w:rPr>
      </w:pPr>
      <w:bookmarkStart w:id="153" w:name="_Toc9910"/>
      <w:bookmarkStart w:id="154" w:name="_Toc20116"/>
      <w:bookmarkStart w:id="155" w:name="_Toc29540"/>
      <w:bookmarkStart w:id="156" w:name="_Toc24656"/>
      <w:r>
        <w:rPr>
          <w:rFonts w:hint="eastAsia" w:ascii="宋体" w:hAnsi="宋体" w:cs="仿宋"/>
          <w:sz w:val="30"/>
          <w:szCs w:val="30"/>
          <w:highlight w:val="none"/>
        </w:rPr>
        <w:t>附件1  开启记录表</w:t>
      </w:r>
      <w:bookmarkEnd w:id="153"/>
      <w:bookmarkEnd w:id="154"/>
      <w:bookmarkEnd w:id="155"/>
      <w:bookmarkEnd w:id="156"/>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开启记录表</w:t>
      </w: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p>
    <w:p>
      <w:pPr>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开启时间：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日</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时</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分</w:t>
      </w:r>
    </w:p>
    <w:tbl>
      <w:tblPr>
        <w:tblStyle w:val="20"/>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8"/>
        <w:gridCol w:w="1702"/>
        <w:gridCol w:w="170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 号</w:t>
            </w:r>
          </w:p>
        </w:tc>
        <w:tc>
          <w:tcPr>
            <w:tcW w:w="1238"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bl>
    <w:p>
      <w:pPr>
        <w:spacing w:line="240" w:lineRule="auto"/>
        <w:jc w:val="both"/>
        <w:rPr>
          <w:rFonts w:cs="仿宋" w:asciiTheme="minorEastAsia" w:hAnsiTheme="minorEastAsia" w:eastAsiaTheme="minorEastAsia"/>
          <w:sz w:val="24"/>
          <w:highlight w:val="none"/>
        </w:rPr>
      </w:pPr>
    </w:p>
    <w:p>
      <w:pPr>
        <w:spacing w:line="240" w:lineRule="auto"/>
        <w:ind w:firstLine="0" w:firstLineChars="0"/>
        <w:jc w:val="both"/>
        <w:rPr>
          <w:rFonts w:cs="仿宋" w:asciiTheme="minorEastAsia" w:hAnsiTheme="minorEastAsia" w:eastAsiaTheme="minorEastAsia"/>
          <w:sz w:val="24"/>
          <w:highlight w:val="none"/>
          <w:u w:val="single"/>
        </w:rPr>
      </w:pPr>
      <w:r>
        <w:rPr>
          <w:rFonts w:hint="eastAsia" w:cs="仿宋" w:asciiTheme="minorEastAsia" w:hAnsiTheme="minorEastAsia" w:eastAsiaTheme="minorEastAsia"/>
          <w:sz w:val="24"/>
          <w:highlight w:val="none"/>
        </w:rPr>
        <w:t>采购人代表：</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 xml:space="preserve">      记录人：</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监督人：</w:t>
      </w:r>
      <w:r>
        <w:rPr>
          <w:rFonts w:hint="eastAsia" w:cs="仿宋" w:asciiTheme="minorEastAsia" w:hAnsiTheme="minorEastAsia" w:eastAsiaTheme="minorEastAsia"/>
          <w:sz w:val="24"/>
          <w:highlight w:val="none"/>
          <w:u w:val="single"/>
        </w:rPr>
        <w:t xml:space="preserve">        </w:t>
      </w:r>
    </w:p>
    <w:p>
      <w:pPr>
        <w:spacing w:line="240" w:lineRule="auto"/>
        <w:jc w:val="both"/>
        <w:rPr>
          <w:rFonts w:cs="仿宋" w:asciiTheme="minorEastAsia" w:hAnsiTheme="minorEastAsia" w:eastAsiaTheme="minorEastAsia"/>
          <w:sz w:val="24"/>
          <w:highlight w:val="none"/>
        </w:rPr>
      </w:pPr>
    </w:p>
    <w:p>
      <w:pPr>
        <w:adjustRightInd w:val="0"/>
        <w:snapToGrid w:val="0"/>
        <w:spacing w:line="600" w:lineRule="exact"/>
        <w:ind w:firstLine="567" w:firstLineChars="189"/>
        <w:rPr>
          <w:rFonts w:ascii="宋体" w:hAnsi="宋体" w:cs="仿宋"/>
          <w:sz w:val="30"/>
          <w:szCs w:val="30"/>
          <w:highlight w:val="none"/>
        </w:rPr>
      </w:pPr>
    </w:p>
    <w:p>
      <w:pPr>
        <w:adjustRightInd w:val="0"/>
        <w:snapToGrid w:val="0"/>
        <w:spacing w:line="600" w:lineRule="exact"/>
        <w:ind w:firstLine="567" w:firstLineChars="189"/>
        <w:rPr>
          <w:rFonts w:ascii="宋体" w:hAnsi="宋体" w:cs="仿宋"/>
          <w:sz w:val="30"/>
          <w:szCs w:val="30"/>
          <w:highlight w:val="none"/>
        </w:rPr>
      </w:pPr>
    </w:p>
    <w:p>
      <w:pPr>
        <w:adjustRightInd w:val="0"/>
        <w:snapToGrid w:val="0"/>
        <w:spacing w:line="600" w:lineRule="exact"/>
        <w:ind w:firstLine="567" w:firstLineChars="189"/>
        <w:rPr>
          <w:rFonts w:ascii="宋体" w:hAnsi="宋体" w:cs="仿宋"/>
          <w:sz w:val="30"/>
          <w:szCs w:val="30"/>
          <w:highlight w:val="none"/>
        </w:rPr>
      </w:pPr>
    </w:p>
    <w:p>
      <w:pPr>
        <w:adjustRightInd w:val="0"/>
        <w:snapToGrid w:val="0"/>
        <w:spacing w:line="600" w:lineRule="exact"/>
        <w:rPr>
          <w:rFonts w:ascii="宋体" w:hAnsi="宋体" w:cs="仿宋"/>
          <w:sz w:val="30"/>
          <w:szCs w:val="30"/>
          <w:highlight w:val="none"/>
        </w:rPr>
      </w:pPr>
    </w:p>
    <w:p>
      <w:pPr>
        <w:adjustRightInd w:val="0"/>
        <w:snapToGrid w:val="0"/>
        <w:spacing w:line="600" w:lineRule="exact"/>
        <w:ind w:firstLine="567" w:firstLineChars="189"/>
        <w:rPr>
          <w:rFonts w:ascii="宋体" w:hAnsi="宋体" w:cs="仿宋"/>
          <w:sz w:val="30"/>
          <w:szCs w:val="30"/>
          <w:highlight w:val="none"/>
        </w:rPr>
      </w:pPr>
    </w:p>
    <w:p>
      <w:pPr>
        <w:pStyle w:val="17"/>
        <w:rPr>
          <w:rFonts w:ascii="宋体" w:hAnsi="宋体" w:cs="仿宋"/>
          <w:sz w:val="30"/>
          <w:szCs w:val="30"/>
          <w:highlight w:val="none"/>
        </w:rPr>
      </w:pPr>
    </w:p>
    <w:p>
      <w:pPr>
        <w:pStyle w:val="17"/>
        <w:rPr>
          <w:rFonts w:ascii="宋体" w:hAnsi="宋体" w:cs="仿宋"/>
          <w:sz w:val="30"/>
          <w:szCs w:val="30"/>
          <w:highlight w:val="none"/>
        </w:rPr>
      </w:pPr>
    </w:p>
    <w:p>
      <w:pPr>
        <w:pStyle w:val="17"/>
        <w:rPr>
          <w:rFonts w:ascii="宋体" w:hAnsi="宋体" w:cs="仿宋"/>
          <w:sz w:val="30"/>
          <w:szCs w:val="30"/>
          <w:highlight w:val="none"/>
        </w:rPr>
      </w:pPr>
    </w:p>
    <w:p>
      <w:pPr>
        <w:pStyle w:val="17"/>
        <w:rPr>
          <w:rFonts w:ascii="宋体" w:hAnsi="宋体" w:cs="仿宋"/>
          <w:sz w:val="30"/>
          <w:szCs w:val="30"/>
          <w:highlight w:val="none"/>
        </w:rPr>
      </w:pPr>
    </w:p>
    <w:p>
      <w:pPr>
        <w:pStyle w:val="17"/>
        <w:rPr>
          <w:rFonts w:ascii="宋体" w:hAnsi="宋体" w:cs="仿宋"/>
          <w:sz w:val="30"/>
          <w:szCs w:val="30"/>
          <w:highlight w:val="none"/>
        </w:rPr>
      </w:pPr>
    </w:p>
    <w:p>
      <w:pPr>
        <w:adjustRightInd w:val="0"/>
        <w:snapToGrid w:val="0"/>
        <w:spacing w:line="600" w:lineRule="exact"/>
        <w:ind w:firstLine="600" w:firstLineChars="200"/>
        <w:rPr>
          <w:rFonts w:ascii="宋体" w:hAnsi="宋体" w:cs="仿宋"/>
          <w:sz w:val="30"/>
          <w:szCs w:val="30"/>
          <w:highlight w:val="none"/>
        </w:rPr>
      </w:pPr>
    </w:p>
    <w:p>
      <w:pPr>
        <w:adjustRightInd w:val="0"/>
        <w:snapToGrid w:val="0"/>
        <w:spacing w:line="600" w:lineRule="exact"/>
        <w:ind w:firstLine="600" w:firstLineChars="200"/>
        <w:rPr>
          <w:rFonts w:ascii="宋体" w:hAnsi="宋体" w:cs="仿宋"/>
          <w:sz w:val="30"/>
          <w:szCs w:val="30"/>
          <w:highlight w:val="none"/>
        </w:rPr>
      </w:pPr>
    </w:p>
    <w:p>
      <w:pPr>
        <w:adjustRightInd w:val="0"/>
        <w:snapToGrid w:val="0"/>
        <w:spacing w:line="600" w:lineRule="exact"/>
        <w:ind w:firstLine="600" w:firstLineChars="200"/>
        <w:rPr>
          <w:rFonts w:ascii="宋体" w:hAnsi="宋体" w:cs="仿宋"/>
          <w:sz w:val="30"/>
          <w:szCs w:val="30"/>
          <w:highlight w:val="none"/>
        </w:rPr>
      </w:pPr>
      <w:r>
        <w:rPr>
          <w:rFonts w:hint="eastAsia" w:ascii="宋体" w:hAnsi="宋体" w:cs="仿宋"/>
          <w:sz w:val="30"/>
          <w:szCs w:val="30"/>
          <w:highlight w:val="none"/>
        </w:rPr>
        <w:t>附件2  问题澄清通知</w:t>
      </w: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问题澄清通知</w:t>
      </w:r>
    </w:p>
    <w:p>
      <w:pPr>
        <w:adjustRightInd w:val="0"/>
        <w:snapToGrid w:val="0"/>
        <w:spacing w:line="600" w:lineRule="exact"/>
        <w:ind w:firstLine="480" w:firstLineChars="200"/>
        <w:jc w:val="center"/>
        <w:rPr>
          <w:rFonts w:ascii="宋体" w:hAnsi="宋体" w:cs="仿宋"/>
          <w:sz w:val="24"/>
          <w:highlight w:val="none"/>
        </w:rPr>
      </w:pPr>
      <w:r>
        <w:rPr>
          <w:rFonts w:hint="eastAsia" w:ascii="宋体" w:hAnsi="宋体" w:cs="仿宋"/>
          <w:sz w:val="24"/>
          <w:highlight w:val="none"/>
        </w:rPr>
        <w:t>(编号:</w:t>
      </w:r>
      <w:r>
        <w:rPr>
          <w:rFonts w:hint="eastAsia" w:ascii="宋体" w:hAnsi="宋体" w:cs="仿宋"/>
          <w:sz w:val="24"/>
          <w:highlight w:val="none"/>
          <w:u w:val="single"/>
        </w:rPr>
        <w:t xml:space="preserve">          </w:t>
      </w:r>
      <w:r>
        <w:rPr>
          <w:rFonts w:hint="eastAsia" w:ascii="宋体" w:hAnsi="宋体" w:cs="仿宋"/>
          <w:sz w:val="24"/>
          <w:highlight w:val="none"/>
        </w:rPr>
        <w:t>）</w:t>
      </w:r>
    </w:p>
    <w:p>
      <w:pPr>
        <w:adjustRightInd w:val="0"/>
        <w:snapToGrid w:val="0"/>
        <w:spacing w:line="600" w:lineRule="exact"/>
        <w:ind w:left="210" w:leftChars="100" w:firstLine="240" w:firstLineChars="100"/>
        <w:jc w:val="both"/>
        <w:rPr>
          <w:rFonts w:ascii="宋体" w:hAnsi="宋体" w:cs="仿宋"/>
          <w:sz w:val="24"/>
          <w:highlight w:val="none"/>
          <w:u w:val="single"/>
        </w:rPr>
      </w:pPr>
      <w:r>
        <w:rPr>
          <w:rFonts w:hint="eastAsia" w:ascii="宋体" w:hAnsi="宋体" w:cs="仿宋"/>
          <w:sz w:val="24"/>
          <w:highlight w:val="none"/>
          <w:u w:val="single"/>
        </w:rPr>
        <w:t>(供应商名称):</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1.</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2.</w:t>
      </w:r>
    </w:p>
    <w:p>
      <w:pPr>
        <w:adjustRightInd w:val="0"/>
        <w:snapToGrid w:val="0"/>
        <w:spacing w:line="600" w:lineRule="exact"/>
        <w:ind w:left="508" w:leftChars="242" w:firstLine="496" w:firstLineChars="207"/>
        <w:jc w:val="both"/>
        <w:rPr>
          <w:rFonts w:ascii="宋体" w:hAnsi="宋体" w:cs="仿宋"/>
          <w:sz w:val="24"/>
          <w:highlight w:val="none"/>
        </w:rPr>
      </w:pPr>
      <w:r>
        <w:rPr>
          <w:rFonts w:hint="eastAsia" w:ascii="宋体" w:hAnsi="宋体" w:cs="仿宋"/>
          <w:sz w:val="24"/>
          <w:highlight w:val="none"/>
        </w:rPr>
        <w:t>......</w:t>
      </w:r>
    </w:p>
    <w:p>
      <w:pPr>
        <w:adjustRightInd w:val="0"/>
        <w:snapToGrid w:val="0"/>
        <w:spacing w:line="600" w:lineRule="exact"/>
        <w:ind w:left="141" w:leftChars="67" w:firstLine="566" w:firstLineChars="236"/>
        <w:jc w:val="both"/>
        <w:rPr>
          <w:rFonts w:ascii="宋体" w:hAnsi="宋体" w:cs="仿宋"/>
          <w:sz w:val="24"/>
          <w:highlight w:val="none"/>
        </w:rPr>
      </w:pPr>
      <w:r>
        <w:rPr>
          <w:rFonts w:hint="eastAsia" w:ascii="宋体" w:hAnsi="宋体" w:cs="仿宋"/>
          <w:sz w:val="24"/>
          <w:highlight w:val="none"/>
        </w:rPr>
        <w:t>请将上述问题的澄清、说明和补正于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宋体" w:hAnsi="宋体" w:cs="仿宋"/>
          <w:sz w:val="24"/>
          <w:highlight w:val="none"/>
          <w:u w:val="single"/>
        </w:rPr>
        <w:t xml:space="preserve">  </w:t>
      </w:r>
      <w:r>
        <w:rPr>
          <w:rFonts w:hint="eastAsia" w:ascii="宋体" w:hAnsi="宋体" w:cs="仿宋"/>
          <w:sz w:val="24"/>
          <w:highlight w:val="none"/>
        </w:rPr>
        <w:t>时前递交至</w:t>
      </w:r>
      <w:r>
        <w:rPr>
          <w:rFonts w:hint="eastAsia" w:ascii="宋体" w:hAnsi="宋体" w:cs="仿宋"/>
          <w:sz w:val="24"/>
          <w:highlight w:val="none"/>
          <w:u w:val="single"/>
        </w:rPr>
        <w:t>(详细地址)</w:t>
      </w:r>
      <w:r>
        <w:rPr>
          <w:rFonts w:hint="eastAsia" w:ascii="宋体" w:hAnsi="宋体" w:cs="仿宋"/>
          <w:sz w:val="24"/>
          <w:highlight w:val="none"/>
        </w:rPr>
        <w:t>或发电子邮件至</w:t>
      </w:r>
      <w:r>
        <w:rPr>
          <w:rFonts w:hint="eastAsia" w:ascii="宋体" w:hAnsi="宋体" w:cs="仿宋"/>
          <w:sz w:val="24"/>
          <w:highlight w:val="none"/>
          <w:u w:val="single"/>
        </w:rPr>
        <w:t>(电子邮箱地址)</w:t>
      </w:r>
      <w:r>
        <w:rPr>
          <w:rFonts w:hint="eastAsia" w:ascii="宋体" w:hAnsi="宋体" w:cs="仿宋"/>
          <w:sz w:val="24"/>
          <w:highlight w:val="none"/>
        </w:rPr>
        <w:t>。采用电子邮件方式的，应在</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日_时前将原件递交至</w:t>
      </w:r>
      <w:r>
        <w:rPr>
          <w:rFonts w:hint="eastAsia" w:ascii="宋体" w:hAnsi="宋体" w:cs="仿宋"/>
          <w:sz w:val="24"/>
          <w:highlight w:val="none"/>
          <w:u w:val="single"/>
        </w:rPr>
        <w:t>(详细地址)</w:t>
      </w:r>
      <w:r>
        <w:rPr>
          <w:rFonts w:hint="eastAsia" w:ascii="宋体" w:hAnsi="宋体" w:cs="仿宋"/>
          <w:sz w:val="24"/>
          <w:highlight w:val="none"/>
        </w:rPr>
        <w:t>。</w:t>
      </w:r>
    </w:p>
    <w:p>
      <w:pPr>
        <w:adjustRightInd w:val="0"/>
        <w:snapToGrid w:val="0"/>
        <w:spacing w:line="600" w:lineRule="exact"/>
        <w:ind w:left="141" w:leftChars="67" w:firstLine="566" w:firstLineChars="236"/>
        <w:jc w:val="both"/>
        <w:rPr>
          <w:rFonts w:ascii="宋体" w:hAnsi="宋体" w:cs="仿宋"/>
          <w:sz w:val="24"/>
          <w:highlight w:val="none"/>
        </w:rPr>
      </w:pPr>
    </w:p>
    <w:p>
      <w:pPr>
        <w:adjustRightInd w:val="0"/>
        <w:snapToGrid w:val="0"/>
        <w:spacing w:line="600" w:lineRule="exact"/>
        <w:ind w:left="210" w:leftChars="100" w:firstLine="240" w:firstLineChars="100"/>
        <w:jc w:val="both"/>
        <w:rPr>
          <w:rFonts w:ascii="宋体" w:hAnsi="宋体" w:cs="仿宋"/>
          <w:sz w:val="24"/>
          <w:highlight w:val="none"/>
        </w:rPr>
      </w:pPr>
    </w:p>
    <w:p>
      <w:pPr>
        <w:adjustRightInd w:val="0"/>
        <w:snapToGrid w:val="0"/>
        <w:spacing w:line="600" w:lineRule="exact"/>
        <w:ind w:left="210" w:leftChars="100" w:firstLine="240" w:firstLineChars="100"/>
        <w:jc w:val="both"/>
        <w:rPr>
          <w:rFonts w:ascii="宋体" w:hAnsi="宋体" w:cs="仿宋"/>
          <w:sz w:val="24"/>
          <w:highlight w:val="none"/>
        </w:rPr>
      </w:pPr>
    </w:p>
    <w:p>
      <w:pPr>
        <w:adjustRightInd w:val="0"/>
        <w:snapToGrid w:val="0"/>
        <w:spacing w:line="600" w:lineRule="exact"/>
        <w:ind w:left="0" w:leftChars="0" w:firstLine="0" w:firstLineChars="0"/>
        <w:jc w:val="both"/>
        <w:rPr>
          <w:rFonts w:ascii="宋体" w:hAnsi="宋体" w:cs="仿宋"/>
          <w:sz w:val="24"/>
          <w:highlight w:val="none"/>
          <w:u w:val="single"/>
        </w:rPr>
      </w:pPr>
      <w:r>
        <w:rPr>
          <w:rFonts w:hint="eastAsia" w:ascii="宋体" w:hAnsi="宋体" w:cs="仿宋"/>
          <w:sz w:val="24"/>
          <w:highlight w:val="none"/>
        </w:rPr>
        <w:t>采购人(或采购代理机构):</w:t>
      </w:r>
      <w:r>
        <w:rPr>
          <w:rFonts w:hint="eastAsia" w:ascii="宋体" w:hAnsi="宋体" w:cs="仿宋"/>
          <w:sz w:val="24"/>
          <w:highlight w:val="none"/>
          <w:u w:val="single"/>
        </w:rPr>
        <w:t>(签字或盖单位章)</w:t>
      </w:r>
    </w:p>
    <w:p>
      <w:pPr>
        <w:spacing w:line="600" w:lineRule="exact"/>
        <w:jc w:val="both"/>
        <w:rPr>
          <w:rFonts w:ascii="宋体" w:hAnsi="宋体" w:cs="仿宋"/>
          <w:sz w:val="24"/>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仿宋" w:hAnsi="仿宋" w:eastAsia="仿宋" w:cs="仿宋"/>
          <w:sz w:val="30"/>
          <w:szCs w:val="30"/>
          <w:highlight w:val="none"/>
        </w:rPr>
        <w:br w:type="page"/>
      </w:r>
    </w:p>
    <w:p>
      <w:pPr>
        <w:adjustRightInd w:val="0"/>
        <w:snapToGrid w:val="0"/>
        <w:spacing w:line="600" w:lineRule="exact"/>
        <w:ind w:firstLine="0" w:firstLineChars="0"/>
        <w:rPr>
          <w:rFonts w:ascii="宋体" w:hAnsi="宋体" w:cs="仿宋"/>
          <w:sz w:val="30"/>
          <w:szCs w:val="30"/>
          <w:highlight w:val="none"/>
        </w:rPr>
      </w:pPr>
      <w:r>
        <w:rPr>
          <w:rFonts w:hint="eastAsia" w:ascii="宋体" w:hAnsi="宋体" w:cs="仿宋"/>
          <w:sz w:val="30"/>
          <w:szCs w:val="30"/>
          <w:highlight w:val="none"/>
        </w:rPr>
        <w:t>附件3  问题的澄清</w:t>
      </w:r>
    </w:p>
    <w:p>
      <w:pPr>
        <w:adjustRightInd w:val="0"/>
        <w:snapToGrid w:val="0"/>
        <w:spacing w:line="600" w:lineRule="exact"/>
        <w:jc w:val="center"/>
        <w:rPr>
          <w:rFonts w:ascii="华文中宋" w:hAnsi="华文中宋" w:eastAsia="华文中宋" w:cs="仿宋"/>
          <w:b/>
          <w:bCs/>
          <w:sz w:val="36"/>
          <w:szCs w:val="36"/>
          <w:highlight w:val="none"/>
        </w:rPr>
      </w:pPr>
    </w:p>
    <w:p>
      <w:pPr>
        <w:adjustRightInd w:val="0"/>
        <w:snapToGrid w:val="0"/>
        <w:spacing w:line="60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问题的澄清</w:t>
      </w:r>
    </w:p>
    <w:p>
      <w:pPr>
        <w:adjustRightInd w:val="0"/>
        <w:snapToGrid w:val="0"/>
        <w:spacing w:line="600" w:lineRule="exact"/>
        <w:ind w:firstLine="480" w:firstLineChars="200"/>
        <w:jc w:val="center"/>
        <w:rPr>
          <w:rFonts w:ascii="宋体" w:hAnsi="宋体" w:cs="仿宋"/>
          <w:sz w:val="24"/>
          <w:highlight w:val="none"/>
        </w:rPr>
      </w:pPr>
      <w:r>
        <w:rPr>
          <w:rFonts w:hint="eastAsia" w:ascii="宋体" w:hAnsi="宋体" w:cs="仿宋"/>
          <w:sz w:val="24"/>
          <w:highlight w:val="none"/>
        </w:rPr>
        <w:t>(编号:</w:t>
      </w:r>
      <w:r>
        <w:rPr>
          <w:rFonts w:hint="eastAsia" w:ascii="宋体" w:hAnsi="宋体" w:cs="仿宋"/>
          <w:sz w:val="24"/>
          <w:highlight w:val="none"/>
          <w:u w:val="single"/>
        </w:rPr>
        <w:t xml:space="preserve">                 </w:t>
      </w:r>
      <w:r>
        <w:rPr>
          <w:rFonts w:hint="eastAsia" w:ascii="宋体" w:hAnsi="宋体" w:cs="仿宋"/>
          <w:sz w:val="24"/>
          <w:highlight w:val="none"/>
        </w:rPr>
        <w:t>)</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评审小组:</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问题澄清通知(编号:</w:t>
      </w:r>
      <w:r>
        <w:rPr>
          <w:rFonts w:hint="eastAsia" w:ascii="宋体" w:hAnsi="宋体" w:cs="仿宋"/>
          <w:sz w:val="24"/>
          <w:highlight w:val="none"/>
          <w:u w:val="single"/>
        </w:rPr>
        <w:t xml:space="preserve">                </w:t>
      </w:r>
      <w:r>
        <w:rPr>
          <w:rFonts w:hint="eastAsia" w:ascii="宋体" w:hAnsi="宋体" w:cs="仿宋"/>
          <w:sz w:val="24"/>
          <w:highlight w:val="none"/>
        </w:rPr>
        <w:t>)已收悉，现澄清、说明和补正如下：</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1.</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2.</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highlight w:val="none"/>
        </w:rPr>
      </w:pPr>
    </w:p>
    <w:p>
      <w:pPr>
        <w:adjustRightInd w:val="0"/>
        <w:snapToGrid w:val="0"/>
        <w:spacing w:line="600" w:lineRule="exact"/>
        <w:ind w:firstLine="4320" w:firstLineChars="1800"/>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法定代表人(单位负责人)或其授权的代理人:</w:t>
      </w:r>
      <w:r>
        <w:rPr>
          <w:rFonts w:ascii="宋体" w:hAnsi="宋体" w:cs="仿宋"/>
          <w:sz w:val="24"/>
          <w:highlight w:val="none"/>
          <w:u w:val="single"/>
        </w:rPr>
        <w:t xml:space="preserve">  </w:t>
      </w:r>
      <w:r>
        <w:rPr>
          <w:rFonts w:hint="eastAsia" w:ascii="宋体" w:hAnsi="宋体" w:cs="仿宋"/>
          <w:sz w:val="24"/>
          <w:highlight w:val="none"/>
          <w:u w:val="single"/>
        </w:rPr>
        <w:t xml:space="preserve">(签字)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rPr>
        <w:t>日</w:t>
      </w:r>
      <w:r>
        <w:rPr>
          <w:rFonts w:hint="eastAsia" w:ascii="宋体" w:hAnsi="宋体" w:cs="仿宋"/>
          <w:sz w:val="24"/>
          <w:highlight w:val="none"/>
        </w:rPr>
        <w:br w:type="page"/>
      </w: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附件4  成交通知书</w:t>
      </w:r>
    </w:p>
    <w:p>
      <w:pPr>
        <w:adjustRightInd w:val="0"/>
        <w:snapToGrid w:val="0"/>
        <w:spacing w:line="600" w:lineRule="exact"/>
        <w:jc w:val="center"/>
        <w:rPr>
          <w:rFonts w:ascii="华文中宋" w:hAnsi="华文中宋" w:eastAsia="华文中宋" w:cs="仿宋"/>
          <w:b/>
          <w:bCs/>
          <w:sz w:val="36"/>
          <w:szCs w:val="36"/>
          <w:highlight w:val="none"/>
        </w:rPr>
      </w:pPr>
    </w:p>
    <w:p>
      <w:pPr>
        <w:adjustRightInd w:val="0"/>
        <w:snapToGrid w:val="0"/>
        <w:spacing w:line="60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成交通知书</w:t>
      </w:r>
    </w:p>
    <w:p>
      <w:pPr>
        <w:adjustRightInd w:val="0"/>
        <w:snapToGrid w:val="0"/>
        <w:spacing w:line="600" w:lineRule="exact"/>
        <w:ind w:firstLine="721" w:firstLineChars="200"/>
        <w:jc w:val="both"/>
        <w:rPr>
          <w:rFonts w:ascii="华文中宋" w:hAnsi="华文中宋" w:eastAsia="华文中宋" w:cs="仿宋"/>
          <w:b/>
          <w:bCs/>
          <w:sz w:val="36"/>
          <w:szCs w:val="36"/>
          <w:highlight w:val="none"/>
        </w:rPr>
      </w:pP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u w:val="single"/>
        </w:rPr>
        <w:t>(成交供应商名称)</w:t>
      </w:r>
      <w:r>
        <w:rPr>
          <w:rFonts w:hint="eastAsia" w:ascii="宋体" w:hAnsi="宋体" w:cs="仿宋"/>
          <w:sz w:val="24"/>
          <w:highlight w:val="none"/>
        </w:rPr>
        <w:t>:</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你方所递交的</w:t>
      </w:r>
      <w:r>
        <w:rPr>
          <w:rFonts w:hint="eastAsia" w:ascii="宋体" w:hAnsi="宋体" w:cs="仿宋"/>
          <w:sz w:val="24"/>
          <w:highlight w:val="none"/>
          <w:u w:val="single"/>
        </w:rPr>
        <w:t>(项目名称)</w:t>
      </w:r>
      <w:r>
        <w:rPr>
          <w:rFonts w:hint="eastAsia" w:ascii="宋体" w:hAnsi="宋体" w:cs="仿宋"/>
          <w:sz w:val="24"/>
          <w:highlight w:val="none"/>
        </w:rPr>
        <w:t>的响应文件已被我方接受，被确定为成交供应商。</w:t>
      </w:r>
    </w:p>
    <w:p>
      <w:pPr>
        <w:adjustRightInd w:val="0"/>
        <w:snapToGrid w:val="0"/>
        <w:spacing w:line="600" w:lineRule="exact"/>
        <w:ind w:firstLine="480" w:firstLineChars="200"/>
        <w:jc w:val="both"/>
        <w:rPr>
          <w:rFonts w:ascii="宋体" w:hAnsi="宋体" w:cs="仿宋"/>
          <w:sz w:val="24"/>
          <w:highlight w:val="none"/>
          <w:u w:val="single"/>
        </w:rPr>
      </w:pPr>
      <w:r>
        <w:rPr>
          <w:rFonts w:hint="eastAsia" w:ascii="宋体" w:hAnsi="宋体" w:cs="仿宋"/>
          <w:sz w:val="24"/>
          <w:highlight w:val="none"/>
        </w:rPr>
        <w:t>成交价:</w:t>
      </w:r>
      <w:r>
        <w:rPr>
          <w:rFonts w:hint="eastAsia" w:ascii="宋体" w:hAnsi="宋体" w:cs="仿宋"/>
          <w:sz w:val="24"/>
          <w:highlight w:val="none"/>
          <w:u w:val="single"/>
        </w:rPr>
        <w:t xml:space="preserve">         </w:t>
      </w:r>
      <w:r>
        <w:rPr>
          <w:rFonts w:hint="eastAsia" w:ascii="宋体" w:hAnsi="宋体" w:cs="仿宋"/>
          <w:sz w:val="24"/>
          <w:highlight w:val="none"/>
        </w:rPr>
        <w:t xml:space="preserve"> 。</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请你方在接到本通知书后的</w:t>
      </w:r>
      <w:r>
        <w:rPr>
          <w:rFonts w:hint="eastAsia" w:ascii="宋体" w:hAnsi="宋体" w:cs="仿宋"/>
          <w:sz w:val="24"/>
          <w:highlight w:val="none"/>
          <w:u w:val="single"/>
        </w:rPr>
        <w:t xml:space="preserve">    </w:t>
      </w:r>
      <w:r>
        <w:rPr>
          <w:rFonts w:hint="eastAsia" w:ascii="宋体" w:hAnsi="宋体" w:cs="仿宋"/>
          <w:sz w:val="24"/>
          <w:highlight w:val="none"/>
        </w:rPr>
        <w:t>日内到</w:t>
      </w:r>
      <w:r>
        <w:rPr>
          <w:rFonts w:hint="eastAsia" w:ascii="宋体" w:hAnsi="宋体" w:cs="仿宋"/>
          <w:sz w:val="24"/>
          <w:highlight w:val="none"/>
          <w:u w:val="single"/>
        </w:rPr>
        <w:t>(指定地点)</w:t>
      </w:r>
      <w:r>
        <w:rPr>
          <w:rFonts w:hint="eastAsia" w:ascii="宋体" w:hAnsi="宋体" w:cs="仿宋"/>
          <w:sz w:val="24"/>
          <w:highlight w:val="none"/>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特此通知。</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3360" w:firstLineChars="1400"/>
        <w:jc w:val="both"/>
        <w:rPr>
          <w:rFonts w:ascii="宋体" w:hAnsi="宋体" w:cs="仿宋"/>
          <w:sz w:val="24"/>
          <w:highlight w:val="none"/>
          <w:u w:val="single"/>
        </w:rPr>
      </w:pPr>
      <w:r>
        <w:rPr>
          <w:rFonts w:hint="eastAsia" w:ascii="宋体" w:hAnsi="宋体" w:cs="仿宋"/>
          <w:sz w:val="24"/>
          <w:highlight w:val="none"/>
        </w:rPr>
        <w:t>采购人(或采购代理机构):</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600" w:lineRule="exact"/>
        <w:ind w:firstLine="4800" w:firstLineChars="2000"/>
        <w:jc w:val="both"/>
        <w:rPr>
          <w:rFonts w:ascii="仿宋" w:hAnsi="仿宋" w:eastAsia="仿宋" w:cs="仿宋"/>
          <w:sz w:val="30"/>
          <w:szCs w:val="30"/>
          <w:highlight w:val="none"/>
        </w:rPr>
      </w:pP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仿宋" w:hAnsi="仿宋" w:eastAsia="仿宋" w:cs="仿宋"/>
          <w:sz w:val="30"/>
          <w:szCs w:val="30"/>
          <w:highlight w:val="none"/>
        </w:rPr>
        <w:br w:type="page"/>
      </w:r>
    </w:p>
    <w:p>
      <w:pPr>
        <w:pStyle w:val="17"/>
        <w:ind w:firstLine="0"/>
        <w:rPr>
          <w:rFonts w:hAnsi="宋体" w:cs="仿宋"/>
          <w:highlight w:val="none"/>
        </w:rPr>
      </w:pP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附件5  确认通知</w:t>
      </w:r>
    </w:p>
    <w:p>
      <w:pPr>
        <w:adjustRightInd w:val="0"/>
        <w:snapToGrid w:val="0"/>
        <w:spacing w:line="600" w:lineRule="exact"/>
        <w:ind w:firstLine="721" w:firstLineChars="200"/>
        <w:jc w:val="both"/>
        <w:rPr>
          <w:rFonts w:ascii="华文中宋" w:hAnsi="华文中宋" w:eastAsia="华文中宋" w:cs="仿宋"/>
          <w:b/>
          <w:bCs/>
          <w:sz w:val="36"/>
          <w:szCs w:val="36"/>
          <w:highlight w:val="none"/>
        </w:rPr>
      </w:pP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确认通知</w:t>
      </w:r>
    </w:p>
    <w:p>
      <w:pPr>
        <w:adjustRightInd w:val="0"/>
        <w:snapToGrid w:val="0"/>
        <w:spacing w:line="600" w:lineRule="exact"/>
        <w:ind w:firstLine="721" w:firstLineChars="200"/>
        <w:jc w:val="both"/>
        <w:rPr>
          <w:rFonts w:ascii="华文中宋" w:hAnsi="华文中宋" w:eastAsia="华文中宋" w:cs="仿宋"/>
          <w:b/>
          <w:bCs/>
          <w:sz w:val="36"/>
          <w:szCs w:val="36"/>
          <w:highlight w:val="none"/>
        </w:rPr>
      </w:pPr>
    </w:p>
    <w:p>
      <w:pPr>
        <w:adjustRightInd w:val="0"/>
        <w:snapToGrid w:val="0"/>
        <w:spacing w:line="600" w:lineRule="exact"/>
        <w:ind w:firstLine="480" w:firstLineChars="200"/>
        <w:jc w:val="both"/>
        <w:rPr>
          <w:rFonts w:ascii="宋体" w:hAnsi="宋体" w:cs="仿宋"/>
          <w:b/>
          <w:bCs/>
          <w:sz w:val="24"/>
          <w:highlight w:val="none"/>
        </w:rPr>
      </w:pPr>
      <w:r>
        <w:rPr>
          <w:rFonts w:hint="eastAsia" w:ascii="宋体" w:hAnsi="宋体" w:cs="仿宋"/>
          <w:sz w:val="24"/>
          <w:highlight w:val="none"/>
          <w:u w:val="single"/>
        </w:rPr>
        <w:t xml:space="preserve">           （采购人或采购代理机构名称)</w:t>
      </w:r>
      <w:r>
        <w:rPr>
          <w:rFonts w:hint="eastAsia" w:ascii="宋体" w:hAnsi="宋体" w:cs="仿宋"/>
          <w:sz w:val="24"/>
          <w:highlight w:val="none"/>
        </w:rPr>
        <w:t>:</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你方于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日发出的的</w:t>
      </w:r>
      <w:r>
        <w:rPr>
          <w:rFonts w:hint="eastAsia" w:ascii="宋体" w:hAnsi="宋体" w:cs="仿宋"/>
          <w:sz w:val="24"/>
          <w:highlight w:val="none"/>
          <w:u w:val="single"/>
        </w:rPr>
        <w:t>(项目名称)</w:t>
      </w:r>
      <w:r>
        <w:rPr>
          <w:rFonts w:hint="eastAsia" w:ascii="宋体" w:hAnsi="宋体" w:cs="仿宋"/>
          <w:sz w:val="24"/>
          <w:highlight w:val="none"/>
        </w:rPr>
        <w:t>采购文件的澄清/修改的通知，我方已于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日收到。</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特此确认。</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pStyle w:val="27"/>
        <w:adjustRightInd w:val="0"/>
        <w:snapToGrid w:val="0"/>
        <w:spacing w:line="600" w:lineRule="exact"/>
        <w:ind w:firstLine="6240" w:firstLineChars="2600"/>
        <w:jc w:val="center"/>
        <w:rPr>
          <w:rFonts w:cs="仿宋"/>
          <w:highlight w:val="none"/>
        </w:rPr>
      </w:pPr>
      <w:r>
        <w:rPr>
          <w:rFonts w:hint="eastAsia" w:cs="仿宋"/>
          <w:highlight w:val="none"/>
        </w:rPr>
        <w:t>年</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月</w:t>
      </w:r>
      <w:r>
        <w:rPr>
          <w:rFonts w:hint="eastAsia" w:cs="仿宋"/>
          <w:highlight w:val="none"/>
          <w:u w:val="single"/>
        </w:rPr>
        <w:t xml:space="preserve">  </w:t>
      </w:r>
      <w:r>
        <w:rPr>
          <w:rFonts w:cs="仿宋"/>
          <w:highlight w:val="none"/>
          <w:u w:val="single"/>
        </w:rPr>
        <w:t xml:space="preserve">   </w:t>
      </w:r>
      <w:r>
        <w:rPr>
          <w:rFonts w:hint="eastAsia" w:cs="仿宋"/>
          <w:highlight w:val="none"/>
        </w:rPr>
        <w:t>日</w:t>
      </w:r>
      <w:r>
        <w:rPr>
          <w:rFonts w:hint="eastAsia" w:cs="仿宋"/>
          <w:highlight w:val="none"/>
        </w:rPr>
        <w:br w:type="page"/>
      </w:r>
    </w:p>
    <w:p>
      <w:pPr>
        <w:adjustRightInd w:val="0"/>
        <w:snapToGrid w:val="0"/>
        <w:spacing w:line="600" w:lineRule="exact"/>
        <w:jc w:val="center"/>
        <w:outlineLvl w:val="0"/>
        <w:rPr>
          <w:rFonts w:ascii="黑体" w:hAnsi="黑体" w:eastAsia="黑体" w:cs="仿宋"/>
          <w:bCs/>
          <w:sz w:val="36"/>
          <w:szCs w:val="36"/>
          <w:highlight w:val="none"/>
        </w:rPr>
      </w:pPr>
      <w:bookmarkStart w:id="157" w:name="_Toc29741"/>
      <w:bookmarkStart w:id="158" w:name="_Toc20521"/>
      <w:bookmarkStart w:id="159" w:name="_Toc2584"/>
      <w:r>
        <w:rPr>
          <w:rFonts w:hint="eastAsia" w:ascii="黑体" w:hAnsi="黑体" w:eastAsia="黑体" w:cs="仿宋"/>
          <w:bCs/>
          <w:sz w:val="36"/>
          <w:szCs w:val="36"/>
          <w:highlight w:val="none"/>
        </w:rPr>
        <w:t>第三章 评审办法</w:t>
      </w:r>
      <w:bookmarkEnd w:id="157"/>
      <w:bookmarkEnd w:id="158"/>
      <w:bookmarkEnd w:id="159"/>
    </w:p>
    <w:p>
      <w:pPr>
        <w:adjustRightInd w:val="0"/>
        <w:snapToGrid w:val="0"/>
        <w:spacing w:before="120" w:beforeLines="50" w:after="120" w:afterLines="50" w:line="312" w:lineRule="auto"/>
        <w:jc w:val="center"/>
        <w:rPr>
          <w:rFonts w:ascii="黑体" w:hAnsi="黑体" w:eastAsia="黑体" w:cs="仿宋"/>
          <w:bCs/>
          <w:sz w:val="32"/>
          <w:szCs w:val="32"/>
          <w:highlight w:val="none"/>
        </w:rPr>
      </w:pPr>
      <w:r>
        <w:rPr>
          <w:rFonts w:hint="eastAsia" w:ascii="黑体" w:hAnsi="黑体" w:eastAsia="黑体" w:cs="仿宋"/>
          <w:bCs/>
          <w:sz w:val="32"/>
          <w:szCs w:val="32"/>
          <w:highlight w:val="none"/>
        </w:rPr>
        <w:t>评审办法前附表</w:t>
      </w:r>
    </w:p>
    <w:tbl>
      <w:tblPr>
        <w:tblStyle w:val="20"/>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55"/>
        <w:gridCol w:w="1452"/>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327" w:type="dxa"/>
            <w:gridSpan w:val="2"/>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条款号及名称</w:t>
            </w: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评审因素</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7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1</w:t>
            </w:r>
          </w:p>
        </w:tc>
        <w:tc>
          <w:tcPr>
            <w:tcW w:w="1155"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评审方法</w:t>
            </w: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评审方法</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1172" w:type="dxa"/>
            <w:vMerge w:val="restart"/>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2.1.1</w:t>
            </w:r>
          </w:p>
        </w:tc>
        <w:tc>
          <w:tcPr>
            <w:tcW w:w="1155" w:type="dxa"/>
            <w:vMerge w:val="restart"/>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形式评审标准</w:t>
            </w: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供应商名称</w:t>
            </w:r>
          </w:p>
        </w:tc>
        <w:tc>
          <w:tcPr>
            <w:tcW w:w="4983" w:type="dxa"/>
            <w:vAlign w:val="center"/>
          </w:tcPr>
          <w:p>
            <w:pPr>
              <w:widowControl/>
              <w:adjustRightInd w:val="0"/>
              <w:snapToGrid w:val="0"/>
              <w:spacing w:line="288"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响应文件签字盖章</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响应函中实质性内容</w:t>
            </w:r>
          </w:p>
        </w:tc>
        <w:tc>
          <w:tcPr>
            <w:tcW w:w="4983" w:type="dxa"/>
            <w:vAlign w:val="center"/>
          </w:tcPr>
          <w:p>
            <w:pPr>
              <w:widowControl/>
              <w:adjustRightInd w:val="0"/>
              <w:snapToGrid w:val="0"/>
              <w:spacing w:line="288"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1172" w:type="dxa"/>
            <w:vMerge w:val="restart"/>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2.1.2</w:t>
            </w:r>
          </w:p>
        </w:tc>
        <w:tc>
          <w:tcPr>
            <w:tcW w:w="1155" w:type="dxa"/>
            <w:vMerge w:val="restart"/>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资格评审标准</w:t>
            </w: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依法设立</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color w:val="000000"/>
                <w:sz w:val="24"/>
                <w:highlight w:val="none"/>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资质要求</w:t>
            </w:r>
          </w:p>
        </w:tc>
        <w:tc>
          <w:tcPr>
            <w:tcW w:w="4983" w:type="dxa"/>
            <w:vAlign w:val="center"/>
          </w:tcPr>
          <w:p>
            <w:pPr>
              <w:widowControl w:val="0"/>
              <w:spacing w:line="288" w:lineRule="auto"/>
              <w:jc w:val="both"/>
              <w:rPr>
                <w:rFonts w:ascii="宋体" w:hAnsi="宋体" w:cs="宋体"/>
                <w:color w:val="000000"/>
                <w:sz w:val="24"/>
                <w:highlight w:val="none"/>
              </w:rPr>
            </w:pPr>
            <w:r>
              <w:rPr>
                <w:rFonts w:hint="eastAsia" w:ascii="宋体" w:hAnsi="宋体" w:cs="宋体"/>
                <w:color w:val="000000"/>
                <w:sz w:val="24"/>
                <w:highlight w:val="none"/>
              </w:rPr>
              <w:t>供应商应提供相关资质证书副本的复印件，以证明供应商具有承担本项目要求的资质。</w:t>
            </w:r>
          </w:p>
          <w:p>
            <w:pPr>
              <w:widowControl/>
              <w:adjustRightInd w:val="0"/>
              <w:snapToGrid w:val="0"/>
              <w:spacing w:line="288" w:lineRule="auto"/>
              <w:jc w:val="center"/>
              <w:rPr>
                <w:rFonts w:hint="default" w:ascii="宋体" w:hAnsi="宋体" w:eastAsia="宋体" w:cs="宋体"/>
                <w:sz w:val="24"/>
                <w:highlight w:val="none"/>
                <w:lang w:val="en-US" w:eastAsia="zh-CN"/>
              </w:rPr>
            </w:pPr>
            <w:r>
              <w:rPr>
                <w:rFonts w:hint="eastAsia" w:ascii="宋体" w:hAnsi="宋体" w:cs="宋体"/>
                <w:color w:val="000000"/>
                <w:sz w:val="24"/>
                <w:highlight w:val="none"/>
              </w:rPr>
              <w:t>资质证书包括：</w:t>
            </w:r>
            <w:r>
              <w:rPr>
                <w:rFonts w:hint="eastAsia" w:ascii="宋体" w:hAnsi="宋体" w:cs="宋体"/>
                <w:color w:val="000000"/>
                <w:sz w:val="24"/>
                <w:highlight w:val="none"/>
                <w:u w:val="single"/>
                <w:lang w:val="en-US" w:eastAsia="zh-CN"/>
              </w:rPr>
              <w:t>劳务承包资质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财务要求</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color w:val="000000"/>
                <w:sz w:val="24"/>
                <w:highlight w:val="none"/>
              </w:rPr>
              <w:sym w:font="Wingdings 2" w:char="0052"/>
            </w:r>
            <w:r>
              <w:rPr>
                <w:rFonts w:hint="eastAsia" w:ascii="宋体" w:hAnsi="宋体" w:cs="宋体"/>
                <w:color w:val="000000"/>
                <w:sz w:val="24"/>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exac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业绩要求</w:t>
            </w:r>
          </w:p>
        </w:tc>
        <w:tc>
          <w:tcPr>
            <w:tcW w:w="4983" w:type="dxa"/>
            <w:vAlign w:val="center"/>
          </w:tcPr>
          <w:p>
            <w:pPr>
              <w:widowControl w:val="0"/>
              <w:spacing w:line="288" w:lineRule="auto"/>
              <w:jc w:val="both"/>
              <w:rPr>
                <w:rFonts w:ascii="宋体" w:hAnsi="宋体" w:cs="宋体"/>
                <w:sz w:val="24"/>
                <w:highlight w:val="none"/>
                <w:u w:val="single"/>
              </w:rPr>
            </w:pPr>
            <w:r>
              <w:rPr>
                <w:rFonts w:hint="eastAsia" w:ascii="宋体" w:hAnsi="宋体" w:cs="宋体"/>
                <w:sz w:val="24"/>
                <w:highlight w:val="none"/>
              </w:rPr>
              <w:t>供应商应提供近年的</w:t>
            </w:r>
            <w:r>
              <w:rPr>
                <w:rFonts w:hint="eastAsia" w:ascii="宋体" w:hAnsi="宋体" w:cs="宋体"/>
                <w:sz w:val="24"/>
                <w:highlight w:val="none"/>
                <w:lang w:val="en-US" w:eastAsia="zh-CN"/>
              </w:rPr>
              <w:t>轨道施工</w:t>
            </w:r>
            <w:r>
              <w:rPr>
                <w:rFonts w:hint="eastAsia" w:ascii="宋体" w:hAnsi="宋体" w:cs="宋体"/>
                <w:sz w:val="24"/>
                <w:highlight w:val="none"/>
              </w:rPr>
              <w:t>项目情况表（格式见第六章“响应文件格式”七、资格审查资料（三）近年的类似项目情况表），以证明供应商具有承担本项目要求的业绩。近年是指</w:t>
            </w:r>
            <w:r>
              <w:rPr>
                <w:rFonts w:hint="eastAsia" w:ascii="宋体" w:hAnsi="宋体" w:cs="宋体"/>
                <w:sz w:val="24"/>
                <w:highlight w:val="none"/>
                <w:u w:val="single"/>
              </w:rPr>
              <w:t>2019年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rPr>
              <w:t>至</w:t>
            </w:r>
            <w:r>
              <w:rPr>
                <w:rFonts w:hint="eastAsia" w:ascii="宋体" w:hAnsi="宋体" w:cs="宋体"/>
                <w:sz w:val="24"/>
                <w:highlight w:val="none"/>
                <w:u w:val="single"/>
              </w:rPr>
              <w:t>2022年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p>
          <w:p>
            <w:pPr>
              <w:widowControl w:val="0"/>
              <w:spacing w:line="288" w:lineRule="auto"/>
              <w:jc w:val="both"/>
              <w:rPr>
                <w:rFonts w:ascii="宋体" w:hAnsi="宋体" w:cs="宋体"/>
                <w:sz w:val="24"/>
                <w:highlight w:val="none"/>
              </w:rPr>
            </w:pPr>
            <w:r>
              <w:rPr>
                <w:rFonts w:hint="eastAsia" w:ascii="宋体" w:hAnsi="宋体" w:cs="宋体"/>
                <w:sz w:val="24"/>
                <w:highlight w:val="none"/>
              </w:rPr>
              <w:t>业绩证明材料：</w:t>
            </w:r>
          </w:p>
          <w:p>
            <w:pPr>
              <w:widowControl w:val="0"/>
              <w:spacing w:line="288" w:lineRule="auto"/>
              <w:jc w:val="both"/>
              <w:rPr>
                <w:rFonts w:ascii="宋体" w:hAnsi="宋体" w:cs="宋体"/>
                <w:sz w:val="24"/>
                <w:highlight w:val="none"/>
              </w:rPr>
            </w:pPr>
            <w:r>
              <w:rPr>
                <w:rFonts w:hint="eastAsia" w:ascii="宋体" w:hAnsi="宋体" w:cs="宋体"/>
                <w:sz w:val="24"/>
                <w:highlight w:val="none"/>
              </w:rPr>
              <w:sym w:font="Wingdings 2" w:char="0052"/>
            </w:r>
            <w:r>
              <w:rPr>
                <w:rFonts w:hint="eastAsia" w:ascii="宋体" w:hAnsi="宋体" w:cs="宋体"/>
                <w:sz w:val="24"/>
                <w:highlight w:val="none"/>
              </w:rPr>
              <w:t>合同/订单</w:t>
            </w:r>
          </w:p>
          <w:p>
            <w:pPr>
              <w:widowControl w:val="0"/>
              <w:spacing w:line="288" w:lineRule="auto"/>
              <w:jc w:val="both"/>
              <w:rPr>
                <w:rFonts w:ascii="宋体" w:hAnsi="宋体" w:cs="宋体"/>
                <w:sz w:val="24"/>
                <w:highlight w:val="none"/>
              </w:rPr>
            </w:pPr>
            <w:r>
              <w:rPr>
                <w:rFonts w:hint="eastAsia" w:ascii="宋体" w:hAnsi="宋体" w:cs="宋体"/>
                <w:sz w:val="24"/>
                <w:highlight w:val="none"/>
              </w:rPr>
              <w:t>业绩证明材料种类要求：</w:t>
            </w:r>
          </w:p>
          <w:p>
            <w:pPr>
              <w:widowControl w:val="0"/>
              <w:spacing w:line="288" w:lineRule="auto"/>
              <w:jc w:val="both"/>
              <w:rPr>
                <w:rFonts w:ascii="宋体" w:hAnsi="宋体" w:cs="宋体"/>
                <w:sz w:val="24"/>
                <w:highlight w:val="none"/>
              </w:rPr>
            </w:pPr>
            <w:r>
              <w:rPr>
                <w:rFonts w:hint="eastAsia" w:ascii="宋体" w:hAnsi="宋体" w:cs="宋体"/>
                <w:sz w:val="24"/>
                <w:highlight w:val="none"/>
              </w:rPr>
              <w:t>☑需同时提供上述勾选的所有证明材料</w:t>
            </w:r>
          </w:p>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☑其他要求：</w:t>
            </w:r>
            <w:r>
              <w:rPr>
                <w:rFonts w:hint="eastAsia" w:ascii="宋体" w:hAnsi="宋体" w:cs="宋体"/>
                <w:sz w:val="24"/>
                <w:highlight w:val="none"/>
                <w:u w:val="single"/>
              </w:rPr>
              <w:t xml:space="preserve"> 至少提供</w:t>
            </w:r>
            <w:r>
              <w:rPr>
                <w:rFonts w:hint="eastAsia" w:ascii="宋体" w:hAnsi="宋体" w:cs="宋体"/>
                <w:sz w:val="24"/>
                <w:highlight w:val="none"/>
                <w:u w:val="single"/>
                <w:lang w:val="en-US" w:eastAsia="zh-CN"/>
              </w:rPr>
              <w:t>1</w:t>
            </w:r>
            <w:r>
              <w:rPr>
                <w:rFonts w:hint="eastAsia" w:ascii="宋体" w:hAnsi="宋体" w:cs="宋体"/>
                <w:sz w:val="24"/>
                <w:highlight w:val="none"/>
                <w:u w:val="single"/>
              </w:rPr>
              <w:t>份业绩证明材料，提供复印件并加盖单位公章。</w:t>
            </w:r>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人员要求</w:t>
            </w:r>
          </w:p>
        </w:tc>
        <w:tc>
          <w:tcPr>
            <w:tcW w:w="4983" w:type="dxa"/>
            <w:vAlign w:val="center"/>
          </w:tcPr>
          <w:p>
            <w:pPr>
              <w:widowControl/>
              <w:adjustRightInd w:val="0"/>
              <w:snapToGrid w:val="0"/>
              <w:spacing w:line="288" w:lineRule="auto"/>
              <w:jc w:val="center"/>
              <w:rPr>
                <w:rFonts w:hint="default" w:ascii="宋体" w:hAnsi="宋体" w:eastAsia="宋体" w:cs="宋体"/>
                <w:sz w:val="24"/>
                <w:highlight w:val="none"/>
                <w:lang w:val="en-US" w:eastAsia="zh-CN"/>
              </w:rPr>
            </w:pPr>
            <w:r>
              <w:rPr>
                <w:rFonts w:hint="eastAsia" w:ascii="宋体" w:hAnsi="宋体" w:cs="宋体"/>
                <w:color w:val="000000"/>
                <w:sz w:val="24"/>
                <w:highlight w:val="none"/>
              </w:rPr>
              <w:sym w:font="Wingdings 2" w:char="0052"/>
            </w:r>
            <w:r>
              <w:rPr>
                <w:rFonts w:hint="eastAsia" w:ascii="宋体" w:hAnsi="宋体" w:cs="宋体"/>
                <w:color w:val="000000"/>
                <w:sz w:val="24"/>
                <w:highlight w:val="none"/>
                <w:lang w:val="en-US" w:eastAsia="zh-CN"/>
              </w:rPr>
              <w:t>不</w:t>
            </w:r>
            <w:r>
              <w:rPr>
                <w:rFonts w:hint="eastAsia" w:ascii="宋体" w:hAnsi="宋体" w:cs="宋体"/>
                <w:color w:val="000000"/>
                <w:sz w:val="24"/>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不存在第一章第3.2款情形</w:t>
            </w:r>
          </w:p>
        </w:tc>
        <w:tc>
          <w:tcPr>
            <w:tcW w:w="4983" w:type="dxa"/>
            <w:vAlign w:val="center"/>
          </w:tcPr>
          <w:p>
            <w:pPr>
              <w:widowControl/>
              <w:adjustRightInd w:val="0"/>
              <w:snapToGrid w:val="0"/>
              <w:spacing w:line="288" w:lineRule="auto"/>
              <w:jc w:val="left"/>
              <w:rPr>
                <w:rFonts w:ascii="宋体" w:hAnsi="宋体" w:cs="宋体"/>
                <w:sz w:val="24"/>
                <w:highlight w:val="none"/>
              </w:rPr>
            </w:pPr>
            <w:r>
              <w:rPr>
                <w:rFonts w:hint="eastAsia" w:ascii="宋体" w:hAnsi="宋体" w:cs="宋体"/>
                <w:color w:val="000000"/>
                <w:sz w:val="24"/>
                <w:highlight w:val="none"/>
                <w:u w:val="single"/>
              </w:rPr>
              <w:t>信用中国</w:t>
            </w:r>
            <w:r>
              <w:rPr>
                <w:rFonts w:hint="eastAsia" w:ascii="宋体" w:hAnsi="宋体" w:cs="宋体"/>
                <w:sz w:val="24"/>
                <w:highlight w:val="none"/>
                <w:u w:val="single"/>
              </w:rPr>
              <w:t>（https://www.creditchina.gov.cn/）网站上所下载的“企业信用信息报告”第1、2页复印件。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restart"/>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2.1.3</w:t>
            </w:r>
          </w:p>
        </w:tc>
        <w:tc>
          <w:tcPr>
            <w:tcW w:w="1155" w:type="dxa"/>
            <w:vMerge w:val="restart"/>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响应性评审标准</w:t>
            </w: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报价</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响应文件有效期</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响应方案</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质量标准</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完成期限</w:t>
            </w:r>
          </w:p>
        </w:tc>
        <w:tc>
          <w:tcPr>
            <w:tcW w:w="4983" w:type="dxa"/>
            <w:vAlign w:val="center"/>
          </w:tcPr>
          <w:p>
            <w:pPr>
              <w:widowControl/>
              <w:adjustRightInd w:val="0"/>
              <w:snapToGrid w:val="0"/>
              <w:spacing w:line="288" w:lineRule="auto"/>
              <w:jc w:val="both"/>
              <w:rPr>
                <w:rFonts w:hint="default" w:ascii="宋体" w:hAnsi="宋体" w:cs="宋体"/>
                <w:sz w:val="24"/>
                <w:highlight w:val="none"/>
                <w:lang w:val="en-US"/>
              </w:rPr>
            </w:pPr>
            <w:r>
              <w:rPr>
                <w:rFonts w:hint="eastAsia" w:ascii="宋体" w:hAnsi="宋体"/>
                <w:sz w:val="24"/>
                <w:highlight w:val="none"/>
                <w:u w:val="none"/>
                <w:lang w:val="en-US" w:eastAsia="zh-CN"/>
              </w:rPr>
              <w:t>合同签订，进场开工后</w:t>
            </w:r>
            <w:r>
              <w:rPr>
                <w:rFonts w:hint="eastAsia" w:ascii="宋体" w:hAnsi="宋体"/>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合同条款</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72"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155" w:type="dxa"/>
            <w:vMerge w:val="continue"/>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对非关键条款的偏差</w:t>
            </w:r>
          </w:p>
        </w:tc>
        <w:tc>
          <w:tcPr>
            <w:tcW w:w="4983" w:type="dxa"/>
            <w:vAlign w:val="center"/>
          </w:tcPr>
          <w:p>
            <w:pPr>
              <w:widowControl w:val="0"/>
              <w:spacing w:line="288" w:lineRule="auto"/>
              <w:jc w:val="left"/>
              <w:rPr>
                <w:rFonts w:ascii="宋体" w:hAnsi="宋体" w:cs="宋体"/>
                <w:sz w:val="24"/>
                <w:highlight w:val="none"/>
              </w:rPr>
            </w:pPr>
            <w:r>
              <w:rPr>
                <w:rFonts w:hint="eastAsia" w:ascii="宋体" w:hAnsi="宋体" w:cs="宋体"/>
                <w:sz w:val="24"/>
                <w:highlight w:val="none"/>
              </w:rPr>
              <w:t>允许偏差的范围：细微偏差</w:t>
            </w:r>
          </w:p>
          <w:p>
            <w:pPr>
              <w:widowControl/>
              <w:adjustRightInd w:val="0"/>
              <w:snapToGrid w:val="0"/>
              <w:spacing w:line="288" w:lineRule="auto"/>
              <w:jc w:val="left"/>
              <w:rPr>
                <w:rFonts w:ascii="宋体" w:hAnsi="宋体" w:cs="宋体"/>
                <w:sz w:val="24"/>
                <w:highlight w:val="none"/>
              </w:rPr>
            </w:pPr>
            <w:r>
              <w:rPr>
                <w:rFonts w:hint="eastAsia" w:ascii="宋体" w:hAnsi="宋体" w:cs="宋体"/>
                <w:sz w:val="24"/>
                <w:highlight w:val="none"/>
              </w:rPr>
              <w:t>允许偏差的项数：</w:t>
            </w:r>
            <w:r>
              <w:rPr>
                <w:rFonts w:hint="eastAsia" w:ascii="宋体" w:hAnsi="宋体" w:cs="宋体"/>
                <w:sz w:val="24"/>
                <w:highlight w:val="none"/>
                <w:u w:val="single"/>
              </w:rPr>
              <w:t>2项</w:t>
            </w:r>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2.2.2</w:t>
            </w:r>
          </w:p>
        </w:tc>
        <w:tc>
          <w:tcPr>
            <w:tcW w:w="1155" w:type="dxa"/>
            <w:vAlign w:val="center"/>
          </w:tcPr>
          <w:p>
            <w:pPr>
              <w:widowControl/>
              <w:adjustRightInd w:val="0"/>
              <w:snapToGrid w:val="0"/>
              <w:spacing w:line="288" w:lineRule="auto"/>
              <w:jc w:val="center"/>
              <w:rPr>
                <w:rFonts w:ascii="宋体" w:hAnsi="宋体" w:cs="宋体"/>
                <w:sz w:val="24"/>
                <w:highlight w:val="none"/>
              </w:rPr>
            </w:pP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评审价格</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62" w:type="dxa"/>
            <w:gridSpan w:val="4"/>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27" w:type="dxa"/>
            <w:gridSpan w:val="2"/>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条款号</w:t>
            </w:r>
          </w:p>
        </w:tc>
        <w:tc>
          <w:tcPr>
            <w:tcW w:w="1452"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条款内容</w:t>
            </w:r>
          </w:p>
        </w:tc>
        <w:tc>
          <w:tcPr>
            <w:tcW w:w="4983" w:type="dxa"/>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327" w:type="dxa"/>
            <w:gridSpan w:val="2"/>
            <w:vAlign w:val="center"/>
          </w:tcPr>
          <w:p>
            <w:pPr>
              <w:widowControl/>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3</w:t>
            </w:r>
          </w:p>
        </w:tc>
        <w:tc>
          <w:tcPr>
            <w:tcW w:w="1452" w:type="dxa"/>
            <w:vAlign w:val="center"/>
          </w:tcPr>
          <w:p>
            <w:pPr>
              <w:widowControl w:val="0"/>
              <w:spacing w:line="288" w:lineRule="auto"/>
              <w:jc w:val="center"/>
              <w:rPr>
                <w:rFonts w:ascii="宋体" w:hAnsi="宋体" w:cs="宋体"/>
                <w:sz w:val="24"/>
                <w:highlight w:val="none"/>
              </w:rPr>
            </w:pPr>
            <w:r>
              <w:rPr>
                <w:rFonts w:hint="eastAsia" w:ascii="宋体" w:hAnsi="宋体" w:cs="宋体"/>
                <w:sz w:val="24"/>
                <w:highlight w:val="none"/>
              </w:rPr>
              <w:t>报价</w:t>
            </w:r>
          </w:p>
        </w:tc>
        <w:tc>
          <w:tcPr>
            <w:tcW w:w="4983" w:type="dxa"/>
            <w:vAlign w:val="center"/>
          </w:tcPr>
          <w:p>
            <w:pPr>
              <w:widowControl w:val="0"/>
              <w:adjustRightInd w:val="0"/>
              <w:snapToGrid w:val="0"/>
              <w:spacing w:line="288" w:lineRule="auto"/>
              <w:jc w:val="center"/>
              <w:rPr>
                <w:rFonts w:ascii="宋体" w:hAnsi="宋体" w:cs="宋体"/>
                <w:sz w:val="24"/>
                <w:highlight w:val="none"/>
              </w:rPr>
            </w:pPr>
            <w:r>
              <w:rPr>
                <w:rFonts w:hint="eastAsia" w:ascii="宋体" w:hAnsi="宋体" w:cs="宋体"/>
                <w:sz w:val="24"/>
                <w:highlight w:val="none"/>
              </w:rPr>
              <w:t>根据2.2.2条规定，</w:t>
            </w:r>
            <w:r>
              <w:rPr>
                <w:rFonts w:hint="eastAsia" w:cs="仿宋" w:asciiTheme="minorEastAsia" w:hAnsiTheme="minorEastAsia" w:eastAsiaTheme="minorEastAsia"/>
                <w:szCs w:val="21"/>
                <w:lang w:val="en-US" w:eastAsia="zh-CN"/>
              </w:rPr>
              <w:t>本项要求</w:t>
            </w:r>
            <w:r>
              <w:rPr>
                <w:rFonts w:hint="eastAsia" w:cs="仿宋" w:asciiTheme="minorEastAsia" w:hAnsiTheme="minorEastAsia" w:eastAsiaTheme="minorEastAsia"/>
                <w:b w:val="0"/>
                <w:bCs w:val="0"/>
                <w:sz w:val="21"/>
                <w:szCs w:val="21"/>
                <w:u w:val="none"/>
                <w:lang w:val="en-US" w:eastAsia="zh-CN"/>
              </w:rPr>
              <w:t>提供3%的增值税专用发票，超过最高限价的作废。如果报价人提供其他税率的增值税专用发票，采购人按3%的增值税税率调整报价后参与排序。</w:t>
            </w:r>
          </w:p>
        </w:tc>
      </w:tr>
    </w:tbl>
    <w:p>
      <w:pPr>
        <w:pStyle w:val="17"/>
        <w:rPr>
          <w:rFonts w:ascii="微软雅黑" w:hAnsi="微软雅黑" w:eastAsia="微软雅黑"/>
          <w:sz w:val="24"/>
          <w:szCs w:val="24"/>
          <w:highlight w:val="none"/>
          <w:lang w:val="zh-CN"/>
        </w:rPr>
      </w:pPr>
    </w:p>
    <w:p>
      <w:pPr>
        <w:adjustRightInd w:val="0"/>
        <w:snapToGrid w:val="0"/>
        <w:spacing w:line="312" w:lineRule="auto"/>
        <w:jc w:val="center"/>
        <w:rPr>
          <w:rFonts w:hint="eastAsia" w:ascii="宋体" w:hAnsi="宋体" w:cs="仿宋"/>
          <w:b/>
          <w:bCs/>
          <w:sz w:val="36"/>
          <w:szCs w:val="36"/>
          <w:highlight w:val="none"/>
        </w:rPr>
      </w:pPr>
    </w:p>
    <w:p>
      <w:pPr>
        <w:adjustRightInd w:val="0"/>
        <w:snapToGrid w:val="0"/>
        <w:spacing w:line="312" w:lineRule="auto"/>
        <w:jc w:val="center"/>
        <w:rPr>
          <w:rFonts w:hint="eastAsia" w:ascii="宋体" w:hAnsi="宋体" w:cs="仿宋"/>
          <w:b/>
          <w:bCs/>
          <w:sz w:val="36"/>
          <w:szCs w:val="36"/>
          <w:highlight w:val="none"/>
        </w:rPr>
      </w:pPr>
    </w:p>
    <w:p>
      <w:pPr>
        <w:adjustRightInd w:val="0"/>
        <w:snapToGrid w:val="0"/>
        <w:spacing w:line="312" w:lineRule="auto"/>
        <w:jc w:val="center"/>
        <w:rPr>
          <w:rFonts w:hint="eastAsia" w:ascii="宋体" w:hAnsi="宋体" w:cs="仿宋"/>
          <w:b/>
          <w:bCs/>
          <w:sz w:val="36"/>
          <w:szCs w:val="36"/>
          <w:highlight w:val="none"/>
        </w:rPr>
      </w:pPr>
    </w:p>
    <w:p>
      <w:pPr>
        <w:adjustRightInd w:val="0"/>
        <w:snapToGrid w:val="0"/>
        <w:spacing w:line="312" w:lineRule="auto"/>
        <w:jc w:val="center"/>
        <w:rPr>
          <w:rFonts w:hint="eastAsia" w:ascii="宋体" w:hAnsi="宋体" w:cs="仿宋"/>
          <w:b/>
          <w:bCs/>
          <w:sz w:val="36"/>
          <w:szCs w:val="36"/>
          <w:highlight w:val="none"/>
        </w:rPr>
      </w:pPr>
    </w:p>
    <w:p>
      <w:pPr>
        <w:adjustRightInd w:val="0"/>
        <w:snapToGrid w:val="0"/>
        <w:spacing w:line="312" w:lineRule="auto"/>
        <w:jc w:val="center"/>
        <w:rPr>
          <w:rFonts w:hint="eastAsia" w:ascii="宋体" w:hAnsi="宋体" w:cs="仿宋"/>
          <w:b/>
          <w:bCs/>
          <w:sz w:val="36"/>
          <w:szCs w:val="36"/>
          <w:highlight w:val="none"/>
        </w:rPr>
      </w:pPr>
    </w:p>
    <w:p>
      <w:pPr>
        <w:adjustRightInd w:val="0"/>
        <w:snapToGrid w:val="0"/>
        <w:spacing w:line="312" w:lineRule="auto"/>
        <w:jc w:val="center"/>
        <w:rPr>
          <w:rFonts w:hint="eastAsia" w:ascii="宋体" w:hAnsi="宋体" w:cs="仿宋"/>
          <w:b/>
          <w:bCs/>
          <w:sz w:val="36"/>
          <w:szCs w:val="36"/>
          <w:highlight w:val="none"/>
        </w:rPr>
      </w:pPr>
    </w:p>
    <w:p>
      <w:pPr>
        <w:adjustRightInd w:val="0"/>
        <w:snapToGrid w:val="0"/>
        <w:spacing w:line="312" w:lineRule="auto"/>
        <w:jc w:val="center"/>
        <w:rPr>
          <w:rFonts w:ascii="宋体" w:hAnsi="宋体" w:cs="仿宋"/>
          <w:b/>
          <w:bCs/>
          <w:sz w:val="36"/>
          <w:szCs w:val="36"/>
          <w:highlight w:val="none"/>
        </w:rPr>
      </w:pPr>
      <w:r>
        <w:rPr>
          <w:rFonts w:hint="eastAsia" w:ascii="宋体" w:hAnsi="宋体" w:cs="仿宋"/>
          <w:b/>
          <w:bCs/>
          <w:sz w:val="36"/>
          <w:szCs w:val="36"/>
          <w:highlight w:val="none"/>
        </w:rPr>
        <w:t>评审办法正文</w:t>
      </w:r>
    </w:p>
    <w:p>
      <w:pPr>
        <w:adjustRightInd w:val="0"/>
        <w:snapToGrid w:val="0"/>
        <w:spacing w:line="312" w:lineRule="auto"/>
        <w:jc w:val="both"/>
        <w:rPr>
          <w:rFonts w:ascii="宋体" w:hAnsi="宋体" w:cs="仿宋"/>
          <w:b/>
          <w:bCs/>
          <w:sz w:val="36"/>
          <w:szCs w:val="36"/>
          <w:highlight w:val="none"/>
        </w:rPr>
      </w:pPr>
    </w:p>
    <w:p>
      <w:pPr>
        <w:adjustRightInd w:val="0"/>
        <w:snapToGrid w:val="0"/>
        <w:spacing w:line="312" w:lineRule="auto"/>
        <w:jc w:val="both"/>
        <w:outlineLvl w:val="1"/>
        <w:rPr>
          <w:rFonts w:ascii="宋体" w:hAnsi="宋体" w:cs="仿宋"/>
          <w:b/>
          <w:bCs/>
          <w:sz w:val="24"/>
          <w:highlight w:val="none"/>
        </w:rPr>
      </w:pPr>
      <w:bookmarkStart w:id="160" w:name="_Toc32267"/>
      <w:bookmarkStart w:id="161" w:name="_Toc18541"/>
      <w:r>
        <w:rPr>
          <w:rFonts w:hint="eastAsia" w:ascii="宋体" w:hAnsi="宋体" w:cs="仿宋"/>
          <w:b/>
          <w:bCs/>
          <w:sz w:val="24"/>
          <w:highlight w:val="none"/>
        </w:rPr>
        <w:t>1评审方法(最低价法)</w:t>
      </w:r>
      <w:bookmarkEnd w:id="160"/>
      <w:bookmarkEnd w:id="161"/>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outlineLvl w:val="1"/>
        <w:rPr>
          <w:rFonts w:ascii="宋体" w:hAnsi="宋体" w:cs="仿宋"/>
          <w:b/>
          <w:bCs/>
          <w:sz w:val="24"/>
          <w:highlight w:val="none"/>
        </w:rPr>
      </w:pPr>
      <w:bookmarkStart w:id="162" w:name="_Toc15004"/>
      <w:bookmarkStart w:id="163" w:name="_Toc20900"/>
      <w:r>
        <w:rPr>
          <w:rFonts w:hint="eastAsia" w:ascii="宋体" w:hAnsi="宋体" w:cs="仿宋"/>
          <w:b/>
          <w:bCs/>
          <w:sz w:val="24"/>
          <w:highlight w:val="none"/>
        </w:rPr>
        <w:t>2初步评审标准和程序</w:t>
      </w:r>
      <w:bookmarkEnd w:id="162"/>
      <w:bookmarkEnd w:id="163"/>
    </w:p>
    <w:p>
      <w:pPr>
        <w:adjustRightInd w:val="0"/>
        <w:snapToGrid w:val="0"/>
        <w:spacing w:line="312" w:lineRule="auto"/>
        <w:jc w:val="both"/>
        <w:outlineLvl w:val="2"/>
        <w:rPr>
          <w:rFonts w:ascii="宋体" w:hAnsi="宋体" w:cs="仿宋"/>
          <w:b/>
          <w:bCs/>
          <w:sz w:val="24"/>
          <w:highlight w:val="none"/>
        </w:rPr>
      </w:pPr>
      <w:bookmarkStart w:id="164" w:name="_Toc27472"/>
      <w:bookmarkStart w:id="165" w:name="_Toc32527"/>
      <w:r>
        <w:rPr>
          <w:rFonts w:hint="eastAsia" w:ascii="宋体" w:hAnsi="宋体" w:cs="仿宋"/>
          <w:b/>
          <w:bCs/>
          <w:sz w:val="24"/>
          <w:highlight w:val="none"/>
        </w:rPr>
        <w:t>2.1初步评审标准</w:t>
      </w:r>
      <w:bookmarkEnd w:id="164"/>
      <w:bookmarkEnd w:id="165"/>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2.1.1形式评审标准:见评审办法前附表。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2.1.2资格评审标准:见评审办法前附表。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2.1.3响应性评审标准:见评审办法前附表。</w:t>
      </w:r>
    </w:p>
    <w:p>
      <w:pPr>
        <w:adjustRightInd w:val="0"/>
        <w:snapToGrid w:val="0"/>
        <w:spacing w:line="312" w:lineRule="auto"/>
        <w:jc w:val="both"/>
        <w:outlineLvl w:val="2"/>
        <w:rPr>
          <w:rFonts w:ascii="宋体" w:hAnsi="宋体" w:cs="仿宋"/>
          <w:b/>
          <w:bCs/>
          <w:sz w:val="24"/>
          <w:highlight w:val="none"/>
        </w:rPr>
      </w:pPr>
      <w:bookmarkStart w:id="166" w:name="_Toc7393"/>
      <w:bookmarkStart w:id="167" w:name="_Toc14610"/>
      <w:r>
        <w:rPr>
          <w:rFonts w:hint="eastAsia" w:ascii="宋体" w:hAnsi="宋体" w:cs="仿宋"/>
          <w:b/>
          <w:bCs/>
          <w:sz w:val="24"/>
          <w:highlight w:val="none"/>
        </w:rPr>
        <w:t>2.2初步评审程序</w:t>
      </w:r>
      <w:bookmarkEnd w:id="166"/>
      <w:bookmarkEnd w:id="167"/>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2.2.2除评审办法前附表另有规定外，评审价格为供应商在响应函中填报的大写含税价格，本项要求提供3%的增值税专用发票，超过最高限价的作废。如果报价人提供其他税率的增值税专用发票，</w:t>
      </w:r>
      <w:r>
        <w:rPr>
          <w:rFonts w:hint="eastAsia" w:ascii="宋体" w:hAnsi="宋体" w:cs="宋体"/>
          <w:bCs/>
          <w:color w:val="000000"/>
          <w:sz w:val="24"/>
          <w:szCs w:val="24"/>
          <w:highlight w:val="none"/>
          <w:lang w:val="en-US" w:eastAsia="zh-CN"/>
        </w:rPr>
        <w:t>采购人</w:t>
      </w:r>
      <w:r>
        <w:rPr>
          <w:rFonts w:hint="eastAsia" w:ascii="宋体" w:hAnsi="宋体" w:eastAsia="宋体" w:cs="宋体"/>
          <w:bCs/>
          <w:color w:val="000000"/>
          <w:sz w:val="24"/>
          <w:szCs w:val="24"/>
          <w:highlight w:val="none"/>
          <w:lang w:val="en-US" w:eastAsia="zh-CN"/>
        </w:rPr>
        <w:t>按3%的增值税税率调整报价后参与排序。调整后的评审价格若超过最高限价(如有)，其响应文件将被视为无效。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响应报价有算术错误及其他错误的，评审小组按以下原则要求供应商对响应报价进行修正，并要求供应商书面澄清确认。供应商拒不澄清确认的，其响应文件将被视为无效: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(1)大写金额与小写金额不一致的，以大写金额为准;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(2)总价金额与单价金额不一致的，以单价金额为准，但单价金额小数点有明显错误的除外;</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(3)报价表合计报价与分项报价的合计不一致的，以各分项报价的合价累计数为准;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(4)如果分项报价中存在缺漏项，且缺漏项内容不属于实质性偏差的，则视为缺漏项内容的价格已包含在其他分项报价之中。</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2.2.4供应商有串通，弄虚作假、行贿等违法行为的，其响应文件将被视为无效。</w:t>
      </w:r>
    </w:p>
    <w:p>
      <w:pPr>
        <w:adjustRightInd w:val="0"/>
        <w:snapToGrid w:val="0"/>
        <w:spacing w:line="312" w:lineRule="auto"/>
        <w:jc w:val="both"/>
        <w:outlineLvl w:val="1"/>
        <w:rPr>
          <w:rFonts w:ascii="宋体" w:hAnsi="宋体" w:cs="仿宋"/>
          <w:b/>
          <w:bCs/>
          <w:sz w:val="24"/>
          <w:highlight w:val="none"/>
        </w:rPr>
      </w:pPr>
      <w:bookmarkStart w:id="168" w:name="_Toc3414"/>
      <w:bookmarkStart w:id="169" w:name="_Toc14055"/>
      <w:r>
        <w:rPr>
          <w:rFonts w:hint="eastAsia" w:ascii="宋体" w:hAnsi="宋体" w:cs="仿宋"/>
          <w:b/>
          <w:bCs/>
          <w:sz w:val="24"/>
          <w:highlight w:val="none"/>
        </w:rPr>
        <w:t>3详细评审标准和程序(最低价法)</w:t>
      </w:r>
      <w:bookmarkEnd w:id="168"/>
      <w:bookmarkEnd w:id="169"/>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outlineLvl w:val="1"/>
        <w:rPr>
          <w:rFonts w:ascii="宋体" w:hAnsi="宋体" w:cs="仿宋"/>
          <w:b/>
          <w:bCs/>
          <w:sz w:val="24"/>
          <w:highlight w:val="none"/>
        </w:rPr>
      </w:pPr>
      <w:bookmarkStart w:id="170" w:name="_Toc31717"/>
      <w:bookmarkStart w:id="171" w:name="_Toc8648"/>
      <w:r>
        <w:rPr>
          <w:rFonts w:hint="eastAsia" w:ascii="宋体" w:hAnsi="宋体" w:cs="仿宋"/>
          <w:b/>
          <w:bCs/>
          <w:sz w:val="24"/>
          <w:highlight w:val="none"/>
        </w:rPr>
        <w:t>4评审结果</w:t>
      </w:r>
      <w:bookmarkEnd w:id="170"/>
      <w:bookmarkEnd w:id="171"/>
    </w:p>
    <w:p>
      <w:pPr>
        <w:adjustRightInd w:val="0"/>
        <w:snapToGrid w:val="0"/>
        <w:spacing w:line="312" w:lineRule="auto"/>
        <w:jc w:val="both"/>
        <w:outlineLvl w:val="2"/>
        <w:rPr>
          <w:rFonts w:ascii="宋体" w:hAnsi="宋体" w:cs="仿宋"/>
          <w:b/>
          <w:bCs/>
          <w:sz w:val="24"/>
          <w:highlight w:val="none"/>
        </w:rPr>
      </w:pPr>
      <w:bookmarkStart w:id="172" w:name="_Toc22370"/>
      <w:bookmarkStart w:id="173" w:name="_Toc9975"/>
      <w:r>
        <w:rPr>
          <w:rFonts w:hint="eastAsia" w:ascii="宋体" w:hAnsi="宋体" w:cs="仿宋"/>
          <w:b/>
          <w:bCs/>
          <w:sz w:val="24"/>
          <w:highlight w:val="none"/>
        </w:rPr>
        <w:t>4.1提交书面评审报告</w:t>
      </w:r>
      <w:bookmarkEnd w:id="172"/>
      <w:bookmarkEnd w:id="173"/>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评审小组完成评审后，应当向采购人提交书面评审报告。</w:t>
      </w:r>
    </w:p>
    <w:p>
      <w:pPr>
        <w:adjustRightInd w:val="0"/>
        <w:snapToGrid w:val="0"/>
        <w:spacing w:line="312" w:lineRule="auto"/>
        <w:jc w:val="both"/>
        <w:outlineLvl w:val="2"/>
        <w:rPr>
          <w:rFonts w:ascii="宋体" w:hAnsi="宋体" w:cs="仿宋"/>
          <w:b/>
          <w:bCs/>
          <w:sz w:val="24"/>
          <w:highlight w:val="none"/>
        </w:rPr>
      </w:pPr>
      <w:bookmarkStart w:id="174" w:name="_Toc11561"/>
      <w:bookmarkStart w:id="175" w:name="_Toc23200"/>
      <w:r>
        <w:rPr>
          <w:rFonts w:hint="eastAsia" w:ascii="宋体" w:hAnsi="宋体" w:cs="仿宋"/>
          <w:b/>
          <w:bCs/>
          <w:sz w:val="24"/>
          <w:highlight w:val="none"/>
        </w:rPr>
        <w:t>4.2推荐成交候选供应商排序要求及数量</w:t>
      </w:r>
      <w:bookmarkEnd w:id="174"/>
      <w:bookmarkEnd w:id="175"/>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评审小组应在书面评审报告中按照供应商排列的优先顺序向采购人推荐成交候选供应商(排序或不排序)。成交候选供应商的排序要求及数量见第二章“供应商须知”。</w:t>
      </w:r>
    </w:p>
    <w:p>
      <w:pPr>
        <w:rPr>
          <w:rFonts w:ascii="微软雅黑" w:hAnsi="微软雅黑" w:eastAsia="微软雅黑"/>
          <w:sz w:val="24"/>
          <w:szCs w:val="24"/>
          <w:highlight w:val="none"/>
          <w:lang w:val="zh-CN"/>
        </w:rPr>
      </w:pPr>
      <w:r>
        <w:rPr>
          <w:rFonts w:ascii="微软雅黑" w:hAnsi="微软雅黑" w:eastAsia="微软雅黑"/>
          <w:sz w:val="24"/>
          <w:szCs w:val="24"/>
          <w:highlight w:val="none"/>
          <w:lang w:val="zh-CN"/>
        </w:rPr>
        <w:br w:type="page"/>
      </w:r>
    </w:p>
    <w:p>
      <w:pPr>
        <w:pStyle w:val="27"/>
        <w:spacing w:line="600" w:lineRule="exact"/>
        <w:ind w:firstLine="0" w:firstLineChars="0"/>
        <w:jc w:val="center"/>
        <w:outlineLvl w:val="0"/>
        <w:rPr>
          <w:rFonts w:ascii="黑体" w:hAnsi="黑体" w:eastAsia="黑体" w:cs="仿宋"/>
          <w:b/>
          <w:color w:val="000000"/>
          <w:sz w:val="36"/>
          <w:szCs w:val="36"/>
          <w:highlight w:val="none"/>
        </w:rPr>
      </w:pPr>
      <w:bookmarkStart w:id="176" w:name="_Toc14680"/>
      <w:bookmarkStart w:id="177" w:name="_Toc32405"/>
      <w:bookmarkStart w:id="178" w:name="_Toc11830"/>
      <w:r>
        <w:rPr>
          <w:rFonts w:hint="eastAsia" w:ascii="黑体" w:hAnsi="黑体" w:eastAsia="黑体" w:cs="仿宋"/>
          <w:b/>
          <w:color w:val="000000"/>
          <w:sz w:val="36"/>
          <w:szCs w:val="36"/>
          <w:highlight w:val="none"/>
        </w:rPr>
        <w:t>第四章  合同条款及格式</w:t>
      </w:r>
      <w:bookmarkEnd w:id="176"/>
      <w:bookmarkEnd w:id="177"/>
      <w:bookmarkEnd w:id="178"/>
    </w:p>
    <w:p>
      <w:pPr>
        <w:rPr>
          <w:highlight w:val="none"/>
        </w:rPr>
      </w:pPr>
    </w:p>
    <w:p>
      <w:pPr>
        <w:jc w:val="center"/>
        <w:rPr>
          <w:highlight w:val="none"/>
          <w:u w:val="single"/>
        </w:rPr>
      </w:pPr>
      <w:r>
        <w:rPr>
          <w:rFonts w:hint="eastAsia"/>
          <w:highlight w:val="none"/>
        </w:rPr>
        <w:t xml:space="preserve">                                               合同编号：</w:t>
      </w:r>
    </w:p>
    <w:p>
      <w:pPr>
        <w:jc w:val="both"/>
        <w:rPr>
          <w:highlight w:val="none"/>
          <w:u w:val="single"/>
        </w:rPr>
      </w:pPr>
    </w:p>
    <w:p>
      <w:pPr>
        <w:jc w:val="both"/>
        <w:rPr>
          <w:highlight w:val="none"/>
          <w:u w:val="single"/>
        </w:rPr>
      </w:pPr>
    </w:p>
    <w:p>
      <w:pPr>
        <w:widowControl w:val="0"/>
        <w:spacing w:line="360" w:lineRule="auto"/>
        <w:ind w:firstLine="2560" w:firstLineChars="800"/>
        <w:jc w:val="both"/>
        <w:rPr>
          <w:rFonts w:ascii="黑体" w:hAnsi="黑体" w:eastAsia="黑体"/>
          <w:color w:val="000000"/>
          <w:sz w:val="32"/>
          <w:szCs w:val="32"/>
          <w:highlight w:val="none"/>
        </w:rPr>
      </w:pPr>
      <w:r>
        <w:rPr>
          <w:rFonts w:hint="eastAsia" w:ascii="黑体" w:hAnsi="黑体" w:eastAsia="黑体"/>
          <w:color w:val="000000"/>
          <w:sz w:val="32"/>
          <w:szCs w:val="32"/>
          <w:highlight w:val="none"/>
        </w:rPr>
        <w:t>湖南港产科技有限公司</w:t>
      </w:r>
    </w:p>
    <w:p>
      <w:pPr>
        <w:widowControl w:val="0"/>
        <w:adjustRightInd w:val="0"/>
        <w:snapToGrid w:val="0"/>
        <w:spacing w:line="360" w:lineRule="auto"/>
        <w:jc w:val="center"/>
        <w:outlineLvl w:val="1"/>
        <w:rPr>
          <w:rFonts w:hint="default" w:ascii="黑体" w:hAnsi="黑体" w:eastAsia="黑体" w:cs="黑体"/>
          <w:bCs/>
          <w:sz w:val="32"/>
          <w:szCs w:val="32"/>
          <w:highlight w:val="none"/>
          <w:lang w:val="en-US" w:eastAsia="zh-CN"/>
        </w:rPr>
      </w:pPr>
      <w:bookmarkStart w:id="179" w:name="_Toc48"/>
      <w:bookmarkStart w:id="180" w:name="_Toc1298"/>
      <w:r>
        <w:rPr>
          <w:rFonts w:hint="eastAsia" w:ascii="黑体" w:hAnsi="黑体" w:eastAsia="黑体" w:cs="黑体"/>
          <w:bCs/>
          <w:sz w:val="32"/>
          <w:szCs w:val="32"/>
          <w:highlight w:val="none"/>
          <w:lang w:val="en-US" w:eastAsia="zh-CN"/>
        </w:rPr>
        <w:t>长沙集星集装箱码头门机大车轨道提质改造劳务施工项目</w:t>
      </w:r>
      <w:bookmarkEnd w:id="179"/>
      <w:bookmarkEnd w:id="180"/>
    </w:p>
    <w:p>
      <w:pPr>
        <w:widowControl w:val="0"/>
        <w:adjustRightInd w:val="0"/>
        <w:snapToGrid w:val="0"/>
        <w:spacing w:line="360" w:lineRule="auto"/>
        <w:jc w:val="center"/>
        <w:rPr>
          <w:rFonts w:hint="eastAsia" w:ascii="黑体" w:hAnsi="黑体" w:eastAsia="黑体" w:cs="黑体"/>
          <w:bCs/>
          <w:sz w:val="32"/>
          <w:szCs w:val="32"/>
          <w:highlight w:val="none"/>
        </w:rPr>
      </w:pPr>
    </w:p>
    <w:p>
      <w:pPr>
        <w:spacing w:line="360" w:lineRule="auto"/>
        <w:jc w:val="both"/>
        <w:rPr>
          <w:b/>
          <w:bCs/>
          <w:sz w:val="44"/>
          <w:szCs w:val="44"/>
          <w:highlight w:val="none"/>
        </w:rPr>
      </w:pPr>
    </w:p>
    <w:p>
      <w:pPr>
        <w:pStyle w:val="17"/>
        <w:rPr>
          <w:b/>
          <w:bCs/>
          <w:sz w:val="44"/>
          <w:szCs w:val="44"/>
          <w:highlight w:val="none"/>
        </w:rPr>
      </w:pPr>
    </w:p>
    <w:p>
      <w:pPr>
        <w:pStyle w:val="17"/>
        <w:rPr>
          <w:b/>
          <w:bCs/>
          <w:sz w:val="44"/>
          <w:szCs w:val="44"/>
          <w:highlight w:val="none"/>
        </w:rPr>
      </w:pPr>
    </w:p>
    <w:p>
      <w:pPr>
        <w:pStyle w:val="17"/>
        <w:ind w:firstLine="0"/>
        <w:rPr>
          <w:b/>
          <w:bCs/>
          <w:sz w:val="44"/>
          <w:szCs w:val="44"/>
          <w:highlight w:val="none"/>
        </w:rPr>
      </w:pPr>
    </w:p>
    <w:p>
      <w:pPr>
        <w:pStyle w:val="17"/>
        <w:rPr>
          <w:b/>
          <w:bCs/>
          <w:sz w:val="44"/>
          <w:szCs w:val="44"/>
          <w:highlight w:val="none"/>
        </w:rPr>
      </w:pPr>
    </w:p>
    <w:p>
      <w:pPr>
        <w:pStyle w:val="17"/>
        <w:rPr>
          <w:b/>
          <w:bCs/>
          <w:sz w:val="44"/>
          <w:szCs w:val="44"/>
          <w:highlight w:val="none"/>
        </w:rPr>
      </w:pPr>
    </w:p>
    <w:p>
      <w:pPr>
        <w:pStyle w:val="17"/>
        <w:rPr>
          <w:b/>
          <w:bCs/>
          <w:sz w:val="44"/>
          <w:szCs w:val="44"/>
          <w:highlight w:val="none"/>
        </w:rPr>
      </w:pPr>
    </w:p>
    <w:p>
      <w:pPr>
        <w:widowControl w:val="0"/>
        <w:spacing w:line="360" w:lineRule="auto"/>
        <w:ind w:left="1600" w:hanging="1600" w:hangingChars="500"/>
        <w:rPr>
          <w:rFonts w:ascii="黑体" w:hAnsi="黑体" w:eastAsia="黑体"/>
          <w:sz w:val="32"/>
          <w:szCs w:val="32"/>
          <w:highlight w:val="none"/>
        </w:rPr>
      </w:pPr>
      <w:r>
        <w:rPr>
          <w:rFonts w:hint="eastAsia" w:ascii="黑体" w:hAnsi="黑体" w:eastAsia="黑体"/>
          <w:sz w:val="32"/>
          <w:szCs w:val="32"/>
          <w:highlight w:val="none"/>
        </w:rPr>
        <w:t>项目名称：</w:t>
      </w:r>
      <w:r>
        <w:rPr>
          <w:rFonts w:hint="eastAsia" w:ascii="黑体" w:hAnsi="黑体" w:eastAsia="黑体"/>
          <w:color w:val="000000"/>
          <w:sz w:val="32"/>
          <w:szCs w:val="32"/>
          <w:highlight w:val="none"/>
        </w:rPr>
        <w:t>湖南港产科技有限公司</w:t>
      </w:r>
      <w:r>
        <w:rPr>
          <w:rFonts w:hint="eastAsia" w:ascii="黑体" w:hAnsi="黑体" w:eastAsia="黑体" w:cs="黑体"/>
          <w:bCs/>
          <w:sz w:val="32"/>
          <w:szCs w:val="32"/>
          <w:highlight w:val="none"/>
          <w:lang w:val="en-US" w:eastAsia="zh-CN"/>
        </w:rPr>
        <w:t>长沙集星集装箱码头门机大车轨道提质改造劳务施工</w:t>
      </w:r>
      <w:r>
        <w:rPr>
          <w:rFonts w:hint="eastAsia" w:ascii="黑体" w:hAnsi="黑体" w:eastAsia="黑体"/>
          <w:bCs/>
          <w:sz w:val="32"/>
          <w:szCs w:val="32"/>
          <w:highlight w:val="none"/>
        </w:rPr>
        <w:t>项目</w:t>
      </w:r>
    </w:p>
    <w:p>
      <w:pPr>
        <w:widowControl w:val="0"/>
        <w:snapToGrid w:val="0"/>
        <w:spacing w:line="240" w:lineRule="auto"/>
        <w:outlineLvl w:val="2"/>
        <w:rPr>
          <w:rFonts w:ascii="黑体" w:hAnsi="黑体" w:eastAsia="黑体"/>
          <w:sz w:val="32"/>
          <w:szCs w:val="32"/>
          <w:highlight w:val="none"/>
        </w:rPr>
      </w:pPr>
      <w:bookmarkStart w:id="181" w:name="_Toc13824"/>
      <w:bookmarkStart w:id="182" w:name="_Toc12219"/>
      <w:r>
        <w:rPr>
          <w:rFonts w:hint="eastAsia" w:ascii="黑体" w:hAnsi="黑体" w:eastAsia="黑体"/>
          <w:sz w:val="32"/>
          <w:szCs w:val="32"/>
          <w:highlight w:val="none"/>
        </w:rPr>
        <w:t>发</w:t>
      </w:r>
      <w:r>
        <w:rPr>
          <w:rFonts w:ascii="黑体" w:hAnsi="黑体" w:eastAsia="黑体"/>
          <w:sz w:val="32"/>
          <w:szCs w:val="32"/>
          <w:highlight w:val="none"/>
        </w:rPr>
        <w:t xml:space="preserve"> </w:t>
      </w:r>
      <w:r>
        <w:rPr>
          <w:rFonts w:hint="eastAsia" w:ascii="黑体" w:hAnsi="黑体" w:eastAsia="黑体"/>
          <w:sz w:val="32"/>
          <w:szCs w:val="32"/>
          <w:highlight w:val="none"/>
        </w:rPr>
        <w:t>包</w:t>
      </w:r>
      <w:r>
        <w:rPr>
          <w:rFonts w:ascii="黑体" w:hAnsi="黑体" w:eastAsia="黑体"/>
          <w:sz w:val="32"/>
          <w:szCs w:val="32"/>
          <w:highlight w:val="none"/>
        </w:rPr>
        <w:t xml:space="preserve"> </w:t>
      </w:r>
      <w:r>
        <w:rPr>
          <w:rFonts w:hint="eastAsia" w:ascii="黑体" w:hAnsi="黑体" w:eastAsia="黑体"/>
          <w:sz w:val="32"/>
          <w:szCs w:val="32"/>
          <w:highlight w:val="none"/>
        </w:rPr>
        <w:t>人：湖南港产科技有限公司</w:t>
      </w:r>
      <w:bookmarkEnd w:id="181"/>
      <w:bookmarkEnd w:id="182"/>
    </w:p>
    <w:p>
      <w:pPr>
        <w:widowControl w:val="0"/>
        <w:snapToGrid w:val="0"/>
        <w:spacing w:line="240" w:lineRule="auto"/>
        <w:outlineLvl w:val="9"/>
        <w:rPr>
          <w:rFonts w:ascii="黑体" w:hAnsi="黑体" w:eastAsia="黑体"/>
          <w:sz w:val="32"/>
          <w:szCs w:val="32"/>
          <w:highlight w:val="none"/>
        </w:rPr>
      </w:pPr>
    </w:p>
    <w:p>
      <w:pPr>
        <w:widowControl w:val="0"/>
        <w:snapToGrid w:val="0"/>
        <w:spacing w:line="240" w:lineRule="auto"/>
        <w:outlineLvl w:val="2"/>
        <w:rPr>
          <w:rFonts w:ascii="黑体" w:hAnsi="黑体" w:eastAsia="黑体"/>
          <w:sz w:val="32"/>
          <w:szCs w:val="32"/>
          <w:highlight w:val="none"/>
        </w:rPr>
      </w:pPr>
      <w:bookmarkStart w:id="183" w:name="_Toc10803"/>
      <w:bookmarkStart w:id="184" w:name="_Toc7048"/>
      <w:r>
        <w:rPr>
          <w:rFonts w:hint="eastAsia" w:ascii="黑体" w:hAnsi="黑体" w:eastAsia="黑体"/>
          <w:sz w:val="32"/>
          <w:szCs w:val="32"/>
          <w:highlight w:val="none"/>
        </w:rPr>
        <w:t>承</w:t>
      </w:r>
      <w:r>
        <w:rPr>
          <w:rFonts w:ascii="黑体" w:hAnsi="黑体" w:eastAsia="黑体"/>
          <w:sz w:val="32"/>
          <w:szCs w:val="32"/>
          <w:highlight w:val="none"/>
        </w:rPr>
        <w:t xml:space="preserve"> </w:t>
      </w:r>
      <w:r>
        <w:rPr>
          <w:rFonts w:hint="eastAsia" w:ascii="黑体" w:hAnsi="黑体" w:eastAsia="黑体"/>
          <w:sz w:val="32"/>
          <w:szCs w:val="32"/>
          <w:highlight w:val="none"/>
        </w:rPr>
        <w:t>包</w:t>
      </w:r>
      <w:r>
        <w:rPr>
          <w:rFonts w:ascii="黑体" w:hAnsi="黑体" w:eastAsia="黑体"/>
          <w:sz w:val="32"/>
          <w:szCs w:val="32"/>
          <w:highlight w:val="none"/>
        </w:rPr>
        <w:t xml:space="preserve"> </w:t>
      </w:r>
      <w:r>
        <w:rPr>
          <w:rFonts w:hint="eastAsia" w:ascii="黑体" w:hAnsi="黑体" w:eastAsia="黑体"/>
          <w:sz w:val="32"/>
          <w:szCs w:val="32"/>
          <w:highlight w:val="none"/>
        </w:rPr>
        <w:t>人：</w:t>
      </w:r>
      <w:bookmarkEnd w:id="183"/>
      <w:bookmarkEnd w:id="184"/>
    </w:p>
    <w:p>
      <w:pPr>
        <w:widowControl w:val="0"/>
        <w:snapToGrid w:val="0"/>
        <w:spacing w:line="240" w:lineRule="auto"/>
        <w:outlineLvl w:val="9"/>
        <w:rPr>
          <w:rFonts w:ascii="黑体" w:hAnsi="黑体" w:eastAsia="黑体"/>
          <w:sz w:val="32"/>
          <w:szCs w:val="32"/>
          <w:highlight w:val="none"/>
        </w:rPr>
      </w:pPr>
    </w:p>
    <w:p>
      <w:pPr>
        <w:widowControl w:val="0"/>
        <w:snapToGrid w:val="0"/>
        <w:spacing w:line="240" w:lineRule="auto"/>
        <w:outlineLvl w:val="9"/>
        <w:rPr>
          <w:rFonts w:ascii="黑体" w:hAnsi="黑体" w:eastAsia="黑体"/>
          <w:sz w:val="32"/>
          <w:szCs w:val="32"/>
          <w:highlight w:val="none"/>
        </w:rPr>
      </w:pPr>
    </w:p>
    <w:p>
      <w:pPr>
        <w:widowControl w:val="0"/>
        <w:snapToGrid w:val="0"/>
        <w:spacing w:line="240" w:lineRule="auto"/>
        <w:outlineLvl w:val="2"/>
        <w:rPr>
          <w:rFonts w:ascii="黑体" w:hAnsi="黑体" w:eastAsia="黑体"/>
          <w:sz w:val="32"/>
          <w:szCs w:val="32"/>
          <w:highlight w:val="none"/>
        </w:rPr>
      </w:pPr>
      <w:bookmarkStart w:id="185" w:name="_Toc30582"/>
      <w:bookmarkStart w:id="186" w:name="_Toc6365"/>
      <w:r>
        <w:rPr>
          <w:rFonts w:hint="eastAsia" w:ascii="黑体" w:hAnsi="黑体" w:eastAsia="黑体"/>
          <w:sz w:val="32"/>
          <w:szCs w:val="32"/>
          <w:highlight w:val="none"/>
        </w:rPr>
        <w:t>签订日期：</w:t>
      </w:r>
      <w:r>
        <w:rPr>
          <w:rFonts w:ascii="黑体" w:hAnsi="黑体" w:eastAsia="黑体"/>
          <w:sz w:val="32"/>
          <w:szCs w:val="32"/>
          <w:highlight w:val="none"/>
        </w:rPr>
        <w:t>202</w:t>
      </w:r>
      <w:r>
        <w:rPr>
          <w:rFonts w:hint="eastAsia" w:ascii="黑体" w:hAnsi="黑体" w:eastAsia="黑体"/>
          <w:sz w:val="32"/>
          <w:szCs w:val="32"/>
          <w:highlight w:val="none"/>
        </w:rPr>
        <w:t>2年</w:t>
      </w:r>
      <w:r>
        <w:rPr>
          <w:rFonts w:ascii="黑体" w:hAnsi="黑体" w:eastAsia="黑体"/>
          <w:sz w:val="32"/>
          <w:szCs w:val="32"/>
          <w:highlight w:val="none"/>
        </w:rPr>
        <w:t xml:space="preserve">   </w:t>
      </w:r>
      <w:r>
        <w:rPr>
          <w:rFonts w:hint="eastAsia" w:ascii="黑体" w:hAnsi="黑体" w:eastAsia="黑体"/>
          <w:sz w:val="32"/>
          <w:szCs w:val="32"/>
          <w:highlight w:val="none"/>
        </w:rPr>
        <w:t>月</w:t>
      </w:r>
      <w:r>
        <w:rPr>
          <w:rFonts w:ascii="黑体" w:hAnsi="黑体" w:eastAsia="黑体"/>
          <w:sz w:val="32"/>
          <w:szCs w:val="32"/>
          <w:highlight w:val="none"/>
        </w:rPr>
        <w:t xml:space="preserve">   </w:t>
      </w:r>
      <w:r>
        <w:rPr>
          <w:rFonts w:hint="eastAsia" w:ascii="黑体" w:hAnsi="黑体" w:eastAsia="黑体"/>
          <w:sz w:val="32"/>
          <w:szCs w:val="32"/>
          <w:highlight w:val="none"/>
        </w:rPr>
        <w:t>日</w:t>
      </w:r>
      <w:bookmarkEnd w:id="185"/>
      <w:bookmarkEnd w:id="186"/>
    </w:p>
    <w:p>
      <w:pPr>
        <w:widowControl w:val="0"/>
        <w:snapToGrid w:val="0"/>
        <w:spacing w:line="240" w:lineRule="auto"/>
        <w:outlineLvl w:val="9"/>
        <w:rPr>
          <w:rFonts w:ascii="黑体" w:hAnsi="黑体" w:eastAsia="黑体"/>
          <w:sz w:val="32"/>
          <w:szCs w:val="32"/>
          <w:highlight w:val="none"/>
          <w:u w:val="single"/>
        </w:rPr>
        <w:sectPr>
          <w:footerReference r:id="rId7" w:type="default"/>
          <w:pgSz w:w="11900" w:h="16840"/>
          <w:pgMar w:top="1440" w:right="1800" w:bottom="1440" w:left="1800" w:header="720" w:footer="720" w:gutter="0"/>
          <w:pgNumType w:start="1"/>
          <w:cols w:space="720" w:num="1"/>
          <w:docGrid w:linePitch="286" w:charSpace="0"/>
        </w:sectPr>
      </w:pPr>
    </w:p>
    <w:p>
      <w:pPr>
        <w:pStyle w:val="4"/>
        <w:bidi w:val="0"/>
        <w:jc w:val="center"/>
        <w:rPr>
          <w:rFonts w:hint="eastAsia" w:ascii="宋体" w:hAnsi="宋体" w:eastAsia="宋体" w:cs="宋体"/>
          <w:sz w:val="32"/>
          <w:szCs w:val="32"/>
          <w:lang w:val="en-US" w:eastAsia="zh-CN"/>
        </w:rPr>
      </w:pPr>
      <w:bookmarkStart w:id="187" w:name="_Toc6610"/>
      <w:bookmarkStart w:id="188" w:name="_Toc10424"/>
      <w:bookmarkStart w:id="189" w:name="_Toc26939"/>
      <w:bookmarkStart w:id="190" w:name="_Toc2649"/>
      <w:r>
        <w:rPr>
          <w:rFonts w:hint="eastAsia" w:ascii="宋体" w:hAnsi="宋体" w:eastAsia="宋体" w:cs="宋体"/>
          <w:sz w:val="32"/>
          <w:szCs w:val="32"/>
          <w:lang w:val="en-US" w:eastAsia="zh-CN"/>
        </w:rPr>
        <w:t>湖南港产科技有限公司长沙集星集装箱码头门机大车轨道提质改造劳务施工合同</w:t>
      </w:r>
      <w:bookmarkEnd w:id="187"/>
      <w:bookmarkEnd w:id="188"/>
      <w:bookmarkEnd w:id="189"/>
      <w:bookmarkEnd w:id="190"/>
    </w:p>
    <w:p>
      <w:pPr>
        <w:spacing w:line="580" w:lineRule="exact"/>
        <w:ind w:left="2730" w:leftChars="1300" w:firstLine="2625" w:firstLineChars="1250"/>
        <w:rPr>
          <w:rFonts w:ascii="宋体"/>
          <w:bCs/>
          <w:highlight w:val="none"/>
        </w:rPr>
      </w:pPr>
      <w:r>
        <w:rPr>
          <w:rFonts w:hint="eastAsia" w:ascii="宋体"/>
          <w:bCs/>
          <w:highlight w:val="none"/>
        </w:rPr>
        <w:t>合同编号：</w:t>
      </w:r>
    </w:p>
    <w:p>
      <w:pPr>
        <w:spacing w:line="540" w:lineRule="exact"/>
        <w:rPr>
          <w:rFonts w:ascii="宋体" w:hAnsi="宋体" w:cs="宋体"/>
          <w:b/>
          <w:bCs/>
          <w:sz w:val="30"/>
          <w:szCs w:val="30"/>
          <w:highlight w:val="none"/>
        </w:rPr>
      </w:pPr>
      <w:r>
        <w:rPr>
          <w:rFonts w:hint="eastAsia" w:ascii="宋体" w:hAnsi="宋体" w:cs="宋体"/>
          <w:b/>
          <w:bCs/>
          <w:sz w:val="30"/>
          <w:szCs w:val="30"/>
          <w:highlight w:val="none"/>
        </w:rPr>
        <w:t>甲方：（发包人）                   　（以下简称甲方）</w:t>
      </w:r>
    </w:p>
    <w:p>
      <w:pPr>
        <w:spacing w:line="540" w:lineRule="exact"/>
        <w:rPr>
          <w:rFonts w:ascii="仿宋" w:hAnsi="仿宋" w:eastAsia="仿宋"/>
          <w:sz w:val="30"/>
          <w:szCs w:val="30"/>
          <w:highlight w:val="none"/>
        </w:rPr>
      </w:pPr>
      <w:r>
        <w:rPr>
          <w:rFonts w:hint="eastAsia" w:ascii="宋体" w:hAnsi="宋体" w:cs="宋体"/>
          <w:b/>
          <w:bCs/>
          <w:sz w:val="30"/>
          <w:szCs w:val="30"/>
          <w:highlight w:val="none"/>
        </w:rPr>
        <w:t>乙方：（承包人）                     （以下简称乙方）</w:t>
      </w:r>
      <w:r>
        <w:rPr>
          <w:rFonts w:hint="eastAsia" w:ascii="仿宋" w:hAnsi="仿宋" w:eastAsia="仿宋"/>
          <w:sz w:val="30"/>
          <w:szCs w:val="30"/>
          <w:highlight w:val="none"/>
        </w:rPr>
        <w:t xml:space="preserve">                                                           </w:t>
      </w:r>
    </w:p>
    <w:p>
      <w:pPr>
        <w:spacing w:line="540" w:lineRule="exact"/>
        <w:ind w:firstLine="600"/>
        <w:rPr>
          <w:rFonts w:ascii="宋体" w:hAnsi="宋体" w:cs="宋体"/>
          <w:sz w:val="24"/>
          <w:highlight w:val="none"/>
        </w:rPr>
      </w:pPr>
      <w:r>
        <w:rPr>
          <w:rFonts w:hint="eastAsia" w:ascii="宋体" w:hAnsi="宋体" w:cs="宋体"/>
          <w:sz w:val="24"/>
          <w:highlight w:val="none"/>
        </w:rPr>
        <w:t>根据《中华人民共和国民法典》，经甲、乙双方充分协商后达成如下协议条款：</w:t>
      </w:r>
    </w:p>
    <w:p>
      <w:pPr>
        <w:widowControl w:val="0"/>
        <w:spacing w:line="360" w:lineRule="auto"/>
        <w:ind w:left="0" w:leftChars="0" w:firstLine="482" w:firstLineChars="200"/>
        <w:rPr>
          <w:rFonts w:ascii="宋体" w:hAnsi="宋体" w:cs="宋体"/>
          <w:b/>
          <w:bCs/>
          <w:sz w:val="24"/>
          <w:highlight w:val="none"/>
        </w:rPr>
      </w:pPr>
      <w:r>
        <w:rPr>
          <w:rFonts w:hint="eastAsia" w:ascii="宋体" w:hAnsi="宋体" w:cs="宋体"/>
          <w:b/>
          <w:bCs/>
          <w:sz w:val="24"/>
          <w:highlight w:val="none"/>
        </w:rPr>
        <w:t>一、工程名称：</w:t>
      </w:r>
      <w:r>
        <w:rPr>
          <w:rFonts w:hint="eastAsia" w:ascii="宋体" w:hAnsi="宋体" w:eastAsia="宋体" w:cs="宋体"/>
          <w:color w:val="auto"/>
          <w:sz w:val="24"/>
          <w:szCs w:val="24"/>
          <w:highlight w:val="none"/>
        </w:rPr>
        <w:t>湖南港产科技有限公司</w:t>
      </w:r>
      <w:r>
        <w:rPr>
          <w:rFonts w:hint="eastAsia" w:ascii="宋体" w:hAnsi="宋体" w:cs="宋体"/>
          <w:bCs w:val="0"/>
          <w:sz w:val="24"/>
          <w:szCs w:val="24"/>
          <w:highlight w:val="none"/>
          <w:lang w:val="en-US" w:eastAsia="zh-CN"/>
        </w:rPr>
        <w:t>长沙集星集装箱码头</w:t>
      </w:r>
      <w:r>
        <w:rPr>
          <w:rFonts w:hint="eastAsia" w:ascii="宋体" w:hAnsi="宋体" w:cs="宋体"/>
          <w:bCs/>
          <w:sz w:val="24"/>
          <w:highlight w:val="none"/>
          <w:lang w:val="en-US" w:eastAsia="zh-CN"/>
        </w:rPr>
        <w:t>门机大车</w:t>
      </w:r>
      <w:r>
        <w:rPr>
          <w:rFonts w:hint="eastAsia" w:ascii="宋体" w:hAnsi="宋体" w:eastAsia="宋体" w:cs="宋体"/>
          <w:bCs w:val="0"/>
          <w:sz w:val="24"/>
          <w:szCs w:val="24"/>
          <w:highlight w:val="none"/>
          <w:lang w:val="en-US" w:eastAsia="zh-CN"/>
        </w:rPr>
        <w:t>轨道</w:t>
      </w:r>
      <w:r>
        <w:rPr>
          <w:rFonts w:hint="eastAsia" w:ascii="宋体" w:hAnsi="宋体" w:cs="宋体"/>
          <w:bCs w:val="0"/>
          <w:sz w:val="24"/>
          <w:szCs w:val="24"/>
          <w:highlight w:val="none"/>
          <w:lang w:val="en-US" w:eastAsia="zh-CN"/>
        </w:rPr>
        <w:t>提质改造劳务施工</w:t>
      </w:r>
      <w:r>
        <w:rPr>
          <w:rFonts w:hint="eastAsia" w:ascii="宋体" w:hAnsi="宋体" w:eastAsia="宋体" w:cs="宋体"/>
          <w:bCs w:val="0"/>
          <w:sz w:val="24"/>
          <w:szCs w:val="24"/>
          <w:highlight w:val="none"/>
        </w:rPr>
        <w:t>项目</w:t>
      </w:r>
    </w:p>
    <w:p>
      <w:pPr>
        <w:spacing w:line="480" w:lineRule="exact"/>
        <w:ind w:firstLine="482" w:firstLineChars="200"/>
        <w:rPr>
          <w:rFonts w:hint="default" w:ascii="宋体" w:hAnsi="宋体" w:cs="宋体"/>
          <w:b/>
          <w:bCs/>
          <w:sz w:val="24"/>
          <w:highlight w:val="none"/>
          <w:lang w:val="en-US"/>
        </w:rPr>
      </w:pPr>
      <w:r>
        <w:rPr>
          <w:rFonts w:hint="eastAsia" w:ascii="宋体" w:hAnsi="宋体" w:cs="宋体"/>
          <w:b/>
          <w:bCs/>
          <w:sz w:val="24"/>
          <w:highlight w:val="none"/>
        </w:rPr>
        <w:t>二、工程地点：</w:t>
      </w:r>
      <w:r>
        <w:rPr>
          <w:rFonts w:hint="eastAsia" w:ascii="宋体" w:hAnsi="宋体" w:cs="宋体"/>
          <w:bCs/>
          <w:sz w:val="24"/>
          <w:highlight w:val="none"/>
          <w:lang w:val="en-US" w:eastAsia="zh-CN"/>
        </w:rPr>
        <w:t>长沙集星集装箱码头有限公司</w:t>
      </w:r>
    </w:p>
    <w:p>
      <w:pPr>
        <w:spacing w:line="540" w:lineRule="exact"/>
        <w:ind w:firstLine="482" w:firstLineChars="200"/>
        <w:rPr>
          <w:rFonts w:ascii="宋体" w:hAnsi="宋体" w:cs="宋体"/>
          <w:b/>
          <w:bCs/>
          <w:sz w:val="24"/>
          <w:highlight w:val="none"/>
        </w:rPr>
      </w:pPr>
      <w:r>
        <w:rPr>
          <w:rFonts w:hint="eastAsia" w:ascii="宋体" w:hAnsi="宋体" w:cs="宋体"/>
          <w:b/>
          <w:bCs/>
          <w:sz w:val="24"/>
          <w:highlight w:val="none"/>
        </w:rPr>
        <w:t>三、工程范围及内容：</w:t>
      </w:r>
    </w:p>
    <w:p>
      <w:pPr>
        <w:spacing w:line="48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lang w:val="en-US" w:eastAsia="zh-CN"/>
        </w:rPr>
        <w:t>1、 分阶段</w:t>
      </w:r>
      <w:r>
        <w:rPr>
          <w:rFonts w:hint="eastAsia" w:ascii="宋体" w:hAnsi="宋体" w:eastAsia="宋体" w:cs="宋体"/>
          <w:bCs/>
          <w:sz w:val="24"/>
          <w:highlight w:val="none"/>
        </w:rPr>
        <w:t>拆除</w:t>
      </w:r>
      <w:r>
        <w:rPr>
          <w:rFonts w:hint="eastAsia" w:ascii="宋体" w:hAnsi="宋体" w:cs="宋体"/>
          <w:bCs/>
          <w:sz w:val="24"/>
          <w:highlight w:val="none"/>
          <w:lang w:val="en-US" w:eastAsia="zh-CN"/>
        </w:rPr>
        <w:t>门机大车</w:t>
      </w:r>
      <w:r>
        <w:rPr>
          <w:rFonts w:hint="eastAsia" w:ascii="宋体" w:hAnsi="宋体" w:eastAsia="宋体" w:cs="宋体"/>
          <w:bCs/>
          <w:sz w:val="24"/>
          <w:highlight w:val="none"/>
          <w:lang w:val="en-US" w:eastAsia="zh-CN"/>
        </w:rPr>
        <w:t>轨道；</w:t>
      </w:r>
    </w:p>
    <w:p>
      <w:pPr>
        <w:spacing w:line="48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sz w:val="24"/>
          <w:highlight w:val="none"/>
          <w:lang w:val="en-US" w:eastAsia="zh-CN"/>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破除找平层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清理轨道沟</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pPr>
        <w:spacing w:line="48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sz w:val="24"/>
          <w:highlight w:val="none"/>
          <w:lang w:val="en-US"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修复</w:t>
      </w:r>
      <w:r>
        <w:rPr>
          <w:rFonts w:hint="eastAsia" w:ascii="宋体" w:hAnsi="宋体" w:cs="宋体"/>
          <w:bCs/>
          <w:color w:val="000000" w:themeColor="text1"/>
          <w:sz w:val="24"/>
          <w:szCs w:val="24"/>
          <w:highlight w:val="none"/>
          <w:lang w:val="en-US" w:eastAsia="zh-CN"/>
          <w14:textFill>
            <w14:solidFill>
              <w14:schemeClr w14:val="tx1"/>
            </w14:solidFill>
          </w14:textFill>
        </w:rPr>
        <w:t>砼</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基础</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修复损坏螺杆，</w:t>
      </w:r>
      <w:r>
        <w:rPr>
          <w:rFonts w:hint="eastAsia" w:ascii="宋体" w:hAnsi="宋体" w:eastAsia="宋体" w:cs="宋体"/>
          <w:bCs/>
          <w:sz w:val="24"/>
          <w:szCs w:val="24"/>
          <w:highlight w:val="none"/>
          <w:lang w:val="en-US" w:eastAsia="zh-CN"/>
        </w:rPr>
        <w:t>更换轨道垫</w:t>
      </w:r>
      <w:r>
        <w:rPr>
          <w:rFonts w:hint="eastAsia" w:ascii="宋体" w:hAnsi="宋体" w:eastAsia="宋体" w:cs="宋体"/>
          <w:bCs/>
          <w:sz w:val="24"/>
          <w:szCs w:val="24"/>
          <w:highlight w:val="none"/>
          <w:lang w:eastAsia="zh-CN"/>
        </w:rPr>
        <w:t>，</w:t>
      </w:r>
      <w:r>
        <w:rPr>
          <w:rFonts w:hint="eastAsia" w:ascii="宋体" w:hAnsi="宋体" w:cs="宋体"/>
          <w:bCs/>
          <w:sz w:val="24"/>
          <w:szCs w:val="24"/>
          <w:highlight w:val="none"/>
          <w:lang w:val="en-US" w:eastAsia="zh-CN"/>
        </w:rPr>
        <w:t>通铺</w:t>
      </w:r>
      <w:r>
        <w:rPr>
          <w:rFonts w:hint="eastAsia" w:ascii="宋体" w:hAnsi="宋体" w:eastAsia="宋体" w:cs="宋体"/>
          <w:bCs/>
          <w:sz w:val="24"/>
          <w:szCs w:val="24"/>
          <w:highlight w:val="none"/>
          <w:lang w:val="en-US" w:eastAsia="zh-CN"/>
        </w:rPr>
        <w:t>钢板垫</w:t>
      </w:r>
      <w:r>
        <w:rPr>
          <w:rFonts w:hint="eastAsia" w:ascii="宋体" w:hAnsi="宋体" w:eastAsia="宋体" w:cs="宋体"/>
          <w:b/>
          <w:bCs w:val="0"/>
          <w:sz w:val="24"/>
          <w:szCs w:val="24"/>
          <w:highlight w:val="none"/>
          <w:lang w:val="en-US" w:eastAsia="zh-CN"/>
        </w:rPr>
        <w:t>;</w:t>
      </w:r>
    </w:p>
    <w:p>
      <w:pPr>
        <w:tabs>
          <w:tab w:val="left" w:pos="342"/>
        </w:tabs>
        <w:spacing w:line="480" w:lineRule="exact"/>
        <w:ind w:firstLine="480" w:firstLineChars="200"/>
        <w:rPr>
          <w:rFonts w:ascii="宋体" w:hAnsi="宋体"/>
          <w:b/>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sz w:val="24"/>
          <w:highlight w:val="none"/>
          <w:lang w:val="en-US" w:eastAsia="zh-CN"/>
        </w:rPr>
        <w:t>、</w:t>
      </w:r>
      <w:r>
        <w:rPr>
          <w:rFonts w:hint="eastAsia" w:ascii="宋体" w:hAnsi="宋体" w:eastAsia="宋体" w:cs="宋体"/>
          <w:bCs/>
          <w:sz w:val="24"/>
          <w:highlight w:val="none"/>
          <w:lang w:val="en-US" w:eastAsia="zh-CN"/>
        </w:rPr>
        <w:t xml:space="preserve"> </w:t>
      </w:r>
      <w:r>
        <w:rPr>
          <w:rFonts w:hint="eastAsia" w:ascii="宋体" w:hAnsi="宋体" w:cs="宋体"/>
          <w:bCs/>
          <w:sz w:val="24"/>
          <w:highlight w:val="none"/>
          <w:lang w:val="en-US" w:eastAsia="zh-CN"/>
        </w:rPr>
        <w:t>轨道焊联</w:t>
      </w:r>
      <w:r>
        <w:rPr>
          <w:rFonts w:hint="eastAsia" w:ascii="宋体" w:hAnsi="宋体" w:eastAsia="宋体" w:cs="宋体"/>
          <w:bCs/>
          <w:sz w:val="24"/>
          <w:highlight w:val="none"/>
          <w:lang w:val="en-US" w:eastAsia="zh-CN"/>
        </w:rPr>
        <w:t>安装并调</w:t>
      </w:r>
      <w:r>
        <w:rPr>
          <w:rFonts w:hint="eastAsia" w:ascii="宋体" w:hAnsi="宋体" w:cs="宋体"/>
          <w:bCs/>
          <w:sz w:val="24"/>
          <w:highlight w:val="none"/>
          <w:lang w:val="en-US" w:eastAsia="zh-CN"/>
        </w:rPr>
        <w:t>整</w:t>
      </w:r>
      <w:r>
        <w:rPr>
          <w:rFonts w:hint="eastAsia" w:ascii="宋体" w:hAnsi="宋体" w:eastAsia="宋体" w:cs="宋体"/>
          <w:bCs/>
          <w:sz w:val="24"/>
          <w:highlight w:val="none"/>
          <w:lang w:val="en-US" w:eastAsia="zh-CN"/>
        </w:rPr>
        <w:t>轨道，技术指导</w:t>
      </w:r>
      <w:r>
        <w:rPr>
          <w:rFonts w:hint="eastAsia" w:ascii="宋体" w:hAnsi="宋体" w:eastAsia="宋体" w:cs="宋体"/>
          <w:bCs/>
          <w:sz w:val="24"/>
          <w:szCs w:val="24"/>
          <w:highlight w:val="none"/>
          <w:lang w:val="en-US" w:eastAsia="zh-CN"/>
        </w:rPr>
        <w:t>下调整全线轨道平直度</w:t>
      </w:r>
      <w:r>
        <w:rPr>
          <w:rFonts w:hint="eastAsia" w:ascii="宋体" w:hAnsi="宋体" w:eastAsia="宋体" w:cs="宋体"/>
          <w:b/>
          <w:bCs w:val="0"/>
          <w:sz w:val="24"/>
          <w:szCs w:val="24"/>
          <w:highlight w:val="none"/>
          <w:lang w:val="en-US" w:eastAsia="zh-CN"/>
        </w:rPr>
        <w:t>;</w:t>
      </w:r>
    </w:p>
    <w:p>
      <w:pPr>
        <w:pStyle w:val="17"/>
        <w:ind w:left="0" w:leftChars="0" w:firstLine="480" w:firstLineChars="200"/>
        <w:rPr>
          <w:rFonts w:hint="default"/>
          <w:b w:val="0"/>
          <w:bCs w:val="0"/>
          <w:lang w:val="en-US" w:eastAsia="zh-CN"/>
        </w:rPr>
      </w:pPr>
      <w:r>
        <w:rPr>
          <w:rFonts w:hint="eastAsia" w:hAnsi="宋体"/>
          <w:b w:val="0"/>
          <w:bCs w:val="0"/>
          <w:sz w:val="24"/>
          <w:highlight w:val="none"/>
          <w:lang w:val="en-US" w:eastAsia="zh-CN"/>
        </w:rPr>
        <w:t>5、 垃圾清运。</w:t>
      </w:r>
    </w:p>
    <w:p>
      <w:pPr>
        <w:spacing w:line="480" w:lineRule="exact"/>
        <w:ind w:firstLine="600"/>
        <w:rPr>
          <w:rFonts w:hint="default" w:ascii="宋体" w:hAnsi="宋体" w:eastAsia="宋体" w:cs="宋体"/>
          <w:bCs/>
          <w:sz w:val="24"/>
          <w:highlight w:val="none"/>
          <w:lang w:val="en-US" w:eastAsia="zh-CN"/>
        </w:rPr>
      </w:pPr>
      <w:r>
        <w:rPr>
          <w:rFonts w:hint="eastAsia" w:ascii="宋体" w:hAnsi="宋体" w:cs="宋体"/>
          <w:bCs/>
          <w:sz w:val="24"/>
          <w:highlight w:val="none"/>
        </w:rPr>
        <w:t>施工项目及工程量内容如下：</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所有工程量以现场实际工作量为准）</w:t>
      </w:r>
    </w:p>
    <w:tbl>
      <w:tblPr>
        <w:tblStyle w:val="19"/>
        <w:tblpPr w:leftFromText="180" w:rightFromText="180" w:vertAnchor="text" w:horzAnchor="page" w:tblpXSpec="center" w:tblpY="37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3293"/>
        <w:gridCol w:w="1508"/>
        <w:gridCol w:w="139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highlight w:val="none"/>
                <w:lang w:val="en-US" w:eastAsia="zh-CN" w:bidi="ar"/>
              </w:rPr>
            </w:pPr>
            <w:r>
              <w:rPr>
                <w:rFonts w:hint="eastAsia" w:ascii="宋体" w:hAnsi="宋体" w:cs="宋体"/>
                <w:sz w:val="24"/>
                <w:highlight w:val="none"/>
                <w:lang w:val="en-US" w:eastAsia="zh-CN" w:bidi="ar"/>
              </w:rPr>
              <w:t>序号</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highlight w:val="none"/>
                <w:lang w:bidi="ar"/>
              </w:rPr>
            </w:pPr>
            <w:r>
              <w:rPr>
                <w:rFonts w:hint="eastAsia" w:ascii="宋体" w:hAnsi="宋体" w:cs="宋体"/>
                <w:sz w:val="24"/>
                <w:highlight w:val="none"/>
                <w:lang w:bidi="ar"/>
              </w:rPr>
              <w:t>承接工程项目</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highlight w:val="none"/>
                <w:lang w:bidi="ar"/>
              </w:rPr>
            </w:pPr>
            <w:r>
              <w:rPr>
                <w:rFonts w:hint="eastAsia" w:ascii="宋体" w:hAnsi="宋体" w:cs="宋体"/>
                <w:sz w:val="24"/>
                <w:highlight w:val="none"/>
                <w:lang w:val="en-US" w:eastAsia="zh-CN" w:bidi="ar"/>
              </w:rPr>
              <w:t>型号</w:t>
            </w:r>
          </w:p>
        </w:tc>
        <w:tc>
          <w:tcPr>
            <w:tcW w:w="821"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sz w:val="24"/>
                <w:highlight w:val="none"/>
                <w:lang w:val="en-US" w:eastAsia="zh-CN" w:bidi="ar"/>
              </w:rPr>
            </w:pPr>
            <w:r>
              <w:rPr>
                <w:rFonts w:hint="eastAsia" w:ascii="宋体" w:hAnsi="宋体" w:cs="宋体"/>
                <w:sz w:val="24"/>
                <w:highlight w:val="none"/>
                <w:lang w:val="en-US" w:eastAsia="zh-CN" w:bidi="ar"/>
              </w:rPr>
              <w:t>单位</w:t>
            </w:r>
          </w:p>
        </w:tc>
        <w:tc>
          <w:tcPr>
            <w:tcW w:w="692"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1</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沥青砂破除</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sz w:val="24"/>
                <w:highlight w:val="none"/>
                <w:lang w:val="en-US" w:eastAsia="zh-CN" w:bidi="ar"/>
              </w:rPr>
            </w:pPr>
          </w:p>
        </w:tc>
        <w:tc>
          <w:tcPr>
            <w:tcW w:w="821"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ind w:firstLine="480" w:firstLineChars="200"/>
              <w:jc w:val="both"/>
              <w:textAlignment w:val="auto"/>
              <w:rPr>
                <w:rFonts w:hint="default" w:ascii="宋体" w:hAnsi="宋体" w:cs="宋体"/>
                <w:i w:val="0"/>
                <w:iCs w:val="0"/>
                <w:kern w:val="2"/>
                <w:sz w:val="24"/>
                <w:szCs w:val="24"/>
                <w:highlight w:val="none"/>
                <w:u w:val="none"/>
                <w:lang w:val="en-US" w:eastAsia="zh-CN" w:bidi="ar"/>
              </w:rPr>
            </w:pPr>
            <w:r>
              <w:rPr>
                <w:rFonts w:hint="eastAsia" w:ascii="宋体" w:hAnsi="宋体" w:cs="宋体"/>
                <w:i w:val="0"/>
                <w:iCs w:val="0"/>
                <w:kern w:val="2"/>
                <w:sz w:val="24"/>
                <w:szCs w:val="24"/>
                <w:highlight w:val="none"/>
                <w:u w:val="none"/>
                <w:lang w:val="en-US" w:eastAsia="zh-CN" w:bidi="ar"/>
              </w:rPr>
              <w:t>米</w:t>
            </w:r>
          </w:p>
        </w:tc>
        <w:tc>
          <w:tcPr>
            <w:tcW w:w="692" w:type="pct"/>
            <w:tcBorders>
              <w:top w:val="single" w:color="auto" w:sz="4" w:space="0"/>
              <w:left w:val="single" w:color="auto" w:sz="4" w:space="0"/>
              <w:bottom w:val="single" w:color="auto" w:sz="4" w:space="0"/>
              <w:right w:val="single" w:color="auto" w:sz="4" w:space="0"/>
            </w:tcBorders>
            <w:shd w:val="clear" w:color="auto" w:fill="auto"/>
          </w:tcPr>
          <w:p>
            <w:pPr>
              <w:ind w:firstLine="240" w:firstLineChars="100"/>
              <w:jc w:val="both"/>
              <w:rPr>
                <w:rFonts w:hint="default" w:ascii="宋体" w:hAnsi="宋体" w:cs="宋体"/>
                <w:sz w:val="24"/>
                <w:highlight w:val="none"/>
                <w:lang w:val="en-US" w:eastAsia="zh-CN"/>
              </w:rPr>
            </w:pPr>
            <w:r>
              <w:rPr>
                <w:rFonts w:hint="eastAsia" w:ascii="宋体" w:hAnsi="宋体" w:cs="宋体"/>
                <w:sz w:val="24"/>
                <w:highlight w:val="none"/>
                <w:lang w:val="en-US" w:eastAsia="zh-CN"/>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2</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eastAsia" w:ascii="宋体" w:hAnsi="宋体" w:cs="宋体"/>
                <w:sz w:val="24"/>
                <w:highlight w:val="none"/>
                <w:lang w:bidi="ar"/>
              </w:rPr>
            </w:pPr>
            <w:r>
              <w:rPr>
                <w:rFonts w:hint="eastAsia" w:ascii="宋体" w:hAnsi="宋体" w:eastAsia="宋体" w:cs="宋体"/>
                <w:i w:val="0"/>
                <w:iCs w:val="0"/>
                <w:color w:val="auto"/>
                <w:kern w:val="2"/>
                <w:sz w:val="24"/>
                <w:szCs w:val="24"/>
                <w:highlight w:val="none"/>
                <w:u w:val="none"/>
                <w:lang w:val="en-US" w:eastAsia="zh-CN" w:bidi="ar"/>
              </w:rPr>
              <w:t>轨道拆除</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sz w:val="24"/>
                <w:highlight w:val="none"/>
                <w:lang w:val="en-US" w:bidi="ar"/>
              </w:rPr>
            </w:pPr>
            <w:r>
              <w:rPr>
                <w:rFonts w:hint="eastAsia" w:ascii="宋体" w:hAnsi="宋体" w:cs="宋体"/>
                <w:sz w:val="24"/>
                <w:highlight w:val="none"/>
                <w:lang w:val="en-US" w:eastAsia="zh-CN" w:bidi="ar"/>
              </w:rPr>
              <w:t>QU80</w:t>
            </w:r>
          </w:p>
        </w:tc>
        <w:tc>
          <w:tcPr>
            <w:tcW w:w="821"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auto"/>
              <w:rPr>
                <w:rFonts w:hint="default" w:ascii="宋体" w:hAnsi="宋体" w:eastAsia="宋体" w:cs="宋体"/>
                <w:i w:val="0"/>
                <w:iCs w:val="0"/>
                <w:kern w:val="2"/>
                <w:sz w:val="24"/>
                <w:szCs w:val="24"/>
                <w:highlight w:val="none"/>
                <w:u w:val="none"/>
                <w:lang w:val="en-US" w:eastAsia="zh-CN" w:bidi="ar"/>
              </w:rPr>
            </w:pPr>
            <w:r>
              <w:rPr>
                <w:rFonts w:hint="eastAsia" w:ascii="宋体" w:hAnsi="宋体" w:cs="宋体"/>
                <w:i w:val="0"/>
                <w:iCs w:val="0"/>
                <w:kern w:val="2"/>
                <w:sz w:val="24"/>
                <w:szCs w:val="24"/>
                <w:highlight w:val="none"/>
                <w:u w:val="none"/>
                <w:lang w:val="en-US" w:eastAsia="zh-CN" w:bidi="ar"/>
              </w:rPr>
              <w:t>米</w:t>
            </w:r>
          </w:p>
        </w:tc>
        <w:tc>
          <w:tcPr>
            <w:tcW w:w="692"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555"/>
              </w:tabs>
              <w:jc w:val="center"/>
              <w:textAlignment w:val="auto"/>
              <w:rPr>
                <w:rFonts w:hint="default" w:ascii="宋体" w:hAnsi="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3</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轨道沟砼破除基础</w:t>
            </w:r>
            <w:r>
              <w:rPr>
                <w:rFonts w:hint="eastAsia" w:ascii="宋体" w:hAnsi="宋体" w:eastAsia="宋体" w:cs="宋体"/>
                <w:i w:val="0"/>
                <w:iCs w:val="0"/>
                <w:color w:val="auto"/>
                <w:kern w:val="2"/>
                <w:sz w:val="24"/>
                <w:szCs w:val="24"/>
                <w:highlight w:val="none"/>
                <w:u w:val="none"/>
                <w:lang w:val="en-US" w:eastAsia="zh-CN" w:bidi="ar"/>
              </w:rPr>
              <w:t>修复</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sz w:val="24"/>
                <w:highlight w:val="none"/>
                <w:lang w:val="en-US" w:eastAsia="zh-CN" w:bidi="ar"/>
              </w:rPr>
            </w:pPr>
          </w:p>
        </w:tc>
        <w:tc>
          <w:tcPr>
            <w:tcW w:w="821"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auto"/>
              <w:rPr>
                <w:rFonts w:hint="default" w:ascii="宋体" w:hAnsi="宋体" w:cs="宋体"/>
                <w:sz w:val="24"/>
                <w:highlight w:val="none"/>
                <w:lang w:val="en-US" w:eastAsia="zh-CN" w:bidi="ar"/>
              </w:rPr>
            </w:pPr>
            <w:r>
              <w:rPr>
                <w:rFonts w:hint="eastAsia" w:ascii="宋体" w:hAnsi="宋体" w:cs="宋体"/>
                <w:sz w:val="24"/>
                <w:highlight w:val="none"/>
                <w:lang w:val="en-US" w:eastAsia="zh-CN" w:bidi="ar"/>
              </w:rPr>
              <w:t>米</w:t>
            </w:r>
          </w:p>
        </w:tc>
        <w:tc>
          <w:tcPr>
            <w:tcW w:w="692"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4</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螺杆修复</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ascii="宋体" w:hAnsi="宋体" w:cs="宋体"/>
                <w:sz w:val="24"/>
                <w:highlight w:val="none"/>
                <w:lang w:bidi="ar"/>
              </w:rPr>
            </w:pPr>
          </w:p>
        </w:tc>
        <w:tc>
          <w:tcPr>
            <w:tcW w:w="821"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ind w:firstLine="480" w:firstLineChars="200"/>
              <w:jc w:val="both"/>
              <w:textAlignment w:val="auto"/>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个</w:t>
            </w:r>
          </w:p>
        </w:tc>
        <w:tc>
          <w:tcPr>
            <w:tcW w:w="692"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5</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通铺钢垫板</w:t>
            </w:r>
          </w:p>
        </w:tc>
        <w:tc>
          <w:tcPr>
            <w:tcW w:w="885"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p>
        </w:tc>
        <w:tc>
          <w:tcPr>
            <w:tcW w:w="8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eastAsia="宋体" w:cs="宋体"/>
                <w:kern w:val="2"/>
                <w:sz w:val="24"/>
                <w:highlight w:val="none"/>
                <w:lang w:val="en-US" w:eastAsia="zh-CN" w:bidi="ar"/>
              </w:rPr>
            </w:pPr>
            <w:r>
              <w:rPr>
                <w:rFonts w:hint="eastAsia" w:ascii="宋体" w:hAnsi="宋体" w:cs="宋体"/>
                <w:kern w:val="2"/>
                <w:sz w:val="24"/>
                <w:highlight w:val="none"/>
                <w:lang w:val="en-US" w:eastAsia="zh-CN" w:bidi="ar"/>
              </w:rPr>
              <w:t>件</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5</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sz w:val="24"/>
                <w:highlight w:val="none"/>
                <w:lang w:val="en-US" w:bidi="ar"/>
              </w:rPr>
            </w:pPr>
            <w:r>
              <w:rPr>
                <w:rFonts w:hint="eastAsia" w:ascii="宋体" w:hAnsi="宋体" w:cs="宋体"/>
                <w:i w:val="0"/>
                <w:iCs w:val="0"/>
                <w:color w:val="auto"/>
                <w:kern w:val="2"/>
                <w:sz w:val="24"/>
                <w:szCs w:val="24"/>
                <w:highlight w:val="none"/>
                <w:u w:val="none"/>
                <w:lang w:val="en-US" w:eastAsia="zh-CN" w:bidi="ar"/>
              </w:rPr>
              <w:t>灌注轨道胶泥</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sz w:val="24"/>
                <w:highlight w:val="none"/>
                <w:lang w:val="en-US" w:bidi="ar"/>
              </w:rPr>
            </w:pPr>
          </w:p>
        </w:tc>
        <w:tc>
          <w:tcPr>
            <w:tcW w:w="821"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line="720" w:lineRule="auto"/>
              <w:jc w:val="center"/>
              <w:textAlignment w:val="auto"/>
              <w:rPr>
                <w:rFonts w:hint="default" w:ascii="宋体" w:hAnsi="宋体" w:eastAsia="宋体" w:cs="宋体"/>
                <w:i w:val="0"/>
                <w:iCs w:val="0"/>
                <w:kern w:val="2"/>
                <w:sz w:val="24"/>
                <w:szCs w:val="24"/>
                <w:highlight w:val="none"/>
                <w:u w:val="none"/>
                <w:lang w:val="en-US" w:eastAsia="zh-CN" w:bidi="ar"/>
              </w:rPr>
            </w:pPr>
            <w:r>
              <w:rPr>
                <w:rFonts w:hint="eastAsia" w:ascii="宋体" w:hAnsi="宋体" w:cs="宋体"/>
                <w:i w:val="0"/>
                <w:iCs w:val="0"/>
                <w:kern w:val="2"/>
                <w:sz w:val="24"/>
                <w:szCs w:val="24"/>
                <w:highlight w:val="none"/>
                <w:u w:val="none"/>
                <w:lang w:val="en-US" w:eastAsia="zh-CN" w:bidi="ar"/>
              </w:rPr>
              <w:t>吨</w:t>
            </w:r>
          </w:p>
        </w:tc>
        <w:tc>
          <w:tcPr>
            <w:tcW w:w="692" w:type="pct"/>
            <w:tcBorders>
              <w:top w:val="single" w:color="auto" w:sz="4" w:space="0"/>
              <w:left w:val="single" w:color="auto" w:sz="4" w:space="0"/>
              <w:bottom w:val="single" w:color="auto" w:sz="4" w:space="0"/>
              <w:right w:val="single" w:color="auto" w:sz="4" w:space="0"/>
            </w:tcBorders>
            <w:shd w:val="clear" w:color="auto" w:fill="auto"/>
          </w:tcPr>
          <w:p>
            <w:pPr>
              <w:spacing w:line="72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6</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轨道焊联</w:t>
            </w:r>
          </w:p>
        </w:tc>
        <w:tc>
          <w:tcPr>
            <w:tcW w:w="885"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p>
        </w:tc>
        <w:tc>
          <w:tcPr>
            <w:tcW w:w="8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eastAsia="宋体" w:cs="宋体"/>
                <w:kern w:val="2"/>
                <w:sz w:val="24"/>
                <w:highlight w:val="none"/>
                <w:lang w:val="en-US" w:eastAsia="zh-CN" w:bidi="ar"/>
              </w:rPr>
            </w:pPr>
            <w:r>
              <w:rPr>
                <w:rFonts w:hint="eastAsia" w:ascii="宋体" w:hAnsi="宋体" w:cs="宋体"/>
                <w:kern w:val="2"/>
                <w:sz w:val="24"/>
                <w:highlight w:val="none"/>
                <w:lang w:val="en-US" w:eastAsia="zh-CN" w:bidi="ar"/>
              </w:rPr>
              <w:t>个</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cs="宋体"/>
                <w:color w:val="000000"/>
                <w:kern w:val="0"/>
                <w:sz w:val="24"/>
                <w:highlight w:val="none"/>
                <w:lang w:val="en-US" w:bidi="ar"/>
              </w:rPr>
            </w:pPr>
            <w:r>
              <w:rPr>
                <w:rFonts w:hint="eastAsia" w:ascii="宋体" w:hAnsi="宋体" w:cs="宋体"/>
                <w:color w:val="000000"/>
                <w:kern w:val="0"/>
                <w:sz w:val="24"/>
                <w:highlight w:val="none"/>
                <w:lang w:val="en-US" w:eastAsia="zh-CN" w:bidi="ar"/>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7</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铺设调整轨道</w:t>
            </w:r>
          </w:p>
        </w:tc>
        <w:tc>
          <w:tcPr>
            <w:tcW w:w="885"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p>
        </w:tc>
        <w:tc>
          <w:tcPr>
            <w:tcW w:w="8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eastAsia="宋体" w:cs="宋体"/>
                <w:kern w:val="2"/>
                <w:sz w:val="24"/>
                <w:highlight w:val="none"/>
                <w:lang w:val="en-US" w:eastAsia="zh-CN" w:bidi="ar"/>
              </w:rPr>
            </w:pPr>
            <w:r>
              <w:rPr>
                <w:rFonts w:hint="eastAsia" w:ascii="宋体" w:hAnsi="宋体" w:cs="宋体"/>
                <w:kern w:val="2"/>
                <w:sz w:val="24"/>
                <w:highlight w:val="none"/>
                <w:lang w:val="en-US" w:eastAsia="zh-CN" w:bidi="ar"/>
              </w:rPr>
              <w:t>米</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8</w:t>
            </w:r>
          </w:p>
        </w:tc>
        <w:tc>
          <w:tcPr>
            <w:tcW w:w="19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垃圾清运</w:t>
            </w:r>
          </w:p>
        </w:tc>
        <w:tc>
          <w:tcPr>
            <w:tcW w:w="885"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p>
        </w:tc>
        <w:tc>
          <w:tcPr>
            <w:tcW w:w="8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eastAsia="宋体" w:cs="宋体"/>
                <w:kern w:val="2"/>
                <w:sz w:val="24"/>
                <w:highlight w:val="none"/>
                <w:lang w:val="en-US" w:eastAsia="zh-CN" w:bidi="ar"/>
              </w:rPr>
            </w:pPr>
            <w:r>
              <w:rPr>
                <w:rFonts w:hint="eastAsia" w:ascii="宋体" w:hAnsi="宋体" w:cs="宋体"/>
                <w:kern w:val="2"/>
                <w:sz w:val="24"/>
                <w:highlight w:val="none"/>
                <w:lang w:val="en-US" w:eastAsia="zh-CN" w:bidi="ar"/>
              </w:rPr>
              <w:t>m³</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75.6</w:t>
            </w:r>
          </w:p>
        </w:tc>
      </w:tr>
    </w:tbl>
    <w:p>
      <w:pPr>
        <w:numPr>
          <w:ilvl w:val="0"/>
          <w:numId w:val="2"/>
        </w:numPr>
        <w:spacing w:line="540" w:lineRule="exact"/>
        <w:ind w:firstLine="482" w:firstLineChars="200"/>
        <w:outlineLvl w:val="1"/>
        <w:rPr>
          <w:rFonts w:ascii="宋体" w:hAnsi="宋体" w:cs="宋体"/>
          <w:sz w:val="24"/>
          <w:highlight w:val="none"/>
        </w:rPr>
      </w:pPr>
      <w:bookmarkStart w:id="191" w:name="_Toc13928"/>
      <w:bookmarkStart w:id="192" w:name="_Toc15673"/>
      <w:r>
        <w:rPr>
          <w:rFonts w:hint="eastAsia" w:ascii="宋体" w:hAnsi="宋体" w:cs="宋体"/>
          <w:b/>
          <w:bCs/>
          <w:sz w:val="24"/>
          <w:highlight w:val="none"/>
        </w:rPr>
        <w:t>合同工期：</w:t>
      </w:r>
      <w:bookmarkEnd w:id="191"/>
      <w:bookmarkEnd w:id="19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1、总工期    天，计划开工日期：     年   月   日，计划完工日期    年    月   日 。确保达到约定的合同工期。</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2、因业主原因致使工期延误，经业主认可工期可顺延，乙方进度应满足变更后的总工期目标。因乙方原因影响工期，每延误一天，罚款    元。</w:t>
      </w:r>
    </w:p>
    <w:p>
      <w:pPr>
        <w:spacing w:line="540" w:lineRule="exact"/>
        <w:ind w:firstLine="600"/>
        <w:outlineLvl w:val="1"/>
        <w:rPr>
          <w:rFonts w:ascii="宋体" w:hAnsi="宋体" w:cs="宋体"/>
          <w:b/>
          <w:bCs/>
          <w:sz w:val="24"/>
          <w:highlight w:val="none"/>
        </w:rPr>
      </w:pPr>
      <w:bookmarkStart w:id="193" w:name="_Toc27838"/>
      <w:bookmarkStart w:id="194" w:name="_Toc17890"/>
      <w:r>
        <w:rPr>
          <w:rFonts w:hint="eastAsia" w:ascii="宋体" w:hAnsi="宋体" w:cs="宋体"/>
          <w:b/>
          <w:bCs/>
          <w:sz w:val="24"/>
          <w:highlight w:val="none"/>
        </w:rPr>
        <w:t>五、工程质量与保修：</w:t>
      </w:r>
      <w:bookmarkEnd w:id="193"/>
      <w:bookmarkEnd w:id="19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1、本工程的施工质量必须达到国家起重机钢轨安装GB3426-82相关规定的标准要求。</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2、乙方必须严格按照甲方质量管理体系的要求，进行工程质量控制，并按甲方的有关要求填报相关表格，交甲方整理存档。</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3、所承包的工程结束，满足安全性、可靠性、使用性能的要求（开工前签订安全施工责任合同），符合国家最新相关施工验收规范、检验标准的要求。</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4、工程质量保修期按从竣工验收合格后18个月执行。工程质量保修期起始日期自竣工验收报告签署之日起。</w:t>
      </w:r>
    </w:p>
    <w:p>
      <w:pPr>
        <w:spacing w:line="540" w:lineRule="exact"/>
        <w:ind w:firstLine="600"/>
        <w:outlineLvl w:val="1"/>
        <w:rPr>
          <w:rFonts w:ascii="宋体" w:hAnsi="宋体" w:cs="宋体"/>
          <w:b/>
          <w:bCs/>
          <w:sz w:val="24"/>
          <w:highlight w:val="none"/>
        </w:rPr>
      </w:pPr>
      <w:bookmarkStart w:id="195" w:name="_Toc9584"/>
      <w:bookmarkStart w:id="196" w:name="_Toc23797"/>
      <w:r>
        <w:rPr>
          <w:rFonts w:hint="eastAsia" w:ascii="宋体" w:hAnsi="宋体" w:cs="宋体"/>
          <w:b/>
          <w:bCs/>
          <w:sz w:val="24"/>
          <w:highlight w:val="none"/>
        </w:rPr>
        <w:t>六、环境保护与工程施工安全</w:t>
      </w:r>
      <w:bookmarkEnd w:id="195"/>
      <w:bookmarkEnd w:id="19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乙方必须严格按照甲方环境管理体系的要求进行管理，对环境污染的控制，严格按照ISO14001环境管理体系的执行，减少在施工过程中对环境产生污染的污染源，对于施工过程中实际产生的污染源则应采取积极措施，尽量减少对周边环境的影响。并按甲方的有关要求填报相关资料。</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乙方必须严格按照甲方职业健康安全管理体系要求，对工程施工过程中职业健康安全进行严格管理，杜绝重大伤亡事故，加强对施工人员的职业健康安全教育，严格按照甲方职业健康安全管理体系要求填报有关资料。</w:t>
      </w:r>
    </w:p>
    <w:p>
      <w:pPr>
        <w:spacing w:line="540" w:lineRule="exact"/>
        <w:ind w:firstLine="600"/>
        <w:outlineLvl w:val="1"/>
        <w:rPr>
          <w:rFonts w:ascii="宋体" w:hAnsi="宋体" w:cs="宋体"/>
          <w:b/>
          <w:bCs/>
          <w:sz w:val="24"/>
          <w:highlight w:val="none"/>
        </w:rPr>
      </w:pPr>
      <w:bookmarkStart w:id="197" w:name="_Toc1516"/>
      <w:bookmarkStart w:id="198" w:name="_Toc10312"/>
      <w:r>
        <w:rPr>
          <w:rFonts w:hint="eastAsia" w:ascii="宋体" w:hAnsi="宋体" w:cs="宋体"/>
          <w:b/>
          <w:bCs/>
          <w:sz w:val="24"/>
          <w:highlight w:val="none"/>
        </w:rPr>
        <w:t>七、承包方式、合同价款与支付</w:t>
      </w:r>
      <w:bookmarkEnd w:id="197"/>
      <w:bookmarkEnd w:id="19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1、本合同为施工总价合同，包工不包料。合同价款包干价     元（大写：       整）。（含   增值税）。</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本工程采用包工、包质量、包安全生产和安全保卫、包文明施工，综合单价包干的方式进行承包。</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综合单价包括：相应所有直接费、各种技术措施费用、伙食费、交通费、管理费、利润、安全文明施工费、冬雨季施工增加费、社会保险费、规费、税金（一般纳税人）、从指定的水电接驳点接水接电费用及夜间施工照明费用、合同工期内的赶工费、各种施工风险因素后的综合单价；</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工程款支付：本工程预付30%工程款。</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（1）工程全部完工并验收合格一个月内，银行转账支付至合同价款的97% 。</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（2）剩余3%质量保证金，质保期满后一次性支付给乙方，质保期为18个月。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2、工程结算编制、审核按甲方有关要求办理。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3、乙方向甲方提供与工程款等额税率为3%专用发票。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4、结算条件：</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（1）工程质量验评合格；</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（2）结算资料应完整齐全、准确、有效、符合有关计算规则。</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bookmarkStart w:id="199" w:name="_Toc17509"/>
      <w:r>
        <w:rPr>
          <w:rFonts w:hint="eastAsia" w:ascii="宋体" w:hAnsi="宋体" w:eastAsia="宋体" w:cs="宋体"/>
          <w:bCs/>
          <w:color w:val="000000"/>
          <w:sz w:val="24"/>
          <w:szCs w:val="24"/>
          <w:highlight w:val="none"/>
          <w:lang w:val="en-US" w:eastAsia="zh-CN"/>
        </w:rPr>
        <w:t>5、本合同施工范围外的增加工程量另行协商。</w:t>
      </w:r>
      <w:bookmarkEnd w:id="199"/>
    </w:p>
    <w:p>
      <w:pPr>
        <w:spacing w:line="540" w:lineRule="exact"/>
        <w:ind w:firstLine="600"/>
        <w:outlineLvl w:val="1"/>
        <w:rPr>
          <w:rFonts w:ascii="宋体" w:hAnsi="宋体" w:cs="宋体"/>
          <w:b/>
          <w:bCs/>
          <w:sz w:val="24"/>
          <w:highlight w:val="none"/>
        </w:rPr>
      </w:pPr>
      <w:bookmarkStart w:id="200" w:name="_Toc4364"/>
      <w:bookmarkStart w:id="201" w:name="_Toc20711"/>
      <w:r>
        <w:rPr>
          <w:rFonts w:hint="eastAsia" w:ascii="宋体" w:hAnsi="宋体" w:cs="宋体"/>
          <w:b/>
          <w:bCs/>
          <w:sz w:val="24"/>
          <w:highlight w:val="none"/>
        </w:rPr>
        <w:t>八、双方责任和权利：</w:t>
      </w:r>
      <w:bookmarkEnd w:id="200"/>
      <w:bookmarkEnd w:id="201"/>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甲方责任和权利：</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1、委派      为甲方驻施工现场代表，履行甲方职责与权力。</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2、配合乙方做好与本工程有关的协调工作。提供施工技术资料（包括设计图纸、水准点、坐标控制点），并现场交底，明确施工场地范围。</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3、对乙方承包的工程从技术、质量安全、进度和文明施工方面进行监督、检查和指导。</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乙方承诺已对合同中约定的建设工程施工规程规范及甲方项目管理有关规定均已了解并愿意遵照执行。甲方相关部门有权对乙方项目管理和施工进行监督检查，并对违反本合同和国家有关建设工程施工规程规范以及甲方项目管理有关规定的行为进行经济处罚。</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5、组织工程竣工验收，并办理好工程交接管理手续。</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6、负责并组织质量监督检测单位进行基础、承重构件等测试工作。</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乙方责任和权利：</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bookmarkStart w:id="202" w:name="_Toc13906"/>
      <w:r>
        <w:rPr>
          <w:rFonts w:hint="eastAsia" w:ascii="宋体" w:hAnsi="宋体" w:eastAsia="宋体" w:cs="宋体"/>
          <w:bCs/>
          <w:color w:val="000000"/>
          <w:sz w:val="24"/>
          <w:szCs w:val="24"/>
          <w:highlight w:val="none"/>
          <w:lang w:val="en-US" w:eastAsia="zh-CN"/>
        </w:rPr>
        <w:t>1、委派     为工地负责人，负责合同的实施。</w:t>
      </w:r>
      <w:bookmarkEnd w:id="202"/>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2、接受甲方、监理及当地政府建设管理部门的管理、监督，做好责任范围内的治安工作。</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3、质量、安全、生产、环保、健康必须对甲方负责，做到文明施工、环保生产、防止质量安全事故的发生。因事故所造成的一切经济、声誉损失，由乙方自己承担。</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4、乙方不得以甲方名义在外赊借任何款项。乙方在外所发生的任何债务和法律纠纷与甲方无关。</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5、保证工程质量和安全生产费用的投入，抓好安全生产。因工程质量不合格造成返工所发生的费用，以及因安全事故造成的各种经济损失，全部由乙方承担，甲方不承担任何经济责任。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6、因乙方责任，造成施工合同无法实施时，甲方有权单方面解除合同，乙方并承担由此而发生的一切后果。</w:t>
      </w:r>
    </w:p>
    <w:p>
      <w:pPr>
        <w:spacing w:line="540" w:lineRule="exact"/>
        <w:ind w:firstLine="600"/>
        <w:outlineLvl w:val="1"/>
        <w:rPr>
          <w:rFonts w:ascii="宋体" w:hAnsi="宋体" w:cs="宋体"/>
          <w:b/>
          <w:bCs/>
          <w:sz w:val="24"/>
          <w:highlight w:val="none"/>
        </w:rPr>
      </w:pPr>
      <w:bookmarkStart w:id="203" w:name="_Toc31361"/>
      <w:bookmarkStart w:id="204" w:name="_Toc23491"/>
      <w:r>
        <w:rPr>
          <w:rFonts w:hint="eastAsia" w:ascii="宋体" w:hAnsi="宋体" w:cs="宋体"/>
          <w:b/>
          <w:bCs/>
          <w:sz w:val="24"/>
          <w:highlight w:val="none"/>
        </w:rPr>
        <w:t>九、技术资料：</w:t>
      </w:r>
      <w:bookmarkEnd w:id="203"/>
      <w:bookmarkEnd w:id="20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乙方在施工过程中必须填报所有工程施工管理的各种记录表格资料，并及时提供给甲方，在工程竣工验收后，应及时竣工资料并报甲方二份存档。</w:t>
      </w:r>
    </w:p>
    <w:p>
      <w:pPr>
        <w:spacing w:line="540" w:lineRule="exact"/>
        <w:ind w:firstLine="482" w:firstLineChars="200"/>
        <w:outlineLvl w:val="1"/>
        <w:rPr>
          <w:rFonts w:hint="eastAsia" w:ascii="宋体" w:hAnsi="宋体" w:eastAsia="宋体" w:cs="宋体"/>
          <w:b/>
          <w:bCs/>
          <w:sz w:val="24"/>
          <w:highlight w:val="none"/>
          <w:lang w:val="en-US" w:eastAsia="zh-CN"/>
        </w:rPr>
      </w:pPr>
      <w:bookmarkStart w:id="205" w:name="_Toc9336"/>
      <w:bookmarkStart w:id="206" w:name="_Toc20700"/>
      <w:r>
        <w:rPr>
          <w:rFonts w:hint="eastAsia" w:ascii="宋体" w:hAnsi="宋体" w:cs="宋体"/>
          <w:b/>
          <w:bCs/>
          <w:sz w:val="24"/>
          <w:highlight w:val="none"/>
        </w:rPr>
        <w:t>十、材料设备供应</w:t>
      </w:r>
      <w:r>
        <w:rPr>
          <w:rFonts w:hint="eastAsia" w:ascii="宋体" w:hAnsi="宋体" w:cs="宋体"/>
          <w:b/>
          <w:bCs/>
          <w:sz w:val="24"/>
          <w:highlight w:val="none"/>
          <w:lang w:val="en-US" w:eastAsia="zh-CN"/>
        </w:rPr>
        <w:t>:</w:t>
      </w:r>
      <w:bookmarkEnd w:id="205"/>
      <w:bookmarkEnd w:id="206"/>
    </w:p>
    <w:p>
      <w:pPr>
        <w:pStyle w:val="7"/>
        <w:spacing w:line="540" w:lineRule="exact"/>
        <w:ind w:firstLine="600"/>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施工机械乙方提供，满足工程需要。对外租赁吊车等特种设备前，需对设备的性能、状态等进行鉴定。因乙方自有设备及外租设备故障引起的对工程质量、安全等方面的损失由乙方承担；因甲方自有设备故障引起的对工程质量、安全等方面的损失由甲方承担。 </w:t>
      </w:r>
    </w:p>
    <w:p>
      <w:pPr>
        <w:spacing w:line="540" w:lineRule="exact"/>
        <w:ind w:firstLine="482" w:firstLineChars="200"/>
        <w:outlineLvl w:val="1"/>
        <w:rPr>
          <w:rFonts w:ascii="宋体" w:hAnsi="宋体" w:cs="宋体"/>
          <w:b/>
          <w:bCs/>
          <w:sz w:val="24"/>
          <w:highlight w:val="none"/>
        </w:rPr>
      </w:pPr>
      <w:bookmarkStart w:id="207" w:name="_Toc26693"/>
      <w:bookmarkStart w:id="208" w:name="_Toc26666"/>
      <w:r>
        <w:rPr>
          <w:rFonts w:hint="eastAsia" w:ascii="宋体" w:hAnsi="宋体" w:cs="宋体"/>
          <w:b/>
          <w:bCs/>
          <w:sz w:val="24"/>
          <w:highlight w:val="none"/>
        </w:rPr>
        <w:t>十一、劳动用工管理：</w:t>
      </w:r>
      <w:bookmarkEnd w:id="207"/>
      <w:bookmarkEnd w:id="208"/>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1、本工程由乙方自行组织施工力量进行施工，施工力量必须能满足工程质量及进度的需要，否则，甲方可要求乙方重新调配施工力量。</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bookmarkStart w:id="209" w:name="_Toc2314"/>
      <w:r>
        <w:rPr>
          <w:rFonts w:hint="eastAsia" w:ascii="宋体" w:hAnsi="宋体" w:eastAsia="宋体" w:cs="宋体"/>
          <w:bCs/>
          <w:color w:val="000000"/>
          <w:sz w:val="24"/>
          <w:szCs w:val="24"/>
          <w:highlight w:val="none"/>
          <w:lang w:val="en-US" w:eastAsia="zh-CN"/>
        </w:rPr>
        <w:t>2、劳动用工须按《中华人民共和国劳动合同法》执行。</w:t>
      </w:r>
      <w:bookmarkEnd w:id="209"/>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3、乙方的人员须上报名册交甲方审查、备案，乙方必须为其员工办理体检、购买建筑安装工程意外伤害保险，并承担该部分费用。特种作业人员必须要持有效证件方能上岗。否则，带来的损失由乙方自行承担。</w:t>
      </w:r>
    </w:p>
    <w:p>
      <w:pPr>
        <w:spacing w:line="540" w:lineRule="exact"/>
        <w:ind w:firstLine="600"/>
        <w:outlineLvl w:val="1"/>
        <w:rPr>
          <w:rFonts w:ascii="宋体" w:hAnsi="宋体" w:cs="宋体"/>
          <w:sz w:val="24"/>
          <w:highlight w:val="none"/>
        </w:rPr>
      </w:pPr>
      <w:bookmarkStart w:id="210" w:name="_Toc3694"/>
      <w:bookmarkStart w:id="211" w:name="_Toc30357"/>
      <w:r>
        <w:rPr>
          <w:rFonts w:hint="eastAsia" w:ascii="宋体" w:hAnsi="宋体" w:cs="宋体"/>
          <w:b/>
          <w:bCs/>
          <w:sz w:val="24"/>
          <w:highlight w:val="none"/>
        </w:rPr>
        <w:t>十二、竣工验收</w:t>
      </w:r>
      <w:r>
        <w:rPr>
          <w:rFonts w:hint="eastAsia" w:ascii="宋体" w:hAnsi="宋体" w:cs="宋体"/>
          <w:sz w:val="24"/>
          <w:highlight w:val="none"/>
        </w:rPr>
        <w:t>：</w:t>
      </w:r>
      <w:bookmarkEnd w:id="210"/>
      <w:bookmarkEnd w:id="211"/>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1、本工程具备竣工验收条件时，乙方应提前向甲方提出竣工验收书面通知。甲方在收到乙方书面通知后，及时联系设计及有关部门在7个日历日内进行验收。</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2、验收期间，工程不合格部位，乙方必须限期整改，直至合格为止。</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bookmarkStart w:id="212" w:name="_Toc12571"/>
      <w:r>
        <w:rPr>
          <w:rFonts w:hint="eastAsia" w:ascii="宋体" w:hAnsi="宋体" w:eastAsia="宋体" w:cs="宋体"/>
          <w:bCs/>
          <w:color w:val="000000"/>
          <w:sz w:val="24"/>
          <w:szCs w:val="24"/>
          <w:highlight w:val="none"/>
          <w:lang w:val="en-US" w:eastAsia="zh-CN"/>
        </w:rPr>
        <w:t>3、竣工验收标准：  合格</w:t>
      </w:r>
      <w:bookmarkEnd w:id="212"/>
      <w:r>
        <w:rPr>
          <w:rFonts w:hint="eastAsia" w:ascii="宋体" w:hAnsi="宋体" w:eastAsia="宋体" w:cs="宋体"/>
          <w:bCs/>
          <w:color w:val="000000"/>
          <w:sz w:val="24"/>
          <w:szCs w:val="24"/>
          <w:highlight w:val="none"/>
          <w:lang w:val="en-US" w:eastAsia="zh-CN"/>
        </w:rPr>
        <w:t xml:space="preserve">  </w:t>
      </w:r>
    </w:p>
    <w:p>
      <w:pPr>
        <w:spacing w:line="540" w:lineRule="exact"/>
        <w:ind w:firstLine="600"/>
        <w:outlineLvl w:val="1"/>
        <w:rPr>
          <w:rFonts w:ascii="宋体" w:hAnsi="宋体" w:cs="宋体"/>
          <w:sz w:val="24"/>
          <w:highlight w:val="none"/>
        </w:rPr>
      </w:pPr>
      <w:bookmarkStart w:id="213" w:name="_Toc12979"/>
      <w:bookmarkStart w:id="214" w:name="_Toc26114"/>
      <w:r>
        <w:rPr>
          <w:rFonts w:hint="eastAsia" w:ascii="宋体" w:hAnsi="宋体" w:cs="宋体"/>
          <w:b/>
          <w:bCs/>
          <w:sz w:val="24"/>
          <w:highlight w:val="none"/>
        </w:rPr>
        <w:t>十三、违约责任</w:t>
      </w:r>
      <w:r>
        <w:rPr>
          <w:rFonts w:hint="eastAsia" w:ascii="宋体" w:hAnsi="宋体" w:cs="宋体"/>
          <w:sz w:val="24"/>
          <w:highlight w:val="none"/>
        </w:rPr>
        <w:t>：</w:t>
      </w:r>
      <w:bookmarkEnd w:id="213"/>
      <w:bookmarkEnd w:id="214"/>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本工程出现质量问题，经整改仍达不到要求，甲方有权从质量保证金中扣除相应的费用，不足部分，乙方另行补偿甲方的经济损失。 承包人出现违约情况时，发包人发出整改通知后，承包人在指定的合理期限内仍不纠正违约行为并致使合同目的不能实现的，发包人有权单方面解除合同</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其它违约（包括因不可抗力造成的违约），依照《中华人民共和国合同法》有关条款处理。</w:t>
      </w:r>
    </w:p>
    <w:p>
      <w:pPr>
        <w:numPr>
          <w:ilvl w:val="0"/>
          <w:numId w:val="0"/>
        </w:numPr>
        <w:spacing w:line="540" w:lineRule="exact"/>
        <w:ind w:firstLine="723" w:firstLineChars="300"/>
        <w:outlineLvl w:val="1"/>
        <w:rPr>
          <w:rFonts w:ascii="宋体" w:hAnsi="宋体" w:cs="宋体"/>
          <w:b/>
          <w:bCs/>
          <w:sz w:val="24"/>
          <w:highlight w:val="none"/>
        </w:rPr>
      </w:pPr>
      <w:bookmarkStart w:id="215" w:name="_Toc10877"/>
      <w:bookmarkStart w:id="216" w:name="_Toc4637"/>
      <w:r>
        <w:rPr>
          <w:rFonts w:hint="eastAsia" w:ascii="宋体" w:hAnsi="宋体" w:cs="宋体"/>
          <w:b/>
          <w:bCs/>
          <w:sz w:val="24"/>
          <w:highlight w:val="none"/>
        </w:rPr>
        <w:t>十四、其它：</w:t>
      </w:r>
      <w:bookmarkEnd w:id="215"/>
      <w:bookmarkEnd w:id="216"/>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1、本合同自签订之日起生效，工程竣工后保修期满财务决算、工程款全部清算后失效 。</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2、本工程质保期为：自竣工验收合格之日起，质保期为18个月，质保期满后28天内，甲方向乙方全额免息支付质量保证金。</w:t>
      </w:r>
    </w:p>
    <w:p>
      <w:pPr>
        <w:adjustRightInd w:val="0"/>
        <w:snapToGrid w:val="0"/>
        <w:spacing w:line="540" w:lineRule="exact"/>
        <w:ind w:firstLine="480" w:firstLineChars="200"/>
        <w:rPr>
          <w:rFonts w:hint="default" w:ascii="宋体" w:hAnsi="宋体" w:eastAsia="宋体" w:cs="宋体"/>
          <w:bCs/>
          <w:color w:val="000000"/>
          <w:sz w:val="24"/>
          <w:szCs w:val="24"/>
          <w:highlight w:val="none"/>
          <w:lang w:val="en-US" w:eastAsia="zh-CN"/>
        </w:rPr>
      </w:pPr>
      <w:bookmarkStart w:id="217" w:name="_Toc24860"/>
      <w:r>
        <w:rPr>
          <w:rFonts w:hint="eastAsia" w:ascii="宋体" w:hAnsi="宋体" w:eastAsia="宋体" w:cs="宋体"/>
          <w:bCs/>
          <w:color w:val="000000"/>
          <w:sz w:val="24"/>
          <w:szCs w:val="24"/>
          <w:highlight w:val="none"/>
          <w:lang w:val="en-US" w:eastAsia="zh-CN"/>
        </w:rPr>
        <w:t>3、本合同壹式 陆 份，甲方执肆份，乙方执两份</w:t>
      </w:r>
      <w:bookmarkEnd w:id="217"/>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bookmarkStart w:id="218" w:name="_Toc26683"/>
      <w:r>
        <w:rPr>
          <w:rFonts w:hint="eastAsia" w:ascii="宋体" w:hAnsi="宋体" w:eastAsia="宋体" w:cs="宋体"/>
          <w:bCs/>
          <w:color w:val="000000"/>
          <w:sz w:val="24"/>
          <w:szCs w:val="24"/>
          <w:highlight w:val="none"/>
          <w:lang w:val="en-US" w:eastAsia="zh-CN"/>
        </w:rPr>
        <w:t>4、本合同未尽事宜，双方协商解决或另签署补充协议。协商不成而发生合同纠纷，提交工程所属地诉讼/仲裁委员会仲裁。</w:t>
      </w:r>
      <w:bookmarkEnd w:id="218"/>
    </w:p>
    <w:p>
      <w:pPr>
        <w:rPr>
          <w:rFonts w:hint="eastAsia" w:ascii="宋体" w:hAnsi="宋体" w:cs="宋体"/>
          <w:sz w:val="24"/>
          <w:highlight w:val="none"/>
        </w:rPr>
      </w:pPr>
      <w:r>
        <w:rPr>
          <w:rFonts w:hint="eastAsia" w:ascii="宋体" w:hAnsi="宋体" w:cs="宋体"/>
          <w:sz w:val="24"/>
          <w:highlight w:val="none"/>
        </w:rPr>
        <w:br w:type="page"/>
      </w:r>
    </w:p>
    <w:p>
      <w:pPr>
        <w:pStyle w:val="2"/>
        <w:rPr>
          <w:rFonts w:hint="eastAsia"/>
        </w:rPr>
      </w:pPr>
    </w:p>
    <w:p>
      <w:pPr>
        <w:keepNext w:val="0"/>
        <w:keepLines w:val="0"/>
        <w:pageBreakBefore w:val="0"/>
        <w:widowControl/>
        <w:kinsoku/>
        <w:wordWrap/>
        <w:overflowPunct/>
        <w:topLinePunct w:val="0"/>
        <w:autoSpaceDE/>
        <w:autoSpaceDN/>
        <w:bidi w:val="0"/>
        <w:snapToGrid w:val="0"/>
        <w:spacing w:line="380" w:lineRule="exact"/>
        <w:jc w:val="center"/>
        <w:outlineLvl w:val="2"/>
        <w:rPr>
          <w:rFonts w:hint="eastAsia" w:ascii="宋体" w:hAnsi="宋体" w:eastAsia="宋体" w:cs="宋体"/>
          <w:b/>
          <w:bCs/>
          <w:color w:val="110F0F"/>
          <w:w w:val="110"/>
          <w:sz w:val="28"/>
          <w:szCs w:val="28"/>
        </w:rPr>
      </w:pPr>
      <w:bookmarkStart w:id="219" w:name="_Toc32602"/>
      <w:bookmarkStart w:id="220" w:name="_Toc798"/>
      <w:r>
        <w:rPr>
          <w:rFonts w:hint="eastAsia" w:ascii="宋体" w:hAnsi="宋体" w:eastAsia="宋体" w:cs="宋体"/>
          <w:b/>
          <w:bCs/>
          <w:color w:val="110F0F"/>
          <w:w w:val="110"/>
          <w:sz w:val="32"/>
          <w:szCs w:val="32"/>
          <w:lang w:val="en-US" w:eastAsia="zh-CN"/>
        </w:rPr>
        <w:t xml:space="preserve">第二部分 </w:t>
      </w:r>
      <w:r>
        <w:rPr>
          <w:rFonts w:hint="eastAsia" w:ascii="宋体" w:hAnsi="宋体" w:eastAsia="宋体" w:cs="宋体"/>
          <w:b/>
          <w:bCs/>
          <w:color w:val="110F0F"/>
          <w:w w:val="110"/>
          <w:sz w:val="32"/>
          <w:szCs w:val="32"/>
        </w:rPr>
        <w:t>安</w:t>
      </w:r>
      <w:r>
        <w:rPr>
          <w:rFonts w:hint="eastAsia" w:ascii="宋体" w:hAnsi="宋体" w:eastAsia="宋体" w:cs="宋体"/>
          <w:b/>
          <w:bCs/>
          <w:color w:val="110F0F"/>
          <w:w w:val="110"/>
          <w:sz w:val="32"/>
          <w:szCs w:val="32"/>
          <w:lang w:val="en-US" w:eastAsia="zh-CN"/>
        </w:rPr>
        <w:t>全协</w:t>
      </w:r>
      <w:r>
        <w:rPr>
          <w:rFonts w:hint="eastAsia" w:ascii="宋体" w:hAnsi="宋体" w:eastAsia="宋体" w:cs="宋体"/>
          <w:b/>
          <w:bCs/>
          <w:color w:val="110F0F"/>
          <w:w w:val="110"/>
          <w:sz w:val="32"/>
          <w:szCs w:val="32"/>
        </w:rPr>
        <w:t>议</w:t>
      </w:r>
      <w:bookmarkEnd w:id="219"/>
      <w:bookmarkEnd w:id="220"/>
    </w:p>
    <w:p>
      <w:pPr>
        <w:pStyle w:val="17"/>
        <w:keepNext w:val="0"/>
        <w:keepLines w:val="0"/>
        <w:pageBreakBefore w:val="0"/>
        <w:widowControl/>
        <w:kinsoku/>
        <w:wordWrap/>
        <w:overflowPunct/>
        <w:topLinePunct w:val="0"/>
        <w:autoSpaceDE/>
        <w:autoSpaceDN/>
        <w:bidi w:val="0"/>
        <w:spacing w:line="380" w:lineRule="exact"/>
        <w:rPr>
          <w:rFonts w:hint="eastAsia" w:ascii="新宋体" w:hAnsi="新宋体" w:eastAsia="新宋体" w:cs="新宋体"/>
          <w:sz w:val="28"/>
          <w:szCs w:val="28"/>
        </w:rPr>
      </w:pP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为了切实做好安全生产工作，依据《中华人民共和国安全生产法》、《中华人民共和国合同法》以及国家有关安全生产管理的法律、法规、标准，按照“安全第一、预防为主、综合治理”的原则，明确甲乙双方责任，就甲乙双方在本项目中的安全生产事项，经协商一致，签订本协议。</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第一条：项目名称：长沙集星集装箱码头门机大车轨道提质改造劳务施工项目</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第二条：本协议内容只涉及甲乙双方在本项目中关于安全生产的权利和责任。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第三条：甲方的权利：</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（一）有权要求乙方建立安全组织机构或指定专人负责作业现场安全监督检查。严格执行安全生产法律、法规、条例、标准，遵守甲方的安全生产规章制度等。</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（二）有权按规定对乙方安全业绩、资质进行审查，对乙方针对作业项目制定的职业健康安全、环境项目进行审查并备案。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（三）有权要求乙方在项目施工过程中保护好施工区域内甲方的安全生产设施、设备和器材。</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（四）有权要求乙方在进入甲方现场作业前所有作业人员接受甲方的安全培训与教育。</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（五）有权对乙方的作业现场的安全作业情况进行监督检查，有权对乙方不符合安全生产要求的行为进行制止、纠正、处罚、停止作业、直至清退出场。</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（六）有权要求乙方所有作业人员必须交纳工伤保险和意外伤害保险。</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第四条：甲方的责任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（一）认真贯彻落实国家有关法律、法规、标准及甲方公司安全生产规章制度。</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（二）向乙方明确作业区（甲方港内）的范围、危险源及安全技术交底，并要有书面记录。</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（三）在甲方港内为乙方提供项目合同中规定的安全作业条件。</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（四）在甲方港内发生事故时，积极协助抢险，防止事故扩大，并按照甲方公司有关规定进行报告。</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第五条：乙方的权利</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（一）有权对甲方的安全工作提出合理化建议和改进意见。</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（二）日常作业中，若甲方违章指挥、强令乙方冒险作业，有权拒绝执行。</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（三）有权要求在甲方港内提供符合安全作业的工艺条件和环境。</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（四）发生严重危及乙方生命安全的紧急情况时，乙方有权采取必要的避险措施。</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第六条：乙方的责任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（一）乙方是本项目的安全生产责任主体，对本项目的安全生产工作全面负责。</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（二）健全安全组织机构，建立安全生产责任制，制定健全的安全生产规章制度，制定生产安全事故应急求援预案，配备必要的安全生产管理人员和劳动保护用品，严格执行甲方相关的规章制度。</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（三）应对作业人员进行作业前安全教育培训，使其具备相应的安全意识和安全技能；特种作业人员应具有相应的资格证书。</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（四）不得使用不符合国家、行业标准和甲方规定的原材料、设备、装置、防护用品、器材、安全检测仪器等。所使用的特种设备，必须经具有专业资质的检验检测机构检测。经检测不合格的，不得继续使用。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（五）指定专人负责现场安全监督检查工作，认真开展安全检查，发现作业过程中人的不安全行为及事故安全隐患，应采取有效措施积极处理。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（六）乙方有责任对作业区域的安全生产条件进行详细了解。</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（七）乙方在作业过程中有属于危及安全生产的关键作业时，应提出切实可行的方案，经甲方同意后，方可实施。</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（八）乙方在甲方港内作业期间只能在甲方规定的路线进出公司，只能在规定的区域内作业，禁止私自进入甲方其它生产区域。</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（九）乙方应服从甲方单位的安全管理。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（十）发生事故时，乙方应积极抢险，避免事故的进一步扩大，并按照国家相关要求报告事故。</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十一）当乙方在甲方港内作业过程中发生安全责任事故时，乙方作为项目的承包单位，对发生的人身伤害、设备损坏等事故承担相应安全责任。由乙方向自己的主管上级部门及当地政府的安全生产监督管理部门、公安部门报告，并自行承担相应的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第七条  违约责任及处理</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（一）甲乙双方违反本合同要求，未造成事故时，依据相关合同对违约者进行处理（包括但不限于支付违约金、赔偿损失等）。</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（二）在甲方港内发生事故时，甲、乙双方有抢险、救灾的责任，所发生的费用由责任方承担。</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 xml:space="preserve">（三）发生的事故，应经事故调查确认责任；事故报告和调查应按照国家和甲方有关规定进行。           </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（四）甲方违约造成的事故，甲方承担全部责任，并按规定追究有关人员责任及上报。</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（五）乙方违约造成的事故，乙方承担全部责任，并按规定追究有关人员责任并报告甲方。</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（六）甲、乙双方共同造成的事故，按双方责任大小承担相应责任，并按规定追究有关人员责任。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（七）对乙方发生事故后弄虚作假、隐瞒不报、迟报或谎报，一经查出，按有关规定从重处罚，情节严重的，甲方有权向当地政府安全生产监督管理部门报告，并取消其进入甲方市场资格。</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（八）作业期间，需要办理的有关安全的批文或其它手续，乙方必须办理齐全，否则发生安全事故由乙方承担全部责任。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第八条：由于不可抗力造成合同项目作业事故及生产的损失，当事人双方各自承担相应的损失。</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第九条：甲乙双方的作业人员和机具设备的保险，由甲乙双方依据国家相关规定或约定各自承担。</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第十条  本协议履行过程中发生争议纠纷，应通过友好协商方式解决，如协商不成，按双方在项目经济合同中约定的管辖地和纠纷解决的方式执行。</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第十一条：本协议是项目经济合同的附件，与项目经济合同具有同等法律效力。本协议与项目经济合同同时生效、终止。</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 xml:space="preserve"> 乙方人员进场前安全教育培训人员；乙方作业期间指定现场安全监护人员。</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br w:type="page"/>
      </w:r>
    </w:p>
    <w:p>
      <w:pPr>
        <w:keepNext w:val="0"/>
        <w:keepLines w:val="0"/>
        <w:pageBreakBefore w:val="0"/>
        <w:widowControl/>
        <w:kinsoku/>
        <w:wordWrap/>
        <w:overflowPunct/>
        <w:topLinePunct w:val="0"/>
        <w:autoSpaceDE/>
        <w:autoSpaceDN/>
        <w:bidi w:val="0"/>
        <w:snapToGrid w:val="0"/>
        <w:spacing w:line="380" w:lineRule="exact"/>
        <w:jc w:val="center"/>
        <w:outlineLvl w:val="2"/>
        <w:rPr>
          <w:rFonts w:hint="eastAsia" w:ascii="宋体" w:hAnsi="宋体" w:eastAsia="宋体" w:cs="宋体"/>
          <w:b/>
          <w:bCs/>
          <w:color w:val="110F0F"/>
          <w:w w:val="110"/>
          <w:sz w:val="32"/>
          <w:szCs w:val="32"/>
          <w:lang w:val="en-US" w:eastAsia="zh-CN"/>
        </w:rPr>
      </w:pPr>
      <w:bookmarkStart w:id="221" w:name="_Toc231"/>
      <w:bookmarkStart w:id="222" w:name="_Toc20003"/>
      <w:r>
        <w:rPr>
          <w:rFonts w:hint="eastAsia" w:ascii="宋体" w:hAnsi="宋体" w:eastAsia="宋体" w:cs="宋体"/>
          <w:b/>
          <w:bCs/>
          <w:color w:val="110F0F"/>
          <w:w w:val="110"/>
          <w:sz w:val="32"/>
          <w:szCs w:val="32"/>
          <w:lang w:val="en-US" w:eastAsia="zh-CN"/>
        </w:rPr>
        <w:t>第三部分 廉政协议</w:t>
      </w:r>
      <w:bookmarkEnd w:id="221"/>
      <w:bookmarkEnd w:id="222"/>
    </w:p>
    <w:p>
      <w:pPr>
        <w:pStyle w:val="17"/>
        <w:keepNext w:val="0"/>
        <w:keepLines w:val="0"/>
        <w:pageBreakBefore w:val="0"/>
        <w:widowControl/>
        <w:kinsoku/>
        <w:wordWrap/>
        <w:overflowPunct/>
        <w:topLinePunct w:val="0"/>
        <w:autoSpaceDE/>
        <w:autoSpaceDN/>
        <w:bidi w:val="0"/>
        <w:spacing w:line="380" w:lineRule="exact"/>
        <w:rPr>
          <w:rFonts w:hint="eastAsia" w:ascii="新宋体" w:hAnsi="新宋体" w:eastAsia="新宋体" w:cs="新宋体"/>
          <w:sz w:val="28"/>
          <w:szCs w:val="28"/>
        </w:rPr>
      </w:pP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为做好工程建设中的党风廉政建设，保证工程建设高效优质、建设资金的安全和投资效益，以及双方合作的公平和公正，预防发包人利益受到双方经济合同之外各种不正当行为的损害，根据国家有关项目建设的法律法规和廉政建设规定，签订本廉政协议，以资共同遵守。</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第一条  甲乙双方的责任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（一）应严格遵守国家关于市场准入、项目招标投标、工程建设和市场活动等有关法律、法规，相关政策，以及廉政建设的各项规定。</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（二）严格执行建设工程项目相关合同文件，自觉按合同办事。</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（三）业务活动必须坚持公开、公平、公正、诚信、透明的原则，不得为获取不正当的利益，损害国家、集体和对方利益。</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（四）发现对方在业务活动中有违规、违纪、违法行为的，应及时提醒对方，情节严重的，应向其上级主管部门或纪检监察部门进行举报。</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第二条  发包人的责任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发包人工作人员，在工程建设的事前、事中、事后应遵守以下规定：</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（一）不得向承包人索要或接受回扣、礼金、有价证券、贵重物品和好处费、感谢费等。</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（二）不得在承包人报销任何应由个人支付的费用。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（三）不得要求或接受承包人为其个人装修住房或为其配偶、子女的工作安排以及出国（境）、旅游等提供方便。</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（四）不得参加有可能影响公正执行公务的承包人的宴请、健身和娱乐等活动。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（五）不得向承包人介绍或推荐其配偶、子女及其他亲属参与承包人同发包人建设项目有关的经济活动。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（六）不得以任何理由向承包人推荐分包单位或要求承包人购买项目合同规定以外的材料、设备和服务等。</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（七）其它与项目有关的党风廉政建设和预防腐败的规定。</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第三条  承包人的责任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应与发包人保持正常的业务交往，按照有关法律法规和程序开展业务工作，严格执行工程建设的有关方针、政策，并遵守以下规定：</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（一）不得以任何理由向发包人工作人员赠送礼金、有价证券、贵重物品和回扣、好处费、感谢费等。</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（二）不得以任何理由为发包人工作人员报销应由其个人支付的费用。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（三）不得为发包人工作人员装修住房或为其配偶、子女的工作安排以及出国（境）、旅游等提供方便。</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（四）不得以任何理由邀请发包人工作人员参加有可能影响公正执行公务的宴请、健身、娱乐等活动。</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（五）其它与项目有关的党风廉政建设和预防腐败的规定。</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第四条  违约责任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发包人工作人员有违反本合同第一、二条行为的，经调查属实，依据有关法律法规和规定给予党纪、政纪处分或组织处理；涉嫌犯罪的，移交司法机关追究刑事责任；给承包人造成经济损失的，发包人应予以赔偿。</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承包人工作人员有违反本合同第一、三条行为的，经调查属实，依据有关法律法规和规定给予以下相应处理；给发包人造成经济损失的，承包人应予以赔偿；情节严重的，发包人建议交通工程建设主管部门给予一至三年不得进入交通建设市场的处罚；涉嫌犯罪的，移交司法机关追究刑事责任。</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双方约定：本合同由发包人或发包人上级单位的纪检监察机关负责监督执行。由发包人或发包人上级单位的纪检监察机关约请承包人行业主管部门的纪检监察机关对本合同执行情况进行检查，提出在本合同规定范围内的裁定意见。</w:t>
      </w:r>
    </w:p>
    <w:tbl>
      <w:tblPr>
        <w:tblStyle w:val="19"/>
        <w:tblpPr w:leftFromText="180" w:rightFromText="180" w:vertAnchor="text" w:horzAnchor="page" w:tblpX="1897" w:tblpY="1333"/>
        <w:tblOverlap w:val="never"/>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7"/>
        <w:gridCol w:w="2348"/>
        <w:gridCol w:w="1975"/>
        <w:gridCol w:w="22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4" w:type="pct"/>
            <w:gridSpan w:val="2"/>
            <w:tcBorders>
              <w:top w:val="single" w:color="auto" w:sz="4" w:space="0"/>
              <w:left w:val="single" w:color="auto" w:sz="4" w:space="0"/>
              <w:bottom w:val="single" w:color="auto" w:sz="4" w:space="0"/>
              <w:right w:val="single" w:color="auto" w:sz="4" w:space="0"/>
            </w:tcBorders>
          </w:tcPr>
          <w:p>
            <w:pPr>
              <w:spacing w:after="160" w:line="600" w:lineRule="exact"/>
              <w:jc w:val="center"/>
              <w:rPr>
                <w:rFonts w:ascii="宋体" w:hAnsi="宋体" w:cs="宋体"/>
                <w:kern w:val="0"/>
                <w:sz w:val="28"/>
                <w:szCs w:val="28"/>
              </w:rPr>
            </w:pPr>
            <w:r>
              <w:rPr>
                <w:rFonts w:hint="eastAsia" w:ascii="宋体" w:hAnsi="宋体" w:cs="宋体"/>
                <w:kern w:val="0"/>
                <w:sz w:val="28"/>
                <w:szCs w:val="28"/>
              </w:rPr>
              <w:t>甲    方</w:t>
            </w:r>
          </w:p>
        </w:tc>
        <w:tc>
          <w:tcPr>
            <w:tcW w:w="2455" w:type="pct"/>
            <w:gridSpan w:val="2"/>
            <w:tcBorders>
              <w:top w:val="single" w:color="auto" w:sz="4" w:space="0"/>
              <w:left w:val="single" w:color="auto" w:sz="4" w:space="0"/>
              <w:bottom w:val="single" w:color="auto" w:sz="4" w:space="0"/>
              <w:right w:val="single" w:color="auto" w:sz="4" w:space="0"/>
            </w:tcBorders>
          </w:tcPr>
          <w:p>
            <w:pPr>
              <w:spacing w:after="160" w:line="600" w:lineRule="exact"/>
              <w:jc w:val="center"/>
              <w:rPr>
                <w:rFonts w:ascii="宋体" w:hAnsi="宋体" w:cs="宋体"/>
                <w:kern w:val="0"/>
                <w:sz w:val="28"/>
                <w:szCs w:val="28"/>
              </w:rPr>
            </w:pPr>
            <w:r>
              <w:rPr>
                <w:rFonts w:hint="eastAsia" w:ascii="宋体" w:hAnsi="宋体" w:cs="宋体"/>
                <w:kern w:val="0"/>
                <w:sz w:val="28"/>
                <w:szCs w:val="28"/>
              </w:rPr>
              <w:t>乙     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单位名称：（章）</w:t>
            </w:r>
          </w:p>
        </w:tc>
        <w:tc>
          <w:tcPr>
            <w:tcW w:w="1377"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单位名称：（章）</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单位地址</w:t>
            </w:r>
          </w:p>
        </w:tc>
        <w:tc>
          <w:tcPr>
            <w:tcW w:w="137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单位地址</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hint="default" w:ascii="宋体" w:hAnsi="宋体" w:eastAsia="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法定代表</w:t>
            </w:r>
          </w:p>
        </w:tc>
        <w:tc>
          <w:tcPr>
            <w:tcW w:w="1377"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法定代表</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委托代理人</w:t>
            </w:r>
          </w:p>
        </w:tc>
        <w:tc>
          <w:tcPr>
            <w:tcW w:w="1377"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委托代理人</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电话</w:t>
            </w:r>
          </w:p>
        </w:tc>
        <w:tc>
          <w:tcPr>
            <w:tcW w:w="1377"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电话</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开户银行</w:t>
            </w:r>
          </w:p>
        </w:tc>
        <w:tc>
          <w:tcPr>
            <w:tcW w:w="1377"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开户银行</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hint="default" w:ascii="宋体" w:hAnsi="宋体" w:eastAsia="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hint="eastAsia" w:ascii="宋体" w:hAnsi="宋体" w:eastAsia="宋体" w:cs="宋体"/>
                <w:kern w:val="0"/>
                <w:sz w:val="28"/>
                <w:szCs w:val="28"/>
                <w:lang w:val="en-US" w:eastAsia="zh-CN"/>
              </w:rPr>
            </w:pPr>
            <w:r>
              <w:rPr>
                <w:rFonts w:hint="eastAsia" w:ascii="宋体" w:hAnsi="宋体" w:cs="宋体"/>
                <w:kern w:val="0"/>
                <w:sz w:val="28"/>
                <w:szCs w:val="28"/>
              </w:rPr>
              <w:t>账号</w:t>
            </w:r>
          </w:p>
        </w:tc>
        <w:tc>
          <w:tcPr>
            <w:tcW w:w="1377"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账号</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hint="default" w:ascii="宋体" w:hAnsi="宋体" w:eastAsia="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税号</w:t>
            </w:r>
          </w:p>
        </w:tc>
        <w:tc>
          <w:tcPr>
            <w:tcW w:w="1377"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税号</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hint="default" w:ascii="宋体" w:hAnsi="宋体" w:eastAsia="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6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邮编</w:t>
            </w:r>
          </w:p>
        </w:tc>
        <w:tc>
          <w:tcPr>
            <w:tcW w:w="1377"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ascii="宋体" w:hAnsi="宋体" w:cs="宋体"/>
                <w:kern w:val="0"/>
                <w:sz w:val="28"/>
                <w:szCs w:val="28"/>
              </w:rPr>
            </w:pPr>
            <w:r>
              <w:rPr>
                <w:rFonts w:hint="eastAsia" w:ascii="宋体" w:hAnsi="宋体" w:cs="宋体"/>
                <w:kern w:val="0"/>
                <w:sz w:val="28"/>
                <w:szCs w:val="28"/>
              </w:rPr>
              <w:t>邮编</w:t>
            </w:r>
          </w:p>
        </w:tc>
        <w:tc>
          <w:tcPr>
            <w:tcW w:w="1296" w:type="pct"/>
            <w:tcBorders>
              <w:top w:val="single" w:color="auto" w:sz="4" w:space="0"/>
              <w:left w:val="single" w:color="auto" w:sz="4" w:space="0"/>
              <w:bottom w:val="single" w:color="auto" w:sz="4" w:space="0"/>
              <w:right w:val="single" w:color="auto" w:sz="4" w:space="0"/>
            </w:tcBorders>
            <w:vAlign w:val="center"/>
          </w:tcPr>
          <w:p>
            <w:pPr>
              <w:spacing w:after="160" w:line="600" w:lineRule="exact"/>
              <w:rPr>
                <w:rFonts w:hint="default" w:ascii="宋体" w:hAnsi="宋体" w:eastAsia="宋体" w:cs="宋体"/>
                <w:kern w:val="0"/>
                <w:sz w:val="28"/>
                <w:szCs w:val="28"/>
                <w:lang w:val="en-US" w:eastAsia="zh-CN"/>
              </w:rPr>
            </w:pPr>
          </w:p>
        </w:tc>
      </w:tr>
    </w:tbl>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第五条  本合同作为甲、乙双方主合同的附件，与主合同具有同等法律效力。经双方签署后立即生效，项目决算审计后合同效力终止。</w:t>
      </w:r>
    </w:p>
    <w:p>
      <w:pPr>
        <w:adjustRightInd w:val="0"/>
        <w:snapToGrid w:val="0"/>
        <w:spacing w:line="540" w:lineRule="exact"/>
        <w:rPr>
          <w:rFonts w:ascii="宋体" w:hAnsi="宋体" w:cs="宋体"/>
          <w:sz w:val="28"/>
          <w:szCs w:val="28"/>
        </w:rPr>
      </w:pPr>
      <w:r>
        <w:rPr>
          <w:rFonts w:hint="eastAsia" w:ascii="宋体" w:hAnsi="宋体" w:cs="宋体"/>
          <w:sz w:val="28"/>
          <w:szCs w:val="28"/>
        </w:rPr>
        <w:t>签订时间：2022年  月</w:t>
      </w:r>
      <w:r>
        <w:rPr>
          <w:rFonts w:ascii="宋体" w:hAnsi="宋体" w:cs="宋体"/>
          <w:sz w:val="28"/>
          <w:szCs w:val="28"/>
        </w:rPr>
        <w:t xml:space="preserve">  </w:t>
      </w:r>
      <w:r>
        <w:rPr>
          <w:rFonts w:hint="eastAsia" w:ascii="宋体" w:hAnsi="宋体" w:cs="宋体"/>
          <w:sz w:val="28"/>
          <w:szCs w:val="28"/>
        </w:rPr>
        <w:t>日</w:t>
      </w:r>
    </w:p>
    <w:p>
      <w:pPr>
        <w:rPr>
          <w:rFonts w:ascii="微软雅黑" w:hAnsi="微软雅黑" w:eastAsia="微软雅黑"/>
          <w:sz w:val="24"/>
          <w:szCs w:val="24"/>
          <w:highlight w:val="none"/>
          <w:lang w:val="zh-CN"/>
        </w:rPr>
      </w:pPr>
      <w:r>
        <w:rPr>
          <w:rFonts w:ascii="微软雅黑" w:hAnsi="微软雅黑" w:eastAsia="微软雅黑"/>
          <w:sz w:val="24"/>
          <w:szCs w:val="24"/>
          <w:highlight w:val="none"/>
          <w:lang w:val="zh-CN"/>
        </w:rPr>
        <w:br w:type="page"/>
      </w:r>
    </w:p>
    <w:p>
      <w:pPr>
        <w:numPr>
          <w:ilvl w:val="0"/>
          <w:numId w:val="0"/>
        </w:numPr>
        <w:spacing w:line="600" w:lineRule="exact"/>
        <w:jc w:val="center"/>
        <w:outlineLvl w:val="0"/>
        <w:rPr>
          <w:rFonts w:ascii="黑体" w:hAnsi="黑体" w:eastAsia="黑体" w:cs="仿宋"/>
          <w:b/>
          <w:color w:val="000000"/>
          <w:sz w:val="36"/>
          <w:szCs w:val="36"/>
          <w:highlight w:val="none"/>
        </w:rPr>
      </w:pPr>
      <w:bookmarkStart w:id="223" w:name="_Toc5726"/>
      <w:bookmarkStart w:id="224" w:name="_Toc1701"/>
      <w:bookmarkStart w:id="225" w:name="_Toc23920"/>
      <w:r>
        <w:rPr>
          <w:rFonts w:hint="eastAsia" w:ascii="黑体" w:hAnsi="黑体" w:eastAsia="黑体" w:cs="仿宋"/>
          <w:b/>
          <w:color w:val="000000"/>
          <w:sz w:val="36"/>
          <w:szCs w:val="36"/>
          <w:highlight w:val="none"/>
          <w:lang w:val="en-US" w:eastAsia="zh-CN"/>
        </w:rPr>
        <w:t>第五章</w:t>
      </w:r>
      <w:r>
        <w:rPr>
          <w:rFonts w:hint="eastAsia" w:ascii="黑体" w:hAnsi="黑体" w:eastAsia="黑体" w:cs="仿宋"/>
          <w:b/>
          <w:color w:val="000000"/>
          <w:sz w:val="36"/>
          <w:szCs w:val="36"/>
          <w:highlight w:val="none"/>
        </w:rPr>
        <w:t xml:space="preserve"> 采购需求</w:t>
      </w:r>
      <w:bookmarkEnd w:id="223"/>
      <w:bookmarkEnd w:id="224"/>
      <w:bookmarkEnd w:id="225"/>
    </w:p>
    <w:p>
      <w:pPr>
        <w:numPr>
          <w:ilvl w:val="0"/>
          <w:numId w:val="3"/>
        </w:numPr>
        <w:spacing w:line="480" w:lineRule="exact"/>
        <w:jc w:val="both"/>
        <w:outlineLvl w:val="1"/>
        <w:rPr>
          <w:rFonts w:ascii="宋体" w:hAnsi="宋体"/>
          <w:b/>
          <w:bCs/>
          <w:sz w:val="24"/>
          <w:highlight w:val="none"/>
        </w:rPr>
      </w:pPr>
      <w:bookmarkStart w:id="226" w:name="_Toc6655"/>
      <w:bookmarkStart w:id="227" w:name="_Toc25516"/>
      <w:r>
        <w:rPr>
          <w:rFonts w:hint="eastAsia" w:ascii="宋体" w:hAnsi="宋体"/>
          <w:b/>
          <w:bCs/>
          <w:sz w:val="24"/>
          <w:highlight w:val="none"/>
        </w:rPr>
        <w:t>采购项目名称 ：</w:t>
      </w:r>
      <w:bookmarkEnd w:id="226"/>
      <w:bookmarkEnd w:id="227"/>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长沙集星集装箱码头门机大车轨道提质改造劳务施工项目</w:t>
      </w:r>
    </w:p>
    <w:p>
      <w:pPr>
        <w:numPr>
          <w:ilvl w:val="0"/>
          <w:numId w:val="3"/>
        </w:numPr>
        <w:adjustRightInd w:val="0"/>
        <w:snapToGrid w:val="0"/>
        <w:spacing w:line="312" w:lineRule="auto"/>
        <w:outlineLvl w:val="1"/>
        <w:rPr>
          <w:rFonts w:ascii="宋体" w:hAnsi="宋体"/>
          <w:b/>
          <w:bCs/>
          <w:sz w:val="24"/>
          <w:highlight w:val="none"/>
        </w:rPr>
      </w:pPr>
      <w:bookmarkStart w:id="228" w:name="_Toc6529"/>
      <w:bookmarkStart w:id="229" w:name="_Toc20295"/>
      <w:r>
        <w:rPr>
          <w:rFonts w:hint="eastAsia" w:ascii="宋体" w:hAnsi="宋体"/>
          <w:b/>
          <w:bCs/>
          <w:sz w:val="24"/>
          <w:highlight w:val="none"/>
        </w:rPr>
        <w:t>项目概况及主要数据：</w:t>
      </w:r>
      <w:bookmarkEnd w:id="228"/>
      <w:bookmarkEnd w:id="229"/>
    </w:p>
    <w:p>
      <w:pPr>
        <w:adjustRightInd w:val="0"/>
        <w:snapToGrid w:val="0"/>
        <w:spacing w:line="540" w:lineRule="exact"/>
        <w:ind w:firstLine="480" w:firstLineChars="200"/>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长沙集星集装箱码头门机大车轨道使用年限长，轨道出现下沉，接头高差错位严重超标，严重处接头有断裂。轨道沟基础有破损，紧固螺栓锈蚀，压板松动，轨道橡胶垫破损。急需修复轨道基础，调整安装修复轨道。</w:t>
      </w:r>
    </w:p>
    <w:p>
      <w:pPr>
        <w:numPr>
          <w:ilvl w:val="255"/>
          <w:numId w:val="0"/>
        </w:numPr>
        <w:adjustRightInd w:val="0"/>
        <w:snapToGrid w:val="0"/>
        <w:spacing w:line="312" w:lineRule="auto"/>
        <w:rPr>
          <w:rFonts w:ascii="宋体" w:hAnsi="宋体"/>
          <w:sz w:val="24"/>
          <w:highlight w:val="none"/>
        </w:rPr>
      </w:pPr>
    </w:p>
    <w:p>
      <w:pPr>
        <w:numPr>
          <w:ilvl w:val="0"/>
          <w:numId w:val="3"/>
        </w:numPr>
        <w:adjustRightInd w:val="0"/>
        <w:snapToGrid w:val="0"/>
        <w:spacing w:line="312" w:lineRule="auto"/>
        <w:outlineLvl w:val="1"/>
        <w:rPr>
          <w:rFonts w:ascii="宋体" w:hAnsi="宋体"/>
          <w:b/>
          <w:bCs/>
          <w:sz w:val="24"/>
          <w:highlight w:val="none"/>
        </w:rPr>
      </w:pPr>
      <w:bookmarkStart w:id="230" w:name="_Toc12168"/>
      <w:bookmarkStart w:id="231" w:name="_Toc2614"/>
      <w:r>
        <w:rPr>
          <w:rFonts w:hint="eastAsia" w:ascii="宋体" w:hAnsi="宋体"/>
          <w:b/>
          <w:bCs/>
          <w:sz w:val="24"/>
          <w:highlight w:val="none"/>
        </w:rPr>
        <w:t>服务承包范围：</w:t>
      </w:r>
      <w:bookmarkEnd w:id="230"/>
      <w:bookmarkEnd w:id="231"/>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承接本工程的施工项目，包工不包料。工程项目及工程量如下：</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 分阶段拆除门机大车轨道；</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 破除找平层，清理轨道沟;</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 修复砼基础，修复损坏螺杆，更换轨道垫，通铺钢板垫;</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 轨道焊联安装并调整轨道，技术指导下调整全线轨道平直度;</w:t>
      </w:r>
    </w:p>
    <w:p>
      <w:pPr>
        <w:adjustRightInd w:val="0"/>
        <w:snapToGrid w:val="0"/>
        <w:spacing w:line="540" w:lineRule="exact"/>
        <w:ind w:firstLine="480" w:firstLineChars="200"/>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 垃圾清运。</w:t>
      </w:r>
    </w:p>
    <w:p>
      <w:pPr>
        <w:numPr>
          <w:ilvl w:val="0"/>
          <w:numId w:val="3"/>
        </w:numPr>
        <w:adjustRightInd w:val="0"/>
        <w:snapToGrid w:val="0"/>
        <w:spacing w:line="312" w:lineRule="auto"/>
        <w:outlineLvl w:val="1"/>
        <w:rPr>
          <w:rFonts w:ascii="宋体" w:hAnsi="宋体"/>
          <w:b/>
          <w:bCs/>
          <w:sz w:val="24"/>
          <w:highlight w:val="none"/>
        </w:rPr>
      </w:pPr>
      <w:bookmarkStart w:id="232" w:name="_Toc22189"/>
      <w:bookmarkStart w:id="233" w:name="_Toc8235"/>
      <w:r>
        <w:rPr>
          <w:rFonts w:hint="eastAsia" w:ascii="宋体" w:hAnsi="宋体"/>
          <w:b/>
          <w:bCs/>
          <w:sz w:val="24"/>
          <w:highlight w:val="none"/>
        </w:rPr>
        <w:t>服务要求、质量和标准：</w:t>
      </w:r>
      <w:bookmarkEnd w:id="232"/>
      <w:bookmarkEnd w:id="233"/>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1、本工程的施工质量必须达到国家起重机钢轨安装GB3426-82相关规定的标准要求。</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2、乙方必须严格按照甲方质量管理体系的要求，进行工程质量控制，并按甲方的有关要求填报相关表格，交甲方整理存档。</w:t>
      </w:r>
    </w:p>
    <w:p>
      <w:pPr>
        <w:adjustRightInd w:val="0"/>
        <w:snapToGrid w:val="0"/>
        <w:spacing w:line="540" w:lineRule="exact"/>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3、所承包的工程结束，满足安全性、可靠性、使用性能的要求（开工前签订安全施工责任合同），符合国家最新相关施工验收规范、检验标准的要求。</w:t>
      </w:r>
    </w:p>
    <w:p>
      <w:pPr>
        <w:adjustRightInd w:val="0"/>
        <w:snapToGrid w:val="0"/>
        <w:spacing w:line="540" w:lineRule="exact"/>
        <w:ind w:firstLine="480" w:firstLineChars="200"/>
        <w:rPr>
          <w:rFonts w:hint="eastAsia" w:ascii="宋体" w:hAnsi="宋体" w:cs="宋体"/>
          <w:sz w:val="24"/>
          <w:highlight w:val="none"/>
        </w:rPr>
      </w:pPr>
      <w:r>
        <w:rPr>
          <w:rFonts w:hint="eastAsia" w:ascii="宋体" w:hAnsi="宋体" w:eastAsia="宋体" w:cs="宋体"/>
          <w:bCs/>
          <w:color w:val="000000"/>
          <w:sz w:val="24"/>
          <w:szCs w:val="24"/>
          <w:highlight w:val="none"/>
          <w:lang w:val="en-US" w:eastAsia="zh-CN"/>
        </w:rPr>
        <w:t>4、工程质量保修期按从竣工验收合格后18个月执行。工程质量保修期起始日期自竣工验收报告签署之日起。</w:t>
      </w:r>
    </w:p>
    <w:p>
      <w:pPr>
        <w:spacing w:line="312" w:lineRule="auto"/>
        <w:outlineLvl w:val="1"/>
        <w:rPr>
          <w:rFonts w:ascii="宋体" w:hAnsi="宋体"/>
          <w:b/>
          <w:bCs/>
          <w:sz w:val="24"/>
          <w:highlight w:val="none"/>
        </w:rPr>
      </w:pPr>
      <w:bookmarkStart w:id="234" w:name="_Toc22006"/>
      <w:bookmarkStart w:id="235" w:name="_Toc9470"/>
      <w:r>
        <w:rPr>
          <w:rFonts w:hint="eastAsia" w:ascii="宋体" w:hAnsi="宋体"/>
          <w:b/>
          <w:bCs/>
          <w:sz w:val="24"/>
          <w:highlight w:val="none"/>
        </w:rPr>
        <w:t>（五</w:t>
      </w:r>
      <w:r>
        <w:rPr>
          <w:rFonts w:ascii="宋体" w:hAnsi="宋体"/>
          <w:b/>
          <w:bCs/>
          <w:sz w:val="24"/>
          <w:highlight w:val="none"/>
        </w:rPr>
        <w:t>）</w:t>
      </w:r>
      <w:r>
        <w:rPr>
          <w:rFonts w:hint="eastAsia" w:ascii="宋体" w:hAnsi="宋体"/>
          <w:b/>
          <w:bCs/>
          <w:sz w:val="24"/>
          <w:highlight w:val="none"/>
        </w:rPr>
        <w:t>工期及验收：</w:t>
      </w:r>
      <w:bookmarkEnd w:id="234"/>
      <w:bookmarkEnd w:id="235"/>
    </w:p>
    <w:p>
      <w:pPr>
        <w:pStyle w:val="17"/>
        <w:ind w:firstLine="720" w:firstLineChars="300"/>
        <w:rPr>
          <w:rFonts w:hAnsi="宋体"/>
          <w:highlight w:val="none"/>
        </w:rPr>
      </w:pPr>
      <w:r>
        <w:rPr>
          <w:rFonts w:hint="eastAsia" w:hAnsi="宋体"/>
          <w:highlight w:val="none"/>
        </w:rPr>
        <w:t>本工程工期为     日历日</w:t>
      </w:r>
    </w:p>
    <w:p>
      <w:pPr>
        <w:pStyle w:val="17"/>
        <w:ind w:firstLine="0"/>
        <w:outlineLvl w:val="1"/>
        <w:rPr>
          <w:rFonts w:hint="eastAsia" w:hAnsi="宋体" w:eastAsia="宋体" w:cs="宋体"/>
          <w:szCs w:val="24"/>
          <w:highlight w:val="none"/>
          <w:lang w:val="en-US" w:eastAsia="zh-CN"/>
        </w:rPr>
      </w:pPr>
      <w:bookmarkStart w:id="236" w:name="_Toc12667"/>
      <w:bookmarkStart w:id="237" w:name="_Toc10428"/>
      <w:r>
        <w:rPr>
          <w:rFonts w:hint="eastAsia" w:hAnsi="宋体"/>
          <w:b/>
          <w:bCs/>
          <w:highlight w:val="none"/>
        </w:rPr>
        <w:t>（六）</w:t>
      </w:r>
      <w:r>
        <w:rPr>
          <w:rFonts w:hAnsi="宋体"/>
          <w:b/>
          <w:bCs/>
          <w:highlight w:val="none"/>
        </w:rPr>
        <w:t>适用法规政策目</w:t>
      </w:r>
      <w:bookmarkEnd w:id="236"/>
      <w:r>
        <w:rPr>
          <w:rFonts w:hint="eastAsia" w:hAnsi="宋体"/>
          <w:b/>
          <w:bCs/>
          <w:highlight w:val="none"/>
          <w:lang w:val="en-US" w:eastAsia="zh-CN"/>
        </w:rPr>
        <w:t>录</w:t>
      </w:r>
      <w:bookmarkEnd w:id="237"/>
    </w:p>
    <w:p>
      <w:pPr>
        <w:numPr>
          <w:ilvl w:val="255"/>
          <w:numId w:val="0"/>
        </w:numPr>
        <w:spacing w:line="312" w:lineRule="auto"/>
        <w:ind w:firstLine="480" w:firstLineChars="200"/>
        <w:rPr>
          <w:rFonts w:hint="eastAsia" w:ascii="宋体" w:hAnsi="宋体" w:cs="宋体"/>
          <w:sz w:val="24"/>
          <w:highlight w:val="none"/>
        </w:rPr>
      </w:pPr>
      <w:r>
        <w:rPr>
          <w:rFonts w:hint="eastAsia" w:ascii="宋体" w:hAnsi="宋体" w:cs="宋体"/>
          <w:sz w:val="24"/>
          <w:highlight w:val="none"/>
        </w:rPr>
        <w:t>ISO14001环境管理</w:t>
      </w:r>
    </w:p>
    <w:p>
      <w:pPr>
        <w:pStyle w:val="17"/>
      </w:pPr>
    </w:p>
    <w:p>
      <w:pPr>
        <w:adjustRightInd w:val="0"/>
        <w:snapToGrid w:val="0"/>
        <w:spacing w:line="312" w:lineRule="auto"/>
        <w:outlineLvl w:val="1"/>
        <w:rPr>
          <w:rFonts w:hint="eastAsia" w:ascii="宋体" w:hAnsi="宋体"/>
          <w:sz w:val="24"/>
          <w:highlight w:val="none"/>
        </w:rPr>
      </w:pPr>
      <w:bookmarkStart w:id="238" w:name="_Toc634"/>
      <w:bookmarkStart w:id="239" w:name="_Toc7572"/>
      <w:r>
        <w:rPr>
          <w:rFonts w:hint="eastAsia" w:ascii="宋体" w:hAnsi="宋体"/>
          <w:b/>
          <w:bCs/>
          <w:sz w:val="24"/>
          <w:highlight w:val="none"/>
        </w:rPr>
        <w:t>（七</w:t>
      </w:r>
      <w:r>
        <w:rPr>
          <w:rFonts w:ascii="宋体" w:hAnsi="宋体"/>
          <w:b/>
          <w:bCs/>
          <w:sz w:val="24"/>
          <w:highlight w:val="none"/>
        </w:rPr>
        <w:t>）</w:t>
      </w:r>
      <w:r>
        <w:rPr>
          <w:rFonts w:hint="eastAsia" w:ascii="宋体" w:hAnsi="宋体"/>
          <w:b/>
          <w:bCs/>
          <w:sz w:val="24"/>
          <w:highlight w:val="none"/>
        </w:rPr>
        <w:t>其它需要说明的事项：</w:t>
      </w:r>
      <w:r>
        <w:rPr>
          <w:rFonts w:hint="eastAsia" w:ascii="宋体" w:hAnsi="宋体" w:cs="宋体"/>
          <w:sz w:val="24"/>
          <w:highlight w:val="none"/>
        </w:rPr>
        <w:t>最终结算以现场签证</w:t>
      </w:r>
      <w:r>
        <w:rPr>
          <w:rFonts w:hint="eastAsia" w:ascii="宋体" w:hAnsi="宋体" w:cs="宋体"/>
          <w:sz w:val="24"/>
          <w:highlight w:val="none"/>
          <w:lang w:val="en-US" w:eastAsia="zh-CN"/>
        </w:rPr>
        <w:t>及施工项目实际清单量为准</w:t>
      </w:r>
      <w:bookmarkEnd w:id="238"/>
      <w:bookmarkEnd w:id="239"/>
    </w:p>
    <w:p>
      <w:pPr>
        <w:rPr>
          <w:rFonts w:ascii="微软雅黑" w:hAnsi="微软雅黑" w:eastAsia="微软雅黑"/>
          <w:sz w:val="24"/>
          <w:szCs w:val="24"/>
          <w:highlight w:val="none"/>
          <w:lang w:val="zh-CN"/>
        </w:rPr>
      </w:pPr>
      <w:r>
        <w:rPr>
          <w:rFonts w:ascii="微软雅黑" w:hAnsi="微软雅黑" w:eastAsia="微软雅黑"/>
          <w:sz w:val="24"/>
          <w:szCs w:val="24"/>
          <w:highlight w:val="none"/>
          <w:lang w:val="zh-CN"/>
        </w:rPr>
        <w:br w:type="page"/>
      </w:r>
    </w:p>
    <w:p>
      <w:pPr>
        <w:spacing w:line="312" w:lineRule="auto"/>
        <w:jc w:val="center"/>
        <w:outlineLvl w:val="0"/>
        <w:rPr>
          <w:rFonts w:ascii="黑体" w:hAnsi="黑体" w:eastAsia="黑体" w:cs="仿宋"/>
          <w:b/>
          <w:color w:val="000000"/>
          <w:sz w:val="36"/>
          <w:szCs w:val="36"/>
          <w:highlight w:val="none"/>
        </w:rPr>
      </w:pPr>
      <w:bookmarkStart w:id="240" w:name="_Toc14418"/>
      <w:bookmarkStart w:id="241" w:name="_Toc14210"/>
      <w:bookmarkStart w:id="242" w:name="_Toc29506"/>
      <w:r>
        <w:rPr>
          <w:rFonts w:hint="eastAsia" w:ascii="黑体" w:hAnsi="黑体" w:eastAsia="黑体" w:cs="仿宋"/>
          <w:b/>
          <w:color w:val="000000"/>
          <w:sz w:val="36"/>
          <w:szCs w:val="36"/>
          <w:highlight w:val="none"/>
        </w:rPr>
        <w:t>第六章  响应文件格式</w:t>
      </w:r>
      <w:bookmarkEnd w:id="240"/>
      <w:bookmarkEnd w:id="241"/>
      <w:bookmarkEnd w:id="242"/>
    </w:p>
    <w:p>
      <w:pPr>
        <w:jc w:val="center"/>
        <w:rPr>
          <w:rFonts w:ascii="仿宋" w:hAnsi="仿宋" w:eastAsia="仿宋" w:cs="仿宋"/>
          <w:sz w:val="30"/>
          <w:szCs w:val="30"/>
          <w:highlight w:val="none"/>
        </w:rPr>
      </w:pPr>
    </w:p>
    <w:p>
      <w:pPr>
        <w:jc w:val="center"/>
        <w:rPr>
          <w:rFonts w:ascii="仿宋" w:hAnsi="仿宋" w:eastAsia="仿宋" w:cs="仿宋"/>
          <w:sz w:val="30"/>
          <w:szCs w:val="30"/>
          <w:highlight w:val="none"/>
        </w:rPr>
      </w:pPr>
    </w:p>
    <w:p>
      <w:pPr>
        <w:jc w:val="center"/>
        <w:rPr>
          <w:rFonts w:ascii="仿宋" w:hAnsi="仿宋" w:eastAsia="仿宋" w:cs="仿宋"/>
          <w:sz w:val="30"/>
          <w:szCs w:val="30"/>
          <w:highlight w:val="none"/>
        </w:rPr>
      </w:pPr>
    </w:p>
    <w:p>
      <w:pPr>
        <w:jc w:val="center"/>
        <w:outlineLvl w:val="1"/>
        <w:rPr>
          <w:rFonts w:eastAsia="方正小标宋_GBK"/>
          <w:b/>
          <w:bCs/>
          <w:sz w:val="40"/>
          <w:szCs w:val="36"/>
          <w:highlight w:val="none"/>
        </w:rPr>
      </w:pPr>
      <w:r>
        <w:rPr>
          <w:rFonts w:hint="eastAsia" w:eastAsia="方正小标宋_GBK"/>
          <w:bCs/>
          <w:sz w:val="48"/>
          <w:szCs w:val="44"/>
          <w:highlight w:val="none"/>
          <w:u w:val="single"/>
        </w:rPr>
        <w:t xml:space="preserve">       </w:t>
      </w:r>
      <w:r>
        <w:rPr>
          <w:rFonts w:eastAsia="方正小标宋_GBK"/>
          <w:bCs/>
          <w:sz w:val="48"/>
          <w:szCs w:val="44"/>
          <w:highlight w:val="none"/>
          <w:u w:val="single"/>
        </w:rPr>
        <w:t xml:space="preserve">            </w:t>
      </w:r>
      <w:bookmarkStart w:id="243" w:name="_Toc10245"/>
      <w:bookmarkStart w:id="244" w:name="_Toc2643"/>
      <w:r>
        <w:rPr>
          <w:rFonts w:hint="eastAsia" w:eastAsia="方正小标宋_GBK"/>
          <w:b/>
          <w:bCs/>
          <w:sz w:val="40"/>
          <w:szCs w:val="36"/>
          <w:highlight w:val="none"/>
        </w:rPr>
        <w:t>项目</w:t>
      </w:r>
      <w:bookmarkEnd w:id="243"/>
      <w:bookmarkEnd w:id="244"/>
    </w:p>
    <w:p>
      <w:pPr>
        <w:widowControl w:val="0"/>
        <w:spacing w:before="240" w:beforeLines="100" w:after="240" w:afterLines="100" w:line="240" w:lineRule="auto"/>
        <w:jc w:val="center"/>
        <w:rPr>
          <w:rFonts w:eastAsia="楷体_GB2312"/>
          <w:b/>
          <w:bCs/>
          <w:sz w:val="28"/>
          <w:szCs w:val="28"/>
          <w:highlight w:val="none"/>
        </w:rPr>
      </w:pPr>
      <w:r>
        <w:rPr>
          <w:rFonts w:eastAsia="楷体_GB2312"/>
          <w:b/>
          <w:bCs/>
          <w:sz w:val="28"/>
          <w:szCs w:val="28"/>
          <w:highlight w:val="none"/>
        </w:rPr>
        <w:t>（项目</w:t>
      </w:r>
      <w:r>
        <w:rPr>
          <w:rFonts w:hint="eastAsia" w:eastAsia="楷体_GB2312"/>
          <w:b/>
          <w:bCs/>
          <w:sz w:val="28"/>
          <w:szCs w:val="28"/>
          <w:highlight w:val="none"/>
        </w:rPr>
        <w:t>采购</w:t>
      </w:r>
      <w:r>
        <w:rPr>
          <w:rFonts w:eastAsia="楷体_GB2312"/>
          <w:b/>
          <w:bCs/>
          <w:sz w:val="28"/>
          <w:szCs w:val="28"/>
          <w:highlight w:val="none"/>
        </w:rPr>
        <w:t>编号：</w:t>
      </w:r>
      <w:r>
        <w:rPr>
          <w:rFonts w:eastAsia="楷体_GB2312"/>
          <w:b/>
          <w:bCs/>
          <w:sz w:val="28"/>
          <w:szCs w:val="28"/>
          <w:highlight w:val="none"/>
          <w:u w:val="single"/>
        </w:rPr>
        <w:t xml:space="preserve">   </w:t>
      </w:r>
      <w:r>
        <w:rPr>
          <w:rFonts w:hint="eastAsia" w:eastAsia="楷体_GB2312"/>
          <w:b/>
          <w:bCs/>
          <w:sz w:val="28"/>
          <w:szCs w:val="28"/>
          <w:highlight w:val="none"/>
          <w:u w:val="single"/>
        </w:rPr>
        <w:t>填入项目采购编号</w:t>
      </w:r>
      <w:r>
        <w:rPr>
          <w:rFonts w:eastAsia="楷体_GB2312"/>
          <w:b/>
          <w:bCs/>
          <w:sz w:val="28"/>
          <w:szCs w:val="28"/>
          <w:highlight w:val="none"/>
          <w:u w:val="single"/>
        </w:rPr>
        <w:t xml:space="preserve">     </w:t>
      </w:r>
      <w:r>
        <w:rPr>
          <w:rFonts w:eastAsia="楷体_GB2312"/>
          <w:b/>
          <w:bCs/>
          <w:sz w:val="28"/>
          <w:szCs w:val="28"/>
          <w:highlight w:val="none"/>
        </w:rPr>
        <w:t>）</w:t>
      </w:r>
    </w:p>
    <w:p>
      <w:pPr>
        <w:widowControl w:val="0"/>
        <w:adjustRightInd w:val="0"/>
        <w:snapToGrid w:val="0"/>
        <w:rPr>
          <w:b/>
          <w:highlight w:val="none"/>
        </w:rPr>
      </w:pPr>
    </w:p>
    <w:p>
      <w:pPr>
        <w:spacing w:line="288" w:lineRule="auto"/>
        <w:jc w:val="center"/>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r>
        <w:rPr>
          <w:rFonts w:hint="eastAsia" w:eastAsia="方正小标宋_GBK"/>
          <w:b/>
          <w:bCs/>
          <w:spacing w:val="160"/>
          <w:sz w:val="72"/>
          <w:szCs w:val="72"/>
          <w:highlight w:val="none"/>
        </w:rPr>
        <w:t>响应</w:t>
      </w:r>
      <w:r>
        <w:rPr>
          <w:rFonts w:eastAsia="方正小标宋_GBK"/>
          <w:b/>
          <w:bCs/>
          <w:spacing w:val="160"/>
          <w:sz w:val="72"/>
          <w:szCs w:val="72"/>
          <w:highlight w:val="none"/>
        </w:rPr>
        <w:t>文件</w:t>
      </w: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900" w:lineRule="exact"/>
        <w:jc w:val="center"/>
        <w:rPr>
          <w:rFonts w:eastAsia="黑体"/>
          <w:bCs/>
          <w:sz w:val="30"/>
          <w:szCs w:val="30"/>
          <w:highlight w:val="none"/>
        </w:rPr>
      </w:pPr>
      <w:r>
        <w:rPr>
          <w:rFonts w:hint="eastAsia" w:eastAsia="黑体"/>
          <w:bCs/>
          <w:sz w:val="30"/>
          <w:szCs w:val="30"/>
          <w:highlight w:val="none"/>
        </w:rPr>
        <w:t>供 应 商</w:t>
      </w:r>
      <w:r>
        <w:rPr>
          <w:rFonts w:eastAsia="黑体"/>
          <w:bCs/>
          <w:sz w:val="30"/>
          <w:szCs w:val="30"/>
          <w:highlight w:val="none"/>
        </w:rPr>
        <w:t>：</w:t>
      </w:r>
      <w:r>
        <w:rPr>
          <w:rFonts w:eastAsia="黑体"/>
          <w:bCs/>
          <w:sz w:val="30"/>
          <w:szCs w:val="30"/>
          <w:highlight w:val="none"/>
          <w:u w:val="single"/>
        </w:rPr>
        <w:t xml:space="preserve">  </w:t>
      </w:r>
      <w:r>
        <w:rPr>
          <w:rFonts w:hint="eastAsia" w:eastAsia="黑体"/>
          <w:bCs/>
          <w:sz w:val="30"/>
          <w:szCs w:val="30"/>
          <w:highlight w:val="none"/>
          <w:u w:val="single"/>
        </w:rPr>
        <w:t>供应商</w:t>
      </w:r>
      <w:r>
        <w:rPr>
          <w:rFonts w:eastAsia="黑体"/>
          <w:bCs/>
          <w:sz w:val="30"/>
          <w:szCs w:val="30"/>
          <w:highlight w:val="none"/>
          <w:u w:val="single"/>
        </w:rPr>
        <w:t xml:space="preserve">全称并盖单位公章 </w:t>
      </w:r>
    </w:p>
    <w:p>
      <w:pPr>
        <w:spacing w:line="900" w:lineRule="exact"/>
        <w:jc w:val="center"/>
        <w:rPr>
          <w:rFonts w:eastAsia="黑体"/>
          <w:sz w:val="30"/>
          <w:szCs w:val="30"/>
          <w:highlight w:val="none"/>
        </w:rPr>
      </w:pPr>
      <w:r>
        <w:rPr>
          <w:rFonts w:eastAsia="黑体"/>
          <w:sz w:val="30"/>
          <w:szCs w:val="30"/>
          <w:highlight w:val="none"/>
        </w:rPr>
        <w:t>日</w:t>
      </w:r>
      <w:r>
        <w:rPr>
          <w:rFonts w:hint="eastAsia" w:eastAsia="黑体"/>
          <w:sz w:val="30"/>
          <w:szCs w:val="30"/>
          <w:highlight w:val="none"/>
        </w:rPr>
        <w:t xml:space="preserve">   </w:t>
      </w:r>
      <w:r>
        <w:rPr>
          <w:rFonts w:eastAsia="黑体"/>
          <w:sz w:val="30"/>
          <w:szCs w:val="30"/>
          <w:highlight w:val="none"/>
        </w:rPr>
        <w:t>期：</w:t>
      </w:r>
      <w:r>
        <w:rPr>
          <w:rFonts w:eastAsia="黑体"/>
          <w:sz w:val="30"/>
          <w:szCs w:val="30"/>
          <w:highlight w:val="none"/>
          <w:u w:val="single"/>
        </w:rPr>
        <w:t xml:space="preserve">      </w:t>
      </w:r>
      <w:r>
        <w:rPr>
          <w:rFonts w:eastAsia="黑体"/>
          <w:sz w:val="30"/>
          <w:szCs w:val="30"/>
          <w:highlight w:val="none"/>
        </w:rPr>
        <w:t>年</w:t>
      </w:r>
      <w:r>
        <w:rPr>
          <w:rFonts w:eastAsia="黑体"/>
          <w:sz w:val="30"/>
          <w:szCs w:val="30"/>
          <w:highlight w:val="none"/>
          <w:u w:val="single"/>
        </w:rPr>
        <w:t xml:space="preserve">    </w:t>
      </w:r>
      <w:r>
        <w:rPr>
          <w:rFonts w:eastAsia="黑体"/>
          <w:sz w:val="30"/>
          <w:szCs w:val="30"/>
          <w:highlight w:val="none"/>
        </w:rPr>
        <w:t>月</w:t>
      </w:r>
      <w:r>
        <w:rPr>
          <w:rFonts w:eastAsia="黑体"/>
          <w:sz w:val="30"/>
          <w:szCs w:val="30"/>
          <w:highlight w:val="none"/>
          <w:u w:val="single"/>
        </w:rPr>
        <w:t xml:space="preserve">    </w:t>
      </w:r>
      <w:r>
        <w:rPr>
          <w:rFonts w:eastAsia="黑体"/>
          <w:sz w:val="30"/>
          <w:szCs w:val="30"/>
          <w:highlight w:val="none"/>
        </w:rPr>
        <w:t>日</w:t>
      </w:r>
    </w:p>
    <w:p>
      <w:pPr>
        <w:pStyle w:val="17"/>
        <w:ind w:firstLine="0"/>
        <w:rPr>
          <w:rFonts w:hint="eastAsia" w:ascii="黑体" w:hAnsi="黑体" w:eastAsia="黑体" w:cs="仿宋"/>
          <w:sz w:val="36"/>
          <w:szCs w:val="36"/>
          <w:highlight w:val="none"/>
        </w:rPr>
      </w:pPr>
    </w:p>
    <w:p>
      <w:pPr>
        <w:adjustRightInd w:val="0"/>
        <w:snapToGrid w:val="0"/>
        <w:spacing w:line="60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 xml:space="preserve">目 </w:t>
      </w:r>
      <w:r>
        <w:rPr>
          <w:rFonts w:ascii="黑体" w:hAnsi="黑体" w:eastAsia="黑体" w:cs="仿宋"/>
          <w:sz w:val="36"/>
          <w:szCs w:val="36"/>
          <w:highlight w:val="none"/>
        </w:rPr>
        <w:t xml:space="preserve"> </w:t>
      </w:r>
      <w:r>
        <w:rPr>
          <w:rFonts w:hint="eastAsia" w:ascii="黑体" w:hAnsi="黑体" w:eastAsia="黑体" w:cs="仿宋"/>
          <w:sz w:val="36"/>
          <w:szCs w:val="36"/>
          <w:highlight w:val="none"/>
        </w:rPr>
        <w:t>录</w:t>
      </w:r>
    </w:p>
    <w:p>
      <w:pPr>
        <w:adjustRightInd w:val="0"/>
        <w:snapToGrid w:val="0"/>
        <w:spacing w:line="600" w:lineRule="exact"/>
        <w:jc w:val="both"/>
        <w:rPr>
          <w:rFonts w:ascii="宋体" w:hAnsi="宋体" w:cs="仿宋"/>
          <w:sz w:val="36"/>
          <w:szCs w:val="36"/>
          <w:highlight w:val="none"/>
        </w:rPr>
      </w:pPr>
    </w:p>
    <w:p>
      <w:pPr>
        <w:adjustRightInd w:val="0"/>
        <w:snapToGrid w:val="0"/>
        <w:spacing w:line="600" w:lineRule="exact"/>
        <w:jc w:val="both"/>
        <w:rPr>
          <w:highlight w:val="none"/>
        </w:rPr>
      </w:pPr>
      <w:r>
        <w:rPr>
          <w:rFonts w:hint="eastAsia" w:ascii="宋体" w:hAnsi="宋体" w:cs="仿宋"/>
          <w:sz w:val="24"/>
          <w:highlight w:val="none"/>
        </w:rPr>
        <w:t>一、响应函</w:t>
      </w:r>
    </w:p>
    <w:p>
      <w:pPr>
        <w:adjustRightInd w:val="0"/>
        <w:snapToGrid w:val="0"/>
        <w:spacing w:line="600" w:lineRule="exact"/>
        <w:jc w:val="both"/>
        <w:rPr>
          <w:highlight w:val="none"/>
        </w:rPr>
      </w:pPr>
      <w:r>
        <w:rPr>
          <w:rFonts w:hint="eastAsia" w:ascii="宋体" w:hAnsi="宋体" w:cs="仿宋"/>
          <w:sz w:val="24"/>
          <w:highlight w:val="none"/>
        </w:rPr>
        <w:t>二、授权委托书(适用于有委托代理人的情况)</w:t>
      </w:r>
    </w:p>
    <w:p>
      <w:pPr>
        <w:spacing w:line="600" w:lineRule="exact"/>
        <w:jc w:val="both"/>
        <w:rPr>
          <w:rFonts w:ascii="宋体" w:hAnsi="宋体" w:cs="仿宋"/>
          <w:sz w:val="24"/>
          <w:highlight w:val="none"/>
        </w:rPr>
      </w:pPr>
      <w:r>
        <w:rPr>
          <w:rFonts w:hint="eastAsia" w:ascii="宋体" w:hAnsi="宋体" w:cs="仿宋"/>
          <w:sz w:val="24"/>
          <w:highlight w:val="none"/>
        </w:rPr>
        <w:t>三</w:t>
      </w:r>
      <w:r>
        <w:rPr>
          <w:rFonts w:hint="eastAsia" w:ascii="宋体" w:hAnsi="宋体" w:cs="仿宋"/>
          <w:sz w:val="24"/>
          <w:highlight w:val="none"/>
          <w:lang w:eastAsia="zh-CN"/>
        </w:rPr>
        <w:t>、</w:t>
      </w:r>
      <w:r>
        <w:rPr>
          <w:rFonts w:hint="eastAsia" w:ascii="宋体" w:hAnsi="宋体" w:cs="仿宋"/>
          <w:sz w:val="24"/>
          <w:highlight w:val="none"/>
        </w:rPr>
        <w:t>商务与技术偏差表</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四、报价表</w:t>
      </w:r>
    </w:p>
    <w:p>
      <w:pPr>
        <w:adjustRightInd w:val="0"/>
        <w:snapToGrid w:val="0"/>
        <w:spacing w:line="600" w:lineRule="exact"/>
        <w:jc w:val="both"/>
        <w:rPr>
          <w:highlight w:val="none"/>
        </w:rPr>
      </w:pPr>
      <w:r>
        <w:rPr>
          <w:rFonts w:hint="eastAsia" w:ascii="宋体" w:hAnsi="宋体" w:cs="仿宋"/>
          <w:sz w:val="24"/>
          <w:highlight w:val="none"/>
        </w:rPr>
        <w:t>五、资格审查资料</w:t>
      </w:r>
    </w:p>
    <w:p>
      <w:pPr>
        <w:adjustRightInd w:val="0"/>
        <w:snapToGrid w:val="0"/>
        <w:spacing w:line="600" w:lineRule="exact"/>
        <w:jc w:val="both"/>
        <w:rPr>
          <w:highlight w:val="none"/>
        </w:rPr>
      </w:pPr>
      <w:r>
        <w:rPr>
          <w:rFonts w:hint="eastAsia" w:ascii="宋体" w:hAnsi="宋体" w:cs="仿宋"/>
          <w:sz w:val="24"/>
          <w:highlight w:val="none"/>
        </w:rPr>
        <w:t>六、响应方案</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七、其他资料</w:t>
      </w:r>
    </w:p>
    <w:p>
      <w:pPr>
        <w:spacing w:line="600" w:lineRule="exact"/>
        <w:jc w:val="both"/>
        <w:rPr>
          <w:rFonts w:ascii="仿宋" w:hAnsi="仿宋" w:eastAsia="仿宋" w:cs="仿宋"/>
          <w:sz w:val="30"/>
          <w:szCs w:val="30"/>
          <w:highlight w:val="none"/>
        </w:rPr>
      </w:pPr>
      <w:r>
        <w:rPr>
          <w:rFonts w:hint="eastAsia" w:ascii="仿宋" w:hAnsi="仿宋" w:eastAsia="仿宋" w:cs="仿宋"/>
          <w:sz w:val="30"/>
          <w:szCs w:val="30"/>
          <w:highlight w:val="none"/>
        </w:rPr>
        <w:br w:type="page"/>
      </w:r>
    </w:p>
    <w:p>
      <w:pPr>
        <w:numPr>
          <w:ilvl w:val="0"/>
          <w:numId w:val="4"/>
        </w:numPr>
        <w:adjustRightInd w:val="0"/>
        <w:snapToGrid w:val="0"/>
        <w:spacing w:line="60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响应函</w:t>
      </w:r>
    </w:p>
    <w:p>
      <w:pPr>
        <w:adjustRightInd w:val="0"/>
        <w:snapToGrid w:val="0"/>
        <w:spacing w:line="600" w:lineRule="exact"/>
        <w:jc w:val="both"/>
        <w:rPr>
          <w:rFonts w:cs="仿宋" w:asciiTheme="minorEastAsia" w:hAnsiTheme="minorEastAsia" w:eastAsiaTheme="minorEastAsia"/>
          <w:sz w:val="24"/>
          <w:highlight w:val="none"/>
        </w:rPr>
      </w:pP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(采购人名称):</w:t>
      </w:r>
    </w:p>
    <w:p>
      <w:pPr>
        <w:autoSpaceDE w:val="0"/>
        <w:spacing w:line="400" w:lineRule="exact"/>
        <w:jc w:val="both"/>
        <w:rPr>
          <w:rFonts w:ascii="宋体" w:hAnsi="宋体"/>
          <w:sz w:val="24"/>
          <w:highlight w:val="none"/>
          <w:u w:val="none"/>
        </w:rPr>
      </w:pPr>
      <w:r>
        <w:rPr>
          <w:rFonts w:hint="eastAsia" w:cs="仿宋" w:asciiTheme="minorEastAsia" w:hAnsiTheme="minorEastAsia" w:eastAsiaTheme="minorEastAsia"/>
          <w:sz w:val="24"/>
          <w:highlight w:val="none"/>
        </w:rPr>
        <w:t>1.我方已仔细研究了</w:t>
      </w:r>
      <w:r>
        <w:rPr>
          <w:rFonts w:cs="仿宋" w:asciiTheme="minorEastAsia" w:hAnsiTheme="minorEastAsia" w:eastAsiaTheme="minorEastAsia"/>
          <w:sz w:val="24"/>
          <w:highlight w:val="none"/>
          <w:u w:val="single"/>
        </w:rPr>
        <w:t xml:space="preserve">__                     </w:t>
      </w:r>
      <w:r>
        <w:rPr>
          <w:rFonts w:hint="eastAsia" w:cs="仿宋" w:asciiTheme="minorEastAsia" w:hAnsiTheme="minorEastAsia" w:eastAsiaTheme="minorEastAsia"/>
          <w:sz w:val="24"/>
          <w:highlight w:val="none"/>
        </w:rPr>
        <w:t>(项目名称)采购文件的全部内容，愿意以含税价人民币(大写)(￥</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)的报价（其中：增值税税</w:t>
      </w:r>
      <w:r>
        <w:rPr>
          <w:rFonts w:hint="eastAsia" w:cs="仿宋" w:asciiTheme="minorEastAsia" w:hAnsiTheme="minorEastAsia" w:eastAsiaTheme="minorEastAsia"/>
          <w:sz w:val="24"/>
          <w:highlight w:val="none"/>
          <w:lang w:val="en-US" w:eastAsia="zh-CN"/>
        </w:rPr>
        <w:t>率</w:t>
      </w:r>
      <w:r>
        <w:rPr>
          <w:rFonts w:hint="eastAsia" w:cs="仿宋" w:asciiTheme="minorEastAsia" w:hAnsiTheme="minorEastAsia" w:eastAsiaTheme="minorEastAsia"/>
          <w:sz w:val="24"/>
          <w:highlight w:val="none"/>
        </w:rPr>
        <w:t>为:</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)完成本项目服务，并按合同约定履行义务。</w:t>
      </w:r>
      <w:r>
        <w:rPr>
          <w:rFonts w:hint="eastAsia" w:cs="仿宋" w:asciiTheme="minorEastAsia" w:hAnsiTheme="minorEastAsia" w:eastAsiaTheme="minorEastAsia"/>
          <w:sz w:val="24"/>
          <w:highlight w:val="none"/>
          <w:lang w:val="en-US" w:eastAsia="zh-CN"/>
        </w:rPr>
        <w:t>施工期限为：合同签订，</w:t>
      </w:r>
      <w:r>
        <w:rPr>
          <w:rFonts w:hint="eastAsia" w:ascii="宋体" w:hAnsi="宋体"/>
          <w:sz w:val="24"/>
          <w:highlight w:val="none"/>
          <w:u w:val="none"/>
          <w:lang w:val="en-US" w:eastAsia="zh-CN"/>
        </w:rPr>
        <w:t>进场开工后       个日历日</w:t>
      </w:r>
      <w:r>
        <w:rPr>
          <w:rFonts w:hint="eastAsia" w:ascii="宋体" w:hAnsi="宋体"/>
          <w:sz w:val="24"/>
          <w:highlight w:val="none"/>
          <w:u w:val="none"/>
        </w:rPr>
        <w:t xml:space="preserve">  </w:t>
      </w:r>
    </w:p>
    <w:p>
      <w:pPr>
        <w:adjustRightInd w:val="0"/>
        <w:snapToGrid w:val="0"/>
        <w:spacing w:line="600" w:lineRule="exact"/>
        <w:jc w:val="both"/>
        <w:outlineLvl w:val="1"/>
        <w:rPr>
          <w:rFonts w:cs="仿宋" w:asciiTheme="minorEastAsia" w:hAnsiTheme="minorEastAsia" w:eastAsiaTheme="minorEastAsia"/>
          <w:sz w:val="24"/>
          <w:highlight w:val="none"/>
        </w:rPr>
      </w:pPr>
      <w:bookmarkStart w:id="245" w:name="_Toc7826"/>
      <w:r>
        <w:rPr>
          <w:rFonts w:hint="eastAsia" w:cs="仿宋" w:asciiTheme="minorEastAsia" w:hAnsiTheme="minorEastAsia" w:eastAsiaTheme="minorEastAsia"/>
          <w:sz w:val="24"/>
          <w:highlight w:val="none"/>
        </w:rPr>
        <w:t>2.我方的响应文件包括下列内容:</w:t>
      </w:r>
      <w:bookmarkEnd w:id="245"/>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(1)响应函;</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(2)授权委托书(如有);</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3</w:t>
      </w:r>
      <w:r>
        <w:rPr>
          <w:rFonts w:hint="eastAsia" w:cs="仿宋" w:asciiTheme="minorEastAsia" w:hAnsiTheme="minorEastAsia" w:eastAsiaTheme="minorEastAsia"/>
          <w:sz w:val="24"/>
          <w:highlight w:val="none"/>
        </w:rPr>
        <w:t>)商务和技术偏差表;</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4</w:t>
      </w:r>
      <w:r>
        <w:rPr>
          <w:rFonts w:hint="eastAsia" w:cs="仿宋" w:asciiTheme="minorEastAsia" w:hAnsiTheme="minorEastAsia" w:eastAsiaTheme="minorEastAsia"/>
          <w:sz w:val="24"/>
          <w:highlight w:val="none"/>
        </w:rPr>
        <w:t>)报价表;</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5</w:t>
      </w:r>
      <w:r>
        <w:rPr>
          <w:rFonts w:hint="eastAsia" w:cs="仿宋" w:asciiTheme="minorEastAsia" w:hAnsiTheme="minorEastAsia" w:eastAsiaTheme="minorEastAsia"/>
          <w:sz w:val="24"/>
          <w:highlight w:val="none"/>
        </w:rPr>
        <w:t>)资格审查资料;</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6</w:t>
      </w:r>
      <w:r>
        <w:rPr>
          <w:rFonts w:hint="eastAsia" w:cs="仿宋" w:asciiTheme="minorEastAsia" w:hAnsiTheme="minorEastAsia" w:eastAsiaTheme="minorEastAsia"/>
          <w:sz w:val="24"/>
          <w:highlight w:val="none"/>
        </w:rPr>
        <w:t>)响应方案;</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3.我方承诺除商务和技术偏差表列出的偏差外，我方响应采购文件的全部要求。</w:t>
      </w:r>
    </w:p>
    <w:p>
      <w:pPr>
        <w:numPr>
          <w:ilvl w:val="0"/>
          <w:numId w:val="5"/>
        </w:num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我方承诺在采购文件规定的响应文件有效期</w:t>
      </w:r>
      <w:r>
        <w:rPr>
          <w:rFonts w:hint="eastAsia" w:cs="仿宋" w:asciiTheme="minorEastAsia" w:hAnsiTheme="minorEastAsia" w:eastAsiaTheme="minorEastAsia"/>
          <w:sz w:val="24"/>
          <w:highlight w:val="none"/>
          <w:lang w:val="en-US" w:eastAsia="zh-CN"/>
        </w:rPr>
        <w:t>90天</w:t>
      </w:r>
      <w:r>
        <w:rPr>
          <w:rFonts w:hint="eastAsia" w:cs="仿宋" w:asciiTheme="minorEastAsia" w:hAnsiTheme="minorEastAsia" w:eastAsiaTheme="minorEastAsia"/>
          <w:sz w:val="24"/>
          <w:highlight w:val="none"/>
        </w:rPr>
        <w:t>内不撤销响应文件。</w:t>
      </w:r>
    </w:p>
    <w:p>
      <w:pPr>
        <w:numPr>
          <w:ilvl w:val="0"/>
          <w:numId w:val="5"/>
        </w:num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(2)在签订合同时不向你方提出附加条件;</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(3)按照采购文件要求递交履约保证金;</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7.(其他补充说明)。</w:t>
      </w:r>
    </w:p>
    <w:p>
      <w:pPr>
        <w:adjustRightInd w:val="0"/>
        <w:snapToGrid w:val="0"/>
        <w:spacing w:line="600" w:lineRule="exact"/>
        <w:jc w:val="both"/>
        <w:rPr>
          <w:rFonts w:cs="仿宋" w:asciiTheme="minorEastAsia" w:hAnsiTheme="minorEastAsia" w:eastAsiaTheme="minorEastAsia"/>
          <w:sz w:val="24"/>
          <w:highlight w:val="none"/>
        </w:rPr>
      </w:pP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供应商:________________________(盖单位章)</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法定代表人(单位负责人)或其授权的代理人:(签字) </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地址:____________________________________________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电子邮箱：_______________________________________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电话：____________________________________________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传真：____________________________________________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邮政编码：_______________________________________</w:t>
      </w:r>
    </w:p>
    <w:p>
      <w:pPr>
        <w:spacing w:line="600" w:lineRule="exact"/>
        <w:jc w:val="both"/>
        <w:rPr>
          <w:rFonts w:cs="仿宋" w:asciiTheme="minorEastAsia" w:hAnsiTheme="minorEastAsia" w:eastAsiaTheme="minorEastAsia"/>
          <w:sz w:val="24"/>
          <w:highlight w:val="none"/>
        </w:rPr>
      </w:pPr>
    </w:p>
    <w:p>
      <w:pPr>
        <w:spacing w:line="600" w:lineRule="exact"/>
        <w:jc w:val="righ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年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 xml:space="preserve">月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240" w:lineRule="auto"/>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br w:type="page"/>
      </w:r>
    </w:p>
    <w:p>
      <w:pPr>
        <w:spacing w:line="400" w:lineRule="exact"/>
        <w:jc w:val="center"/>
        <w:rPr>
          <w:rFonts w:asciiTheme="minorEastAsia" w:hAnsiTheme="minorEastAsia" w:eastAsiaTheme="minorEastAsia"/>
          <w:color w:val="000000"/>
          <w:sz w:val="24"/>
          <w:highlight w:val="none"/>
        </w:rPr>
      </w:pPr>
      <w:r>
        <w:rPr>
          <w:rFonts w:hint="eastAsia" w:cs="宋体" w:asciiTheme="minorEastAsia" w:hAnsiTheme="minorEastAsia" w:eastAsiaTheme="minorEastAsia"/>
          <w:b/>
          <w:color w:val="000000"/>
          <w:kern w:val="0"/>
          <w:sz w:val="36"/>
          <w:szCs w:val="36"/>
          <w:highlight w:val="none"/>
        </w:rPr>
        <w:t>附：守法诚信承诺书</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××公司：</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1、我司已仔细阅读《××单位××文件》</w:t>
      </w:r>
      <w:r>
        <w:rPr>
          <w:rFonts w:cs="仿宋" w:asciiTheme="minorEastAsia" w:hAnsiTheme="minorEastAsia" w:eastAsiaTheme="minorEastAsia"/>
          <w:sz w:val="24"/>
          <w:highlight w:val="none"/>
        </w:rPr>
        <w:t>（编号</w:t>
      </w: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（以下</w:t>
      </w:r>
      <w:r>
        <w:rPr>
          <w:rFonts w:cs="仿宋" w:asciiTheme="minorEastAsia" w:hAnsiTheme="minorEastAsia" w:eastAsiaTheme="minorEastAsia"/>
          <w:sz w:val="24"/>
          <w:highlight w:val="none"/>
        </w:rPr>
        <w:t>简称</w:t>
      </w:r>
      <w:r>
        <w:rPr>
          <w:rFonts w:hint="eastAsia" w:cs="仿宋" w:asciiTheme="minorEastAsia" w:hAnsiTheme="minorEastAsia" w:eastAsiaTheme="minorEastAsia"/>
          <w:sz w:val="24"/>
          <w:highlight w:val="none"/>
        </w:rPr>
        <w:t>采购</w:t>
      </w:r>
      <w:r>
        <w:rPr>
          <w:rFonts w:cs="仿宋" w:asciiTheme="minorEastAsia" w:hAnsiTheme="minorEastAsia" w:eastAsiaTheme="minorEastAsia"/>
          <w:sz w:val="24"/>
          <w:highlight w:val="none"/>
        </w:rPr>
        <w:t>文件）</w:t>
      </w:r>
      <w:r>
        <w:rPr>
          <w:rFonts w:hint="eastAsia" w:cs="仿宋" w:asciiTheme="minorEastAsia" w:hAnsiTheme="minorEastAsia" w:eastAsiaTheme="minorEastAsia"/>
          <w:sz w:val="24"/>
          <w:highlight w:val="none"/>
        </w:rPr>
        <w:t>，包括采</w:t>
      </w:r>
      <w:r>
        <w:rPr>
          <w:rFonts w:cs="仿宋" w:asciiTheme="minorEastAsia" w:hAnsiTheme="minorEastAsia" w:eastAsiaTheme="minorEastAsia"/>
          <w:sz w:val="24"/>
          <w:highlight w:val="none"/>
        </w:rPr>
        <w:t>购</w:t>
      </w:r>
      <w:r>
        <w:rPr>
          <w:rFonts w:hint="eastAsia" w:cs="仿宋" w:asciiTheme="minorEastAsia" w:hAnsiTheme="minorEastAsia" w:eastAsiaTheme="minorEastAsia"/>
          <w:sz w:val="24"/>
          <w:highlight w:val="none"/>
        </w:rPr>
        <w:t>文件的澄清或修改说明</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完全支持并响应，不存在误解或不明。</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2、遵纪守法，不触底线，公平公正参与竞争。我司提供的《响应文件》及其资料真实合法有效。</w:t>
      </w:r>
      <w:r>
        <w:rPr>
          <w:rFonts w:cs="仿宋" w:asciiTheme="minorEastAsia" w:hAnsiTheme="minorEastAsia" w:eastAsiaTheme="minorEastAsia"/>
          <w:sz w:val="24"/>
          <w:highlight w:val="none"/>
        </w:rPr>
        <w:t xml:space="preserve"> </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3、响应期间没有因质量或</w:t>
      </w:r>
      <w:r>
        <w:rPr>
          <w:rFonts w:cs="仿宋" w:asciiTheme="minorEastAsia" w:hAnsiTheme="minorEastAsia" w:eastAsiaTheme="minorEastAsia"/>
          <w:sz w:val="24"/>
          <w:highlight w:val="none"/>
        </w:rPr>
        <w:t>服务</w:t>
      </w:r>
      <w:r>
        <w:rPr>
          <w:rFonts w:hint="eastAsia" w:cs="仿宋" w:asciiTheme="minorEastAsia" w:hAnsiTheme="minorEastAsia" w:eastAsiaTheme="minorEastAsia"/>
          <w:sz w:val="24"/>
          <w:highlight w:val="none"/>
        </w:rPr>
        <w:t>问题被采购人或采购人上级</w:t>
      </w:r>
      <w:r>
        <w:rPr>
          <w:rFonts w:cs="仿宋" w:asciiTheme="minorEastAsia" w:hAnsiTheme="minorEastAsia" w:eastAsiaTheme="minorEastAsia"/>
          <w:sz w:val="24"/>
          <w:highlight w:val="none"/>
        </w:rPr>
        <w:t>机构</w:t>
      </w:r>
      <w:r>
        <w:rPr>
          <w:rFonts w:hint="eastAsia" w:cs="仿宋" w:asciiTheme="minorEastAsia" w:hAnsiTheme="minorEastAsia" w:eastAsiaTheme="minorEastAsia"/>
          <w:sz w:val="24"/>
          <w:highlight w:val="none"/>
        </w:rPr>
        <w:t>通报且在整改期内。</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4、响应单位法定代表人为同一个人或者存在控股关系，管理关系的不同单位，没有在本项目中同时报价。</w:t>
      </w:r>
    </w:p>
    <w:p>
      <w:pPr>
        <w:spacing w:line="360" w:lineRule="auto"/>
        <w:ind w:firstLine="480" w:firstLineChars="200"/>
        <w:jc w:val="both"/>
        <w:outlineLvl w:val="1"/>
        <w:rPr>
          <w:rFonts w:cs="仿宋" w:asciiTheme="minorEastAsia" w:hAnsiTheme="minorEastAsia" w:eastAsiaTheme="minorEastAsia"/>
          <w:sz w:val="24"/>
          <w:highlight w:val="none"/>
        </w:rPr>
      </w:pPr>
      <w:bookmarkStart w:id="246" w:name="_Toc19216"/>
      <w:bookmarkStart w:id="247" w:name="_Toc21613"/>
      <w:r>
        <w:rPr>
          <w:rFonts w:hint="eastAsia" w:cs="仿宋" w:asciiTheme="minorEastAsia" w:hAnsiTheme="minorEastAsia" w:eastAsiaTheme="minorEastAsia"/>
          <w:sz w:val="24"/>
          <w:highlight w:val="none"/>
        </w:rPr>
        <w:t>5、无联合体另外报价。</w:t>
      </w:r>
      <w:bookmarkEnd w:id="246"/>
      <w:bookmarkEnd w:id="247"/>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7</w:t>
      </w:r>
      <w:r>
        <w:rPr>
          <w:rFonts w:hint="eastAsia" w:cs="仿宋" w:asciiTheme="minorEastAsia" w:hAnsiTheme="minorEastAsia" w:eastAsiaTheme="minorEastAsia"/>
          <w:sz w:val="24"/>
          <w:highlight w:val="none"/>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8</w:t>
      </w:r>
      <w:r>
        <w:rPr>
          <w:rFonts w:hint="eastAsia" w:cs="仿宋" w:asciiTheme="minorEastAsia" w:hAnsiTheme="minorEastAsia" w:eastAsiaTheme="minorEastAsia"/>
          <w:sz w:val="24"/>
          <w:highlight w:val="none"/>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9</w:t>
      </w:r>
      <w:r>
        <w:rPr>
          <w:rFonts w:hint="eastAsia" w:cs="仿宋" w:asciiTheme="minorEastAsia" w:hAnsiTheme="minorEastAsia" w:eastAsiaTheme="minorEastAsia"/>
          <w:sz w:val="24"/>
          <w:highlight w:val="none"/>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专此承诺。</w:t>
      </w:r>
    </w:p>
    <w:p>
      <w:pPr>
        <w:spacing w:line="360" w:lineRule="auto"/>
        <w:ind w:firstLine="2880" w:firstLineChars="1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印刷体全称</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单位公章</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 xml:space="preserve"> </w:t>
      </w:r>
      <w:r>
        <w:rPr>
          <w:rFonts w:cs="仿宋" w:asciiTheme="minorEastAsia" w:hAnsiTheme="minorEastAsia" w:eastAsiaTheme="minorEastAsia"/>
          <w:sz w:val="24"/>
          <w:highlight w:val="none"/>
        </w:rPr>
        <w:t xml:space="preserve">       </w:t>
      </w:r>
    </w:p>
    <w:p>
      <w:pPr>
        <w:spacing w:line="360"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承诺单位法定代表人或其委托代理人（印刷体+</w:t>
      </w:r>
      <w:r>
        <w:rPr>
          <w:rFonts w:cs="仿宋" w:asciiTheme="minorEastAsia" w:hAnsiTheme="minorEastAsia" w:eastAsiaTheme="minorEastAsia"/>
          <w:sz w:val="24"/>
          <w:highlight w:val="none"/>
        </w:rPr>
        <w:t>签字）：</w:t>
      </w:r>
    </w:p>
    <w:p>
      <w:pPr>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年</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月</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600" w:lineRule="exact"/>
        <w:jc w:val="center"/>
        <w:outlineLvl w:val="2"/>
        <w:rPr>
          <w:rFonts w:ascii="黑体" w:hAnsi="黑体" w:eastAsia="黑体" w:cs="仿宋"/>
          <w:sz w:val="36"/>
          <w:szCs w:val="36"/>
          <w:highlight w:val="none"/>
        </w:rPr>
      </w:pPr>
      <w:r>
        <w:rPr>
          <w:rFonts w:hint="eastAsia" w:cs="仿宋" w:asciiTheme="minorEastAsia" w:hAnsiTheme="minorEastAsia" w:eastAsiaTheme="minorEastAsia"/>
          <w:sz w:val="24"/>
          <w:highlight w:val="none"/>
        </w:rPr>
        <w:br w:type="page"/>
      </w:r>
      <w:bookmarkStart w:id="248" w:name="_Toc7751"/>
      <w:r>
        <w:rPr>
          <w:rFonts w:hint="eastAsia" w:ascii="黑体" w:hAnsi="黑体" w:eastAsia="黑体" w:cs="仿宋"/>
          <w:sz w:val="36"/>
          <w:szCs w:val="36"/>
          <w:highlight w:val="none"/>
        </w:rPr>
        <w:t>二、授权委托书</w:t>
      </w:r>
      <w:bookmarkEnd w:id="248"/>
    </w:p>
    <w:p>
      <w:pPr>
        <w:adjustRightInd w:val="0"/>
        <w:snapToGrid w:val="0"/>
        <w:spacing w:line="600" w:lineRule="exact"/>
        <w:ind w:left="420" w:leftChars="200"/>
        <w:jc w:val="both"/>
        <w:rPr>
          <w:rFonts w:cs="仿宋" w:asciiTheme="minorEastAsia" w:hAnsiTheme="minorEastAsia" w:eastAsiaTheme="minorEastAsia"/>
          <w:sz w:val="24"/>
          <w:highlight w:val="none"/>
        </w:rPr>
      </w:pPr>
    </w:p>
    <w:p>
      <w:pPr>
        <w:adjustRightInd w:val="0"/>
        <w:snapToGrid w:val="0"/>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委托期限:自本委托书签署之日起至</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600" w:lineRule="exact"/>
        <w:ind w:left="420" w:leftChars="200" w:firstLine="480" w:firstLineChars="200"/>
        <w:jc w:val="righ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年   月   日</w:t>
      </w:r>
    </w:p>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spacing w:line="600" w:lineRule="exact"/>
        <w:jc w:val="center"/>
        <w:outlineLvl w:val="2"/>
        <w:rPr>
          <w:rFonts w:ascii="黑体" w:hAnsi="黑体" w:eastAsia="黑体" w:cs="仿宋"/>
          <w:sz w:val="36"/>
          <w:szCs w:val="36"/>
          <w:highlight w:val="none"/>
        </w:rPr>
      </w:pPr>
      <w:bookmarkStart w:id="249" w:name="_Toc29927"/>
      <w:r>
        <w:rPr>
          <w:rFonts w:hint="eastAsia" w:ascii="黑体" w:hAnsi="黑体" w:eastAsia="黑体" w:cs="仿宋"/>
          <w:sz w:val="36"/>
          <w:szCs w:val="36"/>
          <w:highlight w:val="none"/>
        </w:rPr>
        <w:t>三、商务和技术偏差表</w:t>
      </w:r>
      <w:bookmarkEnd w:id="249"/>
    </w:p>
    <w:p>
      <w:pPr>
        <w:spacing w:line="600" w:lineRule="exact"/>
        <w:jc w:val="center"/>
        <w:rPr>
          <w:rFonts w:cs="仿宋" w:asciiTheme="minorEastAsia" w:hAnsiTheme="minorEastAsia" w:eastAsiaTheme="minorEastAsia"/>
          <w:sz w:val="24"/>
          <w:highlight w:val="none"/>
        </w:rPr>
      </w:pPr>
    </w:p>
    <w:tbl>
      <w:tblPr>
        <w:tblStyle w:val="20"/>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09"/>
        <w:gridCol w:w="265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58" w:type="dxa"/>
            <w:vAlign w:val="center"/>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序号</w:t>
            </w:r>
          </w:p>
        </w:tc>
        <w:tc>
          <w:tcPr>
            <w:tcW w:w="2809" w:type="dxa"/>
            <w:vAlign w:val="center"/>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采购文件章节及条款号</w:t>
            </w:r>
          </w:p>
        </w:tc>
        <w:tc>
          <w:tcPr>
            <w:tcW w:w="2656" w:type="dxa"/>
            <w:vAlign w:val="center"/>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响应文件章节及条款号</w:t>
            </w:r>
          </w:p>
        </w:tc>
        <w:tc>
          <w:tcPr>
            <w:tcW w:w="2175" w:type="dxa"/>
            <w:vAlign w:val="center"/>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600" w:lineRule="exact"/>
              <w:jc w:val="both"/>
              <w:rPr>
                <w:rFonts w:cs="仿宋" w:asciiTheme="minorEastAsia" w:hAnsiTheme="minorEastAsia" w:eastAsiaTheme="minorEastAsia"/>
                <w:sz w:val="24"/>
                <w:highlight w:val="none"/>
              </w:rPr>
            </w:pPr>
          </w:p>
        </w:tc>
        <w:tc>
          <w:tcPr>
            <w:tcW w:w="2809" w:type="dxa"/>
          </w:tcPr>
          <w:p>
            <w:pPr>
              <w:widowControl/>
              <w:spacing w:line="600" w:lineRule="exact"/>
              <w:jc w:val="both"/>
              <w:rPr>
                <w:rFonts w:cs="仿宋" w:asciiTheme="minorEastAsia" w:hAnsiTheme="minorEastAsia" w:eastAsiaTheme="minorEastAsia"/>
                <w:sz w:val="24"/>
                <w:highlight w:val="none"/>
              </w:rPr>
            </w:pPr>
          </w:p>
        </w:tc>
        <w:tc>
          <w:tcPr>
            <w:tcW w:w="2656" w:type="dxa"/>
          </w:tcPr>
          <w:p>
            <w:pPr>
              <w:widowControl/>
              <w:spacing w:line="600" w:lineRule="exact"/>
              <w:jc w:val="both"/>
              <w:rPr>
                <w:rFonts w:cs="仿宋" w:asciiTheme="minorEastAsia" w:hAnsiTheme="minorEastAsia" w:eastAsiaTheme="minorEastAsia"/>
                <w:sz w:val="24"/>
                <w:highlight w:val="none"/>
              </w:rPr>
            </w:pPr>
          </w:p>
        </w:tc>
        <w:tc>
          <w:tcPr>
            <w:tcW w:w="2175" w:type="dxa"/>
          </w:tcPr>
          <w:p>
            <w:pPr>
              <w:widowControl/>
              <w:spacing w:line="60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600" w:lineRule="exact"/>
              <w:jc w:val="both"/>
              <w:rPr>
                <w:rFonts w:cs="仿宋" w:asciiTheme="minorEastAsia" w:hAnsiTheme="minorEastAsia" w:eastAsiaTheme="minorEastAsia"/>
                <w:sz w:val="24"/>
                <w:highlight w:val="none"/>
              </w:rPr>
            </w:pPr>
          </w:p>
        </w:tc>
        <w:tc>
          <w:tcPr>
            <w:tcW w:w="2809" w:type="dxa"/>
          </w:tcPr>
          <w:p>
            <w:pPr>
              <w:widowControl/>
              <w:spacing w:line="600" w:lineRule="exact"/>
              <w:jc w:val="both"/>
              <w:rPr>
                <w:rFonts w:cs="仿宋" w:asciiTheme="minorEastAsia" w:hAnsiTheme="minorEastAsia" w:eastAsiaTheme="minorEastAsia"/>
                <w:sz w:val="24"/>
                <w:highlight w:val="none"/>
              </w:rPr>
            </w:pPr>
          </w:p>
        </w:tc>
        <w:tc>
          <w:tcPr>
            <w:tcW w:w="2656" w:type="dxa"/>
          </w:tcPr>
          <w:p>
            <w:pPr>
              <w:widowControl/>
              <w:spacing w:line="600" w:lineRule="exact"/>
              <w:jc w:val="both"/>
              <w:rPr>
                <w:rFonts w:cs="仿宋" w:asciiTheme="minorEastAsia" w:hAnsiTheme="minorEastAsia" w:eastAsiaTheme="minorEastAsia"/>
                <w:sz w:val="24"/>
                <w:highlight w:val="none"/>
              </w:rPr>
            </w:pPr>
          </w:p>
        </w:tc>
        <w:tc>
          <w:tcPr>
            <w:tcW w:w="2175" w:type="dxa"/>
          </w:tcPr>
          <w:p>
            <w:pPr>
              <w:widowControl/>
              <w:spacing w:line="60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600" w:lineRule="exact"/>
              <w:jc w:val="both"/>
              <w:rPr>
                <w:rFonts w:cs="仿宋" w:asciiTheme="minorEastAsia" w:hAnsiTheme="minorEastAsia" w:eastAsiaTheme="minorEastAsia"/>
                <w:sz w:val="24"/>
                <w:highlight w:val="none"/>
              </w:rPr>
            </w:pPr>
          </w:p>
        </w:tc>
        <w:tc>
          <w:tcPr>
            <w:tcW w:w="2809" w:type="dxa"/>
          </w:tcPr>
          <w:p>
            <w:pPr>
              <w:widowControl/>
              <w:spacing w:line="600" w:lineRule="exact"/>
              <w:jc w:val="both"/>
              <w:rPr>
                <w:rFonts w:cs="仿宋" w:asciiTheme="minorEastAsia" w:hAnsiTheme="minorEastAsia" w:eastAsiaTheme="minorEastAsia"/>
                <w:sz w:val="24"/>
                <w:highlight w:val="none"/>
              </w:rPr>
            </w:pPr>
          </w:p>
        </w:tc>
        <w:tc>
          <w:tcPr>
            <w:tcW w:w="2656" w:type="dxa"/>
          </w:tcPr>
          <w:p>
            <w:pPr>
              <w:widowControl/>
              <w:spacing w:line="600" w:lineRule="exact"/>
              <w:jc w:val="both"/>
              <w:rPr>
                <w:rFonts w:cs="仿宋" w:asciiTheme="minorEastAsia" w:hAnsiTheme="minorEastAsia" w:eastAsiaTheme="minorEastAsia"/>
                <w:sz w:val="24"/>
                <w:highlight w:val="none"/>
              </w:rPr>
            </w:pPr>
          </w:p>
        </w:tc>
        <w:tc>
          <w:tcPr>
            <w:tcW w:w="2175" w:type="dxa"/>
          </w:tcPr>
          <w:p>
            <w:pPr>
              <w:widowControl/>
              <w:spacing w:line="60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58" w:type="dxa"/>
          </w:tcPr>
          <w:p>
            <w:pPr>
              <w:widowControl/>
              <w:spacing w:line="600" w:lineRule="exact"/>
              <w:jc w:val="both"/>
              <w:rPr>
                <w:rFonts w:cs="仿宋" w:asciiTheme="minorEastAsia" w:hAnsiTheme="minorEastAsia" w:eastAsiaTheme="minorEastAsia"/>
                <w:sz w:val="24"/>
                <w:highlight w:val="none"/>
              </w:rPr>
            </w:pPr>
          </w:p>
        </w:tc>
        <w:tc>
          <w:tcPr>
            <w:tcW w:w="2809" w:type="dxa"/>
          </w:tcPr>
          <w:p>
            <w:pPr>
              <w:widowControl/>
              <w:spacing w:line="600" w:lineRule="exact"/>
              <w:jc w:val="both"/>
              <w:rPr>
                <w:rFonts w:cs="仿宋" w:asciiTheme="minorEastAsia" w:hAnsiTheme="minorEastAsia" w:eastAsiaTheme="minorEastAsia"/>
                <w:sz w:val="24"/>
                <w:highlight w:val="none"/>
              </w:rPr>
            </w:pPr>
          </w:p>
        </w:tc>
        <w:tc>
          <w:tcPr>
            <w:tcW w:w="2656" w:type="dxa"/>
          </w:tcPr>
          <w:p>
            <w:pPr>
              <w:widowControl/>
              <w:spacing w:line="600" w:lineRule="exact"/>
              <w:jc w:val="both"/>
              <w:rPr>
                <w:rFonts w:cs="仿宋" w:asciiTheme="minorEastAsia" w:hAnsiTheme="minorEastAsia" w:eastAsiaTheme="minorEastAsia"/>
                <w:sz w:val="24"/>
                <w:highlight w:val="none"/>
              </w:rPr>
            </w:pPr>
          </w:p>
        </w:tc>
        <w:tc>
          <w:tcPr>
            <w:tcW w:w="2175" w:type="dxa"/>
          </w:tcPr>
          <w:p>
            <w:pPr>
              <w:widowControl/>
              <w:spacing w:line="600" w:lineRule="exact"/>
              <w:jc w:val="both"/>
              <w:rPr>
                <w:rFonts w:cs="仿宋" w:asciiTheme="minorEastAsia" w:hAnsiTheme="minorEastAsia" w:eastAsiaTheme="minorEastAsia"/>
                <w:sz w:val="24"/>
                <w:highlight w:val="none"/>
              </w:rPr>
            </w:pPr>
          </w:p>
        </w:tc>
      </w:tr>
    </w:tbl>
    <w:p>
      <w:pPr>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供应商保证：除商务和技术偏差表列出的偏差外，供应商响应采购文件的全部要求。</w:t>
      </w:r>
    </w:p>
    <w:p>
      <w:pPr>
        <w:spacing w:line="240" w:lineRule="auto"/>
        <w:rPr>
          <w:rFonts w:ascii="黑体" w:hAnsi="黑体" w:eastAsia="黑体" w:cs="仿宋"/>
          <w:color w:val="FF0000"/>
          <w:sz w:val="36"/>
          <w:szCs w:val="36"/>
          <w:highlight w:val="none"/>
        </w:rPr>
      </w:pPr>
      <w:r>
        <w:rPr>
          <w:rFonts w:hint="eastAsia" w:ascii="黑体" w:hAnsi="黑体" w:eastAsia="黑体" w:cs="仿宋"/>
          <w:sz w:val="36"/>
          <w:szCs w:val="36"/>
          <w:highlight w:val="none"/>
        </w:rPr>
        <w:br w:type="page"/>
      </w:r>
    </w:p>
    <w:p>
      <w:pPr>
        <w:spacing w:line="600" w:lineRule="exact"/>
        <w:ind w:left="420"/>
        <w:jc w:val="center"/>
        <w:outlineLvl w:val="2"/>
        <w:rPr>
          <w:rFonts w:ascii="黑体" w:hAnsi="黑体" w:eastAsia="黑体" w:cs="仿宋"/>
          <w:sz w:val="36"/>
          <w:szCs w:val="36"/>
          <w:highlight w:val="none"/>
        </w:rPr>
      </w:pPr>
      <w:bookmarkStart w:id="250" w:name="_Toc12586"/>
      <w:r>
        <w:rPr>
          <w:rFonts w:hint="eastAsia" w:ascii="黑体" w:hAnsi="黑体" w:eastAsia="黑体" w:cs="仿宋"/>
          <w:sz w:val="36"/>
          <w:szCs w:val="36"/>
          <w:highlight w:val="none"/>
        </w:rPr>
        <w:t>四、报价表</w:t>
      </w:r>
      <w:bookmarkEnd w:id="250"/>
    </w:p>
    <w:p>
      <w:pPr>
        <w:spacing w:line="360" w:lineRule="auto"/>
        <w:jc w:val="left"/>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1.报价表说明</w:t>
      </w:r>
    </w:p>
    <w:p>
      <w:pPr>
        <w:spacing w:line="360" w:lineRule="auto"/>
        <w:jc w:val="left"/>
        <w:rPr>
          <w:rFonts w:hint="eastAsia"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2.报价表</w:t>
      </w:r>
    </w:p>
    <w:tbl>
      <w:tblPr>
        <w:tblStyle w:val="19"/>
        <w:tblpPr w:leftFromText="180" w:rightFromText="180" w:vertAnchor="text" w:horzAnchor="page" w:tblpXSpec="center" w:tblpY="370"/>
        <w:tblOverlap w:val="never"/>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466"/>
        <w:gridCol w:w="1130"/>
        <w:gridCol w:w="1048"/>
        <w:gridCol w:w="884"/>
        <w:gridCol w:w="1068"/>
        <w:gridCol w:w="106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highlight w:val="none"/>
                <w:lang w:val="en-US" w:eastAsia="zh-CN" w:bidi="ar"/>
              </w:rPr>
            </w:pPr>
            <w:r>
              <w:rPr>
                <w:rFonts w:hint="eastAsia" w:ascii="宋体" w:hAnsi="宋体" w:cs="宋体"/>
                <w:sz w:val="24"/>
                <w:highlight w:val="none"/>
                <w:lang w:val="en-US" w:eastAsia="zh-CN" w:bidi="ar"/>
              </w:rPr>
              <w:t>序号</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highlight w:val="none"/>
                <w:lang w:bidi="ar"/>
              </w:rPr>
            </w:pPr>
            <w:r>
              <w:rPr>
                <w:rFonts w:hint="eastAsia" w:ascii="宋体" w:hAnsi="宋体" w:cs="宋体"/>
                <w:sz w:val="24"/>
                <w:highlight w:val="none"/>
                <w:lang w:bidi="ar"/>
              </w:rPr>
              <w:t>承接工程项目</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highlight w:val="none"/>
                <w:lang w:bidi="ar"/>
              </w:rPr>
            </w:pPr>
            <w:r>
              <w:rPr>
                <w:rFonts w:hint="eastAsia" w:ascii="宋体" w:hAnsi="宋体" w:cs="宋体"/>
                <w:sz w:val="24"/>
                <w:highlight w:val="none"/>
                <w:lang w:val="en-US" w:eastAsia="zh-CN" w:bidi="ar"/>
              </w:rPr>
              <w:t>型号</w:t>
            </w:r>
          </w:p>
        </w:tc>
        <w:tc>
          <w:tcPr>
            <w:tcW w:w="104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sz w:val="24"/>
                <w:highlight w:val="none"/>
                <w:lang w:val="en-US" w:eastAsia="zh-CN" w:bidi="ar"/>
              </w:rPr>
            </w:pPr>
            <w:r>
              <w:rPr>
                <w:rFonts w:hint="eastAsia" w:ascii="宋体" w:hAnsi="宋体" w:cs="宋体"/>
                <w:sz w:val="24"/>
                <w:highlight w:val="none"/>
                <w:lang w:val="en-US" w:eastAsia="zh-CN" w:bidi="ar"/>
              </w:rPr>
              <w:t>单位</w:t>
            </w:r>
          </w:p>
        </w:tc>
        <w:tc>
          <w:tcPr>
            <w:tcW w:w="88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数量</w:t>
            </w: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单价</w:t>
            </w: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总价</w:t>
            </w:r>
          </w:p>
        </w:tc>
        <w:tc>
          <w:tcPr>
            <w:tcW w:w="10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1</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沥青砂破除</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sz w:val="24"/>
                <w:highlight w:val="none"/>
                <w:lang w:val="en-US" w:eastAsia="zh-CN"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auto"/>
              <w:rPr>
                <w:rFonts w:hint="eastAsia" w:ascii="宋体" w:hAnsi="宋体" w:cs="宋体"/>
                <w:i w:val="0"/>
                <w:iCs w:val="0"/>
                <w:kern w:val="2"/>
                <w:sz w:val="24"/>
                <w:szCs w:val="24"/>
                <w:highlight w:val="none"/>
                <w:u w:val="none"/>
                <w:lang w:val="en-US" w:eastAsia="zh-CN" w:bidi="ar"/>
              </w:rPr>
            </w:pPr>
          </w:p>
          <w:p>
            <w:pPr>
              <w:keepNext w:val="0"/>
              <w:keepLines w:val="0"/>
              <w:widowControl/>
              <w:suppressLineNumbers w:val="0"/>
              <w:jc w:val="center"/>
              <w:textAlignment w:val="auto"/>
              <w:rPr>
                <w:rFonts w:hint="eastAsia" w:ascii="宋体" w:hAnsi="宋体" w:cs="宋体"/>
                <w:i w:val="0"/>
                <w:iCs w:val="0"/>
                <w:kern w:val="2"/>
                <w:sz w:val="24"/>
                <w:szCs w:val="24"/>
                <w:highlight w:val="none"/>
                <w:u w:val="none"/>
                <w:lang w:val="en-US" w:eastAsia="zh-CN" w:bidi="ar"/>
              </w:rPr>
            </w:pPr>
          </w:p>
          <w:p>
            <w:pPr>
              <w:keepNext w:val="0"/>
              <w:keepLines w:val="0"/>
              <w:widowControl/>
              <w:suppressLineNumbers w:val="0"/>
              <w:jc w:val="center"/>
              <w:textAlignment w:val="auto"/>
              <w:rPr>
                <w:rFonts w:hint="default" w:ascii="宋体" w:hAnsi="宋体" w:cs="宋体"/>
                <w:i w:val="0"/>
                <w:iCs w:val="0"/>
                <w:kern w:val="2"/>
                <w:sz w:val="24"/>
                <w:szCs w:val="24"/>
                <w:highlight w:val="none"/>
                <w:u w:val="none"/>
                <w:lang w:val="en-US" w:eastAsia="zh-CN" w:bidi="ar"/>
              </w:rPr>
            </w:pPr>
            <w:r>
              <w:rPr>
                <w:rFonts w:hint="eastAsia" w:ascii="宋体" w:hAnsi="宋体" w:cs="宋体"/>
                <w:i w:val="0"/>
                <w:iCs w:val="0"/>
                <w:kern w:val="2"/>
                <w:sz w:val="24"/>
                <w:szCs w:val="24"/>
                <w:highlight w:val="none"/>
                <w:u w:val="none"/>
                <w:lang w:val="en-US" w:eastAsia="zh-CN" w:bidi="ar"/>
              </w:rPr>
              <w:t>米</w:t>
            </w:r>
          </w:p>
        </w:tc>
        <w:tc>
          <w:tcPr>
            <w:tcW w:w="88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cs="宋体"/>
                <w:sz w:val="24"/>
                <w:highlight w:val="none"/>
                <w:lang w:val="en-US" w:eastAsia="zh-CN"/>
              </w:rPr>
            </w:pPr>
          </w:p>
          <w:p>
            <w:pPr>
              <w:jc w:val="center"/>
              <w:rPr>
                <w:rFonts w:hint="eastAsia" w:ascii="宋体" w:hAnsi="宋体" w:cs="宋体"/>
                <w:sz w:val="24"/>
                <w:highlight w:val="none"/>
                <w:lang w:val="en-US" w:eastAsia="zh-CN"/>
              </w:rPr>
            </w:pPr>
          </w:p>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895</w:t>
            </w: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轨道沟尺寸（0.45*0.13*895）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2</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eastAsia" w:ascii="宋体" w:hAnsi="宋体" w:cs="宋体"/>
                <w:sz w:val="24"/>
                <w:highlight w:val="none"/>
                <w:lang w:bidi="ar"/>
              </w:rPr>
            </w:pPr>
            <w:r>
              <w:rPr>
                <w:rFonts w:hint="eastAsia" w:ascii="宋体" w:hAnsi="宋体" w:eastAsia="宋体" w:cs="宋体"/>
                <w:i w:val="0"/>
                <w:iCs w:val="0"/>
                <w:color w:val="auto"/>
                <w:kern w:val="2"/>
                <w:sz w:val="24"/>
                <w:szCs w:val="24"/>
                <w:highlight w:val="none"/>
                <w:u w:val="none"/>
                <w:lang w:val="en-US" w:eastAsia="zh-CN" w:bidi="ar"/>
              </w:rPr>
              <w:t>轨道拆除</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sz w:val="24"/>
                <w:highlight w:val="none"/>
                <w:lang w:val="en-US" w:bidi="ar"/>
              </w:rPr>
            </w:pPr>
            <w:r>
              <w:rPr>
                <w:rFonts w:hint="eastAsia" w:ascii="宋体" w:hAnsi="宋体" w:cs="宋体"/>
                <w:sz w:val="24"/>
                <w:highlight w:val="none"/>
                <w:lang w:val="en-US" w:eastAsia="zh-CN" w:bidi="ar"/>
              </w:rPr>
              <w:t>QU80</w:t>
            </w:r>
          </w:p>
        </w:tc>
        <w:tc>
          <w:tcPr>
            <w:tcW w:w="104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auto"/>
              <w:rPr>
                <w:rFonts w:hint="default" w:ascii="宋体" w:hAnsi="宋体" w:eastAsia="宋体" w:cs="宋体"/>
                <w:i w:val="0"/>
                <w:iCs w:val="0"/>
                <w:kern w:val="2"/>
                <w:sz w:val="24"/>
                <w:szCs w:val="24"/>
                <w:highlight w:val="none"/>
                <w:u w:val="none"/>
                <w:lang w:val="en-US" w:eastAsia="zh-CN" w:bidi="ar"/>
              </w:rPr>
            </w:pPr>
            <w:r>
              <w:rPr>
                <w:rFonts w:hint="eastAsia" w:ascii="宋体" w:hAnsi="宋体" w:cs="宋体"/>
                <w:i w:val="0"/>
                <w:iCs w:val="0"/>
                <w:kern w:val="2"/>
                <w:sz w:val="24"/>
                <w:szCs w:val="24"/>
                <w:highlight w:val="none"/>
                <w:u w:val="none"/>
                <w:lang w:val="en-US" w:eastAsia="zh-CN" w:bidi="ar"/>
              </w:rPr>
              <w:t>米</w:t>
            </w:r>
          </w:p>
        </w:tc>
        <w:tc>
          <w:tcPr>
            <w:tcW w:w="88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895</w:t>
            </w: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r>
              <w:rPr>
                <w:rFonts w:hint="eastAsia" w:ascii="宋体" w:hAnsi="宋体" w:cs="宋体"/>
                <w:sz w:val="24"/>
                <w:highlight w:val="none"/>
                <w:lang w:val="en-US" w:eastAsia="zh-CN"/>
              </w:rPr>
              <w:t>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555"/>
              </w:tabs>
              <w:jc w:val="center"/>
              <w:textAlignment w:val="auto"/>
              <w:rPr>
                <w:rFonts w:hint="default" w:ascii="宋体" w:hAnsi="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3</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轨道沟砼破除基础</w:t>
            </w:r>
            <w:r>
              <w:rPr>
                <w:rFonts w:hint="eastAsia" w:ascii="宋体" w:hAnsi="宋体" w:eastAsia="宋体" w:cs="宋体"/>
                <w:i w:val="0"/>
                <w:iCs w:val="0"/>
                <w:color w:val="auto"/>
                <w:kern w:val="2"/>
                <w:sz w:val="24"/>
                <w:szCs w:val="24"/>
                <w:highlight w:val="none"/>
                <w:u w:val="none"/>
                <w:lang w:val="en-US" w:eastAsia="zh-CN" w:bidi="ar"/>
              </w:rPr>
              <w:t>修复</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sz w:val="24"/>
                <w:highlight w:val="none"/>
                <w:lang w:val="en-US" w:eastAsia="zh-CN"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auto"/>
              <w:rPr>
                <w:rFonts w:hint="default" w:ascii="宋体" w:hAnsi="宋体" w:cs="宋体"/>
                <w:sz w:val="24"/>
                <w:highlight w:val="none"/>
                <w:lang w:val="en-US" w:eastAsia="zh-CN" w:bidi="ar"/>
              </w:rPr>
            </w:pPr>
            <w:r>
              <w:rPr>
                <w:rFonts w:hint="eastAsia" w:ascii="宋体" w:hAnsi="宋体" w:cs="宋体"/>
                <w:sz w:val="24"/>
                <w:highlight w:val="none"/>
                <w:lang w:val="en-US" w:eastAsia="zh-CN" w:bidi="ar"/>
              </w:rPr>
              <w:t>米</w:t>
            </w:r>
          </w:p>
        </w:tc>
        <w:tc>
          <w:tcPr>
            <w:tcW w:w="88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445</w:t>
            </w: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cs="宋体"/>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cs="宋体"/>
                <w:sz w:val="24"/>
                <w:highlight w:val="none"/>
                <w:lang w:bidi="ar"/>
              </w:rPr>
            </w:pPr>
          </w:p>
        </w:tc>
        <w:tc>
          <w:tcPr>
            <w:tcW w:w="10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r>
              <w:rPr>
                <w:rFonts w:hint="eastAsia" w:ascii="宋体" w:hAnsi="宋体" w:cs="宋体"/>
                <w:sz w:val="24"/>
                <w:highlight w:val="none"/>
                <w:lang w:val="en-US" w:eastAsia="zh-CN"/>
              </w:rPr>
              <w:t>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4</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螺杆修复</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ascii="宋体" w:hAnsi="宋体" w:cs="宋体"/>
                <w:sz w:val="24"/>
                <w:highlight w:val="none"/>
                <w:lang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auto"/>
              <w:rPr>
                <w:rFonts w:hint="eastAsia" w:ascii="宋体" w:hAnsi="宋体" w:cs="宋体"/>
                <w:sz w:val="24"/>
                <w:highlight w:val="none"/>
                <w:lang w:val="en-US" w:eastAsia="zh-CN" w:bidi="ar"/>
              </w:rPr>
            </w:pPr>
          </w:p>
          <w:p>
            <w:pPr>
              <w:keepNext w:val="0"/>
              <w:keepLines w:val="0"/>
              <w:widowControl/>
              <w:suppressLineNumbers w:val="0"/>
              <w:jc w:val="center"/>
              <w:textAlignment w:val="auto"/>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个</w:t>
            </w:r>
          </w:p>
        </w:tc>
        <w:tc>
          <w:tcPr>
            <w:tcW w:w="88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cs="宋体"/>
                <w:sz w:val="24"/>
                <w:highlight w:val="none"/>
                <w:lang w:val="en-US" w:eastAsia="zh-CN" w:bidi="ar"/>
              </w:rPr>
            </w:pPr>
          </w:p>
          <w:p>
            <w:pPr>
              <w:jc w:val="center"/>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840</w:t>
            </w: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cs="宋体"/>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cs="宋体"/>
                <w:sz w:val="24"/>
                <w:highlight w:val="none"/>
                <w:lang w:bidi="ar"/>
              </w:rPr>
            </w:pPr>
          </w:p>
        </w:tc>
        <w:tc>
          <w:tcPr>
            <w:tcW w:w="102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5</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通铺钢垫板</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eastAsia="宋体" w:cs="宋体"/>
                <w:kern w:val="2"/>
                <w:sz w:val="24"/>
                <w:highlight w:val="none"/>
                <w:lang w:val="en-US" w:eastAsia="zh-CN" w:bidi="ar"/>
              </w:rPr>
            </w:pPr>
            <w:r>
              <w:rPr>
                <w:rFonts w:hint="eastAsia" w:ascii="宋体" w:hAnsi="宋体" w:cs="宋体"/>
                <w:kern w:val="2"/>
                <w:sz w:val="24"/>
                <w:highlight w:val="none"/>
                <w:lang w:val="en-US" w:eastAsia="zh-CN" w:bidi="ar"/>
              </w:rPr>
              <w:t>件</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294</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r>
              <w:rPr>
                <w:rFonts w:hint="eastAsia" w:ascii="宋体" w:hAnsi="宋体" w:cs="宋体"/>
                <w:sz w:val="24"/>
                <w:highlight w:val="none"/>
                <w:lang w:val="en-US" w:eastAsia="zh-CN"/>
              </w:rPr>
              <w:t>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5</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sz w:val="24"/>
                <w:highlight w:val="none"/>
                <w:lang w:val="en-US" w:bidi="ar"/>
              </w:rPr>
            </w:pPr>
            <w:r>
              <w:rPr>
                <w:rFonts w:hint="eastAsia" w:ascii="宋体" w:hAnsi="宋体" w:cs="宋体"/>
                <w:i w:val="0"/>
                <w:iCs w:val="0"/>
                <w:color w:val="auto"/>
                <w:kern w:val="2"/>
                <w:sz w:val="24"/>
                <w:szCs w:val="24"/>
                <w:highlight w:val="none"/>
                <w:u w:val="none"/>
                <w:lang w:val="en-US" w:eastAsia="zh-CN" w:bidi="ar"/>
              </w:rPr>
              <w:t>灌注轨道胶泥</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cs="宋体"/>
                <w:sz w:val="24"/>
                <w:highlight w:val="none"/>
                <w:lang w:val="en-US"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line="720" w:lineRule="auto"/>
              <w:jc w:val="center"/>
              <w:textAlignment w:val="auto"/>
              <w:rPr>
                <w:rFonts w:hint="default" w:ascii="宋体" w:hAnsi="宋体" w:eastAsia="宋体" w:cs="宋体"/>
                <w:i w:val="0"/>
                <w:iCs w:val="0"/>
                <w:kern w:val="2"/>
                <w:sz w:val="24"/>
                <w:szCs w:val="24"/>
                <w:highlight w:val="none"/>
                <w:u w:val="none"/>
                <w:lang w:val="en-US" w:eastAsia="zh-CN" w:bidi="ar"/>
              </w:rPr>
            </w:pPr>
            <w:r>
              <w:rPr>
                <w:rFonts w:hint="eastAsia" w:ascii="宋体" w:hAnsi="宋体" w:cs="宋体"/>
                <w:i w:val="0"/>
                <w:iCs w:val="0"/>
                <w:kern w:val="2"/>
                <w:sz w:val="24"/>
                <w:szCs w:val="24"/>
                <w:highlight w:val="none"/>
                <w:u w:val="none"/>
                <w:lang w:val="en-US" w:eastAsia="zh-CN" w:bidi="ar"/>
              </w:rPr>
              <w:t>吨</w:t>
            </w:r>
          </w:p>
        </w:tc>
        <w:tc>
          <w:tcPr>
            <w:tcW w:w="884" w:type="dxa"/>
            <w:tcBorders>
              <w:top w:val="single" w:color="auto" w:sz="4" w:space="0"/>
              <w:left w:val="single" w:color="auto" w:sz="4" w:space="0"/>
              <w:bottom w:val="single" w:color="auto" w:sz="4" w:space="0"/>
              <w:right w:val="single" w:color="auto" w:sz="4" w:space="0"/>
            </w:tcBorders>
            <w:shd w:val="clear" w:color="auto" w:fill="auto"/>
          </w:tcPr>
          <w:p>
            <w:pPr>
              <w:spacing w:line="72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27.3</w:t>
            </w: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p>
        </w:tc>
        <w:tc>
          <w:tcPr>
            <w:tcW w:w="10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p>
        </w:tc>
        <w:tc>
          <w:tcPr>
            <w:tcW w:w="10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4"/>
                <w:highlight w:val="none"/>
              </w:rPr>
            </w:pPr>
            <w:r>
              <w:rPr>
                <w:rFonts w:hint="eastAsia" w:ascii="宋体" w:hAnsi="宋体" w:cs="宋体"/>
                <w:sz w:val="24"/>
                <w:highlight w:val="none"/>
                <w:lang w:val="en-US" w:eastAsia="zh-CN"/>
              </w:rPr>
              <w:t>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6</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轨道焊联</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eastAsia="宋体" w:cs="宋体"/>
                <w:kern w:val="2"/>
                <w:sz w:val="24"/>
                <w:highlight w:val="none"/>
                <w:lang w:val="en-US" w:eastAsia="zh-CN" w:bidi="ar"/>
              </w:rPr>
            </w:pPr>
            <w:r>
              <w:rPr>
                <w:rFonts w:hint="eastAsia" w:ascii="宋体" w:hAnsi="宋体" w:cs="宋体"/>
                <w:kern w:val="2"/>
                <w:sz w:val="24"/>
                <w:highlight w:val="none"/>
                <w:lang w:val="en-US" w:eastAsia="zh-CN" w:bidi="ar"/>
              </w:rPr>
              <w:t>个</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cs="宋体"/>
                <w:color w:val="000000"/>
                <w:kern w:val="0"/>
                <w:sz w:val="24"/>
                <w:highlight w:val="none"/>
                <w:lang w:val="en-US" w:bidi="ar"/>
              </w:rPr>
            </w:pPr>
            <w:r>
              <w:rPr>
                <w:rFonts w:hint="eastAsia" w:ascii="宋体" w:hAnsi="宋体" w:cs="宋体"/>
                <w:color w:val="000000"/>
                <w:kern w:val="0"/>
                <w:sz w:val="24"/>
                <w:highlight w:val="none"/>
                <w:lang w:val="en-US" w:eastAsia="zh-CN" w:bidi="ar"/>
              </w:rPr>
              <w:t>61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r>
              <w:rPr>
                <w:rFonts w:hint="eastAsia" w:ascii="宋体" w:hAnsi="宋体" w:cs="宋体"/>
                <w:sz w:val="24"/>
                <w:highlight w:val="none"/>
                <w:lang w:val="en-US" w:eastAsia="zh-CN"/>
              </w:rPr>
              <w:t>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7</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铺设调整轨道</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eastAsia="宋体" w:cs="宋体"/>
                <w:kern w:val="2"/>
                <w:sz w:val="24"/>
                <w:highlight w:val="none"/>
                <w:lang w:val="en-US" w:eastAsia="zh-CN" w:bidi="ar"/>
              </w:rPr>
            </w:pPr>
            <w:r>
              <w:rPr>
                <w:rFonts w:hint="eastAsia" w:ascii="宋体" w:hAnsi="宋体" w:cs="宋体"/>
                <w:kern w:val="2"/>
                <w:sz w:val="24"/>
                <w:highlight w:val="none"/>
                <w:lang w:val="en-US" w:eastAsia="zh-CN" w:bidi="ar"/>
              </w:rPr>
              <w:t>米</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895</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r>
              <w:rPr>
                <w:rFonts w:hint="eastAsia" w:ascii="宋体" w:hAnsi="宋体" w:cs="宋体"/>
                <w:sz w:val="24"/>
                <w:highlight w:val="none"/>
                <w:lang w:val="en-US" w:eastAsia="zh-CN"/>
              </w:rPr>
              <w:t>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8</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垃圾清运</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eastAsia="宋体" w:cs="宋体"/>
                <w:kern w:val="2"/>
                <w:sz w:val="24"/>
                <w:highlight w:val="none"/>
                <w:lang w:val="en-US" w:eastAsia="zh-CN" w:bidi="ar"/>
              </w:rPr>
            </w:pPr>
            <w:r>
              <w:rPr>
                <w:rFonts w:hint="eastAsia" w:ascii="宋体" w:hAnsi="宋体" w:cs="宋体"/>
                <w:kern w:val="2"/>
                <w:sz w:val="24"/>
                <w:highlight w:val="none"/>
                <w:lang w:val="en-US" w:eastAsia="zh-CN" w:bidi="ar"/>
              </w:rPr>
              <w:t>m³</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75.6</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r>
              <w:rPr>
                <w:rFonts w:hint="eastAsia" w:ascii="宋体" w:hAnsi="宋体" w:cs="宋体"/>
                <w:sz w:val="24"/>
                <w:highlight w:val="none"/>
                <w:lang w:val="en-US" w:eastAsia="zh-CN"/>
              </w:rPr>
              <w:t>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default" w:ascii="宋体" w:hAnsi="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9</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eastAsia" w:ascii="宋体" w:hAnsi="宋体" w:eastAsia="宋体" w:cs="宋体"/>
                <w:color w:val="auto"/>
                <w:kern w:val="2"/>
                <w:sz w:val="24"/>
                <w:highlight w:val="none"/>
                <w:lang w:val="en-US" w:eastAsia="zh-CN" w:bidi="ar"/>
              </w:rPr>
            </w:pPr>
            <w:r>
              <w:rPr>
                <w:rFonts w:hint="eastAsia" w:ascii="宋体" w:hAnsi="宋体" w:cs="宋体"/>
                <w:color w:val="auto"/>
                <w:kern w:val="2"/>
                <w:sz w:val="24"/>
                <w:highlight w:val="none"/>
                <w:lang w:val="en-US" w:eastAsia="zh-CN" w:bidi="ar"/>
              </w:rPr>
              <w:t>增值税</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textAlignment w:val="auto"/>
              <w:rPr>
                <w:rFonts w:hint="eastAsia" w:ascii="宋体" w:hAnsi="宋体" w:eastAsia="宋体" w:cs="宋体"/>
                <w:color w:val="auto"/>
                <w:kern w:val="2"/>
                <w:sz w:val="24"/>
                <w:highlight w:val="none"/>
                <w:lang w:val="en-US" w:eastAsia="zh-CN" w:bidi="ar"/>
              </w:rPr>
            </w:pPr>
            <w:r>
              <w:rPr>
                <w:rFonts w:hint="eastAsia" w:ascii="宋体" w:hAnsi="宋体" w:eastAsia="宋体" w:cs="宋体"/>
                <w:color w:val="auto"/>
                <w:kern w:val="2"/>
                <w:sz w:val="24"/>
                <w:highlight w:val="none"/>
                <w:lang w:val="en-US" w:eastAsia="zh-CN" w:bidi="ar"/>
              </w:rPr>
              <w:t>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hint="eastAsia" w:ascii="宋体" w:hAnsi="宋体" w:eastAsia="宋体" w:cs="宋体"/>
                <w:kern w:val="2"/>
                <w:sz w:val="24"/>
                <w:highlight w:val="none"/>
                <w:lang w:val="en-US" w:eastAsia="zh-CN" w:bidi="ar"/>
              </w:rPr>
            </w:pP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10</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总价</w:t>
            </w:r>
          </w:p>
        </w:tc>
        <w:tc>
          <w:tcPr>
            <w:tcW w:w="306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cs="宋体"/>
                <w:color w:val="000000"/>
                <w:kern w:val="0"/>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cs="宋体"/>
                <w:color w:val="000000"/>
                <w:kern w:val="0"/>
                <w:sz w:val="24"/>
                <w:highlight w:val="none"/>
                <w:lang w:bidi="ar"/>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cs="宋体"/>
                <w:color w:val="000000"/>
                <w:kern w:val="0"/>
                <w:sz w:val="24"/>
                <w:highlight w:val="none"/>
                <w:lang w:bidi="ar"/>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cs="宋体"/>
                <w:color w:val="000000"/>
                <w:kern w:val="0"/>
                <w:sz w:val="24"/>
                <w:highlight w:val="none"/>
                <w:lang w:bidi="ar"/>
              </w:rPr>
            </w:pPr>
          </w:p>
        </w:tc>
      </w:tr>
    </w:tbl>
    <w:p>
      <w:pPr>
        <w:pStyle w:val="17"/>
        <w:jc w:val="center"/>
        <w:rPr>
          <w:rFonts w:hint="default" w:ascii="宋体" w:hAnsi="Times New Roman" w:eastAsia="宋体" w:cs="Times New Roman"/>
          <w:szCs w:val="20"/>
          <w:lang w:val="en-US" w:eastAsia="zh-CN"/>
        </w:rPr>
      </w:pPr>
      <w:r>
        <w:rPr>
          <w:rFonts w:hint="eastAsia" w:cs="Times New Roman"/>
          <w:szCs w:val="20"/>
          <w:lang w:eastAsia="zh-CN"/>
        </w:rPr>
        <w:t>（</w:t>
      </w:r>
      <w:r>
        <w:rPr>
          <w:rFonts w:hint="eastAsia" w:cs="Times New Roman"/>
          <w:szCs w:val="20"/>
          <w:lang w:val="en-US" w:eastAsia="zh-CN"/>
        </w:rPr>
        <w:t>所有工程量以现场实际工作量为准核算）</w:t>
      </w:r>
    </w:p>
    <w:p>
      <w:pPr>
        <w:spacing w:line="600" w:lineRule="exact"/>
        <w:jc w:val="left"/>
        <w:rPr>
          <w:rFonts w:hint="eastAsia"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注：</w:t>
      </w:r>
      <w:r>
        <w:rPr>
          <w:rFonts w:hint="eastAsia" w:cs="仿宋" w:asciiTheme="minorEastAsia" w:hAnsiTheme="minorEastAsia" w:eastAsiaTheme="minorEastAsia"/>
          <w:szCs w:val="21"/>
          <w:highlight w:val="none"/>
          <w:lang w:val="en-US" w:eastAsia="zh-CN"/>
        </w:rPr>
        <w:t>1.</w:t>
      </w:r>
      <w:r>
        <w:rPr>
          <w:rFonts w:hint="eastAsia" w:cs="仿宋" w:asciiTheme="minorEastAsia" w:hAnsiTheme="minorEastAsia" w:eastAsiaTheme="minorEastAsia"/>
          <w:szCs w:val="21"/>
          <w:highlight w:val="none"/>
        </w:rPr>
        <w:t>若分项费用的计算依据、过程和公式不便在表中表述，可单独另附表格或描述进行说明。</w:t>
      </w:r>
    </w:p>
    <w:p>
      <w:pPr>
        <w:spacing w:line="600" w:lineRule="exact"/>
        <w:jc w:val="left"/>
        <w:rPr>
          <w:rFonts w:hint="eastAsia" w:cs="仿宋" w:asciiTheme="minorEastAsia" w:hAnsiTheme="minorEastAsia" w:eastAsiaTheme="minorEastAsia"/>
          <w:szCs w:val="21"/>
          <w:highlight w:val="none"/>
          <w:lang w:val="en-US" w:eastAsia="zh-CN"/>
        </w:rPr>
      </w:pPr>
      <w:r>
        <w:rPr>
          <w:rFonts w:hint="eastAsia" w:cs="仿宋" w:asciiTheme="minorEastAsia" w:hAnsiTheme="minorEastAsia" w:eastAsiaTheme="minorEastAsia"/>
          <w:szCs w:val="21"/>
          <w:highlight w:val="none"/>
          <w:lang w:val="en-US" w:eastAsia="zh-CN"/>
        </w:rPr>
        <w:t>2.本项目的报价采用包工、包质量、包安全生产和安全保卫、包文明施工、包伙食费与交通费，综合单价包干的方式进行承包。综合单价包括：相应所有直接费、各种技术措施费用、管理费、利润、安全文明施工费、冬雨季施工增加费、社会保险费、规费、税金、从指定的水电接驳点接水接电费用及夜间施工照明费用、合同工期内的赶工费、各种施工风险因素后的综合单价。最终结算金额以实际发生量为准。</w:t>
      </w:r>
    </w:p>
    <w:p>
      <w:pPr>
        <w:pStyle w:val="17"/>
        <w:rPr>
          <w:rFonts w:hint="default" w:eastAsiaTheme="minorEastAsia"/>
          <w:lang w:val="en-US" w:eastAsia="zh-CN"/>
        </w:rPr>
      </w:pPr>
    </w:p>
    <w:p>
      <w:pPr>
        <w:spacing w:line="600" w:lineRule="exact"/>
        <w:jc w:val="left"/>
        <w:rPr>
          <w:rFonts w:ascii="黑体" w:hAnsi="黑体" w:eastAsia="黑体" w:cs="仿宋"/>
          <w:sz w:val="36"/>
          <w:szCs w:val="36"/>
          <w:highlight w:val="none"/>
        </w:rPr>
      </w:pPr>
      <w:r>
        <w:rPr>
          <w:rFonts w:hint="eastAsia" w:cs="仿宋" w:asciiTheme="minorEastAsia" w:hAnsiTheme="minorEastAsia" w:eastAsiaTheme="minorEastAsia"/>
          <w:sz w:val="24"/>
          <w:highlight w:val="none"/>
        </w:rPr>
        <w:br w:type="page"/>
      </w:r>
      <w:r>
        <w:rPr>
          <w:rFonts w:hint="eastAsia" w:ascii="黑体" w:hAnsi="黑体" w:eastAsia="黑体" w:cs="仿宋"/>
          <w:sz w:val="36"/>
          <w:szCs w:val="36"/>
          <w:highlight w:val="none"/>
        </w:rPr>
        <w:t>五、资格审查资料</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（一）基本情况</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（三）近年的类似项目情况表</w:t>
      </w:r>
    </w:p>
    <w:tbl>
      <w:tblPr>
        <w:tblStyle w:val="2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项目名称</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服务内容</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委托人/发包人名称</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委托人/发包人联系人及电话</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合同价格</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服务是否完成</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项目负责人（如有）</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项目概况及供应商履约情况</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bl>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注：供应商应根据供应商须知前附表第3.5（4）项的要求在本表后附相关证明材料。</w:t>
      </w:r>
    </w:p>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numPr>
          <w:ilvl w:val="0"/>
          <w:numId w:val="3"/>
        </w:numPr>
        <w:spacing w:line="600" w:lineRule="exact"/>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拟委任的主要人员汇总表</w:t>
      </w:r>
    </w:p>
    <w:p>
      <w:pPr>
        <w:pStyle w:val="17"/>
        <w:numPr>
          <w:ilvl w:val="-1"/>
          <w:numId w:val="0"/>
        </w:numPr>
        <w:ind w:firstLine="0"/>
        <w:rPr>
          <w:highlight w:val="none"/>
        </w:rPr>
      </w:pPr>
    </w:p>
    <w:tbl>
      <w:tblPr>
        <w:tblStyle w:val="20"/>
        <w:tblpPr w:leftFromText="180" w:rightFromText="180" w:vertAnchor="text" w:horzAnchor="page" w:tblpX="1267" w:tblpY="487"/>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序号</w:t>
            </w:r>
          </w:p>
        </w:tc>
        <w:tc>
          <w:tcPr>
            <w:tcW w:w="1095" w:type="dxa"/>
            <w:vMerge w:val="restart"/>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本项目任职</w:t>
            </w:r>
          </w:p>
        </w:tc>
        <w:tc>
          <w:tcPr>
            <w:tcW w:w="1095" w:type="dxa"/>
            <w:vMerge w:val="restart"/>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姓名</w:t>
            </w:r>
          </w:p>
        </w:tc>
        <w:tc>
          <w:tcPr>
            <w:tcW w:w="1095" w:type="dxa"/>
            <w:vMerge w:val="restart"/>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职称</w:t>
            </w:r>
          </w:p>
        </w:tc>
        <w:tc>
          <w:tcPr>
            <w:tcW w:w="1095" w:type="dxa"/>
            <w:vMerge w:val="restart"/>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专业</w:t>
            </w:r>
          </w:p>
        </w:tc>
        <w:tc>
          <w:tcPr>
            <w:tcW w:w="3285" w:type="dxa"/>
            <w:gridSpan w:val="3"/>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执业或职业资格证明</w:t>
            </w:r>
          </w:p>
        </w:tc>
        <w:tc>
          <w:tcPr>
            <w:tcW w:w="1095"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highlight w:val="none"/>
              </w:rPr>
            </w:pPr>
          </w:p>
        </w:tc>
        <w:tc>
          <w:tcPr>
            <w:tcW w:w="1095" w:type="dxa"/>
            <w:vMerge w:val="continue"/>
          </w:tcPr>
          <w:p>
            <w:pPr>
              <w:widowControl/>
              <w:spacing w:line="288" w:lineRule="auto"/>
              <w:jc w:val="both"/>
              <w:rPr>
                <w:rFonts w:cs="仿宋" w:asciiTheme="minorEastAsia" w:hAnsiTheme="minorEastAsia" w:eastAsiaTheme="minorEastAsia"/>
                <w:sz w:val="24"/>
                <w:highlight w:val="none"/>
              </w:rPr>
            </w:pPr>
          </w:p>
        </w:tc>
        <w:tc>
          <w:tcPr>
            <w:tcW w:w="1095" w:type="dxa"/>
            <w:vMerge w:val="continue"/>
          </w:tcPr>
          <w:p>
            <w:pPr>
              <w:widowControl/>
              <w:spacing w:line="288" w:lineRule="auto"/>
              <w:jc w:val="both"/>
              <w:rPr>
                <w:rFonts w:cs="仿宋" w:asciiTheme="minorEastAsia" w:hAnsiTheme="minorEastAsia" w:eastAsiaTheme="minorEastAsia"/>
                <w:sz w:val="24"/>
                <w:highlight w:val="none"/>
              </w:rPr>
            </w:pPr>
          </w:p>
        </w:tc>
        <w:tc>
          <w:tcPr>
            <w:tcW w:w="1095" w:type="dxa"/>
            <w:vMerge w:val="continue"/>
          </w:tcPr>
          <w:p>
            <w:pPr>
              <w:widowControl/>
              <w:spacing w:line="288" w:lineRule="auto"/>
              <w:jc w:val="both"/>
              <w:rPr>
                <w:rFonts w:cs="仿宋" w:asciiTheme="minorEastAsia" w:hAnsiTheme="minorEastAsia" w:eastAsiaTheme="minorEastAsia"/>
                <w:sz w:val="24"/>
                <w:highlight w:val="none"/>
              </w:rPr>
            </w:pPr>
          </w:p>
        </w:tc>
        <w:tc>
          <w:tcPr>
            <w:tcW w:w="1095" w:type="dxa"/>
            <w:vMerge w:val="continue"/>
          </w:tcPr>
          <w:p>
            <w:pPr>
              <w:widowControl/>
              <w:spacing w:line="288" w:lineRule="auto"/>
              <w:jc w:val="both"/>
              <w:rPr>
                <w:rFonts w:cs="仿宋" w:asciiTheme="minorEastAsia" w:hAnsiTheme="minorEastAsia" w:eastAsiaTheme="minorEastAsia"/>
                <w:sz w:val="24"/>
                <w:highlight w:val="none"/>
              </w:rPr>
            </w:pPr>
          </w:p>
        </w:tc>
        <w:tc>
          <w:tcPr>
            <w:tcW w:w="1095"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证书名称</w:t>
            </w:r>
          </w:p>
        </w:tc>
        <w:tc>
          <w:tcPr>
            <w:tcW w:w="1095"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级别</w:t>
            </w:r>
          </w:p>
        </w:tc>
        <w:tc>
          <w:tcPr>
            <w:tcW w:w="1095"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证号</w:t>
            </w:r>
          </w:p>
        </w:tc>
        <w:tc>
          <w:tcPr>
            <w:tcW w:w="1095"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lang w:val="en-US" w:eastAsia="zh-CN"/>
              </w:rPr>
              <w:t>1</w:t>
            </w:r>
          </w:p>
        </w:tc>
        <w:tc>
          <w:tcPr>
            <w:tcW w:w="1095" w:type="dxa"/>
          </w:tcPr>
          <w:p>
            <w:pPr>
              <w:widowControl/>
              <w:spacing w:line="600" w:lineRule="exact"/>
              <w:jc w:val="both"/>
              <w:rPr>
                <w:rFonts w:hint="default"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lang w:val="en-US" w:eastAsia="zh-CN"/>
              </w:rPr>
              <w:t>项目负责人</w:t>
            </w: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cs="仿宋" w:asciiTheme="minorEastAsia" w:hAnsiTheme="minorEastAsia" w:eastAsiaTheme="minorEastAsia"/>
                <w:sz w:val="24"/>
                <w:highlight w:val="none"/>
                <w:lang w:eastAsia="zh-CN"/>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c>
          <w:tcPr>
            <w:tcW w:w="1095" w:type="dxa"/>
          </w:tcPr>
          <w:p>
            <w:pPr>
              <w:widowControl/>
              <w:spacing w:line="600" w:lineRule="exact"/>
              <w:jc w:val="both"/>
              <w:rPr>
                <w:rFonts w:cs="仿宋" w:asciiTheme="minorEastAsia" w:hAnsiTheme="minorEastAsia" w:eastAsiaTheme="minorEastAsia"/>
                <w:sz w:val="24"/>
                <w:highlight w:val="none"/>
              </w:rPr>
            </w:pPr>
          </w:p>
        </w:tc>
      </w:tr>
    </w:tbl>
    <w:p>
      <w:pPr>
        <w:jc w:val="both"/>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pPr>
        <w:pStyle w:val="4"/>
        <w:spacing w:before="0" w:after="0" w:line="380" w:lineRule="atLeast"/>
        <w:jc w:val="both"/>
        <w:rPr>
          <w:rFonts w:asciiTheme="minorEastAsia" w:hAnsiTheme="minorEastAsia" w:eastAsiaTheme="minorEastAsia"/>
          <w:b w:val="0"/>
          <w:sz w:val="24"/>
          <w:szCs w:val="24"/>
          <w:highlight w:val="none"/>
        </w:rPr>
      </w:pPr>
      <w:bookmarkStart w:id="251" w:name="_Toc7573"/>
      <w:bookmarkStart w:id="252" w:name="_Toc26093"/>
      <w:bookmarkStart w:id="253" w:name="_Toc32154"/>
      <w:bookmarkStart w:id="254" w:name="_Toc17724"/>
      <w:r>
        <w:rPr>
          <w:rFonts w:hint="eastAsia" w:asciiTheme="minorEastAsia" w:hAnsiTheme="minorEastAsia" w:eastAsiaTheme="minorEastAsia"/>
          <w:b w:val="0"/>
          <w:sz w:val="24"/>
          <w:szCs w:val="24"/>
          <w:highlight w:val="none"/>
        </w:rPr>
        <w:t>（五）主要人员简</w:t>
      </w:r>
      <w:r>
        <w:rPr>
          <w:rFonts w:asciiTheme="minorEastAsia" w:hAnsiTheme="minorEastAsia" w:eastAsiaTheme="minorEastAsia"/>
          <w:b w:val="0"/>
          <w:sz w:val="24"/>
          <w:szCs w:val="24"/>
          <w:highlight w:val="none"/>
        </w:rPr>
        <w:t>历表</w:t>
      </w:r>
      <w:bookmarkEnd w:id="251"/>
      <w:bookmarkEnd w:id="252"/>
      <w:bookmarkEnd w:id="253"/>
      <w:bookmarkEnd w:id="254"/>
    </w:p>
    <w:p>
      <w:pPr>
        <w:autoSpaceDE w:val="0"/>
        <w:autoSpaceDN w:val="0"/>
        <w:spacing w:line="400" w:lineRule="atLeast"/>
        <w:jc w:val="both"/>
        <w:textAlignment w:val="bottom"/>
        <w:rPr>
          <w:rFonts w:asciiTheme="minorEastAsia" w:hAnsiTheme="minorEastAsia" w:eastAsiaTheme="minorEastAsia"/>
          <w:sz w:val="24"/>
          <w:highlight w:val="none"/>
        </w:rPr>
      </w:pPr>
    </w:p>
    <w:tbl>
      <w:tblPr>
        <w:tblStyle w:val="19"/>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姓    名</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年    龄</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r>
              <w:rPr>
                <w:rFonts w:hint="eastAsia" w:cs="仿宋" w:asciiTheme="minorEastAsia" w:hAnsiTheme="minorEastAsia" w:eastAsiaTheme="minorEastAsia"/>
                <w:sz w:val="24"/>
                <w:highlight w:val="none"/>
              </w:rPr>
              <w:t>执业或职业资格证书名称</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职称</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学    历</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拟在本</w:t>
            </w:r>
            <w:r>
              <w:rPr>
                <w:rFonts w:hint="eastAsia" w:asciiTheme="minorEastAsia" w:hAnsiTheme="minorEastAsia" w:eastAsiaTheme="minorEastAsia"/>
                <w:sz w:val="24"/>
                <w:highlight w:val="none"/>
              </w:rPr>
              <w:t>项目</w:t>
            </w:r>
            <w:r>
              <w:rPr>
                <w:rFonts w:asciiTheme="minorEastAsia" w:hAnsiTheme="minorEastAsia" w:eastAsiaTheme="minorEastAsia"/>
                <w:sz w:val="24"/>
                <w:highlight w:val="none"/>
              </w:rPr>
              <w:t>任职</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从事</w:t>
            </w:r>
            <w:r>
              <w:rPr>
                <w:rFonts w:asciiTheme="minorEastAsia" w:hAnsiTheme="minorEastAsia" w:eastAsiaTheme="minorEastAsia"/>
                <w:sz w:val="24"/>
                <w:highlight w:val="none"/>
              </w:rPr>
              <w:t>类似</w:t>
            </w:r>
            <w:r>
              <w:rPr>
                <w:rFonts w:hint="eastAsia" w:asciiTheme="minorEastAsia" w:hAnsiTheme="minorEastAsia" w:eastAsiaTheme="minorEastAsia"/>
                <w:sz w:val="24"/>
                <w:highlight w:val="none"/>
              </w:rPr>
              <w:t>工作</w:t>
            </w:r>
            <w:r>
              <w:rPr>
                <w:rFonts w:asciiTheme="minorEastAsia" w:hAnsiTheme="minorEastAsia" w:eastAsiaTheme="minorEastAsia"/>
                <w:sz w:val="24"/>
                <w:highlight w:val="none"/>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毕业学校</w:t>
            </w:r>
          </w:p>
        </w:tc>
        <w:tc>
          <w:tcPr>
            <w:tcW w:w="8323" w:type="dxa"/>
            <w:gridSpan w:val="8"/>
            <w:vAlign w:val="center"/>
          </w:tcPr>
          <w:p>
            <w:pPr>
              <w:autoSpaceDE w:val="0"/>
              <w:autoSpaceDN w:val="0"/>
              <w:spacing w:before="60" w:beforeLines="25" w:after="60" w:afterLines="25" w:line="288" w:lineRule="auto"/>
              <w:ind w:left="-187" w:leftChars="-89"/>
              <w:jc w:val="both"/>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主要工作</w:t>
            </w:r>
            <w:r>
              <w:rPr>
                <w:rFonts w:asciiTheme="minorEastAsia" w:hAnsiTheme="minorEastAsia" w:eastAsiaTheme="minorEastAsia"/>
                <w:sz w:val="24"/>
                <w:highlight w:val="none"/>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时  间</w:t>
            </w:r>
          </w:p>
        </w:tc>
        <w:tc>
          <w:tcPr>
            <w:tcW w:w="4700" w:type="dxa"/>
            <w:gridSpan w:val="4"/>
            <w:vAlign w:val="center"/>
          </w:tcPr>
          <w:p>
            <w:pPr>
              <w:pStyle w:val="32"/>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highlight w:val="none"/>
              </w:rPr>
            </w:pPr>
            <w:r>
              <w:rPr>
                <w:rFonts w:asciiTheme="minorEastAsia" w:hAnsiTheme="minorEastAsia" w:eastAsiaTheme="minorEastAsia"/>
                <w:spacing w:val="0"/>
                <w:kern w:val="2"/>
                <w:sz w:val="24"/>
                <w:szCs w:val="24"/>
                <w:highlight w:val="none"/>
              </w:rPr>
              <w:t>参加过的类似项目</w:t>
            </w:r>
          </w:p>
        </w:tc>
        <w:tc>
          <w:tcPr>
            <w:tcW w:w="2142" w:type="dxa"/>
            <w:gridSpan w:val="2"/>
            <w:vAlign w:val="center"/>
          </w:tcPr>
          <w:p>
            <w:pPr>
              <w:pStyle w:val="32"/>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highlight w:val="none"/>
              </w:rPr>
            </w:pPr>
            <w:r>
              <w:rPr>
                <w:rFonts w:asciiTheme="minorEastAsia" w:hAnsiTheme="minorEastAsia" w:eastAsiaTheme="minorEastAsia"/>
                <w:spacing w:val="0"/>
                <w:kern w:val="2"/>
                <w:sz w:val="24"/>
                <w:szCs w:val="24"/>
                <w:highlight w:val="none"/>
              </w:rPr>
              <w:t>担任职务</w:t>
            </w:r>
          </w:p>
        </w:tc>
        <w:tc>
          <w:tcPr>
            <w:tcW w:w="1425"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r>
              <w:rPr>
                <w:rFonts w:asciiTheme="minorEastAsia" w:hAnsiTheme="minorEastAsia" w:eastAsiaTheme="minorEastAsia"/>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highlight w:val="none"/>
              </w:rPr>
            </w:pPr>
          </w:p>
        </w:tc>
      </w:tr>
    </w:tbl>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注：供应商应根据供应商须知前附表第3.5（6）项的要求在本表后附相关证明材料。</w:t>
      </w:r>
    </w:p>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adjustRightInd w:val="0"/>
        <w:snapToGrid w:val="0"/>
        <w:spacing w:line="600" w:lineRule="exact"/>
        <w:jc w:val="center"/>
        <w:outlineLvl w:val="2"/>
        <w:rPr>
          <w:rFonts w:ascii="黑体" w:hAnsi="黑体" w:eastAsia="黑体" w:cs="仿宋"/>
          <w:sz w:val="36"/>
          <w:szCs w:val="36"/>
          <w:highlight w:val="none"/>
        </w:rPr>
      </w:pPr>
      <w:bookmarkStart w:id="255" w:name="_Toc19762"/>
      <w:r>
        <w:rPr>
          <w:rFonts w:hint="eastAsia" w:ascii="黑体" w:hAnsi="黑体" w:eastAsia="黑体" w:cs="仿宋"/>
          <w:sz w:val="36"/>
          <w:szCs w:val="36"/>
          <w:highlight w:val="none"/>
        </w:rPr>
        <w:t>六、响应方案</w:t>
      </w:r>
      <w:bookmarkEnd w:id="255"/>
    </w:p>
    <w:p>
      <w:pPr>
        <w:pStyle w:val="17"/>
        <w:rPr>
          <w:highlight w:val="none"/>
        </w:rPr>
      </w:pP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响应方案一般包括(但不限于)下列内容:</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(1)对项目的理解;</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(2)服务范围及内容;</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(3)服务工作的依据、工作目标;</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(4)服务机构设置(框图)、岗位职责;</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(5)拟投入本项目的服务人员及主要人员简历;</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(6)拟分包计划及情况说明;</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(7)服务质量、进度、保密等保证措施;</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(8)服务工作重点、难点分析;</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(9)对本项目的合理化建议。</w:t>
      </w:r>
    </w:p>
    <w:p>
      <w:pPr>
        <w:jc w:val="both"/>
        <w:rPr>
          <w:rFonts w:cs="仿宋" w:asciiTheme="minorEastAsia" w:hAnsiTheme="minorEastAsia" w:eastAsiaTheme="minorEastAsia"/>
          <w:sz w:val="24"/>
          <w:highlight w:val="none"/>
        </w:rPr>
      </w:pPr>
    </w:p>
    <w:p>
      <w:pPr>
        <w:rPr>
          <w:rFonts w:ascii="微软雅黑" w:hAnsi="微软雅黑" w:eastAsia="微软雅黑"/>
          <w:sz w:val="24"/>
          <w:szCs w:val="24"/>
          <w:highlight w:val="none"/>
          <w:lang w:val="zh-CN"/>
        </w:rPr>
      </w:pPr>
      <w:r>
        <w:rPr>
          <w:rFonts w:ascii="微软雅黑" w:hAnsi="微软雅黑" w:eastAsia="微软雅黑"/>
          <w:sz w:val="24"/>
          <w:szCs w:val="24"/>
          <w:highlight w:val="none"/>
          <w:lang w:val="zh-CN"/>
        </w:rPr>
        <w:br w:type="page"/>
      </w:r>
    </w:p>
    <w:p>
      <w:pPr>
        <w:adjustRightInd w:val="0"/>
        <w:snapToGrid w:val="0"/>
        <w:spacing w:line="600" w:lineRule="exact"/>
        <w:jc w:val="center"/>
        <w:outlineLvl w:val="2"/>
        <w:rPr>
          <w:rFonts w:ascii="黑体" w:hAnsi="黑体" w:eastAsia="黑体" w:cs="仿宋"/>
          <w:sz w:val="36"/>
          <w:szCs w:val="36"/>
          <w:highlight w:val="none"/>
        </w:rPr>
      </w:pPr>
      <w:bookmarkStart w:id="256" w:name="_Toc36"/>
      <w:r>
        <w:rPr>
          <w:rFonts w:hint="eastAsia" w:ascii="黑体" w:hAnsi="黑体" w:eastAsia="黑体" w:cs="仿宋"/>
          <w:sz w:val="36"/>
          <w:szCs w:val="36"/>
          <w:highlight w:val="none"/>
        </w:rPr>
        <w:t>七、其他资料</w:t>
      </w:r>
      <w:bookmarkEnd w:id="256"/>
    </w:p>
    <w:p>
      <w:pPr>
        <w:adjustRightInd w:val="0"/>
        <w:snapToGrid w:val="0"/>
        <w:spacing w:line="600" w:lineRule="exact"/>
        <w:ind w:left="420" w:leftChars="200"/>
        <w:jc w:val="both"/>
        <w:rPr>
          <w:rFonts w:cs="仿宋" w:asciiTheme="minorEastAsia" w:hAnsiTheme="minorEastAsia" w:eastAsiaTheme="minorEastAsia"/>
          <w:sz w:val="24"/>
          <w:highlight w:val="none"/>
        </w:rPr>
      </w:pPr>
    </w:p>
    <w:p>
      <w:pPr>
        <w:adjustRightInd w:val="0"/>
        <w:snapToGrid w:val="0"/>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供应商需提交的其他资料。</w:t>
      </w:r>
    </w:p>
    <w:p>
      <w:pPr>
        <w:pStyle w:val="17"/>
        <w:rPr>
          <w:rFonts w:ascii="微软雅黑" w:hAnsi="微软雅黑" w:eastAsia="微软雅黑"/>
          <w:sz w:val="24"/>
          <w:szCs w:val="24"/>
          <w:highlight w:val="none"/>
          <w:lang w:val="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left" w:pos="5373"/>
        <w:tab w:val="right" w:pos="8210"/>
        <w:tab w:val="right" w:pos="8306"/>
      </w:tabs>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tabs>
                              <w:tab w:val="center" w:pos="4153"/>
                              <w:tab w:val="right" w:pos="8306"/>
                            </w:tabs>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tabs>
                        <w:tab w:val="center" w:pos="4153"/>
                        <w:tab w:val="right" w:pos="8306"/>
                      </w:tabs>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13"/>
        <w:spacing w:line="280" w:lineRule="atLeast"/>
        <w:ind w:left="0" w:firstLine="0"/>
        <w:rPr>
          <w:color w:val="FF0000"/>
        </w:rPr>
      </w:pPr>
    </w:p>
  </w:footnote>
  <w:footnote w:id="1">
    <w:p>
      <w:pPr>
        <w:pStyle w:val="13"/>
        <w:ind w:left="0" w:firstLine="0"/>
        <w:rPr>
          <w:sz w:val="24"/>
          <w:szCs w:val="24"/>
        </w:rPr>
      </w:pPr>
    </w:p>
  </w:footnote>
  <w:footnote w:id="2">
    <w:p>
      <w:pPr>
        <w:pStyle w:val="13"/>
        <w:ind w:left="0" w:firstLine="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ECB7D"/>
    <w:multiLevelType w:val="singleLevel"/>
    <w:tmpl w:val="C94ECB7D"/>
    <w:lvl w:ilvl="0" w:tentative="0">
      <w:start w:val="1"/>
      <w:numFmt w:val="chineseCounting"/>
      <w:suff w:val="nothing"/>
      <w:lvlText w:val="（%1）"/>
      <w:lvlJc w:val="left"/>
      <w:rPr>
        <w:rFonts w:hint="eastAsia"/>
      </w:rPr>
    </w:lvl>
  </w:abstractNum>
  <w:abstractNum w:abstractNumId="1">
    <w:nsid w:val="E2ACC65E"/>
    <w:multiLevelType w:val="singleLevel"/>
    <w:tmpl w:val="E2ACC65E"/>
    <w:lvl w:ilvl="0" w:tentative="0">
      <w:start w:val="4"/>
      <w:numFmt w:val="chineseCounting"/>
      <w:suff w:val="nothing"/>
      <w:lvlText w:val="%1、"/>
      <w:lvlJc w:val="left"/>
      <w:rPr>
        <w:rFonts w:hint="eastAsia"/>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601A173"/>
    <w:multiLevelType w:val="singleLevel"/>
    <w:tmpl w:val="3601A173"/>
    <w:lvl w:ilvl="0" w:tentative="0">
      <w:start w:val="1"/>
      <w:numFmt w:val="chineseCounting"/>
      <w:suff w:val="nothing"/>
      <w:lvlText w:val="%1、"/>
      <w:lvlJc w:val="left"/>
      <w:rPr>
        <w:rFonts w:hint="eastAsia"/>
      </w:rPr>
    </w:lvl>
  </w:abstractNum>
  <w:abstractNum w:abstractNumId="4">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DI1YzkyMWEwNWRjOThlNjFkYzkzZGIwNDk5ZTUifQ=="/>
  </w:docVars>
  <w:rsids>
    <w:rsidRoot w:val="00000000"/>
    <w:rsid w:val="003E405F"/>
    <w:rsid w:val="05425A7A"/>
    <w:rsid w:val="078A790B"/>
    <w:rsid w:val="08B478F4"/>
    <w:rsid w:val="0A7105B9"/>
    <w:rsid w:val="0ACD615D"/>
    <w:rsid w:val="0B0943FD"/>
    <w:rsid w:val="11E56875"/>
    <w:rsid w:val="19C17094"/>
    <w:rsid w:val="1A141CEC"/>
    <w:rsid w:val="1AD3631C"/>
    <w:rsid w:val="1B2A46E9"/>
    <w:rsid w:val="1E856959"/>
    <w:rsid w:val="20A73592"/>
    <w:rsid w:val="23A85894"/>
    <w:rsid w:val="252C3BA4"/>
    <w:rsid w:val="25602095"/>
    <w:rsid w:val="266767C0"/>
    <w:rsid w:val="29A00400"/>
    <w:rsid w:val="2DA66298"/>
    <w:rsid w:val="2E8E0FB4"/>
    <w:rsid w:val="30B95BB1"/>
    <w:rsid w:val="31A818A9"/>
    <w:rsid w:val="34751F90"/>
    <w:rsid w:val="364F36CD"/>
    <w:rsid w:val="412A06C6"/>
    <w:rsid w:val="41357812"/>
    <w:rsid w:val="427355A9"/>
    <w:rsid w:val="44684436"/>
    <w:rsid w:val="49730E8A"/>
    <w:rsid w:val="4E215F34"/>
    <w:rsid w:val="50B23C59"/>
    <w:rsid w:val="51886028"/>
    <w:rsid w:val="52B00F54"/>
    <w:rsid w:val="546352D8"/>
    <w:rsid w:val="55681261"/>
    <w:rsid w:val="5F562123"/>
    <w:rsid w:val="5FF26256"/>
    <w:rsid w:val="64A907D7"/>
    <w:rsid w:val="64F35B19"/>
    <w:rsid w:val="703B6452"/>
    <w:rsid w:val="74BF3CFE"/>
    <w:rsid w:val="74EB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outlineLvl w:val="1"/>
    </w:pPr>
    <w:rPr>
      <w:rFonts w:ascii="宋体" w:hAnsi="宋体"/>
      <w:b/>
      <w:bCs/>
      <w:kern w:val="0"/>
      <w:sz w:val="36"/>
      <w:szCs w:val="36"/>
    </w:rPr>
  </w:style>
  <w:style w:type="paragraph" w:styleId="6">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7">
    <w:name w:val="annotation text"/>
    <w:basedOn w:val="1"/>
    <w:semiHidden/>
    <w:qFormat/>
    <w:uiPriority w:val="0"/>
    <w:rPr>
      <w:rFonts w:asciiTheme="minorHAnsi" w:hAnsiTheme="minorHAnsi" w:eastAsiaTheme="minorEastAsia" w:cstheme="minorBidi"/>
    </w:rPr>
  </w:style>
  <w:style w:type="paragraph" w:styleId="8">
    <w:name w:val="Body Text Indent"/>
    <w:basedOn w:val="1"/>
    <w:qFormat/>
    <w:uiPriority w:val="0"/>
    <w:pPr>
      <w:spacing w:line="400" w:lineRule="exact"/>
      <w:ind w:firstLine="435"/>
    </w:pPr>
  </w:style>
  <w:style w:type="paragraph" w:styleId="9">
    <w:name w:val="toc 3"/>
    <w:basedOn w:val="1"/>
    <w:next w:val="1"/>
    <w:qFormat/>
    <w:uiPriority w:val="0"/>
    <w:pPr>
      <w:ind w:left="840" w:leftChars="400"/>
    </w:pPr>
  </w:style>
  <w:style w:type="paragraph" w:styleId="10">
    <w:name w:val="footer"/>
    <w:basedOn w:val="1"/>
    <w:qFormat/>
    <w:uiPriority w:val="99"/>
    <w:pPr>
      <w:snapToGrid w:val="0"/>
      <w:ind w:right="210" w:rightChars="100"/>
      <w:jc w:val="right"/>
    </w:pPr>
    <w:rPr>
      <w:rFonts w:asciiTheme="minorHAnsi" w:hAnsiTheme="minorHAnsi" w:eastAsiaTheme="minorEastAsia" w:cstheme="minorBidi"/>
      <w:sz w:val="18"/>
      <w:szCs w:val="18"/>
    </w:rPr>
  </w:style>
  <w:style w:type="paragraph" w:styleId="11">
    <w:name w:val="header"/>
    <w:basedOn w:val="1"/>
    <w:qFormat/>
    <w:uiPriority w:val="99"/>
    <w:pPr>
      <w:snapToGrid w:val="0"/>
    </w:pPr>
    <w:rPr>
      <w:rFonts w:asciiTheme="minorHAnsi" w:hAnsiTheme="minorHAnsi" w:eastAsiaTheme="minorEastAsia" w:cstheme="minorBidi"/>
      <w:sz w:val="18"/>
      <w:szCs w:val="18"/>
    </w:rPr>
  </w:style>
  <w:style w:type="paragraph" w:styleId="12">
    <w:name w:val="toc 1"/>
    <w:basedOn w:val="1"/>
    <w:next w:val="1"/>
    <w:semiHidden/>
    <w:qFormat/>
    <w:uiPriority w:val="0"/>
    <w:pPr>
      <w:tabs>
        <w:tab w:val="right" w:leader="dot" w:pos="9242"/>
      </w:tabs>
      <w:spacing w:beforeLines="25" w:afterLines="25"/>
    </w:pPr>
    <w:rPr>
      <w:rFonts w:ascii="宋体"/>
      <w:szCs w:val="21"/>
    </w:rPr>
  </w:style>
  <w:style w:type="paragraph" w:styleId="13">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6">
    <w:name w:val="Normal (Web)"/>
    <w:basedOn w:val="1"/>
    <w:unhideWhenUsed/>
    <w:qFormat/>
    <w:uiPriority w:val="99"/>
    <w:pPr>
      <w:spacing w:before="100" w:beforeAutospacing="1" w:after="100" w:afterAutospacing="1"/>
    </w:pPr>
    <w:rPr>
      <w:rFonts w:ascii="宋体" w:hAnsi="宋体" w:cs="宋体"/>
      <w:kern w:val="0"/>
      <w:sz w:val="24"/>
    </w:rPr>
  </w:style>
  <w:style w:type="paragraph" w:styleId="17">
    <w:name w:val="Body Text First Indent"/>
    <w:basedOn w:val="2"/>
    <w:qFormat/>
    <w:uiPriority w:val="0"/>
    <w:pPr>
      <w:adjustRightInd w:val="0"/>
      <w:snapToGrid w:val="0"/>
      <w:ind w:firstLine="420"/>
      <w:textAlignment w:val="baseline"/>
    </w:pPr>
    <w:rPr>
      <w:rFonts w:ascii="宋体"/>
      <w:snapToGrid w:val="0"/>
      <w:kern w:val="24"/>
      <w:sz w:val="24"/>
      <w:szCs w:val="20"/>
    </w:rPr>
  </w:style>
  <w:style w:type="paragraph" w:styleId="18">
    <w:name w:val="Body Text First Indent 2"/>
    <w:basedOn w:val="8"/>
    <w:qFormat/>
    <w:uiPriority w:val="0"/>
    <w:pPr>
      <w:spacing w:after="120" w:line="240" w:lineRule="auto"/>
      <w:ind w:left="420" w:firstLine="210"/>
    </w:pPr>
    <w:rPr>
      <w:szCs w:val="20"/>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qFormat/>
    <w:uiPriority w:val="99"/>
    <w:rPr>
      <w:color w:val="0000FF"/>
      <w:spacing w:val="0"/>
      <w:w w:val="100"/>
      <w:szCs w:val="21"/>
      <w:u w:val="single"/>
      <w:lang w:val="en-US" w:eastAsia="zh-CN"/>
    </w:rPr>
  </w:style>
  <w:style w:type="character" w:styleId="24">
    <w:name w:val="footnote reference"/>
    <w:qFormat/>
    <w:uiPriority w:val="0"/>
    <w:rPr>
      <w:vertAlign w:val="superscript"/>
    </w:rPr>
  </w:style>
  <w:style w:type="paragraph" w:customStyle="1" w:styleId="25">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styleId="27">
    <w:name w:val="List Paragraph"/>
    <w:basedOn w:val="1"/>
    <w:qFormat/>
    <w:uiPriority w:val="34"/>
    <w:pPr>
      <w:ind w:firstLine="420" w:firstLineChars="200"/>
    </w:pPr>
    <w:rPr>
      <w:rFonts w:ascii="宋体" w:hAnsi="宋体" w:cs="宋体"/>
      <w:kern w:val="0"/>
      <w:sz w:val="24"/>
    </w:rPr>
  </w:style>
  <w:style w:type="paragraph" w:customStyle="1" w:styleId="28">
    <w:name w:val="一级条标题"/>
    <w:next w:val="2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0">
    <w:name w:val="font31"/>
    <w:basedOn w:val="21"/>
    <w:qFormat/>
    <w:uiPriority w:val="0"/>
    <w:rPr>
      <w:rFonts w:hint="eastAsia" w:ascii="宋体" w:hAnsi="宋体" w:eastAsia="宋体" w:cs="宋体"/>
      <w:color w:val="000000"/>
      <w:sz w:val="24"/>
      <w:szCs w:val="24"/>
      <w:u w:val="none"/>
    </w:rPr>
  </w:style>
  <w:style w:type="character" w:customStyle="1" w:styleId="31">
    <w:name w:val="font51"/>
    <w:basedOn w:val="21"/>
    <w:qFormat/>
    <w:uiPriority w:val="0"/>
    <w:rPr>
      <w:rFonts w:hint="default" w:ascii="Times New Roman" w:hAnsi="Times New Roman" w:cs="Times New Roman"/>
      <w:color w:val="000000"/>
      <w:sz w:val="24"/>
      <w:szCs w:val="24"/>
      <w:u w:val="none"/>
    </w:rPr>
  </w:style>
  <w:style w:type="paragraph" w:customStyle="1" w:styleId="3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21192</Words>
  <Characters>22569</Characters>
  <Lines>0</Lines>
  <Paragraphs>0</Paragraphs>
  <TotalTime>11</TotalTime>
  <ScaleCrop>false</ScaleCrop>
  <LinksUpToDate>false</LinksUpToDate>
  <CharactersWithSpaces>24192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2022-07-06T05:24:00Z</dcterms:created>
  <dc:creator>lenovo</dc:creator>
  <cp:lastModifiedBy>蔡艳</cp:lastModifiedBy>
  <dcterms:modified xsi:type="dcterms:W3CDTF">2022-09-19T07:58:11Z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220F190B417F48AAAFC9B244587D74E0</vt:lpwstr>
  </property>
</Properties>
</file>