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both"/>
        <w:rPr>
          <w:rFonts w:ascii="黑体" w:hAnsi="黑体" w:eastAsia="黑体"/>
          <w:sz w:val="36"/>
          <w:szCs w:val="36"/>
        </w:rPr>
      </w:pPr>
      <w:r>
        <w:rPr>
          <w:rFonts w:hint="eastAsia" w:ascii="黑体" w:hAnsi="黑体" w:eastAsia="黑体"/>
          <w:sz w:val="36"/>
          <w:szCs w:val="36"/>
        </w:rPr>
        <w:t xml:space="preserve">                     </w:t>
      </w:r>
    </w:p>
    <w:p>
      <w:pPr>
        <w:snapToGrid w:val="0"/>
        <w:spacing w:line="900" w:lineRule="exact"/>
        <w:jc w:val="center"/>
        <w:rPr>
          <w:rFonts w:ascii="黑体" w:hAnsi="黑体" w:eastAsia="黑体"/>
          <w:sz w:val="36"/>
          <w:szCs w:val="36"/>
        </w:rPr>
      </w:pPr>
      <w:bookmarkStart w:id="0" w:name="OLE_LINK5"/>
      <w:bookmarkStart w:id="1" w:name="OLE_LINK6"/>
      <w:bookmarkStart w:id="2" w:name="OLE_LINK9"/>
      <w:r>
        <w:rPr>
          <w:rFonts w:hint="eastAsia" w:ascii="黑体" w:hAnsi="黑体" w:eastAsia="黑体"/>
          <w:sz w:val="36"/>
          <w:szCs w:val="36"/>
        </w:rPr>
        <w:t>岳阳</w:t>
      </w:r>
      <w:r>
        <w:rPr>
          <w:rFonts w:hint="eastAsia" w:ascii="黑体" w:hAnsi="黑体" w:eastAsia="黑体"/>
          <w:sz w:val="36"/>
          <w:szCs w:val="36"/>
          <w:lang w:val="en-US" w:eastAsia="zh-CN"/>
        </w:rPr>
        <w:t>城陵矶港务有限责任公司码头环保提质改造</w:t>
      </w:r>
      <w:r>
        <w:rPr>
          <w:rFonts w:hint="eastAsia" w:ascii="黑体" w:hAnsi="黑体" w:eastAsia="黑体"/>
          <w:sz w:val="36"/>
          <w:szCs w:val="36"/>
        </w:rPr>
        <w:t>二期工程</w:t>
      </w:r>
      <w:bookmarkEnd w:id="0"/>
      <w:bookmarkEnd w:id="1"/>
      <w:bookmarkEnd w:id="2"/>
    </w:p>
    <w:p>
      <w:pPr>
        <w:snapToGrid w:val="0"/>
        <w:spacing w:line="900" w:lineRule="exact"/>
        <w:jc w:val="center"/>
        <w:rPr>
          <w:rFonts w:ascii="黑体" w:hAnsi="黑体" w:eastAsia="黑体"/>
          <w:sz w:val="36"/>
          <w:szCs w:val="36"/>
        </w:rPr>
      </w:pPr>
      <w:bookmarkStart w:id="3" w:name="OLE_LINK8"/>
      <w:bookmarkStart w:id="4" w:name="OLE_LINK7"/>
      <w:r>
        <w:rPr>
          <w:rFonts w:hint="eastAsia" w:ascii="黑体" w:hAnsi="黑体" w:eastAsia="黑体"/>
          <w:sz w:val="36"/>
          <w:szCs w:val="36"/>
          <w:lang w:val="en-US" w:eastAsia="zh-CN"/>
        </w:rPr>
        <w:t>干雾除尘设备</w:t>
      </w:r>
      <w:r>
        <w:rPr>
          <w:rFonts w:hint="eastAsia" w:ascii="黑体" w:hAnsi="黑体" w:eastAsia="黑体"/>
          <w:sz w:val="36"/>
          <w:szCs w:val="36"/>
        </w:rPr>
        <w:t>采购</w:t>
      </w:r>
      <w:bookmarkEnd w:id="3"/>
      <w:bookmarkEnd w:id="4"/>
    </w:p>
    <w:p>
      <w:pPr>
        <w:snapToGrid w:val="0"/>
        <w:spacing w:line="900" w:lineRule="exact"/>
        <w:jc w:val="both"/>
        <w:rPr>
          <w:rFonts w:ascii="黑体" w:hAnsi="黑体" w:eastAsia="黑体"/>
          <w:sz w:val="36"/>
          <w:szCs w:val="36"/>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rPr>
          <w:color w:val="auto"/>
        </w:rPr>
      </w:pPr>
      <w:r>
        <w:rPr>
          <w:rFonts w:hint="eastAsia" w:ascii="黑体" w:hAnsi="黑体" w:eastAsia="黑体" w:cs="宋体"/>
          <w:b/>
          <w:color w:val="000000"/>
          <w:kern w:val="0"/>
          <w:sz w:val="72"/>
          <w:szCs w:val="72"/>
        </w:rPr>
        <w:t>件</w:t>
      </w:r>
    </w:p>
    <w:p>
      <w:pPr>
        <w:spacing w:line="600" w:lineRule="exact"/>
        <w:rPr>
          <w:color w:val="auto"/>
        </w:rPr>
      </w:pPr>
    </w:p>
    <w:p>
      <w:pPr>
        <w:snapToGrid w:val="0"/>
        <w:spacing w:line="900" w:lineRule="exact"/>
        <w:jc w:val="center"/>
        <w:rPr>
          <w:rFonts w:ascii="黑体" w:hAnsi="黑体" w:eastAsia="黑体"/>
          <w:bCs/>
          <w:color w:val="auto"/>
          <w:sz w:val="48"/>
          <w:szCs w:val="48"/>
        </w:rPr>
      </w:pPr>
      <w:r>
        <w:rPr>
          <w:rFonts w:hint="eastAsia" w:ascii="黑体" w:hAnsi="黑体" w:eastAsia="黑体"/>
          <w:bCs/>
          <w:color w:val="auto"/>
          <w:sz w:val="48"/>
          <w:szCs w:val="48"/>
        </w:rPr>
        <w:t>湖南省港务集团有限公司</w:t>
      </w:r>
    </w:p>
    <w:p>
      <w:pPr>
        <w:tabs>
          <w:tab w:val="left" w:pos="0"/>
          <w:tab w:val="left" w:pos="4185"/>
        </w:tabs>
        <w:spacing w:line="288" w:lineRule="auto"/>
        <w:ind w:right="-6"/>
        <w:jc w:val="center"/>
        <w:rPr>
          <w:rFonts w:ascii="方正小标宋简体" w:hAnsi="黑体" w:eastAsia="方正小标宋简体"/>
          <w:color w:val="auto"/>
          <w:sz w:val="36"/>
          <w:szCs w:val="36"/>
        </w:rPr>
      </w:pPr>
      <w:r>
        <w:rPr>
          <w:rFonts w:hint="eastAsia" w:ascii="黑体" w:hAnsi="黑体" w:eastAsia="黑体"/>
          <w:bCs/>
          <w:color w:val="auto"/>
          <w:sz w:val="48"/>
          <w:szCs w:val="48"/>
        </w:rPr>
        <w:t>二О二二年</w:t>
      </w:r>
      <w:r>
        <w:rPr>
          <w:rFonts w:hint="eastAsia" w:ascii="黑体" w:hAnsi="黑体" w:eastAsia="黑体"/>
          <w:bCs/>
          <w:color w:val="auto"/>
          <w:sz w:val="48"/>
          <w:szCs w:val="48"/>
          <w:lang w:val="en-US" w:eastAsia="zh-CN"/>
        </w:rPr>
        <w:t>九</w:t>
      </w:r>
      <w:r>
        <w:rPr>
          <w:rFonts w:hint="eastAsia" w:ascii="黑体" w:hAnsi="黑体" w:eastAsia="黑体"/>
          <w:bCs/>
          <w:color w:val="auto"/>
          <w:sz w:val="48"/>
          <w:szCs w:val="48"/>
        </w:rPr>
        <w:t>月</w:t>
      </w:r>
    </w:p>
    <w:p>
      <w:pPr>
        <w:widowControl w:val="0"/>
        <w:adjustRightInd w:val="0"/>
        <w:snapToGrid w:val="0"/>
        <w:spacing w:line="265" w:lineRule="auto"/>
        <w:ind w:hanging="10"/>
        <w:jc w:val="center"/>
        <w:rPr>
          <w:rFonts w:eastAsia="楷体_GB2312"/>
          <w:b/>
          <w:sz w:val="28"/>
          <w:szCs w:val="28"/>
        </w:rPr>
      </w:pPr>
    </w:p>
    <w:p>
      <w:pPr>
        <w:pStyle w:val="190"/>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8"/>
        <w:tabs>
          <w:tab w:val="left" w:pos="1050"/>
        </w:tabs>
        <w:spacing w:before="60" w:after="60"/>
        <w:rPr>
          <w:rFonts w:asciiTheme="minorHAnsi" w:hAnsiTheme="minorHAnsi" w:eastAsiaTheme="minorEastAsia" w:cstheme="minorBidi"/>
          <w:szCs w:val="22"/>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"1-3" \h \z \u </w:instrText>
      </w:r>
      <w:r>
        <w:rPr>
          <w:rFonts w:asciiTheme="minorEastAsia" w:hAnsiTheme="minorEastAsia" w:eastAsiaTheme="minorEastAsia"/>
          <w:sz w:val="24"/>
          <w:szCs w:val="24"/>
        </w:rPr>
        <w:fldChar w:fldCharType="separate"/>
      </w:r>
      <w:r>
        <w:fldChar w:fldCharType="begin"/>
      </w:r>
      <w:r>
        <w:instrText xml:space="preserve"> HYPERLINK \l "_Toc106039321" </w:instrText>
      </w:r>
      <w:r>
        <w:fldChar w:fldCharType="separate"/>
      </w:r>
      <w:r>
        <w:rPr>
          <w:rStyle w:val="49"/>
          <w:rFonts w:hint="eastAsia" w:ascii="黑体" w:hAnsi="黑体" w:eastAsia="黑体" w:cs="仿宋"/>
          <w:b/>
        </w:rPr>
        <w:t>第一章</w:t>
      </w:r>
      <w:r>
        <w:rPr>
          <w:rFonts w:asciiTheme="minorHAnsi" w:hAnsiTheme="minorHAnsi" w:eastAsiaTheme="minorEastAsia" w:cstheme="minorBidi"/>
          <w:szCs w:val="22"/>
        </w:rPr>
        <w:tab/>
      </w:r>
      <w:r>
        <w:rPr>
          <w:rStyle w:val="49"/>
          <w:rFonts w:hint="eastAsia" w:ascii="黑体" w:hAnsi="黑体" w:eastAsia="黑体" w:cs="仿宋"/>
          <w:b/>
        </w:rPr>
        <w:t>采购公告</w:t>
      </w:r>
      <w:r>
        <w:tab/>
      </w:r>
      <w:r>
        <w:fldChar w:fldCharType="begin"/>
      </w:r>
      <w:r>
        <w:instrText xml:space="preserve"> PAGEREF _Toc106039321 \h </w:instrText>
      </w:r>
      <w:r>
        <w:fldChar w:fldCharType="separate"/>
      </w:r>
      <w:r>
        <w:t>4</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"_Toc106039322" </w:instrText>
      </w:r>
      <w:r>
        <w:fldChar w:fldCharType="separate"/>
      </w:r>
      <w:r>
        <w:rPr>
          <w:rStyle w:val="49"/>
        </w:rPr>
        <w:t xml:space="preserve">1 </w:t>
      </w:r>
      <w:r>
        <w:rPr>
          <w:rStyle w:val="49"/>
          <w:rFonts w:hint="eastAsia" w:ascii="微软雅黑" w:hAnsi="微软雅黑" w:eastAsia="微软雅黑" w:cs="微软雅黑"/>
        </w:rPr>
        <w:t>采购项目简介</w:t>
      </w:r>
      <w:r>
        <w:tab/>
      </w:r>
      <w:r>
        <w:fldChar w:fldCharType="begin"/>
      </w:r>
      <w:r>
        <w:instrText xml:space="preserve"> PAGEREF _Toc106039322 \h </w:instrText>
      </w:r>
      <w:r>
        <w:fldChar w:fldCharType="separate"/>
      </w:r>
      <w:r>
        <w:t>4</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"_Toc106039323" </w:instrText>
      </w:r>
      <w:r>
        <w:fldChar w:fldCharType="separate"/>
      </w:r>
      <w:r>
        <w:rPr>
          <w:rStyle w:val="49"/>
        </w:rPr>
        <w:t>2</w:t>
      </w:r>
      <w:r>
        <w:rPr>
          <w:rStyle w:val="49"/>
          <w:rFonts w:hint="eastAsia" w:ascii="微软雅黑" w:hAnsi="微软雅黑" w:eastAsia="微软雅黑" w:cs="微软雅黑"/>
        </w:rPr>
        <w:t>．采购范围及相关要求</w:t>
      </w:r>
      <w:r>
        <w:tab/>
      </w:r>
      <w:r>
        <w:fldChar w:fldCharType="begin"/>
      </w:r>
      <w:r>
        <w:instrText xml:space="preserve"> PAGEREF _Toc106039323 \h </w:instrText>
      </w:r>
      <w:r>
        <w:fldChar w:fldCharType="separate"/>
      </w:r>
      <w:r>
        <w:t>4</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"_Toc106039324" </w:instrText>
      </w:r>
      <w:r>
        <w:fldChar w:fldCharType="separate"/>
      </w:r>
      <w:r>
        <w:rPr>
          <w:rStyle w:val="49"/>
        </w:rPr>
        <w:t xml:space="preserve">3 </w:t>
      </w:r>
      <w:r>
        <w:rPr>
          <w:rStyle w:val="49"/>
          <w:rFonts w:hint="eastAsia" w:ascii="微软雅黑" w:hAnsi="微软雅黑" w:eastAsia="微软雅黑" w:cs="微软雅黑"/>
        </w:rPr>
        <w:t>供应商资格要求</w:t>
      </w:r>
      <w:r>
        <w:tab/>
      </w:r>
      <w:r>
        <w:fldChar w:fldCharType="begin"/>
      </w:r>
      <w:r>
        <w:instrText xml:space="preserve"> PAGEREF _Toc106039324 \h </w:instrText>
      </w:r>
      <w:r>
        <w:fldChar w:fldCharType="separate"/>
      </w:r>
      <w:r>
        <w:t>4</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"_Toc106039325" </w:instrText>
      </w:r>
      <w:r>
        <w:fldChar w:fldCharType="separate"/>
      </w:r>
      <w:r>
        <w:rPr>
          <w:rStyle w:val="49"/>
        </w:rPr>
        <w:t xml:space="preserve">4 </w:t>
      </w:r>
      <w:r>
        <w:rPr>
          <w:rStyle w:val="49"/>
          <w:rFonts w:hint="eastAsia" w:ascii="微软雅黑" w:hAnsi="微软雅黑" w:eastAsia="微软雅黑" w:cs="微软雅黑"/>
        </w:rPr>
        <w:t>响应保证金</w:t>
      </w:r>
      <w:r>
        <w:tab/>
      </w:r>
      <w:r>
        <w:fldChar w:fldCharType="begin"/>
      </w:r>
      <w:r>
        <w:instrText xml:space="preserve"> PAGEREF _Toc106039325 \h </w:instrText>
      </w:r>
      <w:r>
        <w:fldChar w:fldCharType="separate"/>
      </w:r>
      <w:r>
        <w:t>5</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"_Toc106039326" </w:instrText>
      </w:r>
      <w:r>
        <w:fldChar w:fldCharType="separate"/>
      </w:r>
      <w:r>
        <w:rPr>
          <w:rStyle w:val="49"/>
        </w:rPr>
        <w:t xml:space="preserve">5 </w:t>
      </w:r>
      <w:r>
        <w:rPr>
          <w:rStyle w:val="49"/>
          <w:rFonts w:hint="eastAsia" w:ascii="微软雅黑" w:hAnsi="微软雅黑" w:eastAsia="微软雅黑" w:cs="微软雅黑"/>
        </w:rPr>
        <w:t>确定成交供应商的方法</w:t>
      </w:r>
      <w:r>
        <w:tab/>
      </w:r>
      <w:r>
        <w:fldChar w:fldCharType="begin"/>
      </w:r>
      <w:r>
        <w:instrText xml:space="preserve"> PAGEREF _Toc106039326 \h </w:instrText>
      </w:r>
      <w:r>
        <w:fldChar w:fldCharType="separate"/>
      </w:r>
      <w:r>
        <w:t>5</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"_Toc106039327" </w:instrText>
      </w:r>
      <w:r>
        <w:fldChar w:fldCharType="separate"/>
      </w:r>
      <w:r>
        <w:rPr>
          <w:rStyle w:val="49"/>
        </w:rPr>
        <w:t>6</w:t>
      </w:r>
      <w:r>
        <w:rPr>
          <w:rStyle w:val="49"/>
          <w:rFonts w:hint="eastAsia" w:ascii="微软雅黑" w:hAnsi="微软雅黑" w:eastAsia="微软雅黑" w:cs="微软雅黑"/>
        </w:rPr>
        <w:t>．最高投标限价</w:t>
      </w:r>
      <w:r>
        <w:tab/>
      </w:r>
      <w:r>
        <w:fldChar w:fldCharType="begin"/>
      </w:r>
      <w:r>
        <w:instrText xml:space="preserve"> PAGEREF _Toc106039327 \h </w:instrText>
      </w:r>
      <w:r>
        <w:fldChar w:fldCharType="separate"/>
      </w:r>
      <w:r>
        <w:t>5</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"_Toc106039328" </w:instrText>
      </w:r>
      <w:r>
        <w:fldChar w:fldCharType="separate"/>
      </w:r>
      <w:r>
        <w:rPr>
          <w:rStyle w:val="49"/>
        </w:rPr>
        <w:t>7.</w:t>
      </w:r>
      <w:r>
        <w:rPr>
          <w:rStyle w:val="49"/>
          <w:rFonts w:hint="eastAsia" w:ascii="微软雅黑" w:hAnsi="微软雅黑" w:eastAsia="微软雅黑" w:cs="微软雅黑"/>
        </w:rPr>
        <w:t>采购文件获取</w:t>
      </w:r>
      <w:r>
        <w:tab/>
      </w:r>
      <w:r>
        <w:fldChar w:fldCharType="begin"/>
      </w:r>
      <w:r>
        <w:instrText xml:space="preserve"> PAGEREF _Toc106039328 \h </w:instrText>
      </w:r>
      <w:r>
        <w:fldChar w:fldCharType="separate"/>
      </w:r>
      <w:r>
        <w:t>6</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"_Toc106039329" </w:instrText>
      </w:r>
      <w:r>
        <w:fldChar w:fldCharType="separate"/>
      </w:r>
      <w:r>
        <w:rPr>
          <w:rStyle w:val="49"/>
        </w:rPr>
        <w:t>8.</w:t>
      </w:r>
      <w:r>
        <w:rPr>
          <w:rStyle w:val="49"/>
          <w:rFonts w:hint="eastAsia" w:ascii="微软雅黑" w:hAnsi="微软雅黑" w:eastAsia="微软雅黑" w:cs="微软雅黑"/>
        </w:rPr>
        <w:t>发布公告的媒介</w:t>
      </w:r>
      <w:r>
        <w:tab/>
      </w:r>
      <w:r>
        <w:fldChar w:fldCharType="begin"/>
      </w:r>
      <w:r>
        <w:instrText xml:space="preserve"> PAGEREF _Toc106039329 \h </w:instrText>
      </w:r>
      <w:r>
        <w:fldChar w:fldCharType="separate"/>
      </w:r>
      <w:r>
        <w:t>6</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"_Toc106039330" </w:instrText>
      </w:r>
      <w:r>
        <w:fldChar w:fldCharType="separate"/>
      </w:r>
      <w:r>
        <w:rPr>
          <w:rStyle w:val="49"/>
        </w:rPr>
        <w:t>9.</w:t>
      </w:r>
      <w:r>
        <w:rPr>
          <w:rStyle w:val="49"/>
          <w:rFonts w:hint="eastAsia" w:ascii="微软雅黑" w:hAnsi="微软雅黑" w:eastAsia="微软雅黑" w:cs="微软雅黑"/>
        </w:rPr>
        <w:t>监督部门</w:t>
      </w:r>
      <w:r>
        <w:tab/>
      </w:r>
      <w:r>
        <w:fldChar w:fldCharType="begin"/>
      </w:r>
      <w:r>
        <w:instrText xml:space="preserve"> PAGEREF _Toc106039330 \h </w:instrText>
      </w:r>
      <w:r>
        <w:fldChar w:fldCharType="separate"/>
      </w:r>
      <w:r>
        <w:t>6</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"_Toc106039331" </w:instrText>
      </w:r>
      <w:r>
        <w:fldChar w:fldCharType="separate"/>
      </w:r>
      <w:r>
        <w:rPr>
          <w:rStyle w:val="49"/>
        </w:rPr>
        <w:t>10.</w:t>
      </w:r>
      <w:r>
        <w:rPr>
          <w:rStyle w:val="49"/>
          <w:rFonts w:hint="eastAsia" w:ascii="微软雅黑" w:hAnsi="微软雅黑" w:eastAsia="微软雅黑" w:cs="微软雅黑"/>
        </w:rPr>
        <w:t>联系方式</w:t>
      </w:r>
      <w:r>
        <w:tab/>
      </w:r>
      <w:r>
        <w:fldChar w:fldCharType="begin"/>
      </w:r>
      <w:r>
        <w:instrText xml:space="preserve"> PAGEREF _Toc106039331 \h </w:instrText>
      </w:r>
      <w:r>
        <w:fldChar w:fldCharType="separate"/>
      </w:r>
      <w:r>
        <w:t>6</w:t>
      </w:r>
      <w:r>
        <w:fldChar w:fldCharType="end"/>
      </w:r>
      <w:r>
        <w:fldChar w:fldCharType="end"/>
      </w:r>
    </w:p>
    <w:p>
      <w:pPr>
        <w:pStyle w:val="28"/>
        <w:spacing w:before="60" w:after="60"/>
        <w:rPr>
          <w:rFonts w:asciiTheme="minorHAnsi" w:hAnsiTheme="minorHAnsi" w:eastAsiaTheme="minorEastAsia" w:cstheme="minorBidi"/>
          <w:szCs w:val="22"/>
        </w:rPr>
      </w:pPr>
      <w:r>
        <w:fldChar w:fldCharType="begin"/>
      </w:r>
      <w:r>
        <w:instrText xml:space="preserve"> HYPERLINK \l "_Toc106039332" </w:instrText>
      </w:r>
      <w:r>
        <w:fldChar w:fldCharType="separate"/>
      </w:r>
      <w:r>
        <w:rPr>
          <w:rStyle w:val="49"/>
          <w:rFonts w:hint="eastAsia" w:ascii="黑体" w:hAnsi="黑体" w:eastAsia="黑体"/>
        </w:rPr>
        <w:t>第二章</w:t>
      </w:r>
      <w:r>
        <w:rPr>
          <w:rStyle w:val="49"/>
          <w:rFonts w:ascii="黑体" w:hAnsi="黑体" w:eastAsia="黑体"/>
        </w:rPr>
        <w:t xml:space="preserve">  </w:t>
      </w:r>
      <w:r>
        <w:rPr>
          <w:rStyle w:val="49"/>
          <w:rFonts w:hint="eastAsia" w:ascii="黑体" w:hAnsi="黑体" w:eastAsia="黑体"/>
        </w:rPr>
        <w:t>供应商须知</w:t>
      </w:r>
      <w:r>
        <w:tab/>
      </w:r>
      <w:r>
        <w:fldChar w:fldCharType="begin"/>
      </w:r>
      <w:r>
        <w:instrText xml:space="preserve"> PAGEREF _Toc106039332 \h </w:instrText>
      </w:r>
      <w:r>
        <w:fldChar w:fldCharType="separate"/>
      </w:r>
      <w:r>
        <w:t>7</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"_Toc106039333" </w:instrText>
      </w:r>
      <w:r>
        <w:fldChar w:fldCharType="separate"/>
      </w:r>
      <w:r>
        <w:rPr>
          <w:rStyle w:val="49"/>
          <w:rFonts w:hint="eastAsia" w:ascii="微软雅黑" w:hAnsi="微软雅黑" w:eastAsia="微软雅黑" w:cs="微软雅黑"/>
        </w:rPr>
        <w:t>供应商须知前附表</w:t>
      </w:r>
      <w:r>
        <w:tab/>
      </w:r>
      <w:r>
        <w:fldChar w:fldCharType="begin"/>
      </w:r>
      <w:r>
        <w:instrText xml:space="preserve"> PAGEREF _Toc106039333 \h </w:instrText>
      </w:r>
      <w:r>
        <w:fldChar w:fldCharType="separate"/>
      </w:r>
      <w:r>
        <w:t>7</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"_Toc106039334" </w:instrText>
      </w:r>
      <w:r>
        <w:fldChar w:fldCharType="separate"/>
      </w:r>
      <w:r>
        <w:rPr>
          <w:rStyle w:val="49"/>
          <w:rFonts w:hint="eastAsia" w:cs="宋体" w:asciiTheme="minorEastAsia" w:hAnsiTheme="minorEastAsia"/>
        </w:rPr>
        <w:t>人员证明材料：</w:t>
      </w:r>
      <w:r>
        <w:tab/>
      </w:r>
      <w:r>
        <w:fldChar w:fldCharType="begin"/>
      </w:r>
      <w:r>
        <w:instrText xml:space="preserve"> PAGEREF _Toc106039334 \h </w:instrText>
      </w:r>
      <w:r>
        <w:fldChar w:fldCharType="separate"/>
      </w:r>
      <w:r>
        <w:t>9</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"_Toc106039335" </w:instrText>
      </w:r>
      <w:r>
        <w:fldChar w:fldCharType="separate"/>
      </w:r>
      <w:r>
        <w:rPr>
          <w:rStyle w:val="49"/>
          <w:rFonts w:cs="仿宋"/>
        </w:rPr>
        <w:t xml:space="preserve">1 </w:t>
      </w:r>
      <w:r>
        <w:rPr>
          <w:rStyle w:val="49"/>
          <w:rFonts w:hint="eastAsia" w:ascii="微软雅黑" w:hAnsi="微软雅黑" w:eastAsia="微软雅黑" w:cs="微软雅黑"/>
        </w:rPr>
        <w:t>总则</w:t>
      </w:r>
      <w:r>
        <w:tab/>
      </w:r>
      <w:r>
        <w:fldChar w:fldCharType="begin"/>
      </w:r>
      <w:r>
        <w:instrText xml:space="preserve"> PAGEREF _Toc106039335 \h </w:instrText>
      </w:r>
      <w:r>
        <w:fldChar w:fldCharType="separate"/>
      </w:r>
      <w:r>
        <w:t>12</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"_Toc106039336" </w:instrText>
      </w:r>
      <w:r>
        <w:fldChar w:fldCharType="separate"/>
      </w:r>
      <w:r>
        <w:rPr>
          <w:rStyle w:val="49"/>
          <w:rFonts w:cs="仿宋"/>
        </w:rPr>
        <w:t>2</w:t>
      </w:r>
      <w:r>
        <w:rPr>
          <w:rStyle w:val="49"/>
          <w:rFonts w:hint="eastAsia" w:ascii="微软雅黑" w:hAnsi="微软雅黑" w:eastAsia="微软雅黑" w:cs="微软雅黑"/>
        </w:rPr>
        <w:t>采购文件</w:t>
      </w:r>
      <w:r>
        <w:tab/>
      </w:r>
      <w:r>
        <w:fldChar w:fldCharType="begin"/>
      </w:r>
      <w:r>
        <w:instrText xml:space="preserve"> PAGEREF _Toc106039336 \h </w:instrText>
      </w:r>
      <w:r>
        <w:fldChar w:fldCharType="separate"/>
      </w:r>
      <w:r>
        <w:t>13</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"_Toc106039337" </w:instrText>
      </w:r>
      <w:r>
        <w:fldChar w:fldCharType="separate"/>
      </w:r>
      <w:r>
        <w:rPr>
          <w:rStyle w:val="49"/>
          <w:rFonts w:cs="仿宋"/>
        </w:rPr>
        <w:t>3</w:t>
      </w:r>
      <w:r>
        <w:rPr>
          <w:rStyle w:val="49"/>
          <w:rFonts w:hint="eastAsia" w:ascii="微软雅黑" w:hAnsi="微软雅黑" w:eastAsia="微软雅黑" w:cs="微软雅黑"/>
        </w:rPr>
        <w:t>响应文件</w:t>
      </w:r>
      <w:r>
        <w:tab/>
      </w:r>
      <w:r>
        <w:fldChar w:fldCharType="begin"/>
      </w:r>
      <w:r>
        <w:instrText xml:space="preserve"> PAGEREF _Toc106039337 \h </w:instrText>
      </w:r>
      <w:r>
        <w:fldChar w:fldCharType="separate"/>
      </w:r>
      <w:r>
        <w:t>14</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"_Toc106039338" </w:instrText>
      </w:r>
      <w:r>
        <w:fldChar w:fldCharType="separate"/>
      </w:r>
      <w:r>
        <w:rPr>
          <w:rStyle w:val="49"/>
          <w:rFonts w:cs="仿宋"/>
        </w:rPr>
        <w:t>4</w:t>
      </w:r>
      <w:r>
        <w:rPr>
          <w:rStyle w:val="49"/>
          <w:rFonts w:hint="eastAsia" w:ascii="微软雅黑" w:hAnsi="微软雅黑" w:eastAsia="微软雅黑" w:cs="微软雅黑"/>
        </w:rPr>
        <w:t>响应文件的递交</w:t>
      </w:r>
      <w:r>
        <w:tab/>
      </w:r>
      <w:r>
        <w:fldChar w:fldCharType="begin"/>
      </w:r>
      <w:r>
        <w:instrText xml:space="preserve"> PAGEREF _Toc106039338 \h </w:instrText>
      </w:r>
      <w:r>
        <w:fldChar w:fldCharType="separate"/>
      </w:r>
      <w:r>
        <w:t>16</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"_Toc106039339" </w:instrText>
      </w:r>
      <w:r>
        <w:fldChar w:fldCharType="separate"/>
      </w:r>
      <w:r>
        <w:rPr>
          <w:rStyle w:val="49"/>
          <w:rFonts w:cs="仿宋"/>
        </w:rPr>
        <w:t>5</w:t>
      </w:r>
      <w:r>
        <w:rPr>
          <w:rStyle w:val="49"/>
          <w:rFonts w:hint="eastAsia" w:ascii="微软雅黑" w:hAnsi="微软雅黑" w:eastAsia="微软雅黑" w:cs="微软雅黑"/>
        </w:rPr>
        <w:t>开启响应文件</w:t>
      </w:r>
      <w:r>
        <w:tab/>
      </w:r>
      <w:r>
        <w:fldChar w:fldCharType="begin"/>
      </w:r>
      <w:r>
        <w:instrText xml:space="preserve"> PAGEREF _Toc106039339 \h </w:instrText>
      </w:r>
      <w:r>
        <w:fldChar w:fldCharType="separate"/>
      </w:r>
      <w:r>
        <w:t>17</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"_Toc106039340" </w:instrText>
      </w:r>
      <w:r>
        <w:fldChar w:fldCharType="separate"/>
      </w:r>
      <w:r>
        <w:rPr>
          <w:rStyle w:val="49"/>
          <w:rFonts w:cs="仿宋"/>
        </w:rPr>
        <w:t>6</w:t>
      </w:r>
      <w:r>
        <w:rPr>
          <w:rStyle w:val="49"/>
          <w:rFonts w:hint="eastAsia" w:ascii="微软雅黑" w:hAnsi="微软雅黑" w:eastAsia="微软雅黑" w:cs="微软雅黑"/>
        </w:rPr>
        <w:t>评审（适用于询价采购）</w:t>
      </w:r>
      <w:r>
        <w:tab/>
      </w:r>
      <w:r>
        <w:fldChar w:fldCharType="begin"/>
      </w:r>
      <w:r>
        <w:instrText xml:space="preserve"> PAGEREF _Toc106039340 \h </w:instrText>
      </w:r>
      <w:r>
        <w:fldChar w:fldCharType="separate"/>
      </w:r>
      <w:r>
        <w:t>17</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"_Toc106039341" </w:instrText>
      </w:r>
      <w:r>
        <w:fldChar w:fldCharType="separate"/>
      </w:r>
      <w:r>
        <w:rPr>
          <w:rStyle w:val="49"/>
          <w:rFonts w:cs="仿宋"/>
        </w:rPr>
        <w:t>7</w:t>
      </w:r>
      <w:r>
        <w:rPr>
          <w:rStyle w:val="49"/>
          <w:rFonts w:hint="eastAsia" w:ascii="微软雅黑" w:hAnsi="微软雅黑" w:eastAsia="微软雅黑" w:cs="微软雅黑"/>
        </w:rPr>
        <w:t>合同授予</w:t>
      </w:r>
      <w:r>
        <w:tab/>
      </w:r>
      <w:r>
        <w:fldChar w:fldCharType="begin"/>
      </w:r>
      <w:r>
        <w:instrText xml:space="preserve"> PAGEREF _Toc106039341 \h </w:instrText>
      </w:r>
      <w:r>
        <w:fldChar w:fldCharType="separate"/>
      </w:r>
      <w:r>
        <w:t>18</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"_Toc106039342" </w:instrText>
      </w:r>
      <w:r>
        <w:fldChar w:fldCharType="separate"/>
      </w:r>
      <w:r>
        <w:rPr>
          <w:rStyle w:val="49"/>
          <w:rFonts w:cs="仿宋"/>
        </w:rPr>
        <w:t>8</w:t>
      </w:r>
      <w:r>
        <w:rPr>
          <w:rStyle w:val="49"/>
          <w:rFonts w:hint="eastAsia" w:ascii="微软雅黑" w:hAnsi="微软雅黑" w:eastAsia="微软雅黑" w:cs="微软雅黑"/>
        </w:rPr>
        <w:t>异议</w:t>
      </w:r>
      <w:r>
        <w:tab/>
      </w:r>
      <w:r>
        <w:fldChar w:fldCharType="begin"/>
      </w:r>
      <w:r>
        <w:instrText xml:space="preserve"> PAGEREF _Toc106039342 \h </w:instrText>
      </w:r>
      <w:r>
        <w:fldChar w:fldCharType="separate"/>
      </w:r>
      <w:r>
        <w:t>19</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"_Toc106039343" </w:instrText>
      </w:r>
      <w:r>
        <w:fldChar w:fldCharType="separate"/>
      </w:r>
      <w:r>
        <w:rPr>
          <w:rStyle w:val="49"/>
          <w:rFonts w:cs="仿宋"/>
        </w:rPr>
        <w:t>9</w:t>
      </w:r>
      <w:r>
        <w:rPr>
          <w:rStyle w:val="49"/>
          <w:rFonts w:hint="eastAsia" w:ascii="微软雅黑" w:hAnsi="微软雅黑" w:eastAsia="微软雅黑" w:cs="微软雅黑"/>
        </w:rPr>
        <w:t>纪律要求</w:t>
      </w:r>
      <w:r>
        <w:tab/>
      </w:r>
      <w:r>
        <w:fldChar w:fldCharType="begin"/>
      </w:r>
      <w:r>
        <w:instrText xml:space="preserve"> PAGEREF _Toc106039343 \h </w:instrText>
      </w:r>
      <w:r>
        <w:fldChar w:fldCharType="separate"/>
      </w:r>
      <w:r>
        <w:t>19</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"_Toc106039344" </w:instrText>
      </w:r>
      <w:r>
        <w:fldChar w:fldCharType="separate"/>
      </w:r>
      <w:r>
        <w:rPr>
          <w:rStyle w:val="49"/>
          <w:rFonts w:cs="仿宋"/>
        </w:rPr>
        <w:t xml:space="preserve">10 </w:t>
      </w:r>
      <w:r>
        <w:rPr>
          <w:rStyle w:val="49"/>
          <w:rFonts w:hint="eastAsia" w:ascii="微软雅黑" w:hAnsi="微软雅黑" w:eastAsia="微软雅黑" w:cs="微软雅黑"/>
        </w:rPr>
        <w:t>需要补充的其他内容</w:t>
      </w:r>
      <w:r>
        <w:tab/>
      </w:r>
      <w:r>
        <w:fldChar w:fldCharType="begin"/>
      </w:r>
      <w:r>
        <w:instrText xml:space="preserve"> PAGEREF _Toc106039344 \h </w:instrText>
      </w:r>
      <w:r>
        <w:fldChar w:fldCharType="separate"/>
      </w:r>
      <w:r>
        <w:t>20</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"_Toc106039345" </w:instrText>
      </w:r>
      <w:r>
        <w:fldChar w:fldCharType="separate"/>
      </w:r>
      <w:r>
        <w:rPr>
          <w:rStyle w:val="49"/>
          <w:rFonts w:hint="eastAsia" w:ascii="微软雅黑" w:hAnsi="微软雅黑" w:eastAsia="微软雅黑" w:cs="微软雅黑"/>
        </w:rPr>
        <w:t>附件</w:t>
      </w:r>
      <w:r>
        <w:rPr>
          <w:rStyle w:val="49"/>
          <w:rFonts w:cs="仿宋"/>
        </w:rPr>
        <w:t xml:space="preserve">1  </w:t>
      </w:r>
      <w:r>
        <w:rPr>
          <w:rStyle w:val="49"/>
          <w:rFonts w:hint="eastAsia" w:ascii="微软雅黑" w:hAnsi="微软雅黑" w:eastAsia="微软雅黑" w:cs="微软雅黑"/>
        </w:rPr>
        <w:t>开启记录表</w:t>
      </w:r>
      <w:r>
        <w:tab/>
      </w:r>
      <w:r>
        <w:fldChar w:fldCharType="begin"/>
      </w:r>
      <w:r>
        <w:instrText xml:space="preserve"> PAGEREF _Toc106039345 \h </w:instrText>
      </w:r>
      <w:r>
        <w:fldChar w:fldCharType="separate"/>
      </w:r>
      <w:r>
        <w:t>21</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"_Toc106039346" </w:instrText>
      </w:r>
      <w:r>
        <w:fldChar w:fldCharType="separate"/>
      </w:r>
      <w:r>
        <w:rPr>
          <w:rStyle w:val="49"/>
          <w:rFonts w:hint="eastAsia" w:ascii="微软雅黑" w:hAnsi="微软雅黑" w:eastAsia="微软雅黑" w:cs="微软雅黑"/>
        </w:rPr>
        <w:t>附件</w:t>
      </w:r>
      <w:r>
        <w:rPr>
          <w:rStyle w:val="49"/>
          <w:rFonts w:cs="仿宋"/>
        </w:rPr>
        <w:t xml:space="preserve">2  </w:t>
      </w:r>
      <w:r>
        <w:rPr>
          <w:rStyle w:val="49"/>
          <w:rFonts w:hint="eastAsia" w:ascii="微软雅黑" w:hAnsi="微软雅黑" w:eastAsia="微软雅黑" w:cs="微软雅黑"/>
        </w:rPr>
        <w:t>问题澄清通知</w:t>
      </w:r>
      <w:r>
        <w:tab/>
      </w:r>
      <w:r>
        <w:fldChar w:fldCharType="begin"/>
      </w:r>
      <w:r>
        <w:instrText xml:space="preserve"> PAGEREF _Toc106039346 \h </w:instrText>
      </w:r>
      <w:r>
        <w:fldChar w:fldCharType="separate"/>
      </w:r>
      <w:r>
        <w:t>22</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"_Toc106039347" </w:instrText>
      </w:r>
      <w:r>
        <w:fldChar w:fldCharType="separate"/>
      </w:r>
      <w:r>
        <w:rPr>
          <w:rStyle w:val="49"/>
          <w:rFonts w:hint="eastAsia" w:ascii="微软雅黑" w:hAnsi="微软雅黑" w:eastAsia="微软雅黑" w:cs="微软雅黑"/>
        </w:rPr>
        <w:t>附件</w:t>
      </w:r>
      <w:r>
        <w:rPr>
          <w:rStyle w:val="49"/>
          <w:rFonts w:cs="仿宋"/>
        </w:rPr>
        <w:t xml:space="preserve">3  </w:t>
      </w:r>
      <w:r>
        <w:rPr>
          <w:rStyle w:val="49"/>
          <w:rFonts w:hint="eastAsia" w:ascii="微软雅黑" w:hAnsi="微软雅黑" w:eastAsia="微软雅黑" w:cs="微软雅黑"/>
        </w:rPr>
        <w:t>问题的澄清</w:t>
      </w:r>
      <w:r>
        <w:tab/>
      </w:r>
      <w:r>
        <w:fldChar w:fldCharType="begin"/>
      </w:r>
      <w:r>
        <w:instrText xml:space="preserve"> PAGEREF _Toc106039347 \h </w:instrText>
      </w:r>
      <w:r>
        <w:fldChar w:fldCharType="separate"/>
      </w:r>
      <w:r>
        <w:t>23</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"_Toc106039348" </w:instrText>
      </w:r>
      <w:r>
        <w:fldChar w:fldCharType="separate"/>
      </w:r>
      <w:r>
        <w:rPr>
          <w:rStyle w:val="49"/>
          <w:rFonts w:hint="eastAsia" w:ascii="微软雅黑" w:hAnsi="微软雅黑" w:eastAsia="微软雅黑" w:cs="微软雅黑"/>
        </w:rPr>
        <w:t>附件</w:t>
      </w:r>
      <w:r>
        <w:rPr>
          <w:rStyle w:val="49"/>
          <w:rFonts w:cs="仿宋"/>
        </w:rPr>
        <w:t xml:space="preserve">4  </w:t>
      </w:r>
      <w:r>
        <w:rPr>
          <w:rStyle w:val="49"/>
          <w:rFonts w:hint="eastAsia" w:ascii="微软雅黑" w:hAnsi="微软雅黑" w:eastAsia="微软雅黑" w:cs="微软雅黑"/>
        </w:rPr>
        <w:t>成交通知书</w:t>
      </w:r>
      <w:r>
        <w:tab/>
      </w:r>
      <w:r>
        <w:fldChar w:fldCharType="begin"/>
      </w:r>
      <w:r>
        <w:instrText xml:space="preserve"> PAGEREF _Toc106039348 \h </w:instrText>
      </w:r>
      <w:r>
        <w:fldChar w:fldCharType="separate"/>
      </w:r>
      <w:r>
        <w:t>24</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"_Toc106039349" </w:instrText>
      </w:r>
      <w:r>
        <w:fldChar w:fldCharType="separate"/>
      </w:r>
      <w:r>
        <w:rPr>
          <w:rStyle w:val="49"/>
          <w:rFonts w:hint="eastAsia" w:ascii="微软雅黑" w:hAnsi="微软雅黑" w:eastAsia="微软雅黑" w:cs="微软雅黑"/>
        </w:rPr>
        <w:t>附件</w:t>
      </w:r>
      <w:r>
        <w:rPr>
          <w:rStyle w:val="49"/>
          <w:rFonts w:cs="仿宋"/>
        </w:rPr>
        <w:t xml:space="preserve">5  </w:t>
      </w:r>
      <w:r>
        <w:rPr>
          <w:rStyle w:val="49"/>
          <w:rFonts w:hint="eastAsia" w:ascii="微软雅黑" w:hAnsi="微软雅黑" w:eastAsia="微软雅黑" w:cs="微软雅黑"/>
        </w:rPr>
        <w:t>确认通知</w:t>
      </w:r>
      <w:r>
        <w:tab/>
      </w:r>
      <w:r>
        <w:fldChar w:fldCharType="begin"/>
      </w:r>
      <w:r>
        <w:instrText xml:space="preserve"> PAGEREF _Toc106039349 \h </w:instrText>
      </w:r>
      <w:r>
        <w:fldChar w:fldCharType="separate"/>
      </w:r>
      <w:r>
        <w:t>25</w:t>
      </w:r>
      <w:r>
        <w:fldChar w:fldCharType="end"/>
      </w:r>
      <w:r>
        <w:fldChar w:fldCharType="end"/>
      </w:r>
    </w:p>
    <w:p>
      <w:pPr>
        <w:pStyle w:val="28"/>
        <w:spacing w:before="60" w:after="60"/>
        <w:rPr>
          <w:rFonts w:asciiTheme="minorHAnsi" w:hAnsiTheme="minorHAnsi" w:eastAsiaTheme="minorEastAsia" w:cstheme="minorBidi"/>
          <w:szCs w:val="22"/>
        </w:rPr>
      </w:pPr>
      <w:r>
        <w:fldChar w:fldCharType="begin"/>
      </w:r>
      <w:r>
        <w:instrText xml:space="preserve"> HYPERLINK \l "_Toc106039350" </w:instrText>
      </w:r>
      <w:r>
        <w:fldChar w:fldCharType="separate"/>
      </w:r>
      <w:r>
        <w:rPr>
          <w:rStyle w:val="49"/>
          <w:rFonts w:hint="eastAsia" w:ascii="黑体" w:hAnsi="黑体" w:eastAsia="黑体" w:cs="仿宋"/>
        </w:rPr>
        <w:t>第三章</w:t>
      </w:r>
      <w:r>
        <w:rPr>
          <w:rStyle w:val="49"/>
          <w:rFonts w:ascii="黑体" w:hAnsi="黑体" w:eastAsia="黑体" w:cs="仿宋"/>
        </w:rPr>
        <w:t xml:space="preserve"> </w:t>
      </w:r>
      <w:r>
        <w:rPr>
          <w:rStyle w:val="49"/>
          <w:rFonts w:hint="eastAsia" w:ascii="黑体" w:hAnsi="黑体" w:eastAsia="黑体" w:cs="仿宋"/>
        </w:rPr>
        <w:t>评审办法</w:t>
      </w:r>
      <w:r>
        <w:tab/>
      </w:r>
      <w:r>
        <w:fldChar w:fldCharType="begin"/>
      </w:r>
      <w:r>
        <w:instrText xml:space="preserve"> PAGEREF _Toc106039350 \h </w:instrText>
      </w:r>
      <w:r>
        <w:fldChar w:fldCharType="separate"/>
      </w:r>
      <w:r>
        <w:t>26</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"_Toc106039351" </w:instrText>
      </w:r>
      <w:r>
        <w:fldChar w:fldCharType="separate"/>
      </w:r>
      <w:r>
        <w:rPr>
          <w:rStyle w:val="49"/>
          <w:rFonts w:hint="eastAsia" w:ascii="黑体" w:hAnsi="黑体" w:eastAsia="黑体" w:cs="仿宋"/>
        </w:rPr>
        <w:t>评审办法前附表</w:t>
      </w:r>
      <w:r>
        <w:tab/>
      </w:r>
      <w:r>
        <w:fldChar w:fldCharType="begin"/>
      </w:r>
      <w:r>
        <w:instrText xml:space="preserve"> PAGEREF _Toc106039351 \h </w:instrText>
      </w:r>
      <w:r>
        <w:fldChar w:fldCharType="separate"/>
      </w:r>
      <w:r>
        <w:t>26</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"_Toc106039352" </w:instrText>
      </w:r>
      <w:r>
        <w:fldChar w:fldCharType="separate"/>
      </w:r>
      <w:r>
        <w:rPr>
          <w:rStyle w:val="49"/>
          <w:rFonts w:hint="eastAsia" w:ascii="微软雅黑" w:hAnsi="微软雅黑" w:eastAsia="微软雅黑" w:cs="微软雅黑"/>
        </w:rPr>
        <w:t>评审办法正文</w:t>
      </w:r>
      <w:r>
        <w:tab/>
      </w:r>
      <w:r>
        <w:fldChar w:fldCharType="begin"/>
      </w:r>
      <w:r>
        <w:instrText xml:space="preserve"> PAGEREF _Toc106039352 \h </w:instrText>
      </w:r>
      <w:r>
        <w:fldChar w:fldCharType="separate"/>
      </w:r>
      <w:r>
        <w:t>28</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"_Toc106039353" </w:instrText>
      </w:r>
      <w:r>
        <w:fldChar w:fldCharType="separate"/>
      </w:r>
      <w:r>
        <w:rPr>
          <w:rStyle w:val="49"/>
          <w:rFonts w:cs="仿宋"/>
        </w:rPr>
        <w:t>1</w:t>
      </w:r>
      <w:r>
        <w:rPr>
          <w:rStyle w:val="49"/>
          <w:rFonts w:hint="eastAsia" w:ascii="微软雅黑" w:hAnsi="微软雅黑" w:eastAsia="微软雅黑" w:cs="微软雅黑"/>
        </w:rPr>
        <w:t>评审方法</w:t>
      </w:r>
      <w:r>
        <w:rPr>
          <w:rStyle w:val="49"/>
          <w:rFonts w:cs="仿宋"/>
        </w:rPr>
        <w:t>(</w:t>
      </w:r>
      <w:r>
        <w:rPr>
          <w:rStyle w:val="49"/>
          <w:rFonts w:hint="eastAsia" w:ascii="微软雅黑" w:hAnsi="微软雅黑" w:eastAsia="微软雅黑" w:cs="微软雅黑"/>
        </w:rPr>
        <w:t>最低价法</w:t>
      </w:r>
      <w:r>
        <w:rPr>
          <w:rStyle w:val="49"/>
          <w:rFonts w:cs="仿宋"/>
        </w:rPr>
        <w:t>)</w:t>
      </w:r>
      <w:r>
        <w:tab/>
      </w:r>
      <w:r>
        <w:fldChar w:fldCharType="begin"/>
      </w:r>
      <w:r>
        <w:instrText xml:space="preserve"> PAGEREF _Toc106039353 \h </w:instrText>
      </w:r>
      <w:r>
        <w:fldChar w:fldCharType="separate"/>
      </w:r>
      <w:r>
        <w:t>28</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"_Toc106039354" </w:instrText>
      </w:r>
      <w:r>
        <w:fldChar w:fldCharType="separate"/>
      </w:r>
      <w:r>
        <w:rPr>
          <w:rStyle w:val="49"/>
          <w:rFonts w:cs="仿宋"/>
        </w:rPr>
        <w:t>2</w:t>
      </w:r>
      <w:r>
        <w:rPr>
          <w:rStyle w:val="49"/>
          <w:rFonts w:hint="eastAsia" w:ascii="微软雅黑" w:hAnsi="微软雅黑" w:eastAsia="微软雅黑" w:cs="微软雅黑"/>
        </w:rPr>
        <w:t>初步评审标准和程序</w:t>
      </w:r>
      <w:r>
        <w:tab/>
      </w:r>
      <w:r>
        <w:fldChar w:fldCharType="begin"/>
      </w:r>
      <w:r>
        <w:instrText xml:space="preserve"> PAGEREF _Toc106039354 \h </w:instrText>
      </w:r>
      <w:r>
        <w:fldChar w:fldCharType="separate"/>
      </w:r>
      <w:r>
        <w:t>28</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"_Toc106039355" </w:instrText>
      </w:r>
      <w:r>
        <w:fldChar w:fldCharType="separate"/>
      </w:r>
      <w:r>
        <w:rPr>
          <w:rStyle w:val="49"/>
          <w:rFonts w:cs="仿宋"/>
        </w:rPr>
        <w:t>3</w:t>
      </w:r>
      <w:r>
        <w:rPr>
          <w:rStyle w:val="49"/>
          <w:rFonts w:hint="eastAsia" w:ascii="微软雅黑" w:hAnsi="微软雅黑" w:eastAsia="微软雅黑" w:cs="微软雅黑"/>
        </w:rPr>
        <w:t>详细评审标准和程序</w:t>
      </w:r>
      <w:r>
        <w:rPr>
          <w:rStyle w:val="49"/>
          <w:rFonts w:cs="仿宋"/>
        </w:rPr>
        <w:t>(</w:t>
      </w:r>
      <w:r>
        <w:rPr>
          <w:rStyle w:val="49"/>
          <w:rFonts w:hint="eastAsia" w:ascii="微软雅黑" w:hAnsi="微软雅黑" w:eastAsia="微软雅黑" w:cs="微软雅黑"/>
        </w:rPr>
        <w:t>合理低价法</w:t>
      </w:r>
      <w:r>
        <w:rPr>
          <w:rStyle w:val="49"/>
          <w:rFonts w:cs="仿宋"/>
        </w:rPr>
        <w:t>)</w:t>
      </w:r>
      <w:r>
        <w:tab/>
      </w:r>
      <w:r>
        <w:fldChar w:fldCharType="begin"/>
      </w:r>
      <w:r>
        <w:instrText xml:space="preserve"> PAGEREF _Toc106039355 \h </w:instrText>
      </w:r>
      <w:r>
        <w:fldChar w:fldCharType="separate"/>
      </w:r>
      <w:r>
        <w:t>29</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"_Toc106039356" </w:instrText>
      </w:r>
      <w:r>
        <w:fldChar w:fldCharType="separate"/>
      </w:r>
      <w:r>
        <w:rPr>
          <w:rStyle w:val="49"/>
          <w:rFonts w:cs="仿宋"/>
        </w:rPr>
        <w:t>4</w:t>
      </w:r>
      <w:r>
        <w:rPr>
          <w:rStyle w:val="49"/>
          <w:rFonts w:hint="eastAsia" w:ascii="微软雅黑" w:hAnsi="微软雅黑" w:eastAsia="微软雅黑" w:cs="微软雅黑"/>
        </w:rPr>
        <w:t>评审结果</w:t>
      </w:r>
      <w:r>
        <w:tab/>
      </w:r>
      <w:r>
        <w:fldChar w:fldCharType="begin"/>
      </w:r>
      <w:r>
        <w:instrText xml:space="preserve"> PAGEREF _Toc106039356 \h </w:instrText>
      </w:r>
      <w:r>
        <w:fldChar w:fldCharType="separate"/>
      </w:r>
      <w:r>
        <w:t>29</w:t>
      </w:r>
      <w:r>
        <w:fldChar w:fldCharType="end"/>
      </w:r>
      <w:r>
        <w:fldChar w:fldCharType="end"/>
      </w:r>
    </w:p>
    <w:p>
      <w:pPr>
        <w:pStyle w:val="28"/>
        <w:spacing w:before="60" w:after="60"/>
        <w:rPr>
          <w:rFonts w:asciiTheme="minorHAnsi" w:hAnsiTheme="minorHAnsi" w:eastAsiaTheme="minorEastAsia" w:cstheme="minorBidi"/>
          <w:szCs w:val="22"/>
        </w:rPr>
      </w:pPr>
      <w:r>
        <w:fldChar w:fldCharType="begin"/>
      </w:r>
      <w:r>
        <w:instrText xml:space="preserve"> HYPERLINK \l "_Toc106039357" </w:instrText>
      </w:r>
      <w:r>
        <w:fldChar w:fldCharType="separate"/>
      </w:r>
      <w:r>
        <w:rPr>
          <w:rStyle w:val="49"/>
          <w:rFonts w:hint="eastAsia" w:ascii="黑体" w:hAnsi="黑体" w:eastAsia="黑体" w:cs="仿宋"/>
          <w:b/>
        </w:rPr>
        <w:t>第四章</w:t>
      </w:r>
      <w:r>
        <w:rPr>
          <w:rStyle w:val="49"/>
          <w:rFonts w:ascii="黑体" w:hAnsi="黑体" w:eastAsia="黑体" w:cs="仿宋"/>
          <w:b/>
        </w:rPr>
        <w:t xml:space="preserve">  </w:t>
      </w:r>
      <w:r>
        <w:rPr>
          <w:rStyle w:val="49"/>
          <w:rFonts w:hint="eastAsia" w:ascii="黑体" w:hAnsi="黑体" w:eastAsia="黑体" w:cs="仿宋"/>
          <w:b/>
        </w:rPr>
        <w:t>合同条款及格式</w:t>
      </w:r>
      <w:r>
        <w:tab/>
      </w:r>
      <w:r>
        <w:fldChar w:fldCharType="begin"/>
      </w:r>
      <w:r>
        <w:instrText xml:space="preserve"> PAGEREF _Toc106039357 \h </w:instrText>
      </w:r>
      <w:r>
        <w:fldChar w:fldCharType="separate"/>
      </w:r>
      <w:r>
        <w:t>30</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"_Toc106039358" </w:instrText>
      </w:r>
      <w:r>
        <w:fldChar w:fldCharType="separate"/>
      </w:r>
      <w:r>
        <w:rPr>
          <w:rStyle w:val="49"/>
          <w:rFonts w:hint="eastAsia" w:ascii="微软雅黑" w:hAnsi="微软雅黑" w:eastAsia="微软雅黑" w:cs="微软雅黑"/>
        </w:rPr>
        <w:t>三、附件（中标后填写）</w:t>
      </w:r>
      <w:r>
        <w:tab/>
      </w:r>
      <w:r>
        <w:fldChar w:fldCharType="begin"/>
      </w:r>
      <w:r>
        <w:instrText xml:space="preserve"> PAGEREF _Toc106039358 \h </w:instrText>
      </w:r>
      <w:r>
        <w:fldChar w:fldCharType="separate"/>
      </w:r>
      <w:r>
        <w:t>32</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"_Toc106039359" </w:instrText>
      </w:r>
      <w:r>
        <w:fldChar w:fldCharType="separate"/>
      </w:r>
      <w:r>
        <w:rPr>
          <w:rStyle w:val="49"/>
          <w:rFonts w:hint="eastAsia"/>
        </w:rPr>
        <w:t>附件一：合同协议书</w:t>
      </w:r>
      <w:r>
        <w:tab/>
      </w:r>
      <w:r>
        <w:fldChar w:fldCharType="begin"/>
      </w:r>
      <w:r>
        <w:instrText xml:space="preserve"> PAGEREF _Toc106039359 \h </w:instrText>
      </w:r>
      <w:r>
        <w:fldChar w:fldCharType="separate"/>
      </w:r>
      <w:r>
        <w:t>32</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"_Toc106039360" </w:instrText>
      </w:r>
      <w:r>
        <w:fldChar w:fldCharType="separate"/>
      </w:r>
      <w:r>
        <w:rPr>
          <w:rStyle w:val="49"/>
          <w:rFonts w:hint="eastAsia"/>
        </w:rPr>
        <w:t>附件二：廉政责任书</w:t>
      </w:r>
      <w:r>
        <w:tab/>
      </w:r>
      <w:r>
        <w:fldChar w:fldCharType="begin"/>
      </w:r>
      <w:r>
        <w:instrText xml:space="preserve"> PAGEREF _Toc106039360 \h </w:instrText>
      </w:r>
      <w:r>
        <w:fldChar w:fldCharType="separate"/>
      </w:r>
      <w:r>
        <w:t>34</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"_Toc106039361" </w:instrText>
      </w:r>
      <w:r>
        <w:fldChar w:fldCharType="separate"/>
      </w:r>
      <w:r>
        <w:rPr>
          <w:rStyle w:val="49"/>
          <w:rFonts w:hint="eastAsia"/>
        </w:rPr>
        <w:t>附件三：安全协议</w:t>
      </w:r>
      <w:r>
        <w:tab/>
      </w:r>
      <w:r>
        <w:fldChar w:fldCharType="begin"/>
      </w:r>
      <w:r>
        <w:instrText xml:space="preserve"> PAGEREF _Toc106039361 \h </w:instrText>
      </w:r>
      <w:r>
        <w:fldChar w:fldCharType="separate"/>
      </w:r>
      <w:r>
        <w:t>36</w:t>
      </w:r>
      <w:r>
        <w:fldChar w:fldCharType="end"/>
      </w:r>
      <w:r>
        <w:fldChar w:fldCharType="end"/>
      </w:r>
    </w:p>
    <w:p>
      <w:pPr>
        <w:pStyle w:val="28"/>
        <w:spacing w:before="60" w:after="60"/>
        <w:rPr>
          <w:rFonts w:asciiTheme="minorHAnsi" w:hAnsiTheme="minorHAnsi" w:eastAsiaTheme="minorEastAsia" w:cstheme="minorBidi"/>
          <w:szCs w:val="22"/>
        </w:rPr>
      </w:pPr>
      <w:r>
        <w:fldChar w:fldCharType="begin"/>
      </w:r>
      <w:r>
        <w:instrText xml:space="preserve"> HYPERLINK \l "_Toc106039362" </w:instrText>
      </w:r>
      <w:r>
        <w:fldChar w:fldCharType="separate"/>
      </w:r>
      <w:r>
        <w:rPr>
          <w:rStyle w:val="49"/>
          <w:rFonts w:hint="eastAsia" w:ascii="黑体" w:hAnsi="黑体" w:eastAsia="黑体" w:cs="仿宋"/>
        </w:rPr>
        <w:t>第五章</w:t>
      </w:r>
      <w:r>
        <w:rPr>
          <w:rStyle w:val="49"/>
          <w:rFonts w:ascii="黑体" w:hAnsi="黑体" w:eastAsia="黑体" w:cs="仿宋"/>
        </w:rPr>
        <w:t xml:space="preserve">  </w:t>
      </w:r>
      <w:r>
        <w:rPr>
          <w:rStyle w:val="49"/>
          <w:rFonts w:hint="eastAsia" w:ascii="黑体" w:hAnsi="黑体" w:eastAsia="黑体" w:cs="仿宋"/>
        </w:rPr>
        <w:t>采购需求</w:t>
      </w:r>
      <w:r>
        <w:tab/>
      </w:r>
      <w:r>
        <w:fldChar w:fldCharType="begin"/>
      </w:r>
      <w:r>
        <w:instrText xml:space="preserve"> PAGEREF _Toc106039362 \h </w:instrText>
      </w:r>
      <w:r>
        <w:fldChar w:fldCharType="separate"/>
      </w:r>
      <w:r>
        <w:t>40</w:t>
      </w:r>
      <w:r>
        <w:fldChar w:fldCharType="end"/>
      </w:r>
      <w:r>
        <w:fldChar w:fldCharType="end"/>
      </w:r>
    </w:p>
    <w:p>
      <w:pPr>
        <w:pStyle w:val="28"/>
        <w:spacing w:before="60" w:after="60"/>
        <w:rPr>
          <w:rFonts w:asciiTheme="minorHAnsi" w:hAnsiTheme="minorHAnsi" w:eastAsiaTheme="minorEastAsia" w:cstheme="minorBidi"/>
          <w:szCs w:val="22"/>
        </w:rPr>
      </w:pPr>
      <w:r>
        <w:fldChar w:fldCharType="begin"/>
      </w:r>
      <w:r>
        <w:instrText xml:space="preserve"> HYPERLINK \l "_Toc106039363" </w:instrText>
      </w:r>
      <w:r>
        <w:fldChar w:fldCharType="separate"/>
      </w:r>
      <w:r>
        <w:rPr>
          <w:rStyle w:val="49"/>
          <w:rFonts w:hint="eastAsia" w:ascii="黑体" w:hAnsi="黑体" w:eastAsia="黑体" w:cs="仿宋"/>
        </w:rPr>
        <w:t>第六章</w:t>
      </w:r>
      <w:r>
        <w:rPr>
          <w:rStyle w:val="49"/>
          <w:rFonts w:ascii="黑体" w:hAnsi="黑体" w:eastAsia="黑体" w:cs="仿宋"/>
        </w:rPr>
        <w:t xml:space="preserve">  </w:t>
      </w:r>
      <w:r>
        <w:rPr>
          <w:rStyle w:val="49"/>
          <w:rFonts w:hint="eastAsia" w:ascii="黑体" w:hAnsi="黑体" w:eastAsia="黑体" w:cs="仿宋"/>
        </w:rPr>
        <w:t>响应文件格式</w:t>
      </w:r>
      <w:r>
        <w:tab/>
      </w:r>
      <w:r>
        <w:fldChar w:fldCharType="begin"/>
      </w:r>
      <w:r>
        <w:instrText xml:space="preserve"> PAGEREF _Toc106039363 \h </w:instrText>
      </w:r>
      <w:r>
        <w:fldChar w:fldCharType="separate"/>
      </w:r>
      <w:r>
        <w:t>42</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"_Toc106039364" </w:instrText>
      </w:r>
      <w:r>
        <w:fldChar w:fldCharType="separate"/>
      </w:r>
      <w:r>
        <w:rPr>
          <w:rStyle w:val="49"/>
          <w:rFonts w:hint="eastAsia" w:ascii="黑体" w:hAnsi="黑体" w:eastAsia="黑体" w:cs="仿宋"/>
        </w:rPr>
        <w:t>一、响应函</w:t>
      </w:r>
      <w:r>
        <w:tab/>
      </w:r>
      <w:r>
        <w:fldChar w:fldCharType="begin"/>
      </w:r>
      <w:r>
        <w:instrText xml:space="preserve"> PAGEREF _Toc106039364 \h </w:instrText>
      </w:r>
      <w:r>
        <w:fldChar w:fldCharType="separate"/>
      </w:r>
      <w:r>
        <w:t>44</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"_Toc106039365" </w:instrText>
      </w:r>
      <w:r>
        <w:fldChar w:fldCharType="separate"/>
      </w:r>
      <w:r>
        <w:rPr>
          <w:rStyle w:val="49"/>
          <w:rFonts w:hint="eastAsia" w:ascii="黑体" w:hAnsi="黑体" w:eastAsia="黑体" w:cs="仿宋"/>
        </w:rPr>
        <w:t>二、授权委托书</w:t>
      </w:r>
      <w:r>
        <w:tab/>
      </w:r>
      <w:r>
        <w:fldChar w:fldCharType="begin"/>
      </w:r>
      <w:r>
        <w:instrText xml:space="preserve"> PAGEREF _Toc106039365 \h </w:instrText>
      </w:r>
      <w:r>
        <w:fldChar w:fldCharType="separate"/>
      </w:r>
      <w:r>
        <w:t>47</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"_Toc106039366" </w:instrText>
      </w:r>
      <w:r>
        <w:fldChar w:fldCharType="separate"/>
      </w:r>
      <w:r>
        <w:rPr>
          <w:rStyle w:val="49"/>
          <w:rFonts w:hint="eastAsia" w:ascii="黑体" w:hAnsi="黑体" w:eastAsia="黑体" w:cs="仿宋"/>
        </w:rPr>
        <w:t>三、商务和技术偏差表</w:t>
      </w:r>
      <w:r>
        <w:tab/>
      </w:r>
      <w:r>
        <w:fldChar w:fldCharType="begin"/>
      </w:r>
      <w:r>
        <w:instrText xml:space="preserve"> PAGEREF _Toc106039366 \h </w:instrText>
      </w:r>
      <w:r>
        <w:fldChar w:fldCharType="separate"/>
      </w:r>
      <w:r>
        <w:t>48</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"_Toc106039367" </w:instrText>
      </w:r>
      <w:r>
        <w:fldChar w:fldCharType="separate"/>
      </w:r>
      <w:r>
        <w:rPr>
          <w:rStyle w:val="49"/>
          <w:rFonts w:hint="eastAsia" w:ascii="黑体" w:hAnsi="黑体" w:eastAsia="黑体" w:cs="仿宋"/>
        </w:rPr>
        <w:t>四、报价表</w:t>
      </w:r>
      <w:r>
        <w:tab/>
      </w:r>
      <w:r>
        <w:fldChar w:fldCharType="begin"/>
      </w:r>
      <w:r>
        <w:instrText xml:space="preserve"> PAGEREF _Toc106039367 \h </w:instrText>
      </w:r>
      <w:r>
        <w:fldChar w:fldCharType="separate"/>
      </w:r>
      <w:r>
        <w:t>49</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"_Toc106039368" </w:instrText>
      </w:r>
      <w:r>
        <w:fldChar w:fldCharType="separate"/>
      </w:r>
      <w:r>
        <w:rPr>
          <w:rStyle w:val="49"/>
          <w:rFonts w:hint="eastAsia"/>
        </w:rPr>
        <w:t>投标报价汇总表</w:t>
      </w:r>
      <w:r>
        <w:tab/>
      </w:r>
      <w:r>
        <w:fldChar w:fldCharType="begin"/>
      </w:r>
      <w:r>
        <w:instrText xml:space="preserve"> PAGEREF _Toc106039368 \h </w:instrText>
      </w:r>
      <w:r>
        <w:fldChar w:fldCharType="separate"/>
      </w:r>
      <w:r>
        <w:t>49</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"_Toc106039369" </w:instrText>
      </w:r>
      <w:r>
        <w:fldChar w:fldCharType="separate"/>
      </w:r>
      <w:r>
        <w:rPr>
          <w:rStyle w:val="49"/>
          <w:rFonts w:hint="eastAsia" w:ascii="黑体" w:hAnsi="黑体" w:eastAsia="黑体" w:cs="仿宋"/>
        </w:rPr>
        <w:t>五、资格审查资料</w:t>
      </w:r>
      <w:r>
        <w:tab/>
      </w:r>
      <w:r>
        <w:fldChar w:fldCharType="begin"/>
      </w:r>
      <w:r>
        <w:instrText xml:space="preserve"> PAGEREF _Toc106039369 \h </w:instrText>
      </w:r>
      <w:r>
        <w:fldChar w:fldCharType="separate"/>
      </w:r>
      <w:r>
        <w:t>51</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"_Toc106039370" </w:instrText>
      </w:r>
      <w:r>
        <w:fldChar w:fldCharType="separate"/>
      </w:r>
      <w:r>
        <w:rPr>
          <w:rStyle w:val="49"/>
          <w:rFonts w:hint="eastAsia" w:cs="仿宋" w:asciiTheme="minorEastAsia" w:hAnsiTheme="minorEastAsia"/>
        </w:rPr>
        <w:t>（一）基本情况</w:t>
      </w:r>
      <w:r>
        <w:tab/>
      </w:r>
      <w:r>
        <w:fldChar w:fldCharType="begin"/>
      </w:r>
      <w:r>
        <w:instrText xml:space="preserve"> PAGEREF _Toc106039370 \h </w:instrText>
      </w:r>
      <w:r>
        <w:fldChar w:fldCharType="separate"/>
      </w:r>
      <w:r>
        <w:t>51</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"_Toc106039371" </w:instrText>
      </w:r>
      <w:r>
        <w:fldChar w:fldCharType="separate"/>
      </w:r>
      <w:r>
        <w:rPr>
          <w:rStyle w:val="49"/>
          <w:rFonts w:hint="eastAsia" w:cs="仿宋" w:asciiTheme="minorEastAsia" w:hAnsiTheme="minorEastAsia"/>
        </w:rPr>
        <w:t>（二）近年财务状况</w:t>
      </w:r>
      <w:r>
        <w:tab/>
      </w:r>
      <w:r>
        <w:fldChar w:fldCharType="begin"/>
      </w:r>
      <w:r>
        <w:instrText xml:space="preserve"> PAGEREF _Toc106039371 \h </w:instrText>
      </w:r>
      <w:r>
        <w:fldChar w:fldCharType="separate"/>
      </w:r>
      <w:r>
        <w:t>51</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"_Toc106039372" </w:instrText>
      </w:r>
      <w:r>
        <w:fldChar w:fldCharType="separate"/>
      </w:r>
      <w:r>
        <w:rPr>
          <w:rStyle w:val="49"/>
          <w:rFonts w:hint="eastAsia" w:cs="仿宋" w:asciiTheme="minorEastAsia" w:hAnsiTheme="minorEastAsia"/>
        </w:rPr>
        <w:t>（三）近年的类似项目情况表</w:t>
      </w:r>
      <w:r>
        <w:tab/>
      </w:r>
      <w:r>
        <w:fldChar w:fldCharType="begin"/>
      </w:r>
      <w:r>
        <w:instrText xml:space="preserve"> PAGEREF _Toc106039372 \h </w:instrText>
      </w:r>
      <w:r>
        <w:fldChar w:fldCharType="separate"/>
      </w:r>
      <w:r>
        <w:t>51</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"_Toc106039373" </w:instrText>
      </w:r>
      <w:r>
        <w:fldChar w:fldCharType="separate"/>
      </w:r>
      <w:r>
        <w:rPr>
          <w:rStyle w:val="49"/>
          <w:rFonts w:hint="eastAsia" w:cs="仿宋" w:asciiTheme="minorEastAsia" w:hAnsiTheme="minorEastAsia"/>
        </w:rPr>
        <w:t>（四）拟委任的主要人员汇总表</w:t>
      </w:r>
      <w:r>
        <w:tab/>
      </w:r>
      <w:r>
        <w:fldChar w:fldCharType="begin"/>
      </w:r>
      <w:r>
        <w:instrText xml:space="preserve"> PAGEREF _Toc106039373 \h </w:instrText>
      </w:r>
      <w:r>
        <w:fldChar w:fldCharType="separate"/>
      </w:r>
      <w:r>
        <w:t>52</w:t>
      </w:r>
      <w:r>
        <w:fldChar w:fldCharType="end"/>
      </w:r>
      <w:r>
        <w:fldChar w:fldCharType="end"/>
      </w:r>
    </w:p>
    <w:p>
      <w:pPr>
        <w:pStyle w:val="20"/>
        <w:tabs>
          <w:tab w:val="right" w:leader="dot" w:pos="9736"/>
        </w:tabs>
        <w:rPr>
          <w:rFonts w:asciiTheme="minorHAnsi" w:hAnsiTheme="minorHAnsi" w:eastAsiaTheme="minorEastAsia" w:cstheme="minorBidi"/>
          <w:szCs w:val="22"/>
        </w:rPr>
      </w:pPr>
      <w:r>
        <w:fldChar w:fldCharType="begin"/>
      </w:r>
      <w:r>
        <w:instrText xml:space="preserve"> HYPERLINK \l "_Toc106039374" </w:instrText>
      </w:r>
      <w:r>
        <w:fldChar w:fldCharType="separate"/>
      </w:r>
      <w:r>
        <w:rPr>
          <w:rStyle w:val="49"/>
          <w:rFonts w:hint="eastAsia" w:asciiTheme="minorEastAsia" w:hAnsiTheme="minorEastAsia"/>
        </w:rPr>
        <w:t>（五）主要人员简历表</w:t>
      </w:r>
      <w:r>
        <w:tab/>
      </w:r>
      <w:r>
        <w:fldChar w:fldCharType="begin"/>
      </w:r>
      <w:r>
        <w:instrText xml:space="preserve"> PAGEREF _Toc106039374 \h </w:instrText>
      </w:r>
      <w:r>
        <w:fldChar w:fldCharType="separate"/>
      </w:r>
      <w:r>
        <w:t>52</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"_Toc106039375" </w:instrText>
      </w:r>
      <w:r>
        <w:fldChar w:fldCharType="separate"/>
      </w:r>
      <w:r>
        <w:rPr>
          <w:rStyle w:val="49"/>
          <w:rFonts w:hint="eastAsia" w:ascii="黑体" w:hAnsi="黑体" w:eastAsia="黑体" w:cs="仿宋"/>
        </w:rPr>
        <w:t>六、响应方案</w:t>
      </w:r>
      <w:r>
        <w:tab/>
      </w:r>
      <w:r>
        <w:fldChar w:fldCharType="begin"/>
      </w:r>
      <w:r>
        <w:instrText xml:space="preserve"> PAGEREF _Toc106039375 \h </w:instrText>
      </w:r>
      <w:r>
        <w:fldChar w:fldCharType="separate"/>
      </w:r>
      <w:r>
        <w:t>53</w:t>
      </w:r>
      <w:r>
        <w:fldChar w:fldCharType="end"/>
      </w:r>
      <w:r>
        <w:fldChar w:fldCharType="end"/>
      </w:r>
    </w:p>
    <w:p>
      <w:pPr>
        <w:pStyle w:val="34"/>
        <w:tabs>
          <w:tab w:val="right" w:leader="dot" w:pos="9736"/>
        </w:tabs>
        <w:rPr>
          <w:rFonts w:asciiTheme="minorHAnsi" w:hAnsiTheme="minorHAnsi" w:eastAsiaTheme="minorEastAsia" w:cstheme="minorBidi"/>
          <w:color w:val="auto"/>
        </w:rPr>
      </w:pPr>
      <w:r>
        <w:fldChar w:fldCharType="begin"/>
      </w:r>
      <w:r>
        <w:instrText xml:space="preserve"> HYPERLINK \l "_Toc106039376" </w:instrText>
      </w:r>
      <w:r>
        <w:fldChar w:fldCharType="separate"/>
      </w:r>
      <w:r>
        <w:rPr>
          <w:rStyle w:val="49"/>
          <w:rFonts w:hint="eastAsia" w:ascii="黑体" w:hAnsi="黑体" w:eastAsia="黑体" w:cs="仿宋"/>
        </w:rPr>
        <w:t>七、其他资料</w:t>
      </w:r>
      <w:r>
        <w:tab/>
      </w:r>
      <w:r>
        <w:fldChar w:fldCharType="begin"/>
      </w:r>
      <w:r>
        <w:instrText xml:space="preserve"> PAGEREF _Toc106039376 \h </w:instrText>
      </w:r>
      <w:r>
        <w:fldChar w:fldCharType="separate"/>
      </w:r>
      <w:r>
        <w:t>54</w:t>
      </w:r>
      <w:r>
        <w:fldChar w:fldCharType="end"/>
      </w:r>
      <w:r>
        <w:fldChar w:fldCharType="end"/>
      </w:r>
    </w:p>
    <w:p>
      <w:pPr>
        <w:pStyle w:val="28"/>
        <w:widowControl w:val="0"/>
        <w:tabs>
          <w:tab w:val="right" w:leader="dot" w:pos="8948"/>
          <w:tab w:val="clear" w:pos="9242"/>
        </w:tabs>
        <w:adjustRightInd w:val="0"/>
        <w:snapToGrid w:val="0"/>
        <w:spacing w:before="60" w:after="60" w:line="312" w:lineRule="auto"/>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fldChar w:fldCharType="end"/>
      </w:r>
    </w:p>
    <w:p>
      <w:pPr>
        <w:pStyle w:val="2"/>
        <w:rPr>
          <w:lang w:val="zh-CN"/>
        </w:rPr>
      </w:pPr>
      <w:r>
        <w:rPr>
          <w:lang w:val="zh-CN"/>
        </w:rPr>
        <w:br w:type="page"/>
      </w:r>
    </w:p>
    <w:p>
      <w:pPr>
        <w:pStyle w:val="80"/>
        <w:numPr>
          <w:ilvl w:val="0"/>
          <w:numId w:val="1"/>
        </w:numPr>
        <w:spacing w:line="600" w:lineRule="exact"/>
        <w:ind w:left="0" w:firstLine="0" w:firstLineChars="0"/>
        <w:jc w:val="center"/>
        <w:outlineLvl w:val="0"/>
        <w:rPr>
          <w:rFonts w:ascii="黑体" w:hAnsi="黑体" w:eastAsia="黑体" w:cs="仿宋"/>
          <w:b/>
          <w:color w:val="000000"/>
          <w:sz w:val="44"/>
          <w:szCs w:val="44"/>
        </w:rPr>
      </w:pPr>
      <w:bookmarkStart w:id="5" w:name="_Toc106039321"/>
      <w:r>
        <w:rPr>
          <w:rFonts w:hint="eastAsia" w:ascii="黑体" w:hAnsi="黑体" w:eastAsia="黑体" w:cs="仿宋"/>
          <w:b/>
          <w:color w:val="000000"/>
          <w:sz w:val="44"/>
          <w:szCs w:val="44"/>
        </w:rPr>
        <w:t>采购公告</w:t>
      </w:r>
      <w:bookmarkEnd w:id="5"/>
    </w:p>
    <w:p>
      <w:pPr>
        <w:pStyle w:val="37"/>
        <w:spacing w:before="0" w:beforeAutospacing="0" w:after="0" w:afterAutospacing="0"/>
        <w:jc w:val="center"/>
        <w:rPr>
          <w:rFonts w:hint="eastAsia" w:ascii="黑体" w:hAnsi="黑体" w:eastAsia="黑体"/>
          <w:sz w:val="32"/>
          <w:szCs w:val="32"/>
        </w:rPr>
      </w:pPr>
      <w:r>
        <w:rPr>
          <w:rFonts w:hint="eastAsia" w:ascii="黑体" w:hAnsi="黑体" w:eastAsia="黑体"/>
          <w:sz w:val="32"/>
          <w:szCs w:val="32"/>
        </w:rPr>
        <w:t>岳阳城陵矶港务有限责任公司码头环保提质改造二期工程</w:t>
      </w:r>
    </w:p>
    <w:p>
      <w:pPr>
        <w:pStyle w:val="37"/>
        <w:spacing w:before="0" w:beforeAutospacing="0" w:after="0" w:afterAutospacing="0"/>
        <w:jc w:val="center"/>
        <w:rPr>
          <w:rFonts w:ascii="黑体" w:hAnsi="黑体" w:eastAsia="黑体"/>
          <w:sz w:val="32"/>
          <w:szCs w:val="32"/>
        </w:rPr>
      </w:pPr>
      <w:r>
        <w:rPr>
          <w:rFonts w:hint="eastAsia" w:ascii="黑体" w:hAnsi="黑体" w:eastAsia="黑体"/>
          <w:sz w:val="32"/>
          <w:szCs w:val="32"/>
        </w:rPr>
        <w:t>干雾除尘设备询价采购公告</w:t>
      </w:r>
    </w:p>
    <w:p>
      <w:pPr>
        <w:pStyle w:val="37"/>
        <w:spacing w:before="0" w:beforeAutospacing="0" w:after="0" w:afterAutospacing="0"/>
        <w:ind w:firstLine="2880" w:firstLineChars="1200"/>
        <w:jc w:val="both"/>
        <w:rPr>
          <w:rFonts w:cs="Times New Roman"/>
          <w:kern w:val="2"/>
        </w:rPr>
      </w:pPr>
      <w:r>
        <w:rPr>
          <w:rFonts w:hint="eastAsia" w:cs="Times New Roman"/>
          <w:kern w:val="2"/>
        </w:rPr>
        <w:t xml:space="preserve"> </w:t>
      </w:r>
    </w:p>
    <w:p>
      <w:pPr>
        <w:pStyle w:val="37"/>
        <w:spacing w:before="0" w:beforeAutospacing="0" w:after="0" w:afterAutospacing="0"/>
        <w:ind w:firstLine="480" w:firstLineChars="200"/>
        <w:jc w:val="both"/>
        <w:rPr>
          <w:rFonts w:cs="Times New Roman"/>
          <w:kern w:val="2"/>
        </w:rPr>
      </w:pPr>
      <w:bookmarkStart w:id="6" w:name="OLE_LINK14"/>
      <w:bookmarkStart w:id="7" w:name="OLE_LINK27"/>
      <w:bookmarkStart w:id="8" w:name="OLE_LINK32"/>
      <w:bookmarkStart w:id="9" w:name="OLE_LINK33"/>
      <w:r>
        <w:rPr>
          <w:rFonts w:hint="eastAsia" w:cs="Times New Roman"/>
          <w:kern w:val="2"/>
        </w:rPr>
        <w:t>岳阳城陵矶港务有限责任公司码头环保提质改造二期工程干雾除尘设备采购</w:t>
      </w:r>
      <w:bookmarkEnd w:id="6"/>
      <w:bookmarkEnd w:id="7"/>
      <w:bookmarkEnd w:id="8"/>
      <w:bookmarkEnd w:id="9"/>
      <w:r>
        <w:rPr>
          <w:rFonts w:hint="eastAsia" w:cs="Times New Roman"/>
          <w:kern w:val="2"/>
        </w:rPr>
        <w:t xml:space="preserve">已具备采购条件，现公开邀请供应商参加采购活动。 </w:t>
      </w:r>
    </w:p>
    <w:p>
      <w:pPr>
        <w:pStyle w:val="3"/>
        <w:rPr>
          <w:rFonts w:ascii="Arial" w:hAnsi="Arial"/>
        </w:rPr>
      </w:pPr>
      <w:bookmarkStart w:id="10" w:name="_Toc106039322"/>
      <w:r>
        <w:rPr>
          <w:rFonts w:hint="eastAsia"/>
        </w:rPr>
        <w:t xml:space="preserve">1 </w:t>
      </w:r>
      <w:r>
        <w:rPr>
          <w:rFonts w:hint="eastAsia" w:ascii="黑体" w:hAnsi="黑体"/>
        </w:rPr>
        <w:t>采购项目简介</w:t>
      </w:r>
      <w:bookmarkEnd w:id="10"/>
      <w:r>
        <w:rPr>
          <w:rFonts w:hint="eastAsia" w:ascii="黑体" w:hAnsi="黑体"/>
        </w:rPr>
        <w:t xml:space="preserve"> </w:t>
      </w:r>
    </w:p>
    <w:p>
      <w:pPr>
        <w:autoSpaceDE w:val="0"/>
        <w:spacing w:line="400" w:lineRule="exact"/>
        <w:jc w:val="both"/>
        <w:rPr>
          <w:rFonts w:ascii="宋体" w:hAnsi="宋体"/>
          <w:sz w:val="24"/>
        </w:rPr>
      </w:pPr>
      <w:r>
        <w:rPr>
          <w:rFonts w:hint="eastAsia" w:ascii="宋体" w:hAnsi="宋体"/>
          <w:b/>
          <w:bCs/>
          <w:sz w:val="24"/>
        </w:rPr>
        <w:t>1.1</w:t>
      </w:r>
      <w:r>
        <w:rPr>
          <w:rFonts w:hint="eastAsia" w:ascii="宋体" w:hAnsi="宋体"/>
          <w:sz w:val="24"/>
        </w:rPr>
        <w:t xml:space="preserve"> 采购项目名称:_岳阳城陵矶港务有限责任公司码头环保提质改造二期工程干雾除尘设备采购</w:t>
      </w:r>
    </w:p>
    <w:p>
      <w:pPr>
        <w:autoSpaceDE w:val="0"/>
        <w:spacing w:line="400" w:lineRule="exact"/>
        <w:rPr>
          <w:rFonts w:ascii="宋体" w:hAnsi="宋体"/>
          <w:sz w:val="24"/>
          <w:highlight w:val="none"/>
        </w:rPr>
      </w:pPr>
      <w:r>
        <w:rPr>
          <w:rFonts w:hint="eastAsia" w:ascii="宋体" w:hAnsi="宋体"/>
          <w:b/>
          <w:bCs/>
          <w:sz w:val="24"/>
        </w:rPr>
        <w:t>1.2</w:t>
      </w:r>
      <w:r>
        <w:rPr>
          <w:rFonts w:hint="eastAsia" w:ascii="宋体" w:hAnsi="宋体"/>
          <w:sz w:val="24"/>
        </w:rPr>
        <w:t xml:space="preserve"> 采购人: __湖南省港务集团有限公司</w:t>
      </w:r>
      <w:bookmarkStart w:id="104" w:name="_GoBack"/>
    </w:p>
    <w:p>
      <w:pPr>
        <w:autoSpaceDE w:val="0"/>
        <w:spacing w:line="400" w:lineRule="exact"/>
        <w:rPr>
          <w:rFonts w:ascii="宋体" w:hAnsi="宋体"/>
          <w:sz w:val="24"/>
          <w:highlight w:val="none"/>
        </w:rPr>
      </w:pPr>
      <w:r>
        <w:rPr>
          <w:rFonts w:hint="eastAsia" w:ascii="宋体" w:hAnsi="宋体"/>
          <w:b/>
          <w:bCs/>
          <w:sz w:val="24"/>
          <w:highlight w:val="none"/>
        </w:rPr>
        <w:t>1.3</w:t>
      </w:r>
      <w:r>
        <w:rPr>
          <w:rFonts w:hint="eastAsia" w:ascii="宋体" w:hAnsi="宋体"/>
          <w:sz w:val="24"/>
          <w:highlight w:val="none"/>
        </w:rPr>
        <w:t xml:space="preserve"> 采购代理机构:_无____</w:t>
      </w:r>
    </w:p>
    <w:p>
      <w:pPr>
        <w:autoSpaceDE w:val="0"/>
        <w:spacing w:line="400" w:lineRule="exact"/>
        <w:rPr>
          <w:rFonts w:ascii="宋体" w:hAnsi="宋体"/>
          <w:sz w:val="24"/>
          <w:highlight w:val="none"/>
        </w:rPr>
      </w:pPr>
      <w:r>
        <w:rPr>
          <w:rFonts w:hint="eastAsia" w:ascii="宋体" w:hAnsi="宋体"/>
          <w:b/>
          <w:bCs/>
          <w:sz w:val="24"/>
          <w:highlight w:val="none"/>
        </w:rPr>
        <w:t xml:space="preserve">1.4 </w:t>
      </w:r>
      <w:r>
        <w:rPr>
          <w:rFonts w:hint="eastAsia" w:ascii="宋体" w:hAnsi="宋体"/>
          <w:sz w:val="24"/>
          <w:highlight w:val="none"/>
        </w:rPr>
        <w:t>采购项目资金落实情况:_已落实_</w:t>
      </w:r>
    </w:p>
    <w:p>
      <w:pPr>
        <w:autoSpaceDE w:val="0"/>
        <w:spacing w:line="400" w:lineRule="exact"/>
        <w:rPr>
          <w:rFonts w:hint="default" w:ascii="宋体" w:hAnsi="宋体"/>
          <w:sz w:val="24"/>
          <w:highlight w:val="none"/>
          <w:lang w:val="en-US"/>
        </w:rPr>
      </w:pPr>
      <w:r>
        <w:rPr>
          <w:rFonts w:hint="eastAsia" w:ascii="宋体" w:hAnsi="宋体"/>
          <w:b/>
          <w:bCs/>
          <w:sz w:val="24"/>
          <w:highlight w:val="none"/>
        </w:rPr>
        <w:t xml:space="preserve">1.5 </w:t>
      </w:r>
      <w:r>
        <w:rPr>
          <w:rFonts w:hint="eastAsia" w:ascii="宋体" w:hAnsi="宋体"/>
          <w:sz w:val="24"/>
          <w:highlight w:val="none"/>
        </w:rPr>
        <w:t>采购项目概况:</w:t>
      </w:r>
      <w:bookmarkStart w:id="11" w:name="OLE_LINK25"/>
      <w:r>
        <w:rPr>
          <w:rFonts w:hint="eastAsia" w:eastAsiaTheme="minorEastAsia"/>
          <w:sz w:val="24"/>
          <w:highlight w:val="none"/>
        </w:rPr>
        <w:t>本项目需采购用于</w:t>
      </w:r>
      <w:r>
        <w:rPr>
          <w:rFonts w:hint="eastAsia" w:ascii="宋体" w:hAnsi="宋体"/>
          <w:sz w:val="24"/>
          <w:highlight w:val="none"/>
        </w:rPr>
        <w:t>岳阳城陵矶港务有限责任公司码头环保提质改造二期工程</w:t>
      </w:r>
      <w:bookmarkEnd w:id="11"/>
      <w:r>
        <w:rPr>
          <w:rFonts w:hint="eastAsia" w:eastAsiaTheme="minorEastAsia"/>
          <w:sz w:val="24"/>
          <w:highlight w:val="none"/>
          <w:lang w:val="en-US" w:eastAsia="zh-CN"/>
        </w:rPr>
        <w:t>第二条装车线项目T5转运站干雾除尘、钢料棚干雾除尘和13#皮带机沿线水雾除尘。</w:t>
      </w:r>
    </w:p>
    <w:p>
      <w:pPr>
        <w:pStyle w:val="3"/>
        <w:rPr>
          <w:rFonts w:ascii="Arial" w:hAnsi="Arial"/>
          <w:highlight w:val="none"/>
        </w:rPr>
      </w:pPr>
      <w:bookmarkStart w:id="12" w:name="_Toc106039323"/>
      <w:r>
        <w:rPr>
          <w:rFonts w:hint="eastAsia"/>
          <w:highlight w:val="none"/>
        </w:rPr>
        <w:t>2．</w:t>
      </w:r>
      <w:r>
        <w:rPr>
          <w:rFonts w:hint="eastAsia" w:ascii="黑体" w:hAnsi="黑体"/>
          <w:highlight w:val="none"/>
        </w:rPr>
        <w:t>采购范围及相关要求</w:t>
      </w:r>
      <w:bookmarkEnd w:id="12"/>
    </w:p>
    <w:p>
      <w:pPr>
        <w:jc w:val="both"/>
        <w:rPr>
          <w:rFonts w:ascii="宋体" w:hAnsi="宋体"/>
          <w:sz w:val="24"/>
          <w:highlight w:val="none"/>
        </w:rPr>
      </w:pPr>
      <w:r>
        <w:rPr>
          <w:rFonts w:hint="eastAsia" w:ascii="宋体" w:hAnsi="宋体"/>
          <w:b/>
          <w:bCs/>
          <w:sz w:val="24"/>
          <w:highlight w:val="none"/>
        </w:rPr>
        <w:t xml:space="preserve">2.1 </w:t>
      </w:r>
      <w:r>
        <w:rPr>
          <w:rFonts w:hint="eastAsia" w:ascii="宋体" w:hAnsi="宋体"/>
          <w:sz w:val="24"/>
          <w:highlight w:val="none"/>
        </w:rPr>
        <w:t xml:space="preserve">采购范围: </w:t>
      </w:r>
      <w:bookmarkStart w:id="13" w:name="OLE_LINK26"/>
      <w:r>
        <w:rPr>
          <w:rFonts w:hint="eastAsia" w:ascii="宋体" w:hAnsi="宋体"/>
          <w:sz w:val="24"/>
          <w:highlight w:val="none"/>
        </w:rPr>
        <w:t>岳阳城陵矶港务有限责任公司码头环保提质改造二期工程第二条装车线项目所需的T5转运站</w:t>
      </w:r>
      <w:r>
        <w:rPr>
          <w:rFonts w:hint="eastAsia" w:ascii="宋体" w:hAnsi="宋体"/>
          <w:sz w:val="24"/>
          <w:highlight w:val="none"/>
          <w:lang w:val="en-US" w:eastAsia="zh-CN"/>
        </w:rPr>
        <w:t>和</w:t>
      </w:r>
      <w:r>
        <w:rPr>
          <w:rFonts w:hint="eastAsia" w:ascii="宋体" w:hAnsi="宋体"/>
          <w:sz w:val="24"/>
          <w:highlight w:val="none"/>
        </w:rPr>
        <w:t>钢料棚干雾</w:t>
      </w:r>
      <w:r>
        <w:rPr>
          <w:rFonts w:hint="eastAsia" w:ascii="宋体" w:hAnsi="宋体"/>
          <w:sz w:val="24"/>
          <w:highlight w:val="none"/>
          <w:lang w:val="en-US" w:eastAsia="zh-CN"/>
        </w:rPr>
        <w:t>除尘系统</w:t>
      </w:r>
      <w:r>
        <w:rPr>
          <w:rFonts w:hint="eastAsia" w:ascii="宋体" w:hAnsi="宋体"/>
          <w:sz w:val="24"/>
          <w:highlight w:val="none"/>
        </w:rPr>
        <w:t>，</w:t>
      </w:r>
      <w:r>
        <w:rPr>
          <w:rFonts w:hint="eastAsia" w:ascii="宋体" w:hAnsi="宋体"/>
          <w:sz w:val="24"/>
          <w:highlight w:val="none"/>
          <w:lang w:val="en-US" w:eastAsia="zh-CN"/>
        </w:rPr>
        <w:t>以及13#皮带机沿线水雾除尘系统，</w:t>
      </w:r>
      <w:r>
        <w:rPr>
          <w:rFonts w:hint="eastAsia" w:ascii="宋体" w:hAnsi="宋体"/>
          <w:sz w:val="24"/>
          <w:highlight w:val="none"/>
        </w:rPr>
        <w:t>供应商应提供相应的</w:t>
      </w:r>
      <w:r>
        <w:rPr>
          <w:rFonts w:hint="eastAsia" w:ascii="宋体" w:hAnsi="宋体"/>
          <w:sz w:val="24"/>
          <w:highlight w:val="none"/>
          <w:lang w:val="en-US" w:eastAsia="zh-CN"/>
        </w:rPr>
        <w:t>设备系统</w:t>
      </w:r>
      <w:r>
        <w:rPr>
          <w:rFonts w:hint="eastAsia" w:ascii="宋体" w:hAnsi="宋体"/>
          <w:sz w:val="24"/>
          <w:highlight w:val="none"/>
        </w:rPr>
        <w:t>组装、调试、系统安装及相应的售后服务。</w:t>
      </w:r>
      <w:bookmarkEnd w:id="13"/>
    </w:p>
    <w:p>
      <w:pPr>
        <w:jc w:val="both"/>
        <w:rPr>
          <w:color w:val="000000" w:themeColor="text1"/>
          <w:sz w:val="24"/>
          <w:highlight w:val="none"/>
          <w14:textFill>
            <w14:solidFill>
              <w14:schemeClr w14:val="tx1"/>
            </w14:solidFill>
          </w14:textFill>
        </w:rPr>
      </w:pPr>
      <w:r>
        <w:rPr>
          <w:rFonts w:hint="eastAsia" w:ascii="宋体" w:hAnsi="宋体"/>
          <w:b/>
          <w:bCs/>
          <w:sz w:val="24"/>
          <w:highlight w:val="none"/>
        </w:rPr>
        <w:t xml:space="preserve">2.2 </w:t>
      </w:r>
      <w:r>
        <w:rPr>
          <w:rFonts w:hint="eastAsia" w:ascii="宋体" w:hAnsi="宋体"/>
          <w:sz w:val="24"/>
          <w:highlight w:val="none"/>
        </w:rPr>
        <w:t>交货期限: 合同签订后</w:t>
      </w:r>
      <w:r>
        <w:rPr>
          <w:rFonts w:hint="eastAsia" w:ascii="宋体" w:hAnsi="宋体"/>
          <w:sz w:val="24"/>
          <w:highlight w:val="none"/>
          <w:lang w:val="en-US" w:eastAsia="zh-CN"/>
        </w:rPr>
        <w:t>15</w:t>
      </w:r>
      <w:r>
        <w:rPr>
          <w:rFonts w:hint="eastAsia" w:ascii="宋体" w:hAnsi="宋体"/>
          <w:sz w:val="24"/>
          <w:highlight w:val="none"/>
        </w:rPr>
        <w:t>个工作日内向采购人</w:t>
      </w:r>
      <w:r>
        <w:rPr>
          <w:rFonts w:hint="eastAsia" w:ascii="宋体" w:hAnsi="宋体"/>
          <w:sz w:val="24"/>
          <w:highlight w:val="none"/>
          <w:lang w:val="en-US" w:eastAsia="zh-CN"/>
        </w:rPr>
        <w:t>提供相应</w:t>
      </w:r>
      <w:r>
        <w:rPr>
          <w:rFonts w:hint="eastAsia" w:ascii="宋体" w:hAnsi="宋体"/>
          <w:sz w:val="24"/>
          <w:highlight w:val="none"/>
        </w:rPr>
        <w:t>设备，并完成</w:t>
      </w:r>
      <w:r>
        <w:rPr>
          <w:rFonts w:hint="eastAsia" w:ascii="宋体" w:hAnsi="宋体"/>
          <w:sz w:val="24"/>
          <w:highlight w:val="none"/>
          <w:lang w:val="en-US" w:eastAsia="zh-CN"/>
        </w:rPr>
        <w:t>系统</w:t>
      </w:r>
      <w:r>
        <w:rPr>
          <w:rFonts w:hint="eastAsia" w:ascii="宋体" w:hAnsi="宋体"/>
          <w:sz w:val="24"/>
          <w:highlight w:val="none"/>
        </w:rPr>
        <w:t>安装调试。</w:t>
      </w:r>
    </w:p>
    <w:p>
      <w:pPr>
        <w:spacing w:line="312" w:lineRule="auto"/>
        <w:rPr>
          <w:rFonts w:ascii="宋体" w:hAnsi="宋体" w:cs="宋体"/>
          <w:b/>
          <w:bCs/>
          <w:sz w:val="28"/>
          <w:szCs w:val="28"/>
          <w:highlight w:val="none"/>
        </w:rPr>
      </w:pPr>
      <w:r>
        <w:rPr>
          <w:rFonts w:hint="eastAsia" w:ascii="宋体" w:hAnsi="宋体"/>
          <w:b/>
          <w:bCs/>
          <w:sz w:val="24"/>
          <w:highlight w:val="none"/>
        </w:rPr>
        <w:t xml:space="preserve">2.3 </w:t>
      </w:r>
      <w:r>
        <w:rPr>
          <w:rFonts w:hint="eastAsia" w:ascii="宋体" w:hAnsi="宋体"/>
          <w:sz w:val="24"/>
          <w:highlight w:val="none"/>
        </w:rPr>
        <w:t>交货地点及方式:</w:t>
      </w:r>
      <w:r>
        <w:rPr>
          <w:rFonts w:hint="eastAsia" w:ascii="宋体" w:hAnsi="宋体"/>
          <w:color w:val="000000"/>
          <w:sz w:val="24"/>
          <w:highlight w:val="none"/>
        </w:rPr>
        <w:t>由供应商负责运输至岳阳城陵矶</w:t>
      </w:r>
      <w:r>
        <w:rPr>
          <w:rFonts w:hint="eastAsia" w:ascii="宋体" w:hAnsi="宋体"/>
          <w:color w:val="000000"/>
          <w:sz w:val="24"/>
          <w:highlight w:val="none"/>
          <w:lang w:val="en-US" w:eastAsia="zh-CN"/>
        </w:rPr>
        <w:t>港务</w:t>
      </w:r>
      <w:r>
        <w:rPr>
          <w:rFonts w:hint="eastAsia" w:ascii="宋体" w:hAnsi="宋体"/>
          <w:color w:val="000000"/>
          <w:sz w:val="24"/>
          <w:highlight w:val="none"/>
        </w:rPr>
        <w:t>有限</w:t>
      </w:r>
      <w:r>
        <w:rPr>
          <w:rFonts w:hint="eastAsia" w:ascii="宋体" w:hAnsi="宋体"/>
          <w:color w:val="000000"/>
          <w:sz w:val="24"/>
          <w:highlight w:val="none"/>
          <w:lang w:val="en-US" w:eastAsia="zh-CN"/>
        </w:rPr>
        <w:t>责任</w:t>
      </w:r>
      <w:r>
        <w:rPr>
          <w:rFonts w:hint="eastAsia" w:ascii="宋体" w:hAnsi="宋体"/>
          <w:color w:val="000000"/>
          <w:sz w:val="24"/>
          <w:highlight w:val="none"/>
        </w:rPr>
        <w:t>公司交货，运费由供应商承担。</w:t>
      </w:r>
    </w:p>
    <w:p>
      <w:pPr>
        <w:autoSpaceDE w:val="0"/>
        <w:spacing w:line="400" w:lineRule="exact"/>
        <w:rPr>
          <w:rFonts w:ascii="宋体" w:hAnsi="宋体"/>
          <w:b/>
          <w:bCs/>
          <w:sz w:val="24"/>
          <w:highlight w:val="none"/>
        </w:rPr>
      </w:pPr>
      <w:r>
        <w:rPr>
          <w:rFonts w:ascii="宋体" w:hAnsi="宋体"/>
          <w:b/>
          <w:bCs/>
          <w:sz w:val="24"/>
          <w:highlight w:val="none"/>
        </w:rPr>
        <w:t xml:space="preserve">2.4 </w:t>
      </w:r>
      <w:r>
        <w:rPr>
          <w:rFonts w:hint="eastAsia" w:ascii="宋体" w:hAnsi="宋体"/>
          <w:bCs/>
          <w:sz w:val="24"/>
          <w:highlight w:val="none"/>
        </w:rPr>
        <w:t>质保期：</w:t>
      </w:r>
      <w:r>
        <w:rPr>
          <w:rFonts w:hint="eastAsia" w:ascii="宋体" w:hAnsi="宋体" w:cs="宋体"/>
          <w:color w:val="000000"/>
          <w:sz w:val="24"/>
          <w:szCs w:val="22"/>
          <w:highlight w:val="none"/>
        </w:rPr>
        <w:t>质保期从验收合格签字之日算起，</w:t>
      </w:r>
      <w:r>
        <w:rPr>
          <w:rFonts w:hint="eastAsia" w:hAnsi="宋体" w:cs="宋体"/>
          <w:color w:val="000000"/>
          <w:sz w:val="24"/>
          <w:szCs w:val="22"/>
          <w:highlight w:val="none"/>
        </w:rPr>
        <w:t>期限为1年</w:t>
      </w:r>
      <w:r>
        <w:rPr>
          <w:rFonts w:hint="eastAsia" w:ascii="宋体" w:hAnsi="宋体" w:cs="宋体"/>
          <w:color w:val="000000"/>
          <w:sz w:val="24"/>
          <w:szCs w:val="22"/>
          <w:highlight w:val="none"/>
        </w:rPr>
        <w:t>。</w:t>
      </w:r>
    </w:p>
    <w:p>
      <w:pPr>
        <w:autoSpaceDE w:val="0"/>
        <w:spacing w:line="400" w:lineRule="exact"/>
        <w:rPr>
          <w:rFonts w:ascii="宋体" w:hAnsi="宋体"/>
          <w:sz w:val="24"/>
          <w:highlight w:val="none"/>
        </w:rPr>
      </w:pPr>
      <w:r>
        <w:rPr>
          <w:rFonts w:hint="eastAsia" w:ascii="宋体" w:hAnsi="宋体"/>
          <w:b/>
          <w:bCs/>
          <w:sz w:val="24"/>
          <w:highlight w:val="none"/>
        </w:rPr>
        <w:t xml:space="preserve">2.4 </w:t>
      </w:r>
      <w:r>
        <w:rPr>
          <w:rFonts w:hint="eastAsia" w:ascii="宋体" w:hAnsi="宋体"/>
          <w:sz w:val="24"/>
          <w:highlight w:val="none"/>
        </w:rPr>
        <w:t>相关要求: 详见“第五章 采购要求”</w:t>
      </w:r>
    </w:p>
    <w:p>
      <w:pPr>
        <w:pStyle w:val="3"/>
        <w:rPr>
          <w:rFonts w:ascii="Arial" w:hAnsi="Arial"/>
          <w:highlight w:val="none"/>
        </w:rPr>
      </w:pPr>
      <w:bookmarkStart w:id="14" w:name="_Toc106039324"/>
      <w:r>
        <w:rPr>
          <w:rFonts w:hint="eastAsia"/>
          <w:highlight w:val="none"/>
        </w:rPr>
        <w:t xml:space="preserve">3 </w:t>
      </w:r>
      <w:r>
        <w:rPr>
          <w:rFonts w:hint="eastAsia" w:ascii="黑体" w:hAnsi="黑体"/>
          <w:highlight w:val="none"/>
        </w:rPr>
        <w:t>供应商资格要求</w:t>
      </w:r>
      <w:bookmarkEnd w:id="14"/>
    </w:p>
    <w:p>
      <w:pPr>
        <w:autoSpaceDE w:val="0"/>
        <w:spacing w:line="400" w:lineRule="exact"/>
        <w:jc w:val="both"/>
        <w:rPr>
          <w:rFonts w:ascii="宋体" w:hAnsi="宋体"/>
          <w:sz w:val="24"/>
          <w:highlight w:val="none"/>
        </w:rPr>
      </w:pPr>
      <w:r>
        <w:rPr>
          <w:rFonts w:hint="eastAsia" w:ascii="宋体" w:hAnsi="宋体"/>
          <w:b/>
          <w:bCs/>
          <w:sz w:val="24"/>
          <w:highlight w:val="none"/>
        </w:rPr>
        <w:t>3.1</w:t>
      </w:r>
      <w:bookmarkStart w:id="15" w:name="OLE_LINK30"/>
      <w:r>
        <w:rPr>
          <w:rFonts w:hint="eastAsia" w:ascii="宋体" w:hAnsi="宋体"/>
          <w:sz w:val="24"/>
          <w:highlight w:val="none"/>
        </w:rPr>
        <w:t>供应商不得存在下列情形之一:</w:t>
      </w:r>
      <w:bookmarkEnd w:id="15"/>
    </w:p>
    <w:p>
      <w:pPr>
        <w:autoSpaceDE w:val="0"/>
        <w:spacing w:line="400" w:lineRule="exact"/>
        <w:ind w:firstLine="240" w:firstLineChars="100"/>
        <w:jc w:val="both"/>
        <w:rPr>
          <w:rFonts w:ascii="宋体" w:hAnsi="宋体"/>
          <w:sz w:val="24"/>
          <w:highlight w:val="none"/>
        </w:rPr>
      </w:pPr>
      <w:bookmarkStart w:id="16" w:name="OLE_LINK31"/>
      <w:r>
        <w:rPr>
          <w:rFonts w:hint="eastAsia" w:ascii="宋体" w:hAnsi="宋体"/>
          <w:sz w:val="24"/>
          <w:highlight w:val="none"/>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（4）为投资参股本项目的法人单位；</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（5）具有直接管理和被管理关系的母子(分)公司，或同一母公司的子(分)公司，或法定代表人为同一人的两个或两个以上法人，同时投同一标段。</w:t>
      </w:r>
      <w:bookmarkEnd w:id="16"/>
    </w:p>
    <w:p>
      <w:pPr>
        <w:autoSpaceDE w:val="0"/>
        <w:spacing w:line="400" w:lineRule="exact"/>
        <w:jc w:val="both"/>
        <w:rPr>
          <w:rFonts w:ascii="宋体" w:hAnsi="宋体"/>
          <w:sz w:val="24"/>
          <w:highlight w:val="none"/>
        </w:rPr>
      </w:pPr>
      <w:r>
        <w:rPr>
          <w:rFonts w:hint="eastAsia" w:ascii="宋体" w:hAnsi="宋体"/>
          <w:sz w:val="24"/>
          <w:highlight w:val="none"/>
        </w:rPr>
        <w:t>3.2供应商应满足如下要求:</w:t>
      </w:r>
    </w:p>
    <w:tbl>
      <w:tblPr>
        <w:tblStyle w:val="4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highlight w:val="none"/>
              </w:rPr>
            </w:pPr>
            <w:r>
              <w:rPr>
                <w:rFonts w:hint="eastAsia" w:ascii="宋体" w:hAnsi="宋体"/>
                <w:sz w:val="24"/>
                <w:highlight w:val="none"/>
              </w:rPr>
              <w:t>资格条件</w:t>
            </w:r>
          </w:p>
        </w:tc>
        <w:tc>
          <w:tcPr>
            <w:tcW w:w="1786" w:type="dxa"/>
          </w:tcPr>
          <w:p>
            <w:pPr>
              <w:widowControl w:val="0"/>
              <w:spacing w:line="320" w:lineRule="exact"/>
              <w:jc w:val="center"/>
              <w:rPr>
                <w:rFonts w:ascii="宋体" w:hAnsi="宋体"/>
                <w:sz w:val="24"/>
                <w:highlight w:val="none"/>
              </w:rPr>
            </w:pPr>
            <w:r>
              <w:rPr>
                <w:rFonts w:hint="eastAsia" w:ascii="宋体" w:hAnsi="宋体"/>
                <w:sz w:val="24"/>
                <w:highlight w:val="none"/>
              </w:rPr>
              <w:t>对供应商要求</w:t>
            </w:r>
          </w:p>
        </w:tc>
        <w:tc>
          <w:tcPr>
            <w:tcW w:w="5443" w:type="dxa"/>
          </w:tcPr>
          <w:p>
            <w:pPr>
              <w:widowControl w:val="0"/>
              <w:spacing w:line="320" w:lineRule="exact"/>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（1）依法设立</w:t>
            </w:r>
          </w:p>
        </w:tc>
        <w:tc>
          <w:tcPr>
            <w:tcW w:w="1786" w:type="dxa"/>
          </w:tcPr>
          <w:p>
            <w:pPr>
              <w:widowControl w:val="0"/>
              <w:spacing w:line="320" w:lineRule="exact"/>
              <w:jc w:val="both"/>
              <w:rPr>
                <w:rStyle w:val="45"/>
                <w:highlight w:val="none"/>
                <w:u w:val="single"/>
              </w:rPr>
            </w:pPr>
            <w:r>
              <w:rPr>
                <w:rStyle w:val="45"/>
                <w:rFonts w:hint="eastAsia"/>
                <w:highlight w:val="none"/>
                <w:u w:val="single"/>
              </w:rPr>
              <w:sym w:font="Wingdings 2" w:char="00A3"/>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52"/>
            </w:r>
            <w:r>
              <w:rPr>
                <w:rStyle w:val="45"/>
                <w:rFonts w:hint="eastAsia"/>
                <w:highlight w:val="none"/>
                <w:u w:val="single"/>
              </w:rPr>
              <w:t>适用</w:t>
            </w:r>
          </w:p>
        </w:tc>
        <w:tc>
          <w:tcPr>
            <w:tcW w:w="5443" w:type="dxa"/>
          </w:tcPr>
          <w:p>
            <w:pPr>
              <w:widowControl w:val="0"/>
              <w:spacing w:line="320" w:lineRule="exact"/>
              <w:jc w:val="both"/>
              <w:rPr>
                <w:rStyle w:val="45"/>
                <w:highlight w:val="none"/>
                <w:u w:val="single"/>
              </w:rPr>
            </w:pP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52"/>
            </w:r>
            <w:r>
              <w:rPr>
                <w:rStyle w:val="45"/>
                <w:rFonts w:hint="eastAsia"/>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（2）资质要求</w:t>
            </w:r>
          </w:p>
        </w:tc>
        <w:tc>
          <w:tcPr>
            <w:tcW w:w="1786"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A3"/>
            </w:r>
            <w:r>
              <w:rPr>
                <w:rStyle w:val="45"/>
                <w:highlight w:val="none"/>
                <w:u w:val="single"/>
              </w:rPr>
              <w:t xml:space="preserve"> </w:t>
            </w:r>
            <w:r>
              <w:rPr>
                <w:rStyle w:val="45"/>
                <w:rFonts w:hint="eastAsia"/>
                <w:highlight w:val="none"/>
                <w:u w:val="single"/>
              </w:rPr>
              <w:t>适用</w:t>
            </w:r>
          </w:p>
        </w:tc>
        <w:tc>
          <w:tcPr>
            <w:tcW w:w="5443"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A3"/>
            </w:r>
            <w:r>
              <w:rPr>
                <w:rStyle w:val="45"/>
                <w:highlight w:val="none"/>
                <w:u w:val="single"/>
              </w:rPr>
              <w:t xml:space="preserve"> </w:t>
            </w:r>
            <w:r>
              <w:rPr>
                <w:rStyle w:val="45"/>
                <w:rFonts w:hint="eastAsia"/>
                <w:highlight w:val="none"/>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（3）财务要求</w:t>
            </w:r>
          </w:p>
        </w:tc>
        <w:tc>
          <w:tcPr>
            <w:tcW w:w="1786"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t>□适用</w:t>
            </w:r>
          </w:p>
        </w:tc>
        <w:tc>
          <w:tcPr>
            <w:tcW w:w="5443"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（4）业绩要求</w:t>
            </w:r>
          </w:p>
        </w:tc>
        <w:tc>
          <w:tcPr>
            <w:tcW w:w="1786" w:type="dxa"/>
          </w:tcPr>
          <w:p>
            <w:pPr>
              <w:widowControl w:val="0"/>
              <w:spacing w:line="320" w:lineRule="exact"/>
              <w:jc w:val="both"/>
              <w:rPr>
                <w:rStyle w:val="45"/>
                <w:highlight w:val="none"/>
                <w:u w:val="single"/>
              </w:rPr>
            </w:pPr>
            <w:r>
              <w:rPr>
                <w:rStyle w:val="45"/>
                <w:rFonts w:hint="eastAsia"/>
                <w:highlight w:val="none"/>
                <w:u w:val="single"/>
              </w:rPr>
              <w:sym w:font="Wingdings 2" w:char="00A3"/>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52"/>
            </w:r>
            <w:r>
              <w:rPr>
                <w:rStyle w:val="45"/>
                <w:rFonts w:hint="eastAsia"/>
                <w:highlight w:val="none"/>
                <w:u w:val="single"/>
              </w:rPr>
              <w:t>适用</w:t>
            </w:r>
          </w:p>
        </w:tc>
        <w:tc>
          <w:tcPr>
            <w:tcW w:w="5443" w:type="dxa"/>
          </w:tcPr>
          <w:p>
            <w:pPr>
              <w:widowControl w:val="0"/>
              <w:spacing w:line="320" w:lineRule="exact"/>
              <w:jc w:val="both"/>
              <w:rPr>
                <w:rStyle w:val="45"/>
                <w:highlight w:val="none"/>
                <w:u w:val="single"/>
              </w:rPr>
            </w:pP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52"/>
            </w:r>
            <w:r>
              <w:rPr>
                <w:rStyle w:val="45"/>
                <w:rFonts w:hint="eastAsia"/>
                <w:highlight w:val="none"/>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（5）信誉要求</w:t>
            </w:r>
          </w:p>
        </w:tc>
        <w:tc>
          <w:tcPr>
            <w:tcW w:w="1786"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t>□适用</w:t>
            </w:r>
          </w:p>
        </w:tc>
        <w:tc>
          <w:tcPr>
            <w:tcW w:w="5443"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highlight w:val="none"/>
              </w:rPr>
            </w:pPr>
            <w:r>
              <w:rPr>
                <w:rFonts w:hint="eastAsia" w:ascii="宋体" w:hAnsi="宋体"/>
                <w:sz w:val="24"/>
                <w:highlight w:val="none"/>
              </w:rPr>
              <w:t>（6）承担本项目的主要人员要求</w:t>
            </w:r>
          </w:p>
        </w:tc>
        <w:tc>
          <w:tcPr>
            <w:tcW w:w="1786"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t>□适用</w:t>
            </w:r>
          </w:p>
        </w:tc>
        <w:tc>
          <w:tcPr>
            <w:tcW w:w="5443"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A3"/>
            </w:r>
            <w:r>
              <w:rPr>
                <w:rStyle w:val="45"/>
                <w:rFonts w:hint="eastAsia"/>
                <w:highlight w:val="none"/>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（7）其他要求</w:t>
            </w:r>
          </w:p>
        </w:tc>
        <w:tc>
          <w:tcPr>
            <w:tcW w:w="1786" w:type="dxa"/>
          </w:tcPr>
          <w:p>
            <w:pPr>
              <w:widowControl w:val="0"/>
              <w:spacing w:line="320" w:lineRule="exact"/>
              <w:jc w:val="both"/>
              <w:rPr>
                <w:rStyle w:val="45"/>
                <w:highlight w:val="none"/>
                <w:u w:val="single"/>
              </w:rPr>
            </w:pPr>
            <w:r>
              <w:rPr>
                <w:rStyle w:val="45"/>
                <w:rFonts w:hint="eastAsia"/>
                <w:highlight w:val="none"/>
                <w:u w:val="single"/>
              </w:rPr>
              <w:sym w:font="Wingdings 2" w:char="0052"/>
            </w: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t>□适用</w:t>
            </w:r>
          </w:p>
        </w:tc>
        <w:tc>
          <w:tcPr>
            <w:tcW w:w="5443" w:type="dxa"/>
          </w:tcPr>
          <w:p>
            <w:pPr>
              <w:widowControl w:val="0"/>
              <w:spacing w:line="320" w:lineRule="exact"/>
              <w:jc w:val="both"/>
              <w:rPr>
                <w:rStyle w:val="45"/>
                <w:highlight w:val="none"/>
                <w:u w:val="single"/>
              </w:rPr>
            </w:pP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highlight w:val="none"/>
              </w:rPr>
            </w:pPr>
            <w:r>
              <w:rPr>
                <w:rFonts w:hint="eastAsia" w:ascii="宋体" w:hAnsi="宋体"/>
                <w:sz w:val="24"/>
                <w:highlight w:val="none"/>
              </w:rPr>
              <w:t>（8）供应商不存在第一章3.1款情形的证明材料</w:t>
            </w:r>
          </w:p>
        </w:tc>
        <w:tc>
          <w:tcPr>
            <w:tcW w:w="1786" w:type="dxa"/>
          </w:tcPr>
          <w:p>
            <w:pPr>
              <w:widowControl w:val="0"/>
              <w:spacing w:line="320" w:lineRule="exact"/>
              <w:jc w:val="both"/>
              <w:rPr>
                <w:rStyle w:val="45"/>
                <w:highlight w:val="none"/>
                <w:u w:val="single"/>
              </w:rPr>
            </w:pP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52"/>
            </w:r>
            <w:r>
              <w:rPr>
                <w:rStyle w:val="45"/>
                <w:rFonts w:hint="eastAsia"/>
                <w:highlight w:val="none"/>
                <w:u w:val="single"/>
              </w:rPr>
              <w:t>适用</w:t>
            </w:r>
          </w:p>
        </w:tc>
        <w:tc>
          <w:tcPr>
            <w:tcW w:w="5443" w:type="dxa"/>
          </w:tcPr>
          <w:p>
            <w:pPr>
              <w:widowControl w:val="0"/>
              <w:spacing w:line="320" w:lineRule="exact"/>
              <w:jc w:val="both"/>
              <w:rPr>
                <w:rStyle w:val="45"/>
                <w:highlight w:val="none"/>
                <w:u w:val="single"/>
              </w:rPr>
            </w:pPr>
            <w:r>
              <w:rPr>
                <w:rStyle w:val="45"/>
                <w:rFonts w:hint="eastAsia"/>
                <w:highlight w:val="none"/>
                <w:u w:val="single"/>
              </w:rPr>
              <w:t xml:space="preserve">□不适用  </w:t>
            </w:r>
          </w:p>
          <w:p>
            <w:pPr>
              <w:widowControl w:val="0"/>
              <w:spacing w:line="320" w:lineRule="exact"/>
              <w:jc w:val="both"/>
              <w:rPr>
                <w:rFonts w:ascii="宋体" w:hAnsi="宋体"/>
                <w:sz w:val="24"/>
                <w:highlight w:val="none"/>
              </w:rPr>
            </w:pPr>
            <w:r>
              <w:rPr>
                <w:rStyle w:val="45"/>
                <w:rFonts w:hint="eastAsia"/>
                <w:highlight w:val="none"/>
                <w:u w:val="single"/>
              </w:rPr>
              <w:sym w:font="Wingdings 2" w:char="0052"/>
            </w:r>
            <w:r>
              <w:rPr>
                <w:rStyle w:val="45"/>
                <w:rFonts w:hint="eastAsia"/>
                <w:highlight w:val="none"/>
                <w:u w:val="single"/>
              </w:rPr>
              <w:t>适用,见采购文件供应商须知前附表3.5（8）。</w:t>
            </w:r>
          </w:p>
        </w:tc>
      </w:tr>
    </w:tbl>
    <w:p>
      <w:pPr>
        <w:pStyle w:val="3"/>
        <w:rPr>
          <w:rFonts w:ascii="Arial" w:hAnsi="Arial"/>
          <w:highlight w:val="none"/>
        </w:rPr>
      </w:pPr>
      <w:bookmarkStart w:id="17" w:name="_Toc106039325"/>
      <w:r>
        <w:rPr>
          <w:rFonts w:hint="eastAsia"/>
          <w:highlight w:val="none"/>
        </w:rPr>
        <w:t xml:space="preserve">4 </w:t>
      </w:r>
      <w:r>
        <w:rPr>
          <w:rFonts w:hint="eastAsia" w:ascii="黑体" w:hAnsi="黑体"/>
          <w:highlight w:val="none"/>
        </w:rPr>
        <w:t>响应保证金</w:t>
      </w:r>
      <w:bookmarkEnd w:id="17"/>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highlight w:val="none"/>
              </w:rPr>
            </w:pPr>
            <w:r>
              <w:rPr>
                <w:rFonts w:hint="eastAsia" w:ascii="黑体" w:hAnsi="黑体"/>
                <w:highlight w:val="none"/>
              </w:rPr>
              <w:t>响应</w:t>
            </w:r>
            <w:r>
              <w:rPr>
                <w:rFonts w:hint="eastAsia" w:ascii="宋体" w:hAnsi="宋体"/>
                <w:sz w:val="24"/>
                <w:highlight w:val="none"/>
              </w:rPr>
              <w:t>保证金的递交</w:t>
            </w:r>
          </w:p>
        </w:tc>
        <w:tc>
          <w:tcPr>
            <w:tcW w:w="3597" w:type="dxa"/>
          </w:tcPr>
          <w:p>
            <w:pPr>
              <w:widowControl w:val="0"/>
              <w:autoSpaceDE w:val="0"/>
              <w:spacing w:line="400" w:lineRule="exact"/>
              <w:jc w:val="both"/>
              <w:rPr>
                <w:rFonts w:ascii="黑体" w:hAnsi="黑体"/>
                <w:highlight w:val="none"/>
              </w:rPr>
            </w:pPr>
            <w:r>
              <w:rPr>
                <w:rFonts w:hint="eastAsia" w:ascii="宋体" w:hAnsi="宋体"/>
                <w:sz w:val="24"/>
                <w:highlight w:val="none"/>
              </w:rPr>
              <w:t>不退还响应保证金的其他情形</w:t>
            </w:r>
          </w:p>
        </w:tc>
        <w:tc>
          <w:tcPr>
            <w:tcW w:w="3285" w:type="dxa"/>
          </w:tcPr>
          <w:p>
            <w:pPr>
              <w:widowControl w:val="0"/>
              <w:autoSpaceDE w:val="0"/>
              <w:spacing w:line="400" w:lineRule="exact"/>
              <w:jc w:val="both"/>
              <w:rPr>
                <w:rFonts w:ascii="黑体" w:hAnsi="黑体"/>
                <w:highlight w:val="none"/>
              </w:rPr>
            </w:pPr>
            <w:r>
              <w:rPr>
                <w:rFonts w:hint="eastAsia" w:ascii="宋体" w:hAnsi="宋体"/>
                <w:sz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highlight w:val="none"/>
              </w:rPr>
            </w:pPr>
            <w:r>
              <w:rPr>
                <w:rStyle w:val="45"/>
                <w:rFonts w:hint="eastAsia"/>
                <w:highlight w:val="none"/>
              </w:rPr>
              <w:sym w:font="Wingdings 2" w:char="0052"/>
            </w:r>
            <w:r>
              <w:rPr>
                <w:rFonts w:hint="eastAsia" w:ascii="宋体" w:hAnsi="宋体"/>
                <w:sz w:val="24"/>
                <w:highlight w:val="none"/>
              </w:rPr>
              <w:t>不要求递交</w:t>
            </w:r>
          </w:p>
          <w:p>
            <w:pPr>
              <w:widowControl w:val="0"/>
              <w:autoSpaceDE w:val="0"/>
              <w:spacing w:line="400" w:lineRule="exact"/>
              <w:jc w:val="both"/>
              <w:rPr>
                <w:rFonts w:ascii="宋体" w:hAnsi="宋体"/>
                <w:sz w:val="24"/>
                <w:highlight w:val="none"/>
              </w:rPr>
            </w:pPr>
            <w:r>
              <w:rPr>
                <w:rStyle w:val="45"/>
                <w:rFonts w:hint="eastAsia"/>
                <w:highlight w:val="none"/>
              </w:rPr>
              <w:t>□</w:t>
            </w:r>
            <w:r>
              <w:rPr>
                <w:rFonts w:hint="eastAsia" w:ascii="宋体" w:hAnsi="宋体"/>
                <w:sz w:val="24"/>
                <w:highlight w:val="none"/>
              </w:rPr>
              <w:t>要求递交</w:t>
            </w:r>
          </w:p>
          <w:p>
            <w:pPr>
              <w:widowControl w:val="0"/>
              <w:autoSpaceDE w:val="0"/>
              <w:spacing w:line="400" w:lineRule="exact"/>
              <w:jc w:val="both"/>
              <w:rPr>
                <w:rFonts w:ascii="宋体" w:hAnsi="宋体"/>
                <w:sz w:val="24"/>
                <w:highlight w:val="none"/>
              </w:rPr>
            </w:pPr>
            <w:r>
              <w:rPr>
                <w:rFonts w:hint="eastAsia" w:ascii="宋体" w:hAnsi="宋体"/>
                <w:sz w:val="24"/>
                <w:highlight w:val="none"/>
              </w:rPr>
              <w:t>保证金金额：_________；</w:t>
            </w:r>
          </w:p>
          <w:p>
            <w:pPr>
              <w:widowControl w:val="0"/>
              <w:autoSpaceDE w:val="0"/>
              <w:spacing w:line="400" w:lineRule="exact"/>
              <w:jc w:val="both"/>
              <w:rPr>
                <w:rFonts w:ascii="宋体" w:hAnsi="宋体"/>
                <w:sz w:val="24"/>
                <w:highlight w:val="none"/>
              </w:rPr>
            </w:pPr>
            <w:r>
              <w:rPr>
                <w:rFonts w:hint="eastAsia" w:ascii="宋体" w:hAnsi="宋体"/>
                <w:sz w:val="24"/>
                <w:highlight w:val="none"/>
              </w:rPr>
              <w:t>保证金形式：________；</w:t>
            </w:r>
          </w:p>
        </w:tc>
        <w:tc>
          <w:tcPr>
            <w:tcW w:w="3597" w:type="dxa"/>
          </w:tcPr>
          <w:p>
            <w:pPr>
              <w:widowControl w:val="0"/>
              <w:autoSpaceDE w:val="0"/>
              <w:spacing w:line="400" w:lineRule="exact"/>
              <w:jc w:val="both"/>
              <w:rPr>
                <w:rFonts w:ascii="宋体" w:hAnsi="宋体"/>
                <w:sz w:val="24"/>
                <w:highlight w:val="none"/>
              </w:rPr>
            </w:pPr>
            <w:r>
              <w:rPr>
                <w:rStyle w:val="45"/>
                <w:rFonts w:hint="eastAsia"/>
                <w:highlight w:val="none"/>
              </w:rPr>
              <w:sym w:font="Wingdings 2" w:char="0052"/>
            </w:r>
            <w:r>
              <w:rPr>
                <w:rFonts w:hint="eastAsia" w:ascii="宋体" w:hAnsi="宋体"/>
                <w:sz w:val="24"/>
                <w:highlight w:val="none"/>
              </w:rPr>
              <w:t>不适用</w:t>
            </w:r>
          </w:p>
          <w:p>
            <w:pPr>
              <w:widowControl w:val="0"/>
              <w:autoSpaceDE w:val="0"/>
              <w:spacing w:line="400" w:lineRule="exact"/>
              <w:jc w:val="both"/>
              <w:rPr>
                <w:rFonts w:ascii="宋体" w:hAnsi="宋体"/>
                <w:sz w:val="24"/>
                <w:highlight w:val="none"/>
              </w:rPr>
            </w:pPr>
            <w:r>
              <w:rPr>
                <w:rStyle w:val="45"/>
                <w:rFonts w:hint="eastAsia"/>
                <w:highlight w:val="none"/>
              </w:rPr>
              <w:t>□</w:t>
            </w:r>
            <w:r>
              <w:rPr>
                <w:rFonts w:hint="eastAsia" w:ascii="宋体" w:hAnsi="宋体"/>
                <w:sz w:val="24"/>
                <w:highlight w:val="none"/>
              </w:rPr>
              <w:t>适用，具体如下：</w:t>
            </w:r>
          </w:p>
          <w:p>
            <w:pPr>
              <w:widowControl w:val="0"/>
              <w:autoSpaceDE w:val="0"/>
              <w:spacing w:line="400" w:lineRule="exact"/>
              <w:jc w:val="both"/>
              <w:rPr>
                <w:rFonts w:ascii="宋体" w:hAnsi="宋体"/>
                <w:sz w:val="24"/>
                <w:highlight w:val="none"/>
              </w:rPr>
            </w:pPr>
          </w:p>
          <w:p>
            <w:pPr>
              <w:widowControl w:val="0"/>
              <w:autoSpaceDE w:val="0"/>
              <w:spacing w:line="400" w:lineRule="exact"/>
              <w:jc w:val="both"/>
              <w:rPr>
                <w:rFonts w:ascii="黑体" w:hAnsi="黑体"/>
                <w:highlight w:val="none"/>
              </w:rPr>
            </w:pPr>
          </w:p>
        </w:tc>
        <w:tc>
          <w:tcPr>
            <w:tcW w:w="3285" w:type="dxa"/>
          </w:tcPr>
          <w:p>
            <w:pPr>
              <w:widowControl w:val="0"/>
              <w:autoSpaceDE w:val="0"/>
              <w:spacing w:line="400" w:lineRule="exact"/>
              <w:jc w:val="both"/>
              <w:rPr>
                <w:rFonts w:ascii="宋体" w:hAnsi="宋体"/>
                <w:sz w:val="24"/>
                <w:highlight w:val="none"/>
              </w:rPr>
            </w:pPr>
            <w:r>
              <w:rPr>
                <w:rStyle w:val="45"/>
                <w:rFonts w:hint="eastAsia"/>
                <w:highlight w:val="none"/>
              </w:rPr>
              <w:sym w:font="Wingdings 2" w:char="0052"/>
            </w:r>
            <w:r>
              <w:rPr>
                <w:rFonts w:hint="eastAsia" w:ascii="宋体" w:hAnsi="宋体"/>
                <w:sz w:val="24"/>
                <w:highlight w:val="none"/>
              </w:rPr>
              <w:t>不适用</w:t>
            </w:r>
          </w:p>
          <w:p>
            <w:pPr>
              <w:widowControl w:val="0"/>
              <w:autoSpaceDE w:val="0"/>
              <w:spacing w:line="400" w:lineRule="exact"/>
              <w:jc w:val="both"/>
              <w:rPr>
                <w:rFonts w:ascii="宋体" w:hAnsi="宋体"/>
                <w:sz w:val="24"/>
                <w:highlight w:val="none"/>
              </w:rPr>
            </w:pPr>
            <w:r>
              <w:rPr>
                <w:rStyle w:val="45"/>
                <w:rFonts w:hint="eastAsia"/>
                <w:highlight w:val="none"/>
              </w:rPr>
              <w:t>□</w:t>
            </w:r>
            <w:r>
              <w:rPr>
                <w:rFonts w:hint="eastAsia" w:ascii="宋体" w:hAnsi="宋体"/>
                <w:sz w:val="24"/>
                <w:highlight w:val="none"/>
              </w:rPr>
              <w:t>适用，具体如下：</w:t>
            </w:r>
          </w:p>
          <w:p>
            <w:pPr>
              <w:widowControl w:val="0"/>
              <w:autoSpaceDE w:val="0"/>
              <w:spacing w:line="400" w:lineRule="exact"/>
              <w:jc w:val="both"/>
              <w:rPr>
                <w:rFonts w:ascii="宋体" w:hAnsi="宋体"/>
                <w:sz w:val="24"/>
                <w:highlight w:val="none"/>
              </w:rPr>
            </w:pPr>
          </w:p>
          <w:p>
            <w:pPr>
              <w:widowControl w:val="0"/>
              <w:autoSpaceDE w:val="0"/>
              <w:spacing w:line="400" w:lineRule="exact"/>
              <w:jc w:val="both"/>
              <w:rPr>
                <w:rFonts w:ascii="黑体" w:hAnsi="黑体"/>
                <w:highlight w:val="none"/>
              </w:rPr>
            </w:pPr>
          </w:p>
        </w:tc>
      </w:tr>
    </w:tbl>
    <w:p>
      <w:pPr>
        <w:pStyle w:val="3"/>
        <w:rPr>
          <w:rFonts w:ascii="Arial" w:hAnsi="Arial"/>
          <w:highlight w:val="none"/>
        </w:rPr>
      </w:pPr>
      <w:bookmarkStart w:id="18" w:name="_Toc106039326"/>
      <w:r>
        <w:rPr>
          <w:rFonts w:hint="eastAsia"/>
          <w:highlight w:val="none"/>
        </w:rPr>
        <w:t>5</w:t>
      </w:r>
      <w:r>
        <w:rPr>
          <w:highlight w:val="none"/>
        </w:rPr>
        <w:t xml:space="preserve"> </w:t>
      </w:r>
      <w:r>
        <w:rPr>
          <w:rFonts w:hint="eastAsia" w:ascii="黑体" w:hAnsi="黑体"/>
          <w:highlight w:val="none"/>
        </w:rPr>
        <w:t>确定成交供应商的方法</w:t>
      </w:r>
      <w:bookmarkEnd w:id="18"/>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rPr>
        <w:t>5.1</w:t>
      </w:r>
      <w:r>
        <w:rPr>
          <w:rStyle w:val="45"/>
          <w:rFonts w:hint="eastAsia"/>
          <w:highlight w:val="none"/>
        </w:rPr>
        <w:t>最低价法</w:t>
      </w:r>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rPr>
        <w:t>5.2</w:t>
      </w:r>
      <w:r>
        <w:rPr>
          <w:rFonts w:hint="eastAsia" w:ascii="宋体" w:hAnsi="宋体"/>
          <w:sz w:val="24"/>
          <w:highlight w:val="none"/>
        </w:rPr>
        <w:t xml:space="preserve"> 采购人将确定排名第一的成交候选供应商为成交供应商。若排名第一的成交候选供应商未通过履约能力和报价核查，采购人应按推荐的名单排序依次确定其他成交候选供应商为成交供应商，评标价低于理论成本价视为废标。</w:t>
      </w:r>
    </w:p>
    <w:p>
      <w:pPr>
        <w:pStyle w:val="3"/>
        <w:rPr>
          <w:highlight w:val="none"/>
        </w:rPr>
      </w:pPr>
      <w:bookmarkStart w:id="19" w:name="_Toc106039327"/>
      <w:r>
        <w:rPr>
          <w:rFonts w:hint="eastAsia"/>
          <w:highlight w:val="none"/>
        </w:rPr>
        <w:t>6</w:t>
      </w:r>
      <w:r>
        <w:rPr>
          <w:rFonts w:hint="eastAsia"/>
          <w:color w:val="000000"/>
          <w:highlight w:val="none"/>
        </w:rPr>
        <w:t>．最高投标限价</w:t>
      </w:r>
      <w:bookmarkEnd w:id="19"/>
    </w:p>
    <w:p>
      <w:pPr>
        <w:autoSpaceDE w:val="0"/>
        <w:spacing w:line="400" w:lineRule="exact"/>
        <w:ind w:firstLine="482" w:firstLineChars="200"/>
        <w:jc w:val="both"/>
        <w:rPr>
          <w:rFonts w:ascii="宋体" w:hAnsi="宋体"/>
          <w:sz w:val="24"/>
          <w:highlight w:val="none"/>
        </w:rPr>
      </w:pPr>
      <w:bookmarkStart w:id="20" w:name="_Toc38287094"/>
      <w:bookmarkStart w:id="21" w:name="_Toc40274970"/>
      <w:r>
        <w:rPr>
          <w:rFonts w:hint="eastAsia" w:ascii="宋体" w:hAnsi="宋体"/>
          <w:b/>
          <w:bCs/>
          <w:sz w:val="24"/>
          <w:highlight w:val="none"/>
        </w:rPr>
        <w:t>6.1</w:t>
      </w:r>
      <w:r>
        <w:rPr>
          <w:rFonts w:hint="eastAsia" w:ascii="宋体" w:hAnsi="宋体"/>
          <w:sz w:val="24"/>
          <w:highlight w:val="none"/>
        </w:rPr>
        <w:t>询价人为本次招标编制了最高投标限价，最高限价：</w:t>
      </w:r>
      <w:r>
        <w:rPr>
          <w:rFonts w:hint="eastAsia" w:ascii="宋体" w:hAnsi="宋体"/>
          <w:sz w:val="24"/>
          <w:highlight w:val="none"/>
          <w:lang w:val="en-US" w:eastAsia="zh-CN"/>
        </w:rPr>
        <w:t>肆拾玖万叁仟叁佰捌拾元</w:t>
      </w:r>
      <w:r>
        <w:rPr>
          <w:rFonts w:hint="eastAsia" w:ascii="宋体" w:hAnsi="宋体"/>
          <w:sz w:val="24"/>
          <w:highlight w:val="none"/>
        </w:rPr>
        <w:t>（小写：￥493380.0</w:t>
      </w:r>
      <w:r>
        <w:rPr>
          <w:rFonts w:hint="eastAsia" w:ascii="宋体" w:hAnsi="宋体"/>
          <w:sz w:val="24"/>
          <w:highlight w:val="none"/>
          <w:lang w:val="en-US" w:eastAsia="zh-CN"/>
        </w:rPr>
        <w:t>0</w:t>
      </w:r>
      <w:r>
        <w:rPr>
          <w:rFonts w:hint="eastAsia" w:ascii="宋体" w:hAnsi="宋体"/>
          <w:sz w:val="24"/>
          <w:highlight w:val="none"/>
        </w:rPr>
        <w:t xml:space="preserve"> ），含13%的增值税和运费、安装调试费等。</w:t>
      </w:r>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rPr>
        <w:t>6.2</w:t>
      </w:r>
      <w:r>
        <w:rPr>
          <w:rFonts w:hint="eastAsia" w:ascii="宋体" w:hAnsi="宋体"/>
          <w:sz w:val="24"/>
          <w:highlight w:val="none"/>
        </w:rPr>
        <w:t>报价人投标报价应不高于最高投标限价，否则其投标将被否决。</w:t>
      </w:r>
      <w:bookmarkEnd w:id="20"/>
      <w:bookmarkEnd w:id="21"/>
    </w:p>
    <w:p>
      <w:pPr>
        <w:pStyle w:val="3"/>
        <w:rPr>
          <w:rFonts w:ascii="Arial" w:hAnsi="Arial"/>
          <w:highlight w:val="none"/>
        </w:rPr>
      </w:pPr>
      <w:bookmarkStart w:id="22" w:name="_Toc106039328"/>
      <w:r>
        <w:rPr>
          <w:rFonts w:hint="eastAsia"/>
          <w:highlight w:val="none"/>
        </w:rPr>
        <w:t>7.</w:t>
      </w:r>
      <w:r>
        <w:rPr>
          <w:rFonts w:hint="eastAsia" w:ascii="黑体" w:hAnsi="黑体"/>
          <w:highlight w:val="none"/>
        </w:rPr>
        <w:t>采购文件获取</w:t>
      </w:r>
      <w:bookmarkEnd w:id="22"/>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rPr>
        <w:t>7.1</w:t>
      </w:r>
      <w:r>
        <w:rPr>
          <w:rFonts w:hint="eastAsia" w:ascii="宋体" w:hAnsi="宋体"/>
          <w:sz w:val="24"/>
          <w:highlight w:val="none"/>
        </w:rPr>
        <w:t xml:space="preserve"> 供应商应当于</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w:t>
      </w:r>
      <w:r>
        <w:rPr>
          <w:rFonts w:hint="eastAsia" w:ascii="宋体" w:hAnsi="宋体"/>
          <w:sz w:val="24"/>
          <w:highlight w:val="none"/>
          <w:lang w:val="en-US" w:eastAsia="zh-CN"/>
        </w:rPr>
        <w:t>8</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分至</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分送达</w:t>
      </w:r>
      <w:r>
        <w:rPr>
          <w:rFonts w:hint="eastAsia" w:ascii="宋体" w:hAnsi="宋体"/>
          <w:sz w:val="24"/>
          <w:highlight w:val="none"/>
          <w:u w:val="single"/>
        </w:rPr>
        <w:t>湖南省港务集团有限公司工程管理部（岳阳市云溪区沿江西路50米湖南省港务集团信息化大楼30</w:t>
      </w:r>
      <w:r>
        <w:rPr>
          <w:rFonts w:hint="eastAsia" w:ascii="宋体" w:hAnsi="宋体"/>
          <w:sz w:val="24"/>
          <w:highlight w:val="none"/>
          <w:u w:val="single"/>
          <w:lang w:val="en-US" w:eastAsia="zh-CN"/>
        </w:rPr>
        <w:t>5</w:t>
      </w:r>
      <w:r>
        <w:rPr>
          <w:rFonts w:hint="eastAsia" w:ascii="宋体" w:hAnsi="宋体"/>
          <w:sz w:val="24"/>
          <w:highlight w:val="none"/>
          <w:u w:val="single"/>
        </w:rPr>
        <w:t>室）</w:t>
      </w:r>
      <w:r>
        <w:rPr>
          <w:rFonts w:hint="eastAsia" w:ascii="宋体" w:hAnsi="宋体"/>
          <w:sz w:val="24"/>
          <w:highlight w:val="none"/>
        </w:rPr>
        <w:t>，逾期送达的或者未送达指定地点的文件，不予受理。</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rPr>
        <w:t xml:space="preserve">7.2 </w:t>
      </w:r>
      <w:r>
        <w:rPr>
          <w:rFonts w:hint="eastAsia" w:ascii="宋体" w:hAnsi="宋体"/>
          <w:sz w:val="24"/>
          <w:highlight w:val="none"/>
        </w:rPr>
        <w:t>供应商若对本项目采购需求、资格要求等有疑问的，应当于2022年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分前向采购人提出澄清要求（</w:t>
      </w:r>
      <w:r>
        <w:rPr>
          <w:rFonts w:hint="eastAsia" w:ascii="宋体" w:hAnsi="宋体"/>
          <w:bCs/>
          <w:sz w:val="24"/>
          <w:highlight w:val="none"/>
        </w:rPr>
        <w:t>公休日除外</w:t>
      </w:r>
      <w:r>
        <w:rPr>
          <w:rFonts w:hint="eastAsia" w:ascii="宋体" w:hAnsi="宋体"/>
          <w:sz w:val="24"/>
          <w:highlight w:val="none"/>
        </w:rPr>
        <w:t>）。</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rPr>
        <w:t xml:space="preserve">7.3 </w:t>
      </w:r>
      <w:r>
        <w:rPr>
          <w:rFonts w:hint="eastAsia" w:ascii="宋体" w:hAnsi="宋体"/>
          <w:sz w:val="24"/>
          <w:highlight w:val="none"/>
        </w:rPr>
        <w:t>本次询价不接受联合体报价。</w:t>
      </w:r>
    </w:p>
    <w:p>
      <w:pPr>
        <w:pStyle w:val="3"/>
        <w:rPr>
          <w:highlight w:val="none"/>
        </w:rPr>
      </w:pPr>
      <w:bookmarkStart w:id="23" w:name="_Toc106039329"/>
      <w:r>
        <w:rPr>
          <w:rFonts w:hint="eastAsia"/>
          <w:highlight w:val="none"/>
        </w:rPr>
        <w:t>8.发布</w:t>
      </w:r>
      <w:r>
        <w:rPr>
          <w:rFonts w:hint="eastAsia" w:ascii="黑体" w:hAnsi="黑体"/>
          <w:highlight w:val="none"/>
        </w:rPr>
        <w:t>公告的</w:t>
      </w:r>
      <w:r>
        <w:rPr>
          <w:rFonts w:hint="eastAsia"/>
          <w:highlight w:val="none"/>
        </w:rPr>
        <w:t>媒介</w:t>
      </w:r>
      <w:bookmarkEnd w:id="23"/>
    </w:p>
    <w:p>
      <w:pPr>
        <w:widowControl w:val="0"/>
        <w:spacing w:line="312" w:lineRule="auto"/>
        <w:ind w:firstLine="480" w:firstLineChars="200"/>
        <w:jc w:val="both"/>
        <w:rPr>
          <w:rFonts w:ascii="宋体" w:hAnsi="宋体" w:cs="宋体"/>
          <w:sz w:val="24"/>
          <w:highlight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cs="宋体"/>
          <w:sz w:val="24"/>
          <w:highlight w:val="none"/>
        </w:rPr>
        <w:t xml:space="preserve"> 中国招标投标公共服务平台（http：//www.cebpubservice.com）、湖南省湘水集团有限公司网站（http：//www.hnsxsjt.com）、</w:t>
      </w:r>
      <w:r>
        <w:rPr>
          <w:rFonts w:hint="eastAsia" w:ascii="宋体" w:hAnsi="宋体" w:cs="宋体"/>
          <w:sz w:val="24"/>
          <w:highlight w:val="none"/>
          <w:u w:val="single"/>
        </w:rPr>
        <w:t xml:space="preserve">                                   湖南省港务集团有限公司</w:t>
      </w:r>
      <w:r>
        <w:rPr>
          <w:rFonts w:hint="eastAsia" w:ascii="宋体" w:hAnsi="宋体" w:cs="宋体"/>
          <w:sz w:val="24"/>
          <w:highlight w:val="none"/>
        </w:rPr>
        <w:t>（http://www.hnsgwjt.com）上发布。</w:t>
      </w:r>
    </w:p>
    <w:p>
      <w:pPr>
        <w:pStyle w:val="3"/>
        <w:rPr>
          <w:highlight w:val="none"/>
        </w:rPr>
      </w:pPr>
      <w:bookmarkStart w:id="24" w:name="_Toc512257471"/>
      <w:bookmarkStart w:id="25" w:name="_Toc77254104"/>
      <w:bookmarkStart w:id="26" w:name="_Toc76635692"/>
      <w:bookmarkStart w:id="27" w:name="_Toc79596547"/>
      <w:bookmarkStart w:id="28" w:name="_Toc106039330"/>
      <w:r>
        <w:rPr>
          <w:rFonts w:hint="eastAsia"/>
          <w:highlight w:val="none"/>
        </w:rPr>
        <w:t>9.</w:t>
      </w:r>
      <w:r>
        <w:rPr>
          <w:highlight w:val="none"/>
        </w:rPr>
        <w:t>监督</w:t>
      </w:r>
      <w:bookmarkEnd w:id="24"/>
      <w:bookmarkEnd w:id="25"/>
      <w:bookmarkEnd w:id="26"/>
      <w:r>
        <w:rPr>
          <w:rFonts w:hint="eastAsia"/>
          <w:highlight w:val="none"/>
        </w:rPr>
        <w:t>部门</w:t>
      </w:r>
      <w:bookmarkEnd w:id="27"/>
      <w:bookmarkEnd w:id="28"/>
    </w:p>
    <w:bookmarkEnd w:id="104"/>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w:t>
      </w:r>
      <w:bookmarkStart w:id="29" w:name="OLE_LINK4"/>
      <w:bookmarkStart w:id="30" w:name="OLE_LINK2"/>
      <w:r>
        <w:rPr>
          <w:rFonts w:hint="eastAsia" w:ascii="宋体" w:hAnsi="宋体"/>
          <w:bCs/>
          <w:sz w:val="24"/>
          <w:lang w:val="zh-CN"/>
        </w:rPr>
        <w:t>26</w:t>
      </w:r>
      <w:bookmarkEnd w:id="29"/>
      <w:bookmarkEnd w:id="30"/>
      <w:r>
        <w:rPr>
          <w:rFonts w:hint="eastAsia" w:ascii="宋体" w:hAnsi="宋体"/>
          <w:bCs/>
          <w:sz w:val="24"/>
          <w:lang w:val="zh-CN"/>
        </w:rPr>
        <w:t>255</w:t>
      </w:r>
      <w:r>
        <w:rPr>
          <w:rFonts w:hint="eastAsia" w:ascii="宋体" w:hAnsi="宋体"/>
          <w:bCs/>
          <w:sz w:val="24"/>
        </w:rPr>
        <w:t xml:space="preserve"> 。</w:t>
      </w:r>
    </w:p>
    <w:p>
      <w:pPr>
        <w:pStyle w:val="3"/>
        <w:rPr>
          <w:rFonts w:ascii="Arial" w:hAnsi="Arial"/>
        </w:rPr>
      </w:pPr>
      <w:bookmarkStart w:id="31" w:name="_Toc106039331"/>
      <w:r>
        <w:rPr>
          <w:rFonts w:hint="eastAsia"/>
        </w:rPr>
        <w:t>10.</w:t>
      </w:r>
      <w:r>
        <w:rPr>
          <w:rFonts w:hint="eastAsia" w:ascii="黑体" w:hAnsi="黑体"/>
        </w:rPr>
        <w:t>联系方式</w:t>
      </w:r>
      <w:bookmarkEnd w:id="31"/>
    </w:p>
    <w:p>
      <w:pPr>
        <w:autoSpaceDE w:val="0"/>
        <w:spacing w:line="400" w:lineRule="exact"/>
        <w:ind w:firstLine="240" w:firstLineChars="100"/>
        <w:rPr>
          <w:rFonts w:ascii="宋体" w:hAnsi="宋体"/>
          <w:sz w:val="24"/>
        </w:rPr>
      </w:pPr>
      <w:r>
        <w:rPr>
          <w:rFonts w:hint="eastAsia" w:ascii="宋体" w:hAnsi="宋体"/>
          <w:sz w:val="24"/>
        </w:rPr>
        <w:t xml:space="preserve">采 购 人: </w:t>
      </w:r>
      <w:r>
        <w:rPr>
          <w:rFonts w:hint="eastAsia" w:ascii="宋体" w:hAnsi="宋体"/>
          <w:sz w:val="24"/>
          <w:u w:val="single"/>
        </w:rPr>
        <w:t xml:space="preserve"> 湖南省港务集团有限公司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岳阳市云溪区沿江西路50米湖南省港务集团信息化大楼30</w:t>
      </w:r>
      <w:r>
        <w:rPr>
          <w:rFonts w:hint="eastAsia" w:ascii="宋体" w:hAnsi="宋体"/>
          <w:sz w:val="24"/>
          <w:u w:val="single"/>
          <w:lang w:val="en-US" w:eastAsia="zh-CN"/>
        </w:rPr>
        <w:t>5</w:t>
      </w:r>
      <w:r>
        <w:rPr>
          <w:rFonts w:hint="eastAsia" w:ascii="宋体" w:hAnsi="宋体"/>
          <w:sz w:val="24"/>
          <w:u w:val="single"/>
        </w:rPr>
        <w:t xml:space="preserve">室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u w:val="single"/>
        </w:rPr>
        <w:t xml:space="preserve">  </w:t>
      </w:r>
      <w:r>
        <w:rPr>
          <w:rFonts w:hint="eastAsia" w:ascii="宋体" w:hAnsi="宋体"/>
          <w:sz w:val="24"/>
          <w:u w:val="single"/>
          <w:lang w:val="en-US" w:eastAsia="zh-CN"/>
        </w:rPr>
        <w:t>万</w:t>
      </w:r>
      <w:r>
        <w:rPr>
          <w:rFonts w:hint="eastAsia" w:ascii="宋体" w:hAnsi="宋体"/>
          <w:sz w:val="24"/>
          <w:u w:val="single"/>
        </w:rPr>
        <w:t xml:space="preserve">先生                     </w:t>
      </w:r>
      <w:r>
        <w:rPr>
          <w:rFonts w:hint="eastAsia" w:ascii="宋体" w:hAnsi="宋体"/>
          <w:sz w:val="24"/>
        </w:rPr>
        <w:t xml:space="preserve">     </w:t>
      </w:r>
    </w:p>
    <w:p>
      <w:pPr>
        <w:spacing w:line="440" w:lineRule="exact"/>
        <w:ind w:firstLine="240" w:firstLineChars="100"/>
        <w:rPr>
          <w:rFonts w:hint="default" w:eastAsia="宋体"/>
          <w:color w:val="000000" w:themeColor="text1"/>
          <w:sz w:val="24"/>
          <w:u w:val="single"/>
          <w:lang w:val="en-US" w:eastAsia="zh-CN"/>
          <w14:textFill>
            <w14:solidFill>
              <w14:schemeClr w14:val="tx1"/>
            </w14:solidFill>
          </w14:textFill>
        </w:rPr>
      </w:pPr>
      <w:r>
        <w:rPr>
          <w:rFonts w:hint="eastAsia" w:ascii="宋体" w:hAnsi="宋体"/>
          <w:sz w:val="24"/>
        </w:rPr>
        <w:t xml:space="preserve">电    话: </w:t>
      </w:r>
      <w:r>
        <w:rPr>
          <w:rFonts w:hint="eastAsia" w:ascii="宋体" w:hAnsi="宋体"/>
          <w:sz w:val="24"/>
          <w:u w:val="single"/>
        </w:rPr>
        <w:t xml:space="preserve"> </w:t>
      </w:r>
      <w:r>
        <w:rPr>
          <w:rFonts w:hint="eastAsia"/>
          <w:color w:val="000000" w:themeColor="text1"/>
          <w:sz w:val="24"/>
          <w:u w:val="single"/>
          <w:lang w:val="en-US" w:eastAsia="zh-CN"/>
          <w14:textFill>
            <w14:solidFill>
              <w14:schemeClr w14:val="tx1"/>
            </w14:solidFill>
          </w14:textFill>
        </w:rPr>
        <w:t>16680081229</w:t>
      </w:r>
    </w:p>
    <w:p>
      <w:pPr>
        <w:spacing w:line="240" w:lineRule="auto"/>
        <w:jc w:val="both"/>
        <w:rPr>
          <w:rFonts w:ascii="黑体" w:hAnsi="黑体" w:eastAsia="黑体"/>
          <w:sz w:val="32"/>
          <w:szCs w:val="32"/>
        </w:rPr>
      </w:pPr>
      <w:bookmarkStart w:id="32" w:name="_Toc234832861"/>
      <w:bookmarkStart w:id="33" w:name="_Toc517787494"/>
    </w:p>
    <w:p>
      <w:pPr>
        <w:spacing w:line="240" w:lineRule="auto"/>
        <w:jc w:val="center"/>
        <w:rPr>
          <w:rFonts w:ascii="黑体" w:hAnsi="黑体" w:eastAsia="黑体"/>
          <w:sz w:val="32"/>
          <w:szCs w:val="32"/>
        </w:rPr>
      </w:pPr>
    </w:p>
    <w:p>
      <w:pPr>
        <w:spacing w:line="240" w:lineRule="auto"/>
        <w:jc w:val="both"/>
        <w:rPr>
          <w:rFonts w:ascii="黑体" w:hAnsi="黑体" w:eastAsia="黑体"/>
          <w:sz w:val="32"/>
          <w:szCs w:val="32"/>
        </w:rPr>
      </w:pPr>
    </w:p>
    <w:p>
      <w:pPr>
        <w:pStyle w:val="4"/>
        <w:rPr>
          <w:rFonts w:ascii="黑体" w:hAnsi="黑体" w:eastAsia="黑体"/>
          <w:sz w:val="32"/>
          <w:szCs w:val="32"/>
        </w:rPr>
      </w:pPr>
      <w:bookmarkStart w:id="34" w:name="_Toc106039332"/>
      <w:r>
        <w:rPr>
          <w:rFonts w:hint="eastAsia" w:ascii="黑体" w:hAnsi="黑体" w:eastAsia="黑体"/>
          <w:sz w:val="32"/>
          <w:szCs w:val="32"/>
        </w:rPr>
        <w:t>第二章  供应商须知</w:t>
      </w:r>
      <w:bookmarkEnd w:id="32"/>
      <w:bookmarkEnd w:id="33"/>
      <w:bookmarkEnd w:id="34"/>
    </w:p>
    <w:p>
      <w:pPr>
        <w:pStyle w:val="3"/>
        <w:jc w:val="center"/>
        <w:rPr>
          <w:rFonts w:cs="仿宋" w:asciiTheme="minorEastAsia" w:hAnsiTheme="minorEastAsia" w:eastAsiaTheme="minorEastAsia"/>
          <w:sz w:val="30"/>
          <w:szCs w:val="30"/>
        </w:rPr>
      </w:pPr>
      <w:bookmarkStart w:id="35" w:name="_Toc517787495"/>
      <w:bookmarkStart w:id="36" w:name="_Toc234832862"/>
      <w:bookmarkStart w:id="37" w:name="_Toc106039333"/>
      <w:r>
        <w:rPr>
          <w:rFonts w:hint="eastAsia" w:cs="仿宋" w:asciiTheme="minorEastAsia" w:hAnsiTheme="minorEastAsia" w:eastAsiaTheme="minorEastAsia"/>
          <w:sz w:val="30"/>
          <w:szCs w:val="30"/>
        </w:rPr>
        <w:t>供应商须知前附表</w:t>
      </w:r>
      <w:bookmarkEnd w:id="35"/>
      <w:bookmarkEnd w:id="36"/>
      <w:bookmarkEnd w:id="37"/>
    </w:p>
    <w:tbl>
      <w:tblPr>
        <w:tblStyle w:val="42"/>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允许偏差的范围：不允许重大偏差，允许细微偏差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color w:val="FF0000"/>
                <w:sz w:val="24"/>
                <w:highlight w:val="yellow"/>
              </w:rPr>
              <w:t>截止时间：2022年</w:t>
            </w:r>
            <w:r>
              <w:rPr>
                <w:rFonts w:hint="eastAsia" w:cs="仿宋" w:asciiTheme="minorEastAsia" w:hAnsiTheme="minorEastAsia" w:eastAsiaTheme="minorEastAsia"/>
                <w:color w:val="FF0000"/>
                <w:sz w:val="24"/>
                <w:highlight w:val="yellow"/>
                <w:lang w:val="en-US" w:eastAsia="zh-CN"/>
              </w:rPr>
              <w:t>9</w:t>
            </w:r>
            <w:r>
              <w:rPr>
                <w:rFonts w:hint="eastAsia" w:cs="仿宋" w:asciiTheme="minorEastAsia" w:hAnsiTheme="minorEastAsia" w:eastAsiaTheme="minorEastAsia"/>
                <w:color w:val="FF0000"/>
                <w:sz w:val="24"/>
                <w:highlight w:val="yellow"/>
              </w:rPr>
              <w:t>月</w:t>
            </w:r>
            <w:r>
              <w:rPr>
                <w:rFonts w:hint="eastAsia" w:cs="仿宋" w:asciiTheme="minorEastAsia" w:hAnsiTheme="minorEastAsia" w:eastAsiaTheme="minorEastAsia"/>
                <w:color w:val="FF0000"/>
                <w:sz w:val="24"/>
                <w:highlight w:val="yellow"/>
                <w:lang w:val="en-US" w:eastAsia="zh-CN"/>
              </w:rPr>
              <w:t>21</w:t>
            </w:r>
            <w:r>
              <w:rPr>
                <w:rFonts w:hint="eastAsia" w:cs="仿宋" w:asciiTheme="minorEastAsia" w:hAnsiTheme="minorEastAsia" w:eastAsiaTheme="minorEastAsia"/>
                <w:color w:val="FF0000"/>
                <w:sz w:val="24"/>
                <w:highlight w:val="yellow"/>
              </w:rPr>
              <w:t>日</w:t>
            </w:r>
            <w:r>
              <w:rPr>
                <w:rFonts w:hint="eastAsia" w:cs="仿宋" w:asciiTheme="minorEastAsia" w:hAnsiTheme="minorEastAsia" w:eastAsiaTheme="minorEastAsia"/>
                <w:color w:val="FF0000"/>
                <w:sz w:val="24"/>
                <w:highlight w:val="yellow"/>
                <w:lang w:val="en-US" w:eastAsia="zh-CN"/>
              </w:rPr>
              <w:t>17</w:t>
            </w:r>
            <w:r>
              <w:rPr>
                <w:rFonts w:hint="eastAsia" w:cs="仿宋" w:asciiTheme="minorEastAsia" w:hAnsiTheme="minorEastAsia" w:eastAsiaTheme="minorEastAsia"/>
                <w:color w:val="FF0000"/>
                <w:sz w:val="24"/>
                <w:highlight w:val="yellow"/>
              </w:rPr>
              <w:t>时</w:t>
            </w:r>
            <w:r>
              <w:rPr>
                <w:rFonts w:hint="eastAsia" w:cs="仿宋" w:asciiTheme="minorEastAsia" w:hAnsiTheme="minorEastAsia" w:eastAsiaTheme="minorEastAsia"/>
                <w:color w:val="FF0000"/>
                <w:sz w:val="24"/>
                <w:highlight w:val="yellow"/>
                <w:lang w:val="en-US" w:eastAsia="zh-CN"/>
              </w:rPr>
              <w:t>30</w:t>
            </w:r>
            <w:r>
              <w:rPr>
                <w:rFonts w:hint="eastAsia" w:cs="仿宋" w:asciiTheme="minorEastAsia" w:hAnsiTheme="minorEastAsia" w:eastAsiaTheme="minorEastAsia"/>
                <w:color w:val="FF0000"/>
                <w:sz w:val="24"/>
                <w:highlight w:val="yellow"/>
              </w:rPr>
              <w:t>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FF0000"/>
                <w:sz w:val="24"/>
                <w:highlight w:val="yellow"/>
              </w:rPr>
            </w:pPr>
            <w:r>
              <w:rPr>
                <w:rFonts w:hint="eastAsia" w:cs="仿宋" w:asciiTheme="minorEastAsia" w:hAnsiTheme="minorEastAsia" w:eastAsiaTheme="minorEastAsia"/>
                <w:color w:val="FF0000"/>
                <w:sz w:val="24"/>
                <w:highlight w:val="yellow"/>
              </w:rPr>
              <w:t>确认的最晚时间：2022年</w:t>
            </w:r>
            <w:r>
              <w:rPr>
                <w:rFonts w:hint="eastAsia" w:cs="仿宋" w:asciiTheme="minorEastAsia" w:hAnsiTheme="minorEastAsia" w:eastAsiaTheme="minorEastAsia"/>
                <w:color w:val="FF0000"/>
                <w:sz w:val="24"/>
                <w:highlight w:val="yellow"/>
                <w:lang w:val="en-US" w:eastAsia="zh-CN"/>
              </w:rPr>
              <w:t>9</w:t>
            </w:r>
            <w:r>
              <w:rPr>
                <w:rFonts w:hint="eastAsia" w:cs="仿宋" w:asciiTheme="minorEastAsia" w:hAnsiTheme="minorEastAsia" w:eastAsiaTheme="minorEastAsia"/>
                <w:color w:val="FF0000"/>
                <w:sz w:val="24"/>
                <w:highlight w:val="yellow"/>
              </w:rPr>
              <w:t>月</w:t>
            </w:r>
            <w:r>
              <w:rPr>
                <w:rFonts w:hint="eastAsia" w:cs="仿宋" w:asciiTheme="minorEastAsia" w:hAnsiTheme="minorEastAsia" w:eastAsiaTheme="minorEastAsia"/>
                <w:color w:val="FF0000"/>
                <w:sz w:val="24"/>
                <w:highlight w:val="yellow"/>
                <w:lang w:val="en-US" w:eastAsia="zh-CN"/>
              </w:rPr>
              <w:t>21</w:t>
            </w:r>
            <w:r>
              <w:rPr>
                <w:rFonts w:hint="eastAsia" w:cs="仿宋" w:asciiTheme="minorEastAsia" w:hAnsiTheme="minorEastAsia" w:eastAsiaTheme="minorEastAsia"/>
                <w:color w:val="FF0000"/>
                <w:sz w:val="24"/>
                <w:highlight w:val="yellow"/>
              </w:rPr>
              <w:t>日</w:t>
            </w:r>
            <w:r>
              <w:rPr>
                <w:rFonts w:hint="eastAsia" w:cs="仿宋" w:asciiTheme="minorEastAsia" w:hAnsiTheme="minorEastAsia" w:eastAsiaTheme="minorEastAsia"/>
                <w:color w:val="FF0000"/>
                <w:sz w:val="24"/>
                <w:highlight w:val="yellow"/>
                <w:lang w:val="en-US" w:eastAsia="zh-CN"/>
              </w:rPr>
              <w:t>17</w:t>
            </w:r>
            <w:r>
              <w:rPr>
                <w:rFonts w:hint="eastAsia" w:cs="仿宋" w:asciiTheme="minorEastAsia" w:hAnsiTheme="minorEastAsia" w:eastAsiaTheme="minorEastAsia"/>
                <w:color w:val="FF0000"/>
                <w:sz w:val="24"/>
                <w:highlight w:val="yellow"/>
              </w:rPr>
              <w:t>时</w:t>
            </w:r>
            <w:r>
              <w:rPr>
                <w:rFonts w:hint="eastAsia" w:cs="仿宋" w:asciiTheme="minorEastAsia" w:hAnsiTheme="minorEastAsia" w:eastAsiaTheme="minorEastAsia"/>
                <w:color w:val="FF0000"/>
                <w:sz w:val="24"/>
                <w:highlight w:val="yellow"/>
                <w:lang w:val="en-US" w:eastAsia="zh-CN"/>
              </w:rPr>
              <w:t>30</w:t>
            </w:r>
            <w:r>
              <w:rPr>
                <w:rFonts w:hint="eastAsia" w:cs="仿宋" w:asciiTheme="minorEastAsia" w:hAnsiTheme="minorEastAsia" w:eastAsiaTheme="minorEastAsia"/>
                <w:color w:val="FF0000"/>
                <w:sz w:val="24"/>
                <w:highlight w:val="yellow"/>
              </w:rPr>
              <w:t>分。</w:t>
            </w:r>
          </w:p>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color w:val="FF0000"/>
                <w:sz w:val="24"/>
                <w:highlight w:val="yellow"/>
              </w:rPr>
              <w:t xml:space="preserve">确定的方式：收到纸质版文件为准    </w:t>
            </w:r>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有，最高限价</w:t>
            </w:r>
            <w:r>
              <w:rPr>
                <w:rFonts w:hint="eastAsia" w:cs="仿宋" w:asciiTheme="minorEastAsia" w:hAnsiTheme="minorEastAsia" w:eastAsiaTheme="minorEastAsia"/>
                <w:sz w:val="24"/>
                <w:lang w:val="en-US" w:eastAsia="zh-CN"/>
              </w:rPr>
              <w:t>493380.00</w:t>
            </w:r>
            <w:r>
              <w:rPr>
                <w:rFonts w:hint="eastAsia" w:cs="仿宋" w:asciiTheme="minorEastAsia" w:hAnsiTheme="minorEastAsia" w:eastAsiaTheme="minorEastAsia"/>
                <w:sz w:val="24"/>
              </w:rPr>
              <w:t>元，大写含税价：</w:t>
            </w:r>
            <w:r>
              <w:rPr>
                <w:rFonts w:hint="eastAsia" w:cs="仿宋" w:asciiTheme="minorEastAsia" w:hAnsiTheme="minorEastAsia" w:eastAsiaTheme="minorEastAsia"/>
                <w:sz w:val="24"/>
                <w:lang w:val="en-US" w:eastAsia="zh-CN"/>
              </w:rPr>
              <w:t>肆拾玖</w:t>
            </w:r>
            <w:r>
              <w:rPr>
                <w:rFonts w:hint="eastAsia" w:cs="仿宋" w:asciiTheme="minorEastAsia" w:hAnsiTheme="minorEastAsia" w:eastAsiaTheme="minorEastAsia"/>
                <w:sz w:val="24"/>
              </w:rPr>
              <w:t>万</w:t>
            </w:r>
            <w:r>
              <w:rPr>
                <w:rFonts w:hint="eastAsia" w:cs="仿宋" w:asciiTheme="minorEastAsia" w:hAnsiTheme="minorEastAsia" w:eastAsiaTheme="minorEastAsia"/>
                <w:sz w:val="24"/>
                <w:lang w:val="en-US" w:eastAsia="zh-CN"/>
              </w:rPr>
              <w:t>叁</w:t>
            </w:r>
            <w:r>
              <w:rPr>
                <w:rFonts w:hint="eastAsia" w:cs="仿宋" w:asciiTheme="minorEastAsia" w:hAnsiTheme="minorEastAsia" w:eastAsiaTheme="minorEastAsia"/>
                <w:sz w:val="24"/>
              </w:rPr>
              <w:t>仟叁佰</w:t>
            </w:r>
            <w:r>
              <w:rPr>
                <w:rFonts w:hint="eastAsia" w:cs="仿宋" w:asciiTheme="minorEastAsia" w:hAnsiTheme="minorEastAsia" w:eastAsiaTheme="minorEastAsia"/>
                <w:sz w:val="24"/>
                <w:lang w:val="en-US" w:eastAsia="zh-CN"/>
              </w:rPr>
              <w:t>捌</w:t>
            </w:r>
            <w:r>
              <w:rPr>
                <w:rFonts w:hint="eastAsia" w:cs="仿宋" w:asciiTheme="minorEastAsia" w:hAnsiTheme="minorEastAsia" w:eastAsiaTheme="minorEastAsia"/>
                <w:sz w:val="24"/>
              </w:rPr>
              <w:t>拾元。</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rPr>
            </w:pPr>
            <w:r>
              <w:rPr>
                <w:rStyle w:val="45"/>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rFonts w:hint="eastAsia"/>
                <w:sz w:val="24"/>
              </w:rPr>
              <w:sym w:font="Wingdings 2" w:char="00A3"/>
            </w:r>
            <w:r>
              <w:rPr>
                <w:rFonts w:hint="eastAsia"/>
                <w:sz w:val="24"/>
              </w:rPr>
              <w:t>不适用。</w:t>
            </w:r>
          </w:p>
          <w:p>
            <w:pPr>
              <w:spacing w:line="440" w:lineRule="exact"/>
              <w:rPr>
                <w:sz w:val="24"/>
              </w:rPr>
            </w:pPr>
            <w:r>
              <w:rPr>
                <w:rFonts w:hint="eastAsia"/>
                <w:sz w:val="24"/>
              </w:rPr>
              <w:sym w:font="Wingdings 2" w:char="0052"/>
            </w:r>
            <w:r>
              <w:rPr>
                <w:rFonts w:hint="eastAsia"/>
                <w:sz w:val="24"/>
              </w:rPr>
              <w:t>适用。在中华人民共和国合法注册、具有独立法人资格，具有有效的营业执照，符合本次招标采购项目的营业范围，有能力完成本次招标采购项目；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5"/>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color w:val="000000"/>
                <w:sz w:val="24"/>
              </w:rPr>
            </w:pPr>
            <w:r>
              <w:rPr>
                <w:rFonts w:hint="eastAsia"/>
                <w:sz w:val="24"/>
              </w:rPr>
              <w:sym w:font="Wingdings 2" w:char="00A3"/>
            </w:r>
            <w:r>
              <w:rPr>
                <w:sz w:val="24"/>
              </w:rPr>
              <w:t xml:space="preserve"> </w:t>
            </w:r>
            <w:r>
              <w:rPr>
                <w:rFonts w:hint="eastAsia" w:cs="宋体" w:asciiTheme="minorEastAsia" w:hAnsiTheme="minorEastAsia" w:eastAsiaTheme="minorEastAsia"/>
                <w:color w:val="000000"/>
                <w:sz w:val="24"/>
              </w:rPr>
              <w:t>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rPr>
            </w:pPr>
            <w:r>
              <w:rPr>
                <w:rStyle w:val="45"/>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widowControl w:val="0"/>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w:t>
            </w:r>
            <w:bookmarkStart w:id="38" w:name="OLE_LINK28"/>
            <w:bookmarkStart w:id="39" w:name="OLE_LINK29"/>
            <w:r>
              <w:rPr>
                <w:rFonts w:hint="eastAsia" w:cs="宋体" w:asciiTheme="minorEastAsia" w:hAnsiTheme="minorEastAsia" w:eastAsiaTheme="minorEastAsia"/>
                <w:color w:val="000000"/>
                <w:sz w:val="24"/>
              </w:rPr>
              <w:t>供应商在近3年内（从报价文件递交截止日期往前推算）至少承担过1项</w:t>
            </w:r>
            <w:r>
              <w:rPr>
                <w:rFonts w:hint="eastAsia" w:cs="宋体" w:asciiTheme="minorEastAsia" w:hAnsiTheme="minorEastAsia" w:eastAsiaTheme="minorEastAsia"/>
                <w:color w:val="000000"/>
                <w:sz w:val="24"/>
                <w:lang w:val="en-US" w:eastAsia="zh-CN"/>
              </w:rPr>
              <w:t>干雾除尘设备</w:t>
            </w:r>
            <w:r>
              <w:rPr>
                <w:rFonts w:hint="eastAsia" w:cs="宋体" w:asciiTheme="minorEastAsia" w:hAnsiTheme="minorEastAsia" w:eastAsiaTheme="minorEastAsia"/>
                <w:color w:val="000000"/>
                <w:sz w:val="24"/>
              </w:rPr>
              <w:t>采购项目，且单笔采购合同金额大于10万元。</w:t>
            </w:r>
            <w:bookmarkEnd w:id="38"/>
            <w:bookmarkEnd w:id="39"/>
            <w:r>
              <w:rPr>
                <w:rFonts w:hint="eastAsia" w:cs="宋体" w:asciiTheme="minorEastAsia" w:hAnsiTheme="minorEastAsia" w:eastAsiaTheme="minorEastAsia"/>
                <w:color w:val="000000"/>
                <w:sz w:val="24"/>
              </w:rPr>
              <w:t>供</w:t>
            </w:r>
            <w:r>
              <w:rPr>
                <w:rFonts w:hint="eastAsia" w:cs="宋体" w:asciiTheme="minorEastAsia" w:hAnsiTheme="minorEastAsia" w:eastAsiaTheme="minorEastAsia"/>
                <w:color w:val="000000" w:themeColor="text1"/>
                <w:sz w:val="24"/>
                <w14:textFill>
                  <w14:solidFill>
                    <w14:schemeClr w14:val="tx1"/>
                  </w14:solidFill>
                </w14:textFill>
              </w:rPr>
              <w:t>应</w:t>
            </w:r>
            <w:r>
              <w:rPr>
                <w:rFonts w:hint="eastAsia" w:cs="宋体" w:asciiTheme="minorEastAsia" w:hAnsiTheme="minorEastAsia" w:eastAsiaTheme="minorEastAsia"/>
                <w:color w:val="000000"/>
                <w:sz w:val="24"/>
              </w:rPr>
              <w:t>商应提供近年的类似项目情况表（格式见第六章“响应文件格式”五、资格审查资料（三）近年的类似项目情况表），以证明供应商具有承担本项目要求的业绩。近3年是指</w:t>
            </w:r>
            <w:r>
              <w:rPr>
                <w:rFonts w:hint="eastAsia" w:cs="宋体" w:asciiTheme="minorEastAsia" w:hAnsiTheme="minorEastAsia" w:eastAsiaTheme="minorEastAsia"/>
                <w:color w:val="000000"/>
                <w:sz w:val="24"/>
                <w:u w:val="single"/>
              </w:rPr>
              <w:t xml:space="preserve"> 2019年</w:t>
            </w:r>
            <w:r>
              <w:rPr>
                <w:rFonts w:hint="eastAsia" w:cs="宋体" w:asciiTheme="minorEastAsia" w:hAnsiTheme="minorEastAsia" w:eastAsiaTheme="minorEastAsia"/>
                <w:color w:val="000000"/>
                <w:sz w:val="24"/>
                <w:u w:val="single"/>
                <w:lang w:val="en-US" w:eastAsia="zh-CN"/>
              </w:rPr>
              <w:t>8</w:t>
            </w:r>
            <w:r>
              <w:rPr>
                <w:rFonts w:hint="eastAsia" w:cs="宋体" w:asciiTheme="minorEastAsia" w:hAnsiTheme="minorEastAsia" w:eastAsiaTheme="minorEastAsia"/>
                <w:color w:val="000000"/>
                <w:sz w:val="24"/>
                <w:u w:val="single"/>
              </w:rPr>
              <w:t xml:space="preserve">月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2022年</w:t>
            </w:r>
            <w:r>
              <w:rPr>
                <w:rFonts w:hint="eastAsia" w:cs="宋体" w:asciiTheme="minorEastAsia" w:hAnsiTheme="minorEastAsia" w:eastAsiaTheme="minorEastAsia"/>
                <w:color w:val="000000"/>
                <w:sz w:val="24"/>
                <w:u w:val="single"/>
                <w:lang w:val="en-US" w:eastAsia="zh-CN"/>
              </w:rPr>
              <w:t>8</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合同复印件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中标通知书/成交通知书复印件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 验收报告/验收证明复印件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pStyle w:val="18"/>
              <w:spacing w:after="0" w:line="312" w:lineRule="auto"/>
              <w:ind w:left="0" w:leftChars="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适用。供应商应提供相关信誉情况的证明材料，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适用。项目负责人须具备高级工程师、副教授或以上职称。供应商应提供拟委任的主要人员汇总表和主要人员简历表（格式见第六章“响应文件格式”五、资格审查资料（四）拟委任的主要人员汇总表和（五）主要人员简历表）。</w:t>
            </w:r>
          </w:p>
          <w:p>
            <w:pPr>
              <w:pStyle w:val="2"/>
              <w:spacing w:before="0" w:beforeAutospacing="0" w:after="0" w:afterAutospacing="0" w:line="288" w:lineRule="auto"/>
              <w:rPr>
                <w:rFonts w:cs="宋体" w:asciiTheme="minorEastAsia" w:hAnsiTheme="minorEastAsia" w:eastAsiaTheme="minorEastAsia"/>
                <w:b w:val="0"/>
                <w:bCs w:val="0"/>
                <w:color w:val="000000"/>
                <w:kern w:val="2"/>
                <w:sz w:val="24"/>
                <w:szCs w:val="24"/>
              </w:rPr>
            </w:pPr>
            <w:bookmarkStart w:id="40" w:name="_Toc106039334"/>
            <w:r>
              <w:rPr>
                <w:rFonts w:hint="eastAsia" w:cs="宋体" w:asciiTheme="minorEastAsia" w:hAnsiTheme="minorEastAsia" w:eastAsiaTheme="minorEastAsia"/>
                <w:b w:val="0"/>
                <w:bCs w:val="0"/>
                <w:color w:val="000000"/>
                <w:kern w:val="2"/>
                <w:sz w:val="24"/>
                <w:szCs w:val="24"/>
              </w:rPr>
              <w:t>人员证明材料：</w:t>
            </w:r>
            <w:bookmarkEnd w:id="40"/>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职称证书复印件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中标通知书/成交通知书复印件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 验收报告/验收证明复印件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人们证明材料种类要求：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需同时提供上述勾选的所有证明材料</w:t>
            </w:r>
          </w:p>
          <w:p>
            <w:pPr>
              <w:spacing w:line="288" w:lineRule="auto"/>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提供承诺函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提供纸质版响应文件三份：一正两副          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不要求</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u w:val="single"/>
              </w:rPr>
              <w:t xml:space="preserve">（项目名称）响应文件、联系方式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截止</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2022年</w:t>
            </w:r>
            <w:r>
              <w:rPr>
                <w:rFonts w:hint="eastAsia" w:cs="宋体" w:asciiTheme="minorEastAsia" w:hAnsiTheme="minorEastAsia" w:eastAsiaTheme="minorEastAsia"/>
                <w:sz w:val="24"/>
                <w:u w:val="single"/>
                <w:lang w:val="en-US" w:eastAsia="zh-CN"/>
              </w:rPr>
              <w:t>9</w:t>
            </w:r>
            <w:r>
              <w:rPr>
                <w:rFonts w:hint="eastAsia" w:cs="宋体" w:asciiTheme="minorEastAsia" w:hAnsiTheme="minorEastAsia" w:eastAsiaTheme="minorEastAsia"/>
                <w:sz w:val="24"/>
                <w:u w:val="single"/>
              </w:rPr>
              <w:t>月</w:t>
            </w:r>
            <w:r>
              <w:rPr>
                <w:rFonts w:hint="eastAsia" w:cs="宋体" w:asciiTheme="minorEastAsia" w:hAnsiTheme="minorEastAsia" w:eastAsiaTheme="minorEastAsia"/>
                <w:sz w:val="24"/>
                <w:u w:val="single"/>
                <w:lang w:val="en-US" w:eastAsia="zh-CN"/>
              </w:rPr>
              <w:t>21</w:t>
            </w:r>
            <w:r>
              <w:rPr>
                <w:rFonts w:hint="eastAsia" w:cs="宋体" w:asciiTheme="minorEastAsia" w:hAnsiTheme="minorEastAsia" w:eastAsiaTheme="minorEastAsia"/>
                <w:sz w:val="24"/>
                <w:u w:val="single"/>
              </w:rPr>
              <w:t>日</w:t>
            </w:r>
            <w:r>
              <w:rPr>
                <w:rFonts w:hint="eastAsia" w:cs="宋体" w:asciiTheme="minorEastAsia" w:hAnsiTheme="minorEastAsia" w:eastAsiaTheme="minorEastAsia"/>
                <w:sz w:val="24"/>
                <w:u w:val="single"/>
                <w:lang w:val="en-US" w:eastAsia="zh-CN"/>
              </w:rPr>
              <w:t>17</w:t>
            </w:r>
            <w:r>
              <w:rPr>
                <w:rFonts w:hint="eastAsia" w:cs="宋体" w:asciiTheme="minorEastAsia" w:hAnsiTheme="minorEastAsia" w:eastAsiaTheme="minorEastAsia"/>
                <w:sz w:val="24"/>
                <w:u w:val="single"/>
              </w:rPr>
              <w:t>时</w:t>
            </w:r>
            <w:r>
              <w:rPr>
                <w:rFonts w:hint="eastAsia" w:cs="宋体" w:asciiTheme="minorEastAsia" w:hAnsiTheme="minorEastAsia" w:eastAsiaTheme="minorEastAsia"/>
                <w:sz w:val="24"/>
                <w:u w:val="single"/>
                <w:lang w:val="en-US" w:eastAsia="zh-CN"/>
              </w:rPr>
              <w:t>30</w:t>
            </w:r>
            <w:r>
              <w:rPr>
                <w:rFonts w:hint="eastAsia" w:cs="宋体" w:asciiTheme="minorEastAsia" w:hAnsiTheme="minorEastAsia" w:eastAsiaTheme="minorEastAsia"/>
                <w:sz w:val="24"/>
                <w:u w:val="single"/>
              </w:rPr>
              <w:t xml:space="preserve">分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递交响应文件的地点：</w:t>
            </w:r>
            <w:r>
              <w:rPr>
                <w:rFonts w:hint="eastAsia" w:cs="宋体" w:asciiTheme="minorEastAsia" w:hAnsiTheme="minorEastAsia" w:eastAsiaTheme="minorEastAsia"/>
                <w:color w:val="000000"/>
                <w:sz w:val="24"/>
                <w:u w:val="single"/>
              </w:rPr>
              <w:t xml:space="preserve"> </w:t>
            </w:r>
            <w:r>
              <w:rPr>
                <w:rFonts w:hint="eastAsia" w:asciiTheme="minorEastAsia" w:hAnsiTheme="minorEastAsia" w:eastAsiaTheme="minorEastAsia"/>
                <w:snapToGrid w:val="0"/>
                <w:sz w:val="24"/>
                <w:u w:val="single"/>
              </w:rPr>
              <w:t>岳阳市云溪区沿江西路50米湖南省港务集团信息化大楼</w:t>
            </w:r>
            <w:r>
              <w:rPr>
                <w:rFonts w:hint="eastAsia"/>
                <w:color w:val="000000" w:themeColor="text1"/>
                <w:sz w:val="24"/>
                <w:u w:val="single"/>
                <w14:textFill>
                  <w14:solidFill>
                    <w14:schemeClr w14:val="tx1"/>
                  </w14:solidFill>
                </w14:textFill>
              </w:rPr>
              <w:t>30</w:t>
            </w:r>
            <w:r>
              <w:rPr>
                <w:rFonts w:hint="eastAsia"/>
                <w:color w:val="000000" w:themeColor="text1"/>
                <w:sz w:val="24"/>
                <w:u w:val="single"/>
                <w:lang w:val="en-US" w:eastAsia="zh-CN"/>
                <w14:textFill>
                  <w14:solidFill>
                    <w14:schemeClr w14:val="tx1"/>
                  </w14:solidFill>
                </w14:textFill>
              </w:rPr>
              <w:t>5</w:t>
            </w:r>
            <w:r>
              <w:rPr>
                <w:rFonts w:hint="eastAsia"/>
                <w:color w:val="000000" w:themeColor="text1"/>
                <w:sz w:val="24"/>
                <w:u w:val="single"/>
                <w14:textFill>
                  <w14:solidFill>
                    <w14:schemeClr w14:val="tx1"/>
                  </w14:solidFill>
                </w14:textFill>
              </w:rPr>
              <w:t>室</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1-3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ascii="宋体" w:hAnsi="宋体" w:cs="宋体"/>
                <w:sz w:val="24"/>
              </w:rPr>
              <w:t>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湖南省港务集团纪检监察部                 </w:t>
            </w:r>
          </w:p>
          <w:p>
            <w:pPr>
              <w:spacing w:line="288" w:lineRule="auto"/>
              <w:jc w:val="both"/>
              <w:rPr>
                <w:highlight w:val="yellow"/>
                <w:lang w:val="zh-CN"/>
              </w:rPr>
            </w:pPr>
            <w:r>
              <w:rPr>
                <w:rFonts w:hint="eastAsia" w:cs="宋体" w:asciiTheme="minorEastAsia" w:hAnsiTheme="minorEastAsia" w:eastAsiaTheme="minorEastAsia"/>
                <w:color w:val="000000"/>
                <w:sz w:val="24"/>
              </w:rPr>
              <w:t>联系电话：</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zh-CN"/>
              </w:rPr>
              <w:t>0730-</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zh-CN"/>
              </w:rPr>
              <w:t>8426255</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 xml:space="preserve">湖南省岳阳市云溪区沿江西路50米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□要求承担</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费用标准或金额：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交费时间：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交费方式：</w:t>
            </w:r>
            <w:r>
              <w:rPr>
                <w:rFonts w:hint="eastAsia" w:cs="宋体" w:asciiTheme="minorEastAsia" w:hAnsiTheme="minorEastAsia" w:eastAsiaTheme="minorEastAsia"/>
                <w:color w:val="000000"/>
                <w:sz w:val="24"/>
                <w:u w:val="single"/>
              </w:rPr>
              <w:t xml:space="preserve">                  </w:t>
            </w:r>
          </w:p>
        </w:tc>
      </w:tr>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r>
        <w:rPr>
          <w:rFonts w:hint="eastAsia" w:ascii="华文中宋" w:hAnsi="华文中宋" w:eastAsia="华文中宋" w:cs="仿宋"/>
          <w:b/>
          <w:bCs/>
          <w:sz w:val="30"/>
          <w:szCs w:val="30"/>
        </w:rPr>
        <w:t>第二章 供应商须知正文</w:t>
      </w:r>
    </w:p>
    <w:p>
      <w:pPr>
        <w:pStyle w:val="3"/>
        <w:spacing w:before="0" w:beforeAutospacing="0" w:after="0" w:afterAutospacing="0"/>
        <w:rPr>
          <w:rFonts w:cs="仿宋"/>
          <w:bCs w:val="0"/>
          <w:sz w:val="24"/>
        </w:rPr>
      </w:pPr>
      <w:bookmarkStart w:id="41" w:name="_Toc106039335"/>
      <w:r>
        <w:rPr>
          <w:rFonts w:hint="eastAsia" w:cs="仿宋"/>
          <w:bCs w:val="0"/>
          <w:sz w:val="24"/>
        </w:rPr>
        <w:t>1 总则</w:t>
      </w:r>
      <w:bookmarkEnd w:id="41"/>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5"/>
        <w:spacing w:beforeLines="0" w:afterLines="0" w:line="312" w:lineRule="auto"/>
        <w:ind w:left="426" w:firstLine="48" w:firstLineChars="20"/>
        <w:jc w:val="both"/>
        <w:outlineLvl w:val="9"/>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9"/>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9"/>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9"/>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9"/>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69"/>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69"/>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pStyle w:val="3"/>
        <w:spacing w:before="0" w:beforeAutospacing="0" w:after="0" w:afterAutospacing="0"/>
        <w:rPr>
          <w:rFonts w:cs="仿宋"/>
          <w:bCs w:val="0"/>
          <w:sz w:val="24"/>
        </w:rPr>
      </w:pPr>
      <w:bookmarkStart w:id="42" w:name="_Toc106039336"/>
      <w:r>
        <w:rPr>
          <w:rFonts w:hint="eastAsia" w:cs="仿宋"/>
          <w:bCs w:val="0"/>
          <w:sz w:val="24"/>
        </w:rPr>
        <w:t>2采购文件</w:t>
      </w:r>
      <w:bookmarkEnd w:id="42"/>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pStyle w:val="3"/>
        <w:spacing w:before="0" w:beforeAutospacing="0" w:after="0" w:afterAutospacing="0"/>
        <w:rPr>
          <w:rFonts w:cs="仿宋"/>
          <w:bCs w:val="0"/>
          <w:sz w:val="24"/>
        </w:rPr>
      </w:pPr>
      <w:bookmarkStart w:id="43" w:name="_Toc106039337"/>
      <w:r>
        <w:rPr>
          <w:rFonts w:hint="eastAsia" w:cs="仿宋"/>
          <w:bCs w:val="0"/>
          <w:sz w:val="24"/>
        </w:rPr>
        <w:t>3响应文件</w:t>
      </w:r>
      <w:bookmarkEnd w:id="43"/>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pStyle w:val="3"/>
        <w:spacing w:before="0" w:beforeAutospacing="0" w:after="0" w:afterAutospacing="0"/>
        <w:rPr>
          <w:rFonts w:cs="仿宋"/>
          <w:bCs w:val="0"/>
          <w:sz w:val="24"/>
        </w:rPr>
      </w:pPr>
      <w:bookmarkStart w:id="44" w:name="_Toc106039338"/>
      <w:r>
        <w:rPr>
          <w:rFonts w:hint="eastAsia" w:cs="仿宋"/>
          <w:bCs w:val="0"/>
          <w:sz w:val="24"/>
        </w:rPr>
        <w:t>4响应文件的递交</w:t>
      </w:r>
      <w:bookmarkEnd w:id="44"/>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pStyle w:val="3"/>
        <w:spacing w:before="0" w:beforeAutospacing="0" w:after="0" w:afterAutospacing="0"/>
        <w:rPr>
          <w:rFonts w:cs="仿宋"/>
          <w:bCs w:val="0"/>
          <w:sz w:val="24"/>
        </w:rPr>
      </w:pPr>
      <w:bookmarkStart w:id="45" w:name="_Toc106039339"/>
      <w:r>
        <w:rPr>
          <w:rFonts w:hint="eastAsia" w:cs="仿宋"/>
          <w:bCs w:val="0"/>
          <w:sz w:val="24"/>
        </w:rPr>
        <w:t>5开启响应文件</w:t>
      </w:r>
      <w:bookmarkEnd w:id="45"/>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pStyle w:val="3"/>
        <w:spacing w:before="0" w:beforeAutospacing="0" w:after="0" w:afterAutospacing="0"/>
        <w:rPr>
          <w:rFonts w:cs="仿宋"/>
          <w:bCs w:val="0"/>
          <w:sz w:val="24"/>
        </w:rPr>
      </w:pPr>
      <w:bookmarkStart w:id="46" w:name="_Toc106039340"/>
      <w:r>
        <w:rPr>
          <w:rFonts w:hint="eastAsia" w:cs="仿宋"/>
          <w:bCs w:val="0"/>
          <w:sz w:val="24"/>
        </w:rPr>
        <w:t>6评审（适用于询价采购）</w:t>
      </w:r>
      <w:bookmarkEnd w:id="46"/>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pStyle w:val="3"/>
        <w:spacing w:before="0" w:beforeAutospacing="0" w:after="0" w:afterAutospacing="0"/>
        <w:rPr>
          <w:rFonts w:cs="仿宋"/>
          <w:bCs w:val="0"/>
          <w:sz w:val="24"/>
        </w:rPr>
      </w:pPr>
      <w:bookmarkStart w:id="47" w:name="_Toc106039341"/>
      <w:r>
        <w:rPr>
          <w:rFonts w:hint="eastAsia" w:cs="仿宋"/>
          <w:bCs w:val="0"/>
          <w:sz w:val="24"/>
        </w:rPr>
        <w:t>7合同授予</w:t>
      </w:r>
      <w:bookmarkEnd w:id="47"/>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48" w:name="_Toc24135"/>
      <w:r>
        <w:rPr>
          <w:rFonts w:hint="eastAsia" w:ascii="宋体" w:hAnsi="宋体" w:cs="宋体"/>
          <w:b/>
          <w:bCs/>
          <w:sz w:val="24"/>
        </w:rPr>
        <w:t>7.3成交结果异议</w:t>
      </w:r>
      <w:bookmarkEnd w:id="48"/>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pStyle w:val="3"/>
        <w:spacing w:before="0" w:beforeAutospacing="0" w:after="0" w:afterAutospacing="0"/>
        <w:rPr>
          <w:rFonts w:cs="仿宋"/>
          <w:bCs w:val="0"/>
          <w:sz w:val="24"/>
        </w:rPr>
      </w:pPr>
      <w:bookmarkStart w:id="49" w:name="_Toc106039342"/>
      <w:r>
        <w:rPr>
          <w:rFonts w:hint="eastAsia" w:cs="仿宋"/>
          <w:bCs w:val="0"/>
          <w:sz w:val="24"/>
        </w:rPr>
        <w:t>8异议</w:t>
      </w:r>
      <w:bookmarkEnd w:id="49"/>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pStyle w:val="3"/>
        <w:spacing w:before="0" w:beforeAutospacing="0" w:after="0" w:afterAutospacing="0"/>
        <w:rPr>
          <w:rFonts w:cs="仿宋"/>
          <w:bCs w:val="0"/>
          <w:sz w:val="24"/>
        </w:rPr>
      </w:pPr>
      <w:bookmarkStart w:id="50" w:name="_Toc106039343"/>
      <w:r>
        <w:rPr>
          <w:rFonts w:hint="eastAsia" w:cs="仿宋"/>
          <w:bCs w:val="0"/>
          <w:sz w:val="24"/>
        </w:rPr>
        <w:t>9纪律要求</w:t>
      </w:r>
      <w:bookmarkEnd w:id="50"/>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pStyle w:val="3"/>
        <w:spacing w:before="0" w:beforeAutospacing="0" w:after="0" w:afterAutospacing="0"/>
        <w:rPr>
          <w:rFonts w:cs="仿宋"/>
          <w:bCs w:val="0"/>
          <w:sz w:val="24"/>
        </w:rPr>
      </w:pPr>
      <w:bookmarkStart w:id="51" w:name="_Toc106039344"/>
      <w:r>
        <w:rPr>
          <w:rFonts w:hint="eastAsia" w:cs="仿宋"/>
          <w:bCs w:val="0"/>
          <w:sz w:val="24"/>
        </w:rPr>
        <w:t>10</w:t>
      </w:r>
      <w:r>
        <w:rPr>
          <w:rFonts w:cs="仿宋"/>
          <w:bCs w:val="0"/>
          <w:sz w:val="24"/>
        </w:rPr>
        <w:t xml:space="preserve"> </w:t>
      </w:r>
      <w:r>
        <w:rPr>
          <w:rFonts w:hint="eastAsia" w:cs="仿宋"/>
          <w:bCs w:val="0"/>
          <w:sz w:val="24"/>
        </w:rPr>
        <w:t>需要补充的其他内容</w:t>
      </w:r>
      <w:bookmarkEnd w:id="51"/>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pStyle w:val="3"/>
        <w:rPr>
          <w:rFonts w:cs="仿宋"/>
          <w:sz w:val="30"/>
          <w:szCs w:val="30"/>
        </w:rPr>
      </w:pPr>
      <w:bookmarkStart w:id="52" w:name="_Toc106039345"/>
      <w:r>
        <w:rPr>
          <w:rFonts w:hint="eastAsia" w:cs="仿宋"/>
          <w:sz w:val="30"/>
          <w:szCs w:val="30"/>
        </w:rPr>
        <w:t>附件1  开启记录表</w:t>
      </w:r>
      <w:bookmarkEnd w:id="52"/>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3"/>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pStyle w:val="3"/>
        <w:rPr>
          <w:rFonts w:cs="仿宋"/>
          <w:sz w:val="30"/>
          <w:szCs w:val="30"/>
        </w:rPr>
      </w:pPr>
      <w:bookmarkStart w:id="53" w:name="_Toc106039346"/>
      <w:r>
        <w:rPr>
          <w:rFonts w:hint="eastAsia" w:cs="仿宋"/>
          <w:sz w:val="30"/>
          <w:szCs w:val="30"/>
        </w:rPr>
        <w:t>附件2  问题澄清通知</w:t>
      </w:r>
      <w:bookmarkEnd w:id="53"/>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3"/>
        <w:rPr>
          <w:rFonts w:cs="仿宋"/>
          <w:sz w:val="30"/>
          <w:szCs w:val="30"/>
        </w:rPr>
      </w:pPr>
      <w:bookmarkStart w:id="54" w:name="_Toc106039347"/>
      <w:r>
        <w:rPr>
          <w:rFonts w:hint="eastAsia" w:cs="仿宋"/>
          <w:sz w:val="30"/>
          <w:szCs w:val="30"/>
        </w:rPr>
        <w:t>附件3  问题的澄清</w:t>
      </w:r>
      <w:bookmarkEnd w:id="54"/>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pStyle w:val="3"/>
        <w:rPr>
          <w:rFonts w:cs="仿宋"/>
          <w:sz w:val="30"/>
          <w:szCs w:val="30"/>
        </w:rPr>
      </w:pPr>
      <w:bookmarkStart w:id="55" w:name="_Toc106039348"/>
      <w:r>
        <w:rPr>
          <w:rFonts w:hint="eastAsia" w:cs="仿宋"/>
          <w:sz w:val="30"/>
          <w:szCs w:val="30"/>
        </w:rPr>
        <w:t>附件4  成交通知书</w:t>
      </w:r>
      <w:bookmarkEnd w:id="55"/>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3"/>
        <w:rPr>
          <w:rFonts w:cs="仿宋"/>
          <w:sz w:val="30"/>
          <w:szCs w:val="30"/>
        </w:rPr>
      </w:pPr>
      <w:bookmarkStart w:id="56" w:name="_Toc106039349"/>
      <w:r>
        <w:rPr>
          <w:rFonts w:hint="eastAsia" w:cs="仿宋"/>
          <w:sz w:val="30"/>
          <w:szCs w:val="30"/>
        </w:rPr>
        <w:t>附件5  确认通知</w:t>
      </w:r>
      <w:bookmarkEnd w:id="56"/>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0"/>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pStyle w:val="4"/>
        <w:spacing w:before="0" w:after="0"/>
        <w:jc w:val="center"/>
        <w:rPr>
          <w:rFonts w:ascii="黑体" w:hAnsi="黑体" w:eastAsia="黑体" w:cs="仿宋"/>
          <w:bCs w:val="0"/>
          <w:sz w:val="36"/>
          <w:szCs w:val="36"/>
        </w:rPr>
      </w:pPr>
      <w:bookmarkStart w:id="57" w:name="_Toc106039350"/>
      <w:bookmarkStart w:id="58" w:name="_Toc76635709"/>
      <w:bookmarkStart w:id="59" w:name="_Toc77254130"/>
      <w:r>
        <w:rPr>
          <w:rFonts w:hint="eastAsia" w:ascii="黑体" w:hAnsi="黑体" w:eastAsia="黑体" w:cs="仿宋"/>
          <w:bCs w:val="0"/>
          <w:sz w:val="36"/>
          <w:szCs w:val="36"/>
        </w:rPr>
        <w:t>第三章 评审办法</w:t>
      </w:r>
      <w:bookmarkEnd w:id="57"/>
    </w:p>
    <w:p>
      <w:pPr>
        <w:pStyle w:val="3"/>
        <w:spacing w:before="0" w:beforeAutospacing="0" w:after="0" w:afterAutospacing="0"/>
        <w:jc w:val="center"/>
        <w:rPr>
          <w:rFonts w:ascii="黑体" w:hAnsi="黑体" w:eastAsia="黑体" w:cs="仿宋"/>
          <w:bCs w:val="0"/>
          <w:sz w:val="32"/>
          <w:szCs w:val="32"/>
        </w:rPr>
      </w:pPr>
      <w:bookmarkStart w:id="60" w:name="_Toc106039351"/>
      <w:r>
        <w:rPr>
          <w:rFonts w:hint="eastAsia" w:ascii="黑体" w:hAnsi="黑体" w:eastAsia="黑体" w:cs="仿宋"/>
          <w:bCs w:val="0"/>
          <w:sz w:val="32"/>
          <w:szCs w:val="32"/>
        </w:rPr>
        <w:t>评审办法前附表</w:t>
      </w:r>
      <w:bookmarkEnd w:id="60"/>
    </w:p>
    <w:tbl>
      <w:tblPr>
        <w:tblStyle w:val="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采购要求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权利义务</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ascii="宋体" w:hAnsi="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1270" w:type="dxa"/>
          </w:tcPr>
          <w:p>
            <w:pPr>
              <w:widowControl w:val="0"/>
              <w:adjustRightInd w:val="0"/>
              <w:snapToGrid w:val="0"/>
              <w:spacing w:line="288" w:lineRule="auto"/>
              <w:jc w:val="both"/>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3</w:t>
            </w:r>
          </w:p>
        </w:tc>
        <w:tc>
          <w:tcPr>
            <w:tcW w:w="2825" w:type="dxa"/>
            <w:gridSpan w:val="2"/>
            <w:vAlign w:val="center"/>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定标</w:t>
            </w:r>
          </w:p>
        </w:tc>
        <w:tc>
          <w:tcPr>
            <w:tcW w:w="5676" w:type="dxa"/>
          </w:tcPr>
          <w:p>
            <w:pPr>
              <w:widowControl w:val="0"/>
              <w:adjustRightInd w:val="0"/>
              <w:snapToGrid w:val="0"/>
              <w:spacing w:line="288" w:lineRule="auto"/>
              <w:jc w:val="both"/>
              <w:rPr>
                <w:rFonts w:ascii="宋体" w:hAnsi="宋体" w:cs="宋体"/>
                <w:szCs w:val="21"/>
              </w:rPr>
            </w:pPr>
            <w:r>
              <w:rPr>
                <w:rFonts w:hint="eastAsia" w:ascii="宋体" w:hAnsi="宋体" w:cs="宋体"/>
                <w:szCs w:val="21"/>
              </w:rPr>
              <w:t>中标候选人确定方式：从合格的报价人当中，按照报价由低到高的顺序确定中标候选人，报价最低者为第一中标候选人，</w:t>
            </w:r>
            <w:r>
              <w:rPr>
                <w:rFonts w:hint="eastAsia" w:ascii="宋体" w:hAnsi="宋体"/>
                <w:szCs w:val="21"/>
              </w:rPr>
              <w:t>评标价低于理论成本价视为废标</w:t>
            </w:r>
            <w:r>
              <w:rPr>
                <w:rFonts w:hint="eastAsia" w:ascii="宋体" w:hAnsi="宋体" w:cs="宋体"/>
                <w:szCs w:val="21"/>
              </w:rPr>
              <w:t>。</w:t>
            </w:r>
          </w:p>
        </w:tc>
      </w:tr>
    </w:tbl>
    <w:p>
      <w:pPr>
        <w:spacing w:line="288" w:lineRule="auto"/>
        <w:jc w:val="both"/>
        <w:rPr>
          <w:rFonts w:ascii="宋体" w:hAnsi="宋体" w:cs="仿宋"/>
          <w:sz w:val="24"/>
        </w:rPr>
      </w:pPr>
      <w:r>
        <w:rPr>
          <w:rFonts w:hint="eastAsia" w:ascii="宋体" w:hAnsi="宋体" w:cs="仿宋"/>
          <w:sz w:val="24"/>
        </w:rPr>
        <w:br w:type="page"/>
      </w:r>
    </w:p>
    <w:p>
      <w:pPr>
        <w:pStyle w:val="3"/>
        <w:spacing w:before="0" w:beforeAutospacing="0" w:after="0" w:afterAutospacing="0"/>
        <w:jc w:val="center"/>
        <w:rPr>
          <w:rFonts w:cs="仿宋"/>
          <w:bCs w:val="0"/>
        </w:rPr>
      </w:pPr>
      <w:bookmarkStart w:id="61" w:name="_Toc106039352"/>
      <w:r>
        <w:rPr>
          <w:rFonts w:hint="eastAsia" w:cs="仿宋"/>
          <w:bCs w:val="0"/>
        </w:rPr>
        <w:t>评审办法正文</w:t>
      </w:r>
      <w:bookmarkEnd w:id="61"/>
    </w:p>
    <w:p>
      <w:pPr>
        <w:pStyle w:val="3"/>
        <w:spacing w:before="0" w:beforeAutospacing="0" w:after="0" w:afterAutospacing="0"/>
        <w:rPr>
          <w:rFonts w:cs="仿宋"/>
          <w:bCs w:val="0"/>
          <w:sz w:val="24"/>
        </w:rPr>
      </w:pPr>
      <w:bookmarkStart w:id="62" w:name="_Toc106039353"/>
      <w:r>
        <w:rPr>
          <w:rFonts w:hint="eastAsia" w:cs="仿宋"/>
          <w:bCs w:val="0"/>
          <w:sz w:val="24"/>
        </w:rPr>
        <w:t>1评审方法(最低价法)</w:t>
      </w:r>
      <w:bookmarkEnd w:id="62"/>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评标价低于理论成本价视为废标。</w:t>
      </w:r>
    </w:p>
    <w:p>
      <w:pPr>
        <w:pStyle w:val="3"/>
        <w:spacing w:before="0" w:beforeAutospacing="0" w:after="0" w:afterAutospacing="0"/>
        <w:rPr>
          <w:rFonts w:cs="仿宋"/>
          <w:bCs w:val="0"/>
          <w:sz w:val="24"/>
        </w:rPr>
      </w:pPr>
      <w:bookmarkStart w:id="63" w:name="_Toc106039354"/>
      <w:r>
        <w:rPr>
          <w:rFonts w:hint="eastAsia" w:cs="仿宋"/>
          <w:bCs w:val="0"/>
          <w:sz w:val="24"/>
        </w:rPr>
        <w:t>2初步评审标准和程序</w:t>
      </w:r>
      <w:bookmarkEnd w:id="63"/>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pStyle w:val="3"/>
        <w:spacing w:before="0" w:beforeAutospacing="0" w:after="0" w:afterAutospacing="0"/>
        <w:rPr>
          <w:rFonts w:cs="仿宋"/>
          <w:bCs w:val="0"/>
          <w:sz w:val="24"/>
        </w:rPr>
      </w:pPr>
      <w:bookmarkStart w:id="64" w:name="_Toc106039355"/>
      <w:r>
        <w:rPr>
          <w:rFonts w:hint="eastAsia" w:cs="仿宋"/>
          <w:bCs w:val="0"/>
          <w:sz w:val="24"/>
        </w:rPr>
        <w:t>3详细评审标准和程序(最低价法)</w:t>
      </w:r>
      <w:bookmarkEnd w:id="64"/>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理论成本价：见评审办法前附表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定标：评审小组对评审价格进行比较后，按照评审价格由低到高的顺序对供应商排序。供应商评审价格相等时，按照评审办法前附表的规定确定供应商优先顺序，评标价低于理论成本价视为废标。</w:t>
      </w:r>
    </w:p>
    <w:p>
      <w:pPr>
        <w:pStyle w:val="3"/>
        <w:spacing w:before="0" w:beforeAutospacing="0" w:after="0" w:afterAutospacing="0"/>
        <w:rPr>
          <w:rFonts w:cs="仿宋"/>
          <w:bCs w:val="0"/>
          <w:sz w:val="24"/>
        </w:rPr>
      </w:pPr>
      <w:bookmarkStart w:id="65" w:name="_Toc106039356"/>
      <w:r>
        <w:rPr>
          <w:rFonts w:hint="eastAsia" w:cs="仿宋"/>
          <w:bCs w:val="0"/>
          <w:sz w:val="24"/>
        </w:rPr>
        <w:t>4评审结果</w:t>
      </w:r>
      <w:bookmarkEnd w:id="65"/>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bookmarkEnd w:id="58"/>
    <w:bookmarkEnd w:id="59"/>
    <w:p>
      <w:pPr>
        <w:spacing w:line="240" w:lineRule="auto"/>
        <w:rPr>
          <w:rFonts w:ascii="黑体" w:hAnsi="黑体" w:eastAsia="黑体" w:cs="仿宋"/>
          <w:b/>
          <w:color w:val="000000"/>
          <w:kern w:val="0"/>
          <w:sz w:val="36"/>
          <w:szCs w:val="36"/>
        </w:rPr>
      </w:pPr>
      <w:r>
        <w:rPr>
          <w:rFonts w:ascii="黑体" w:hAnsi="黑体" w:eastAsia="黑体" w:cs="仿宋"/>
          <w:b/>
          <w:color w:val="000000"/>
          <w:sz w:val="36"/>
          <w:szCs w:val="36"/>
        </w:rPr>
        <w:br w:type="page"/>
      </w:r>
    </w:p>
    <w:p>
      <w:pPr>
        <w:pStyle w:val="80"/>
        <w:spacing w:line="600" w:lineRule="exact"/>
        <w:ind w:left="420" w:firstLine="0" w:firstLineChars="0"/>
        <w:jc w:val="center"/>
        <w:outlineLvl w:val="0"/>
        <w:rPr>
          <w:rFonts w:ascii="黑体" w:hAnsi="黑体" w:eastAsia="黑体" w:cs="仿宋"/>
          <w:b/>
          <w:color w:val="000000"/>
          <w:sz w:val="36"/>
          <w:szCs w:val="36"/>
        </w:rPr>
      </w:pPr>
      <w:bookmarkStart w:id="66" w:name="_Toc106039357"/>
      <w:r>
        <w:rPr>
          <w:rFonts w:hint="eastAsia" w:ascii="黑体" w:hAnsi="黑体" w:eastAsia="黑体" w:cs="仿宋"/>
          <w:b/>
          <w:color w:val="000000"/>
          <w:sz w:val="36"/>
          <w:szCs w:val="36"/>
        </w:rPr>
        <w:t>第四章  合同条款及格式</w:t>
      </w:r>
      <w:bookmarkEnd w:id="66"/>
    </w:p>
    <w:p>
      <w:pPr>
        <w:spacing w:line="312" w:lineRule="auto"/>
        <w:ind w:firstLine="544" w:firstLineChars="227"/>
        <w:jc w:val="both"/>
        <w:rPr>
          <w:rFonts w:cs="仿宋" w:asciiTheme="minorEastAsia" w:hAnsiTheme="minorEastAsia" w:eastAsiaTheme="minorEastAsia"/>
          <w:sz w:val="24"/>
        </w:rPr>
      </w:pPr>
    </w:p>
    <w:p>
      <w:pPr>
        <w:pStyle w:val="3"/>
        <w:jc w:val="center"/>
      </w:pPr>
      <w:bookmarkStart w:id="67" w:name="_Toc32056"/>
      <w:bookmarkStart w:id="68" w:name="_Toc152042547"/>
      <w:bookmarkStart w:id="69" w:name="_Toc179632786"/>
      <w:bookmarkStart w:id="70" w:name="_Toc144974827"/>
      <w:bookmarkStart w:id="71" w:name="_Toc246997080"/>
      <w:bookmarkStart w:id="72" w:name="_Toc246996337"/>
      <w:bookmarkStart w:id="73" w:name="_Toc152045768"/>
      <w:bookmarkStart w:id="74" w:name="_Toc247085852"/>
      <w:r>
        <w:rPr>
          <w:rFonts w:hint="eastAsia"/>
        </w:rPr>
        <w:t>一、正  文</w:t>
      </w:r>
    </w:p>
    <w:p>
      <w:pPr>
        <w:spacing w:line="360" w:lineRule="auto"/>
        <w:ind w:firstLine="562" w:firstLineChars="200"/>
        <w:jc w:val="both"/>
        <w:rPr>
          <w:rFonts w:ascii="宋体" w:hAnsi="宋体"/>
          <w:b/>
          <w:sz w:val="28"/>
          <w:szCs w:val="28"/>
        </w:rPr>
      </w:pPr>
      <w:r>
        <w:rPr>
          <w:rFonts w:hint="eastAsia" w:ascii="宋体" w:hAnsi="宋体"/>
          <w:b/>
          <w:sz w:val="28"/>
          <w:szCs w:val="28"/>
        </w:rPr>
        <w:t xml:space="preserve">第一条 </w:t>
      </w:r>
      <w:r>
        <w:rPr>
          <w:rFonts w:ascii="宋体" w:hAnsi="宋体"/>
          <w:b/>
          <w:sz w:val="28"/>
          <w:szCs w:val="28"/>
        </w:rPr>
        <w:t xml:space="preserve"> </w:t>
      </w:r>
      <w:r>
        <w:rPr>
          <w:rFonts w:hint="eastAsia" w:ascii="宋体" w:hAnsi="宋体"/>
          <w:b/>
          <w:sz w:val="28"/>
          <w:szCs w:val="28"/>
        </w:rPr>
        <w:t>采购产品清单</w:t>
      </w:r>
    </w:p>
    <w:p>
      <w:pPr>
        <w:spacing w:line="360" w:lineRule="auto"/>
        <w:ind w:firstLine="560" w:firstLineChars="200"/>
        <w:jc w:val="both"/>
        <w:rPr>
          <w:rFonts w:ascii="宋体" w:hAnsi="宋体"/>
          <w:sz w:val="28"/>
          <w:szCs w:val="28"/>
        </w:rPr>
      </w:pPr>
      <w:r>
        <w:rPr>
          <w:rFonts w:hint="eastAsia" w:ascii="宋体" w:hAnsi="宋体"/>
          <w:sz w:val="28"/>
          <w:szCs w:val="28"/>
        </w:rPr>
        <w:t>详见第六章“四、报价表”</w:t>
      </w:r>
    </w:p>
    <w:p>
      <w:pPr>
        <w:spacing w:line="360" w:lineRule="auto"/>
        <w:ind w:firstLine="562" w:firstLineChars="200"/>
        <w:jc w:val="both"/>
        <w:rPr>
          <w:rFonts w:ascii="宋体" w:hAnsi="宋体"/>
          <w:b/>
          <w:sz w:val="28"/>
          <w:szCs w:val="28"/>
        </w:rPr>
      </w:pPr>
      <w:r>
        <w:rPr>
          <w:rFonts w:hint="eastAsia" w:ascii="宋体" w:hAnsi="宋体"/>
          <w:b/>
          <w:sz w:val="28"/>
          <w:szCs w:val="28"/>
        </w:rPr>
        <w:t>第二条  产品交付</w:t>
      </w:r>
    </w:p>
    <w:p>
      <w:pPr>
        <w:spacing w:line="360" w:lineRule="auto"/>
        <w:ind w:firstLine="560" w:firstLineChars="200"/>
        <w:jc w:val="both"/>
        <w:rPr>
          <w:rFonts w:ascii="宋体" w:hAnsi="宋体"/>
          <w:sz w:val="28"/>
          <w:szCs w:val="28"/>
        </w:rPr>
      </w:pPr>
      <w:r>
        <w:rPr>
          <w:rFonts w:hint="eastAsia" w:ascii="宋体" w:hAnsi="宋体"/>
          <w:sz w:val="28"/>
          <w:szCs w:val="28"/>
        </w:rPr>
        <w:t>1.合同交货期为合同签订后</w:t>
      </w:r>
      <w:r>
        <w:rPr>
          <w:rFonts w:hint="eastAsia" w:ascii="宋体" w:hAnsi="宋体"/>
          <w:sz w:val="28"/>
          <w:szCs w:val="28"/>
          <w:lang w:val="en-US" w:eastAsia="zh-CN"/>
        </w:rPr>
        <w:t>15</w:t>
      </w:r>
      <w:r>
        <w:rPr>
          <w:rFonts w:hint="eastAsia" w:ascii="宋体" w:hAnsi="宋体"/>
          <w:sz w:val="28"/>
          <w:szCs w:val="28"/>
        </w:rPr>
        <w:t>个工作日内到，由卖方将设备运至买方指定地点。</w:t>
      </w:r>
    </w:p>
    <w:p>
      <w:pPr>
        <w:spacing w:line="360" w:lineRule="auto"/>
        <w:ind w:firstLine="560" w:firstLineChars="200"/>
        <w:jc w:val="both"/>
        <w:rPr>
          <w:rFonts w:ascii="宋体" w:hAnsi="宋体"/>
          <w:sz w:val="28"/>
          <w:szCs w:val="28"/>
        </w:rPr>
      </w:pPr>
      <w:r>
        <w:rPr>
          <w:rFonts w:hint="eastAsia" w:ascii="宋体" w:hAnsi="宋体"/>
          <w:sz w:val="28"/>
          <w:szCs w:val="28"/>
        </w:rPr>
        <w:t>2.交货地点：岳阳城陵矶</w:t>
      </w:r>
      <w:r>
        <w:rPr>
          <w:rFonts w:hint="eastAsia" w:ascii="宋体" w:hAnsi="宋体"/>
          <w:sz w:val="28"/>
          <w:szCs w:val="28"/>
          <w:lang w:val="en-US" w:eastAsia="zh-CN"/>
        </w:rPr>
        <w:t>港务有限责任</w:t>
      </w:r>
      <w:r>
        <w:rPr>
          <w:rFonts w:hint="eastAsia" w:ascii="宋体" w:hAnsi="宋体"/>
          <w:sz w:val="28"/>
          <w:szCs w:val="28"/>
        </w:rPr>
        <w:t>公司</w:t>
      </w:r>
    </w:p>
    <w:p>
      <w:pPr>
        <w:spacing w:line="360" w:lineRule="auto"/>
        <w:ind w:firstLine="560" w:firstLineChars="200"/>
        <w:jc w:val="both"/>
        <w:rPr>
          <w:rFonts w:ascii="宋体" w:hAnsi="宋体"/>
          <w:sz w:val="28"/>
          <w:szCs w:val="28"/>
        </w:rPr>
      </w:pPr>
      <w:r>
        <w:rPr>
          <w:rFonts w:hint="eastAsia" w:ascii="宋体" w:hAnsi="宋体"/>
          <w:sz w:val="28"/>
          <w:szCs w:val="28"/>
        </w:rPr>
        <w:t>3.包装方式：卖方应当严格执行现行包装标准,确保设备无任何损毁瑕疵，包装费用由卖方承担。</w:t>
      </w:r>
    </w:p>
    <w:p>
      <w:pPr>
        <w:spacing w:line="360" w:lineRule="auto"/>
        <w:ind w:firstLine="560" w:firstLineChars="200"/>
        <w:jc w:val="both"/>
        <w:rPr>
          <w:rFonts w:ascii="宋体" w:hAnsi="宋体"/>
          <w:sz w:val="28"/>
          <w:szCs w:val="28"/>
        </w:rPr>
      </w:pPr>
      <w:r>
        <w:rPr>
          <w:rFonts w:hint="eastAsia" w:ascii="宋体" w:hAnsi="宋体"/>
          <w:sz w:val="28"/>
          <w:szCs w:val="28"/>
        </w:rPr>
        <w:t xml:space="preserve">4.产品在运送至买方指定地点并经买方验收合格之前的毁损、灭失的风险由卖方承担。   </w:t>
      </w:r>
    </w:p>
    <w:p>
      <w:pPr>
        <w:spacing w:line="360" w:lineRule="auto"/>
        <w:ind w:firstLine="560" w:firstLineChars="200"/>
        <w:jc w:val="both"/>
        <w:rPr>
          <w:rFonts w:ascii="宋体" w:hAnsi="宋体"/>
          <w:sz w:val="28"/>
          <w:szCs w:val="28"/>
        </w:rPr>
      </w:pPr>
      <w:r>
        <w:rPr>
          <w:rFonts w:hint="eastAsia" w:ascii="宋体" w:hAnsi="宋体"/>
          <w:sz w:val="28"/>
          <w:szCs w:val="28"/>
        </w:rPr>
        <w:t>5.交付:产品运送至买方指定地点，买方接收后并经买方查验合格，视为卖方已交付。</w:t>
      </w:r>
    </w:p>
    <w:p>
      <w:pPr>
        <w:spacing w:line="360" w:lineRule="auto"/>
        <w:ind w:firstLine="562" w:firstLineChars="200"/>
        <w:jc w:val="both"/>
        <w:rPr>
          <w:rFonts w:ascii="宋体" w:hAnsi="宋体"/>
          <w:b/>
          <w:sz w:val="28"/>
          <w:szCs w:val="28"/>
        </w:rPr>
      </w:pPr>
      <w:r>
        <w:rPr>
          <w:rFonts w:hint="eastAsia" w:ascii="宋体" w:hAnsi="宋体"/>
          <w:b/>
          <w:sz w:val="28"/>
          <w:szCs w:val="28"/>
        </w:rPr>
        <w:t>第三条  产品质量异议及保修</w:t>
      </w:r>
    </w:p>
    <w:p>
      <w:pPr>
        <w:spacing w:line="360" w:lineRule="auto"/>
        <w:ind w:firstLine="560" w:firstLineChars="200"/>
        <w:jc w:val="both"/>
        <w:rPr>
          <w:rFonts w:ascii="宋体" w:hAnsi="宋体"/>
          <w:sz w:val="28"/>
          <w:szCs w:val="28"/>
        </w:rPr>
      </w:pPr>
      <w:r>
        <w:rPr>
          <w:rFonts w:hint="eastAsia" w:ascii="宋体" w:hAnsi="宋体"/>
          <w:sz w:val="28"/>
          <w:szCs w:val="28"/>
        </w:rPr>
        <w:t>1.卖方应保证合同项下所供货物是合同签订之后生产的、全新、未使用过的；</w:t>
      </w:r>
    </w:p>
    <w:p>
      <w:pPr>
        <w:spacing w:line="360" w:lineRule="auto"/>
        <w:ind w:firstLine="560" w:firstLineChars="200"/>
        <w:jc w:val="both"/>
        <w:rPr>
          <w:rFonts w:ascii="宋体" w:hAnsi="宋体"/>
          <w:sz w:val="28"/>
          <w:szCs w:val="28"/>
        </w:rPr>
      </w:pPr>
      <w:r>
        <w:rPr>
          <w:rFonts w:hint="eastAsia" w:ascii="宋体" w:hAnsi="宋体"/>
          <w:sz w:val="28"/>
          <w:szCs w:val="28"/>
        </w:rPr>
        <w:t>2.对除上述货品表面情况及数量外的其他质量异议，买方应在产品验收合格之日起7日内以书面形式向卖方提出，经卖方查验属实的，负担退换货责任。</w:t>
      </w:r>
    </w:p>
    <w:p>
      <w:pPr>
        <w:spacing w:line="360" w:lineRule="auto"/>
        <w:ind w:firstLine="560" w:firstLineChars="200"/>
        <w:jc w:val="both"/>
        <w:rPr>
          <w:rFonts w:ascii="宋体" w:hAnsi="宋体"/>
          <w:sz w:val="28"/>
          <w:szCs w:val="28"/>
        </w:rPr>
      </w:pPr>
      <w:r>
        <w:rPr>
          <w:rFonts w:hint="eastAsia" w:ascii="宋体" w:hAnsi="宋体"/>
          <w:sz w:val="28"/>
          <w:szCs w:val="28"/>
        </w:rPr>
        <w:t>3.卖方承诺，自买方验收产品合格后的一年内，除使用不当所造成的损坏以外的影响产品正常使用的质量问题，卖方应在收到买方通知后_2_日内免费负责修复或更换，所造成的损失由卖方承担。</w:t>
      </w:r>
    </w:p>
    <w:p>
      <w:pPr>
        <w:spacing w:line="360" w:lineRule="auto"/>
        <w:ind w:firstLine="562" w:firstLineChars="200"/>
        <w:jc w:val="both"/>
        <w:rPr>
          <w:rFonts w:ascii="宋体" w:hAnsi="宋体"/>
          <w:b/>
          <w:sz w:val="28"/>
          <w:szCs w:val="28"/>
        </w:rPr>
      </w:pPr>
      <w:r>
        <w:rPr>
          <w:rFonts w:hint="eastAsia" w:ascii="宋体" w:hAnsi="宋体"/>
          <w:b/>
          <w:sz w:val="28"/>
          <w:szCs w:val="28"/>
        </w:rPr>
        <w:t>第四条  支付</w:t>
      </w:r>
    </w:p>
    <w:p>
      <w:pPr>
        <w:spacing w:line="360" w:lineRule="auto"/>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 xml:space="preserve"> 首付款：合同总价格的</w:t>
      </w:r>
      <w:r>
        <w:rPr>
          <w:rFonts w:hint="eastAsia" w:ascii="宋体" w:hAnsi="宋体"/>
          <w:sz w:val="28"/>
          <w:szCs w:val="28"/>
          <w:lang w:val="en-US" w:eastAsia="zh-CN"/>
        </w:rPr>
        <w:t>3</w:t>
      </w:r>
      <w:r>
        <w:rPr>
          <w:rFonts w:hint="eastAsia" w:ascii="宋体" w:hAnsi="宋体"/>
          <w:sz w:val="28"/>
          <w:szCs w:val="28"/>
        </w:rPr>
        <w:t>0%。</w:t>
      </w:r>
    </w:p>
    <w:p>
      <w:pPr>
        <w:spacing w:line="360" w:lineRule="auto"/>
        <w:ind w:firstLine="560" w:firstLineChars="200"/>
        <w:rPr>
          <w:rFonts w:hint="eastAsia" w:ascii="宋体" w:hAnsi="宋体"/>
          <w:sz w:val="28"/>
          <w:szCs w:val="28"/>
        </w:rPr>
      </w:pPr>
      <w:r>
        <w:rPr>
          <w:rFonts w:hint="eastAsia" w:ascii="宋体" w:hAnsi="宋体"/>
          <w:sz w:val="28"/>
          <w:szCs w:val="28"/>
        </w:rPr>
        <w:t>在合同协议书签订后，买方收到金额为合同总价</w:t>
      </w:r>
      <w:r>
        <w:rPr>
          <w:rFonts w:hint="eastAsia" w:ascii="宋体" w:hAnsi="宋体"/>
          <w:sz w:val="28"/>
          <w:szCs w:val="28"/>
          <w:lang w:val="en-US" w:eastAsia="zh-CN"/>
        </w:rPr>
        <w:t>3</w:t>
      </w:r>
      <w:r>
        <w:rPr>
          <w:rFonts w:hint="eastAsia" w:ascii="宋体" w:hAnsi="宋体"/>
          <w:sz w:val="28"/>
          <w:szCs w:val="28"/>
        </w:rPr>
        <w:t>0%的发票，经审核无误后在28日内支付给卖方。</w:t>
      </w:r>
    </w:p>
    <w:p>
      <w:pPr>
        <w:spacing w:line="360" w:lineRule="auto"/>
        <w:ind w:firstLine="560" w:firstLineChars="200"/>
        <w:rPr>
          <w:rFonts w:hint="eastAsia" w:ascii="宋体" w:hAnsi="宋体"/>
          <w:sz w:val="28"/>
          <w:szCs w:val="28"/>
        </w:rPr>
      </w:pPr>
      <w:r>
        <w:rPr>
          <w:rFonts w:hint="eastAsia" w:ascii="宋体" w:hAnsi="宋体"/>
          <w:sz w:val="28"/>
          <w:szCs w:val="28"/>
        </w:rPr>
        <w:t>2.交货款：合同总价格的</w:t>
      </w:r>
      <w:r>
        <w:rPr>
          <w:rFonts w:hint="eastAsia" w:ascii="宋体" w:hAnsi="宋体"/>
          <w:sz w:val="28"/>
          <w:szCs w:val="28"/>
          <w:lang w:val="en-US" w:eastAsia="zh-CN"/>
        </w:rPr>
        <w:t>5</w:t>
      </w:r>
      <w:r>
        <w:rPr>
          <w:rFonts w:hint="eastAsia" w:ascii="宋体" w:hAnsi="宋体"/>
          <w:sz w:val="28"/>
          <w:szCs w:val="28"/>
        </w:rPr>
        <w:t>0%。采购设备出厂试验（监造人员参加）完成，经买方监造人员确认发货，设备运抵工地后，完成开箱验收程序并经检测验收合格，在买方收到金额为合同总价</w:t>
      </w:r>
      <w:r>
        <w:rPr>
          <w:rFonts w:hint="eastAsia" w:ascii="宋体" w:hAnsi="宋体"/>
          <w:sz w:val="28"/>
          <w:szCs w:val="28"/>
          <w:lang w:val="en-US" w:eastAsia="zh-CN"/>
        </w:rPr>
        <w:t>5</w:t>
      </w:r>
      <w:r>
        <w:rPr>
          <w:rFonts w:hint="eastAsia" w:ascii="宋体" w:hAnsi="宋体"/>
          <w:sz w:val="28"/>
          <w:szCs w:val="28"/>
        </w:rPr>
        <w:t>0%的发票（按批次供货时，以当批次交货设备合同价格的50％进行支付），经审核无误后在28日内支付给卖方。</w:t>
      </w:r>
    </w:p>
    <w:p>
      <w:pPr>
        <w:spacing w:line="360" w:lineRule="auto"/>
        <w:ind w:firstLine="560" w:firstLineChars="200"/>
        <w:rPr>
          <w:rFonts w:hint="eastAsia" w:ascii="宋体" w:hAnsi="宋体"/>
          <w:sz w:val="28"/>
          <w:szCs w:val="28"/>
        </w:rPr>
      </w:pPr>
      <w:r>
        <w:rPr>
          <w:rFonts w:hint="eastAsia" w:ascii="宋体" w:hAnsi="宋体"/>
          <w:sz w:val="28"/>
          <w:szCs w:val="28"/>
        </w:rPr>
        <w:t>3. 验收款：合同价格的17%，当合同完工验收后，买方收到金额为合同总价17%的发票，经审核无误后在28个工作日内支付给卖方。</w:t>
      </w:r>
    </w:p>
    <w:p>
      <w:pPr>
        <w:spacing w:line="360" w:lineRule="auto"/>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.结清款：</w:t>
      </w:r>
    </w:p>
    <w:p>
      <w:pPr>
        <w:spacing w:line="360" w:lineRule="auto"/>
        <w:ind w:firstLine="560" w:firstLineChars="200"/>
        <w:rPr>
          <w:rFonts w:hint="eastAsia" w:ascii="宋体" w:hAnsi="宋体"/>
          <w:sz w:val="28"/>
          <w:szCs w:val="28"/>
        </w:rPr>
      </w:pPr>
      <w:r>
        <w:rPr>
          <w:rFonts w:hint="eastAsia" w:ascii="宋体" w:hAnsi="宋体"/>
          <w:sz w:val="28"/>
          <w:szCs w:val="28"/>
        </w:rPr>
        <w:t>质保金为合同价格的3%。在设备的质保期满后经检查无故障，买方收到金额为合同总价3%的发票，经审核无误在28日内将合同总价格的3%支付给卖方。</w:t>
      </w:r>
    </w:p>
    <w:p>
      <w:pPr>
        <w:spacing w:line="360" w:lineRule="auto"/>
        <w:ind w:firstLine="560" w:firstLineChars="200"/>
        <w:rPr>
          <w:rFonts w:ascii="宋体" w:hAnsi="宋体"/>
          <w:sz w:val="28"/>
          <w:szCs w:val="28"/>
        </w:rPr>
      </w:pPr>
      <w:r>
        <w:rPr>
          <w:rFonts w:hint="eastAsia" w:ascii="宋体" w:hAnsi="宋体"/>
          <w:sz w:val="28"/>
          <w:szCs w:val="28"/>
          <w:u w:val="single"/>
        </w:rPr>
        <w:t>支付前，供应商需向采购人提供等额增值税（专用）发票，否则采购人有权拒绝支付。</w:t>
      </w:r>
    </w:p>
    <w:p>
      <w:pPr>
        <w:spacing w:line="360" w:lineRule="auto"/>
        <w:ind w:firstLine="562" w:firstLineChars="200"/>
        <w:jc w:val="both"/>
        <w:rPr>
          <w:rFonts w:ascii="宋体" w:hAnsi="宋体"/>
          <w:b/>
          <w:sz w:val="28"/>
          <w:szCs w:val="28"/>
        </w:rPr>
      </w:pPr>
      <w:r>
        <w:rPr>
          <w:rFonts w:hint="eastAsia" w:ascii="宋体" w:hAnsi="宋体"/>
          <w:b/>
          <w:sz w:val="28"/>
          <w:szCs w:val="28"/>
        </w:rPr>
        <w:t>第五条  违约责任</w:t>
      </w:r>
    </w:p>
    <w:p>
      <w:pPr>
        <w:spacing w:line="360" w:lineRule="auto"/>
        <w:ind w:firstLine="560" w:firstLineChars="200"/>
        <w:jc w:val="both"/>
        <w:rPr>
          <w:rFonts w:ascii="宋体" w:hAnsi="宋体"/>
          <w:sz w:val="28"/>
          <w:szCs w:val="28"/>
        </w:rPr>
      </w:pPr>
      <w:r>
        <w:rPr>
          <w:rFonts w:hint="eastAsia" w:ascii="宋体" w:hAnsi="宋体"/>
          <w:sz w:val="28"/>
          <w:szCs w:val="28"/>
        </w:rPr>
        <w:t>1.供应商超过合同约定交货日期按逾期交货处理，违约金按逾期交货部分货款的</w:t>
      </w:r>
      <w:r>
        <w:rPr>
          <w:rFonts w:hint="eastAsia" w:ascii="宋体" w:hAnsi="宋体"/>
          <w:sz w:val="28"/>
          <w:szCs w:val="28"/>
          <w:u w:val="single"/>
        </w:rPr>
        <w:t xml:space="preserve">  1 %</w:t>
      </w:r>
      <w:r>
        <w:rPr>
          <w:rFonts w:hint="eastAsia" w:ascii="宋体" w:hAnsi="宋体"/>
          <w:sz w:val="28"/>
          <w:szCs w:val="28"/>
        </w:rPr>
        <w:t>/日向买方赔付。逾期交货超过10日的，采购人有权解除合同，采购人已付款项，供应商予以退还，并按合同总额的20%向买方承担违约金，违约金不足以弥补买方损失的，采购人有权继续追偿。</w:t>
      </w:r>
    </w:p>
    <w:p>
      <w:pPr>
        <w:spacing w:line="360" w:lineRule="auto"/>
        <w:ind w:firstLine="560" w:firstLineChars="200"/>
        <w:jc w:val="both"/>
        <w:rPr>
          <w:rFonts w:ascii="宋体" w:hAnsi="宋体"/>
          <w:sz w:val="28"/>
          <w:szCs w:val="28"/>
        </w:rPr>
      </w:pPr>
      <w:r>
        <w:rPr>
          <w:rFonts w:hint="eastAsia" w:ascii="宋体" w:hAnsi="宋体"/>
          <w:sz w:val="28"/>
          <w:szCs w:val="28"/>
        </w:rPr>
        <w:t>2.供应商明确表示或者以自己的行为表明不能交货的，违约金按不能交货部分货款的</w:t>
      </w:r>
      <w:r>
        <w:rPr>
          <w:rFonts w:hint="eastAsia" w:ascii="宋体" w:hAnsi="宋体"/>
          <w:sz w:val="28"/>
          <w:szCs w:val="28"/>
          <w:u w:val="single"/>
        </w:rPr>
        <w:t xml:space="preserve"> 5 </w:t>
      </w:r>
      <w:r>
        <w:rPr>
          <w:rFonts w:hint="eastAsia" w:ascii="宋体" w:hAnsi="宋体"/>
          <w:sz w:val="28"/>
          <w:szCs w:val="28"/>
        </w:rPr>
        <w:t>%向买方赔付，并承担采购人因此所受的损失费用。</w:t>
      </w:r>
    </w:p>
    <w:p>
      <w:pPr>
        <w:spacing w:line="360" w:lineRule="auto"/>
        <w:ind w:firstLine="560" w:firstLineChars="200"/>
        <w:jc w:val="both"/>
        <w:rPr>
          <w:rFonts w:ascii="宋体" w:hAnsi="宋体"/>
          <w:sz w:val="28"/>
          <w:szCs w:val="28"/>
        </w:rPr>
      </w:pPr>
      <w:r>
        <w:rPr>
          <w:rFonts w:hint="eastAsia" w:ascii="宋体" w:hAnsi="宋体"/>
          <w:sz w:val="28"/>
          <w:szCs w:val="28"/>
        </w:rPr>
        <w:t>3.供应商所交产品不符合合同规定的，由供应商按照采购人要求负责包换或维修，并承担调换或退货支付的实际费用，供应商不能修理或调换，按不能交货处理。采购人另行向第三方购买产品所导致的损失由卖方承担。</w:t>
      </w:r>
    </w:p>
    <w:p>
      <w:pPr>
        <w:spacing w:line="360" w:lineRule="auto"/>
        <w:ind w:firstLine="560" w:firstLineChars="200"/>
        <w:jc w:val="both"/>
        <w:rPr>
          <w:rFonts w:ascii="宋体" w:hAnsi="宋体"/>
          <w:sz w:val="28"/>
          <w:szCs w:val="28"/>
        </w:rPr>
      </w:pPr>
      <w:r>
        <w:rPr>
          <w:rFonts w:hint="eastAsia" w:ascii="宋体" w:hAnsi="宋体"/>
          <w:sz w:val="28"/>
          <w:szCs w:val="28"/>
        </w:rPr>
        <w:t>4.供应商如提供冒牌产品，一经确认，采购人有权取消卖方供货资格，供应商按照合同总价的3倍向采购人赔偿，并承担采购人因此遭受的所有损失。同时追究供应商相关法律责任。</w:t>
      </w:r>
    </w:p>
    <w:p>
      <w:pPr>
        <w:spacing w:line="360" w:lineRule="auto"/>
        <w:ind w:firstLine="562" w:firstLineChars="200"/>
        <w:jc w:val="both"/>
        <w:rPr>
          <w:rFonts w:ascii="宋体" w:hAnsi="宋体"/>
          <w:b/>
          <w:sz w:val="28"/>
          <w:szCs w:val="28"/>
        </w:rPr>
      </w:pPr>
      <w:r>
        <w:rPr>
          <w:rFonts w:hint="eastAsia" w:ascii="宋体" w:hAnsi="宋体"/>
          <w:b/>
          <w:sz w:val="28"/>
          <w:szCs w:val="28"/>
        </w:rPr>
        <w:t>第六条  争议解决</w:t>
      </w:r>
    </w:p>
    <w:p>
      <w:pPr>
        <w:spacing w:line="360" w:lineRule="auto"/>
        <w:ind w:firstLine="560" w:firstLineChars="200"/>
        <w:rPr>
          <w:rFonts w:ascii="宋体" w:hAnsi="宋体"/>
          <w:sz w:val="28"/>
          <w:szCs w:val="28"/>
        </w:rPr>
      </w:pPr>
      <w:r>
        <w:rPr>
          <w:rFonts w:hint="eastAsia" w:ascii="宋体" w:hAnsi="宋体"/>
          <w:sz w:val="28"/>
          <w:szCs w:val="28"/>
        </w:rPr>
        <w:t>本款约定为：争议的最终解决方式：</w:t>
      </w:r>
      <w:r>
        <w:rPr>
          <w:rFonts w:hint="eastAsia" w:ascii="MS Mincho" w:hAnsi="MS Mincho" w:cs="MS Mincho"/>
          <w:sz w:val="28"/>
          <w:szCs w:val="28"/>
          <w:u w:val="single"/>
        </w:rPr>
        <w:t>□</w:t>
      </w:r>
      <w:r>
        <w:rPr>
          <w:rFonts w:hint="eastAsia" w:ascii="宋体" w:hAnsi="宋体"/>
          <w:sz w:val="28"/>
          <w:szCs w:val="28"/>
          <w:u w:val="single"/>
        </w:rPr>
        <w:t>仲裁/</w:t>
      </w:r>
      <w:r>
        <w:rPr>
          <w:rFonts w:hint="eastAsia" w:ascii="宋体" w:hAnsi="宋体"/>
          <w:sz w:val="28"/>
          <w:szCs w:val="28"/>
          <w:u w:val="single"/>
        </w:rPr>
        <w:sym w:font="Wingdings 2" w:char="0052"/>
      </w:r>
      <w:r>
        <w:rPr>
          <w:rFonts w:hint="eastAsia" w:ascii="宋体" w:hAnsi="宋体"/>
          <w:sz w:val="28"/>
          <w:szCs w:val="28"/>
          <w:u w:val="single"/>
        </w:rPr>
        <w:t>诉讼</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如采用仲裁，仲裁机构名称：</w:t>
      </w:r>
      <w:r>
        <w:rPr>
          <w:rFonts w:hint="eastAsia" w:ascii="宋体" w:hAnsi="宋体"/>
          <w:sz w:val="28"/>
          <w:szCs w:val="28"/>
          <w:u w:val="single"/>
        </w:rPr>
        <w:t>岳阳仲裁委员会</w:t>
      </w:r>
      <w:r>
        <w:rPr>
          <w:rFonts w:hint="eastAsia" w:ascii="宋体" w:hAnsi="宋体"/>
          <w:sz w:val="28"/>
          <w:szCs w:val="28"/>
        </w:rPr>
        <w:t>。</w:t>
      </w:r>
    </w:p>
    <w:p>
      <w:pPr>
        <w:spacing w:line="360" w:lineRule="auto"/>
        <w:ind w:firstLine="560" w:firstLineChars="200"/>
        <w:rPr>
          <w:sz w:val="28"/>
          <w:szCs w:val="28"/>
        </w:rPr>
      </w:pPr>
      <w:r>
        <w:rPr>
          <w:rFonts w:hint="eastAsia" w:ascii="宋体" w:hAnsi="宋体"/>
          <w:sz w:val="28"/>
          <w:szCs w:val="28"/>
        </w:rPr>
        <w:t>如果用诉讼，诉讼机构名称：</w:t>
      </w:r>
      <w:r>
        <w:rPr>
          <w:rFonts w:hint="eastAsia" w:ascii="宋体" w:hAnsi="宋体"/>
          <w:sz w:val="28"/>
          <w:szCs w:val="28"/>
          <w:u w:val="single"/>
        </w:rPr>
        <w:t xml:space="preserve"> 岳阳市云溪区 </w:t>
      </w:r>
      <w:r>
        <w:rPr>
          <w:rFonts w:hint="eastAsia" w:ascii="宋体" w:hAnsi="宋体"/>
          <w:sz w:val="28"/>
          <w:szCs w:val="28"/>
        </w:rPr>
        <w:t>人民法院。</w:t>
      </w:r>
    </w:p>
    <w:p>
      <w:pPr>
        <w:spacing w:line="240" w:lineRule="auto"/>
        <w:rPr>
          <w:rFonts w:ascii="宋体" w:hAnsi="宋体"/>
          <w:b/>
          <w:bCs/>
          <w:kern w:val="0"/>
          <w:sz w:val="36"/>
          <w:szCs w:val="36"/>
        </w:rPr>
      </w:pPr>
      <w:r>
        <w:br w:type="page"/>
      </w:r>
    </w:p>
    <w:p>
      <w:pPr>
        <w:pStyle w:val="3"/>
      </w:pPr>
      <w:bookmarkStart w:id="75" w:name="_Toc106039358"/>
      <w:r>
        <w:rPr>
          <w:rFonts w:hint="eastAsia"/>
        </w:rPr>
        <w:t>二、附件（中标后填写）</w:t>
      </w:r>
      <w:bookmarkEnd w:id="67"/>
      <w:bookmarkEnd w:id="75"/>
    </w:p>
    <w:p>
      <w:pPr>
        <w:pStyle w:val="2"/>
      </w:pPr>
      <w:bookmarkStart w:id="76" w:name="_Toc4098"/>
      <w:bookmarkStart w:id="77" w:name="_Toc106039359"/>
      <w:r>
        <w:rPr>
          <w:rFonts w:hint="eastAsia"/>
        </w:rPr>
        <w:t>附件一：合同协议书</w:t>
      </w:r>
      <w:bookmarkEnd w:id="68"/>
      <w:bookmarkEnd w:id="69"/>
      <w:bookmarkEnd w:id="70"/>
      <w:bookmarkEnd w:id="71"/>
      <w:bookmarkEnd w:id="72"/>
      <w:bookmarkEnd w:id="73"/>
      <w:bookmarkEnd w:id="74"/>
      <w:bookmarkEnd w:id="76"/>
      <w:bookmarkEnd w:id="77"/>
    </w:p>
    <w:p>
      <w:pPr>
        <w:spacing w:line="440" w:lineRule="exact"/>
        <w:jc w:val="center"/>
        <w:rPr>
          <w:rFonts w:ascii="黑体" w:hAnsi="黑体" w:eastAsia="黑体"/>
          <w:b/>
          <w:color w:val="000000"/>
          <w:kern w:val="0"/>
          <w:sz w:val="32"/>
          <w:szCs w:val="32"/>
        </w:rPr>
      </w:pPr>
      <w:r>
        <w:rPr>
          <w:rFonts w:ascii="黑体" w:hAnsi="黑体" w:eastAsia="黑体"/>
          <w:b/>
          <w:color w:val="000000"/>
          <w:kern w:val="0"/>
          <w:sz w:val="32"/>
          <w:szCs w:val="32"/>
        </w:rPr>
        <w:t>合同协议书</w:t>
      </w:r>
    </w:p>
    <w:p>
      <w:pPr>
        <w:spacing w:line="360" w:lineRule="auto"/>
        <w:ind w:firstLine="480" w:firstLineChars="200"/>
        <w:rPr>
          <w:sz w:val="24"/>
        </w:rPr>
      </w:pPr>
    </w:p>
    <w:p>
      <w:pPr>
        <w:spacing w:line="360" w:lineRule="auto"/>
        <w:ind w:firstLine="480" w:firstLineChars="200"/>
        <w:rPr>
          <w:sz w:val="24"/>
        </w:rPr>
      </w:pPr>
      <w:r>
        <w:rPr>
          <w:sz w:val="24"/>
        </w:rPr>
        <w:t>（</w:t>
      </w:r>
      <w:r>
        <w:rPr>
          <w:rFonts w:hint="eastAsia"/>
          <w:sz w:val="24"/>
        </w:rPr>
        <w:t>采购人</w:t>
      </w:r>
      <w:r>
        <w:rPr>
          <w:sz w:val="24"/>
        </w:rPr>
        <w:t>名称，以下简称“发包人”）为实施（项目名称）</w:t>
      </w:r>
      <w:r>
        <w:rPr>
          <w:rFonts w:hint="eastAsia" w:ascii="宋体" w:hAnsi="宋体"/>
          <w:sz w:val="24"/>
          <w:u w:val="single"/>
        </w:rPr>
        <w:t>岳阳城陵矶港务有限责任公司码头环保提质改造二期工程干雾除尘设备采购</w:t>
      </w:r>
      <w:r>
        <w:rPr>
          <w:sz w:val="24"/>
        </w:rPr>
        <w:t>，已接受（</w:t>
      </w:r>
      <w:r>
        <w:rPr>
          <w:rFonts w:hint="eastAsia"/>
          <w:sz w:val="24"/>
        </w:rPr>
        <w:t>供应商</w:t>
      </w:r>
      <w:r>
        <w:rPr>
          <w:sz w:val="24"/>
        </w:rPr>
        <w:t>名称，以下简称“</w:t>
      </w:r>
      <w:r>
        <w:rPr>
          <w:rFonts w:hint="eastAsia"/>
          <w:sz w:val="24"/>
        </w:rPr>
        <w:t>供应商</w:t>
      </w:r>
      <w:r>
        <w:rPr>
          <w:sz w:val="24"/>
        </w:rPr>
        <w:t>”）对该项目</w:t>
      </w:r>
      <w:r>
        <w:rPr>
          <w:rFonts w:hint="eastAsia"/>
          <w:sz w:val="24"/>
        </w:rPr>
        <w:t>的</w:t>
      </w:r>
      <w:r>
        <w:rPr>
          <w:sz w:val="24"/>
        </w:rPr>
        <w:t>投标。</w:t>
      </w:r>
      <w:r>
        <w:rPr>
          <w:rFonts w:hint="eastAsia"/>
          <w:sz w:val="24"/>
        </w:rPr>
        <w:t>采购人</w:t>
      </w:r>
      <w:r>
        <w:rPr>
          <w:sz w:val="24"/>
        </w:rPr>
        <w:t>和</w:t>
      </w:r>
      <w:r>
        <w:rPr>
          <w:rFonts w:hint="eastAsia"/>
          <w:sz w:val="24"/>
        </w:rPr>
        <w:t>供应商</w:t>
      </w:r>
      <w:r>
        <w:rPr>
          <w:sz w:val="24"/>
        </w:rPr>
        <w:t>共同达成如下协议。</w:t>
      </w:r>
    </w:p>
    <w:p>
      <w:pPr>
        <w:spacing w:line="360" w:lineRule="auto"/>
        <w:ind w:firstLine="480" w:firstLineChars="200"/>
        <w:rPr>
          <w:sz w:val="24"/>
        </w:rPr>
      </w:pPr>
      <w:bookmarkStart w:id="78" w:name="_Toc144974828"/>
      <w:bookmarkStart w:id="79" w:name="_Toc152042548"/>
      <w:r>
        <w:rPr>
          <w:sz w:val="24"/>
        </w:rPr>
        <w:t>1</w:t>
      </w:r>
      <w:r>
        <w:rPr>
          <w:rFonts w:hint="eastAsia"/>
          <w:sz w:val="24"/>
        </w:rPr>
        <w:t>．下列文件应被视为构成并作为阅读和理解本协议书的组成部分，即</w:t>
      </w:r>
      <w:r>
        <w:rPr>
          <w:sz w:val="24"/>
        </w:rPr>
        <w:t>：</w:t>
      </w:r>
      <w:bookmarkEnd w:id="78"/>
      <w:bookmarkEnd w:id="79"/>
    </w:p>
    <w:p>
      <w:pPr>
        <w:spacing w:line="360" w:lineRule="auto"/>
        <w:ind w:firstLine="480" w:firstLineChars="200"/>
        <w:rPr>
          <w:sz w:val="24"/>
        </w:rPr>
      </w:pPr>
      <w:bookmarkStart w:id="80" w:name="_Toc1224"/>
      <w:bookmarkStart w:id="81" w:name="_Toc1556"/>
      <w:r>
        <w:rPr>
          <w:rFonts w:hint="eastAsia"/>
          <w:sz w:val="24"/>
        </w:rPr>
        <w:t>（</w:t>
      </w:r>
      <w:r>
        <w:rPr>
          <w:sz w:val="24"/>
        </w:rPr>
        <w:t>1</w:t>
      </w:r>
      <w:r>
        <w:rPr>
          <w:rFonts w:hint="eastAsia"/>
          <w:sz w:val="24"/>
        </w:rPr>
        <w:t>）在合同履行期间，采购人</w:t>
      </w:r>
      <w:r>
        <w:rPr>
          <w:sz w:val="24"/>
        </w:rPr>
        <w:t>和</w:t>
      </w:r>
      <w:r>
        <w:rPr>
          <w:rFonts w:hint="eastAsia"/>
          <w:sz w:val="24"/>
        </w:rPr>
        <w:t>供应商签订的补充协议（如果有）；</w:t>
      </w:r>
      <w:bookmarkEnd w:id="80"/>
      <w:bookmarkEnd w:id="81"/>
    </w:p>
    <w:p>
      <w:pPr>
        <w:spacing w:line="360" w:lineRule="auto"/>
        <w:ind w:firstLine="480" w:firstLineChars="200"/>
        <w:rPr>
          <w:sz w:val="24"/>
        </w:rPr>
      </w:pPr>
      <w:r>
        <w:rPr>
          <w:rFonts w:hint="eastAsia"/>
          <w:sz w:val="24"/>
        </w:rPr>
        <w:t>（2）本合同协议书及合同附件（含合同谈判中澄清文件，如果有）；</w:t>
      </w:r>
    </w:p>
    <w:p>
      <w:pPr>
        <w:spacing w:line="360" w:lineRule="auto"/>
        <w:ind w:firstLine="480" w:firstLineChars="200"/>
        <w:rPr>
          <w:sz w:val="24"/>
        </w:rPr>
      </w:pPr>
      <w:r>
        <w:rPr>
          <w:rFonts w:hint="eastAsia"/>
          <w:sz w:val="24"/>
        </w:rPr>
        <w:t>（3）成交</w:t>
      </w:r>
      <w:r>
        <w:rPr>
          <w:sz w:val="24"/>
        </w:rPr>
        <w:t>通知书；</w:t>
      </w:r>
    </w:p>
    <w:p>
      <w:pPr>
        <w:spacing w:line="360" w:lineRule="auto"/>
        <w:ind w:firstLine="480" w:firstLineChars="200"/>
        <w:rPr>
          <w:sz w:val="24"/>
        </w:rPr>
      </w:pPr>
      <w:r>
        <w:rPr>
          <w:rFonts w:hint="eastAsia"/>
          <w:sz w:val="24"/>
        </w:rPr>
        <w:t>（4）响应文件；</w:t>
      </w:r>
    </w:p>
    <w:p>
      <w:pPr>
        <w:spacing w:line="360" w:lineRule="auto"/>
        <w:ind w:firstLine="480" w:firstLineChars="200"/>
        <w:rPr>
          <w:sz w:val="24"/>
        </w:rPr>
      </w:pPr>
      <w:r>
        <w:rPr>
          <w:rFonts w:hint="eastAsia"/>
          <w:sz w:val="24"/>
        </w:rPr>
        <w:t>（5）采购人要求</w:t>
      </w:r>
      <w:r>
        <w:rPr>
          <w:sz w:val="24"/>
        </w:rPr>
        <w:t>；</w:t>
      </w:r>
    </w:p>
    <w:p>
      <w:pPr>
        <w:spacing w:line="360" w:lineRule="auto"/>
        <w:ind w:firstLine="480" w:firstLineChars="200"/>
        <w:rPr>
          <w:sz w:val="24"/>
        </w:rPr>
      </w:pPr>
      <w:r>
        <w:rPr>
          <w:rFonts w:hint="eastAsia"/>
          <w:sz w:val="24"/>
        </w:rPr>
        <w:t>（6）其他合同文件；</w:t>
      </w:r>
    </w:p>
    <w:p>
      <w:pPr>
        <w:spacing w:line="360" w:lineRule="auto"/>
        <w:ind w:firstLine="480" w:firstLineChars="200"/>
        <w:rPr>
          <w:sz w:val="24"/>
        </w:rPr>
      </w:pPr>
      <w:bookmarkStart w:id="82" w:name="_Toc144974829"/>
      <w:bookmarkStart w:id="83" w:name="_Toc152042549"/>
      <w:r>
        <w:rPr>
          <w:rFonts w:hint="eastAsia"/>
          <w:sz w:val="24"/>
        </w:rPr>
        <w:t>上述文件互相补充和解释，如有不明确或不一致之处，按时间顺序以最新文件为准。</w:t>
      </w:r>
      <w:bookmarkEnd w:id="82"/>
      <w:bookmarkEnd w:id="83"/>
    </w:p>
    <w:p>
      <w:pPr>
        <w:spacing w:line="360" w:lineRule="auto"/>
        <w:ind w:firstLine="480" w:firstLineChars="200"/>
        <w:rPr>
          <w:sz w:val="24"/>
        </w:rPr>
      </w:pPr>
      <w:r>
        <w:rPr>
          <w:rFonts w:hint="eastAsia"/>
          <w:sz w:val="24"/>
        </w:rPr>
        <w:t>2．签约合同价：人民币（大写）（   ¥），已含13%增值税、运输、安装调试、</w:t>
      </w:r>
      <w:r>
        <w:rPr>
          <w:rFonts w:hint="eastAsia"/>
          <w:sz w:val="24"/>
          <w:lang w:val="en-US" w:eastAsia="zh-CN"/>
        </w:rPr>
        <w:t>设备</w:t>
      </w:r>
      <w:r>
        <w:rPr>
          <w:rFonts w:hint="eastAsia"/>
          <w:sz w:val="24"/>
        </w:rPr>
        <w:t>组装、调试、系统安装及相应的售后服务费用。</w:t>
      </w:r>
    </w:p>
    <w:p>
      <w:pPr>
        <w:spacing w:line="360" w:lineRule="auto"/>
        <w:ind w:firstLine="480" w:firstLineChars="200"/>
        <w:rPr>
          <w:sz w:val="24"/>
        </w:rPr>
      </w:pPr>
      <w:r>
        <w:rPr>
          <w:rFonts w:hint="eastAsia"/>
          <w:sz w:val="24"/>
        </w:rPr>
        <w:t>3．供应商在此立约：保证在所有方面按合同文件的规定，承担本合同项目的实施和完成工作。</w:t>
      </w:r>
    </w:p>
    <w:p>
      <w:pPr>
        <w:spacing w:line="360" w:lineRule="auto"/>
        <w:ind w:firstLine="480" w:firstLineChars="200"/>
        <w:rPr>
          <w:sz w:val="24"/>
        </w:rPr>
      </w:pPr>
      <w:r>
        <w:rPr>
          <w:rFonts w:hint="eastAsia"/>
          <w:sz w:val="24"/>
        </w:rPr>
        <w:t>4．供货时间：同签订后1</w:t>
      </w:r>
      <w:r>
        <w:rPr>
          <w:rFonts w:hint="eastAsia"/>
          <w:sz w:val="24"/>
          <w:lang w:val="en-US" w:eastAsia="zh-CN"/>
        </w:rPr>
        <w:t>5</w:t>
      </w:r>
      <w:r>
        <w:rPr>
          <w:rFonts w:hint="eastAsia"/>
          <w:sz w:val="24"/>
        </w:rPr>
        <w:t>个工作日内向采购人提交干雾+水雾抑尘系统设备，并完成安装调试。</w:t>
      </w:r>
    </w:p>
    <w:p>
      <w:pPr>
        <w:spacing w:line="360" w:lineRule="auto"/>
        <w:ind w:firstLine="480" w:firstLineChars="200"/>
        <w:rPr>
          <w:sz w:val="24"/>
        </w:rPr>
      </w:pPr>
      <w:r>
        <w:rPr>
          <w:rFonts w:hint="eastAsia"/>
          <w:sz w:val="24"/>
        </w:rPr>
        <w:t>5．采购人承诺按合同条款规定的时间和方式向供应商人支付合同价款。</w:t>
      </w:r>
    </w:p>
    <w:p>
      <w:pPr>
        <w:spacing w:line="360" w:lineRule="auto"/>
        <w:ind w:firstLine="480" w:firstLineChars="200"/>
        <w:rPr>
          <w:sz w:val="24"/>
        </w:rPr>
      </w:pPr>
      <w:r>
        <w:rPr>
          <w:rFonts w:hint="eastAsia"/>
          <w:sz w:val="24"/>
        </w:rPr>
        <w:t>6．违约金或赔偿损失的方式</w:t>
      </w:r>
    </w:p>
    <w:p>
      <w:pPr>
        <w:spacing w:line="360" w:lineRule="auto"/>
        <w:ind w:firstLine="480" w:firstLineChars="200"/>
        <w:rPr>
          <w:sz w:val="24"/>
        </w:rPr>
      </w:pPr>
      <w:r>
        <w:rPr>
          <w:rFonts w:hint="eastAsia"/>
          <w:sz w:val="24"/>
        </w:rPr>
        <w:t>6.1违反本合同约定，违约方应当承担违约责任。</w:t>
      </w:r>
    </w:p>
    <w:p>
      <w:pPr>
        <w:spacing w:line="360" w:lineRule="auto"/>
        <w:ind w:firstLine="480" w:firstLineChars="200"/>
        <w:rPr>
          <w:sz w:val="24"/>
        </w:rPr>
      </w:pPr>
      <w:r>
        <w:rPr>
          <w:rFonts w:hint="eastAsia"/>
          <w:sz w:val="24"/>
        </w:rPr>
        <w:t>7</w:t>
      </w:r>
      <w:r>
        <w:rPr>
          <w:sz w:val="24"/>
        </w:rPr>
        <w:t>.本协议书一式</w:t>
      </w:r>
      <w:r>
        <w:rPr>
          <w:rFonts w:hint="eastAsia"/>
          <w:sz w:val="24"/>
          <w:u w:val="single"/>
        </w:rPr>
        <w:t xml:space="preserve"> 陆 </w:t>
      </w:r>
      <w:r>
        <w:rPr>
          <w:sz w:val="24"/>
        </w:rPr>
        <w:t>份，合同双方各执</w:t>
      </w:r>
      <w:r>
        <w:rPr>
          <w:rFonts w:hint="eastAsia"/>
          <w:sz w:val="24"/>
          <w:u w:val="single"/>
        </w:rPr>
        <w:t xml:space="preserve"> 叁 </w:t>
      </w:r>
      <w:r>
        <w:rPr>
          <w:sz w:val="24"/>
        </w:rPr>
        <w:t>份。</w:t>
      </w:r>
    </w:p>
    <w:p>
      <w:pPr>
        <w:spacing w:line="360" w:lineRule="auto"/>
        <w:ind w:firstLine="480" w:firstLineChars="200"/>
        <w:rPr>
          <w:sz w:val="24"/>
        </w:rPr>
      </w:pPr>
      <w:bookmarkStart w:id="84" w:name="_Toc152042550"/>
      <w:bookmarkStart w:id="85" w:name="_Toc144974830"/>
      <w:r>
        <w:rPr>
          <w:rFonts w:hint="eastAsia"/>
          <w:sz w:val="24"/>
        </w:rPr>
        <w:t>8</w:t>
      </w:r>
      <w:r>
        <w:rPr>
          <w:sz w:val="24"/>
        </w:rPr>
        <w:t>. 合同未尽事宜，双方另行签订补充协议。补充协议是合同的组成部分。</w:t>
      </w:r>
      <w:bookmarkEnd w:id="84"/>
      <w:bookmarkEnd w:id="85"/>
    </w:p>
    <w:p>
      <w:pPr>
        <w:spacing w:line="360" w:lineRule="auto"/>
        <w:ind w:firstLine="480" w:firstLineChars="200"/>
        <w:rPr>
          <w:sz w:val="24"/>
        </w:rPr>
      </w:pPr>
    </w:p>
    <w:p>
      <w:pPr>
        <w:spacing w:line="360" w:lineRule="auto"/>
        <w:ind w:firstLine="480" w:firstLineChars="200"/>
        <w:rPr>
          <w:sz w:val="24"/>
        </w:rPr>
      </w:pPr>
      <w:r>
        <w:rPr>
          <w:rFonts w:hint="eastAsia"/>
          <w:sz w:val="24"/>
        </w:rPr>
        <w:t>采购人</w:t>
      </w:r>
      <w:r>
        <w:rPr>
          <w:sz w:val="24"/>
        </w:rPr>
        <w:t>：（盖单位章）</w:t>
      </w:r>
      <w:r>
        <w:rPr>
          <w:rFonts w:hint="eastAsia"/>
          <w:sz w:val="24"/>
        </w:rPr>
        <w:t xml:space="preserve">                            供应商</w:t>
      </w:r>
      <w:r>
        <w:rPr>
          <w:sz w:val="24"/>
        </w:rPr>
        <w:t>：（盖单位章）</w:t>
      </w:r>
    </w:p>
    <w:p>
      <w:pPr>
        <w:spacing w:line="360" w:lineRule="auto"/>
        <w:ind w:firstLine="480" w:firstLineChars="200"/>
        <w:rPr>
          <w:sz w:val="24"/>
        </w:rPr>
      </w:pPr>
    </w:p>
    <w:p>
      <w:pPr>
        <w:spacing w:line="360" w:lineRule="auto"/>
        <w:ind w:firstLine="480" w:firstLineChars="200"/>
        <w:rPr>
          <w:sz w:val="24"/>
        </w:rPr>
      </w:pPr>
      <w:r>
        <w:rPr>
          <w:sz w:val="24"/>
        </w:rPr>
        <w:t>法定代表人或其委托代理人：（签字）</w:t>
      </w:r>
      <w:r>
        <w:rPr>
          <w:rFonts w:hint="eastAsia"/>
          <w:sz w:val="24"/>
        </w:rPr>
        <w:t xml:space="preserve">           </w:t>
      </w:r>
      <w:r>
        <w:rPr>
          <w:sz w:val="24"/>
        </w:rPr>
        <w:t>法定代表人或其委托代理人：（签字）</w:t>
      </w:r>
    </w:p>
    <w:p>
      <w:pPr>
        <w:spacing w:line="360" w:lineRule="auto"/>
        <w:ind w:firstLine="720" w:firstLineChars="300"/>
        <w:rPr>
          <w:sz w:val="24"/>
        </w:rPr>
      </w:pPr>
    </w:p>
    <w:p>
      <w:pPr>
        <w:spacing w:line="360" w:lineRule="auto"/>
        <w:ind w:firstLine="1200" w:firstLineChars="50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ind w:firstLine="480" w:firstLineChars="200"/>
        <w:rPr>
          <w:sz w:val="24"/>
        </w:rPr>
      </w:pPr>
      <w:r>
        <w:rPr>
          <w:rFonts w:hint="eastAsia"/>
          <w:sz w:val="24"/>
        </w:rPr>
        <w:br w:type="page"/>
      </w:r>
    </w:p>
    <w:p>
      <w:pPr>
        <w:pStyle w:val="2"/>
        <w:rPr>
          <w:rFonts w:ascii="Times New Roman"/>
        </w:rPr>
      </w:pPr>
      <w:bookmarkStart w:id="86" w:name="_Toc106039360"/>
      <w:bookmarkStart w:id="87" w:name="_Hlk79957878"/>
      <w:r>
        <w:rPr>
          <w:rFonts w:hint="eastAsia" w:ascii="Times New Roman"/>
        </w:rPr>
        <w:t>附件</w:t>
      </w:r>
      <w:r>
        <w:rPr>
          <w:rFonts w:hint="eastAsia"/>
        </w:rPr>
        <w:t>二</w:t>
      </w:r>
      <w:r>
        <w:rPr>
          <w:rFonts w:hint="eastAsia" w:ascii="Times New Roman"/>
        </w:rPr>
        <w:t>：廉政责任书</w:t>
      </w:r>
      <w:bookmarkEnd w:id="86"/>
    </w:p>
    <w:p>
      <w:pPr>
        <w:pStyle w:val="193"/>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采购</w:t>
      </w:r>
      <w:r>
        <w:rPr>
          <w:rFonts w:ascii="宋体" w:hAnsi="宋体"/>
          <w:color w:val="000000"/>
          <w:sz w:val="24"/>
        </w:rPr>
        <w:t>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4"/>
        <w:autoSpaceDE/>
        <w:autoSpaceDN/>
        <w:adjustRightInd/>
        <w:spacing w:line="312" w:lineRule="auto"/>
        <w:jc w:val="both"/>
        <w:rPr>
          <w:rFonts w:hAnsi="宋体" w:cs="Times New Roman"/>
          <w:color w:val="000000"/>
        </w:rPr>
      </w:pPr>
      <w:r>
        <w:rPr>
          <w:rFonts w:hint="eastAsia" w:hAnsi="宋体" w:cs="Times New Roman"/>
          <w:color w:val="000000"/>
        </w:rPr>
        <w:t>采购</w:t>
      </w:r>
      <w:r>
        <w:rPr>
          <w:rFonts w:hAnsi="宋体" w:cs="Times New Roman"/>
          <w:color w:val="000000"/>
        </w:rPr>
        <w:t>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供应商</w:t>
      </w:r>
      <w:r>
        <w:rPr>
          <w:rFonts w:hAnsi="宋体" w:cs="Times New Roman"/>
          <w:color w:val="000000"/>
        </w:rPr>
        <w:t>：</w:t>
      </w:r>
      <w:r>
        <w:rPr>
          <w:rFonts w:hAnsi="宋体" w:cs="Times New Roman"/>
          <w:color w:val="000000"/>
          <w:u w:val="single"/>
        </w:rPr>
        <w:t xml:space="preserve">    （盖单位公章）   </w:t>
      </w:r>
    </w:p>
    <w:p>
      <w:pPr>
        <w:pStyle w:val="194"/>
        <w:autoSpaceDE/>
        <w:autoSpaceDN/>
        <w:adjustRightInd/>
        <w:spacing w:line="312" w:lineRule="auto"/>
        <w:jc w:val="both"/>
        <w:rPr>
          <w:rFonts w:hAnsi="宋体" w:cs="Times New Roman"/>
          <w:color w:val="000000"/>
        </w:rPr>
      </w:pPr>
    </w:p>
    <w:p>
      <w:pPr>
        <w:pStyle w:val="194"/>
        <w:autoSpaceDE/>
        <w:autoSpaceDN/>
        <w:adjustRightInd/>
        <w:spacing w:line="312" w:lineRule="auto"/>
        <w:jc w:val="both"/>
        <w:rPr>
          <w:rFonts w:hAnsi="宋体" w:cs="Times New Roman"/>
          <w:color w:val="000000"/>
        </w:rPr>
      </w:pPr>
    </w:p>
    <w:p>
      <w:pPr>
        <w:pStyle w:val="194"/>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87"/>
      <w:r>
        <w:rPr>
          <w:rFonts w:hAnsi="宋体" w:cs="Times New Roman"/>
          <w:color w:val="000000"/>
          <w:u w:val="single"/>
        </w:rPr>
        <w:t xml:space="preserve">  </w:t>
      </w:r>
    </w:p>
    <w:p>
      <w:pPr>
        <w:pStyle w:val="194"/>
        <w:autoSpaceDE/>
        <w:autoSpaceDN/>
        <w:adjustRightInd/>
        <w:spacing w:line="312" w:lineRule="auto"/>
        <w:ind w:firstLine="480" w:firstLineChars="200"/>
        <w:jc w:val="both"/>
        <w:rPr>
          <w:rFonts w:hAnsi="宋体" w:cs="Times New Roman"/>
          <w:color w:val="000000"/>
        </w:rPr>
      </w:pPr>
    </w:p>
    <w:p>
      <w:pPr>
        <w:spacing w:line="600" w:lineRule="exact"/>
        <w:jc w:val="center"/>
        <w:rPr>
          <w:rFonts w:ascii="黑体" w:hAnsi="黑体" w:eastAsia="黑体" w:cs="仿宋"/>
          <w:b/>
          <w:color w:val="000000"/>
          <w:sz w:val="36"/>
          <w:szCs w:val="36"/>
        </w:rPr>
      </w:pPr>
    </w:p>
    <w:p>
      <w:pPr>
        <w:spacing w:line="600" w:lineRule="exact"/>
        <w:jc w:val="center"/>
        <w:rPr>
          <w:rFonts w:ascii="黑体" w:hAnsi="黑体" w:eastAsia="黑体" w:cs="仿宋"/>
          <w:b/>
          <w:color w:val="000000"/>
          <w:sz w:val="36"/>
          <w:szCs w:val="36"/>
        </w:rPr>
      </w:pPr>
    </w:p>
    <w:p>
      <w:pPr>
        <w:spacing w:line="600" w:lineRule="exact"/>
        <w:jc w:val="both"/>
        <w:rPr>
          <w:rFonts w:ascii="黑体" w:hAnsi="黑体" w:eastAsia="黑体" w:cs="仿宋"/>
          <w:b/>
          <w:color w:val="000000"/>
          <w:sz w:val="36"/>
          <w:szCs w:val="36"/>
        </w:rPr>
      </w:pPr>
    </w:p>
    <w:p>
      <w:pPr>
        <w:pStyle w:val="41"/>
        <w:rPr>
          <w:rFonts w:ascii="黑体" w:hAnsi="黑体" w:eastAsia="黑体" w:cs="仿宋"/>
          <w:b/>
          <w:color w:val="000000"/>
          <w:sz w:val="36"/>
          <w:szCs w:val="36"/>
        </w:rPr>
      </w:pPr>
    </w:p>
    <w:p>
      <w:pPr>
        <w:pStyle w:val="2"/>
        <w:rPr>
          <w:rFonts w:ascii="Times New Roman"/>
        </w:rPr>
      </w:pPr>
      <w:bookmarkStart w:id="88" w:name="_Toc106039361"/>
      <w:r>
        <w:rPr>
          <w:rFonts w:hint="eastAsia" w:ascii="Times New Roman"/>
        </w:rPr>
        <w:t>附件</w:t>
      </w:r>
      <w:r>
        <w:rPr>
          <w:rFonts w:hint="eastAsia"/>
        </w:rPr>
        <w:t>三</w:t>
      </w:r>
      <w:r>
        <w:rPr>
          <w:rFonts w:hint="eastAsia" w:ascii="Times New Roman"/>
        </w:rPr>
        <w:t>：安全协议</w:t>
      </w:r>
      <w:bookmarkEnd w:id="88"/>
    </w:p>
    <w:p>
      <w:pPr>
        <w:pStyle w:val="193"/>
        <w:autoSpaceDE/>
        <w:autoSpaceDN/>
        <w:adjustRightInd/>
        <w:spacing w:before="240" w:after="240" w:line="490" w:lineRule="exact"/>
        <w:jc w:val="center"/>
        <w:rPr>
          <w:rFonts w:cs="Times New Roman"/>
          <w:b/>
          <w:color w:val="000000"/>
          <w:sz w:val="32"/>
          <w:szCs w:val="32"/>
        </w:rPr>
      </w:pPr>
      <w:r>
        <w:rPr>
          <w:rFonts w:hint="eastAsia" w:cs="Times New Roman"/>
          <w:b/>
          <w:color w:val="000000"/>
          <w:sz w:val="32"/>
          <w:szCs w:val="32"/>
        </w:rPr>
        <w:t>安全协议（格式）</w:t>
      </w:r>
    </w:p>
    <w:p>
      <w:pPr>
        <w:spacing w:line="312" w:lineRule="auto"/>
        <w:ind w:firstLine="480" w:firstLineChars="200"/>
        <w:rPr>
          <w:rFonts w:ascii="宋体" w:hAnsi="宋体"/>
          <w:color w:val="000000"/>
          <w:sz w:val="24"/>
        </w:rPr>
      </w:pPr>
      <w:r>
        <w:rPr>
          <w:rFonts w:hint="eastAsia" w:ascii="宋体" w:hAnsi="宋体"/>
          <w:color w:val="000000"/>
          <w:sz w:val="24"/>
        </w:rPr>
        <w:t>采购人：</w:t>
      </w:r>
      <w:r>
        <w:rPr>
          <w:rFonts w:ascii="宋体" w:hAnsi="宋体"/>
          <w:color w:val="000000"/>
          <w:sz w:val="24"/>
        </w:rPr>
        <w:t>（以下简称</w:t>
      </w:r>
      <w:r>
        <w:rPr>
          <w:rFonts w:hint="eastAsia" w:ascii="宋体" w:hAnsi="宋体"/>
          <w:color w:val="000000"/>
          <w:sz w:val="24"/>
        </w:rPr>
        <w:t>甲方</w:t>
      </w:r>
      <w:r>
        <w:rPr>
          <w:rFonts w:ascii="宋体" w:hAnsi="宋体"/>
          <w:color w:val="000000"/>
          <w:sz w:val="24"/>
        </w:rPr>
        <w:t>）</w:t>
      </w:r>
    </w:p>
    <w:p>
      <w:pPr>
        <w:spacing w:line="312" w:lineRule="auto"/>
        <w:ind w:firstLine="480" w:firstLineChars="200"/>
        <w:rPr>
          <w:rFonts w:ascii="宋体" w:hAnsi="宋体"/>
          <w:color w:val="000000"/>
          <w:sz w:val="24"/>
        </w:rPr>
      </w:pPr>
      <w:r>
        <w:rPr>
          <w:rFonts w:hint="eastAsia" w:ascii="宋体" w:hAnsi="宋体"/>
          <w:color w:val="000000"/>
          <w:sz w:val="24"/>
        </w:rPr>
        <w:t>供应商：</w:t>
      </w:r>
      <w:r>
        <w:rPr>
          <w:rFonts w:ascii="宋体" w:hAnsi="宋体"/>
          <w:color w:val="000000"/>
          <w:sz w:val="24"/>
        </w:rPr>
        <w:t>（以下简称</w:t>
      </w:r>
      <w:r>
        <w:rPr>
          <w:rFonts w:hint="eastAsia" w:ascii="宋体" w:hAnsi="宋体"/>
          <w:color w:val="000000"/>
          <w:sz w:val="24"/>
        </w:rPr>
        <w:t>乙方</w:t>
      </w:r>
      <w:r>
        <w:rPr>
          <w:rFonts w:ascii="宋体" w:hAnsi="宋体"/>
          <w:color w:val="000000"/>
          <w:sz w:val="24"/>
        </w:rPr>
        <w:t>）</w:t>
      </w:r>
    </w:p>
    <w:p>
      <w:pPr>
        <w:spacing w:line="312" w:lineRule="auto"/>
        <w:ind w:firstLine="480" w:firstLineChars="200"/>
        <w:rPr>
          <w:rFonts w:ascii="宋体" w:hAnsi="宋体"/>
          <w:color w:val="000000"/>
          <w:sz w:val="24"/>
        </w:rPr>
      </w:pPr>
      <w:r>
        <w:rPr>
          <w:rFonts w:hint="eastAsia" w:ascii="宋体" w:hAnsi="宋体"/>
          <w:color w:val="000000"/>
          <w:sz w:val="24"/>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安全生产事项，经协商一致，签订本合同。</w:t>
      </w:r>
    </w:p>
    <w:p>
      <w:pPr>
        <w:spacing w:line="312" w:lineRule="auto"/>
        <w:ind w:firstLine="480" w:firstLineChars="200"/>
        <w:rPr>
          <w:rFonts w:ascii="宋体" w:hAnsi="宋体"/>
          <w:color w:val="000000"/>
          <w:sz w:val="24"/>
          <w:u w:val="single"/>
        </w:rPr>
      </w:pPr>
      <w:r>
        <w:rPr>
          <w:rFonts w:hint="eastAsia" w:ascii="宋体" w:hAnsi="宋体"/>
          <w:color w:val="000000"/>
          <w:sz w:val="24"/>
        </w:rPr>
        <w:t>第一条　项目名称：</w:t>
      </w:r>
      <w:r>
        <w:rPr>
          <w:rFonts w:hint="eastAsia"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第二条　本合同内容只涉及甲乙双方在本项目中关于安全生产的权利和责任。</w:t>
      </w:r>
    </w:p>
    <w:p>
      <w:pPr>
        <w:spacing w:line="312" w:lineRule="auto"/>
        <w:ind w:firstLine="480" w:firstLineChars="200"/>
        <w:rPr>
          <w:rFonts w:ascii="宋体" w:hAnsi="宋体"/>
          <w:color w:val="000000"/>
          <w:sz w:val="24"/>
        </w:rPr>
      </w:pPr>
      <w:r>
        <w:rPr>
          <w:rFonts w:hint="eastAsia" w:ascii="宋体" w:hAnsi="宋体"/>
          <w:color w:val="000000"/>
          <w:sz w:val="24"/>
        </w:rPr>
        <w:t>第三条　甲方的权利：</w:t>
      </w:r>
    </w:p>
    <w:p>
      <w:pPr>
        <w:spacing w:line="312" w:lineRule="auto"/>
        <w:ind w:firstLine="480" w:firstLineChars="200"/>
        <w:rPr>
          <w:rFonts w:ascii="宋体" w:hAnsi="宋体"/>
          <w:color w:val="000000"/>
          <w:sz w:val="24"/>
        </w:rPr>
      </w:pPr>
      <w:r>
        <w:rPr>
          <w:rFonts w:hint="eastAsia" w:ascii="宋体" w:hAnsi="宋体"/>
          <w:color w:val="000000"/>
          <w:sz w:val="24"/>
        </w:rPr>
        <w:t>（一）有权要求乙方建立安全组织机构或指定专人，负责现场安全监护。严格执行安全生产法律、法规、条例、标准，遵守甲方的安全生产规章制度等。</w:t>
      </w:r>
    </w:p>
    <w:p>
      <w:pPr>
        <w:spacing w:line="312" w:lineRule="auto"/>
        <w:ind w:firstLine="480" w:firstLineChars="200"/>
        <w:rPr>
          <w:rFonts w:ascii="宋体" w:hAnsi="宋体"/>
          <w:color w:val="000000"/>
          <w:sz w:val="24"/>
        </w:rPr>
      </w:pPr>
      <w:r>
        <w:rPr>
          <w:rFonts w:hint="eastAsia" w:ascii="宋体" w:hAnsi="宋体"/>
          <w:color w:val="000000"/>
          <w:sz w:val="24"/>
        </w:rPr>
        <w:t>（二）有权按规定对乙方安全业绩、资质进行审查，对乙方针对作业项目制定的职业健康安全、环境项目进行审查。</w:t>
      </w:r>
    </w:p>
    <w:p>
      <w:pPr>
        <w:spacing w:line="312" w:lineRule="auto"/>
        <w:ind w:firstLine="480" w:firstLineChars="200"/>
        <w:rPr>
          <w:rFonts w:ascii="宋体" w:hAnsi="宋体"/>
          <w:color w:val="000000"/>
          <w:sz w:val="24"/>
        </w:rPr>
      </w:pPr>
      <w:r>
        <w:rPr>
          <w:rFonts w:hint="eastAsia" w:ascii="宋体" w:hAnsi="宋体"/>
          <w:color w:val="000000"/>
          <w:sz w:val="24"/>
        </w:rPr>
        <w:t>（三）有权要求乙方维护好相关的甲方的安全生产设施、设备和器材。</w:t>
      </w:r>
    </w:p>
    <w:p>
      <w:pPr>
        <w:spacing w:line="312" w:lineRule="auto"/>
        <w:ind w:firstLine="480" w:firstLineChars="200"/>
        <w:rPr>
          <w:rFonts w:ascii="宋体" w:hAnsi="宋体"/>
          <w:color w:val="000000"/>
          <w:sz w:val="24"/>
        </w:rPr>
      </w:pPr>
      <w:r>
        <w:rPr>
          <w:rFonts w:hint="eastAsia" w:ascii="宋体" w:hAnsi="宋体"/>
          <w:color w:val="000000"/>
          <w:sz w:val="24"/>
        </w:rPr>
        <w:t>（四）有权要求乙方对进入甲方现场作业前所有作业人员进行安全培训与教育。</w:t>
      </w:r>
    </w:p>
    <w:p>
      <w:pPr>
        <w:spacing w:line="312" w:lineRule="auto"/>
        <w:ind w:firstLine="480" w:firstLineChars="200"/>
        <w:rPr>
          <w:rFonts w:ascii="宋体" w:hAnsi="宋体"/>
          <w:color w:val="000000"/>
          <w:sz w:val="24"/>
        </w:rPr>
      </w:pPr>
      <w:r>
        <w:rPr>
          <w:rFonts w:hint="eastAsia" w:ascii="宋体" w:hAnsi="宋体"/>
          <w:color w:val="000000"/>
          <w:sz w:val="24"/>
        </w:rPr>
        <w:t>（五）有权对乙方的作业现场的安全作业情况进行监督检查，有权对乙方不符合安全生产要求的行为进行纠正、处罚、制止、停止作业、直至清退出场。</w:t>
      </w:r>
    </w:p>
    <w:p>
      <w:pPr>
        <w:spacing w:line="312" w:lineRule="auto"/>
        <w:ind w:firstLine="480" w:firstLineChars="200"/>
        <w:rPr>
          <w:rFonts w:ascii="宋体" w:hAnsi="宋体"/>
          <w:color w:val="000000"/>
          <w:sz w:val="24"/>
        </w:rPr>
      </w:pPr>
      <w:r>
        <w:rPr>
          <w:rFonts w:hint="eastAsia" w:ascii="宋体" w:hAnsi="宋体"/>
          <w:color w:val="000000"/>
          <w:sz w:val="24"/>
        </w:rPr>
        <w:t>（六）有权要求乙方对其所有作业人员进行购买工伤保险和意外伤害保险。</w:t>
      </w:r>
    </w:p>
    <w:p>
      <w:pPr>
        <w:spacing w:line="312" w:lineRule="auto"/>
        <w:ind w:firstLine="480" w:firstLineChars="200"/>
        <w:rPr>
          <w:rFonts w:ascii="宋体" w:hAnsi="宋体"/>
          <w:color w:val="000000"/>
          <w:sz w:val="24"/>
        </w:rPr>
      </w:pPr>
      <w:r>
        <w:rPr>
          <w:rFonts w:hint="eastAsia" w:ascii="宋体" w:hAnsi="宋体"/>
          <w:color w:val="000000"/>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spacing w:line="312" w:lineRule="auto"/>
        <w:ind w:firstLine="480" w:firstLineChars="200"/>
        <w:rPr>
          <w:rFonts w:ascii="宋体" w:hAnsi="宋体"/>
          <w:color w:val="000000"/>
          <w:sz w:val="24"/>
        </w:rPr>
      </w:pPr>
      <w:r>
        <w:rPr>
          <w:rFonts w:hint="eastAsia" w:ascii="宋体" w:hAnsi="宋体"/>
          <w:color w:val="000000"/>
          <w:sz w:val="24"/>
        </w:rPr>
        <w:t>第四条　甲方的责任</w:t>
      </w:r>
    </w:p>
    <w:p>
      <w:pPr>
        <w:spacing w:line="312" w:lineRule="auto"/>
        <w:ind w:firstLine="480" w:firstLineChars="200"/>
        <w:rPr>
          <w:rFonts w:ascii="宋体" w:hAnsi="宋体"/>
          <w:color w:val="000000"/>
          <w:sz w:val="24"/>
        </w:rPr>
      </w:pPr>
      <w:r>
        <w:rPr>
          <w:rFonts w:hint="eastAsia" w:ascii="宋体" w:hAnsi="宋体"/>
          <w:color w:val="000000"/>
          <w:sz w:val="24"/>
        </w:rPr>
        <w:t>（一）认真贯彻落实国家有关法律、法规、标准及甲方公司安全生产规章制度。</w:t>
      </w:r>
    </w:p>
    <w:p>
      <w:pPr>
        <w:spacing w:line="312" w:lineRule="auto"/>
        <w:ind w:firstLine="480" w:firstLineChars="200"/>
        <w:rPr>
          <w:rFonts w:ascii="宋体" w:hAnsi="宋体"/>
          <w:color w:val="000000"/>
          <w:sz w:val="24"/>
        </w:rPr>
      </w:pPr>
      <w:r>
        <w:rPr>
          <w:rFonts w:hint="eastAsia" w:ascii="宋体" w:hAnsi="宋体"/>
          <w:color w:val="000000"/>
          <w:sz w:val="24"/>
        </w:rPr>
        <w:t>（二）向乙方明确作业区的范围、危险源。</w:t>
      </w:r>
    </w:p>
    <w:p>
      <w:pPr>
        <w:spacing w:line="312" w:lineRule="auto"/>
        <w:ind w:firstLine="480" w:firstLineChars="200"/>
        <w:rPr>
          <w:rFonts w:ascii="宋体" w:hAnsi="宋体"/>
          <w:color w:val="000000"/>
          <w:sz w:val="24"/>
        </w:rPr>
      </w:pPr>
      <w:r>
        <w:rPr>
          <w:rFonts w:hint="eastAsia" w:ascii="宋体" w:hAnsi="宋体"/>
          <w:color w:val="000000"/>
          <w:sz w:val="24"/>
        </w:rPr>
        <w:t>（三）为乙方提供项目合同中规定的安全作业条件。</w:t>
      </w:r>
    </w:p>
    <w:p>
      <w:pPr>
        <w:spacing w:line="312" w:lineRule="auto"/>
        <w:ind w:firstLine="480" w:firstLineChars="200"/>
        <w:rPr>
          <w:rFonts w:ascii="宋体" w:hAnsi="宋体"/>
          <w:color w:val="000000"/>
          <w:sz w:val="24"/>
        </w:rPr>
      </w:pPr>
      <w:r>
        <w:rPr>
          <w:rFonts w:hint="eastAsia" w:ascii="宋体" w:hAnsi="宋体"/>
          <w:color w:val="000000"/>
          <w:sz w:val="24"/>
        </w:rPr>
        <w:t>（四）发生事故后积极协助抢险，防止事故扩大，并按照甲方公司有关规定进行报告。</w:t>
      </w:r>
    </w:p>
    <w:p>
      <w:pPr>
        <w:spacing w:line="312" w:lineRule="auto"/>
        <w:ind w:firstLine="480" w:firstLineChars="200"/>
        <w:rPr>
          <w:rFonts w:ascii="宋体" w:hAnsi="宋体"/>
          <w:color w:val="000000"/>
          <w:sz w:val="24"/>
        </w:rPr>
      </w:pPr>
      <w:r>
        <w:rPr>
          <w:rFonts w:hint="eastAsia" w:ascii="宋体" w:hAnsi="宋体"/>
          <w:color w:val="000000"/>
          <w:sz w:val="24"/>
        </w:rPr>
        <w:t>第五条　乙方的权利</w:t>
      </w:r>
    </w:p>
    <w:p>
      <w:pPr>
        <w:spacing w:line="312" w:lineRule="auto"/>
        <w:ind w:firstLine="480" w:firstLineChars="200"/>
        <w:rPr>
          <w:rFonts w:ascii="宋体" w:hAnsi="宋体"/>
          <w:color w:val="000000"/>
          <w:sz w:val="24"/>
        </w:rPr>
      </w:pPr>
      <w:r>
        <w:rPr>
          <w:rFonts w:hint="eastAsia" w:ascii="宋体" w:hAnsi="宋体"/>
          <w:color w:val="000000"/>
          <w:sz w:val="24"/>
        </w:rPr>
        <w:t>（一）有权对甲方的安全工作提出合理化建议和改进意见。</w:t>
      </w:r>
    </w:p>
    <w:p>
      <w:pPr>
        <w:spacing w:line="312" w:lineRule="auto"/>
        <w:ind w:firstLine="480" w:firstLineChars="200"/>
        <w:rPr>
          <w:rFonts w:ascii="宋体" w:hAnsi="宋体"/>
          <w:color w:val="000000"/>
          <w:sz w:val="24"/>
        </w:rPr>
      </w:pPr>
      <w:r>
        <w:rPr>
          <w:rFonts w:hint="eastAsia" w:ascii="宋体" w:hAnsi="宋体"/>
          <w:color w:val="000000"/>
          <w:sz w:val="24"/>
        </w:rPr>
        <w:t>（二）日常作业中，若甲方违章指挥、强令乙方冒险作业，有权拒绝执行。</w:t>
      </w:r>
    </w:p>
    <w:p>
      <w:pPr>
        <w:spacing w:line="312" w:lineRule="auto"/>
        <w:ind w:firstLine="480" w:firstLineChars="200"/>
        <w:rPr>
          <w:rFonts w:ascii="宋体" w:hAnsi="宋体"/>
          <w:color w:val="000000"/>
          <w:sz w:val="24"/>
        </w:rPr>
      </w:pPr>
      <w:r>
        <w:rPr>
          <w:rFonts w:hint="eastAsia" w:ascii="宋体" w:hAnsi="宋体"/>
          <w:color w:val="000000"/>
          <w:sz w:val="24"/>
        </w:rPr>
        <w:t>（三）有权要求甲方提供符合安全作业的工艺条件和环境。</w:t>
      </w:r>
    </w:p>
    <w:p>
      <w:pPr>
        <w:spacing w:line="312" w:lineRule="auto"/>
        <w:ind w:firstLine="480" w:firstLineChars="200"/>
        <w:rPr>
          <w:rFonts w:ascii="宋体" w:hAnsi="宋体"/>
          <w:color w:val="000000"/>
          <w:sz w:val="24"/>
        </w:rPr>
      </w:pPr>
      <w:r>
        <w:rPr>
          <w:rFonts w:hint="eastAsia" w:ascii="宋体" w:hAnsi="宋体"/>
          <w:color w:val="000000"/>
          <w:sz w:val="24"/>
        </w:rPr>
        <w:t>（四）发生严重危及乙方生命安全的紧急情况时，乙方有权采取必要的避险措施。</w:t>
      </w:r>
    </w:p>
    <w:p>
      <w:pPr>
        <w:spacing w:line="312" w:lineRule="auto"/>
        <w:ind w:firstLine="480" w:firstLineChars="200"/>
        <w:rPr>
          <w:rFonts w:ascii="宋体" w:hAnsi="宋体"/>
          <w:color w:val="000000"/>
          <w:sz w:val="24"/>
        </w:rPr>
      </w:pPr>
      <w:r>
        <w:rPr>
          <w:rFonts w:hint="eastAsia" w:ascii="宋体" w:hAnsi="宋体"/>
          <w:color w:val="000000"/>
          <w:sz w:val="24"/>
        </w:rPr>
        <w:t>第六条　乙方的责任</w:t>
      </w:r>
    </w:p>
    <w:p>
      <w:pPr>
        <w:spacing w:line="312" w:lineRule="auto"/>
        <w:ind w:firstLine="480" w:firstLineChars="200"/>
        <w:rPr>
          <w:rFonts w:ascii="宋体" w:hAnsi="宋体"/>
          <w:color w:val="000000"/>
          <w:sz w:val="24"/>
        </w:rPr>
      </w:pPr>
      <w:r>
        <w:rPr>
          <w:rFonts w:hint="eastAsia" w:ascii="宋体" w:hAnsi="宋体"/>
          <w:color w:val="000000"/>
          <w:sz w:val="24"/>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（二）健全安全组织机构，建立安全生产责任制，制定健全的安全生产规章制度，制定生产安全事故应急求援预案，配备必要的安全生产管理人员和劳动保护用品，严格执行甲方相关的规章制度。</w:t>
      </w:r>
    </w:p>
    <w:p>
      <w:pPr>
        <w:spacing w:line="312" w:lineRule="auto"/>
        <w:ind w:firstLine="480" w:firstLineChars="200"/>
        <w:rPr>
          <w:rFonts w:ascii="宋体" w:hAnsi="宋体"/>
          <w:color w:val="000000"/>
          <w:sz w:val="24"/>
        </w:rPr>
      </w:pPr>
      <w:r>
        <w:rPr>
          <w:rFonts w:hint="eastAsia" w:ascii="宋体" w:hAnsi="宋体"/>
          <w:color w:val="000000"/>
          <w:sz w:val="24"/>
        </w:rPr>
        <w:t>（三）应对作业人员进行作业前安全教育培训，使其具备相应的安全意识和安全技能；特种作业人员应具有相应的资格证书。</w:t>
      </w:r>
    </w:p>
    <w:p>
      <w:pPr>
        <w:spacing w:line="312" w:lineRule="auto"/>
        <w:ind w:firstLine="480" w:firstLineChars="200"/>
        <w:rPr>
          <w:rFonts w:ascii="宋体" w:hAnsi="宋体"/>
          <w:color w:val="000000"/>
          <w:sz w:val="24"/>
        </w:rPr>
      </w:pPr>
      <w:r>
        <w:rPr>
          <w:rFonts w:hint="eastAsia" w:ascii="宋体" w:hAnsi="宋体"/>
          <w:color w:val="000000"/>
          <w:sz w:val="24"/>
        </w:rPr>
        <w:t>（四）不得使用不符合国家、行业标准和甲方规定的原材料、设备、装置、防护用品、器材、安全检测仪器等。所使用的特种设备，必须经具有专业资质的检验检测机构检测。经检测不合格的，不得继续使用。</w:t>
      </w:r>
    </w:p>
    <w:p>
      <w:pPr>
        <w:spacing w:line="312" w:lineRule="auto"/>
        <w:ind w:firstLine="480" w:firstLineChars="200"/>
        <w:rPr>
          <w:rFonts w:ascii="宋体" w:hAnsi="宋体"/>
          <w:color w:val="000000"/>
          <w:sz w:val="24"/>
        </w:rPr>
      </w:pPr>
      <w:r>
        <w:rPr>
          <w:rFonts w:hint="eastAsia" w:ascii="宋体" w:hAnsi="宋体"/>
          <w:color w:val="000000"/>
          <w:sz w:val="24"/>
        </w:rPr>
        <w:t>（五）指定专人负责现场安全监督检查工作，认真开展安全检查，发现作业过程中不安全行为和隐患、应采取有效措施积极处理。</w:t>
      </w:r>
    </w:p>
    <w:p>
      <w:pPr>
        <w:spacing w:line="312" w:lineRule="auto"/>
        <w:ind w:firstLine="480" w:firstLineChars="200"/>
        <w:rPr>
          <w:rFonts w:ascii="宋体" w:hAnsi="宋体"/>
          <w:color w:val="000000"/>
          <w:sz w:val="24"/>
        </w:rPr>
      </w:pPr>
      <w:r>
        <w:rPr>
          <w:rFonts w:hint="eastAsia" w:ascii="宋体" w:hAnsi="宋体"/>
          <w:color w:val="000000"/>
          <w:sz w:val="24"/>
        </w:rPr>
        <w:t>（六）乙方有责任对作业区域的安全生产条件进行详细了解。</w:t>
      </w:r>
    </w:p>
    <w:p>
      <w:pPr>
        <w:spacing w:line="312" w:lineRule="auto"/>
        <w:ind w:firstLine="480" w:firstLineChars="200"/>
        <w:rPr>
          <w:rFonts w:ascii="宋体" w:hAnsi="宋体"/>
          <w:color w:val="000000"/>
          <w:sz w:val="24"/>
        </w:rPr>
      </w:pPr>
      <w:r>
        <w:rPr>
          <w:rFonts w:hint="eastAsia" w:ascii="宋体" w:hAnsi="宋体"/>
          <w:color w:val="000000"/>
          <w:sz w:val="24"/>
        </w:rPr>
        <w:t>（七）乙方在作业过程中有属于危及安全生产的关键作业时，应提出切实可行的方案，经甲方同意后，方可实施。</w:t>
      </w:r>
    </w:p>
    <w:p>
      <w:pPr>
        <w:spacing w:line="312" w:lineRule="auto"/>
        <w:ind w:firstLine="480" w:firstLineChars="200"/>
        <w:rPr>
          <w:rFonts w:ascii="宋体" w:hAnsi="宋体"/>
          <w:color w:val="000000"/>
          <w:sz w:val="24"/>
        </w:rPr>
      </w:pPr>
      <w:r>
        <w:rPr>
          <w:rFonts w:hint="eastAsia" w:ascii="宋体" w:hAnsi="宋体"/>
          <w:color w:val="000000"/>
          <w:sz w:val="24"/>
        </w:rPr>
        <w:t>（八）乙方不能将项目转包给第三方。</w:t>
      </w:r>
    </w:p>
    <w:p>
      <w:pPr>
        <w:spacing w:line="312" w:lineRule="auto"/>
        <w:ind w:firstLine="480" w:firstLineChars="200"/>
        <w:rPr>
          <w:rFonts w:ascii="宋体" w:hAnsi="宋体"/>
          <w:color w:val="000000"/>
          <w:sz w:val="24"/>
        </w:rPr>
      </w:pPr>
      <w:r>
        <w:rPr>
          <w:rFonts w:hint="eastAsia" w:ascii="宋体" w:hAnsi="宋体"/>
          <w:color w:val="000000"/>
          <w:sz w:val="24"/>
        </w:rPr>
        <w:t>（九）乙方在施工期间只能在甲方规定的路线进出公司，只能在规定的施工区域内作业，禁止私自进入甲方其它生产区域。</w:t>
      </w:r>
    </w:p>
    <w:p>
      <w:pPr>
        <w:spacing w:line="312" w:lineRule="auto"/>
        <w:ind w:firstLine="480" w:firstLineChars="200"/>
        <w:rPr>
          <w:rFonts w:ascii="宋体" w:hAnsi="宋体"/>
          <w:color w:val="000000"/>
          <w:sz w:val="24"/>
        </w:rPr>
      </w:pPr>
      <w:r>
        <w:rPr>
          <w:rFonts w:hint="eastAsia" w:ascii="宋体" w:hAnsi="宋体"/>
          <w:color w:val="000000"/>
          <w:sz w:val="24"/>
        </w:rPr>
        <w:t>（十）乙方应服从甲方单位的安全管理。</w:t>
      </w:r>
    </w:p>
    <w:p>
      <w:pPr>
        <w:spacing w:line="312" w:lineRule="auto"/>
        <w:ind w:firstLine="480" w:firstLineChars="200"/>
        <w:rPr>
          <w:rFonts w:ascii="宋体" w:hAnsi="宋体"/>
          <w:color w:val="000000"/>
          <w:sz w:val="24"/>
        </w:rPr>
      </w:pPr>
      <w:r>
        <w:rPr>
          <w:rFonts w:hint="eastAsia" w:ascii="宋体" w:hAnsi="宋体"/>
          <w:color w:val="000000"/>
          <w:sz w:val="24"/>
        </w:rPr>
        <w:t>（十一）发生事故时，应积极抢险，避免事故的进一步扩大，并按照国家相关要求报告事故。</w:t>
      </w:r>
    </w:p>
    <w:p>
      <w:pPr>
        <w:spacing w:line="312" w:lineRule="auto"/>
        <w:ind w:firstLine="480" w:firstLineChars="200"/>
        <w:rPr>
          <w:rFonts w:ascii="宋体" w:hAnsi="宋体"/>
          <w:color w:val="000000"/>
          <w:sz w:val="24"/>
        </w:rPr>
      </w:pPr>
      <w:r>
        <w:rPr>
          <w:rFonts w:hint="eastAsia" w:ascii="宋体" w:hAnsi="宋体"/>
          <w:color w:val="000000"/>
          <w:sz w:val="24"/>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spacing w:line="312" w:lineRule="auto"/>
        <w:ind w:firstLine="480" w:firstLineChars="200"/>
        <w:rPr>
          <w:rFonts w:ascii="宋体" w:hAnsi="宋体"/>
          <w:color w:val="000000"/>
          <w:sz w:val="24"/>
        </w:rPr>
      </w:pPr>
      <w:r>
        <w:rPr>
          <w:rFonts w:hint="eastAsia" w:ascii="宋体" w:hAnsi="宋体"/>
          <w:color w:val="000000"/>
          <w:sz w:val="24"/>
        </w:rPr>
        <w:t>第七条  违约责任及处理</w:t>
      </w:r>
    </w:p>
    <w:p>
      <w:pPr>
        <w:spacing w:line="312" w:lineRule="auto"/>
        <w:ind w:firstLine="480" w:firstLineChars="200"/>
        <w:rPr>
          <w:rFonts w:ascii="宋体" w:hAnsi="宋体"/>
          <w:color w:val="000000"/>
          <w:sz w:val="24"/>
        </w:rPr>
      </w:pPr>
      <w:r>
        <w:rPr>
          <w:rFonts w:hint="eastAsia" w:ascii="宋体" w:hAnsi="宋体"/>
          <w:color w:val="000000"/>
          <w:sz w:val="24"/>
        </w:rPr>
        <w:t>（一）甲乙双方违反本合同要求，未造成事故时，依据相关合同对违约者进行处理（包括但不限于支付违约金、赔偿损失等）。</w:t>
      </w:r>
    </w:p>
    <w:p>
      <w:pPr>
        <w:spacing w:line="312" w:lineRule="auto"/>
        <w:ind w:firstLine="480" w:firstLineChars="200"/>
        <w:rPr>
          <w:rFonts w:ascii="宋体" w:hAnsi="宋体"/>
          <w:color w:val="000000"/>
          <w:sz w:val="24"/>
        </w:rPr>
      </w:pPr>
      <w:r>
        <w:rPr>
          <w:rFonts w:hint="eastAsia" w:ascii="宋体" w:hAnsi="宋体"/>
          <w:color w:val="000000"/>
          <w:sz w:val="24"/>
        </w:rPr>
        <w:t>（二）发生事故时，甲、乙双方有抢险、救灾的责任，所发生的费用由责任方承担。</w:t>
      </w:r>
    </w:p>
    <w:p>
      <w:pPr>
        <w:spacing w:line="312" w:lineRule="auto"/>
        <w:ind w:firstLine="480" w:firstLineChars="200"/>
        <w:rPr>
          <w:rFonts w:ascii="宋体" w:hAnsi="宋体"/>
          <w:color w:val="000000"/>
          <w:sz w:val="24"/>
        </w:rPr>
      </w:pPr>
      <w:r>
        <w:rPr>
          <w:rFonts w:hint="eastAsia" w:ascii="宋体" w:hAnsi="宋体"/>
          <w:color w:val="000000"/>
          <w:sz w:val="24"/>
        </w:rPr>
        <w:t xml:space="preserve">（三）发生的事故，应经事故调查确认责任；事故报告和调查应按照国家和甲方有关规定进行。           </w:t>
      </w:r>
    </w:p>
    <w:p>
      <w:pPr>
        <w:spacing w:line="312" w:lineRule="auto"/>
        <w:ind w:firstLine="480" w:firstLineChars="200"/>
        <w:rPr>
          <w:rFonts w:ascii="宋体" w:hAnsi="宋体"/>
          <w:color w:val="000000"/>
          <w:sz w:val="24"/>
        </w:rPr>
      </w:pPr>
      <w:r>
        <w:rPr>
          <w:rFonts w:hint="eastAsia" w:ascii="宋体" w:hAnsi="宋体"/>
          <w:color w:val="000000"/>
          <w:sz w:val="24"/>
        </w:rPr>
        <w:t>（四）甲方违约造成的事故，甲方承担全部责任，并按规定追究有关人员责任及上报。</w:t>
      </w:r>
    </w:p>
    <w:p>
      <w:pPr>
        <w:spacing w:line="312" w:lineRule="auto"/>
        <w:ind w:firstLine="480" w:firstLineChars="200"/>
        <w:rPr>
          <w:rFonts w:ascii="宋体" w:hAnsi="宋体"/>
          <w:color w:val="000000"/>
          <w:sz w:val="24"/>
        </w:rPr>
      </w:pPr>
      <w:r>
        <w:rPr>
          <w:rFonts w:hint="eastAsia" w:ascii="宋体" w:hAnsi="宋体"/>
          <w:color w:val="000000"/>
          <w:sz w:val="24"/>
        </w:rPr>
        <w:t>（五）乙方违约造成的事故，乙方承担全部责任，并按规定追究有关人员责任并报告甲方；由于乙方工程质量、检修质量及购买的原材料导致的事故，由乙方承担全部责任。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（六）甲、乙双方共同造成的事故，按双方责任大小承担相应责任，并按规定追究有关人员责任。</w:t>
      </w:r>
    </w:p>
    <w:p>
      <w:pPr>
        <w:spacing w:line="312" w:lineRule="auto"/>
        <w:ind w:firstLine="480" w:firstLineChars="200"/>
        <w:rPr>
          <w:rFonts w:ascii="宋体" w:hAnsi="宋体"/>
          <w:color w:val="000000"/>
          <w:sz w:val="24"/>
        </w:rPr>
      </w:pPr>
      <w:r>
        <w:rPr>
          <w:rFonts w:hint="eastAsia" w:ascii="宋体" w:hAnsi="宋体"/>
          <w:color w:val="000000"/>
          <w:sz w:val="24"/>
        </w:rPr>
        <w:t>（七）对乙方发生事故后弄虚作假、隐瞒不报、迟报或谎报，一经查出，按有关规定从重处罚，情节严重的，甲方有权向当地政府安全生产监督管理部门报告，并取消其进入甲方市场资格。</w:t>
      </w:r>
    </w:p>
    <w:p>
      <w:pPr>
        <w:spacing w:line="312" w:lineRule="auto"/>
        <w:ind w:firstLine="480" w:firstLineChars="200"/>
        <w:rPr>
          <w:rFonts w:ascii="宋体" w:hAnsi="宋体"/>
          <w:color w:val="000000"/>
          <w:sz w:val="24"/>
        </w:rPr>
      </w:pPr>
      <w:r>
        <w:rPr>
          <w:rFonts w:hint="eastAsia" w:ascii="宋体" w:hAnsi="宋体"/>
          <w:color w:val="000000"/>
          <w:sz w:val="24"/>
        </w:rPr>
        <w:t>（八）施工期间，需要办理的有关安全的批文或其它手续，乙方必须办理齐全，否则发生安全事故由乙方承担全部责任。</w:t>
      </w:r>
    </w:p>
    <w:p>
      <w:pPr>
        <w:spacing w:line="312" w:lineRule="auto"/>
        <w:ind w:firstLine="480" w:firstLineChars="200"/>
        <w:rPr>
          <w:rFonts w:ascii="宋体" w:hAnsi="宋体"/>
          <w:color w:val="000000"/>
          <w:sz w:val="24"/>
        </w:rPr>
      </w:pPr>
      <w:r>
        <w:rPr>
          <w:rFonts w:hint="eastAsia" w:ascii="宋体" w:hAnsi="宋体"/>
          <w:color w:val="000000"/>
          <w:sz w:val="24"/>
        </w:rPr>
        <w:t>第八条　由于不可抗力造成合同项目施工作业事故及生产的损失，当事人双方各自承担相应的损失。</w:t>
      </w:r>
    </w:p>
    <w:p>
      <w:pPr>
        <w:spacing w:line="312" w:lineRule="auto"/>
        <w:ind w:firstLine="480" w:firstLineChars="200"/>
        <w:rPr>
          <w:rFonts w:ascii="宋体" w:hAnsi="宋体"/>
          <w:color w:val="000000"/>
          <w:sz w:val="24"/>
        </w:rPr>
      </w:pPr>
      <w:r>
        <w:rPr>
          <w:rFonts w:hint="eastAsia" w:ascii="宋体" w:hAnsi="宋体"/>
          <w:color w:val="000000"/>
          <w:sz w:val="24"/>
        </w:rPr>
        <w:t>第九条　甲乙双方的施工作业人员和机具设备的保险，由甲乙双方依据国家相关规定或约定各自承担。</w:t>
      </w:r>
    </w:p>
    <w:p>
      <w:pPr>
        <w:spacing w:line="312" w:lineRule="auto"/>
        <w:ind w:firstLine="480" w:firstLineChars="200"/>
        <w:rPr>
          <w:rFonts w:ascii="宋体" w:hAnsi="宋体"/>
          <w:color w:val="000000"/>
          <w:sz w:val="24"/>
        </w:rPr>
      </w:pPr>
      <w:r>
        <w:rPr>
          <w:rFonts w:hint="eastAsia" w:ascii="宋体" w:hAnsi="宋体"/>
          <w:color w:val="000000"/>
          <w:sz w:val="24"/>
        </w:rPr>
        <w:t>第十条  本合同履行过程中发生争议纠纷，应通过友好协商方式解决，如协商不成，按双方在项目合同中约定的管辖地和纠纷解决的方式执行。</w:t>
      </w:r>
    </w:p>
    <w:p>
      <w:pPr>
        <w:spacing w:line="312" w:lineRule="auto"/>
        <w:ind w:firstLine="480" w:firstLineChars="200"/>
        <w:rPr>
          <w:rFonts w:ascii="宋体" w:hAnsi="宋体"/>
          <w:color w:val="000000"/>
          <w:sz w:val="24"/>
        </w:rPr>
      </w:pPr>
      <w:r>
        <w:rPr>
          <w:rFonts w:hint="eastAsia" w:ascii="宋体" w:hAnsi="宋体"/>
          <w:color w:val="000000"/>
          <w:sz w:val="24"/>
        </w:rPr>
        <w:t>第十一条　本合同是项目经济合同的附件，与项目经济合同具有同等法律效力。本合同与项目经济合同同时生效、终止。</w:t>
      </w:r>
    </w:p>
    <w:p>
      <w:pPr>
        <w:spacing w:line="312" w:lineRule="auto"/>
        <w:ind w:firstLine="480" w:firstLineChars="200"/>
        <w:rPr>
          <w:rFonts w:ascii="宋体" w:hAnsi="宋体"/>
          <w:color w:val="000000"/>
          <w:sz w:val="24"/>
        </w:rPr>
      </w:pPr>
      <w:r>
        <w:rPr>
          <w:rFonts w:hint="eastAsia" w:ascii="宋体" w:hAnsi="宋体"/>
          <w:color w:val="000000"/>
          <w:sz w:val="24"/>
        </w:rPr>
        <w:t>第十二条  乙方施工期间指定现场安全监护人员，并书面告知甲方。乙方的现场施工项目经理同时兼任现场安全总负责人。</w:t>
      </w:r>
    </w:p>
    <w:p>
      <w:pPr>
        <w:spacing w:line="312" w:lineRule="auto"/>
        <w:ind w:firstLine="480" w:firstLineChars="200"/>
        <w:rPr>
          <w:rFonts w:ascii="宋体" w:hAnsi="宋体"/>
          <w:color w:val="000000"/>
          <w:sz w:val="24"/>
        </w:rPr>
      </w:pPr>
      <w:r>
        <w:rPr>
          <w:rFonts w:hint="eastAsia" w:ascii="宋体" w:hAnsi="宋体"/>
          <w:color w:val="000000"/>
          <w:sz w:val="24"/>
        </w:rPr>
        <w:t>第十三条　本合同经双方签字或盖章后生效。本合同一式捌份，双方各持肆份。</w:t>
      </w:r>
    </w:p>
    <w:p>
      <w:pPr>
        <w:pStyle w:val="41"/>
      </w:pPr>
    </w:p>
    <w:p>
      <w:pPr>
        <w:spacing w:line="312" w:lineRule="auto"/>
        <w:ind w:left="5999" w:leftChars="114" w:hanging="5760" w:hangingChars="2400"/>
        <w:rPr>
          <w:rFonts w:ascii="宋体" w:hAnsi="宋体"/>
          <w:bCs/>
          <w:sz w:val="24"/>
        </w:rPr>
      </w:pPr>
      <w:r>
        <w:rPr>
          <w:rFonts w:hint="eastAsia" w:ascii="宋体" w:hAnsi="宋体"/>
          <w:bCs/>
          <w:sz w:val="24"/>
        </w:rPr>
        <w:t xml:space="preserve">甲方（盖章）：                      乙方（盖章）： </w:t>
      </w:r>
    </w:p>
    <w:p>
      <w:pPr>
        <w:spacing w:line="312" w:lineRule="auto"/>
        <w:rPr>
          <w:rFonts w:ascii="宋体" w:hAnsi="宋体"/>
          <w:bCs/>
          <w:sz w:val="24"/>
        </w:rPr>
      </w:pPr>
    </w:p>
    <w:p>
      <w:pPr>
        <w:spacing w:line="312" w:lineRule="auto"/>
        <w:ind w:firstLine="240" w:firstLineChars="100"/>
        <w:rPr>
          <w:rFonts w:ascii="宋体" w:hAnsi="宋体"/>
          <w:bCs/>
          <w:sz w:val="24"/>
        </w:rPr>
      </w:pPr>
      <w:r>
        <w:rPr>
          <w:rFonts w:hint="eastAsia" w:ascii="宋体" w:hAnsi="宋体"/>
          <w:bCs/>
          <w:sz w:val="24"/>
        </w:rPr>
        <w:t>甲方法定代表人：                    甲方法定代表人：</w:t>
      </w:r>
    </w:p>
    <w:p>
      <w:pPr>
        <w:spacing w:line="312" w:lineRule="auto"/>
        <w:ind w:firstLine="240" w:firstLineChars="100"/>
        <w:rPr>
          <w:rFonts w:ascii="宋体" w:hAnsi="宋体"/>
          <w:bCs/>
          <w:sz w:val="24"/>
        </w:rPr>
      </w:pPr>
      <w:r>
        <w:rPr>
          <w:rFonts w:hint="eastAsia" w:ascii="宋体" w:hAnsi="宋体"/>
          <w:bCs/>
          <w:sz w:val="24"/>
        </w:rPr>
        <w:t xml:space="preserve">或其委托代理人 ：                   或其委托代理人 ：          </w:t>
      </w:r>
    </w:p>
    <w:p>
      <w:pPr>
        <w:wordWrap w:val="0"/>
        <w:spacing w:line="360" w:lineRule="auto"/>
        <w:ind w:firstLine="240" w:firstLineChars="100"/>
        <w:jc w:val="both"/>
        <w:textAlignment w:val="center"/>
        <w:rPr>
          <w:rFonts w:ascii="黑体" w:hAnsi="黑体" w:eastAsia="黑体" w:cs="仿宋"/>
          <w:b/>
          <w:color w:val="000000"/>
          <w:sz w:val="36"/>
          <w:szCs w:val="36"/>
        </w:rPr>
      </w:pPr>
      <w:r>
        <w:rPr>
          <w:rFonts w:hint="eastAsia" w:ascii="宋体" w:hAnsi="宋体"/>
          <w:bCs/>
          <w:sz w:val="24"/>
        </w:rPr>
        <w:t>会签地址：湖南岳阳市               日期：   年  月  日</w:t>
      </w:r>
    </w:p>
    <w:p>
      <w:pPr>
        <w:spacing w:line="240" w:lineRule="auto"/>
        <w:rPr>
          <w:rFonts w:ascii="黑体" w:hAnsi="黑体" w:eastAsia="黑体" w:cs="仿宋"/>
          <w:b/>
          <w:color w:val="000000"/>
          <w:sz w:val="36"/>
          <w:szCs w:val="36"/>
        </w:rPr>
      </w:pPr>
      <w:r>
        <w:rPr>
          <w:rFonts w:ascii="黑体" w:hAnsi="黑体" w:eastAsia="黑体" w:cs="仿宋"/>
          <w:b/>
          <w:color w:val="000000"/>
          <w:sz w:val="36"/>
          <w:szCs w:val="36"/>
        </w:rPr>
        <w:br w:type="page"/>
      </w:r>
    </w:p>
    <w:p>
      <w:pPr>
        <w:pStyle w:val="4"/>
        <w:spacing w:before="0" w:after="0" w:line="360" w:lineRule="exact"/>
        <w:jc w:val="center"/>
        <w:rPr>
          <w:rFonts w:ascii="黑体" w:hAnsi="黑体" w:eastAsia="黑体" w:cs="仿宋"/>
          <w:b w:val="0"/>
          <w:color w:val="000000"/>
          <w:sz w:val="36"/>
          <w:szCs w:val="36"/>
        </w:rPr>
      </w:pPr>
      <w:bookmarkStart w:id="89" w:name="_Toc106039362"/>
      <w:r>
        <w:rPr>
          <w:rFonts w:hint="eastAsia" w:ascii="黑体" w:hAnsi="黑体" w:eastAsia="黑体" w:cs="仿宋"/>
          <w:b w:val="0"/>
          <w:color w:val="000000"/>
          <w:sz w:val="36"/>
          <w:szCs w:val="36"/>
        </w:rPr>
        <w:t>第五章  采购需求</w:t>
      </w:r>
      <w:bookmarkEnd w:id="89"/>
    </w:p>
    <w:p>
      <w:pPr>
        <w:ind w:firstLine="562" w:firstLineChars="200"/>
        <w:rPr>
          <w:rFonts w:ascii="宋体" w:hAnsi="宋体" w:cs="宋体"/>
          <w:b/>
          <w:bCs/>
          <w:sz w:val="28"/>
          <w:szCs w:val="28"/>
        </w:rPr>
      </w:pPr>
    </w:p>
    <w:p>
      <w:pPr>
        <w:spacing w:line="360" w:lineRule="auto"/>
        <w:ind w:firstLine="562" w:firstLineChars="200"/>
        <w:rPr>
          <w:rFonts w:ascii="宋体" w:hAnsi="宋体" w:cs="宋体"/>
          <w:bCs/>
          <w:sz w:val="28"/>
          <w:szCs w:val="28"/>
        </w:rPr>
      </w:pPr>
      <w:r>
        <w:rPr>
          <w:rFonts w:hint="eastAsia" w:ascii="宋体" w:hAnsi="宋体" w:cs="宋体"/>
          <w:b/>
          <w:bCs/>
          <w:sz w:val="28"/>
          <w:szCs w:val="28"/>
        </w:rPr>
        <w:t>一、采购范围:</w:t>
      </w:r>
      <w:r>
        <w:rPr>
          <w:rFonts w:hint="eastAsia" w:ascii="宋体" w:hAnsi="宋体" w:cs="宋体"/>
          <w:bCs/>
          <w:sz w:val="28"/>
          <w:szCs w:val="28"/>
        </w:rPr>
        <w:t xml:space="preserve"> 岳阳城陵矶港务有限责任公司码头环保提质改造二期工程第二条装车线项目所需的T5转运站和钢料棚干雾除尘系统，以及13#皮带机沿线水雾除尘系统，供应商应提供相应的设备系统组装、调试、系统安装及相应的售后服务。</w:t>
      </w:r>
    </w:p>
    <w:p>
      <w:pPr>
        <w:spacing w:line="360" w:lineRule="auto"/>
        <w:ind w:firstLine="562" w:firstLineChars="200"/>
        <w:rPr>
          <w:rFonts w:ascii="宋体" w:hAnsi="宋体" w:cs="宋体"/>
          <w:bCs/>
          <w:sz w:val="28"/>
          <w:szCs w:val="28"/>
        </w:rPr>
      </w:pPr>
      <w:r>
        <w:rPr>
          <w:rFonts w:hint="eastAsia" w:ascii="宋体" w:hAnsi="宋体" w:cs="宋体"/>
          <w:b/>
          <w:bCs/>
          <w:sz w:val="28"/>
          <w:szCs w:val="28"/>
        </w:rPr>
        <w:t>二、交货期限:</w:t>
      </w:r>
      <w:r>
        <w:rPr>
          <w:rFonts w:hint="eastAsia" w:ascii="宋体" w:hAnsi="宋体" w:cs="宋体"/>
          <w:bCs/>
          <w:sz w:val="28"/>
          <w:szCs w:val="28"/>
        </w:rPr>
        <w:t>合同签订后1</w:t>
      </w:r>
      <w:r>
        <w:rPr>
          <w:rFonts w:hint="eastAsia" w:ascii="宋体" w:hAnsi="宋体" w:cs="宋体"/>
          <w:bCs/>
          <w:sz w:val="28"/>
          <w:szCs w:val="28"/>
          <w:lang w:val="en-US" w:eastAsia="zh-CN"/>
        </w:rPr>
        <w:t>5</w:t>
      </w:r>
      <w:r>
        <w:rPr>
          <w:rFonts w:hint="eastAsia" w:ascii="宋体" w:hAnsi="宋体" w:cs="宋体"/>
          <w:bCs/>
          <w:sz w:val="28"/>
          <w:szCs w:val="28"/>
        </w:rPr>
        <w:t>个工作日内向采购人提交</w:t>
      </w:r>
      <w:r>
        <w:rPr>
          <w:rFonts w:hint="eastAsia" w:ascii="宋体" w:hAnsi="宋体" w:cs="宋体"/>
          <w:bCs/>
          <w:sz w:val="28"/>
          <w:szCs w:val="28"/>
          <w:lang w:val="en-US" w:eastAsia="zh-CN"/>
        </w:rPr>
        <w:t>干雾除尘系统</w:t>
      </w:r>
      <w:r>
        <w:rPr>
          <w:rFonts w:hint="eastAsia" w:ascii="宋体" w:hAnsi="宋体" w:cs="宋体"/>
          <w:bCs/>
          <w:sz w:val="28"/>
          <w:szCs w:val="28"/>
        </w:rPr>
        <w:t>设备，并完成安装调试。</w:t>
      </w:r>
    </w:p>
    <w:p>
      <w:pPr>
        <w:spacing w:line="360" w:lineRule="auto"/>
        <w:ind w:firstLine="562" w:firstLineChars="200"/>
        <w:rPr>
          <w:rFonts w:ascii="宋体" w:hAnsi="宋体" w:cs="宋体"/>
          <w:bCs/>
          <w:sz w:val="28"/>
          <w:szCs w:val="28"/>
        </w:rPr>
      </w:pPr>
      <w:r>
        <w:rPr>
          <w:rFonts w:hint="eastAsia" w:ascii="宋体" w:hAnsi="宋体" w:cs="宋体"/>
          <w:b/>
          <w:bCs/>
          <w:sz w:val="28"/>
          <w:szCs w:val="28"/>
        </w:rPr>
        <w:t>三、交货地点及方式:</w:t>
      </w:r>
      <w:r>
        <w:rPr>
          <w:rFonts w:hint="eastAsia" w:ascii="宋体" w:hAnsi="宋体" w:cs="宋体"/>
          <w:bCs/>
          <w:sz w:val="28"/>
          <w:szCs w:val="28"/>
        </w:rPr>
        <w:t>由供应商负责运输至岳阳城陵矶</w:t>
      </w:r>
      <w:r>
        <w:rPr>
          <w:rFonts w:hint="eastAsia" w:ascii="宋体" w:hAnsi="宋体" w:cs="宋体"/>
          <w:bCs/>
          <w:sz w:val="28"/>
          <w:szCs w:val="28"/>
          <w:lang w:val="en-US" w:eastAsia="zh-CN"/>
        </w:rPr>
        <w:t>港务</w:t>
      </w:r>
      <w:r>
        <w:rPr>
          <w:rFonts w:hint="eastAsia" w:ascii="宋体" w:hAnsi="宋体" w:cs="宋体"/>
          <w:bCs/>
          <w:sz w:val="28"/>
          <w:szCs w:val="28"/>
        </w:rPr>
        <w:t>有限</w:t>
      </w:r>
      <w:r>
        <w:rPr>
          <w:rFonts w:hint="eastAsia" w:ascii="宋体" w:hAnsi="宋体" w:cs="宋体"/>
          <w:bCs/>
          <w:sz w:val="28"/>
          <w:szCs w:val="28"/>
          <w:lang w:val="en-US" w:eastAsia="zh-CN"/>
        </w:rPr>
        <w:t>责任</w:t>
      </w:r>
      <w:r>
        <w:rPr>
          <w:rFonts w:hint="eastAsia" w:ascii="宋体" w:hAnsi="宋体" w:cs="宋体"/>
          <w:bCs/>
          <w:sz w:val="28"/>
          <w:szCs w:val="28"/>
        </w:rPr>
        <w:t>公司交货，运费由供应商承担。</w:t>
      </w:r>
    </w:p>
    <w:p>
      <w:pPr>
        <w:spacing w:line="360" w:lineRule="auto"/>
        <w:ind w:firstLine="562" w:firstLineChars="200"/>
        <w:rPr>
          <w:rFonts w:hint="eastAsia" w:ascii="宋体" w:hAnsi="宋体" w:cs="宋体"/>
          <w:bCs/>
          <w:sz w:val="28"/>
          <w:szCs w:val="28"/>
        </w:rPr>
      </w:pPr>
      <w:r>
        <w:rPr>
          <w:rFonts w:hint="eastAsia" w:ascii="宋体" w:hAnsi="宋体" w:cs="宋体"/>
          <w:b/>
          <w:bCs/>
          <w:sz w:val="28"/>
          <w:szCs w:val="28"/>
        </w:rPr>
        <w:t>四、售后：</w:t>
      </w:r>
      <w:r>
        <w:rPr>
          <w:rFonts w:hint="eastAsia" w:ascii="宋体" w:hAnsi="宋体" w:cs="宋体"/>
          <w:bCs/>
          <w:sz w:val="28"/>
          <w:szCs w:val="28"/>
        </w:rPr>
        <w:t>原厂三年上门售后服务。</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五、采购清单：</w:t>
      </w:r>
    </w:p>
    <w:p>
      <w:pPr>
        <w:spacing w:line="360" w:lineRule="auto"/>
        <w:ind w:firstLine="562" w:firstLineChars="200"/>
        <w:rPr>
          <w:rFonts w:hint="eastAsia" w:ascii="宋体" w:hAnsi="宋体" w:eastAsia="宋体" w:cs="宋体"/>
          <w:b/>
          <w:bCs/>
          <w:kern w:val="2"/>
          <w:sz w:val="28"/>
          <w:szCs w:val="28"/>
          <w:lang w:val="en-US" w:eastAsia="zh-CN" w:bidi="ar-SA"/>
        </w:rPr>
      </w:pPr>
      <w:r>
        <w:rPr>
          <w:rFonts w:hint="eastAsia" w:ascii="宋体" w:hAnsi="宋体" w:cs="宋体"/>
          <w:b/>
          <w:bCs/>
          <w:sz w:val="28"/>
          <w:szCs w:val="28"/>
          <w:lang w:val="en-US" w:eastAsia="zh-CN"/>
        </w:rPr>
        <w:t>一、T5</w:t>
      </w:r>
      <w:r>
        <w:rPr>
          <w:rFonts w:hint="eastAsia" w:ascii="宋体" w:hAnsi="宋体" w:eastAsia="宋体" w:cs="宋体"/>
          <w:b/>
          <w:bCs/>
          <w:kern w:val="2"/>
          <w:sz w:val="28"/>
          <w:szCs w:val="28"/>
          <w:lang w:val="en-US" w:eastAsia="zh-CN" w:bidi="ar-SA"/>
        </w:rPr>
        <w:t>转运站干雾+水雾除尘系统（一套）</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1 整体要求</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1．1干雾除尘系统在C1C2皮带机头部漏斗处和导料槽处、C2C2皮带机头部漏斗处和导料槽处设置干雾喷嘴。</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1．2水雾除尘系统在皮带机沿线设置水雾喷嘴。 </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1．3 整个除尘系统中有如下配置：水箱、离心泵、全自动反冲洗过滤器、螺杆空压机、储气罐、干雾机控制主机（含PLC电控系统）、干雾控制箱、喷嘴、目视液位计、闸阀、止回阀、截止阀、球阀、压力表等。 </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2   具体配置   </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2．1每套干雾除尘系统包括离心泵、全自动反冲洗过滤器、螺杆空压机、储气罐、水箱、干雾机控制主机、干雾控制箱、喷嘴、各类控制阀件、镀锌钢管等系统中必须包含的元器件。</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2．2本系统的操作应与皮带机的工作信号进行连锁。</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2．3本系统的所有阀门、管件、钢管均选用镀锌钢材料。</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2．4干雾喷嘴和水箱材质为304不锈钢材料。</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3供货范围</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1从外网管道至喷雾点等所有配件，包括水箱、离心泵、全自动反冲洗过滤器、螺杆空压机、储气罐、干雾机控制主机（含PLC电控系统）、干雾控制箱、喷嘴、目视液位计、闸阀、止回阀、截止阀、球阀、压力表、镀锌钢管等。</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3．2本系统要求现场安装和调试。</w:t>
      </w:r>
    </w:p>
    <w:p>
      <w:p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二、钢料棚干雾+水雾除尘系统（一套）</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 整体要求</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1．2干雾除尘系统在落料口头罩和落料口处设置干雾喷嘴。</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1．3水雾除尘系统在皮带机沿线设置水雾喷嘴。 </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1．4 整个除尘系统中有如下配置：水箱、离心泵、全自动反冲洗过滤器、螺杆空压机、储气罐、干雾机控制主机（含PLC电控系统）、干雾控制箱、喷嘴、目视液位计、闸阀、止回阀、截止阀、球阀、压力表等。 </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2   具体配置   </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2．1每套干雾除尘系统包括离心泵、全自动反冲洗过滤器、螺杆空压机、储气罐、水箱、干雾机控制主机、干雾控制箱、喷嘴、各类控制阀件、镀锌钢管等系统中必须包含的元器件。</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2．2本系统的操作应与皮带机的工作信号进行连锁。</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2．3本系统的所有阀门、管件、钢管均选用镀锌钢材料。</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2．4干雾喷嘴和水箱材质为304不锈钢材料。</w:t>
      </w:r>
    </w:p>
    <w:p>
      <w:pPr>
        <w:spacing w:line="360" w:lineRule="auto"/>
        <w:ind w:firstLine="560" w:firstLineChars="200"/>
        <w:rPr>
          <w:rFonts w:hint="eastAsia"/>
          <w:lang w:val="en-US" w:eastAsia="zh-CN"/>
        </w:rPr>
      </w:pPr>
      <w:r>
        <w:rPr>
          <w:rFonts w:hint="eastAsia" w:ascii="宋体" w:hAnsi="宋体" w:cs="宋体"/>
          <w:b w:val="0"/>
          <w:bCs w:val="0"/>
          <w:kern w:val="2"/>
          <w:sz w:val="28"/>
          <w:szCs w:val="28"/>
          <w:lang w:val="en-US" w:eastAsia="zh-CN" w:bidi="ar-SA"/>
        </w:rPr>
        <w:t>3供货范围</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1从外网管道至喷雾点等所有配件，包括水箱、离心泵、全自动反冲洗过滤器、螺杆空压机、储气罐、干雾机控制主机（含PLC电控系统）、干雾控制箱、喷嘴、目视液位计、闸阀、止回阀、截止阀、球阀、压力表、镀锌钢管等。</w:t>
      </w:r>
    </w:p>
    <w:p>
      <w:pPr>
        <w:spacing w:line="360" w:lineRule="auto"/>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3．2本系统要求现场安装和调试。</w:t>
      </w:r>
    </w:p>
    <w:p>
      <w:pPr>
        <w:spacing w:line="360" w:lineRule="auto"/>
        <w:ind w:firstLine="560" w:firstLineChars="200"/>
        <w:rPr>
          <w:rFonts w:hint="eastAsia" w:ascii="宋体" w:hAnsi="宋体" w:cs="宋体"/>
          <w:b w:val="0"/>
          <w:bCs w:val="0"/>
          <w:kern w:val="2"/>
          <w:sz w:val="28"/>
          <w:szCs w:val="28"/>
          <w:lang w:val="en-US" w:eastAsia="zh-CN" w:bidi="ar-SA"/>
        </w:rPr>
      </w:pP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p>
    <w:p>
      <w:pPr>
        <w:pStyle w:val="4"/>
        <w:jc w:val="center"/>
        <w:rPr>
          <w:rFonts w:ascii="黑体" w:hAnsi="黑体" w:eastAsia="黑体" w:cs="仿宋"/>
          <w:b w:val="0"/>
          <w:color w:val="000000"/>
          <w:sz w:val="36"/>
          <w:szCs w:val="36"/>
        </w:rPr>
      </w:pPr>
      <w:r>
        <w:rPr>
          <w:rFonts w:ascii="仿宋" w:hAnsi="仿宋" w:eastAsia="仿宋" w:cs="仿宋"/>
          <w:sz w:val="30"/>
          <w:szCs w:val="30"/>
        </w:rPr>
        <w:br w:type="page"/>
      </w:r>
      <w:bookmarkStart w:id="90" w:name="_Toc106039363"/>
      <w:r>
        <w:rPr>
          <w:rFonts w:hint="eastAsia" w:ascii="黑体" w:hAnsi="黑体" w:eastAsia="黑体" w:cs="仿宋"/>
          <w:b w:val="0"/>
          <w:color w:val="000000"/>
          <w:sz w:val="36"/>
          <w:szCs w:val="36"/>
        </w:rPr>
        <w:t>第六章  响应文件格式</w:t>
      </w:r>
      <w:bookmarkEnd w:id="9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三、商务和技术偏差表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四、报价表</w:t>
      </w:r>
    </w:p>
    <w:p>
      <w:pPr>
        <w:adjustRightInd w:val="0"/>
        <w:snapToGrid w:val="0"/>
        <w:spacing w:line="600" w:lineRule="exact"/>
        <w:jc w:val="both"/>
        <w:rPr>
          <w:rFonts w:ascii="宋体" w:hAnsi="宋体" w:cs="仿宋"/>
          <w:sz w:val="24"/>
        </w:rPr>
      </w:pPr>
      <w:r>
        <w:rPr>
          <w:rFonts w:hint="eastAsia" w:ascii="宋体" w:hAnsi="宋体" w:cs="仿宋"/>
          <w:sz w:val="24"/>
        </w:rPr>
        <w:t>五、资格审查资料</w:t>
      </w:r>
    </w:p>
    <w:p>
      <w:pPr>
        <w:adjustRightInd w:val="0"/>
        <w:snapToGrid w:val="0"/>
        <w:spacing w:line="600" w:lineRule="exact"/>
        <w:jc w:val="both"/>
        <w:rPr>
          <w:rFonts w:ascii="宋体" w:hAnsi="宋体" w:cs="仿宋"/>
          <w:sz w:val="24"/>
        </w:rPr>
      </w:pPr>
      <w:r>
        <w:rPr>
          <w:rFonts w:hint="eastAsia" w:ascii="宋体" w:hAnsi="宋体" w:cs="仿宋"/>
          <w:sz w:val="24"/>
        </w:rPr>
        <w:t>六、响应方案</w:t>
      </w:r>
    </w:p>
    <w:p>
      <w:pPr>
        <w:adjustRightInd w:val="0"/>
        <w:snapToGrid w:val="0"/>
        <w:spacing w:line="600" w:lineRule="exact"/>
        <w:jc w:val="both"/>
        <w:rPr>
          <w:rFonts w:ascii="宋体" w:hAnsi="宋体" w:cs="仿宋"/>
          <w:sz w:val="24"/>
        </w:rPr>
      </w:pPr>
      <w:r>
        <w:rPr>
          <w:rFonts w:hint="eastAsia" w:ascii="宋体" w:hAnsi="宋体" w:cs="仿宋"/>
          <w:sz w:val="24"/>
        </w:rPr>
        <w:t>七、其他资料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pStyle w:val="3"/>
        <w:jc w:val="center"/>
        <w:rPr>
          <w:rFonts w:ascii="黑体" w:hAnsi="黑体" w:eastAsia="黑体" w:cs="仿宋"/>
        </w:rPr>
      </w:pPr>
      <w:bookmarkStart w:id="91" w:name="_Toc106039364"/>
      <w:r>
        <w:rPr>
          <w:rFonts w:hint="eastAsia" w:ascii="黑体" w:hAnsi="黑体" w:eastAsia="黑体" w:cs="仿宋"/>
        </w:rPr>
        <w:t>一、响应函</w:t>
      </w:r>
      <w:bookmarkEnd w:id="91"/>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pStyle w:val="3"/>
        <w:jc w:val="center"/>
        <w:rPr>
          <w:rFonts w:ascii="黑体" w:hAnsi="黑体" w:eastAsia="黑体" w:cs="仿宋"/>
        </w:rPr>
      </w:pPr>
      <w:r>
        <w:rPr>
          <w:rFonts w:hint="eastAsia" w:cs="仿宋" w:asciiTheme="minorEastAsia" w:hAnsiTheme="minorEastAsia" w:eastAsiaTheme="minorEastAsia"/>
          <w:sz w:val="24"/>
        </w:rPr>
        <w:br w:type="page"/>
      </w:r>
      <w:bookmarkStart w:id="92" w:name="_Toc106039365"/>
      <w:r>
        <w:rPr>
          <w:rFonts w:hint="eastAsia" w:ascii="黑体" w:hAnsi="黑体" w:eastAsia="黑体" w:cs="仿宋"/>
        </w:rPr>
        <w:t>二、授权委托书</w:t>
      </w:r>
      <w:bookmarkEnd w:id="9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pStyle w:val="3"/>
        <w:jc w:val="center"/>
        <w:rPr>
          <w:rFonts w:ascii="黑体" w:hAnsi="黑体" w:eastAsia="黑体" w:cs="仿宋"/>
        </w:rPr>
      </w:pPr>
      <w:bookmarkStart w:id="93" w:name="_Toc106039366"/>
      <w:r>
        <w:rPr>
          <w:rFonts w:hint="eastAsia" w:ascii="黑体" w:hAnsi="黑体" w:eastAsia="黑体" w:cs="仿宋"/>
        </w:rPr>
        <w:t>三、商务和技术偏差表</w:t>
      </w:r>
      <w:bookmarkEnd w:id="93"/>
    </w:p>
    <w:p>
      <w:pPr>
        <w:spacing w:line="600" w:lineRule="exact"/>
        <w:jc w:val="center"/>
        <w:rPr>
          <w:rFonts w:cs="仿宋" w:asciiTheme="minorEastAsia" w:hAnsiTheme="minorEastAsia" w:eastAsiaTheme="minorEastAsia"/>
          <w:sz w:val="24"/>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sectPr>
          <w:footerReference r:id="rId5" w:type="default"/>
          <w:pgSz w:w="11906" w:h="16838"/>
          <w:pgMar w:top="1440" w:right="1080" w:bottom="1440" w:left="1080" w:header="851" w:footer="1344" w:gutter="0"/>
          <w:cols w:space="720" w:num="1"/>
          <w:docGrid w:linePitch="312" w:charSpace="0"/>
        </w:sectPr>
      </w:pPr>
      <w:r>
        <w:rPr>
          <w:rFonts w:hint="eastAsia" w:cs="仿宋" w:asciiTheme="minorEastAsia" w:hAnsiTheme="minorEastAsia" w:eastAsiaTheme="minorEastAsia"/>
          <w:sz w:val="24"/>
        </w:rPr>
        <w:br w:type="page"/>
      </w:r>
    </w:p>
    <w:p>
      <w:pPr>
        <w:jc w:val="both"/>
        <w:rPr>
          <w:rFonts w:cs="仿宋" w:asciiTheme="minorEastAsia" w:hAnsiTheme="minorEastAsia" w:eastAsiaTheme="minorEastAsia"/>
          <w:sz w:val="24"/>
        </w:rPr>
      </w:pPr>
    </w:p>
    <w:p>
      <w:pPr>
        <w:pStyle w:val="3"/>
        <w:jc w:val="center"/>
        <w:rPr>
          <w:rFonts w:ascii="黑体" w:hAnsi="黑体" w:eastAsia="黑体" w:cs="仿宋"/>
        </w:rPr>
      </w:pPr>
      <w:bookmarkStart w:id="94" w:name="_Toc106039367"/>
      <w:r>
        <w:rPr>
          <w:rFonts w:hint="eastAsia" w:ascii="黑体" w:hAnsi="黑体" w:eastAsia="黑体" w:cs="仿宋"/>
        </w:rPr>
        <w:t>四、报价表</w:t>
      </w:r>
      <w:bookmarkEnd w:id="94"/>
    </w:p>
    <w:p/>
    <w:p>
      <w:pPr>
        <w:pStyle w:val="2"/>
        <w:spacing w:before="100" w:after="100"/>
        <w:rPr>
          <w:rFonts w:hint="eastAsia"/>
        </w:rPr>
      </w:pPr>
      <w:bookmarkStart w:id="95" w:name="_Toc106039368"/>
      <w:r>
        <w:rPr>
          <w:rFonts w:hint="eastAsia"/>
        </w:rPr>
        <w:t>投标报价汇总表</w:t>
      </w:r>
      <w:bookmarkEnd w:id="95"/>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转运站干雾+水雾抑尘系统</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922"/>
        <w:gridCol w:w="2404"/>
        <w:gridCol w:w="1649"/>
        <w:gridCol w:w="1649"/>
        <w:gridCol w:w="1633"/>
        <w:gridCol w:w="163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center"/>
              <w:rPr>
                <w:vertAlign w:val="baseline"/>
              </w:rPr>
            </w:pPr>
            <w:r>
              <w:rPr>
                <w:rFonts w:hint="eastAsia"/>
                <w:vertAlign w:val="baseline"/>
              </w:rPr>
              <w:t>序号</w:t>
            </w:r>
          </w:p>
        </w:tc>
        <w:tc>
          <w:tcPr>
            <w:tcW w:w="1922" w:type="dxa"/>
          </w:tcPr>
          <w:p>
            <w:pPr>
              <w:widowControl w:val="0"/>
              <w:jc w:val="center"/>
              <w:rPr>
                <w:vertAlign w:val="baseline"/>
              </w:rPr>
            </w:pPr>
            <w:r>
              <w:rPr>
                <w:rFonts w:hint="eastAsia"/>
                <w:vertAlign w:val="baseline"/>
              </w:rPr>
              <w:t>型 号</w:t>
            </w:r>
          </w:p>
        </w:tc>
        <w:tc>
          <w:tcPr>
            <w:tcW w:w="2404" w:type="dxa"/>
          </w:tcPr>
          <w:p>
            <w:pPr>
              <w:widowControl w:val="0"/>
              <w:jc w:val="center"/>
              <w:rPr>
                <w:vertAlign w:val="baseline"/>
              </w:rPr>
            </w:pPr>
            <w:r>
              <w:rPr>
                <w:rFonts w:hint="eastAsia"/>
                <w:vertAlign w:val="baseline"/>
              </w:rPr>
              <w:t>名 称</w:t>
            </w:r>
          </w:p>
        </w:tc>
        <w:tc>
          <w:tcPr>
            <w:tcW w:w="1649" w:type="dxa"/>
          </w:tcPr>
          <w:p>
            <w:pPr>
              <w:widowControl w:val="0"/>
              <w:jc w:val="center"/>
              <w:rPr>
                <w:vertAlign w:val="baseline"/>
              </w:rPr>
            </w:pPr>
            <w:r>
              <w:rPr>
                <w:rFonts w:hint="eastAsia"/>
                <w:vertAlign w:val="baseline"/>
              </w:rPr>
              <w:t>数量</w:t>
            </w:r>
          </w:p>
        </w:tc>
        <w:tc>
          <w:tcPr>
            <w:tcW w:w="1649" w:type="dxa"/>
          </w:tcPr>
          <w:p>
            <w:pPr>
              <w:widowControl w:val="0"/>
              <w:jc w:val="center"/>
              <w:rPr>
                <w:vertAlign w:val="baseline"/>
              </w:rPr>
            </w:pPr>
            <w:r>
              <w:rPr>
                <w:rFonts w:hint="eastAsia"/>
                <w:vertAlign w:val="baseline"/>
              </w:rPr>
              <w:t>材料</w:t>
            </w:r>
          </w:p>
        </w:tc>
        <w:tc>
          <w:tcPr>
            <w:tcW w:w="1633" w:type="dxa"/>
          </w:tcPr>
          <w:p>
            <w:pPr>
              <w:widowControl w:val="0"/>
              <w:jc w:val="center"/>
              <w:rPr>
                <w:rFonts w:hint="eastAsia"/>
                <w:vertAlign w:val="baseline"/>
              </w:rPr>
            </w:pPr>
            <w:r>
              <w:rPr>
                <w:rFonts w:hint="eastAsia"/>
                <w:vertAlign w:val="baseline"/>
              </w:rPr>
              <w:t>单 价</w:t>
            </w:r>
          </w:p>
        </w:tc>
        <w:tc>
          <w:tcPr>
            <w:tcW w:w="1633" w:type="dxa"/>
          </w:tcPr>
          <w:p>
            <w:pPr>
              <w:widowControl w:val="0"/>
              <w:jc w:val="center"/>
              <w:rPr>
                <w:rFonts w:hint="eastAsia"/>
                <w:vertAlign w:val="baseline"/>
              </w:rPr>
            </w:pPr>
            <w:r>
              <w:rPr>
                <w:rFonts w:hint="eastAsia"/>
                <w:vertAlign w:val="baseline"/>
              </w:rPr>
              <w:t>金 额</w:t>
            </w:r>
          </w:p>
        </w:tc>
        <w:tc>
          <w:tcPr>
            <w:tcW w:w="1651" w:type="dxa"/>
          </w:tcPr>
          <w:p>
            <w:pPr>
              <w:widowControl w:val="0"/>
              <w:jc w:val="center"/>
              <w:rPr>
                <w:rFonts w:hint="eastAsia"/>
                <w:vertAlign w:val="baseline"/>
              </w:rPr>
            </w:pPr>
            <w:r>
              <w:rPr>
                <w:rFonts w:hint="eastAsia"/>
                <w:vertAlign w:val="baseli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1</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不锈钢水箱4000L</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2</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立式增压泵4m3/h，77m，电机功率3KW</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3</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全自动反冲洗过滤器，外壳碳钢，滤芯不锈钢</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4</w:t>
            </w:r>
          </w:p>
        </w:tc>
        <w:tc>
          <w:tcPr>
            <w:tcW w:w="1922" w:type="dxa"/>
          </w:tcPr>
          <w:p>
            <w:pPr>
              <w:widowControl w:val="0"/>
              <w:jc w:val="both"/>
              <w:rPr>
                <w:vertAlign w:val="baseline"/>
              </w:rPr>
            </w:pPr>
            <w:r>
              <w:rPr>
                <w:rFonts w:hint="eastAsia"/>
                <w:vertAlign w:val="baseline"/>
              </w:rPr>
              <w:t>GWJ- P</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干雾机控制主机，外箱不锈钢304</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r>
              <w:rPr>
                <w:rFonts w:hint="eastAsia"/>
                <w:vertAlign w:val="baseline"/>
              </w:rPr>
              <w:t>PLC采用西门子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5</w:t>
            </w:r>
          </w:p>
        </w:tc>
        <w:tc>
          <w:tcPr>
            <w:tcW w:w="1922" w:type="dxa"/>
          </w:tcPr>
          <w:p>
            <w:pPr>
              <w:widowControl w:val="0"/>
              <w:jc w:val="both"/>
              <w:rPr>
                <w:vertAlign w:val="baseline"/>
              </w:rPr>
            </w:pPr>
            <w:r>
              <w:rPr>
                <w:rFonts w:hint="eastAsia"/>
                <w:vertAlign w:val="baseline"/>
              </w:rPr>
              <w:t>GWX-P</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干雾控制箱，外箱不锈钢304</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4</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6</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螺杆式空压机18.5KW</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7</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储气罐1000L，接口为法兰连接DN50，配自动排水阀</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8</w:t>
            </w:r>
          </w:p>
        </w:tc>
        <w:tc>
          <w:tcPr>
            <w:tcW w:w="1922" w:type="dxa"/>
          </w:tcPr>
          <w:p>
            <w:pPr>
              <w:widowControl w:val="0"/>
              <w:jc w:val="both"/>
              <w:rPr>
                <w:vertAlign w:val="baseline"/>
              </w:rPr>
            </w:pPr>
            <w:r>
              <w:rPr>
                <w:rFonts w:hint="eastAsia"/>
                <w:vertAlign w:val="baseline"/>
              </w:rPr>
              <w:t>SPZ-160</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万向干雾喷嘴</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20</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不锈钢304</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eastAsia" w:eastAsia="宋体"/>
                <w:vertAlign w:val="baseline"/>
                <w:lang w:val="en-US" w:eastAsia="zh-CN"/>
              </w:rPr>
            </w:pPr>
            <w:r>
              <w:rPr>
                <w:rFonts w:hint="eastAsia"/>
                <w:vertAlign w:val="baseline"/>
                <w:lang w:val="en-US" w:eastAsia="zh-CN"/>
              </w:rPr>
              <w:t>9</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喷淋喷嘴1/4</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120</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不锈钢304</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eastAsia="宋体"/>
                <w:vertAlign w:val="baseline"/>
                <w:lang w:val="en-US" w:eastAsia="zh-CN"/>
              </w:rPr>
            </w:pPr>
            <w:r>
              <w:rPr>
                <w:rFonts w:hint="eastAsia"/>
                <w:vertAlign w:val="baseline"/>
                <w:lang w:val="en-US" w:eastAsia="zh-CN"/>
              </w:rPr>
              <w:t>10</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YN-100</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耐震压力表0-1.6MPa</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eastAsia="宋体"/>
                <w:vertAlign w:val="baseline"/>
                <w:lang w:val="en-US" w:eastAsia="zh-CN"/>
              </w:rPr>
            </w:pPr>
            <w:r>
              <w:rPr>
                <w:rFonts w:hint="eastAsia"/>
                <w:vertAlign w:val="baseline"/>
                <w:lang w:val="en-US" w:eastAsia="zh-CN"/>
              </w:rPr>
              <w:t>11</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KF-L8/20E</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压力表开关</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eastAsia="宋体"/>
                <w:vertAlign w:val="baseline"/>
                <w:lang w:val="en-US" w:eastAsia="zh-CN"/>
              </w:rPr>
            </w:pPr>
            <w:r>
              <w:rPr>
                <w:rFonts w:hint="eastAsia"/>
                <w:vertAlign w:val="baseline"/>
                <w:lang w:val="en-US" w:eastAsia="zh-CN"/>
              </w:rPr>
              <w:t>12</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Q11F-16P</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球阀DN25</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4</w:t>
            </w:r>
          </w:p>
        </w:tc>
        <w:tc>
          <w:tcPr>
            <w:tcW w:w="1649" w:type="dxa"/>
            <w:vAlign w:val="center"/>
          </w:tcPr>
          <w:p>
            <w:pPr>
              <w:keepNext w:val="0"/>
              <w:keepLines w:val="0"/>
              <w:widowControl/>
              <w:suppressLineNumbers w:val="0"/>
              <w:jc w:val="center"/>
              <w:textAlignment w:val="center"/>
              <w:rPr>
                <w:vertAlign w:val="baseline"/>
              </w:rPr>
            </w:pPr>
            <w:r>
              <w:rPr>
                <w:rFonts w:hint="eastAsia"/>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13</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GL41-16P</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Y型过滤器DN40</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14</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JB/T7339-94</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饶性接头DN25</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15</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JB/T7339-94</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饶性接头DN40</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16</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Z41H-16P</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闸阀DN40</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17</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单向阀DN25</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18</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J41F-16P</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截止阀DN25</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19</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Q41F-16P</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球阀DN20</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2</w:t>
            </w:r>
          </w:p>
        </w:tc>
        <w:tc>
          <w:tcPr>
            <w:tcW w:w="1649" w:type="dxa"/>
            <w:vAlign w:val="center"/>
          </w:tcPr>
          <w:p>
            <w:pPr>
              <w:keepNext w:val="0"/>
              <w:keepLines w:val="0"/>
              <w:widowControl/>
              <w:suppressLineNumbers w:val="0"/>
              <w:jc w:val="center"/>
              <w:textAlignment w:val="center"/>
              <w:rPr>
                <w:vertAlign w:val="baseline"/>
              </w:rPr>
            </w:pPr>
            <w:r>
              <w:rPr>
                <w:rFonts w:hint="eastAsia"/>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20</w:t>
            </w:r>
          </w:p>
        </w:tc>
        <w:tc>
          <w:tcPr>
            <w:tcW w:w="1922"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CYA18A2C2001SS23502C</w:t>
            </w: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玻璃板液位计L=1</w:t>
            </w:r>
            <w:r>
              <w:rPr>
                <w:rStyle w:val="195"/>
                <w:lang w:val="en-US" w:eastAsia="zh-CN" w:bidi="ar"/>
              </w:rPr>
              <w:t>850，带2个开关量输出</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21</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法兰、弯头、管夹等</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碳钢</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22</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镀锌钢管</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1批</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碳钢</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23</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电缆线及线管</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tcPr>
          <w:p>
            <w:pPr>
              <w:widowControl w:val="0"/>
              <w:jc w:val="both"/>
              <w:rPr>
                <w:rFonts w:hint="default"/>
                <w:vertAlign w:val="baseline"/>
                <w:lang w:val="en-US" w:eastAsia="zh-CN"/>
              </w:rPr>
            </w:pPr>
            <w:r>
              <w:rPr>
                <w:rFonts w:hint="eastAsia"/>
                <w:vertAlign w:val="baseline"/>
                <w:lang w:val="en-US" w:eastAsia="zh-CN"/>
              </w:rPr>
              <w:t>24</w:t>
            </w:r>
          </w:p>
        </w:tc>
        <w:tc>
          <w:tcPr>
            <w:tcW w:w="1922" w:type="dxa"/>
          </w:tcPr>
          <w:p>
            <w:pPr>
              <w:widowControl w:val="0"/>
              <w:jc w:val="both"/>
              <w:rPr>
                <w:vertAlign w:val="baseline"/>
              </w:rPr>
            </w:pPr>
          </w:p>
        </w:tc>
        <w:tc>
          <w:tcPr>
            <w:tcW w:w="240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现场安装调试费</w:t>
            </w:r>
          </w:p>
        </w:tc>
        <w:tc>
          <w:tcPr>
            <w:tcW w:w="1649"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49" w:type="dxa"/>
          </w:tcPr>
          <w:p>
            <w:pPr>
              <w:widowControl w:val="0"/>
              <w:jc w:val="both"/>
              <w:rPr>
                <w:vertAlign w:val="baseline"/>
              </w:rPr>
            </w:pPr>
          </w:p>
        </w:tc>
        <w:tc>
          <w:tcPr>
            <w:tcW w:w="1633" w:type="dxa"/>
          </w:tcPr>
          <w:p>
            <w:pPr>
              <w:widowControl w:val="0"/>
              <w:jc w:val="both"/>
              <w:rPr>
                <w:vertAlign w:val="baseline"/>
              </w:rPr>
            </w:pPr>
          </w:p>
        </w:tc>
        <w:tc>
          <w:tcPr>
            <w:tcW w:w="1633" w:type="dxa"/>
          </w:tcPr>
          <w:p>
            <w:pPr>
              <w:widowControl w:val="0"/>
              <w:jc w:val="both"/>
              <w:rPr>
                <w:vertAlign w:val="baseline"/>
              </w:rPr>
            </w:pPr>
          </w:p>
        </w:tc>
        <w:tc>
          <w:tcPr>
            <w:tcW w:w="1651" w:type="dxa"/>
          </w:tcPr>
          <w:p>
            <w:pPr>
              <w:widowControl w:val="0"/>
              <w:jc w:val="both"/>
              <w:rPr>
                <w:vertAlign w:val="baseline"/>
              </w:rPr>
            </w:pPr>
          </w:p>
        </w:tc>
      </w:tr>
    </w:tbl>
    <w:p>
      <w:pPr>
        <w:jc w:val="center"/>
        <w:rPr>
          <w:rFonts w:hint="eastAsia" w:ascii="宋体" w:hAnsi="宋体" w:eastAsia="宋体" w:cs="宋体"/>
          <w:b/>
          <w:bCs/>
          <w:sz w:val="30"/>
          <w:szCs w:val="30"/>
          <w:lang w:val="en-US" w:eastAsia="zh-CN"/>
        </w:rPr>
      </w:pPr>
    </w:p>
    <w:p>
      <w:pPr>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钢料棚</w:t>
      </w:r>
      <w:r>
        <w:rPr>
          <w:rFonts w:hint="eastAsia" w:ascii="宋体" w:hAnsi="宋体" w:eastAsia="宋体" w:cs="宋体"/>
          <w:b/>
          <w:bCs/>
          <w:sz w:val="30"/>
          <w:szCs w:val="30"/>
        </w:rPr>
        <w:t>干雾+水雾抑尘系统</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2616"/>
        <w:gridCol w:w="2001"/>
        <w:gridCol w:w="1360"/>
        <w:gridCol w:w="1651"/>
        <w:gridCol w:w="1636"/>
        <w:gridCol w:w="163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型 号</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名 称</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材料</w:t>
            </w:r>
          </w:p>
        </w:tc>
        <w:tc>
          <w:tcPr>
            <w:tcW w:w="1636" w:type="dxa"/>
          </w:tcPr>
          <w:p>
            <w:pPr>
              <w:widowControl w:val="0"/>
              <w:jc w:val="center"/>
              <w:rPr>
                <w:rFonts w:hint="eastAsia"/>
                <w:vertAlign w:val="baseline"/>
              </w:rPr>
            </w:pPr>
            <w:r>
              <w:rPr>
                <w:rFonts w:hint="eastAsia"/>
              </w:rPr>
              <w:t>单 价</w:t>
            </w:r>
          </w:p>
        </w:tc>
        <w:tc>
          <w:tcPr>
            <w:tcW w:w="1636" w:type="dxa"/>
          </w:tcPr>
          <w:p>
            <w:pPr>
              <w:widowControl w:val="0"/>
              <w:jc w:val="center"/>
              <w:rPr>
                <w:rFonts w:hint="eastAsia" w:eastAsia="宋体"/>
                <w:vertAlign w:val="baseline"/>
                <w:lang w:eastAsia="zh-CN"/>
              </w:rPr>
            </w:pPr>
            <w:r>
              <w:rPr>
                <w:rFonts w:hint="eastAsia"/>
                <w:lang w:val="en-US" w:eastAsia="zh-CN"/>
              </w:rPr>
              <w:t>金 额</w:t>
            </w:r>
          </w:p>
        </w:tc>
        <w:tc>
          <w:tcPr>
            <w:tcW w:w="1636" w:type="dxa"/>
          </w:tcPr>
          <w:p>
            <w:pPr>
              <w:widowControl w:val="0"/>
              <w:jc w:val="center"/>
              <w:rPr>
                <w:rFonts w:hint="eastAsia" w:eastAsia="宋体"/>
                <w:vertAlign w:val="baseline"/>
                <w:lang w:eastAsia="zh-CN"/>
              </w:rPr>
            </w:pPr>
            <w:r>
              <w:rPr>
                <w:rFonts w:hint="eastAsia"/>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不锈钢水箱4000L</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2616" w:type="dxa"/>
            <w:vAlign w:val="center"/>
          </w:tcPr>
          <w:p>
            <w:pPr>
              <w:keepNext w:val="0"/>
              <w:keepLines w:val="0"/>
              <w:widowControl/>
              <w:suppressLineNumbers w:val="0"/>
              <w:jc w:val="center"/>
              <w:textAlignment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立式增压泵4m3/h，77m，电机功率3KW</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全自动反冲洗过滤器，外壳碳钢，滤芯不锈钢</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GWJ- P</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干雾机控制主机，外箱不锈钢304</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center"/>
              <w:rPr>
                <w:rFonts w:hint="eastAsia"/>
                <w:vertAlign w:val="baseline"/>
              </w:rPr>
            </w:pPr>
            <w:r>
              <w:rPr>
                <w:rFonts w:hint="eastAsia"/>
                <w:vertAlign w:val="baseline"/>
              </w:rPr>
              <w:t>PLC采用西门子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GWX-P</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干雾控制箱，外箱不锈钢304</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螺杆式空压机30KW</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7</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储气罐1500L，接口为法兰连接DN50，配自动排水阀</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SPZ-160</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万向干雾喷嘴</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16</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不锈钢304</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9</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喷淋喷嘴1/4</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140</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不锈钢304</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10</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YN-100</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耐震压力表0-1.6MPa</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11</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KF-L8/20E</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压力表开关</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12</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Q11F-16C</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球阀DN25</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13</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GL41-16C</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Y型过滤器DN40</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14</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JB/T7339-94</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饶性接头DN25</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15</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JB/T7339-94</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饶性接头DN40</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16</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Z41H-16C</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闸阀DN40</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17</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单向阀DN25</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18</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J41F-16C</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截止阀DN25</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19</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Q41F-16C</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球阀DN20</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20</w:t>
            </w:r>
          </w:p>
        </w:tc>
        <w:tc>
          <w:tcPr>
            <w:tcW w:w="2616"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CYA18A2C2001SS23502C</w:t>
            </w: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玻璃板液位计L=1850，带2个开关量输出</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21</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法兰、弯头、管夹等</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碳钢</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22</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镀锌钢管</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1批</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碳钢</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23</w:t>
            </w:r>
          </w:p>
        </w:tc>
        <w:tc>
          <w:tcPr>
            <w:tcW w:w="2616" w:type="dxa"/>
            <w:vAlign w:val="center"/>
          </w:tcPr>
          <w:p>
            <w:pPr>
              <w:widowControl w:val="0"/>
              <w:jc w:val="center"/>
              <w:rPr>
                <w:rFonts w:hint="eastAsia"/>
                <w:vertAlign w:val="baseline"/>
              </w:rPr>
            </w:pPr>
          </w:p>
        </w:tc>
        <w:tc>
          <w:tcPr>
            <w:tcW w:w="200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电缆线及线管</w:t>
            </w:r>
          </w:p>
        </w:tc>
        <w:tc>
          <w:tcPr>
            <w:tcW w:w="1360"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成品</w:t>
            </w: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616" w:type="dxa"/>
            <w:vAlign w:val="center"/>
          </w:tcPr>
          <w:p>
            <w:pPr>
              <w:widowControl w:val="0"/>
              <w:jc w:val="both"/>
              <w:rPr>
                <w:rFonts w:hint="eastAsia"/>
                <w:vertAlign w:val="baseline"/>
              </w:rPr>
            </w:pPr>
          </w:p>
        </w:tc>
        <w:tc>
          <w:tcPr>
            <w:tcW w:w="20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现场安装调试费</w:t>
            </w:r>
          </w:p>
        </w:tc>
        <w:tc>
          <w:tcPr>
            <w:tcW w:w="13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51" w:type="dxa"/>
            <w:vAlign w:val="center"/>
          </w:tcPr>
          <w:p>
            <w:pPr>
              <w:widowControl w:val="0"/>
              <w:jc w:val="center"/>
              <w:rPr>
                <w:rFonts w:hint="eastAsia" w:ascii="宋体" w:hAnsi="宋体" w:eastAsia="宋体" w:cs="宋体"/>
                <w:i w:val="0"/>
                <w:iCs w:val="0"/>
                <w:color w:val="000000"/>
                <w:kern w:val="0"/>
                <w:sz w:val="24"/>
                <w:szCs w:val="24"/>
                <w:u w:val="none"/>
                <w:lang w:val="en-US" w:eastAsia="zh-CN" w:bidi="ar"/>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c>
          <w:tcPr>
            <w:tcW w:w="1636" w:type="dxa"/>
          </w:tcPr>
          <w:p>
            <w:pPr>
              <w:widowControl w:val="0"/>
              <w:jc w:val="both"/>
              <w:rPr>
                <w:rFonts w:hint="eastAsia"/>
                <w:vertAlign w:val="baseline"/>
              </w:rPr>
            </w:pPr>
          </w:p>
        </w:tc>
      </w:tr>
    </w:tbl>
    <w:p>
      <w:pPr>
        <w:rPr>
          <w:rFonts w:hint="eastAsia"/>
        </w:rPr>
        <w:sectPr>
          <w:pgSz w:w="16838" w:h="11906" w:orient="landscape"/>
          <w:pgMar w:top="1080" w:right="1440" w:bottom="1080" w:left="1440" w:header="851" w:footer="1344" w:gutter="0"/>
          <w:cols w:space="720" w:num="1"/>
          <w:docGrid w:linePitch="312" w:charSpace="0"/>
        </w:sectPr>
      </w:pPr>
      <w:r>
        <w:rPr>
          <w:rFonts w:hint="eastAsia"/>
        </w:rPr>
        <w:t>以上清单价格</w:t>
      </w:r>
      <w:r>
        <w:rPr>
          <w:rFonts w:hint="eastAsia"/>
          <w:lang w:val="en-US" w:eastAsia="zh-CN"/>
        </w:rPr>
        <w:t>应</w:t>
      </w:r>
      <w:r>
        <w:rPr>
          <w:rFonts w:hint="eastAsia"/>
        </w:rPr>
        <w:t>包括13%增值税、运输、安装调试、设备组装、调试、系统安装及相应的售后服务费用。</w:t>
      </w:r>
    </w:p>
    <w:p/>
    <w:p>
      <w:pPr>
        <w:pStyle w:val="3"/>
        <w:jc w:val="center"/>
        <w:rPr>
          <w:rFonts w:ascii="黑体" w:hAnsi="黑体" w:eastAsia="黑体" w:cs="仿宋"/>
        </w:rPr>
      </w:pPr>
      <w:bookmarkStart w:id="96" w:name="_Toc106039369"/>
      <w:r>
        <w:rPr>
          <w:rFonts w:hint="eastAsia" w:ascii="黑体" w:hAnsi="黑体" w:eastAsia="黑体" w:cs="仿宋"/>
        </w:rPr>
        <w:t>五、资格审查资料</w:t>
      </w:r>
      <w:bookmarkEnd w:id="96"/>
    </w:p>
    <w:p>
      <w:pPr>
        <w:spacing w:line="600" w:lineRule="exact"/>
        <w:jc w:val="center"/>
        <w:rPr>
          <w:rFonts w:ascii="黑体" w:hAnsi="黑体" w:eastAsia="黑体" w:cs="仿宋"/>
          <w:sz w:val="36"/>
          <w:szCs w:val="36"/>
        </w:rPr>
      </w:pPr>
    </w:p>
    <w:p>
      <w:pPr>
        <w:pStyle w:val="2"/>
        <w:spacing w:before="0" w:beforeAutospacing="0" w:after="0" w:afterAutospacing="0"/>
        <w:rPr>
          <w:rFonts w:cs="仿宋" w:asciiTheme="minorEastAsia" w:hAnsiTheme="minorEastAsia" w:eastAsiaTheme="minorEastAsia"/>
          <w:sz w:val="24"/>
        </w:rPr>
      </w:pPr>
      <w:bookmarkStart w:id="97" w:name="_Toc106039370"/>
      <w:r>
        <w:rPr>
          <w:rFonts w:hint="eastAsia" w:cs="仿宋" w:asciiTheme="minorEastAsia" w:hAnsiTheme="minorEastAsia" w:eastAsiaTheme="minorEastAsia"/>
          <w:sz w:val="24"/>
        </w:rPr>
        <w:t>（一）基本情况</w:t>
      </w:r>
      <w:bookmarkEnd w:id="97"/>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pStyle w:val="2"/>
        <w:spacing w:before="0" w:beforeAutospacing="0" w:after="0" w:afterAutospacing="0"/>
        <w:rPr>
          <w:rFonts w:cs="仿宋" w:asciiTheme="minorEastAsia" w:hAnsiTheme="minorEastAsia" w:eastAsiaTheme="minorEastAsia"/>
          <w:sz w:val="24"/>
        </w:rPr>
      </w:pPr>
      <w:bookmarkStart w:id="98" w:name="_Toc106039371"/>
      <w:r>
        <w:rPr>
          <w:rFonts w:hint="eastAsia" w:cs="仿宋" w:asciiTheme="minorEastAsia" w:hAnsiTheme="minorEastAsia" w:eastAsiaTheme="minorEastAsia"/>
          <w:sz w:val="24"/>
        </w:rPr>
        <w:t>（二）近年财务状况</w:t>
      </w:r>
      <w:bookmarkEnd w:id="98"/>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pStyle w:val="2"/>
        <w:spacing w:before="0" w:beforeAutospacing="0" w:after="0" w:afterAutospacing="0"/>
        <w:rPr>
          <w:rFonts w:cs="仿宋" w:asciiTheme="minorEastAsia" w:hAnsiTheme="minorEastAsia" w:eastAsiaTheme="minorEastAsia"/>
          <w:sz w:val="24"/>
        </w:rPr>
      </w:pPr>
      <w:bookmarkStart w:id="99" w:name="_Toc106039372"/>
      <w:r>
        <w:rPr>
          <w:rFonts w:hint="eastAsia" w:cs="仿宋" w:asciiTheme="minorEastAsia" w:hAnsiTheme="minorEastAsia" w:eastAsiaTheme="minorEastAsia"/>
          <w:sz w:val="24"/>
        </w:rPr>
        <w:t>（三）近年的类似项目情况表</w:t>
      </w:r>
      <w:bookmarkEnd w:id="99"/>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pStyle w:val="2"/>
        <w:spacing w:before="0" w:beforeAutospacing="0" w:after="0" w:afterAutospacing="0"/>
        <w:rPr>
          <w:rFonts w:cs="仿宋" w:asciiTheme="minorEastAsia" w:hAnsiTheme="minorEastAsia" w:eastAsiaTheme="minorEastAsia"/>
          <w:sz w:val="24"/>
        </w:rPr>
      </w:pPr>
      <w:bookmarkStart w:id="100" w:name="_Toc106039373"/>
      <w:r>
        <w:rPr>
          <w:rFonts w:hint="eastAsia" w:cs="仿宋" w:asciiTheme="minorEastAsia" w:hAnsiTheme="minorEastAsia" w:eastAsiaTheme="minorEastAsia"/>
          <w:sz w:val="24"/>
        </w:rPr>
        <w:t>（四）拟委任的主要人员汇总表</w:t>
      </w:r>
      <w:bookmarkEnd w:id="100"/>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pStyle w:val="2"/>
        <w:spacing w:before="0" w:beforeAutospacing="0" w:after="0" w:afterAutospacing="0"/>
        <w:rPr>
          <w:rFonts w:asciiTheme="minorEastAsia" w:hAnsiTheme="minorEastAsia" w:eastAsiaTheme="minorEastAsia"/>
          <w:sz w:val="24"/>
          <w:szCs w:val="24"/>
        </w:rPr>
      </w:pPr>
      <w:bookmarkStart w:id="101" w:name="_Toc106039374"/>
      <w:r>
        <w:rPr>
          <w:rFonts w:hint="eastAsia" w:asciiTheme="minorEastAsia" w:hAnsiTheme="minorEastAsia" w:eastAsiaTheme="minorEastAsia"/>
          <w:sz w:val="24"/>
          <w:szCs w:val="24"/>
        </w:rPr>
        <w:t>（五）主要人员简</w:t>
      </w:r>
      <w:r>
        <w:rPr>
          <w:rFonts w:asciiTheme="minorEastAsia" w:hAnsiTheme="minorEastAsia" w:eastAsiaTheme="minorEastAsia"/>
          <w:sz w:val="24"/>
          <w:szCs w:val="24"/>
        </w:rPr>
        <w:t>历表</w:t>
      </w:r>
      <w:bookmarkEnd w:id="101"/>
    </w:p>
    <w:tbl>
      <w:tblPr>
        <w:tblStyle w:val="42"/>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6"/>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6"/>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r>
        <w:rPr>
          <w:rFonts w:hint="eastAsia" w:cs="仿宋" w:asciiTheme="minorEastAsia" w:hAnsiTheme="minorEastAsia" w:eastAsiaTheme="minorEastAsia"/>
          <w:sz w:val="24"/>
        </w:rPr>
        <w:br w:type="page"/>
      </w:r>
    </w:p>
    <w:p>
      <w:pPr>
        <w:pStyle w:val="3"/>
        <w:jc w:val="center"/>
        <w:rPr>
          <w:rFonts w:ascii="黑体" w:hAnsi="黑体" w:eastAsia="黑体" w:cs="仿宋"/>
        </w:rPr>
      </w:pPr>
      <w:bookmarkStart w:id="102" w:name="_Toc106039375"/>
      <w:r>
        <w:rPr>
          <w:rFonts w:hint="eastAsia" w:ascii="黑体" w:hAnsi="黑体" w:eastAsia="黑体" w:cs="仿宋"/>
        </w:rPr>
        <w:t>六、响应方案</w:t>
      </w:r>
      <w:bookmarkEnd w:id="102"/>
    </w:p>
    <w:p>
      <w:pPr>
        <w:pStyle w:val="41"/>
      </w:pPr>
    </w:p>
    <w:p>
      <w:pPr>
        <w:ind w:firstLine="480" w:firstLineChars="200"/>
        <w:jc w:val="both"/>
        <w:rPr>
          <w:rFonts w:ascii="宋体" w:hAnsi="宋体"/>
          <w:sz w:val="24"/>
          <w:highlight w:val="yellow"/>
        </w:rPr>
      </w:pPr>
      <w:r>
        <w:rPr>
          <w:rFonts w:hint="eastAsia" w:ascii="宋体" w:hAnsi="宋体"/>
          <w:sz w:val="24"/>
          <w:highlight w:val="yellow"/>
        </w:rPr>
        <w:t>响应方案一般包括(但不限于)下列内容:</w:t>
      </w:r>
    </w:p>
    <w:p>
      <w:pPr>
        <w:ind w:firstLine="480" w:firstLineChars="200"/>
        <w:jc w:val="both"/>
        <w:rPr>
          <w:rFonts w:ascii="宋体" w:hAnsi="宋体"/>
          <w:sz w:val="24"/>
          <w:highlight w:val="yellow"/>
        </w:rPr>
      </w:pPr>
      <w:r>
        <w:rPr>
          <w:rFonts w:hint="eastAsia" w:ascii="宋体" w:hAnsi="宋体"/>
          <w:sz w:val="24"/>
          <w:highlight w:val="yellow"/>
        </w:rPr>
        <w:t>(一)货物质量标准或技术性能指标的详细描述（可结合第三章“评审办法”和第五章“采购需求”中的要求进行响应）；</w:t>
      </w:r>
    </w:p>
    <w:p>
      <w:pPr>
        <w:ind w:firstLine="480" w:firstLineChars="200"/>
        <w:jc w:val="both"/>
        <w:rPr>
          <w:rFonts w:ascii="宋体" w:hAnsi="宋体"/>
          <w:sz w:val="24"/>
          <w:highlight w:val="yellow"/>
        </w:rPr>
      </w:pPr>
      <w:r>
        <w:rPr>
          <w:rFonts w:hint="eastAsia" w:ascii="宋体" w:hAnsi="宋体"/>
          <w:sz w:val="24"/>
          <w:highlight w:val="yellow"/>
        </w:rPr>
        <w:t>（二）技术支持资料（可结合第三章“评审办法”和第五章“采购需求”中的要求进行响应）；</w:t>
      </w:r>
    </w:p>
    <w:p>
      <w:pPr>
        <w:ind w:firstLine="480" w:firstLineChars="200"/>
        <w:jc w:val="both"/>
        <w:rPr>
          <w:rFonts w:ascii="黑体" w:hAnsi="黑体" w:eastAsia="黑体" w:cs="仿宋"/>
          <w:b/>
          <w:bCs/>
          <w:kern w:val="44"/>
          <w:sz w:val="36"/>
          <w:szCs w:val="36"/>
        </w:rPr>
      </w:pPr>
      <w:r>
        <w:rPr>
          <w:rFonts w:hint="eastAsia" w:ascii="宋体" w:hAnsi="宋体"/>
          <w:sz w:val="24"/>
          <w:highlight w:val="yellow"/>
        </w:rPr>
        <w:t>（三）相关服务计划（可结合第三章“评审办法”和第五章“采购需求”中的要求进行响应）；</w:t>
      </w:r>
      <w:r>
        <w:rPr>
          <w:rFonts w:ascii="黑体" w:hAnsi="黑体" w:eastAsia="黑体" w:cs="仿宋"/>
          <w:sz w:val="36"/>
          <w:szCs w:val="36"/>
        </w:rPr>
        <w:br w:type="page"/>
      </w:r>
    </w:p>
    <w:p>
      <w:pPr>
        <w:pStyle w:val="3"/>
        <w:rPr>
          <w:rFonts w:ascii="黑体" w:hAnsi="黑体" w:eastAsia="黑体" w:cs="仿宋"/>
        </w:rPr>
      </w:pPr>
      <w:bookmarkStart w:id="103" w:name="_Toc106039376"/>
      <w:r>
        <w:rPr>
          <w:rFonts w:hint="eastAsia" w:ascii="黑体" w:hAnsi="黑体" w:eastAsia="黑体" w:cs="仿宋"/>
        </w:rPr>
        <w:t>七、其他资料</w:t>
      </w:r>
      <w:bookmarkEnd w:id="103"/>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7"/>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21</w:t>
        </w:r>
        <w:r>
          <w:rPr>
            <w:sz w:val="20"/>
          </w:rPr>
          <w:fldChar w:fldCharType="end"/>
        </w:r>
      </w:p>
    </w:sdtContent>
  </w:sdt>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251C1"/>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04328"/>
    <w:rsid w:val="00124EA9"/>
    <w:rsid w:val="00131DC1"/>
    <w:rsid w:val="00133753"/>
    <w:rsid w:val="0013766E"/>
    <w:rsid w:val="00141200"/>
    <w:rsid w:val="001421A1"/>
    <w:rsid w:val="0014231F"/>
    <w:rsid w:val="001429F5"/>
    <w:rsid w:val="00143EE9"/>
    <w:rsid w:val="00144A0B"/>
    <w:rsid w:val="00155F5F"/>
    <w:rsid w:val="001624F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148"/>
    <w:rsid w:val="0021628B"/>
    <w:rsid w:val="0022239A"/>
    <w:rsid w:val="00236D8A"/>
    <w:rsid w:val="00240105"/>
    <w:rsid w:val="00244E9B"/>
    <w:rsid w:val="0026094B"/>
    <w:rsid w:val="00281C9C"/>
    <w:rsid w:val="002832EF"/>
    <w:rsid w:val="0028390B"/>
    <w:rsid w:val="00292A27"/>
    <w:rsid w:val="002A13A6"/>
    <w:rsid w:val="002A33AD"/>
    <w:rsid w:val="002A3646"/>
    <w:rsid w:val="002A69B8"/>
    <w:rsid w:val="002B225E"/>
    <w:rsid w:val="002B7B11"/>
    <w:rsid w:val="002D3DCC"/>
    <w:rsid w:val="002D460A"/>
    <w:rsid w:val="002E1D5F"/>
    <w:rsid w:val="002F4C12"/>
    <w:rsid w:val="003000B2"/>
    <w:rsid w:val="0031048F"/>
    <w:rsid w:val="003114D8"/>
    <w:rsid w:val="003220EE"/>
    <w:rsid w:val="003276E9"/>
    <w:rsid w:val="003332ED"/>
    <w:rsid w:val="00333AC7"/>
    <w:rsid w:val="003346E3"/>
    <w:rsid w:val="00335C6C"/>
    <w:rsid w:val="00340982"/>
    <w:rsid w:val="00341BE1"/>
    <w:rsid w:val="00343219"/>
    <w:rsid w:val="00352B11"/>
    <w:rsid w:val="003536C1"/>
    <w:rsid w:val="00371495"/>
    <w:rsid w:val="0038765B"/>
    <w:rsid w:val="00392340"/>
    <w:rsid w:val="003A008A"/>
    <w:rsid w:val="003A21A4"/>
    <w:rsid w:val="003A35E6"/>
    <w:rsid w:val="003A47A2"/>
    <w:rsid w:val="003A7BE3"/>
    <w:rsid w:val="003B1B7D"/>
    <w:rsid w:val="003C0E8A"/>
    <w:rsid w:val="003C71AC"/>
    <w:rsid w:val="003E48E1"/>
    <w:rsid w:val="003E71C8"/>
    <w:rsid w:val="003E7A6F"/>
    <w:rsid w:val="00405A6A"/>
    <w:rsid w:val="00406457"/>
    <w:rsid w:val="004179C4"/>
    <w:rsid w:val="004212E9"/>
    <w:rsid w:val="00445025"/>
    <w:rsid w:val="004477E9"/>
    <w:rsid w:val="004528FC"/>
    <w:rsid w:val="004529AE"/>
    <w:rsid w:val="0046332C"/>
    <w:rsid w:val="00464986"/>
    <w:rsid w:val="00470510"/>
    <w:rsid w:val="00474349"/>
    <w:rsid w:val="00477005"/>
    <w:rsid w:val="00477727"/>
    <w:rsid w:val="00480E54"/>
    <w:rsid w:val="00482A85"/>
    <w:rsid w:val="0048561B"/>
    <w:rsid w:val="00494772"/>
    <w:rsid w:val="004A6BC6"/>
    <w:rsid w:val="004B2465"/>
    <w:rsid w:val="004B24C9"/>
    <w:rsid w:val="004B3E4A"/>
    <w:rsid w:val="004D1DCD"/>
    <w:rsid w:val="004D2DC8"/>
    <w:rsid w:val="004D702E"/>
    <w:rsid w:val="004F03C7"/>
    <w:rsid w:val="004F10FE"/>
    <w:rsid w:val="004F1CF3"/>
    <w:rsid w:val="004F7BD5"/>
    <w:rsid w:val="004F7F0C"/>
    <w:rsid w:val="0050258D"/>
    <w:rsid w:val="0051116B"/>
    <w:rsid w:val="00514DA0"/>
    <w:rsid w:val="00527EEC"/>
    <w:rsid w:val="005307B3"/>
    <w:rsid w:val="005458F8"/>
    <w:rsid w:val="0054718F"/>
    <w:rsid w:val="0055203E"/>
    <w:rsid w:val="0057297F"/>
    <w:rsid w:val="0057563C"/>
    <w:rsid w:val="00575982"/>
    <w:rsid w:val="00580028"/>
    <w:rsid w:val="00580488"/>
    <w:rsid w:val="0058176A"/>
    <w:rsid w:val="005864F4"/>
    <w:rsid w:val="005932FF"/>
    <w:rsid w:val="005A24DF"/>
    <w:rsid w:val="005A43ED"/>
    <w:rsid w:val="005A70E0"/>
    <w:rsid w:val="005B251E"/>
    <w:rsid w:val="005C4BCE"/>
    <w:rsid w:val="005D438E"/>
    <w:rsid w:val="005E5529"/>
    <w:rsid w:val="005E5C66"/>
    <w:rsid w:val="005E679A"/>
    <w:rsid w:val="005F29AC"/>
    <w:rsid w:val="005F2B3B"/>
    <w:rsid w:val="005F3C29"/>
    <w:rsid w:val="005F499C"/>
    <w:rsid w:val="00602185"/>
    <w:rsid w:val="00612206"/>
    <w:rsid w:val="00617F00"/>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D7720"/>
    <w:rsid w:val="006E037A"/>
    <w:rsid w:val="006E0909"/>
    <w:rsid w:val="006E37CB"/>
    <w:rsid w:val="006E4993"/>
    <w:rsid w:val="006E5C39"/>
    <w:rsid w:val="00702A69"/>
    <w:rsid w:val="00707B6C"/>
    <w:rsid w:val="007265BE"/>
    <w:rsid w:val="00734D60"/>
    <w:rsid w:val="0075378F"/>
    <w:rsid w:val="007555FC"/>
    <w:rsid w:val="007623DE"/>
    <w:rsid w:val="00767FCD"/>
    <w:rsid w:val="00770FF3"/>
    <w:rsid w:val="00771629"/>
    <w:rsid w:val="007726E3"/>
    <w:rsid w:val="00773441"/>
    <w:rsid w:val="00773E3D"/>
    <w:rsid w:val="0077453D"/>
    <w:rsid w:val="00784672"/>
    <w:rsid w:val="00784F8A"/>
    <w:rsid w:val="00785C21"/>
    <w:rsid w:val="007964EF"/>
    <w:rsid w:val="007C2355"/>
    <w:rsid w:val="007C40D4"/>
    <w:rsid w:val="007C74E8"/>
    <w:rsid w:val="007D0497"/>
    <w:rsid w:val="007D29D4"/>
    <w:rsid w:val="007D3081"/>
    <w:rsid w:val="007E1F23"/>
    <w:rsid w:val="007E4510"/>
    <w:rsid w:val="007F380E"/>
    <w:rsid w:val="007F3D4A"/>
    <w:rsid w:val="007F3EC6"/>
    <w:rsid w:val="0080745B"/>
    <w:rsid w:val="00822A51"/>
    <w:rsid w:val="00824B55"/>
    <w:rsid w:val="0084620B"/>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70629"/>
    <w:rsid w:val="00983877"/>
    <w:rsid w:val="00990305"/>
    <w:rsid w:val="009A1BD2"/>
    <w:rsid w:val="009A24B1"/>
    <w:rsid w:val="009B084E"/>
    <w:rsid w:val="009B38E6"/>
    <w:rsid w:val="009B5405"/>
    <w:rsid w:val="009B626F"/>
    <w:rsid w:val="009B66AE"/>
    <w:rsid w:val="009C5A07"/>
    <w:rsid w:val="009E0B67"/>
    <w:rsid w:val="009F0705"/>
    <w:rsid w:val="009F1C96"/>
    <w:rsid w:val="009F786D"/>
    <w:rsid w:val="00A02DDD"/>
    <w:rsid w:val="00A12741"/>
    <w:rsid w:val="00A15750"/>
    <w:rsid w:val="00A2148B"/>
    <w:rsid w:val="00A2462C"/>
    <w:rsid w:val="00A27204"/>
    <w:rsid w:val="00A33D67"/>
    <w:rsid w:val="00A3767B"/>
    <w:rsid w:val="00A41388"/>
    <w:rsid w:val="00A477C0"/>
    <w:rsid w:val="00A507DC"/>
    <w:rsid w:val="00A54E02"/>
    <w:rsid w:val="00A67EC8"/>
    <w:rsid w:val="00A71374"/>
    <w:rsid w:val="00A81F80"/>
    <w:rsid w:val="00A868EF"/>
    <w:rsid w:val="00A906E2"/>
    <w:rsid w:val="00A943DF"/>
    <w:rsid w:val="00A95B63"/>
    <w:rsid w:val="00AA0F15"/>
    <w:rsid w:val="00AB28BF"/>
    <w:rsid w:val="00AD2A48"/>
    <w:rsid w:val="00AD2C8A"/>
    <w:rsid w:val="00AD6819"/>
    <w:rsid w:val="00AE15F3"/>
    <w:rsid w:val="00AE18DA"/>
    <w:rsid w:val="00AF4CC2"/>
    <w:rsid w:val="00B01BCC"/>
    <w:rsid w:val="00B2492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569"/>
    <w:rsid w:val="00BA783A"/>
    <w:rsid w:val="00BB00AF"/>
    <w:rsid w:val="00BB1B83"/>
    <w:rsid w:val="00BB53FF"/>
    <w:rsid w:val="00BC08B5"/>
    <w:rsid w:val="00BC5446"/>
    <w:rsid w:val="00BD7A21"/>
    <w:rsid w:val="00BF2669"/>
    <w:rsid w:val="00C03C07"/>
    <w:rsid w:val="00C12666"/>
    <w:rsid w:val="00C14B63"/>
    <w:rsid w:val="00C16814"/>
    <w:rsid w:val="00C22565"/>
    <w:rsid w:val="00C324D4"/>
    <w:rsid w:val="00C50F7B"/>
    <w:rsid w:val="00C52E06"/>
    <w:rsid w:val="00C53A90"/>
    <w:rsid w:val="00C54AC5"/>
    <w:rsid w:val="00C7182C"/>
    <w:rsid w:val="00C80A31"/>
    <w:rsid w:val="00C938B5"/>
    <w:rsid w:val="00C94DBF"/>
    <w:rsid w:val="00CB2271"/>
    <w:rsid w:val="00CB35D3"/>
    <w:rsid w:val="00CD5CEB"/>
    <w:rsid w:val="00CE020B"/>
    <w:rsid w:val="00CE71D2"/>
    <w:rsid w:val="00CE7226"/>
    <w:rsid w:val="00CE7D8E"/>
    <w:rsid w:val="00CF36EE"/>
    <w:rsid w:val="00D1160E"/>
    <w:rsid w:val="00D1328D"/>
    <w:rsid w:val="00D14007"/>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E65BA"/>
    <w:rsid w:val="00DF2B35"/>
    <w:rsid w:val="00DF52A2"/>
    <w:rsid w:val="00E006FA"/>
    <w:rsid w:val="00E07092"/>
    <w:rsid w:val="00E10A95"/>
    <w:rsid w:val="00E24833"/>
    <w:rsid w:val="00E25112"/>
    <w:rsid w:val="00E263FD"/>
    <w:rsid w:val="00E30201"/>
    <w:rsid w:val="00E44E6A"/>
    <w:rsid w:val="00E4799A"/>
    <w:rsid w:val="00E5145F"/>
    <w:rsid w:val="00E5459C"/>
    <w:rsid w:val="00E61B4A"/>
    <w:rsid w:val="00E65DCA"/>
    <w:rsid w:val="00E828A3"/>
    <w:rsid w:val="00E839E1"/>
    <w:rsid w:val="00E84D8F"/>
    <w:rsid w:val="00E84EC4"/>
    <w:rsid w:val="00E8703F"/>
    <w:rsid w:val="00E8717F"/>
    <w:rsid w:val="00EA3253"/>
    <w:rsid w:val="00EA3F96"/>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3672"/>
    <w:rsid w:val="00F449A4"/>
    <w:rsid w:val="00F51761"/>
    <w:rsid w:val="00F51B37"/>
    <w:rsid w:val="00F552F8"/>
    <w:rsid w:val="00F725CC"/>
    <w:rsid w:val="00F76C2C"/>
    <w:rsid w:val="00F86C0E"/>
    <w:rsid w:val="00FA688E"/>
    <w:rsid w:val="00FB7FEC"/>
    <w:rsid w:val="00FC0CDA"/>
    <w:rsid w:val="00FC2557"/>
    <w:rsid w:val="00FC3155"/>
    <w:rsid w:val="00FD0360"/>
    <w:rsid w:val="00FD3A25"/>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47C353A"/>
    <w:rsid w:val="04A65DBC"/>
    <w:rsid w:val="05C8377A"/>
    <w:rsid w:val="05CD3A4B"/>
    <w:rsid w:val="05EF1FFE"/>
    <w:rsid w:val="06324706"/>
    <w:rsid w:val="071C2DD7"/>
    <w:rsid w:val="07AA07E2"/>
    <w:rsid w:val="0882554E"/>
    <w:rsid w:val="08826D5B"/>
    <w:rsid w:val="08876C3D"/>
    <w:rsid w:val="09343645"/>
    <w:rsid w:val="09970B85"/>
    <w:rsid w:val="09C6304D"/>
    <w:rsid w:val="09E7100A"/>
    <w:rsid w:val="0AED2D32"/>
    <w:rsid w:val="0AF00027"/>
    <w:rsid w:val="0B0D605F"/>
    <w:rsid w:val="0B272FBD"/>
    <w:rsid w:val="0B300652"/>
    <w:rsid w:val="0B534E7F"/>
    <w:rsid w:val="0C905B62"/>
    <w:rsid w:val="0CCC561D"/>
    <w:rsid w:val="0CD44FE7"/>
    <w:rsid w:val="0CE02BCB"/>
    <w:rsid w:val="0D414932"/>
    <w:rsid w:val="0D8B5F9E"/>
    <w:rsid w:val="0DB759FC"/>
    <w:rsid w:val="0DBD1316"/>
    <w:rsid w:val="0E1F3EB9"/>
    <w:rsid w:val="0E77556B"/>
    <w:rsid w:val="0E891CDE"/>
    <w:rsid w:val="0E894C6A"/>
    <w:rsid w:val="0EC738CC"/>
    <w:rsid w:val="0F250657"/>
    <w:rsid w:val="0FE216C6"/>
    <w:rsid w:val="1029705A"/>
    <w:rsid w:val="10A157BC"/>
    <w:rsid w:val="10D715D2"/>
    <w:rsid w:val="112343A2"/>
    <w:rsid w:val="113B3D20"/>
    <w:rsid w:val="115E4704"/>
    <w:rsid w:val="119E5E08"/>
    <w:rsid w:val="12362DDF"/>
    <w:rsid w:val="13692E14"/>
    <w:rsid w:val="136C60D7"/>
    <w:rsid w:val="145076DA"/>
    <w:rsid w:val="149C34F4"/>
    <w:rsid w:val="14B70C0B"/>
    <w:rsid w:val="1500069C"/>
    <w:rsid w:val="15912658"/>
    <w:rsid w:val="160A7A1D"/>
    <w:rsid w:val="160B7CDB"/>
    <w:rsid w:val="16314BAD"/>
    <w:rsid w:val="17100B20"/>
    <w:rsid w:val="17594306"/>
    <w:rsid w:val="17D539F2"/>
    <w:rsid w:val="17DD7BFF"/>
    <w:rsid w:val="17DF02C7"/>
    <w:rsid w:val="17FA7AA4"/>
    <w:rsid w:val="18961368"/>
    <w:rsid w:val="18A90CBA"/>
    <w:rsid w:val="18E4741C"/>
    <w:rsid w:val="19097045"/>
    <w:rsid w:val="196A4431"/>
    <w:rsid w:val="1A104EBC"/>
    <w:rsid w:val="1ABA20D4"/>
    <w:rsid w:val="1AEE5086"/>
    <w:rsid w:val="1BF376D0"/>
    <w:rsid w:val="1C2276D5"/>
    <w:rsid w:val="1D082A55"/>
    <w:rsid w:val="1D5D05DC"/>
    <w:rsid w:val="1DAB68D7"/>
    <w:rsid w:val="1DBB01B3"/>
    <w:rsid w:val="1DC7279C"/>
    <w:rsid w:val="1DEC3661"/>
    <w:rsid w:val="1E1F3B60"/>
    <w:rsid w:val="1E5803E7"/>
    <w:rsid w:val="1E901304"/>
    <w:rsid w:val="1F031D0C"/>
    <w:rsid w:val="1F0F644E"/>
    <w:rsid w:val="1F2E0BFF"/>
    <w:rsid w:val="1F833B5F"/>
    <w:rsid w:val="1F9D58D9"/>
    <w:rsid w:val="1FB37BD1"/>
    <w:rsid w:val="1FBF76D7"/>
    <w:rsid w:val="205D54C9"/>
    <w:rsid w:val="20F56E6A"/>
    <w:rsid w:val="210E5B18"/>
    <w:rsid w:val="212E078A"/>
    <w:rsid w:val="213E3A2F"/>
    <w:rsid w:val="22CD0ADC"/>
    <w:rsid w:val="23331D17"/>
    <w:rsid w:val="235B5479"/>
    <w:rsid w:val="23A34879"/>
    <w:rsid w:val="23BE1A45"/>
    <w:rsid w:val="244C69D6"/>
    <w:rsid w:val="24C25045"/>
    <w:rsid w:val="24CF2408"/>
    <w:rsid w:val="25313DAC"/>
    <w:rsid w:val="25670F4C"/>
    <w:rsid w:val="2578297E"/>
    <w:rsid w:val="2584425C"/>
    <w:rsid w:val="260770CA"/>
    <w:rsid w:val="264E6DB9"/>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7757C9"/>
    <w:rsid w:val="2A810C26"/>
    <w:rsid w:val="2AA915E9"/>
    <w:rsid w:val="2AB628FE"/>
    <w:rsid w:val="2AEB642C"/>
    <w:rsid w:val="2B370856"/>
    <w:rsid w:val="2BB311E2"/>
    <w:rsid w:val="2BF10955"/>
    <w:rsid w:val="2C7F01E4"/>
    <w:rsid w:val="2D101F87"/>
    <w:rsid w:val="2D933C05"/>
    <w:rsid w:val="2DEC6D70"/>
    <w:rsid w:val="2E312601"/>
    <w:rsid w:val="2E41641E"/>
    <w:rsid w:val="2E944985"/>
    <w:rsid w:val="2F6261C2"/>
    <w:rsid w:val="2FA63021"/>
    <w:rsid w:val="2FCB45CD"/>
    <w:rsid w:val="2FD26F55"/>
    <w:rsid w:val="30096558"/>
    <w:rsid w:val="30564A47"/>
    <w:rsid w:val="30DE2DAE"/>
    <w:rsid w:val="31755D3D"/>
    <w:rsid w:val="31AD6526"/>
    <w:rsid w:val="323D10CB"/>
    <w:rsid w:val="32756EB2"/>
    <w:rsid w:val="328A0351"/>
    <w:rsid w:val="32947966"/>
    <w:rsid w:val="329D4C70"/>
    <w:rsid w:val="32CB6281"/>
    <w:rsid w:val="339248A7"/>
    <w:rsid w:val="34766C36"/>
    <w:rsid w:val="347E184F"/>
    <w:rsid w:val="34874156"/>
    <w:rsid w:val="34DC45DC"/>
    <w:rsid w:val="34F111A0"/>
    <w:rsid w:val="35032B89"/>
    <w:rsid w:val="351E6AD6"/>
    <w:rsid w:val="35E068D3"/>
    <w:rsid w:val="36237A11"/>
    <w:rsid w:val="369E5F5A"/>
    <w:rsid w:val="36D57A86"/>
    <w:rsid w:val="36EC5253"/>
    <w:rsid w:val="379B30ED"/>
    <w:rsid w:val="37B50E0E"/>
    <w:rsid w:val="37E36BED"/>
    <w:rsid w:val="3806709E"/>
    <w:rsid w:val="38302D1E"/>
    <w:rsid w:val="38F94373"/>
    <w:rsid w:val="390636E6"/>
    <w:rsid w:val="39C96499"/>
    <w:rsid w:val="3A1D0739"/>
    <w:rsid w:val="3A2B051F"/>
    <w:rsid w:val="3A5E7CCF"/>
    <w:rsid w:val="3AB17686"/>
    <w:rsid w:val="3AF93B99"/>
    <w:rsid w:val="3B2B40CB"/>
    <w:rsid w:val="3B786F8B"/>
    <w:rsid w:val="3C100595"/>
    <w:rsid w:val="3CCF005B"/>
    <w:rsid w:val="3D461FBA"/>
    <w:rsid w:val="3D5B45EF"/>
    <w:rsid w:val="3F0013D8"/>
    <w:rsid w:val="3F044229"/>
    <w:rsid w:val="3F747742"/>
    <w:rsid w:val="3FB93C81"/>
    <w:rsid w:val="3FEA1C2A"/>
    <w:rsid w:val="407A02DD"/>
    <w:rsid w:val="40C81736"/>
    <w:rsid w:val="40CD665F"/>
    <w:rsid w:val="41A84E5D"/>
    <w:rsid w:val="41CE0EB7"/>
    <w:rsid w:val="42B9360E"/>
    <w:rsid w:val="42D066F8"/>
    <w:rsid w:val="439D4A0F"/>
    <w:rsid w:val="43BC1982"/>
    <w:rsid w:val="44553D96"/>
    <w:rsid w:val="44D14A1F"/>
    <w:rsid w:val="44EF214B"/>
    <w:rsid w:val="4503099B"/>
    <w:rsid w:val="452358A5"/>
    <w:rsid w:val="453D7EFA"/>
    <w:rsid w:val="45FD2E1E"/>
    <w:rsid w:val="46236E22"/>
    <w:rsid w:val="463D1554"/>
    <w:rsid w:val="46480423"/>
    <w:rsid w:val="46C44BD5"/>
    <w:rsid w:val="46FD0ED7"/>
    <w:rsid w:val="473A1C92"/>
    <w:rsid w:val="47592E4A"/>
    <w:rsid w:val="47D44A52"/>
    <w:rsid w:val="48B457DA"/>
    <w:rsid w:val="49055724"/>
    <w:rsid w:val="49061DFF"/>
    <w:rsid w:val="495F2766"/>
    <w:rsid w:val="49A15B9F"/>
    <w:rsid w:val="49D40A5E"/>
    <w:rsid w:val="49E352A4"/>
    <w:rsid w:val="4A625DAC"/>
    <w:rsid w:val="4BA044F9"/>
    <w:rsid w:val="4BB73BE9"/>
    <w:rsid w:val="4BEB2031"/>
    <w:rsid w:val="4C2C5768"/>
    <w:rsid w:val="4C8D7FB6"/>
    <w:rsid w:val="4CFB75B5"/>
    <w:rsid w:val="4D7D047C"/>
    <w:rsid w:val="4DA67EC1"/>
    <w:rsid w:val="4DC537EF"/>
    <w:rsid w:val="4DF47F35"/>
    <w:rsid w:val="4E251413"/>
    <w:rsid w:val="4E5E70BD"/>
    <w:rsid w:val="4E5F0909"/>
    <w:rsid w:val="4E6200BB"/>
    <w:rsid w:val="4EC14021"/>
    <w:rsid w:val="4F542C5F"/>
    <w:rsid w:val="4F7855EA"/>
    <w:rsid w:val="4F940716"/>
    <w:rsid w:val="4FAF7130"/>
    <w:rsid w:val="50203001"/>
    <w:rsid w:val="50613214"/>
    <w:rsid w:val="515B1A65"/>
    <w:rsid w:val="520004CA"/>
    <w:rsid w:val="521E5740"/>
    <w:rsid w:val="522358DC"/>
    <w:rsid w:val="533D162C"/>
    <w:rsid w:val="53E549BF"/>
    <w:rsid w:val="5422279F"/>
    <w:rsid w:val="54C32B11"/>
    <w:rsid w:val="54DC56F8"/>
    <w:rsid w:val="55444007"/>
    <w:rsid w:val="557117DE"/>
    <w:rsid w:val="56367C5B"/>
    <w:rsid w:val="56677807"/>
    <w:rsid w:val="56820D5B"/>
    <w:rsid w:val="57096D7C"/>
    <w:rsid w:val="57634CB3"/>
    <w:rsid w:val="579B0911"/>
    <w:rsid w:val="58726012"/>
    <w:rsid w:val="58D06D06"/>
    <w:rsid w:val="58EF37E0"/>
    <w:rsid w:val="58FE0B8D"/>
    <w:rsid w:val="59D5260B"/>
    <w:rsid w:val="59F510C8"/>
    <w:rsid w:val="5A190D99"/>
    <w:rsid w:val="5A465B9D"/>
    <w:rsid w:val="5A533C21"/>
    <w:rsid w:val="5A631C3C"/>
    <w:rsid w:val="5AF71073"/>
    <w:rsid w:val="5B6270CB"/>
    <w:rsid w:val="5B812149"/>
    <w:rsid w:val="5BB24FC7"/>
    <w:rsid w:val="5BE77BBC"/>
    <w:rsid w:val="5C9744CD"/>
    <w:rsid w:val="5D1E4A62"/>
    <w:rsid w:val="5D5A5542"/>
    <w:rsid w:val="5D87033A"/>
    <w:rsid w:val="5D940B49"/>
    <w:rsid w:val="5DBD75BE"/>
    <w:rsid w:val="5DDB3A67"/>
    <w:rsid w:val="5E007081"/>
    <w:rsid w:val="5E2979F3"/>
    <w:rsid w:val="5E646A2E"/>
    <w:rsid w:val="5EA92355"/>
    <w:rsid w:val="5F2E04F4"/>
    <w:rsid w:val="5F5A7169"/>
    <w:rsid w:val="5F600FC9"/>
    <w:rsid w:val="5F831A87"/>
    <w:rsid w:val="5FA558FD"/>
    <w:rsid w:val="5FC52CF8"/>
    <w:rsid w:val="5FC5301A"/>
    <w:rsid w:val="608457E2"/>
    <w:rsid w:val="60E14966"/>
    <w:rsid w:val="616D757D"/>
    <w:rsid w:val="617C259E"/>
    <w:rsid w:val="62342CE6"/>
    <w:rsid w:val="62525166"/>
    <w:rsid w:val="632B72A3"/>
    <w:rsid w:val="63310F09"/>
    <w:rsid w:val="63505113"/>
    <w:rsid w:val="63B84F56"/>
    <w:rsid w:val="63D26927"/>
    <w:rsid w:val="63ED139D"/>
    <w:rsid w:val="64255AB6"/>
    <w:rsid w:val="64557A48"/>
    <w:rsid w:val="646326B7"/>
    <w:rsid w:val="64665F9D"/>
    <w:rsid w:val="64862E7E"/>
    <w:rsid w:val="65571836"/>
    <w:rsid w:val="65E54EB0"/>
    <w:rsid w:val="65FD3712"/>
    <w:rsid w:val="663E10C6"/>
    <w:rsid w:val="666552E6"/>
    <w:rsid w:val="668B7395"/>
    <w:rsid w:val="66C94AFB"/>
    <w:rsid w:val="66D122B6"/>
    <w:rsid w:val="67B945ED"/>
    <w:rsid w:val="67CD5453"/>
    <w:rsid w:val="67DB2C51"/>
    <w:rsid w:val="68562B5B"/>
    <w:rsid w:val="686B311E"/>
    <w:rsid w:val="68AB6164"/>
    <w:rsid w:val="68F71C1C"/>
    <w:rsid w:val="69547E9C"/>
    <w:rsid w:val="6A843C76"/>
    <w:rsid w:val="6AAA1AFA"/>
    <w:rsid w:val="6AE84B3E"/>
    <w:rsid w:val="6B2F5A5F"/>
    <w:rsid w:val="6B3F724F"/>
    <w:rsid w:val="6B533C17"/>
    <w:rsid w:val="6B8307E0"/>
    <w:rsid w:val="6B860FE6"/>
    <w:rsid w:val="6C686F88"/>
    <w:rsid w:val="6C7745F7"/>
    <w:rsid w:val="6E5E463A"/>
    <w:rsid w:val="6EBD7FFE"/>
    <w:rsid w:val="6EC13E25"/>
    <w:rsid w:val="6EF262AC"/>
    <w:rsid w:val="6F3A1809"/>
    <w:rsid w:val="6FD45398"/>
    <w:rsid w:val="71285AAC"/>
    <w:rsid w:val="71594D33"/>
    <w:rsid w:val="715C2F1C"/>
    <w:rsid w:val="71C31377"/>
    <w:rsid w:val="71E74047"/>
    <w:rsid w:val="71F42B7C"/>
    <w:rsid w:val="7205398F"/>
    <w:rsid w:val="7238655B"/>
    <w:rsid w:val="735008A6"/>
    <w:rsid w:val="735D2DA4"/>
    <w:rsid w:val="736C43E3"/>
    <w:rsid w:val="73BC5AD9"/>
    <w:rsid w:val="73D85E91"/>
    <w:rsid w:val="742F0E63"/>
    <w:rsid w:val="7453751A"/>
    <w:rsid w:val="746453A7"/>
    <w:rsid w:val="74E20649"/>
    <w:rsid w:val="76013066"/>
    <w:rsid w:val="76013836"/>
    <w:rsid w:val="76490038"/>
    <w:rsid w:val="764D1C01"/>
    <w:rsid w:val="76B850E0"/>
    <w:rsid w:val="77400CB2"/>
    <w:rsid w:val="77401EC1"/>
    <w:rsid w:val="77A40E96"/>
    <w:rsid w:val="785F380B"/>
    <w:rsid w:val="78865DD8"/>
    <w:rsid w:val="78CA23D8"/>
    <w:rsid w:val="793B59A2"/>
    <w:rsid w:val="793E01E7"/>
    <w:rsid w:val="794C72DA"/>
    <w:rsid w:val="79771CC2"/>
    <w:rsid w:val="79A347F2"/>
    <w:rsid w:val="7A0C4A94"/>
    <w:rsid w:val="7B2D37A3"/>
    <w:rsid w:val="7B5D7ABB"/>
    <w:rsid w:val="7B99300E"/>
    <w:rsid w:val="7B99444A"/>
    <w:rsid w:val="7BCF57C7"/>
    <w:rsid w:val="7BE401C5"/>
    <w:rsid w:val="7C375547"/>
    <w:rsid w:val="7CD12E65"/>
    <w:rsid w:val="7DB1356C"/>
    <w:rsid w:val="7DB473AA"/>
    <w:rsid w:val="7E611BB9"/>
    <w:rsid w:val="7F190573"/>
    <w:rsid w:val="7F1A5E18"/>
    <w:rsid w:val="7F384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54"/>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link w:val="189"/>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120" w:after="120"/>
      <w:outlineLvl w:val="4"/>
    </w:pPr>
    <w:rPr>
      <w:rFonts w:eastAsia="黑体"/>
      <w:bCs/>
      <w:sz w:val="28"/>
      <w:szCs w:val="28"/>
    </w:rPr>
  </w:style>
  <w:style w:type="paragraph" w:styleId="7">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4"/>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1"/>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82"/>
    <w:semiHidden/>
    <w:unhideWhenUsed/>
    <w:qFormat/>
    <w:uiPriority w:val="99"/>
    <w:pPr>
      <w:spacing w:after="120"/>
    </w:pPr>
    <w:rPr>
      <w:sz w:val="16"/>
      <w:szCs w:val="16"/>
    </w:rPr>
  </w:style>
  <w:style w:type="paragraph" w:styleId="15">
    <w:name w:val="Body Text"/>
    <w:basedOn w:val="1"/>
    <w:next w:val="16"/>
    <w:link w:val="187"/>
    <w:semiHidden/>
    <w:unhideWhenUsed/>
    <w:qFormat/>
    <w:uiPriority w:val="99"/>
    <w:pPr>
      <w:spacing w:after="120"/>
    </w:pPr>
  </w:style>
  <w:style w:type="paragraph" w:customStyle="1" w:styleId="16">
    <w:name w:val="Body Text Indent 21"/>
    <w:basedOn w:val="1"/>
    <w:next w:val="17"/>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52"/>
    <w:qFormat/>
    <w:uiPriority w:val="99"/>
    <w:pPr>
      <w:snapToGrid w:val="0"/>
    </w:pPr>
    <w:rPr>
      <w:rFonts w:asciiTheme="minorHAnsi" w:hAnsiTheme="minorHAnsi" w:eastAsiaTheme="minorEastAsia" w:cstheme="minorBidi"/>
      <w:sz w:val="18"/>
      <w:szCs w:val="18"/>
    </w:rPr>
  </w:style>
  <w:style w:type="paragraph" w:styleId="18">
    <w:name w:val="Body Text Indent"/>
    <w:basedOn w:val="1"/>
    <w:unhideWhenUsed/>
    <w:qFormat/>
    <w:uiPriority w:val="99"/>
    <w:pPr>
      <w:spacing w:after="120"/>
      <w:ind w:left="420" w:leftChars="200"/>
    </w:pPr>
  </w:style>
  <w:style w:type="paragraph" w:styleId="19">
    <w:name w:val="index 4"/>
    <w:basedOn w:val="1"/>
    <w:next w:val="1"/>
    <w:qFormat/>
    <w:uiPriority w:val="0"/>
    <w:pPr>
      <w:ind w:left="840" w:hanging="210"/>
    </w:pPr>
    <w:rPr>
      <w:rFonts w:ascii="Calibri" w:hAnsi="Calibri"/>
      <w:sz w:val="20"/>
      <w:szCs w:val="20"/>
    </w:rPr>
  </w:style>
  <w:style w:type="paragraph" w:styleId="20">
    <w:name w:val="toc 3"/>
    <w:basedOn w:val="1"/>
    <w:next w:val="1"/>
    <w:unhideWhenUsed/>
    <w:qFormat/>
    <w:uiPriority w:val="39"/>
    <w:pPr>
      <w:ind w:left="840" w:leftChars="400"/>
    </w:pPr>
  </w:style>
  <w:style w:type="paragraph" w:styleId="21">
    <w:name w:val="Plain Text"/>
    <w:basedOn w:val="1"/>
    <w:link w:val="185"/>
    <w:unhideWhenUsed/>
    <w:qFormat/>
    <w:uiPriority w:val="99"/>
    <w:pPr>
      <w:widowControl w:val="0"/>
      <w:spacing w:line="240" w:lineRule="auto"/>
      <w:jc w:val="both"/>
    </w:pPr>
    <w:rPr>
      <w:rFonts w:ascii="宋体" w:hAnsi="Courier New" w:cs="Courier New"/>
      <w:szCs w:val="21"/>
    </w:rPr>
  </w:style>
  <w:style w:type="paragraph" w:styleId="22">
    <w:name w:val="index 3"/>
    <w:basedOn w:val="1"/>
    <w:next w:val="1"/>
    <w:qFormat/>
    <w:uiPriority w:val="0"/>
    <w:pPr>
      <w:ind w:left="630" w:hanging="210"/>
    </w:pPr>
    <w:rPr>
      <w:rFonts w:ascii="Calibri" w:hAnsi="Calibri"/>
      <w:sz w:val="20"/>
      <w:szCs w:val="20"/>
    </w:rPr>
  </w:style>
  <w:style w:type="paragraph" w:styleId="23">
    <w:name w:val="Date"/>
    <w:basedOn w:val="1"/>
    <w:next w:val="1"/>
    <w:link w:val="173"/>
    <w:qFormat/>
    <w:uiPriority w:val="99"/>
    <w:pPr>
      <w:ind w:left="100" w:leftChars="2500"/>
    </w:pPr>
    <w:rPr>
      <w:rFonts w:asciiTheme="minorHAnsi" w:hAnsiTheme="minorHAnsi" w:eastAsiaTheme="minorEastAsia" w:cstheme="minorBidi"/>
    </w:rPr>
  </w:style>
  <w:style w:type="paragraph" w:styleId="24">
    <w:name w:val="Body Text Indent 2"/>
    <w:basedOn w:val="1"/>
    <w:link w:val="163"/>
    <w:qFormat/>
    <w:uiPriority w:val="99"/>
    <w:pPr>
      <w:spacing w:after="120" w:line="480" w:lineRule="auto"/>
      <w:ind w:left="420" w:leftChars="200"/>
    </w:pPr>
    <w:rPr>
      <w:rFonts w:asciiTheme="minorHAnsi" w:hAnsiTheme="minorHAnsi" w:eastAsiaTheme="minorEastAsia" w:cstheme="minorBidi"/>
    </w:rPr>
  </w:style>
  <w:style w:type="paragraph" w:styleId="25">
    <w:name w:val="endnote text"/>
    <w:basedOn w:val="1"/>
    <w:link w:val="180"/>
    <w:semiHidden/>
    <w:qFormat/>
    <w:uiPriority w:val="0"/>
    <w:pPr>
      <w:snapToGrid w:val="0"/>
    </w:pPr>
    <w:rPr>
      <w:rFonts w:asciiTheme="minorHAnsi" w:hAnsiTheme="minorHAnsi" w:eastAsiaTheme="minorEastAsia" w:cstheme="minorBidi"/>
    </w:rPr>
  </w:style>
  <w:style w:type="paragraph" w:styleId="26">
    <w:name w:val="Balloon Text"/>
    <w:basedOn w:val="1"/>
    <w:link w:val="149"/>
    <w:qFormat/>
    <w:uiPriority w:val="99"/>
    <w:rPr>
      <w:rFonts w:asciiTheme="minorHAnsi" w:hAnsiTheme="minorHAnsi" w:eastAsiaTheme="minorEastAsia" w:cstheme="minorBidi"/>
      <w:sz w:val="18"/>
      <w:szCs w:val="18"/>
    </w:rPr>
  </w:style>
  <w:style w:type="paragraph" w:styleId="27">
    <w:name w:val="footer"/>
    <w:basedOn w:val="1"/>
    <w:link w:val="170"/>
    <w:qFormat/>
    <w:uiPriority w:val="99"/>
    <w:pPr>
      <w:snapToGrid w:val="0"/>
      <w:ind w:right="210" w:rightChars="100"/>
      <w:jc w:val="right"/>
    </w:pPr>
    <w:rPr>
      <w:rFonts w:asciiTheme="minorHAnsi" w:hAnsiTheme="minorHAnsi" w:eastAsiaTheme="minorEastAsia" w:cstheme="minorBidi"/>
      <w:sz w:val="18"/>
      <w:szCs w:val="18"/>
    </w:rPr>
  </w:style>
  <w:style w:type="paragraph" w:styleId="28">
    <w:name w:val="toc 1"/>
    <w:basedOn w:val="1"/>
    <w:next w:val="1"/>
    <w:qFormat/>
    <w:uiPriority w:val="39"/>
    <w:pPr>
      <w:tabs>
        <w:tab w:val="right" w:leader="dot" w:pos="9242"/>
      </w:tabs>
      <w:spacing w:beforeLines="25" w:afterLines="25"/>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159"/>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qFormat/>
    <w:uiPriority w:val="0"/>
    <w:pPr>
      <w:ind w:left="1470" w:hanging="210"/>
    </w:pPr>
    <w:rPr>
      <w:rFonts w:ascii="Calibri" w:hAnsi="Calibri"/>
      <w:sz w:val="20"/>
      <w:szCs w:val="20"/>
    </w:rPr>
  </w:style>
  <w:style w:type="paragraph" w:styleId="33">
    <w:name w:val="index 9"/>
    <w:basedOn w:val="1"/>
    <w:next w:val="1"/>
    <w:qFormat/>
    <w:uiPriority w:val="0"/>
    <w:pPr>
      <w:ind w:left="1890" w:hanging="210"/>
    </w:pPr>
    <w:rPr>
      <w:rFonts w:ascii="Calibri" w:hAnsi="Calibri"/>
      <w:sz w:val="20"/>
      <w:szCs w:val="20"/>
    </w:rPr>
  </w:style>
  <w:style w:type="paragraph" w:styleId="3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qFormat/>
    <w:uiPriority w:val="0"/>
    <w:rPr>
      <w:bCs/>
      <w:kern w:val="0"/>
      <w:sz w:val="28"/>
      <w:szCs w:val="20"/>
    </w:rPr>
  </w:style>
  <w:style w:type="paragraph" w:styleId="36">
    <w:name w:val="HTML Preformatted"/>
    <w:basedOn w:val="1"/>
    <w:link w:val="157"/>
    <w:qFormat/>
    <w:uiPriority w:val="0"/>
    <w:rPr>
      <w:rFonts w:ascii="Courier New" w:hAnsi="Courier New" w:cs="Courier New" w:eastAsiaTheme="minorEastAsia"/>
      <w:szCs w:val="22"/>
    </w:rPr>
  </w:style>
  <w:style w:type="paragraph" w:styleId="37">
    <w:name w:val="Normal (Web)"/>
    <w:basedOn w:val="1"/>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qFormat/>
    <w:uiPriority w:val="0"/>
    <w:pPr>
      <w:ind w:left="420" w:hanging="210"/>
    </w:pPr>
    <w:rPr>
      <w:rFonts w:ascii="Calibri" w:hAnsi="Calibri"/>
      <w:sz w:val="20"/>
      <w:szCs w:val="20"/>
    </w:rPr>
  </w:style>
  <w:style w:type="paragraph" w:styleId="39">
    <w:name w:val="Title"/>
    <w:basedOn w:val="1"/>
    <w:link w:val="183"/>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2"/>
    <w:next w:val="12"/>
    <w:link w:val="179"/>
    <w:semiHidden/>
    <w:qFormat/>
    <w:uiPriority w:val="0"/>
    <w:rPr>
      <w:b/>
      <w:bCs/>
    </w:rPr>
  </w:style>
  <w:style w:type="paragraph" w:styleId="41">
    <w:name w:val="Body Text First Indent"/>
    <w:basedOn w:val="15"/>
    <w:qFormat/>
    <w:uiPriority w:val="0"/>
    <w:pPr>
      <w:autoSpaceDE w:val="0"/>
      <w:autoSpaceDN w:val="0"/>
      <w:adjustRightInd w:val="0"/>
      <w:ind w:firstLine="420"/>
      <w:textAlignment w:val="baseline"/>
    </w:pPr>
    <w:rPr>
      <w:rFonts w:ascii="宋体"/>
      <w:sz w:val="3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99"/>
    <w:rPr>
      <w:rFonts w:ascii="Times New Roman" w:hAnsi="Times New Roman" w:eastAsia="宋体"/>
      <w:sz w:val="18"/>
    </w:rPr>
  </w:style>
  <w:style w:type="character" w:styleId="47">
    <w:name w:val="FollowedHyperlink"/>
    <w:qFormat/>
    <w:uiPriority w:val="0"/>
    <w:rPr>
      <w:color w:val="800080"/>
      <w:u w:val="single"/>
    </w:rPr>
  </w:style>
  <w:style w:type="character" w:styleId="48">
    <w:name w:val="Emphasis"/>
    <w:qFormat/>
    <w:uiPriority w:val="20"/>
    <w:rPr>
      <w:color w:val="CC0000"/>
    </w:rPr>
  </w:style>
  <w:style w:type="character" w:styleId="49">
    <w:name w:val="Hyperlink"/>
    <w:qFormat/>
    <w:uiPriority w:val="99"/>
    <w:rPr>
      <w:color w:val="0000FF"/>
      <w:spacing w:val="0"/>
      <w:w w:val="100"/>
      <w:szCs w:val="21"/>
      <w:u w:val="single"/>
      <w:lang w:val="en-US" w:eastAsia="zh-CN"/>
    </w:rPr>
  </w:style>
  <w:style w:type="character" w:styleId="50">
    <w:name w:val="annotation reference"/>
    <w:basedOn w:val="44"/>
    <w:semiHidden/>
    <w:unhideWhenUsed/>
    <w:qFormat/>
    <w:uiPriority w:val="0"/>
    <w:rPr>
      <w:sz w:val="21"/>
      <w:szCs w:val="21"/>
    </w:rPr>
  </w:style>
  <w:style w:type="character" w:styleId="51">
    <w:name w:val="footnote reference"/>
    <w:qFormat/>
    <w:uiPriority w:val="0"/>
    <w:rPr>
      <w:vertAlign w:val="superscript"/>
    </w:rPr>
  </w:style>
  <w:style w:type="paragraph" w:customStyle="1" w:styleId="52">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3">
    <w:name w:val="标题 1 Char"/>
    <w:basedOn w:val="44"/>
    <w:link w:val="4"/>
    <w:qFormat/>
    <w:uiPriority w:val="0"/>
    <w:rPr>
      <w:rFonts w:ascii="Times New Roman" w:hAnsi="Times New Roman" w:eastAsia="宋体" w:cs="Times New Roman"/>
      <w:b/>
      <w:bCs/>
      <w:kern w:val="44"/>
      <w:sz w:val="44"/>
      <w:szCs w:val="44"/>
    </w:rPr>
  </w:style>
  <w:style w:type="character" w:customStyle="1" w:styleId="54">
    <w:name w:val="标题 2 Char"/>
    <w:basedOn w:val="44"/>
    <w:link w:val="3"/>
    <w:qFormat/>
    <w:uiPriority w:val="0"/>
    <w:rPr>
      <w:rFonts w:ascii="宋体" w:hAnsi="宋体" w:eastAsia="宋体" w:cs="Times New Roman"/>
      <w:b/>
      <w:bCs/>
      <w:kern w:val="0"/>
      <w:sz w:val="36"/>
      <w:szCs w:val="36"/>
    </w:rPr>
  </w:style>
  <w:style w:type="character" w:customStyle="1" w:styleId="55">
    <w:name w:val="批注文字 Char"/>
    <w:semiHidden/>
    <w:qFormat/>
    <w:uiPriority w:val="0"/>
    <w:rPr>
      <w:szCs w:val="24"/>
    </w:rPr>
  </w:style>
  <w:style w:type="character" w:customStyle="1" w:styleId="56">
    <w:name w:val="批注主题 Char"/>
    <w:semiHidden/>
    <w:qFormat/>
    <w:uiPriority w:val="0"/>
    <w:rPr>
      <w:b/>
      <w:bCs/>
      <w:szCs w:val="24"/>
    </w:rPr>
  </w:style>
  <w:style w:type="character" w:customStyle="1" w:styleId="57">
    <w:name w:val="文档结构图 Char"/>
    <w:semiHidden/>
    <w:qFormat/>
    <w:uiPriority w:val="0"/>
    <w:rPr>
      <w:szCs w:val="24"/>
      <w:shd w:val="clear" w:color="auto" w:fill="000080"/>
    </w:rPr>
  </w:style>
  <w:style w:type="character" w:customStyle="1" w:styleId="58">
    <w:name w:val="脚注文本 Char"/>
    <w:qFormat/>
    <w:uiPriority w:val="0"/>
    <w:rPr>
      <w:rFonts w:ascii="宋体"/>
      <w:sz w:val="18"/>
      <w:szCs w:val="18"/>
    </w:rPr>
  </w:style>
  <w:style w:type="character" w:customStyle="1" w:styleId="59">
    <w:name w:val="con"/>
    <w:qFormat/>
    <w:uiPriority w:val="0"/>
  </w:style>
  <w:style w:type="character" w:customStyle="1" w:styleId="60">
    <w:name w:val="bar-label2"/>
    <w:qFormat/>
    <w:uiPriority w:val="99"/>
  </w:style>
  <w:style w:type="character" w:customStyle="1" w:styleId="61">
    <w:name w:val="正文文本缩进 2 Char"/>
    <w:qFormat/>
    <w:uiPriority w:val="99"/>
    <w:rPr>
      <w:szCs w:val="24"/>
    </w:rPr>
  </w:style>
  <w:style w:type="character" w:customStyle="1" w:styleId="62">
    <w:name w:val="日期 Char"/>
    <w:qFormat/>
    <w:uiPriority w:val="99"/>
    <w:rPr>
      <w:szCs w:val="24"/>
    </w:rPr>
  </w:style>
  <w:style w:type="character" w:customStyle="1" w:styleId="63">
    <w:name w:val="页脚 Char"/>
    <w:qFormat/>
    <w:locked/>
    <w:uiPriority w:val="99"/>
    <w:rPr>
      <w:sz w:val="18"/>
      <w:szCs w:val="18"/>
    </w:rPr>
  </w:style>
  <w:style w:type="character" w:customStyle="1" w:styleId="64">
    <w:name w:val="apple-converted-space"/>
    <w:basedOn w:val="44"/>
    <w:qFormat/>
    <w:uiPriority w:val="0"/>
  </w:style>
  <w:style w:type="character" w:customStyle="1" w:styleId="65">
    <w:name w:val="批注框文本 Char"/>
    <w:qFormat/>
    <w:uiPriority w:val="99"/>
    <w:rPr>
      <w:sz w:val="18"/>
      <w:szCs w:val="18"/>
    </w:rPr>
  </w:style>
  <w:style w:type="character" w:customStyle="1" w:styleId="66">
    <w:name w:val="页眉 Char"/>
    <w:qFormat/>
    <w:locked/>
    <w:uiPriority w:val="99"/>
    <w:rPr>
      <w:sz w:val="18"/>
      <w:szCs w:val="18"/>
    </w:rPr>
  </w:style>
  <w:style w:type="character" w:customStyle="1" w:styleId="67">
    <w:name w:val="首示例 Char"/>
    <w:link w:val="68"/>
    <w:qFormat/>
    <w:uiPriority w:val="0"/>
    <w:rPr>
      <w:rFonts w:ascii="宋体" w:hAnsi="宋体"/>
      <w:sz w:val="18"/>
      <w:szCs w:val="18"/>
    </w:rPr>
  </w:style>
  <w:style w:type="paragraph" w:customStyle="1" w:styleId="68">
    <w:name w:val="首示例"/>
    <w:next w:val="69"/>
    <w:link w:val="67"/>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9">
    <w:name w:val="段"/>
    <w:link w:val="70"/>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0">
    <w:name w:val="段 Char"/>
    <w:link w:val="69"/>
    <w:qFormat/>
    <w:uiPriority w:val="0"/>
    <w:rPr>
      <w:rFonts w:ascii="宋体"/>
    </w:rPr>
  </w:style>
  <w:style w:type="character" w:customStyle="1" w:styleId="71">
    <w:name w:val="附录公式 Char"/>
    <w:basedOn w:val="70"/>
    <w:link w:val="72"/>
    <w:qFormat/>
    <w:uiPriority w:val="0"/>
    <w:rPr>
      <w:rFonts w:ascii="宋体"/>
    </w:rPr>
  </w:style>
  <w:style w:type="paragraph" w:customStyle="1" w:styleId="72">
    <w:name w:val="附录公式"/>
    <w:basedOn w:val="69"/>
    <w:next w:val="69"/>
    <w:link w:val="71"/>
    <w:qFormat/>
    <w:uiPriority w:val="0"/>
  </w:style>
  <w:style w:type="character" w:customStyle="1" w:styleId="73">
    <w:name w:val="发布"/>
    <w:qFormat/>
    <w:uiPriority w:val="0"/>
    <w:rPr>
      <w:rFonts w:ascii="黑体" w:eastAsia="黑体"/>
      <w:spacing w:val="85"/>
      <w:w w:val="100"/>
      <w:position w:val="3"/>
      <w:sz w:val="28"/>
      <w:szCs w:val="28"/>
    </w:rPr>
  </w:style>
  <w:style w:type="character" w:customStyle="1" w:styleId="74">
    <w:name w:val="一级条标题 Char"/>
    <w:link w:val="75"/>
    <w:qFormat/>
    <w:uiPriority w:val="0"/>
    <w:rPr>
      <w:rFonts w:ascii="黑体" w:eastAsia="黑体"/>
      <w:szCs w:val="21"/>
    </w:rPr>
  </w:style>
  <w:style w:type="paragraph" w:customStyle="1" w:styleId="75">
    <w:name w:val="一级条标题"/>
    <w:next w:val="69"/>
    <w:link w:val="74"/>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6">
    <w:name w:val="HTML 预设格式 Char"/>
    <w:qFormat/>
    <w:uiPriority w:val="0"/>
    <w:rPr>
      <w:rFonts w:ascii="Courier New" w:hAnsi="Courier New" w:cs="Courier New"/>
    </w:rPr>
  </w:style>
  <w:style w:type="character" w:customStyle="1" w:styleId="77">
    <w:name w:val="尾注文本 Char"/>
    <w:semiHidden/>
    <w:qFormat/>
    <w:uiPriority w:val="0"/>
    <w:rPr>
      <w:szCs w:val="24"/>
    </w:rPr>
  </w:style>
  <w:style w:type="paragraph" w:customStyle="1" w:styleId="78">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9">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0">
    <w:name w:val="List Paragraph"/>
    <w:basedOn w:val="1"/>
    <w:qFormat/>
    <w:uiPriority w:val="34"/>
    <w:pPr>
      <w:ind w:firstLine="420" w:firstLineChars="200"/>
    </w:pPr>
    <w:rPr>
      <w:rFonts w:ascii="宋体" w:hAnsi="宋体" w:cs="宋体"/>
      <w:kern w:val="0"/>
      <w:sz w:val="24"/>
    </w:rPr>
  </w:style>
  <w:style w:type="paragraph" w:customStyle="1" w:styleId="81">
    <w:name w:val="封面一致性程度标识2"/>
    <w:basedOn w:val="82"/>
    <w:qFormat/>
    <w:uiPriority w:val="0"/>
    <w:pPr>
      <w:framePr w:wrap="around" w:y="4469"/>
    </w:pPr>
  </w:style>
  <w:style w:type="paragraph" w:customStyle="1" w:styleId="82">
    <w:name w:val="封面一致性程度标识"/>
    <w:basedOn w:val="83"/>
    <w:qFormat/>
    <w:uiPriority w:val="0"/>
    <w:pPr>
      <w:framePr w:wrap="around"/>
      <w:spacing w:before="440"/>
    </w:pPr>
    <w:rPr>
      <w:rFonts w:ascii="宋体" w:eastAsia="宋体"/>
    </w:rPr>
  </w:style>
  <w:style w:type="paragraph" w:customStyle="1" w:styleId="83">
    <w:name w:val="封面标准英文名称"/>
    <w:basedOn w:val="84"/>
    <w:qFormat/>
    <w:uiPriority w:val="0"/>
    <w:pPr>
      <w:framePr w:wrap="around"/>
      <w:spacing w:before="370" w:line="400" w:lineRule="exact"/>
    </w:pPr>
    <w:rPr>
      <w:rFonts w:ascii="Times New Roman"/>
      <w:sz w:val="28"/>
      <w:szCs w:val="28"/>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2"/>
    <w:basedOn w:val="83"/>
    <w:qFormat/>
    <w:uiPriority w:val="0"/>
    <w:pPr>
      <w:framePr w:wrap="around" w:y="4469"/>
    </w:pPr>
  </w:style>
  <w:style w:type="paragraph" w:customStyle="1" w:styleId="86">
    <w:name w:val="其他发布日期"/>
    <w:basedOn w:val="87"/>
    <w:qFormat/>
    <w:uiPriority w:val="0"/>
    <w:pPr>
      <w:framePr w:wrap="around" w:vAnchor="page" w:hAnchor="text" w:x="1419"/>
    </w:pPr>
  </w:style>
  <w:style w:type="paragraph" w:customStyle="1" w:styleId="87">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8">
    <w:name w:val="正文公式编号制表符"/>
    <w:basedOn w:val="69"/>
    <w:next w:val="69"/>
    <w:qFormat/>
    <w:uiPriority w:val="0"/>
    <w:pPr>
      <w:ind w:firstLine="0" w:firstLineChars="0"/>
    </w:pPr>
  </w:style>
  <w:style w:type="paragraph" w:customStyle="1" w:styleId="89">
    <w:name w:val="正文表标题"/>
    <w:next w:val="69"/>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0">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1">
    <w:name w:val="一级无"/>
    <w:basedOn w:val="75"/>
    <w:qFormat/>
    <w:uiPriority w:val="0"/>
  </w:style>
  <w:style w:type="paragraph" w:customStyle="1" w:styleId="92">
    <w:name w:val="图的脚注"/>
    <w:next w:val="69"/>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3">
    <w:name w:val="图标脚注说明"/>
    <w:basedOn w:val="69"/>
    <w:qFormat/>
    <w:uiPriority w:val="0"/>
    <w:pPr>
      <w:ind w:left="840" w:hanging="420" w:firstLineChars="0"/>
    </w:pPr>
    <w:rPr>
      <w:sz w:val="18"/>
      <w:szCs w:val="18"/>
    </w:rPr>
  </w:style>
  <w:style w:type="paragraph" w:customStyle="1" w:styleId="94">
    <w:name w:val="示例后文字"/>
    <w:basedOn w:val="69"/>
    <w:next w:val="69"/>
    <w:qFormat/>
    <w:uiPriority w:val="0"/>
    <w:pPr>
      <w:ind w:firstLine="360"/>
    </w:pPr>
    <w:rPr>
      <w:sz w:val="18"/>
    </w:rPr>
  </w:style>
  <w:style w:type="paragraph" w:customStyle="1" w:styleId="95">
    <w:name w:val="实施日期"/>
    <w:basedOn w:val="87"/>
    <w:qFormat/>
    <w:uiPriority w:val="0"/>
    <w:pPr>
      <w:framePr w:wrap="around" w:vAnchor="page" w:hAnchor="text"/>
      <w:jc w:val="right"/>
    </w:pPr>
  </w:style>
  <w:style w:type="paragraph" w:customStyle="1" w:styleId="96">
    <w:name w:val="前言、引言标题"/>
    <w:next w:val="69"/>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9">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0">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1">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2">
    <w:name w:val="条文脚注"/>
    <w:basedOn w:val="31"/>
    <w:qFormat/>
    <w:uiPriority w:val="0"/>
    <w:pPr>
      <w:ind w:left="0" w:firstLine="0"/>
      <w:jc w:val="both"/>
    </w:pPr>
  </w:style>
  <w:style w:type="paragraph" w:customStyle="1" w:styleId="103">
    <w:name w:val="附录一级无"/>
    <w:basedOn w:val="104"/>
    <w:qFormat/>
    <w:uiPriority w:val="0"/>
    <w:pPr>
      <w:tabs>
        <w:tab w:val="left" w:pos="360"/>
      </w:tabs>
      <w:spacing w:beforeLines="0" w:afterLines="0"/>
    </w:pPr>
    <w:rPr>
      <w:rFonts w:ascii="宋体" w:eastAsia="宋体"/>
      <w:szCs w:val="21"/>
    </w:rPr>
  </w:style>
  <w:style w:type="paragraph" w:customStyle="1" w:styleId="104">
    <w:name w:val="附录一级条标题"/>
    <w:basedOn w:val="105"/>
    <w:next w:val="69"/>
    <w:qFormat/>
    <w:uiPriority w:val="0"/>
    <w:pPr>
      <w:tabs>
        <w:tab w:val="left" w:pos="360"/>
      </w:tabs>
      <w:autoSpaceDN w:val="0"/>
      <w:spacing w:beforeLines="50" w:afterLines="50"/>
      <w:outlineLvl w:val="2"/>
    </w:pPr>
  </w:style>
  <w:style w:type="paragraph" w:customStyle="1" w:styleId="105">
    <w:name w:val="附录章标题"/>
    <w:next w:val="69"/>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五级无"/>
    <w:basedOn w:val="107"/>
    <w:qFormat/>
    <w:uiPriority w:val="0"/>
    <w:pPr>
      <w:tabs>
        <w:tab w:val="left" w:pos="360"/>
      </w:tabs>
      <w:spacing w:beforeLines="0" w:afterLines="0"/>
    </w:pPr>
    <w:rPr>
      <w:rFonts w:ascii="宋体" w:eastAsia="宋体"/>
      <w:szCs w:val="21"/>
    </w:rPr>
  </w:style>
  <w:style w:type="paragraph" w:customStyle="1" w:styleId="107">
    <w:name w:val="附录五级条标题"/>
    <w:basedOn w:val="108"/>
    <w:next w:val="69"/>
    <w:qFormat/>
    <w:uiPriority w:val="0"/>
    <w:pPr>
      <w:tabs>
        <w:tab w:val="left" w:pos="360"/>
      </w:tabs>
      <w:outlineLvl w:val="6"/>
    </w:pPr>
  </w:style>
  <w:style w:type="paragraph" w:customStyle="1" w:styleId="108">
    <w:name w:val="附录四级条标题"/>
    <w:basedOn w:val="109"/>
    <w:next w:val="69"/>
    <w:qFormat/>
    <w:uiPriority w:val="0"/>
    <w:pPr>
      <w:tabs>
        <w:tab w:val="left" w:pos="360"/>
      </w:tabs>
    </w:pPr>
  </w:style>
  <w:style w:type="paragraph" w:customStyle="1" w:styleId="109">
    <w:name w:val="附录三级条标题"/>
    <w:basedOn w:val="110"/>
    <w:next w:val="69"/>
    <w:qFormat/>
    <w:uiPriority w:val="0"/>
    <w:pPr>
      <w:tabs>
        <w:tab w:val="left" w:pos="360"/>
      </w:tabs>
    </w:pPr>
  </w:style>
  <w:style w:type="paragraph" w:customStyle="1" w:styleId="110">
    <w:name w:val="附录二级条标题"/>
    <w:basedOn w:val="1"/>
    <w:next w:val="69"/>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图标题"/>
    <w:basedOn w:val="1"/>
    <w:next w:val="69"/>
    <w:qFormat/>
    <w:uiPriority w:val="0"/>
    <w:pPr>
      <w:tabs>
        <w:tab w:val="left" w:pos="363"/>
      </w:tabs>
      <w:spacing w:beforeLines="50" w:afterLines="50"/>
      <w:jc w:val="center"/>
    </w:pPr>
    <w:rPr>
      <w:rFonts w:ascii="黑体" w:eastAsia="黑体"/>
      <w:szCs w:val="21"/>
    </w:rPr>
  </w:style>
  <w:style w:type="paragraph" w:customStyle="1" w:styleId="112">
    <w:name w:val="附录图标号"/>
    <w:basedOn w:val="1"/>
    <w:qFormat/>
    <w:uiPriority w:val="0"/>
    <w:pPr>
      <w:keepNext/>
      <w:pageBreakBefore/>
      <w:spacing w:line="14" w:lineRule="exact"/>
      <w:ind w:firstLine="363"/>
      <w:jc w:val="center"/>
      <w:outlineLvl w:val="0"/>
    </w:pPr>
    <w:rPr>
      <w:color w:val="FFFFFF"/>
    </w:rPr>
  </w:style>
  <w:style w:type="paragraph" w:customStyle="1" w:styleId="113">
    <w:name w:val="附录四级无"/>
    <w:basedOn w:val="108"/>
    <w:qFormat/>
    <w:uiPriority w:val="0"/>
    <w:pPr>
      <w:tabs>
        <w:tab w:val="clear" w:pos="360"/>
      </w:tabs>
      <w:spacing w:beforeLines="0" w:afterLines="0"/>
      <w:outlineLvl w:val="5"/>
    </w:pPr>
    <w:rPr>
      <w:rFonts w:ascii="宋体" w:eastAsia="宋体"/>
      <w:szCs w:val="21"/>
    </w:rPr>
  </w:style>
  <w:style w:type="paragraph" w:customStyle="1" w:styleId="114">
    <w:name w:val="附录三级无"/>
    <w:basedOn w:val="109"/>
    <w:qFormat/>
    <w:uiPriority w:val="0"/>
  </w:style>
  <w:style w:type="paragraph" w:customStyle="1" w:styleId="115">
    <w:name w:val="注："/>
    <w:next w:val="69"/>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69"/>
    <w:qFormat/>
    <w:uiPriority w:val="0"/>
    <w:pPr>
      <w:tabs>
        <w:tab w:val="center" w:pos="4201"/>
        <w:tab w:val="right" w:leader="dot" w:pos="9298"/>
      </w:tabs>
      <w:autoSpaceDE w:val="0"/>
      <w:autoSpaceDN w:val="0"/>
    </w:pPr>
    <w:rPr>
      <w:rFonts w:ascii="宋体"/>
      <w:kern w:val="0"/>
      <w:szCs w:val="20"/>
    </w:rPr>
  </w:style>
  <w:style w:type="paragraph" w:customStyle="1" w:styleId="117">
    <w:name w:val="附录二级无"/>
    <w:basedOn w:val="110"/>
    <w:qFormat/>
    <w:uiPriority w:val="0"/>
  </w:style>
  <w:style w:type="paragraph" w:customStyle="1" w:styleId="118">
    <w:name w:val="附录标题"/>
    <w:basedOn w:val="69"/>
    <w:next w:val="69"/>
    <w:qFormat/>
    <w:uiPriority w:val="0"/>
    <w:pPr>
      <w:ind w:firstLine="0" w:firstLineChars="0"/>
      <w:jc w:val="center"/>
    </w:pPr>
    <w:rPr>
      <w:rFonts w:ascii="黑体" w:eastAsia="黑体"/>
    </w:rPr>
  </w:style>
  <w:style w:type="paragraph" w:customStyle="1" w:styleId="119">
    <w:name w:val="参考文献"/>
    <w:basedOn w:val="1"/>
    <w:next w:val="69"/>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0">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1">
    <w:name w:val="封面标准文稿类别"/>
    <w:basedOn w:val="82"/>
    <w:qFormat/>
    <w:uiPriority w:val="0"/>
    <w:pPr>
      <w:framePr w:wrap="around"/>
      <w:spacing w:after="160" w:line="240" w:lineRule="auto"/>
    </w:pPr>
    <w:rPr>
      <w:sz w:val="24"/>
    </w:rPr>
  </w:style>
  <w:style w:type="paragraph" w:customStyle="1" w:styleId="122">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3">
    <w:name w:val="其他实施日期"/>
    <w:basedOn w:val="95"/>
    <w:qFormat/>
    <w:uiPriority w:val="0"/>
    <w:pPr>
      <w:framePr w:wrap="around" w:vAnchor="margin" w:hAnchor="page"/>
    </w:pPr>
  </w:style>
  <w:style w:type="paragraph" w:customStyle="1" w:styleId="1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发布部门"/>
    <w:next w:val="69"/>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6">
    <w:name w:val="注：（正文）"/>
    <w:basedOn w:val="115"/>
    <w:next w:val="69"/>
    <w:qFormat/>
    <w:uiPriority w:val="0"/>
  </w:style>
  <w:style w:type="paragraph" w:customStyle="1" w:styleId="127">
    <w:name w:val="参考文献、索引标题"/>
    <w:basedOn w:val="1"/>
    <w:next w:val="69"/>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0">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1">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2">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3">
    <w:name w:val="示例×："/>
    <w:basedOn w:val="134"/>
    <w:qFormat/>
    <w:uiPriority w:val="0"/>
    <w:pPr>
      <w:spacing w:beforeLines="0" w:afterLines="0"/>
      <w:ind w:firstLine="363"/>
      <w:outlineLvl w:val="9"/>
    </w:pPr>
    <w:rPr>
      <w:rFonts w:ascii="宋体" w:eastAsia="宋体"/>
      <w:sz w:val="18"/>
      <w:szCs w:val="18"/>
    </w:rPr>
  </w:style>
  <w:style w:type="paragraph" w:customStyle="1" w:styleId="134">
    <w:name w:val="章标题"/>
    <w:next w:val="69"/>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5">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6">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7">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8">
    <w:name w:val="五级无"/>
    <w:basedOn w:val="139"/>
    <w:qFormat/>
    <w:uiPriority w:val="0"/>
    <w:pPr>
      <w:spacing w:beforeLines="0" w:afterLines="0"/>
      <w:outlineLvl w:val="6"/>
    </w:pPr>
    <w:rPr>
      <w:rFonts w:ascii="宋体" w:eastAsia="宋体"/>
    </w:rPr>
  </w:style>
  <w:style w:type="paragraph" w:customStyle="1" w:styleId="139">
    <w:name w:val="五级条标题"/>
    <w:basedOn w:val="140"/>
    <w:next w:val="69"/>
    <w:qFormat/>
    <w:uiPriority w:val="0"/>
  </w:style>
  <w:style w:type="paragraph" w:customStyle="1" w:styleId="140">
    <w:name w:val="四级条标题"/>
    <w:basedOn w:val="141"/>
    <w:next w:val="69"/>
    <w:qFormat/>
    <w:uiPriority w:val="0"/>
  </w:style>
  <w:style w:type="paragraph" w:customStyle="1" w:styleId="141">
    <w:name w:val="三级条标题"/>
    <w:basedOn w:val="142"/>
    <w:next w:val="69"/>
    <w:qFormat/>
    <w:uiPriority w:val="0"/>
  </w:style>
  <w:style w:type="paragraph" w:customStyle="1" w:styleId="142">
    <w:name w:val="二级条标题"/>
    <w:basedOn w:val="75"/>
    <w:next w:val="69"/>
    <w:qFormat/>
    <w:uiPriority w:val="0"/>
  </w:style>
  <w:style w:type="paragraph" w:customStyle="1" w:styleId="143">
    <w:name w:val="四级无"/>
    <w:basedOn w:val="140"/>
    <w:qFormat/>
    <w:uiPriority w:val="0"/>
  </w:style>
  <w:style w:type="paragraph" w:customStyle="1" w:styleId="144">
    <w:name w:val="三级无"/>
    <w:basedOn w:val="141"/>
    <w:qFormat/>
    <w:uiPriority w:val="0"/>
  </w:style>
  <w:style w:type="paragraph" w:customStyle="1" w:styleId="145">
    <w:name w:val="其他标准标志"/>
    <w:basedOn w:val="129"/>
    <w:qFormat/>
    <w:uiPriority w:val="0"/>
    <w:pPr>
      <w:framePr w:w="6101" w:wrap="around" w:vAnchor="page" w:hAnchor="page" w:x="4673" w:y="942"/>
    </w:pPr>
    <w:rPr>
      <w:w w:val="130"/>
    </w:rPr>
  </w:style>
  <w:style w:type="paragraph" w:customStyle="1" w:styleId="146">
    <w:name w:val="目次、标准名称标题"/>
    <w:basedOn w:val="1"/>
    <w:next w:val="69"/>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9">
    <w:name w:val="批注框文本 Char1"/>
    <w:basedOn w:val="44"/>
    <w:link w:val="26"/>
    <w:semiHidden/>
    <w:qFormat/>
    <w:uiPriority w:val="99"/>
    <w:rPr>
      <w:rFonts w:ascii="Times New Roman" w:hAnsi="Times New Roman" w:eastAsia="宋体" w:cs="Times New Roman"/>
      <w:sz w:val="18"/>
      <w:szCs w:val="18"/>
    </w:rPr>
  </w:style>
  <w:style w:type="paragraph" w:customStyle="1" w:styleId="150">
    <w:name w:val="列项◆（三级）"/>
    <w:basedOn w:val="1"/>
    <w:qFormat/>
    <w:uiPriority w:val="99"/>
    <w:pPr>
      <w:tabs>
        <w:tab w:val="left" w:pos="969"/>
      </w:tabs>
      <w:ind w:left="969" w:hanging="414"/>
    </w:pPr>
    <w:rPr>
      <w:rFonts w:ascii="宋体"/>
      <w:szCs w:val="21"/>
    </w:rPr>
  </w:style>
  <w:style w:type="paragraph" w:customStyle="1" w:styleId="151">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2">
    <w:name w:val="页眉 Char1"/>
    <w:basedOn w:val="44"/>
    <w:link w:val="17"/>
    <w:semiHidden/>
    <w:qFormat/>
    <w:uiPriority w:val="99"/>
    <w:rPr>
      <w:rFonts w:ascii="Times New Roman" w:hAnsi="Times New Roman" w:eastAsia="宋体" w:cs="Times New Roman"/>
      <w:sz w:val="18"/>
      <w:szCs w:val="18"/>
    </w:rPr>
  </w:style>
  <w:style w:type="paragraph" w:customStyle="1" w:styleId="153">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4">
    <w:name w:val="其他发布部门"/>
    <w:basedOn w:val="125"/>
    <w:qFormat/>
    <w:uiPriority w:val="0"/>
    <w:pPr>
      <w:framePr w:wrap="around" w:y="15310"/>
      <w:spacing w:line="0" w:lineRule="atLeast"/>
    </w:pPr>
    <w:rPr>
      <w:rFonts w:ascii="黑体" w:eastAsia="黑体"/>
      <w:b w:val="0"/>
    </w:rPr>
  </w:style>
  <w:style w:type="paragraph" w:customStyle="1" w:styleId="155">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6">
    <w:name w:val="正文图标题"/>
    <w:next w:val="69"/>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7">
    <w:name w:val="HTML 预设格式 Char1"/>
    <w:basedOn w:val="44"/>
    <w:link w:val="36"/>
    <w:semiHidden/>
    <w:qFormat/>
    <w:uiPriority w:val="99"/>
    <w:rPr>
      <w:rFonts w:ascii="Courier New" w:hAnsi="Courier New" w:eastAsia="宋体" w:cs="Courier New"/>
      <w:sz w:val="20"/>
      <w:szCs w:val="20"/>
    </w:rPr>
  </w:style>
  <w:style w:type="paragraph" w:customStyle="1" w:styleId="158">
    <w:name w:val="附录标识"/>
    <w:basedOn w:val="1"/>
    <w:next w:val="69"/>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9">
    <w:name w:val="脚注文本 Char1"/>
    <w:basedOn w:val="44"/>
    <w:link w:val="31"/>
    <w:semiHidden/>
    <w:qFormat/>
    <w:uiPriority w:val="99"/>
    <w:rPr>
      <w:rFonts w:ascii="Times New Roman" w:hAnsi="Times New Roman" w:eastAsia="宋体" w:cs="Times New Roman"/>
      <w:sz w:val="18"/>
      <w:szCs w:val="18"/>
    </w:rPr>
  </w:style>
  <w:style w:type="paragraph" w:customStyle="1" w:styleId="160">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1">
    <w:name w:val="二级无"/>
    <w:basedOn w:val="142"/>
    <w:qFormat/>
    <w:uiPriority w:val="0"/>
  </w:style>
  <w:style w:type="paragraph" w:customStyle="1" w:styleId="162">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3">
    <w:name w:val="正文文本缩进 2 Char1"/>
    <w:basedOn w:val="44"/>
    <w:link w:val="24"/>
    <w:semiHidden/>
    <w:qFormat/>
    <w:uiPriority w:val="99"/>
    <w:rPr>
      <w:rFonts w:ascii="Times New Roman" w:hAnsi="Times New Roman" w:eastAsia="宋体" w:cs="Times New Roman"/>
      <w:szCs w:val="24"/>
    </w:rPr>
  </w:style>
  <w:style w:type="paragraph" w:customStyle="1" w:styleId="164">
    <w:name w:val="封面标准文稿编辑信息2"/>
    <w:basedOn w:val="165"/>
    <w:qFormat/>
    <w:uiPriority w:val="0"/>
    <w:pPr>
      <w:framePr w:wrap="around" w:y="4469"/>
    </w:pPr>
  </w:style>
  <w:style w:type="paragraph" w:customStyle="1" w:styleId="165">
    <w:name w:val="封面标准文稿编辑信息"/>
    <w:basedOn w:val="121"/>
    <w:qFormat/>
    <w:uiPriority w:val="0"/>
    <w:pPr>
      <w:framePr w:wrap="around"/>
      <w:spacing w:before="180" w:line="180" w:lineRule="exact"/>
    </w:pPr>
    <w:rPr>
      <w:sz w:val="21"/>
    </w:rPr>
  </w:style>
  <w:style w:type="paragraph" w:customStyle="1" w:styleId="166">
    <w:name w:val="附录表标题"/>
    <w:basedOn w:val="1"/>
    <w:next w:val="69"/>
    <w:qFormat/>
    <w:uiPriority w:val="0"/>
    <w:pPr>
      <w:tabs>
        <w:tab w:val="left" w:pos="180"/>
      </w:tabs>
      <w:spacing w:beforeLines="50" w:afterLines="50"/>
      <w:jc w:val="center"/>
    </w:pPr>
    <w:rPr>
      <w:rFonts w:ascii="黑体" w:eastAsia="黑体"/>
      <w:szCs w:val="21"/>
    </w:rPr>
  </w:style>
  <w:style w:type="paragraph" w:customStyle="1" w:styleId="167">
    <w:name w:val="标准书眉_偶数页"/>
    <w:basedOn w:val="151"/>
    <w:next w:val="1"/>
    <w:qFormat/>
    <w:uiPriority w:val="0"/>
    <w:pPr>
      <w:jc w:val="left"/>
    </w:pPr>
  </w:style>
  <w:style w:type="paragraph" w:customStyle="1" w:styleId="168">
    <w:name w:val="附录表标号"/>
    <w:basedOn w:val="1"/>
    <w:next w:val="69"/>
    <w:qFormat/>
    <w:uiPriority w:val="0"/>
    <w:pPr>
      <w:spacing w:line="14" w:lineRule="exact"/>
      <w:ind w:left="811" w:hanging="448"/>
      <w:jc w:val="center"/>
      <w:outlineLvl w:val="0"/>
    </w:pPr>
    <w:rPr>
      <w:color w:val="FFFFFF"/>
    </w:rPr>
  </w:style>
  <w:style w:type="paragraph" w:customStyle="1" w:styleId="169">
    <w:name w:val="图表脚注说明"/>
    <w:basedOn w:val="1"/>
    <w:qFormat/>
    <w:uiPriority w:val="0"/>
    <w:pPr>
      <w:ind w:left="544" w:hanging="181"/>
    </w:pPr>
    <w:rPr>
      <w:rFonts w:ascii="宋体"/>
      <w:sz w:val="18"/>
      <w:szCs w:val="18"/>
    </w:rPr>
  </w:style>
  <w:style w:type="character" w:customStyle="1" w:styleId="170">
    <w:name w:val="页脚 Char1"/>
    <w:basedOn w:val="44"/>
    <w:link w:val="27"/>
    <w:semiHidden/>
    <w:qFormat/>
    <w:uiPriority w:val="99"/>
    <w:rPr>
      <w:rFonts w:ascii="Times New Roman" w:hAnsi="Times New Roman" w:eastAsia="宋体" w:cs="Times New Roman"/>
      <w:sz w:val="18"/>
      <w:szCs w:val="18"/>
    </w:rPr>
  </w:style>
  <w:style w:type="character" w:customStyle="1" w:styleId="171">
    <w:name w:val="批注文字 Char1"/>
    <w:basedOn w:val="44"/>
    <w:link w:val="12"/>
    <w:semiHidden/>
    <w:qFormat/>
    <w:uiPriority w:val="99"/>
    <w:rPr>
      <w:rFonts w:ascii="Times New Roman" w:hAnsi="Times New Roman" w:eastAsia="宋体" w:cs="Times New Roman"/>
      <w:szCs w:val="24"/>
    </w:rPr>
  </w:style>
  <w:style w:type="paragraph" w:customStyle="1" w:styleId="172">
    <w:name w:val="封面标准名称2"/>
    <w:basedOn w:val="84"/>
    <w:qFormat/>
    <w:uiPriority w:val="0"/>
    <w:pPr>
      <w:framePr w:wrap="around" w:y="4469"/>
      <w:spacing w:beforeLines="630"/>
    </w:pPr>
  </w:style>
  <w:style w:type="character" w:customStyle="1" w:styleId="173">
    <w:name w:val="日期 Char1"/>
    <w:basedOn w:val="44"/>
    <w:link w:val="23"/>
    <w:semiHidden/>
    <w:qFormat/>
    <w:uiPriority w:val="99"/>
    <w:rPr>
      <w:rFonts w:ascii="Times New Roman" w:hAnsi="Times New Roman" w:eastAsia="宋体" w:cs="Times New Roman"/>
      <w:szCs w:val="24"/>
    </w:rPr>
  </w:style>
  <w:style w:type="character" w:customStyle="1" w:styleId="174">
    <w:name w:val="文档结构图 Char1"/>
    <w:basedOn w:val="44"/>
    <w:link w:val="11"/>
    <w:semiHidden/>
    <w:qFormat/>
    <w:uiPriority w:val="99"/>
    <w:rPr>
      <w:rFonts w:ascii="宋体" w:hAnsi="Times New Roman" w:eastAsia="宋体" w:cs="Times New Roman"/>
      <w:sz w:val="18"/>
      <w:szCs w:val="18"/>
    </w:rPr>
  </w:style>
  <w:style w:type="paragraph" w:customStyle="1" w:styleId="175">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6">
    <w:name w:val="封面标准文稿类别2"/>
    <w:basedOn w:val="121"/>
    <w:qFormat/>
    <w:uiPriority w:val="0"/>
    <w:pPr>
      <w:framePr w:wrap="around" w:y="4469"/>
    </w:pPr>
  </w:style>
  <w:style w:type="paragraph" w:customStyle="1" w:styleId="177">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8">
    <w:name w:val="终结线"/>
    <w:basedOn w:val="1"/>
    <w:qFormat/>
    <w:uiPriority w:val="0"/>
    <w:pPr>
      <w:framePr w:hSpace="181" w:vSpace="181" w:wrap="around" w:vAnchor="text" w:hAnchor="margin" w:xAlign="center" w:y="285"/>
    </w:pPr>
  </w:style>
  <w:style w:type="character" w:customStyle="1" w:styleId="179">
    <w:name w:val="批注主题 Char1"/>
    <w:basedOn w:val="171"/>
    <w:link w:val="40"/>
    <w:semiHidden/>
    <w:qFormat/>
    <w:uiPriority w:val="99"/>
    <w:rPr>
      <w:rFonts w:ascii="Times New Roman" w:hAnsi="Times New Roman" w:eastAsia="宋体" w:cs="Times New Roman"/>
      <w:b/>
      <w:bCs/>
      <w:szCs w:val="24"/>
    </w:rPr>
  </w:style>
  <w:style w:type="character" w:customStyle="1" w:styleId="180">
    <w:name w:val="尾注文本 Char1"/>
    <w:basedOn w:val="44"/>
    <w:link w:val="25"/>
    <w:semiHidden/>
    <w:qFormat/>
    <w:uiPriority w:val="99"/>
    <w:rPr>
      <w:rFonts w:ascii="Times New Roman" w:hAnsi="Times New Roman" w:eastAsia="宋体" w:cs="Times New Roman"/>
      <w:szCs w:val="24"/>
    </w:rPr>
  </w:style>
  <w:style w:type="paragraph" w:customStyle="1" w:styleId="181">
    <w:name w:val="示例"/>
    <w:next w:val="132"/>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2">
    <w:name w:val="正文文本 3 Char"/>
    <w:basedOn w:val="44"/>
    <w:link w:val="14"/>
    <w:semiHidden/>
    <w:qFormat/>
    <w:uiPriority w:val="99"/>
    <w:rPr>
      <w:rFonts w:ascii="Times New Roman" w:hAnsi="Times New Roman" w:eastAsia="宋体" w:cs="Times New Roman"/>
      <w:sz w:val="16"/>
      <w:szCs w:val="16"/>
    </w:rPr>
  </w:style>
  <w:style w:type="character" w:customStyle="1" w:styleId="183">
    <w:name w:val="标题 Char"/>
    <w:basedOn w:val="44"/>
    <w:link w:val="39"/>
    <w:qFormat/>
    <w:uiPriority w:val="0"/>
    <w:rPr>
      <w:rFonts w:ascii="Arial" w:hAnsi="Arial" w:eastAsia="宋体" w:cs="Times New Roman"/>
      <w:b/>
      <w:kern w:val="0"/>
      <w:sz w:val="32"/>
      <w:szCs w:val="20"/>
    </w:rPr>
  </w:style>
  <w:style w:type="paragraph" w:customStyle="1" w:styleId="184">
    <w:name w:val="p0"/>
    <w:basedOn w:val="1"/>
    <w:qFormat/>
    <w:uiPriority w:val="0"/>
    <w:pPr>
      <w:spacing w:line="240" w:lineRule="auto"/>
      <w:jc w:val="both"/>
    </w:pPr>
    <w:rPr>
      <w:kern w:val="0"/>
      <w:szCs w:val="21"/>
    </w:rPr>
  </w:style>
  <w:style w:type="character" w:customStyle="1" w:styleId="185">
    <w:name w:val="纯文本 Char"/>
    <w:basedOn w:val="44"/>
    <w:link w:val="21"/>
    <w:qFormat/>
    <w:uiPriority w:val="99"/>
    <w:rPr>
      <w:rFonts w:ascii="宋体" w:hAnsi="Courier New" w:eastAsia="宋体" w:cs="Courier New"/>
      <w:szCs w:val="21"/>
    </w:rPr>
  </w:style>
  <w:style w:type="paragraph" w:customStyle="1" w:styleId="18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7">
    <w:name w:val="正文文本 Char"/>
    <w:basedOn w:val="44"/>
    <w:link w:val="15"/>
    <w:semiHidden/>
    <w:qFormat/>
    <w:uiPriority w:val="99"/>
    <w:rPr>
      <w:kern w:val="2"/>
      <w:sz w:val="21"/>
      <w:szCs w:val="24"/>
    </w:rPr>
  </w:style>
  <w:style w:type="paragraph" w:customStyle="1" w:styleId="188">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9">
    <w:name w:val="标题 4 Char"/>
    <w:basedOn w:val="44"/>
    <w:link w:val="5"/>
    <w:semiHidden/>
    <w:qFormat/>
    <w:uiPriority w:val="9"/>
    <w:rPr>
      <w:rFonts w:asciiTheme="majorHAnsi" w:hAnsiTheme="majorHAnsi" w:eastAsiaTheme="majorEastAsia" w:cstheme="majorBidi"/>
      <w:b/>
      <w:bCs/>
      <w:kern w:val="2"/>
      <w:sz w:val="28"/>
      <w:szCs w:val="28"/>
    </w:rPr>
  </w:style>
  <w:style w:type="paragraph" w:customStyle="1" w:styleId="190">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91">
    <w:name w:val="_Style 4"/>
    <w:qFormat/>
    <w:uiPriority w:val="31"/>
    <w:rPr>
      <w:smallCaps/>
      <w:color w:val="C0504D"/>
      <w:u w:val="single"/>
    </w:rPr>
  </w:style>
  <w:style w:type="paragraph" w:customStyle="1" w:styleId="192">
    <w:name w:val="纯文本1"/>
    <w:basedOn w:val="1"/>
    <w:qFormat/>
    <w:uiPriority w:val="0"/>
    <w:rPr>
      <w:rFonts w:ascii="宋体" w:hAnsi="Courier New" w:cs="Courier New"/>
      <w:szCs w:val="21"/>
    </w:rPr>
  </w:style>
  <w:style w:type="paragraph" w:customStyle="1" w:styleId="193">
    <w:name w:val="CM99"/>
    <w:basedOn w:val="52"/>
    <w:next w:val="52"/>
    <w:qFormat/>
    <w:uiPriority w:val="0"/>
    <w:pPr>
      <w:spacing w:after="443"/>
    </w:pPr>
  </w:style>
  <w:style w:type="paragraph" w:customStyle="1" w:styleId="194">
    <w:name w:val="CM80"/>
    <w:basedOn w:val="52"/>
    <w:next w:val="52"/>
    <w:qFormat/>
    <w:uiPriority w:val="0"/>
    <w:pPr>
      <w:spacing w:line="440" w:lineRule="atLeast"/>
    </w:pPr>
  </w:style>
  <w:style w:type="character" w:customStyle="1" w:styleId="195">
    <w:name w:val="font11"/>
    <w:basedOn w:val="4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78D1-723F-48BE-B93E-38AA01CCB3F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56</Pages>
  <Words>23122</Words>
  <Characters>24967</Characters>
  <Lines>224</Lines>
  <Paragraphs>63</Paragraphs>
  <TotalTime>11</TotalTime>
  <ScaleCrop>false</ScaleCrop>
  <LinksUpToDate>false</LinksUpToDate>
  <CharactersWithSpaces>27445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2022-05-12T01:52:00Z</dcterms:created>
  <dc:creator>lenovo</dc:creator>
  <cp:lastModifiedBy>勒哩</cp:lastModifiedBy>
  <cp:lastPrinted>2022-04-13T08:22:00Z</cp:lastPrinted>
  <dcterms:modified xsi:type="dcterms:W3CDTF">2022-09-14T07:28:07Z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C61A89EFAD7C4E7DA41973BC42F1789C</vt:lpwstr>
  </property>
</Properties>
</file>