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Times New Roman"/>
          <w:b/>
          <w:bCs/>
          <w:sz w:val="52"/>
          <w:szCs w:val="52"/>
          <w:lang w:val="en-US" w:eastAsia="zh-CN"/>
        </w:rPr>
      </w:pPr>
      <w:r>
        <w:rPr>
          <w:rFonts w:hint="eastAsia" w:ascii="黑体" w:hAnsi="黑体" w:eastAsia="黑体" w:cs="Times New Roman"/>
          <w:b/>
          <w:bCs/>
          <w:sz w:val="52"/>
          <w:szCs w:val="52"/>
          <w:lang w:val="en-US" w:eastAsia="zh-CN"/>
        </w:rPr>
        <w:t>湖南港产科技有限公司</w:t>
      </w:r>
    </w:p>
    <w:p>
      <w:pPr>
        <w:snapToGrid w:val="0"/>
        <w:spacing w:line="360" w:lineRule="auto"/>
        <w:jc w:val="center"/>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52"/>
          <w:szCs w:val="52"/>
          <w:lang w:val="en-US" w:eastAsia="zh-CN"/>
        </w:rPr>
      </w:pPr>
    </w:p>
    <w:p>
      <w:pPr>
        <w:pStyle w:val="2"/>
        <w:rPr>
          <w:rFonts w:hint="eastAsia"/>
          <w:lang w:val="en-US" w:eastAsia="zh-CN"/>
        </w:rPr>
      </w:pPr>
    </w:p>
    <w:p>
      <w:pPr>
        <w:pStyle w:val="2"/>
        <w:rPr>
          <w:rFonts w:hint="eastAsia" w:ascii="黑体" w:hAnsi="黑体" w:eastAsia="黑体" w:cs="Times New Roman"/>
          <w:b/>
          <w:bCs/>
          <w:sz w:val="52"/>
          <w:szCs w:val="52"/>
          <w:lang w:val="en-US" w:eastAsia="zh-CN"/>
        </w:rPr>
      </w:pPr>
    </w:p>
    <w:p>
      <w:pPr>
        <w:pStyle w:val="2"/>
        <w:rPr>
          <w:rFonts w:hint="eastAsia" w:ascii="黑体" w:hAnsi="黑体" w:eastAsia="黑体" w:cs="Times New Roman"/>
          <w:b/>
          <w:bCs/>
          <w:sz w:val="52"/>
          <w:szCs w:val="52"/>
          <w:lang w:val="en-US" w:eastAsia="zh-CN"/>
        </w:rPr>
      </w:pPr>
    </w:p>
    <w:p>
      <w:pPr>
        <w:pStyle w:val="2"/>
        <w:ind w:left="0" w:leftChars="0" w:firstLine="0" w:firstLineChars="0"/>
        <w:rPr>
          <w:rFonts w:hint="eastAsia" w:ascii="黑体" w:hAnsi="黑体" w:eastAsia="黑体" w:cs="Times New Roman"/>
          <w:b/>
          <w:bCs/>
          <w:sz w:val="52"/>
          <w:szCs w:val="52"/>
          <w:lang w:val="en-US" w:eastAsia="zh-CN"/>
        </w:rPr>
      </w:pPr>
    </w:p>
    <w:p>
      <w:pPr>
        <w:snapToGrid w:val="0"/>
        <w:spacing w:line="360" w:lineRule="auto"/>
        <w:jc w:val="center"/>
        <w:rPr>
          <w:rFonts w:ascii="黑体" w:hAnsi="黑体" w:eastAsia="黑体" w:cs="黑体"/>
          <w:b/>
          <w:bCs/>
          <w:sz w:val="24"/>
          <w:szCs w:val="24"/>
        </w:rPr>
      </w:pPr>
      <w:r>
        <w:rPr>
          <w:rFonts w:hint="eastAsia" w:ascii="黑体" w:hAnsi="黑体" w:eastAsia="黑体" w:cs="Times New Roman"/>
          <w:b/>
          <w:bCs/>
          <w:sz w:val="44"/>
          <w:szCs w:val="44"/>
          <w:lang w:val="en-US" w:eastAsia="zh-CN"/>
        </w:rPr>
        <w:t>新港片区户外LED显示屏询价采购文件</w:t>
      </w:r>
    </w:p>
    <w:p>
      <w:pPr>
        <w:snapToGrid w:val="0"/>
        <w:spacing w:line="480" w:lineRule="auto"/>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省港</w:t>
      </w:r>
      <w:r>
        <w:rPr>
          <w:rFonts w:hint="eastAsia" w:ascii="黑体" w:hAnsi="黑体" w:eastAsia="黑体" w:cs="黑体"/>
          <w:b/>
          <w:bCs/>
          <w:sz w:val="30"/>
          <w:szCs w:val="30"/>
          <w:highlight w:val="none"/>
          <w:lang w:eastAsia="zh-CN"/>
        </w:rPr>
        <w:t>货</w:t>
      </w:r>
      <w:r>
        <w:rPr>
          <w:rFonts w:hint="eastAsia" w:ascii="黑体" w:hAnsi="黑体" w:eastAsia="黑体" w:cs="黑体"/>
          <w:b/>
          <w:bCs/>
          <w:sz w:val="30"/>
          <w:szCs w:val="30"/>
          <w:highlight w:val="none"/>
        </w:rPr>
        <w:t>（202</w:t>
      </w:r>
      <w:r>
        <w:rPr>
          <w:rFonts w:hint="eastAsia" w:ascii="黑体" w:hAnsi="黑体" w:eastAsia="黑体" w:cs="黑体"/>
          <w:b/>
          <w:bCs/>
          <w:sz w:val="30"/>
          <w:szCs w:val="30"/>
          <w:highlight w:val="none"/>
          <w:lang w:val="en-US" w:eastAsia="zh-CN"/>
        </w:rPr>
        <w:t>2</w:t>
      </w:r>
      <w:r>
        <w:rPr>
          <w:rFonts w:hint="eastAsia" w:ascii="黑体" w:hAnsi="黑体" w:eastAsia="黑体" w:cs="黑体"/>
          <w:b/>
          <w:bCs/>
          <w:sz w:val="30"/>
          <w:szCs w:val="30"/>
          <w:highlight w:val="none"/>
        </w:rPr>
        <w:t>）年询第</w:t>
      </w:r>
      <w:r>
        <w:rPr>
          <w:rFonts w:hint="eastAsia" w:ascii="黑体" w:hAnsi="黑体" w:eastAsia="黑体" w:cs="黑体"/>
          <w:b/>
          <w:bCs/>
          <w:sz w:val="30"/>
          <w:szCs w:val="30"/>
          <w:highlight w:val="none"/>
          <w:lang w:val="en-US" w:eastAsia="zh-CN"/>
        </w:rPr>
        <w:t>29</w:t>
      </w:r>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w:t>
      </w:r>
      <w:r>
        <w:rPr>
          <w:rFonts w:hint="eastAsia" w:ascii="黑体" w:hAnsi="黑体" w:eastAsia="黑体" w:cs="黑体"/>
          <w:b/>
          <w:bCs/>
          <w:sz w:val="30"/>
          <w:szCs w:val="30"/>
          <w:highlight w:val="none"/>
          <w:lang w:eastAsia="zh-CN"/>
        </w:rPr>
        <w:t>港产</w:t>
      </w:r>
      <w:r>
        <w:rPr>
          <w:rFonts w:hint="eastAsia" w:ascii="黑体" w:hAnsi="黑体" w:eastAsia="黑体" w:cs="黑体"/>
          <w:b/>
          <w:bCs/>
          <w:sz w:val="30"/>
          <w:szCs w:val="30"/>
          <w:highlight w:val="none"/>
          <w:lang w:val="en-US" w:eastAsia="zh-CN"/>
        </w:rPr>
        <w:t>]</w:t>
      </w:r>
    </w:p>
    <w:p>
      <w:pPr>
        <w:spacing w:line="360" w:lineRule="auto"/>
      </w:pPr>
    </w:p>
    <w:p>
      <w:pPr>
        <w:pStyle w:val="3"/>
      </w:pPr>
    </w:p>
    <w:p>
      <w:pPr>
        <w:pStyle w:val="15"/>
        <w:spacing w:line="360" w:lineRule="auto"/>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pStyle w:val="15"/>
        <w:spacing w:line="360" w:lineRule="auto"/>
        <w:ind w:left="0" w:leftChars="0" w:firstLine="0" w:firstLineChars="0"/>
      </w:pPr>
    </w:p>
    <w:p>
      <w:pPr>
        <w:tabs>
          <w:tab w:val="left" w:pos="0"/>
          <w:tab w:val="left" w:pos="4185"/>
        </w:tabs>
        <w:spacing w:line="360" w:lineRule="auto"/>
        <w:ind w:right="-6"/>
        <w:jc w:val="center"/>
        <w:rPr>
          <w:rFonts w:hint="eastAsia" w:ascii="黑体" w:hAnsi="黑体" w:eastAsia="黑体"/>
          <w:bCs/>
          <w:sz w:val="40"/>
          <w:szCs w:val="40"/>
        </w:rPr>
      </w:pPr>
    </w:p>
    <w:p>
      <w:pPr>
        <w:tabs>
          <w:tab w:val="left" w:pos="0"/>
          <w:tab w:val="left" w:pos="4185"/>
        </w:tabs>
        <w:spacing w:line="360" w:lineRule="auto"/>
        <w:ind w:right="-6"/>
        <w:jc w:val="center"/>
        <w:rPr>
          <w:rFonts w:ascii="黑体" w:hAnsi="黑体" w:eastAsia="黑体"/>
          <w:b w:val="0"/>
          <w:color w:val="auto"/>
          <w:sz w:val="44"/>
          <w:szCs w:val="44"/>
          <w:lang w:val="zh-CN"/>
        </w:rPr>
      </w:pPr>
      <w:r>
        <w:rPr>
          <w:rFonts w:hint="eastAsia" w:ascii="黑体" w:hAnsi="黑体" w:eastAsia="黑体"/>
          <w:bCs/>
          <w:sz w:val="40"/>
          <w:szCs w:val="40"/>
        </w:rPr>
        <w:t>二О二</w:t>
      </w:r>
      <w:r>
        <w:rPr>
          <w:rFonts w:hint="eastAsia" w:ascii="黑体" w:hAnsi="黑体" w:eastAsia="黑体"/>
          <w:bCs/>
          <w:sz w:val="40"/>
          <w:szCs w:val="40"/>
          <w:lang w:val="en-US" w:eastAsia="zh-CN"/>
        </w:rPr>
        <w:t>二</w:t>
      </w:r>
      <w:r>
        <w:rPr>
          <w:rFonts w:hint="eastAsia" w:ascii="黑体" w:hAnsi="黑体" w:eastAsia="黑体"/>
          <w:bCs/>
          <w:sz w:val="40"/>
          <w:szCs w:val="40"/>
        </w:rPr>
        <w:t>年</w:t>
      </w:r>
      <w:r>
        <w:rPr>
          <w:rFonts w:hint="eastAsia" w:ascii="黑体" w:hAnsi="黑体" w:eastAsia="黑体"/>
          <w:bCs/>
          <w:sz w:val="40"/>
          <w:szCs w:val="40"/>
          <w:lang w:val="en-US" w:eastAsia="zh-CN"/>
        </w:rPr>
        <w:t>九</w:t>
      </w:r>
      <w:r>
        <w:rPr>
          <w:rFonts w:hint="eastAsia" w:ascii="黑体" w:hAnsi="黑体" w:eastAsia="黑体"/>
          <w:bCs/>
          <w:sz w:val="40"/>
          <w:szCs w:val="40"/>
        </w:rPr>
        <w:t>月</w:t>
      </w:r>
    </w:p>
    <w:p>
      <w:pPr>
        <w:rPr>
          <w:rFonts w:ascii="黑体" w:hAnsi="黑体" w:eastAsia="黑体"/>
          <w:b w:val="0"/>
          <w:color w:val="auto"/>
          <w:sz w:val="44"/>
          <w:szCs w:val="44"/>
          <w:lang w:val="zh-CN"/>
        </w:rPr>
      </w:pPr>
      <w:r>
        <w:rPr>
          <w:rFonts w:ascii="黑体" w:hAnsi="黑体" w:eastAsia="黑体"/>
          <w:b w:val="0"/>
          <w:color w:val="auto"/>
          <w:sz w:val="44"/>
          <w:szCs w:val="44"/>
          <w:lang w:val="zh-CN"/>
        </w:rPr>
        <w:br w:type="page"/>
      </w:r>
    </w:p>
    <w:p>
      <w:pPr>
        <w:pStyle w:val="23"/>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11"/>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rPr>
          <w:sz w:val="24"/>
          <w:szCs w:val="24"/>
        </w:rPr>
        <w:fldChar w:fldCharType="begin"/>
      </w:r>
      <w:r>
        <w:rPr>
          <w:sz w:val="24"/>
          <w:szCs w:val="24"/>
        </w:rPr>
        <w:instrText xml:space="preserve"> HYPERLINK \l "_Toc77254096" </w:instrText>
      </w:r>
      <w:r>
        <w:rPr>
          <w:sz w:val="24"/>
          <w:szCs w:val="24"/>
        </w:rPr>
        <w:fldChar w:fldCharType="separate"/>
      </w:r>
      <w:r>
        <w:rPr>
          <w:rStyle w:val="20"/>
          <w:rFonts w:hint="eastAsia" w:ascii="微软雅黑" w:hAnsi="微软雅黑" w:eastAsia="微软雅黑"/>
          <w:sz w:val="24"/>
          <w:szCs w:val="24"/>
        </w:rPr>
        <w:t>第一章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w:t>
      </w:r>
    </w:p>
    <w:p>
      <w:pPr>
        <w:pStyle w:val="11"/>
        <w:tabs>
          <w:tab w:val="right" w:leader="dot" w:pos="8948"/>
          <w:tab w:val="clear" w:pos="9242"/>
        </w:tabs>
        <w:adjustRightInd w:val="0"/>
        <w:snapToGrid w:val="0"/>
        <w:spacing w:before="60" w:after="60" w:line="360" w:lineRule="auto"/>
        <w:rPr>
          <w:rFonts w:hint="eastAsia" w:ascii="微软雅黑" w:hAnsi="微软雅黑" w:eastAsia="微软雅黑"/>
          <w:bCs/>
          <w:caps/>
          <w:sz w:val="24"/>
          <w:szCs w:val="24"/>
          <w:lang w:eastAsia="zh-CN"/>
        </w:rPr>
      </w:pPr>
      <w:r>
        <w:rPr>
          <w:sz w:val="24"/>
          <w:szCs w:val="24"/>
        </w:rPr>
        <w:fldChar w:fldCharType="begin"/>
      </w:r>
      <w:r>
        <w:rPr>
          <w:sz w:val="24"/>
          <w:szCs w:val="24"/>
        </w:rPr>
        <w:instrText xml:space="preserve"> HYPERLINK \l "_Toc77254106" </w:instrText>
      </w:r>
      <w:r>
        <w:rPr>
          <w:sz w:val="24"/>
          <w:szCs w:val="24"/>
        </w:rPr>
        <w:fldChar w:fldCharType="separate"/>
      </w:r>
      <w:r>
        <w:rPr>
          <w:rStyle w:val="20"/>
          <w:rFonts w:hint="eastAsia" w:ascii="微软雅黑" w:hAnsi="微软雅黑" w:eastAsia="微软雅黑"/>
          <w:sz w:val="24"/>
          <w:szCs w:val="24"/>
        </w:rPr>
        <w:t>第二章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7</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"_Toc77254124" </w:instrText>
      </w:r>
      <w:r>
        <w:rPr>
          <w:sz w:val="24"/>
          <w:szCs w:val="24"/>
        </w:rPr>
        <w:fldChar w:fldCharType="separate"/>
      </w:r>
      <w:r>
        <w:rPr>
          <w:rStyle w:val="20"/>
          <w:rFonts w:hint="eastAsia" w:ascii="微软雅黑" w:hAnsi="微软雅黑" w:eastAsia="微软雅黑"/>
          <w:sz w:val="24"/>
          <w:szCs w:val="24"/>
        </w:rPr>
        <w:t>第三章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评标办</w:t>
      </w:r>
      <w:bookmarkStart w:id="0" w:name="_Hlt79481238"/>
      <w:bookmarkStart w:id="1" w:name="_Hlt79481237"/>
      <w:r>
        <w:rPr>
          <w:rStyle w:val="20"/>
          <w:rFonts w:hint="eastAsia" w:ascii="微软雅黑" w:hAnsi="微软雅黑" w:eastAsia="微软雅黑"/>
          <w:sz w:val="24"/>
          <w:szCs w:val="24"/>
        </w:rPr>
        <w:t>法</w:t>
      </w:r>
      <w:bookmarkEnd w:id="0"/>
      <w:bookmarkEnd w:id="1"/>
      <w:r>
        <w:rPr>
          <w:rStyle w:val="20"/>
          <w:rFonts w:hint="eastAsia" w:ascii="微软雅黑" w:hAnsi="微软雅黑" w:eastAsia="微软雅黑"/>
          <w:sz w:val="24"/>
          <w:szCs w:val="24"/>
        </w:rPr>
        <w:t>（</w:t>
      </w:r>
      <w:r>
        <w:rPr>
          <w:rStyle w:val="20"/>
          <w:rFonts w:hint="eastAsia" w:ascii="微软雅黑" w:hAnsi="微软雅黑" w:eastAsia="微软雅黑"/>
          <w:sz w:val="24"/>
          <w:szCs w:val="24"/>
          <w:lang w:val="en-US"/>
        </w:rPr>
        <w:t>综合评分法</w:t>
      </w:r>
      <w:r>
        <w:rPr>
          <w:rStyle w:val="20"/>
          <w:rFonts w:hint="eastAsia" w:ascii="微软雅黑" w:hAnsi="微软雅黑" w:eastAsia="微软雅黑"/>
          <w:sz w:val="24"/>
          <w:szCs w:val="24"/>
        </w:rPr>
        <w:t>）</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25</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"_Toc77254138" </w:instrText>
      </w:r>
      <w:r>
        <w:rPr>
          <w:sz w:val="24"/>
          <w:szCs w:val="24"/>
        </w:rPr>
        <w:fldChar w:fldCharType="separate"/>
      </w:r>
      <w:r>
        <w:rPr>
          <w:rStyle w:val="20"/>
          <w:rFonts w:hint="eastAsia" w:ascii="微软雅黑" w:hAnsi="微软雅黑" w:eastAsia="微软雅黑"/>
          <w:sz w:val="24"/>
          <w:szCs w:val="24"/>
        </w:rPr>
        <w:t>第四章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29</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rPr>
      </w:pPr>
      <w:r>
        <w:rPr>
          <w:sz w:val="24"/>
          <w:szCs w:val="24"/>
        </w:rPr>
        <w:fldChar w:fldCharType="begin"/>
      </w:r>
      <w:r>
        <w:rPr>
          <w:sz w:val="24"/>
          <w:szCs w:val="24"/>
        </w:rPr>
        <w:instrText xml:space="preserve"> HYPERLINK \l "_Toc77254286" </w:instrText>
      </w:r>
      <w:r>
        <w:rPr>
          <w:sz w:val="24"/>
          <w:szCs w:val="24"/>
        </w:rPr>
        <w:fldChar w:fldCharType="separate"/>
      </w:r>
      <w:r>
        <w:rPr>
          <w:rStyle w:val="20"/>
          <w:rFonts w:hint="eastAsia" w:ascii="微软雅黑" w:hAnsi="微软雅黑" w:eastAsia="微软雅黑"/>
          <w:sz w:val="24"/>
          <w:szCs w:val="24"/>
        </w:rPr>
        <w:t>第五章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32</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eastAsia="zh-CN"/>
        </w:rPr>
      </w:pPr>
      <w:r>
        <w:rPr>
          <w:sz w:val="24"/>
          <w:szCs w:val="24"/>
        </w:rPr>
        <w:fldChar w:fldCharType="begin"/>
      </w:r>
      <w:r>
        <w:rPr>
          <w:sz w:val="24"/>
          <w:szCs w:val="24"/>
        </w:rPr>
        <w:instrText xml:space="preserve"> HYPERLINK \l "_Toc77254297" </w:instrText>
      </w:r>
      <w:r>
        <w:rPr>
          <w:sz w:val="24"/>
          <w:szCs w:val="24"/>
        </w:rPr>
        <w:fldChar w:fldCharType="separate"/>
      </w:r>
      <w:r>
        <w:rPr>
          <w:rStyle w:val="20"/>
          <w:rFonts w:hint="eastAsia" w:ascii="微软雅黑" w:hAnsi="微软雅黑" w:eastAsia="微软雅黑"/>
          <w:sz w:val="24"/>
          <w:szCs w:val="24"/>
        </w:rPr>
        <w:t>第六章</w:t>
      </w:r>
      <w:r>
        <w:rPr>
          <w:rStyle w:val="20"/>
          <w:rFonts w:ascii="微软雅黑" w:hAnsi="微软雅黑" w:eastAsia="微软雅黑"/>
          <w:sz w:val="24"/>
          <w:szCs w:val="24"/>
        </w:rPr>
        <w:t xml:space="preserve"> </w:t>
      </w:r>
      <w:r>
        <w:rPr>
          <w:rStyle w:val="20"/>
          <w:rFonts w:hint="eastAsia" w:ascii="微软雅黑" w:hAnsi="微软雅黑" w:eastAsia="微软雅黑"/>
          <w:sz w:val="24"/>
          <w:szCs w:val="24"/>
        </w:rPr>
        <w:t>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41</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sz w:val="24"/>
          <w:szCs w:val="24"/>
        </w:rPr>
        <w:fldChar w:fldCharType="begin"/>
      </w:r>
      <w:r>
        <w:rPr>
          <w:sz w:val="24"/>
          <w:szCs w:val="24"/>
        </w:rPr>
        <w:instrText xml:space="preserve"> HYPERLINK \l "_Toc77254298" </w:instrText>
      </w:r>
      <w:r>
        <w:rPr>
          <w:sz w:val="24"/>
          <w:szCs w:val="24"/>
        </w:rPr>
        <w:fldChar w:fldCharType="separate"/>
      </w:r>
      <w:r>
        <w:rPr>
          <w:rStyle w:val="20"/>
          <w:rFonts w:hint="eastAsia" w:ascii="微软雅黑" w:hAnsi="微软雅黑" w:eastAsia="微软雅黑"/>
          <w:sz w:val="24"/>
          <w:szCs w:val="24"/>
        </w:rPr>
        <w:t>一、响应函</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43</w:t>
      </w:r>
    </w:p>
    <w:p>
      <w:pPr>
        <w:pStyle w:val="13"/>
        <w:tabs>
          <w:tab w:val="right" w:leader="dot" w:pos="8948"/>
        </w:tabs>
        <w:adjustRightInd w:val="0"/>
        <w:snapToGrid w:val="0"/>
        <w:spacing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"_Toc77254299" </w:instrText>
      </w:r>
      <w:r>
        <w:rPr>
          <w:sz w:val="24"/>
          <w:szCs w:val="24"/>
        </w:rPr>
        <w:fldChar w:fldCharType="separate"/>
      </w:r>
      <w:r>
        <w:rPr>
          <w:rStyle w:val="20"/>
          <w:rFonts w:hint="eastAsia" w:ascii="微软雅黑" w:hAnsi="微软雅黑" w:eastAsia="微软雅黑"/>
          <w:sz w:val="24"/>
          <w:szCs w:val="24"/>
        </w:rPr>
        <w:t>二、授权委托书</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46</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Style w:val="20"/>
          <w:rFonts w:hint="eastAsia" w:ascii="微软雅黑" w:hAnsi="微软雅黑" w:eastAsia="微软雅黑"/>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三</w:t>
      </w:r>
      <w:r>
        <w:rPr>
          <w:rFonts w:hint="eastAsia"/>
          <w:sz w:val="24"/>
          <w:szCs w:val="24"/>
        </w:rPr>
        <w:fldChar w:fldCharType="begin"/>
      </w:r>
      <w:r>
        <w:rPr>
          <w:sz w:val="24"/>
          <w:szCs w:val="24"/>
        </w:rPr>
        <w:instrText xml:space="preserve"> HYPERLINK \l "_Toc77254300" </w:instrText>
      </w:r>
      <w:r>
        <w:rPr>
          <w:rFonts w:hint="eastAsia"/>
          <w:sz w:val="24"/>
          <w:szCs w:val="24"/>
        </w:rPr>
        <w:fldChar w:fldCharType="separate"/>
      </w:r>
      <w:r>
        <w:rPr>
          <w:rStyle w:val="20"/>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47</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Fonts w:hint="eastAsia"/>
          <w:sz w:val="24"/>
          <w:szCs w:val="24"/>
        </w:rPr>
        <w:fldChar w:fldCharType="begin"/>
      </w:r>
      <w:r>
        <w:rPr>
          <w:sz w:val="24"/>
          <w:szCs w:val="24"/>
        </w:rPr>
        <w:instrText xml:space="preserve"> HYPERLINK \l "_Toc77254302" </w:instrText>
      </w:r>
      <w:r>
        <w:rPr>
          <w:rFonts w:hint="eastAsia"/>
          <w:sz w:val="24"/>
          <w:szCs w:val="24"/>
        </w:rPr>
        <w:fldChar w:fldCharType="separate"/>
      </w:r>
      <w:r>
        <w:rPr>
          <w:rStyle w:val="20"/>
          <w:rFonts w:hint="eastAsia" w:ascii="微软雅黑" w:hAnsi="微软雅黑" w:eastAsia="微软雅黑"/>
          <w:sz w:val="24"/>
          <w:szCs w:val="24"/>
        </w:rPr>
        <w:t>四、报价表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48</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"_Toc77254304" </w:instrText>
      </w:r>
      <w:r>
        <w:rPr>
          <w:rFonts w:hint="eastAsia"/>
          <w:sz w:val="24"/>
          <w:szCs w:val="24"/>
        </w:rPr>
        <w:fldChar w:fldCharType="separate"/>
      </w:r>
      <w:r>
        <w:rPr>
          <w:rStyle w:val="20"/>
          <w:rFonts w:hint="eastAsia" w:ascii="微软雅黑" w:hAnsi="微软雅黑" w:eastAsia="微软雅黑"/>
          <w:sz w:val="24"/>
          <w:szCs w:val="24"/>
        </w:rPr>
        <w:t>五、资格审查资料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49</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"_Toc77254308" </w:instrText>
      </w:r>
      <w:r>
        <w:rPr>
          <w:rFonts w:hint="eastAsia"/>
          <w:sz w:val="24"/>
          <w:szCs w:val="24"/>
        </w:rPr>
        <w:fldChar w:fldCharType="separate"/>
      </w:r>
      <w:r>
        <w:rPr>
          <w:rStyle w:val="20"/>
          <w:rFonts w:hint="eastAsia" w:ascii="微软雅黑" w:hAnsi="微软雅黑" w:eastAsia="微软雅黑"/>
          <w:sz w:val="24"/>
          <w:szCs w:val="24"/>
        </w:rPr>
        <w:t>六、响应方案</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50</w:t>
      </w:r>
    </w:p>
    <w:p>
      <w:pPr>
        <w:pStyle w:val="13"/>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"_Toc77254310" </w:instrText>
      </w:r>
      <w:r>
        <w:rPr>
          <w:rFonts w:hint="eastAsia"/>
          <w:sz w:val="24"/>
          <w:szCs w:val="24"/>
        </w:rPr>
        <w:fldChar w:fldCharType="separate"/>
      </w:r>
      <w:r>
        <w:rPr>
          <w:rStyle w:val="20"/>
          <w:rFonts w:hint="eastAsia" w:ascii="微软雅黑" w:hAnsi="微软雅黑" w:eastAsia="微软雅黑"/>
          <w:sz w:val="24"/>
          <w:szCs w:val="24"/>
        </w:rPr>
        <w:t>七、其他资料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51</w:t>
      </w:r>
    </w:p>
    <w:p>
      <w:pPr>
        <w:pStyle w:val="11"/>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pStyle w:val="24"/>
        <w:numPr>
          <w:ilvl w:val="-1"/>
          <w:numId w:val="0"/>
        </w:numPr>
        <w:spacing w:line="360" w:lineRule="auto"/>
        <w:ind w:left="0" w:firstLine="0" w:firstLineChars="0"/>
        <w:jc w:val="center"/>
        <w:outlineLvl w:val="0"/>
        <w:rPr>
          <w:rFonts w:hint="eastAsia" w:ascii="黑体" w:hAnsi="黑体" w:eastAsia="黑体" w:cs="黑体"/>
          <w:b w:val="0"/>
          <w:bCs w:val="0"/>
          <w:color w:val="000000"/>
          <w:sz w:val="36"/>
          <w:szCs w:val="36"/>
        </w:rPr>
      </w:pPr>
      <w:r>
        <w:rPr>
          <w:rFonts w:hint="eastAsia" w:ascii="黑体" w:hAnsi="黑体" w:eastAsia="黑体" w:cs="黑体"/>
          <w:b w:val="0"/>
          <w:bCs w:val="0"/>
          <w:sz w:val="36"/>
          <w:szCs w:val="36"/>
          <w:lang w:val="en-US" w:eastAsia="zh-CN"/>
        </w:rPr>
        <w:t xml:space="preserve">第一章 </w:t>
      </w:r>
      <w:r>
        <w:rPr>
          <w:rFonts w:hint="eastAsia" w:ascii="黑体" w:hAnsi="黑体" w:eastAsia="黑体" w:cs="黑体"/>
          <w:b w:val="0"/>
          <w:bCs w:val="0"/>
          <w:color w:val="000000"/>
          <w:sz w:val="36"/>
          <w:szCs w:val="36"/>
        </w:rPr>
        <w:t>采购公告</w:t>
      </w:r>
    </w:p>
    <w:p>
      <w:pPr>
        <w:widowControl w:val="0"/>
        <w:adjustRightInd w:val="0"/>
        <w:snapToGrid w:val="0"/>
        <w:spacing w:line="360" w:lineRule="auto"/>
        <w:jc w:val="center"/>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湖南港产科技有限公司</w:t>
      </w:r>
    </w:p>
    <w:p>
      <w:pPr>
        <w:widowControl w:val="0"/>
        <w:adjustRightInd w:val="0"/>
        <w:snapToGrid w:val="0"/>
        <w:spacing w:line="360" w:lineRule="auto"/>
        <w:jc w:val="center"/>
        <w:rPr>
          <w:rFonts w:cs="Times New Roman"/>
          <w:kern w:val="2"/>
        </w:rPr>
      </w:pPr>
      <w:bookmarkStart w:id="43" w:name="_GoBack"/>
      <w:bookmarkEnd w:id="43"/>
      <w:r>
        <w:rPr>
          <w:rFonts w:hint="eastAsia" w:ascii="宋体" w:hAnsi="宋体" w:eastAsia="宋体" w:cs="宋体"/>
          <w:b/>
          <w:bCs/>
          <w:sz w:val="32"/>
          <w:szCs w:val="32"/>
          <w:u w:val="none"/>
          <w:lang w:val="en-US" w:eastAsia="zh-CN"/>
        </w:rPr>
        <w:t>新港片区</w:t>
      </w:r>
      <w:r>
        <w:rPr>
          <w:rFonts w:hint="eastAsia" w:ascii="宋体" w:hAnsi="宋体" w:cs="宋体"/>
          <w:b/>
          <w:bCs/>
          <w:sz w:val="32"/>
          <w:szCs w:val="32"/>
          <w:u w:val="none"/>
          <w:lang w:val="en-US" w:eastAsia="zh-CN"/>
        </w:rPr>
        <w:t>户外LED显示屏</w:t>
      </w:r>
      <w:r>
        <w:rPr>
          <w:rFonts w:hint="eastAsia" w:ascii="宋体" w:hAnsi="宋体" w:eastAsia="宋体" w:cs="宋体"/>
          <w:b/>
          <w:bCs/>
          <w:sz w:val="32"/>
          <w:szCs w:val="32"/>
          <w:lang w:val="en-US" w:eastAsia="zh-CN"/>
        </w:rPr>
        <w:t>询价采购</w:t>
      </w:r>
      <w:r>
        <w:rPr>
          <w:rFonts w:hint="eastAsia" w:ascii="宋体" w:hAnsi="宋体" w:eastAsia="宋体" w:cs="宋体"/>
          <w:b/>
          <w:bCs/>
          <w:sz w:val="32"/>
          <w:szCs w:val="32"/>
        </w:rPr>
        <w:t>公告</w:t>
      </w:r>
      <w:r>
        <w:rPr>
          <w:rFonts w:hint="eastAsia" w:cs="Times New Roman"/>
          <w:kern w:val="2"/>
        </w:rPr>
        <w:t xml:space="preserve"> </w:t>
      </w:r>
    </w:p>
    <w:p>
      <w:pPr>
        <w:autoSpaceDE w:val="0"/>
        <w:spacing w:line="360" w:lineRule="auto"/>
        <w:jc w:val="both"/>
        <w:rPr>
          <w:szCs w:val="21"/>
        </w:rPr>
      </w:pPr>
      <w:r>
        <w:rPr>
          <w:rFonts w:hint="eastAsia" w:ascii="宋体" w:hAnsi="宋体"/>
          <w:sz w:val="24"/>
        </w:rPr>
        <w:t xml:space="preserve">   </w:t>
      </w:r>
      <w:r>
        <w:rPr>
          <w:rFonts w:hint="eastAsia" w:ascii="宋体" w:hAnsi="宋体"/>
          <w:sz w:val="24"/>
          <w:lang w:val="en-US" w:eastAsia="zh-CN"/>
        </w:rPr>
        <w:t>湖南港产科技有限公司</w:t>
      </w:r>
      <w:r>
        <w:rPr>
          <w:rFonts w:hint="eastAsia" w:ascii="宋体" w:hAnsi="宋体"/>
          <w:sz w:val="24"/>
        </w:rPr>
        <w:t>现公开邀请具备实施能力的供应商参加</w:t>
      </w:r>
      <w:r>
        <w:rPr>
          <w:rFonts w:hint="eastAsia" w:ascii="宋体" w:hAnsi="宋体" w:cs="Times New Roman"/>
          <w:sz w:val="24"/>
          <w:lang w:val="en-US" w:eastAsia="zh-CN"/>
        </w:rPr>
        <w:t>新港片区户外LED显示屏</w:t>
      </w:r>
      <w:r>
        <w:rPr>
          <w:rFonts w:hint="eastAsia" w:ascii="宋体" w:hAnsi="宋体"/>
          <w:sz w:val="24"/>
        </w:rPr>
        <w:t>采购活动。</w:t>
      </w:r>
    </w:p>
    <w:p>
      <w:pPr>
        <w:pStyle w:val="6"/>
        <w:spacing w:line="360" w:lineRule="auto"/>
        <w:jc w:val="both"/>
        <w:rPr>
          <w:rFonts w:ascii="Arial" w:hAnsi="Arial"/>
        </w:rPr>
      </w:pPr>
      <w:r>
        <w:rPr>
          <w:rFonts w:hint="eastAsia"/>
        </w:rPr>
        <w:t xml:space="preserve">1 </w:t>
      </w:r>
      <w:r>
        <w:rPr>
          <w:rFonts w:hint="eastAsia" w:ascii="黑体" w:hAnsi="黑体"/>
        </w:rPr>
        <w:t xml:space="preserve">采购项目简介 </w:t>
      </w:r>
    </w:p>
    <w:p>
      <w:pPr>
        <w:numPr>
          <w:ilvl w:val="1"/>
          <w:numId w:val="1"/>
        </w:numPr>
        <w:autoSpaceDE w:val="0"/>
        <w:spacing w:line="360" w:lineRule="auto"/>
        <w:jc w:val="both"/>
        <w:rPr>
          <w:rFonts w:hint="eastAsia" w:ascii="宋体" w:hAnsi="宋体" w:eastAsia="宋体"/>
          <w:sz w:val="24"/>
          <w:szCs w:val="24"/>
        </w:rPr>
      </w:pPr>
      <w:r>
        <w:rPr>
          <w:rFonts w:hint="eastAsia" w:ascii="宋体" w:hAnsi="宋体"/>
          <w:sz w:val="24"/>
        </w:rPr>
        <w:t>采购项目名称</w:t>
      </w:r>
      <w:r>
        <w:rPr>
          <w:rFonts w:hint="eastAsia" w:ascii="宋体" w:hAnsi="宋体"/>
          <w:sz w:val="24"/>
          <w:lang w:eastAsia="zh-CN"/>
        </w:rPr>
        <w:t>：</w:t>
      </w:r>
      <w:r>
        <w:rPr>
          <w:rFonts w:hint="eastAsia" w:ascii="宋体" w:hAnsi="宋体" w:eastAsia="宋体" w:cs="宋体"/>
          <w:color w:val="000000"/>
          <w:sz w:val="24"/>
          <w:szCs w:val="24"/>
          <w:highlight w:val="none"/>
          <w:u w:val="single" w:color="auto"/>
          <w:lang w:val="en-US" w:eastAsia="zh-CN"/>
        </w:rPr>
        <w:t>新港片区</w:t>
      </w:r>
      <w:r>
        <w:rPr>
          <w:rFonts w:hint="eastAsia" w:ascii="宋体" w:hAnsi="宋体" w:cs="宋体"/>
          <w:color w:val="000000"/>
          <w:sz w:val="24"/>
          <w:szCs w:val="24"/>
          <w:highlight w:val="none"/>
          <w:u w:val="single" w:color="auto"/>
          <w:lang w:val="en-US" w:eastAsia="zh-CN"/>
        </w:rPr>
        <w:t>户外LED显示屏询价</w:t>
      </w:r>
      <w:r>
        <w:rPr>
          <w:rFonts w:hint="eastAsia" w:ascii="宋体" w:hAnsi="宋体" w:eastAsia="宋体"/>
          <w:sz w:val="24"/>
          <w:szCs w:val="24"/>
          <w:u w:val="single" w:color="auto"/>
        </w:rPr>
        <w:t>采购</w:t>
      </w:r>
      <w:r>
        <w:rPr>
          <w:rFonts w:hint="eastAsia" w:ascii="宋体" w:hAnsi="宋体"/>
          <w:sz w:val="24"/>
          <w:szCs w:val="24"/>
          <w:u w:val="single" w:color="auto"/>
          <w:lang w:val="en-US" w:eastAsia="zh-CN"/>
        </w:rPr>
        <w:t>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w:t>
      </w:r>
      <w:r>
        <w:rPr>
          <w:rFonts w:hint="eastAsia" w:ascii="宋体" w:hAnsi="宋体"/>
          <w:sz w:val="24"/>
          <w:lang w:val="en-US" w:eastAsia="zh-CN"/>
        </w:rPr>
        <w:t>湖南港产科技</w:t>
      </w:r>
      <w:r>
        <w:rPr>
          <w:rFonts w:hint="eastAsia" w:ascii="宋体" w:hAnsi="宋体"/>
          <w:sz w:val="24"/>
        </w:rPr>
        <w:t>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rPr>
          <w:rFonts w:hint="eastAsia" w:ascii="宋体" w:hAnsi="宋体"/>
          <w:sz w:val="24"/>
          <w:lang w:val="en-US" w:eastAsia="zh-CN"/>
        </w:rPr>
      </w:pPr>
      <w:r>
        <w:rPr>
          <w:rFonts w:hint="eastAsia" w:ascii="宋体" w:hAnsi="宋体"/>
          <w:b/>
          <w:bCs/>
          <w:sz w:val="24"/>
        </w:rPr>
        <w:t xml:space="preserve">1.5 </w:t>
      </w:r>
      <w:r>
        <w:rPr>
          <w:rFonts w:hint="eastAsia" w:ascii="宋体" w:hAnsi="宋体"/>
          <w:sz w:val="24"/>
        </w:rPr>
        <w:t>采购项目概况</w:t>
      </w:r>
      <w:r>
        <w:rPr>
          <w:rFonts w:hint="eastAsia" w:ascii="宋体" w:hAnsi="宋体"/>
          <w:sz w:val="24"/>
          <w:lang w:eastAsia="zh-CN"/>
        </w:rPr>
        <w:t>：</w:t>
      </w:r>
      <w:r>
        <w:rPr>
          <w:rFonts w:hint="eastAsia" w:ascii="宋体" w:hAnsi="宋体"/>
          <w:sz w:val="24"/>
          <w:lang w:val="en-US" w:eastAsia="zh-CN"/>
        </w:rPr>
        <w:t xml:space="preserve"> 新港公司闸口处现有LED显示屏一台，因使用年限太久，防水包边等一系列防护措施已有部分损坏，导致现有屏幕已有部分渗水，无法正常使用。应新港方要求，现急需采购新LED显示屏以供使用，本采购含原有旧屏拆除工程，新屏安装、调试，交付使用等工程和服务。</w:t>
      </w:r>
    </w:p>
    <w:p>
      <w:pPr>
        <w:pStyle w:val="6"/>
        <w:numPr>
          <w:ilvl w:val="0"/>
          <w:numId w:val="2"/>
        </w:numPr>
        <w:spacing w:line="360" w:lineRule="auto"/>
        <w:jc w:val="both"/>
        <w:rPr>
          <w:rFonts w:hint="eastAsia" w:ascii="黑体" w:hAnsi="黑体"/>
        </w:rPr>
      </w:pPr>
      <w:r>
        <w:rPr>
          <w:rFonts w:hint="eastAsia" w:ascii="黑体" w:hAnsi="黑体"/>
        </w:rPr>
        <w:t>采购范围及相关要求</w:t>
      </w:r>
    </w:p>
    <w:p>
      <w:pPr>
        <w:spacing w:line="360" w:lineRule="auto"/>
        <w:rPr>
          <w:rFonts w:hint="eastAsia"/>
        </w:rPr>
      </w:pPr>
      <w:r>
        <w:rPr>
          <w:rFonts w:hint="eastAsia" w:ascii="宋体" w:hAnsi="宋体" w:eastAsia="宋体" w:cs="Calibri"/>
          <w:b/>
          <w:bCs/>
          <w:color w:val="000000"/>
          <w:sz w:val="24"/>
          <w:szCs w:val="22"/>
          <w:highlight w:val="none"/>
          <w:lang w:val="en-US" w:eastAsia="zh-CN"/>
        </w:rPr>
        <w:t>2.1</w:t>
      </w:r>
      <w:r>
        <w:rPr>
          <w:rFonts w:hint="eastAsia" w:ascii="宋体" w:hAnsi="宋体" w:eastAsia="宋体" w:cs="Calibri"/>
          <w:color w:val="000000"/>
          <w:sz w:val="24"/>
          <w:szCs w:val="22"/>
          <w:highlight w:val="none"/>
          <w:lang w:eastAsia="zh-CN"/>
        </w:rPr>
        <w:t>询价</w:t>
      </w:r>
      <w:r>
        <w:rPr>
          <w:rFonts w:hint="eastAsia" w:ascii="宋体" w:hAnsi="宋体" w:eastAsia="Calibri" w:cs="Calibri"/>
          <w:color w:val="000000"/>
          <w:sz w:val="24"/>
          <w:szCs w:val="22"/>
          <w:highlight w:val="none"/>
        </w:rPr>
        <w:t>范围：</w:t>
      </w:r>
    </w:p>
    <w:p>
      <w:pPr>
        <w:widowControl/>
        <w:autoSpaceDE w:val="0"/>
        <w:adjustRightInd/>
        <w:snapToGrid/>
        <w:spacing w:after="0" w:line="360" w:lineRule="auto"/>
        <w:jc w:val="left"/>
        <w:rPr>
          <w:rFonts w:hint="eastAsia" w:ascii="宋体" w:hAnsi="宋体"/>
          <w:sz w:val="24"/>
          <w:lang w:val="en-US" w:eastAsia="zh-CN"/>
        </w:rPr>
      </w:pPr>
      <w:r>
        <w:rPr>
          <w:rFonts w:hint="eastAsia" w:ascii="宋体" w:hAnsi="宋体" w:eastAsia="宋体" w:cs="宋体"/>
          <w:b/>
          <w:bCs/>
          <w:color w:val="000000"/>
          <w:sz w:val="24"/>
          <w:szCs w:val="22"/>
          <w:highlight w:val="none"/>
          <w:lang w:val="en-US" w:eastAsia="zh-CN"/>
        </w:rPr>
        <w:t>2.</w:t>
      </w:r>
      <w:r>
        <w:rPr>
          <w:rFonts w:hint="eastAsia" w:ascii="宋体" w:hAnsi="宋体" w:cs="宋体"/>
          <w:b/>
          <w:bCs/>
          <w:color w:val="000000"/>
          <w:sz w:val="24"/>
          <w:szCs w:val="22"/>
          <w:highlight w:val="none"/>
          <w:lang w:val="en-US" w:eastAsia="zh-CN"/>
        </w:rPr>
        <w:t>1</w:t>
      </w:r>
      <w:r>
        <w:rPr>
          <w:rFonts w:hint="eastAsia" w:ascii="宋体" w:hAnsi="宋体" w:eastAsia="宋体" w:cs="宋体"/>
          <w:b/>
          <w:bCs/>
          <w:color w:val="000000"/>
          <w:sz w:val="24"/>
          <w:szCs w:val="22"/>
          <w:highlight w:val="none"/>
          <w:lang w:val="en-US" w:eastAsia="zh-CN"/>
        </w:rPr>
        <w:t>.1</w:t>
      </w:r>
      <w:r>
        <w:rPr>
          <w:rFonts w:hint="eastAsia" w:ascii="宋体" w:hAnsi="宋体"/>
          <w:sz w:val="24"/>
          <w:lang w:val="en-US" w:eastAsia="zh-CN"/>
        </w:rPr>
        <w:t>户外LED显示屏（包括其控制系统，同异步播放盒，多功能探头等配件；且包拆除旧屏与新显示屏安装）。</w:t>
      </w:r>
    </w:p>
    <w:p>
      <w:pPr>
        <w:pStyle w:val="2"/>
        <w:widowControl/>
        <w:numPr>
          <w:ilvl w:val="0"/>
          <w:numId w:val="0"/>
        </w:numPr>
        <w:autoSpaceDE w:val="0"/>
        <w:spacing w:after="0"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w:t>
      </w:r>
      <w:r>
        <w:rPr>
          <w:rFonts w:hint="eastAsia" w:hAnsi="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lang w:val="en-US" w:eastAsia="zh-CN"/>
        </w:rPr>
        <w:t>.2</w:t>
      </w:r>
      <w:r>
        <w:rPr>
          <w:rFonts w:hint="eastAsia" w:ascii="宋体" w:hAnsi="宋体" w:cs="宋体"/>
          <w:color w:val="000000"/>
          <w:sz w:val="24"/>
          <w:szCs w:val="24"/>
          <w:highlight w:val="none"/>
          <w:lang w:val="en-US" w:eastAsia="zh-CN"/>
        </w:rPr>
        <w:t>数量</w:t>
      </w:r>
      <w:r>
        <w:rPr>
          <w:rFonts w:hint="eastAsia" w:hAnsi="宋体" w:cs="宋体"/>
          <w:color w:val="000000"/>
          <w:sz w:val="24"/>
          <w:szCs w:val="24"/>
          <w:highlight w:val="none"/>
          <w:lang w:val="en-US" w:eastAsia="zh-CN"/>
        </w:rPr>
        <w:t>：</w:t>
      </w:r>
      <w:r>
        <w:rPr>
          <w:rFonts w:hint="eastAsia" w:hAnsi="宋体" w:cs="宋体"/>
          <w:color w:val="000000"/>
          <w:sz w:val="24"/>
          <w:szCs w:val="24"/>
          <w:highlight w:val="none"/>
          <w:u w:val="single"/>
          <w:lang w:val="en-US" w:eastAsia="zh-CN"/>
        </w:rPr>
        <w:t>1</w:t>
      </w:r>
      <w:r>
        <w:rPr>
          <w:rFonts w:hint="eastAsia" w:hAnsi="宋体" w:cs="宋体"/>
          <w:color w:val="000000"/>
          <w:sz w:val="24"/>
          <w:szCs w:val="24"/>
          <w:highlight w:val="none"/>
          <w:lang w:val="en-US" w:eastAsia="zh-CN"/>
        </w:rPr>
        <w:t>台户外LED显示屏</w:t>
      </w:r>
    </w:p>
    <w:p>
      <w:pPr>
        <w:pStyle w:val="2"/>
        <w:widowControl/>
        <w:numPr>
          <w:ilvl w:val="0"/>
          <w:numId w:val="0"/>
        </w:numPr>
        <w:autoSpaceDE w:val="0"/>
        <w:spacing w:after="0" w:line="360" w:lineRule="auto"/>
        <w:jc w:val="left"/>
        <w:rPr>
          <w:rFonts w:hint="default" w:ascii="宋体" w:hAnsi="宋体" w:cs="宋体"/>
          <w:b w:val="0"/>
          <w:bCs w:val="0"/>
          <w:sz w:val="24"/>
          <w:highlight w:val="none"/>
          <w:lang w:val="en-US" w:eastAsia="zh-CN"/>
        </w:rPr>
      </w:pPr>
      <w:r>
        <w:rPr>
          <w:rFonts w:hint="eastAsia" w:ascii="宋体" w:hAnsi="宋体" w:cs="宋体"/>
          <w:b/>
          <w:bCs/>
          <w:color w:val="000000"/>
          <w:sz w:val="24"/>
          <w:szCs w:val="24"/>
          <w:highlight w:val="none"/>
          <w:lang w:val="en-US" w:eastAsia="zh-CN"/>
        </w:rPr>
        <w:t>2.</w:t>
      </w:r>
      <w:r>
        <w:rPr>
          <w:rFonts w:hint="eastAsia" w:hAnsi="宋体" w:cs="宋体"/>
          <w:b/>
          <w:bCs/>
          <w:color w:val="000000"/>
          <w:sz w:val="24"/>
          <w:szCs w:val="24"/>
          <w:highlight w:val="none"/>
          <w:lang w:val="en-US" w:eastAsia="zh-CN"/>
        </w:rPr>
        <w:t>1</w:t>
      </w:r>
      <w:r>
        <w:rPr>
          <w:rFonts w:hint="eastAsia" w:ascii="宋体" w:hAnsi="宋体" w:cs="宋体"/>
          <w:b/>
          <w:bCs/>
          <w:color w:val="000000"/>
          <w:sz w:val="24"/>
          <w:szCs w:val="24"/>
          <w:highlight w:val="none"/>
          <w:lang w:val="en-US" w:eastAsia="zh-CN"/>
        </w:rPr>
        <w:t>.3</w:t>
      </w:r>
      <w:r>
        <w:rPr>
          <w:rFonts w:hint="eastAsia" w:hAnsi="宋体"/>
          <w:b w:val="0"/>
          <w:bCs w:val="0"/>
          <w:sz w:val="24"/>
          <w:highlight w:val="none"/>
          <w:lang w:val="en-US" w:eastAsia="zh-CN"/>
        </w:rPr>
        <w:t>户外LED显示屏</w:t>
      </w:r>
      <w:r>
        <w:rPr>
          <w:rFonts w:hint="eastAsia" w:ascii="宋体" w:hAnsi="宋体" w:eastAsia="宋体"/>
          <w:b w:val="0"/>
          <w:bCs w:val="0"/>
          <w:sz w:val="24"/>
          <w:highlight w:val="none"/>
          <w:lang w:val="en-US" w:eastAsia="zh-CN"/>
        </w:rPr>
        <w:t>技术</w:t>
      </w:r>
      <w:r>
        <w:rPr>
          <w:rFonts w:hint="eastAsia" w:hAnsi="宋体"/>
          <w:b w:val="0"/>
          <w:bCs w:val="0"/>
          <w:sz w:val="24"/>
          <w:highlight w:val="none"/>
          <w:lang w:val="en-US" w:eastAsia="zh-CN"/>
        </w:rPr>
        <w:t>参数</w:t>
      </w:r>
      <w:r>
        <w:rPr>
          <w:rFonts w:hint="eastAsia" w:ascii="宋体" w:hAnsi="宋体" w:eastAsia="宋体"/>
          <w:b w:val="0"/>
          <w:bCs w:val="0"/>
          <w:sz w:val="24"/>
          <w:highlight w:val="none"/>
          <w:lang w:val="en-US" w:eastAsia="zh-CN"/>
        </w:rPr>
        <w:t>要求：</w:t>
      </w:r>
    </w:p>
    <w:p>
      <w:pPr>
        <w:pStyle w:val="2"/>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1、LED显示屏参数：</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1.屏幕面积:5.76 m（W）×4.64 m(H)= 26.73㎡</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2.像素点间距：4mm；</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3.模组尺寸：320mm×160mm；</w:t>
      </w:r>
    </w:p>
    <w:p>
      <w:pPr>
        <w:pStyle w:val="2"/>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4.像素密度：62500点/平米；需采用三合一封装技术。</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5.对比度：9000:1；</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6.最大亮度：≥6000cd/㎡；</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7.刷新率：1920Hz；</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8.发光点中心距偏差：≤0.8%；</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9.色温：1000K至20000K可调；</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11.水平视角≥150°，垂直视角≥140°；</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13.▲寿命典型值：≥120000h；</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14.▲静电电压衰减：≤2s；</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15.LED显示屏画面延迟≤500ns；</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16.平均失效间隔工作时间（MTBF）：≥100000h；</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17.▲正面IP防护等级：IP66；</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18.LED显示屏能效：符合GB21520-2015，能效一级；</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19.▲供电方式：支持电源均流DC4.5V~DC5V及电源双输出电压DC2.8V/DC3.8V；</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20.▲灯珠推力测试：随机选择LED灯珠，在灯珠四侧以水平夹角45°的方向施加推力12N，灯珠未破碎或脱落；</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21.整机阻燃测试，依据标准GB/T 2408-2008，GB/T 5169.16-2008，GB/T 4943.1-2011，UL94-2016进行测试符合V-1级标准；</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22.电源平均效率：按GB 20943-2013附录A的规定进行，在室温下，LED显示屏供电电源的功率因数不小于95%，转换效率不小于86%；</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24.▲具备防碰撞焊盘技术LED，支持模组级的 LED灯防撞灯保护装置,符合GB/T 20138-2006/IEC62262:2002要求；</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25.可实现远程监督控制，对可能发生的潜在故障记录日志,并向操作员发出警报信号；</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26.▲光生物安全：光生物安全及蓝光危害评估符合无危害类要求；</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27.支持监控自检功能，可实现LED单点检测、通讯检测、温度检测，电源检测，温度监控等功能；</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28.▲具备毛毛虫现象消除功能，显示画面无单列或单行像素失控现象且系统具备掉电储存功能。支持不关电热拔抢修功能。</w:t>
      </w:r>
    </w:p>
    <w:p>
      <w:pPr>
        <w:pStyle w:val="2"/>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以上技术参数，须提供第三方权威机构出具的检测报告复印件并加盖乙方公章。（备注：技术参数可优于但不可低于此技术标准）</w:t>
      </w:r>
    </w:p>
    <w:p>
      <w:pPr>
        <w:pStyle w:val="2"/>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2、</w:t>
      </w:r>
      <w:r>
        <w:rPr>
          <w:rFonts w:hint="default" w:asciiTheme="minorEastAsia" w:hAnsiTheme="minorEastAsia"/>
          <w:b/>
          <w:bCs/>
          <w:sz w:val="24"/>
          <w:szCs w:val="24"/>
          <w:lang w:val="en-US" w:eastAsia="zh-CN"/>
        </w:rPr>
        <w:t>控制</w:t>
      </w:r>
      <w:r>
        <w:rPr>
          <w:rFonts w:hint="eastAsia" w:asciiTheme="minorEastAsia" w:hAnsiTheme="minorEastAsia"/>
          <w:b/>
          <w:bCs/>
          <w:sz w:val="24"/>
          <w:szCs w:val="24"/>
          <w:lang w:val="en-US" w:eastAsia="zh-CN"/>
        </w:rPr>
        <w:t>系统</w:t>
      </w:r>
    </w:p>
    <w:p>
      <w:pPr>
        <w:pStyle w:val="2"/>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2.1、支持带载 256×256 像素</w:t>
      </w:r>
    </w:p>
    <w:p>
      <w:pPr>
        <w:pStyle w:val="2"/>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2.2、支持8 个标准的 HUB75 接口，具有高稳定性和高可靠性，适用于多种环境的搭建。 </w:t>
      </w:r>
    </w:p>
    <w:p>
      <w:pPr>
        <w:pStyle w:val="2"/>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2.3、支持逐点亮色度校正，配合调试软件和校正软件，对每个灯点的亮度和色度进行校正。  </w:t>
      </w:r>
    </w:p>
    <w:p>
      <w:pPr>
        <w:pStyle w:val="2"/>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2.4、支持快速亮暗线调节，在调试软件上进行快速亮暗线调节，用来消除灯板与灯板、箱体与箱体之间的缝隙。</w:t>
      </w:r>
    </w:p>
    <w:p>
      <w:pPr>
        <w:pStyle w:val="2"/>
        <w:ind w:left="0" w:leftChars="0"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(备注：供应商提供产品参数可高于但不可低于上述产品参数.)</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baseline"/>
        <w:rPr>
          <w:rFonts w:hint="eastAsia" w:hAnsi="宋体" w:cs="宋体"/>
          <w:color w:val="000000"/>
          <w:kern w:val="2"/>
          <w:sz w:val="24"/>
          <w:szCs w:val="22"/>
          <w:highlight w:val="none"/>
          <w:lang w:val="en-US" w:eastAsia="zh-CN" w:bidi="ar-SA"/>
        </w:rPr>
      </w:pPr>
      <w:r>
        <w:rPr>
          <w:rFonts w:hint="eastAsia" w:ascii="宋体" w:hAnsi="宋体" w:eastAsia="宋体" w:cs="宋体"/>
          <w:b/>
          <w:bCs/>
          <w:color w:val="000000"/>
          <w:kern w:val="2"/>
          <w:sz w:val="24"/>
          <w:szCs w:val="22"/>
          <w:highlight w:val="none"/>
          <w:lang w:val="en-US" w:eastAsia="zh-CN" w:bidi="ar-SA"/>
        </w:rPr>
        <w:t>2.</w:t>
      </w:r>
      <w:r>
        <w:rPr>
          <w:rFonts w:hint="eastAsia" w:hAnsi="宋体" w:cs="宋体"/>
          <w:b/>
          <w:bCs/>
          <w:color w:val="000000"/>
          <w:kern w:val="2"/>
          <w:sz w:val="24"/>
          <w:szCs w:val="22"/>
          <w:highlight w:val="none"/>
          <w:lang w:val="en-US" w:eastAsia="zh-CN" w:bidi="ar-SA"/>
        </w:rPr>
        <w:t>1</w:t>
      </w:r>
      <w:r>
        <w:rPr>
          <w:rFonts w:hint="eastAsia" w:ascii="宋体" w:hAnsi="宋体" w:eastAsia="宋体" w:cs="宋体"/>
          <w:b/>
          <w:bCs/>
          <w:color w:val="000000"/>
          <w:kern w:val="2"/>
          <w:sz w:val="24"/>
          <w:szCs w:val="22"/>
          <w:highlight w:val="none"/>
          <w:lang w:val="en-US" w:eastAsia="zh-CN" w:bidi="ar-SA"/>
        </w:rPr>
        <w:t xml:space="preserve">.4 </w:t>
      </w:r>
      <w:r>
        <w:rPr>
          <w:rFonts w:hint="eastAsia" w:hAnsi="宋体" w:cs="宋体"/>
          <w:color w:val="000000"/>
          <w:kern w:val="2"/>
          <w:sz w:val="24"/>
          <w:szCs w:val="22"/>
          <w:highlight w:val="none"/>
          <w:lang w:val="en-US" w:eastAsia="zh-CN" w:bidi="ar-SA"/>
        </w:rPr>
        <w:t>供应商应按采购数量免费配备安装所需的辅材、配件。</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baseline"/>
        <w:rPr>
          <w:rFonts w:hint="default" w:ascii="宋体" w:hAnsi="宋体" w:eastAsia="宋体" w:cs="宋体"/>
          <w:color w:val="000000"/>
          <w:kern w:val="2"/>
          <w:sz w:val="24"/>
          <w:szCs w:val="22"/>
          <w:highlight w:val="none"/>
          <w:lang w:val="en-US" w:eastAsia="zh-CN" w:bidi="ar-SA"/>
        </w:rPr>
      </w:pPr>
      <w:r>
        <w:rPr>
          <w:rFonts w:hint="eastAsia" w:hAnsi="宋体" w:cs="宋体"/>
          <w:b/>
          <w:bCs/>
          <w:color w:val="000000"/>
          <w:kern w:val="2"/>
          <w:sz w:val="24"/>
          <w:szCs w:val="22"/>
          <w:highlight w:val="none"/>
          <w:lang w:val="en-US" w:eastAsia="zh-CN" w:bidi="ar-SA"/>
        </w:rPr>
        <w:t xml:space="preserve">2.1.5 </w:t>
      </w:r>
      <w:r>
        <w:rPr>
          <w:rFonts w:hint="eastAsia" w:ascii="宋体" w:hAnsi="宋体" w:eastAsia="宋体" w:cs="宋体"/>
          <w:color w:val="000000"/>
          <w:kern w:val="2"/>
          <w:sz w:val="24"/>
          <w:szCs w:val="22"/>
          <w:highlight w:val="none"/>
          <w:lang w:val="en-US" w:eastAsia="zh-CN" w:bidi="ar-SA"/>
        </w:rPr>
        <w:t>质保期从验收合格签字之日算起，</w:t>
      </w:r>
      <w:r>
        <w:rPr>
          <w:rFonts w:hint="eastAsia" w:hAnsi="宋体" w:cs="宋体"/>
          <w:color w:val="000000"/>
          <w:kern w:val="2"/>
          <w:sz w:val="24"/>
          <w:szCs w:val="22"/>
          <w:highlight w:val="none"/>
          <w:lang w:val="en-US" w:eastAsia="zh-CN" w:bidi="ar-SA"/>
        </w:rPr>
        <w:t>期限为5年</w:t>
      </w:r>
      <w:r>
        <w:rPr>
          <w:rFonts w:hint="eastAsia" w:ascii="宋体" w:hAnsi="宋体" w:eastAsia="宋体" w:cs="宋体"/>
          <w:color w:val="000000"/>
          <w:kern w:val="2"/>
          <w:sz w:val="24"/>
          <w:szCs w:val="22"/>
          <w:highlight w:val="none"/>
          <w:lang w:val="en-US" w:eastAsia="zh-CN" w:bidi="ar-SA"/>
        </w:rPr>
        <w:t>。</w:t>
      </w:r>
    </w:p>
    <w:p>
      <w:pPr>
        <w:widowControl/>
        <w:autoSpaceDE w:val="0"/>
        <w:adjustRightInd/>
        <w:snapToGrid/>
        <w:spacing w:after="0" w:line="360" w:lineRule="auto"/>
        <w:jc w:val="lef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交货期：</w:t>
      </w:r>
      <w:r>
        <w:rPr>
          <w:rFonts w:hint="eastAsia" w:ascii="宋体" w:hAnsi="宋体" w:eastAsia="宋体" w:cs="宋体"/>
          <w:color w:val="000000"/>
          <w:sz w:val="24"/>
          <w:szCs w:val="24"/>
          <w:highlight w:val="none"/>
          <w:lang w:eastAsia="zh-CN"/>
        </w:rPr>
        <w:t>合同签订后</w:t>
      </w:r>
      <w:r>
        <w:rPr>
          <w:rFonts w:hint="eastAsia" w:ascii="宋体" w:hAnsi="宋体" w:cs="宋体"/>
          <w:b/>
          <w:bCs/>
          <w:color w:val="000000"/>
          <w:sz w:val="24"/>
          <w:szCs w:val="24"/>
          <w:highlight w:val="none"/>
          <w:u w:val="single"/>
          <w:lang w:val="en-US" w:eastAsia="zh-CN"/>
        </w:rPr>
        <w:t>7</w:t>
      </w:r>
      <w:r>
        <w:rPr>
          <w:rFonts w:hint="eastAsia" w:ascii="宋体" w:hAnsi="宋体"/>
          <w:b/>
          <w:bCs/>
          <w:sz w:val="24"/>
          <w:u w:val="none"/>
          <w:lang w:val="en-US" w:eastAsia="zh-CN"/>
        </w:rPr>
        <w:t>个日历日</w:t>
      </w:r>
      <w:r>
        <w:rPr>
          <w:rFonts w:hint="eastAsia" w:ascii="宋体" w:hAnsi="宋体"/>
          <w:b w:val="0"/>
          <w:bCs w:val="0"/>
          <w:sz w:val="24"/>
          <w:u w:val="none"/>
          <w:lang w:val="en-US" w:eastAsia="zh-CN"/>
        </w:rPr>
        <w:t>内完成交货安装</w:t>
      </w:r>
      <w:r>
        <w:rPr>
          <w:rFonts w:hint="eastAsia" w:ascii="宋体" w:hAnsi="宋体"/>
          <w:sz w:val="24"/>
          <w:u w:val="none"/>
          <w:lang w:val="en-US" w:eastAsia="zh-CN"/>
        </w:rPr>
        <w:t>。</w:t>
      </w:r>
    </w:p>
    <w:p>
      <w:pPr>
        <w:widowControl w:val="0"/>
        <w:adjustRightInd w:val="0"/>
        <w:snapToGrid w:val="0"/>
        <w:spacing w:after="0" w:line="360" w:lineRule="auto"/>
        <w:jc w:val="left"/>
        <w:rPr>
          <w:rFonts w:hint="eastAsia"/>
        </w:rPr>
      </w:pPr>
      <w:r>
        <w:rPr>
          <w:rFonts w:hint="eastAsia" w:ascii="宋体" w:hAnsi="宋体" w:eastAsia="宋体" w:cs="宋体"/>
          <w:b/>
          <w:bCs/>
          <w:color w:val="000000"/>
          <w:sz w:val="24"/>
          <w:szCs w:val="24"/>
          <w:highlight w:val="none"/>
        </w:rPr>
        <w:t>2.</w:t>
      </w: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交货地点及方式：</w:t>
      </w:r>
      <w:r>
        <w:rPr>
          <w:rFonts w:hint="eastAsia" w:ascii="宋体" w:hAnsi="宋体" w:eastAsia="宋体" w:cs="宋体"/>
          <w:color w:val="000000"/>
          <w:sz w:val="24"/>
          <w:szCs w:val="24"/>
          <w:highlight w:val="none"/>
          <w:u w:val="none"/>
          <w:lang w:eastAsia="zh-CN"/>
        </w:rPr>
        <w:t>由</w:t>
      </w:r>
      <w:r>
        <w:rPr>
          <w:rFonts w:hint="eastAsia" w:ascii="宋体" w:hAnsi="宋体" w:cs="宋体"/>
          <w:color w:val="000000"/>
          <w:sz w:val="24"/>
          <w:szCs w:val="24"/>
          <w:highlight w:val="none"/>
          <w:u w:val="none"/>
          <w:lang w:eastAsia="zh-CN"/>
        </w:rPr>
        <w:t>供应商</w:t>
      </w:r>
      <w:r>
        <w:rPr>
          <w:rFonts w:hint="eastAsia" w:ascii="宋体" w:hAnsi="宋体" w:eastAsia="宋体" w:cs="宋体"/>
          <w:color w:val="000000"/>
          <w:sz w:val="24"/>
          <w:szCs w:val="24"/>
          <w:highlight w:val="none"/>
          <w:u w:val="none"/>
          <w:lang w:eastAsia="zh-CN"/>
        </w:rPr>
        <w:t>负责运输至</w:t>
      </w:r>
      <w:r>
        <w:rPr>
          <w:rFonts w:hint="eastAsia" w:ascii="宋体" w:hAnsi="宋体"/>
          <w:sz w:val="24"/>
          <w:u w:val="single"/>
          <w:lang w:eastAsia="zh-CN"/>
        </w:rPr>
        <w:t>岳阳城陵矶新港有限公司</w:t>
      </w:r>
      <w:r>
        <w:rPr>
          <w:rFonts w:hint="eastAsia" w:ascii="宋体" w:hAnsi="宋体"/>
          <w:sz w:val="24"/>
          <w:u w:val="none"/>
          <w:lang w:eastAsia="zh-CN"/>
        </w:rPr>
        <w:t>交货</w:t>
      </w:r>
      <w:r>
        <w:rPr>
          <w:rFonts w:hint="eastAsia" w:ascii="宋体" w:hAnsi="宋体"/>
          <w:sz w:val="24"/>
          <w:u w:val="none"/>
          <w:lang w:val="en-US" w:eastAsia="zh-CN"/>
        </w:rPr>
        <w:t>安装</w:t>
      </w:r>
      <w:r>
        <w:rPr>
          <w:rFonts w:hint="eastAsia" w:ascii="宋体" w:hAnsi="宋体"/>
          <w:sz w:val="24"/>
          <w:u w:val="none"/>
          <w:lang w:eastAsia="zh-CN"/>
        </w:rPr>
        <w:t>，运费由供应商承担。</w:t>
      </w:r>
    </w:p>
    <w:p>
      <w:pPr>
        <w:pStyle w:val="6"/>
        <w:keepNext/>
        <w:keepLines/>
        <w:pageBreakBefore w:val="0"/>
        <w:widowControl/>
        <w:kinsoku/>
        <w:wordWrap/>
        <w:overflowPunct/>
        <w:topLinePunct w:val="0"/>
        <w:autoSpaceDE/>
        <w:autoSpaceDN/>
        <w:bidi w:val="0"/>
        <w:adjustRightInd/>
        <w:snapToGrid/>
        <w:spacing w:after="280" w:line="360" w:lineRule="auto"/>
        <w:jc w:val="both"/>
        <w:textAlignment w:val="auto"/>
        <w:rPr>
          <w:rFonts w:ascii="Arial" w:hAnsi="Arial"/>
        </w:rPr>
      </w:pPr>
      <w:r>
        <w:rPr>
          <w:rFonts w:hint="eastAsia"/>
        </w:rPr>
        <w:t xml:space="preserve">3 </w:t>
      </w:r>
      <w:r>
        <w:rPr>
          <w:rFonts w:hint="eastAsia" w:ascii="黑体" w:hAnsi="黑体"/>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（3）被采购人或采购人上级单位纳入黑名单</w:t>
      </w:r>
      <w:r>
        <w:rPr>
          <w:rFonts w:hint="eastAsia" w:ascii="宋体" w:hAnsi="宋体"/>
          <w:sz w:val="24"/>
          <w:highlight w:val="none"/>
          <w:lang w:eastAsia="zh-CN"/>
        </w:rPr>
        <w:t>；</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pBdr>
          <w:bottom w:val="none" w:color="auto" w:sz="0" w:space="0"/>
        </w:pBdr>
        <w:autoSpaceDE w:val="0"/>
        <w:spacing w:line="360" w:lineRule="auto"/>
        <w:ind w:firstLine="240" w:firstLineChars="100"/>
        <w:jc w:val="left"/>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17"/>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44" w:type="dxa"/>
            <w:vAlign w:val="center"/>
          </w:tcPr>
          <w:p>
            <w:pPr>
              <w:widowControl w:val="0"/>
              <w:spacing w:line="360" w:lineRule="auto"/>
              <w:jc w:val="center"/>
              <w:rPr>
                <w:rFonts w:ascii="宋体" w:hAnsi="宋体"/>
                <w:sz w:val="24"/>
              </w:rPr>
            </w:pPr>
            <w:r>
              <w:rPr>
                <w:rFonts w:hint="eastAsia" w:ascii="宋体" w:hAnsi="宋体"/>
                <w:sz w:val="24"/>
              </w:rPr>
              <w:t>资格条件</w:t>
            </w:r>
          </w:p>
        </w:tc>
        <w:tc>
          <w:tcPr>
            <w:tcW w:w="1890" w:type="dxa"/>
            <w:vAlign w:val="center"/>
          </w:tcPr>
          <w:p>
            <w:pPr>
              <w:widowControl w:val="0"/>
              <w:spacing w:line="360" w:lineRule="auto"/>
              <w:jc w:val="center"/>
              <w:rPr>
                <w:rFonts w:ascii="宋体" w:hAnsi="宋体"/>
                <w:sz w:val="24"/>
              </w:rPr>
            </w:pPr>
            <w:r>
              <w:rPr>
                <w:rFonts w:hint="eastAsia" w:ascii="宋体" w:hAnsi="宋体"/>
                <w:sz w:val="24"/>
              </w:rPr>
              <w:t>对供应商要求</w:t>
            </w:r>
          </w:p>
        </w:tc>
        <w:tc>
          <w:tcPr>
            <w:tcW w:w="5164" w:type="dxa"/>
            <w:vAlign w:val="center"/>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bCs/>
                <w:color w:val="000000" w:themeColor="text1"/>
                <w:u w:val="single"/>
                <w14:textFill>
                  <w14:solidFill>
                    <w14:schemeClr w14:val="tx1"/>
                  </w14:solidFill>
                </w14:textFill>
              </w:rPr>
              <w:sym w:font="Wingdings 2" w:char="0052"/>
            </w:r>
            <w:r>
              <w:rPr>
                <w:rStyle w:val="19"/>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19"/>
                <w:rFonts w:hint="eastAsia"/>
                <w:b/>
                <w:bCs/>
                <w:color w:val="000000" w:themeColor="text1"/>
                <w:highlight w:val="none"/>
                <w:u w:val="single"/>
                <w14:textFill>
                  <w14:solidFill>
                    <w14:schemeClr w14:val="tx1"/>
                  </w14:solidFill>
                </w14:textFill>
              </w:rPr>
              <w:sym w:font="Wingdings 2" w:char="0052"/>
            </w:r>
            <w:r>
              <w:rPr>
                <w:rStyle w:val="19"/>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yellow"/>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适用,见采购文件供应商须知前附表3.5（</w:t>
            </w:r>
            <w:r>
              <w:rPr>
                <w:rStyle w:val="19"/>
                <w:rFonts w:hint="eastAsia"/>
                <w:b w:val="0"/>
                <w:bCs w:val="0"/>
                <w:color w:val="000000" w:themeColor="text1"/>
                <w:u w:val="single"/>
                <w:lang w:val="en-US" w:eastAsia="zh-CN"/>
                <w14:textFill>
                  <w14:solidFill>
                    <w14:schemeClr w14:val="tx1"/>
                  </w14:solidFill>
                </w14:textFill>
              </w:rPr>
              <w:t>2</w:t>
            </w:r>
            <w:r>
              <w:rPr>
                <w:rStyle w:val="19"/>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19"/>
                <w:rFonts w:hint="eastAsia"/>
                <w:b w:val="0"/>
                <w:bCs w:val="0"/>
                <w:color w:val="000000" w:themeColor="text1"/>
                <w:highlight w:val="none"/>
                <w:u w:val="single"/>
                <w14:textFill>
                  <w14:solidFill>
                    <w14:schemeClr w14:val="tx1"/>
                  </w14:solidFill>
                </w14:textFill>
              </w:rPr>
              <w:sym w:font="Wingdings 2" w:char="0052"/>
            </w:r>
            <w:r>
              <w:rPr>
                <w:rStyle w:val="19"/>
                <w:rFonts w:hint="eastAsia"/>
                <w:b w:val="0"/>
                <w:bCs w:val="0"/>
                <w:color w:val="000000" w:themeColor="text1"/>
                <w:highlight w:val="none"/>
                <w:u w:val="single"/>
                <w:lang w:val="en-US" w:eastAsia="zh-CN"/>
                <w14:textFill>
                  <w14:solidFill>
                    <w14:schemeClr w14:val="tx1"/>
                  </w14:solidFill>
                </w14:textFill>
              </w:rPr>
              <w:t>不</w:t>
            </w:r>
            <w:r>
              <w:rPr>
                <w:rStyle w:val="19"/>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hint="eastAsia" w:ascii="宋体" w:hAnsi="宋体" w:eastAsia="宋体"/>
                <w:b w:val="0"/>
                <w:bCs w:val="0"/>
                <w:color w:val="000000" w:themeColor="text1"/>
                <w:sz w:val="24"/>
                <w:highlight w:val="none"/>
                <w:lang w:val="en-US" w:eastAsia="zh-CN"/>
                <w14:textFill>
                  <w14:solidFill>
                    <w14:schemeClr w14:val="tx1"/>
                  </w14:solidFill>
                </w14:textFill>
              </w:rPr>
            </w:pPr>
            <w:r>
              <w:rPr>
                <w:rStyle w:val="19"/>
                <w:rFonts w:hint="eastAsia"/>
                <w:b w:val="0"/>
                <w:bCs w:val="0"/>
                <w:color w:val="000000" w:themeColor="text1"/>
                <w:highlight w:val="none"/>
                <w:u w:val="single"/>
                <w14:textFill>
                  <w14:solidFill>
                    <w14:schemeClr w14:val="tx1"/>
                  </w14:solidFill>
                </w14:textFill>
              </w:rPr>
              <w:sym w:font="Wingdings 2" w:char="0052"/>
            </w:r>
            <w:r>
              <w:rPr>
                <w:rStyle w:val="19"/>
                <w:rFonts w:hint="eastAsia"/>
                <w:b w:val="0"/>
                <w:bCs w:val="0"/>
                <w:color w:val="000000" w:themeColor="text1"/>
                <w:highlight w:val="none"/>
                <w:u w:val="single"/>
                <w:lang w:val="en-US" w:eastAsia="zh-CN"/>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bCs/>
                <w:color w:val="000000" w:themeColor="text1"/>
                <w:u w:val="single"/>
                <w14:textFill>
                  <w14:solidFill>
                    <w14:schemeClr w14:val="tx1"/>
                  </w14:solidFill>
                </w14:textFill>
              </w:rPr>
              <w:sym w:font="Wingdings 2" w:char="0052"/>
            </w:r>
            <w:r>
              <w:rPr>
                <w:rStyle w:val="19"/>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适用,见采购文件供应商须知前附表3.5（</w:t>
            </w:r>
            <w:r>
              <w:rPr>
                <w:rStyle w:val="19"/>
                <w:rFonts w:hint="eastAsia"/>
                <w:b w:val="0"/>
                <w:bCs w:val="0"/>
                <w:color w:val="000000" w:themeColor="text1"/>
                <w:u w:val="single"/>
                <w:lang w:val="en-US" w:eastAsia="zh-CN"/>
                <w14:textFill>
                  <w14:solidFill>
                    <w14:schemeClr w14:val="tx1"/>
                  </w14:solidFill>
                </w14:textFill>
              </w:rPr>
              <w:t>4</w:t>
            </w:r>
            <w:r>
              <w:rPr>
                <w:rStyle w:val="19"/>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bCs/>
                <w:color w:val="000000" w:themeColor="text1"/>
                <w:u w:val="single"/>
                <w14:textFill>
                  <w14:solidFill>
                    <w14:schemeClr w14:val="tx1"/>
                  </w14:solidFill>
                </w14:textFill>
              </w:rPr>
              <w:sym w:font="Wingdings 2" w:char="0052"/>
            </w:r>
            <w:r>
              <w:rPr>
                <w:rStyle w:val="19"/>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19"/>
                <w:rFonts w:hint="eastAsia"/>
                <w:b w:val="0"/>
                <w:bCs w:val="0"/>
                <w:color w:val="000000" w:themeColor="text1"/>
                <w:u w:val="single"/>
                <w14:textFill>
                  <w14:solidFill>
                    <w14:schemeClr w14:val="tx1"/>
                  </w14:solidFill>
                </w14:textFill>
              </w:rPr>
              <w:sym w:font="Wingdings 2" w:char="0052"/>
            </w:r>
            <w:r>
              <w:rPr>
                <w:rStyle w:val="19"/>
                <w:rFonts w:hint="eastAsia"/>
                <w:b w:val="0"/>
                <w:bCs w:val="0"/>
                <w:color w:val="000000" w:themeColor="text1"/>
                <w:u w:val="single"/>
                <w14:textFill>
                  <w14:solidFill>
                    <w14:schemeClr w14:val="tx1"/>
                  </w14:solidFill>
                </w14:textFill>
              </w:rPr>
              <w:t>适用,见采购文件供应商须知前附表3.5（8）。</w:t>
            </w:r>
          </w:p>
        </w:tc>
      </w:tr>
    </w:tbl>
    <w:p>
      <w:pPr>
        <w:pStyle w:val="6"/>
        <w:spacing w:line="360" w:lineRule="auto"/>
        <w:jc w:val="both"/>
        <w:rPr>
          <w:rFonts w:ascii="Arial" w:hAnsi="Arial"/>
        </w:rPr>
      </w:pPr>
      <w:r>
        <w:rPr>
          <w:rFonts w:hint="eastAsia"/>
        </w:rPr>
        <w:t xml:space="preserve">4 </w:t>
      </w:r>
      <w:r>
        <w:rPr>
          <w:rFonts w:hint="eastAsia" w:ascii="黑体" w:hAnsi="黑体"/>
        </w:rPr>
        <w:t>响应保证金</w:t>
      </w:r>
    </w:p>
    <w:tbl>
      <w:tblPr>
        <w:tblStyle w:val="1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35"/>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27" w:type="dxa"/>
            <w:vAlign w:val="center"/>
          </w:tcPr>
          <w:p>
            <w:pPr>
              <w:widowControl w:val="0"/>
              <w:autoSpaceDE w:val="0"/>
              <w:spacing w:line="360" w:lineRule="auto"/>
              <w:jc w:val="center"/>
              <w:rPr>
                <w:rFonts w:ascii="宋体" w:hAnsi="宋体"/>
                <w:sz w:val="24"/>
              </w:rPr>
            </w:pPr>
            <w:r>
              <w:rPr>
                <w:rFonts w:hint="eastAsia" w:ascii="宋体" w:hAnsi="宋体"/>
                <w:sz w:val="24"/>
              </w:rPr>
              <w:t>响应保证金的递交</w:t>
            </w:r>
          </w:p>
        </w:tc>
        <w:tc>
          <w:tcPr>
            <w:tcW w:w="3435" w:type="dxa"/>
            <w:vAlign w:val="center"/>
          </w:tcPr>
          <w:p>
            <w:pPr>
              <w:widowControl w:val="0"/>
              <w:autoSpaceDE w:val="0"/>
              <w:spacing w:line="360" w:lineRule="auto"/>
              <w:jc w:val="center"/>
              <w:rPr>
                <w:rFonts w:ascii="黑体" w:hAnsi="黑体"/>
              </w:rPr>
            </w:pPr>
            <w:r>
              <w:rPr>
                <w:rFonts w:hint="eastAsia" w:ascii="宋体" w:hAnsi="宋体"/>
                <w:sz w:val="24"/>
              </w:rPr>
              <w:t>不退还响应保证金的其他情形</w:t>
            </w:r>
          </w:p>
        </w:tc>
        <w:tc>
          <w:tcPr>
            <w:tcW w:w="3116" w:type="dxa"/>
            <w:vAlign w:val="center"/>
          </w:tcPr>
          <w:p>
            <w:pPr>
              <w:widowControl w:val="0"/>
              <w:autoSpaceDE w:val="0"/>
              <w:spacing w:line="360" w:lineRule="auto"/>
              <w:jc w:val="center"/>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27" w:type="dxa"/>
            <w:vAlign w:val="center"/>
          </w:tcPr>
          <w:p>
            <w:pPr>
              <w:widowControl w:val="0"/>
              <w:autoSpaceDE w:val="0"/>
              <w:spacing w:line="360" w:lineRule="auto"/>
              <w:jc w:val="center"/>
              <w:rPr>
                <w:rFonts w:ascii="宋体" w:hAnsi="宋体"/>
                <w:sz w:val="24"/>
              </w:rPr>
            </w:pPr>
            <w:r>
              <w:rPr>
                <w:rStyle w:val="19"/>
                <w:rFonts w:hint="eastAsia"/>
              </w:rPr>
              <w:t>☑</w:t>
            </w:r>
            <w:r>
              <w:rPr>
                <w:rFonts w:hint="eastAsia" w:ascii="宋体" w:hAnsi="宋体"/>
                <w:sz w:val="24"/>
              </w:rPr>
              <w:t>不要求递交</w:t>
            </w:r>
          </w:p>
        </w:tc>
        <w:tc>
          <w:tcPr>
            <w:tcW w:w="3435" w:type="dxa"/>
            <w:vAlign w:val="center"/>
          </w:tcPr>
          <w:p>
            <w:pPr>
              <w:widowControl w:val="0"/>
              <w:autoSpaceDE w:val="0"/>
              <w:spacing w:line="360" w:lineRule="auto"/>
              <w:jc w:val="center"/>
              <w:rPr>
                <w:rFonts w:hint="eastAsia" w:ascii="黑体" w:hAnsi="黑体"/>
              </w:rPr>
            </w:pPr>
            <w:r>
              <w:rPr>
                <w:rStyle w:val="19"/>
                <w:rFonts w:hint="eastAsia"/>
              </w:rPr>
              <w:t>☑</w:t>
            </w:r>
            <w:r>
              <w:rPr>
                <w:rFonts w:hint="eastAsia" w:ascii="宋体" w:hAnsi="宋体"/>
                <w:sz w:val="24"/>
                <w:lang w:eastAsia="zh-CN"/>
              </w:rPr>
              <w:t>不适用</w:t>
            </w:r>
          </w:p>
        </w:tc>
        <w:tc>
          <w:tcPr>
            <w:tcW w:w="3116" w:type="dxa"/>
            <w:vAlign w:val="center"/>
          </w:tcPr>
          <w:p>
            <w:pPr>
              <w:widowControl w:val="0"/>
              <w:autoSpaceDE w:val="0"/>
              <w:spacing w:line="360" w:lineRule="auto"/>
              <w:jc w:val="center"/>
              <w:rPr>
                <w:rFonts w:hint="eastAsia" w:ascii="黑体" w:hAnsi="黑体"/>
              </w:rPr>
            </w:pPr>
            <w:r>
              <w:rPr>
                <w:rStyle w:val="19"/>
                <w:rFonts w:hint="eastAsia"/>
              </w:rPr>
              <w:t>☑</w:t>
            </w:r>
            <w:r>
              <w:rPr>
                <w:rFonts w:hint="eastAsia" w:ascii="宋体" w:hAnsi="宋体"/>
                <w:sz w:val="24"/>
              </w:rPr>
              <w:t>不适用</w:t>
            </w:r>
          </w:p>
        </w:tc>
      </w:tr>
    </w:tbl>
    <w:p>
      <w:pPr>
        <w:pStyle w:val="6"/>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19"/>
          <w:rFonts w:hint="default" w:eastAsia="宋体"/>
          <w:lang w:val="en-US" w:eastAsia="zh-CN"/>
        </w:rPr>
      </w:pPr>
      <w:r>
        <w:rPr>
          <w:rFonts w:hint="eastAsia" w:ascii="宋体" w:hAnsi="宋体"/>
          <w:b/>
          <w:bCs/>
          <w:sz w:val="24"/>
        </w:rPr>
        <w:t xml:space="preserve">5.1 </w:t>
      </w:r>
      <w:r>
        <w:rPr>
          <w:rFonts w:hint="eastAsia" w:ascii="宋体" w:hAnsi="宋体"/>
          <w:b/>
          <w:bCs/>
          <w:sz w:val="24"/>
          <w:lang w:val="en-US" w:eastAsia="zh-CN"/>
        </w:rPr>
        <w:t>综合评分法</w:t>
      </w:r>
    </w:p>
    <w:p>
      <w:pPr>
        <w:autoSpaceDE w:val="0"/>
        <w:spacing w:line="360" w:lineRule="auto"/>
        <w:jc w:val="both"/>
        <w:rPr>
          <w:rFonts w:ascii="宋体" w:hAnsi="宋体"/>
          <w:color w:val="000000" w:themeColor="text1"/>
          <w:sz w:val="24"/>
          <w14:textFill>
            <w14:solidFill>
              <w14:schemeClr w14:val="tx1"/>
            </w14:solidFill>
          </w14:textFill>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6"/>
        <w:spacing w:line="360" w:lineRule="auto"/>
        <w:jc w:val="both"/>
        <w:rPr>
          <w:rFonts w:ascii="黑体" w:hAnsi="黑体"/>
        </w:rPr>
      </w:pPr>
      <w:r>
        <w:rPr>
          <w:rFonts w:hint="eastAsia"/>
        </w:rPr>
        <w:t>6</w:t>
      </w:r>
      <w:r>
        <w:rPr>
          <w:rFonts w:hint="eastAsia" w:ascii="黑体" w:hAnsi="黑体"/>
        </w:rPr>
        <w:t>采购文件获取</w:t>
      </w:r>
    </w:p>
    <w:p>
      <w:pPr>
        <w:pageBreakBefore w:val="0"/>
        <w:kinsoku/>
        <w:wordWrap/>
        <w:overflowPunct/>
        <w:topLinePunct w:val="0"/>
        <w:autoSpaceDE w:val="0"/>
        <w:autoSpaceDN/>
        <w:bidi w:val="0"/>
        <w:spacing w:line="360" w:lineRule="auto"/>
        <w:ind w:left="0"/>
        <w:jc w:val="left"/>
        <w:rPr>
          <w:rFonts w:ascii="宋体" w:hAnsi="宋体"/>
          <w:sz w:val="24"/>
          <w:highlight w:val="none"/>
        </w:rPr>
      </w:pPr>
      <w:r>
        <w:rPr>
          <w:rFonts w:hint="eastAsia" w:ascii="宋体" w:hAnsi="宋体"/>
          <w:b/>
          <w:bCs/>
          <w:sz w:val="24"/>
        </w:rPr>
        <w:t xml:space="preserve">6.1 </w:t>
      </w:r>
      <w:r>
        <w:rPr>
          <w:rFonts w:hint="eastAsia" w:ascii="宋体" w:hAnsi="宋体"/>
          <w:sz w:val="24"/>
          <w:highlight w:val="none"/>
        </w:rPr>
        <w:t>供应商应当于</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9</w:t>
      </w:r>
      <w:r>
        <w:rPr>
          <w:rFonts w:hint="eastAsia" w:ascii="宋体" w:hAnsi="宋体"/>
          <w:sz w:val="24"/>
          <w:highlight w:val="none"/>
          <w:u w:val="single"/>
        </w:rPr>
        <w:t>月</w:t>
      </w:r>
      <w:r>
        <w:rPr>
          <w:rFonts w:hint="eastAsia" w:ascii="宋体" w:hAnsi="宋体"/>
          <w:sz w:val="24"/>
          <w:highlight w:val="none"/>
          <w:u w:val="single"/>
          <w:lang w:val="en-US" w:eastAsia="zh-CN"/>
        </w:rPr>
        <w:t>14</w:t>
      </w:r>
      <w:r>
        <w:rPr>
          <w:rFonts w:hint="eastAsia" w:ascii="宋体" w:hAnsi="宋体"/>
          <w:sz w:val="24"/>
          <w:highlight w:val="none"/>
          <w:u w:val="single"/>
        </w:rPr>
        <w:t>日</w:t>
      </w:r>
      <w:r>
        <w:rPr>
          <w:rFonts w:hint="eastAsia" w:ascii="宋体" w:hAnsi="宋体"/>
          <w:sz w:val="24"/>
          <w:highlight w:val="none"/>
        </w:rPr>
        <w:t>至</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9</w:t>
      </w:r>
      <w:r>
        <w:rPr>
          <w:rFonts w:hint="eastAsia" w:ascii="宋体" w:hAnsi="宋体"/>
          <w:sz w:val="24"/>
          <w:highlight w:val="none"/>
          <w:u w:val="single"/>
        </w:rPr>
        <w:t>月</w:t>
      </w:r>
      <w:r>
        <w:rPr>
          <w:rFonts w:hint="eastAsia" w:ascii="宋体" w:hAnsi="宋体"/>
          <w:sz w:val="24"/>
          <w:highlight w:val="none"/>
          <w:u w:val="single"/>
          <w:lang w:val="en-US" w:eastAsia="zh-CN"/>
        </w:rPr>
        <w:t>18</w:t>
      </w:r>
      <w:r>
        <w:rPr>
          <w:rFonts w:hint="eastAsia" w:ascii="宋体" w:hAnsi="宋体"/>
          <w:sz w:val="24"/>
          <w:highlight w:val="none"/>
          <w:u w:val="single"/>
        </w:rPr>
        <w:t>日</w:t>
      </w:r>
      <w:r>
        <w:rPr>
          <w:rFonts w:hint="eastAsia" w:ascii="宋体" w:hAnsi="宋体"/>
          <w:sz w:val="24"/>
          <w:highlight w:val="none"/>
        </w:rPr>
        <w:t>，</w:t>
      </w:r>
      <w:r>
        <w:rPr>
          <w:rFonts w:hint="eastAsia" w:ascii="宋体" w:hAnsi="宋体"/>
          <w:sz w:val="24"/>
          <w:highlight w:val="none"/>
          <w:lang w:eastAsia="zh-CN"/>
        </w:rPr>
        <w:t>在</w:t>
      </w:r>
      <w:r>
        <w:rPr>
          <w:rFonts w:hint="eastAsia" w:ascii="宋体" w:hAnsi="宋体" w:cs="宋体"/>
          <w:sz w:val="24"/>
          <w:highlight w:val="none"/>
          <w:u w:val="single"/>
        </w:rPr>
        <w:t>湖南省湘水集团有限公司网站（http：//www.hnsxsjt.com）、</w:t>
      </w:r>
      <w:r>
        <w:rPr>
          <w:rFonts w:hint="eastAsia" w:ascii="宋体" w:hAnsi="宋体" w:cs="宋体"/>
          <w:sz w:val="24"/>
          <w:highlight w:val="none"/>
          <w:u w:val="single"/>
          <w:lang w:eastAsia="zh-CN"/>
        </w:rPr>
        <w:t>湖南省港务集团有限公司网站（</w:t>
      </w:r>
      <w:r>
        <w:rPr>
          <w:rFonts w:hint="eastAsia" w:ascii="宋体" w:hAnsi="宋体" w:cs="宋体"/>
          <w:sz w:val="24"/>
          <w:highlight w:val="none"/>
          <w:u w:val="single"/>
        </w:rPr>
        <w:t>http://www.hnsgwjt.com</w:t>
      </w:r>
      <w:r>
        <w:rPr>
          <w:rFonts w:hint="eastAsia" w:ascii="宋体" w:hAnsi="宋体" w:cs="宋体"/>
          <w:sz w:val="24"/>
          <w:highlight w:val="none"/>
          <w:u w:val="single"/>
          <w:lang w:eastAsia="zh-CN"/>
        </w:rPr>
        <w:t>）网站上</w:t>
      </w:r>
      <w:r>
        <w:rPr>
          <w:rFonts w:hint="eastAsia" w:ascii="宋体" w:hAnsi="宋体"/>
          <w:sz w:val="24"/>
          <w:highlight w:val="none"/>
        </w:rPr>
        <w:t>获取采购文件</w:t>
      </w:r>
      <w:r>
        <w:rPr>
          <w:rFonts w:hint="eastAsia" w:ascii="宋体" w:hAnsi="宋体"/>
          <w:sz w:val="24"/>
          <w:highlight w:val="none"/>
          <w:lang w:eastAsia="zh-CN"/>
        </w:rPr>
        <w:t>；</w:t>
      </w:r>
    </w:p>
    <w:p>
      <w:pPr>
        <w:pageBreakBefore w:val="0"/>
        <w:kinsoku/>
        <w:wordWrap/>
        <w:overflowPunct/>
        <w:topLinePunct w:val="0"/>
        <w:autoSpaceDN/>
        <w:bidi w:val="0"/>
        <w:spacing w:line="360" w:lineRule="auto"/>
        <w:ind w:left="0"/>
        <w:jc w:val="both"/>
        <w:rPr>
          <w:rFonts w:hint="eastAsia" w:ascii="宋体" w:hAnsi="宋体" w:eastAsia="宋体" w:cs="宋体"/>
          <w:color w:val="000000"/>
          <w:sz w:val="24"/>
          <w:highlight w:val="none"/>
          <w:u w:val="single"/>
          <w:shd w:val="clear" w:color="auto" w:fill="auto"/>
          <w:lang w:val="en-US" w:eastAsia="zh-CN"/>
        </w:rPr>
      </w:pPr>
      <w:r>
        <w:rPr>
          <w:rFonts w:hint="eastAsia" w:ascii="宋体" w:hAnsi="宋体" w:eastAsia="宋体" w:cs="Times New Roman"/>
          <w:b/>
          <w:bCs/>
          <w:color w:val="auto"/>
          <w:kern w:val="2"/>
          <w:sz w:val="24"/>
          <w:szCs w:val="24"/>
          <w:highlight w:val="none"/>
          <w:shd w:val="clear" w:color="auto" w:fill="auto"/>
          <w:lang w:val="en-US" w:eastAsia="zh-CN" w:bidi="ar-SA"/>
        </w:rPr>
        <w:t>6.2</w:t>
      </w:r>
      <w:r>
        <w:rPr>
          <w:rFonts w:hint="eastAsia" w:ascii="宋体" w:hAnsi="宋体" w:cs="Times New Roman"/>
          <w:b/>
          <w:bCs/>
          <w:color w:val="auto"/>
          <w:kern w:val="2"/>
          <w:sz w:val="24"/>
          <w:szCs w:val="24"/>
          <w:highlight w:val="non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响应文件递交</w:t>
      </w:r>
      <w:r>
        <w:rPr>
          <w:rFonts w:hint="eastAsia" w:ascii="宋体" w:hAnsi="宋体" w:eastAsia="宋体" w:cs="宋体"/>
          <w:b w:val="0"/>
          <w:bCs w:val="0"/>
          <w:color w:val="000000"/>
          <w:sz w:val="24"/>
          <w:highlight w:val="none"/>
          <w:shd w:val="clear" w:color="auto" w:fill="auto"/>
        </w:rPr>
        <w:t>截止</w:t>
      </w:r>
      <w:r>
        <w:rPr>
          <w:rFonts w:hint="eastAsia" w:ascii="宋体" w:hAnsi="宋体" w:eastAsia="宋体" w:cs="宋体"/>
          <w:color w:val="000000"/>
          <w:sz w:val="24"/>
          <w:highlight w:val="none"/>
          <w:shd w:val="clear" w:color="auto" w:fill="auto"/>
        </w:rPr>
        <w:t>时间：</w:t>
      </w:r>
      <w:r>
        <w:rPr>
          <w:rFonts w:hint="eastAsia" w:ascii="宋体" w:hAnsi="宋体" w:eastAsia="宋体" w:cs="宋体"/>
          <w:color w:val="000000"/>
          <w:sz w:val="24"/>
          <w:highlight w:val="none"/>
          <w:u w:val="single"/>
          <w:shd w:val="clear" w:color="auto" w:fill="auto"/>
          <w:lang w:val="en-US" w:eastAsia="zh-CN"/>
        </w:rPr>
        <w:t>202</w:t>
      </w:r>
      <w:r>
        <w:rPr>
          <w:rFonts w:hint="eastAsia" w:ascii="宋体" w:hAnsi="宋体" w:cs="宋体"/>
          <w:color w:val="000000"/>
          <w:sz w:val="24"/>
          <w:highlight w:val="none"/>
          <w:u w:val="single"/>
          <w:shd w:val="clear" w:color="auto" w:fill="auto"/>
          <w:lang w:val="en-US" w:eastAsia="zh-CN"/>
        </w:rPr>
        <w:t>2</w:t>
      </w:r>
      <w:r>
        <w:rPr>
          <w:rFonts w:hint="eastAsia" w:ascii="宋体" w:hAnsi="宋体" w:eastAsia="宋体" w:cs="宋体"/>
          <w:color w:val="000000"/>
          <w:sz w:val="24"/>
          <w:highlight w:val="none"/>
          <w:u w:val="single"/>
          <w:shd w:val="clear" w:color="auto" w:fill="auto"/>
          <w:lang w:val="en-US" w:eastAsia="zh-CN"/>
        </w:rPr>
        <w:t>年</w:t>
      </w:r>
      <w:r>
        <w:rPr>
          <w:rFonts w:hint="eastAsia" w:ascii="宋体" w:hAnsi="宋体" w:cs="宋体"/>
          <w:color w:val="000000"/>
          <w:sz w:val="24"/>
          <w:highlight w:val="none"/>
          <w:u w:val="single"/>
          <w:shd w:val="clear" w:color="auto" w:fill="auto"/>
          <w:lang w:val="en-US" w:eastAsia="zh-CN"/>
        </w:rPr>
        <w:t>9</w:t>
      </w:r>
      <w:r>
        <w:rPr>
          <w:rFonts w:hint="eastAsia" w:ascii="宋体" w:hAnsi="宋体" w:eastAsia="宋体" w:cs="宋体"/>
          <w:color w:val="000000"/>
          <w:sz w:val="24"/>
          <w:highlight w:val="none"/>
          <w:u w:val="single"/>
          <w:shd w:val="clear" w:color="auto" w:fill="auto"/>
          <w:lang w:val="en-US" w:eastAsia="zh-CN"/>
        </w:rPr>
        <w:t>月</w:t>
      </w:r>
      <w:r>
        <w:rPr>
          <w:rFonts w:hint="eastAsia" w:ascii="宋体" w:hAnsi="宋体" w:cs="宋体"/>
          <w:color w:val="000000"/>
          <w:sz w:val="24"/>
          <w:highlight w:val="none"/>
          <w:u w:val="single"/>
          <w:shd w:val="clear" w:color="auto" w:fill="auto"/>
          <w:lang w:val="en-US" w:eastAsia="zh-CN"/>
        </w:rPr>
        <w:t>19</w:t>
      </w:r>
      <w:r>
        <w:rPr>
          <w:rFonts w:hint="eastAsia" w:ascii="宋体" w:hAnsi="宋体" w:eastAsia="宋体" w:cs="宋体"/>
          <w:color w:val="000000"/>
          <w:sz w:val="24"/>
          <w:highlight w:val="none"/>
          <w:u w:val="single"/>
          <w:shd w:val="clear" w:color="auto" w:fill="auto"/>
          <w:lang w:val="en-US" w:eastAsia="zh-CN"/>
        </w:rPr>
        <w:t>日</w:t>
      </w:r>
      <w:r>
        <w:rPr>
          <w:rFonts w:hint="eastAsia" w:ascii="宋体" w:hAnsi="宋体" w:cs="宋体"/>
          <w:color w:val="000000"/>
          <w:sz w:val="24"/>
          <w:highlight w:val="none"/>
          <w:u w:val="single"/>
          <w:shd w:val="clear" w:color="auto" w:fill="auto"/>
          <w:lang w:val="en-US" w:eastAsia="zh-CN"/>
        </w:rPr>
        <w:t>12</w:t>
      </w:r>
      <w:r>
        <w:rPr>
          <w:rFonts w:hint="eastAsia" w:ascii="宋体" w:hAnsi="宋体" w:eastAsia="宋体" w:cs="宋体"/>
          <w:color w:val="000000"/>
          <w:sz w:val="24"/>
          <w:highlight w:val="none"/>
          <w:u w:val="single"/>
          <w:shd w:val="clear" w:color="auto" w:fill="auto"/>
          <w:lang w:val="en-US" w:eastAsia="zh-CN"/>
        </w:rPr>
        <w:t>时</w:t>
      </w:r>
      <w:r>
        <w:rPr>
          <w:rFonts w:hint="eastAsia" w:ascii="宋体" w:hAnsi="宋体" w:cs="宋体"/>
          <w:color w:val="000000"/>
          <w:sz w:val="24"/>
          <w:highlight w:val="none"/>
          <w:u w:val="single"/>
          <w:shd w:val="clear" w:color="auto" w:fill="auto"/>
          <w:lang w:val="en-US" w:eastAsia="zh-CN"/>
        </w:rPr>
        <w:t>00</w:t>
      </w:r>
      <w:r>
        <w:rPr>
          <w:rFonts w:hint="eastAsia" w:ascii="宋体" w:hAnsi="宋体" w:eastAsia="宋体" w:cs="宋体"/>
          <w:color w:val="000000"/>
          <w:sz w:val="24"/>
          <w:highlight w:val="none"/>
          <w:u w:val="single"/>
          <w:shd w:val="clear" w:color="auto" w:fill="auto"/>
          <w:lang w:val="en-US" w:eastAsia="zh-CN"/>
        </w:rPr>
        <w:t>分；</w:t>
      </w:r>
    </w:p>
    <w:p>
      <w:pPr>
        <w:autoSpaceDE w:val="0"/>
        <w:spacing w:line="360" w:lineRule="auto"/>
        <w:jc w:val="both"/>
        <w:rPr>
          <w:rFonts w:hint="eastAsia" w:ascii="宋体" w:hAnsi="宋体" w:eastAsia="宋体"/>
          <w:b/>
          <w:bCs/>
          <w:sz w:val="24"/>
          <w:highlight w:val="none"/>
          <w:lang w:eastAsia="zh-CN"/>
        </w:rPr>
      </w:pPr>
      <w:r>
        <w:rPr>
          <w:rFonts w:hint="eastAsia" w:ascii="宋体" w:hAnsi="宋体" w:eastAsia="宋体" w:cs="宋体"/>
          <w:color w:val="000000"/>
          <w:sz w:val="24"/>
          <w:highlight w:val="none"/>
          <w:shd w:val="clear" w:color="auto" w:fill="auto"/>
        </w:rPr>
        <w:t>递交响应文件的地点：</w:t>
      </w:r>
      <w:r>
        <w:rPr>
          <w:rFonts w:hint="eastAsia" w:ascii="宋体" w:hAnsi="宋体" w:eastAsia="宋体" w:cs="宋体"/>
          <w:color w:val="auto"/>
          <w:sz w:val="24"/>
          <w:szCs w:val="24"/>
          <w:u w:val="single"/>
          <w:lang w:val="en-US" w:eastAsia="zh-CN"/>
        </w:rPr>
        <w:t>湖南</w:t>
      </w:r>
      <w:r>
        <w:rPr>
          <w:rFonts w:hint="eastAsia" w:ascii="宋体" w:hAnsi="宋体" w:cs="宋体"/>
          <w:sz w:val="24"/>
          <w:szCs w:val="24"/>
          <w:u w:val="single"/>
        </w:rPr>
        <w:t>港</w:t>
      </w:r>
      <w:r>
        <w:rPr>
          <w:rFonts w:hint="eastAsia" w:ascii="宋体" w:hAnsi="宋体" w:cs="宋体"/>
          <w:sz w:val="24"/>
          <w:szCs w:val="24"/>
          <w:u w:val="single"/>
          <w:lang w:val="en-US" w:eastAsia="zh-CN"/>
        </w:rPr>
        <w:t>产科技有限公司</w:t>
      </w:r>
      <w:r>
        <w:rPr>
          <w:rFonts w:hint="eastAsia" w:ascii="宋体" w:hAnsi="宋体" w:cs="宋体"/>
          <w:sz w:val="24"/>
          <w:szCs w:val="24"/>
          <w:u w:val="single"/>
        </w:rPr>
        <w:t>办公楼1楼10</w:t>
      </w:r>
      <w:r>
        <w:rPr>
          <w:rFonts w:hint="eastAsia" w:ascii="宋体" w:hAnsi="宋体" w:cs="宋体"/>
          <w:sz w:val="24"/>
          <w:szCs w:val="24"/>
          <w:u w:val="single"/>
          <w:lang w:val="en-US" w:eastAsia="zh-CN"/>
        </w:rPr>
        <w:t>8</w:t>
      </w:r>
      <w:r>
        <w:rPr>
          <w:rFonts w:hint="eastAsia" w:ascii="宋体" w:hAnsi="宋体" w:cs="宋体"/>
          <w:sz w:val="24"/>
          <w:szCs w:val="24"/>
          <w:u w:val="single"/>
        </w:rPr>
        <w:t>室</w:t>
      </w:r>
    </w:p>
    <w:p>
      <w:pPr>
        <w:autoSpaceDE w:val="0"/>
        <w:spacing w:line="360" w:lineRule="auto"/>
        <w:ind w:left="241" w:hanging="241" w:hangingChars="100"/>
        <w:jc w:val="both"/>
        <w:rPr>
          <w:rFonts w:ascii="宋体" w:hAnsi="宋体"/>
          <w:sz w:val="24"/>
        </w:rPr>
      </w:pPr>
      <w:r>
        <w:rPr>
          <w:rFonts w:hint="eastAsia" w:ascii="宋体" w:hAnsi="宋体"/>
          <w:b/>
          <w:bCs/>
          <w:sz w:val="24"/>
        </w:rPr>
        <w:t xml:space="preserve">6.3 </w:t>
      </w:r>
      <w:r>
        <w:rPr>
          <w:rFonts w:hint="eastAsia" w:ascii="宋体" w:hAnsi="宋体"/>
          <w:sz w:val="24"/>
        </w:rPr>
        <w:t>供应商若对本项目采购需求、资格要求等有疑问的，应当于</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9</w:t>
      </w:r>
      <w:r>
        <w:rPr>
          <w:rFonts w:hint="eastAsia" w:ascii="宋体" w:hAnsi="宋体"/>
          <w:sz w:val="24"/>
          <w:highlight w:val="none"/>
          <w:u w:val="single"/>
        </w:rPr>
        <w:t>月</w:t>
      </w:r>
      <w:r>
        <w:rPr>
          <w:rFonts w:hint="eastAsia" w:ascii="宋体" w:hAnsi="宋体"/>
          <w:sz w:val="24"/>
          <w:highlight w:val="none"/>
          <w:u w:val="single"/>
          <w:lang w:val="en-US" w:eastAsia="zh-CN"/>
        </w:rPr>
        <w:t>18</w:t>
      </w:r>
      <w:r>
        <w:rPr>
          <w:rFonts w:hint="eastAsia" w:ascii="宋体" w:hAnsi="宋体"/>
          <w:sz w:val="24"/>
          <w:highlight w:val="none"/>
          <w:u w:val="single"/>
        </w:rPr>
        <w:t>日</w:t>
      </w:r>
      <w:r>
        <w:rPr>
          <w:rFonts w:hint="eastAsia" w:ascii="宋体" w:hAnsi="宋体"/>
          <w:sz w:val="24"/>
          <w:highlight w:val="none"/>
          <w:u w:val="single"/>
          <w:lang w:val="en-US" w:eastAsia="zh-CN"/>
        </w:rPr>
        <w:t>17</w:t>
      </w:r>
      <w:r>
        <w:rPr>
          <w:rFonts w:hint="eastAsia" w:ascii="宋体" w:hAnsi="宋体" w:eastAsia="宋体" w:cs="宋体"/>
          <w:color w:val="000000"/>
          <w:sz w:val="24"/>
          <w:highlight w:val="none"/>
          <w:u w:val="single"/>
          <w:shd w:val="clear" w:color="auto" w:fill="auto"/>
          <w:lang w:val="en-US" w:eastAsia="zh-CN"/>
        </w:rPr>
        <w:t>时</w:t>
      </w:r>
      <w:r>
        <w:rPr>
          <w:rFonts w:hint="eastAsia" w:ascii="宋体" w:hAnsi="宋体" w:cs="宋体"/>
          <w:color w:val="000000"/>
          <w:sz w:val="24"/>
          <w:highlight w:val="none"/>
          <w:u w:val="single"/>
          <w:shd w:val="clear" w:color="auto" w:fill="auto"/>
          <w:lang w:val="en-US" w:eastAsia="zh-CN"/>
        </w:rPr>
        <w:t>30</w:t>
      </w:r>
      <w:r>
        <w:rPr>
          <w:rFonts w:hint="eastAsia" w:ascii="宋体" w:hAnsi="宋体" w:eastAsia="宋体" w:cs="宋体"/>
          <w:color w:val="000000"/>
          <w:sz w:val="24"/>
          <w:highlight w:val="none"/>
          <w:u w:val="single"/>
          <w:shd w:val="clear" w:color="auto" w:fill="auto"/>
          <w:lang w:val="en-US" w:eastAsia="zh-CN"/>
        </w:rPr>
        <w:t>分</w:t>
      </w:r>
      <w:r>
        <w:rPr>
          <w:rFonts w:hint="eastAsia" w:ascii="宋体" w:hAnsi="宋体"/>
          <w:sz w:val="24"/>
          <w:highlight w:val="none"/>
        </w:rPr>
        <w:t>前</w:t>
      </w:r>
      <w:r>
        <w:rPr>
          <w:rFonts w:hint="eastAsia" w:ascii="宋体" w:hAnsi="宋体"/>
          <w:sz w:val="24"/>
        </w:rPr>
        <w:t>向采购人提出澄清要求。</w:t>
      </w:r>
    </w:p>
    <w:p>
      <w:pPr>
        <w:spacing w:line="360" w:lineRule="auto"/>
      </w:pPr>
    </w:p>
    <w:p>
      <w:pPr>
        <w:pStyle w:val="6"/>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240" w:firstLineChars="100"/>
        <w:jc w:val="left"/>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中国招标投标公共服务平台（http：//www.cebpubservice.com）、湖南省湘水集团有限公司网站（http：//www.hnsxsjt.com）、湖南省港务集团有限公司门户网站（http://www.hnsgwjt.com/）上发布。</w:t>
      </w:r>
    </w:p>
    <w:p>
      <w:pPr>
        <w:pStyle w:val="6"/>
        <w:spacing w:line="360" w:lineRule="auto"/>
        <w:jc w:val="both"/>
      </w:pPr>
      <w:r>
        <w:rPr>
          <w:rFonts w:hint="eastAsia"/>
        </w:rPr>
        <w:t>8</w:t>
      </w:r>
      <w:bookmarkStart w:id="2" w:name="_Toc512257471"/>
      <w:bookmarkStart w:id="3" w:name="_Toc77254104"/>
      <w:bookmarkStart w:id="4" w:name="_Toc76635692"/>
      <w:bookmarkStart w:id="5" w:name="_Toc79596547"/>
      <w:r>
        <w:t xml:space="preserve"> 监督</w:t>
      </w:r>
      <w:bookmarkEnd w:id="2"/>
      <w:bookmarkEnd w:id="3"/>
      <w:bookmarkEnd w:id="4"/>
      <w:r>
        <w:rPr>
          <w:rFonts w:hint="eastAsia"/>
        </w:rPr>
        <w:t>部门</w:t>
      </w:r>
      <w:bookmarkEnd w:id="5"/>
    </w:p>
    <w:p>
      <w:pPr>
        <w:pStyle w:val="14"/>
        <w:widowControl w:val="0"/>
        <w:adjustRightInd w:val="0"/>
        <w:snapToGrid w:val="0"/>
        <w:spacing w:before="0" w:beforeAutospacing="0" w:after="0" w:afterAutospacing="0" w:line="360" w:lineRule="auto"/>
        <w:ind w:firstLine="240" w:firstLineChars="100"/>
        <w:jc w:val="both"/>
        <w:rPr>
          <w:rFonts w:cs="Times New Roman"/>
        </w:rPr>
      </w:pPr>
      <w:r>
        <w:rPr>
          <w:rFonts w:cs="Times New Roman"/>
        </w:rPr>
        <w:t>本次</w:t>
      </w:r>
      <w:r>
        <w:rPr>
          <w:rFonts w:hint="eastAsia" w:cs="Times New Roman"/>
        </w:rPr>
        <w:t>采购</w:t>
      </w:r>
      <w:r>
        <w:rPr>
          <w:rFonts w:cs="Times New Roman"/>
        </w:rPr>
        <w:t>监督部门为</w:t>
      </w:r>
      <w:r>
        <w:rPr>
          <w:rFonts w:hint="eastAsia" w:cs="Times New Roman"/>
          <w:u w:val="single"/>
          <w:lang w:val="en-US" w:eastAsia="zh-CN"/>
        </w:rPr>
        <w:t>湖南</w:t>
      </w:r>
      <w:r>
        <w:rPr>
          <w:rFonts w:hint="eastAsia"/>
          <w:u w:val="single"/>
        </w:rPr>
        <w:t>港</w:t>
      </w:r>
      <w:r>
        <w:rPr>
          <w:rFonts w:hint="eastAsia"/>
          <w:u w:val="single"/>
          <w:lang w:val="en-US" w:eastAsia="zh-CN"/>
        </w:rPr>
        <w:t>产科技</w:t>
      </w:r>
      <w:r>
        <w:rPr>
          <w:rFonts w:hint="eastAsia"/>
          <w:u w:val="single"/>
        </w:rPr>
        <w:t>有限公司</w:t>
      </w:r>
      <w:r>
        <w:rPr>
          <w:rFonts w:hint="eastAsia"/>
          <w:u w:val="single"/>
          <w:lang w:val="en-US" w:eastAsia="zh-CN"/>
        </w:rPr>
        <w:t>党群综合</w:t>
      </w:r>
      <w:r>
        <w:rPr>
          <w:rFonts w:hint="eastAsia"/>
          <w:u w:val="single"/>
        </w:rPr>
        <w:t>部</w:t>
      </w:r>
      <w:r>
        <w:rPr>
          <w:rFonts w:cs="Times New Roman"/>
        </w:rPr>
        <w:t>，电话：</w:t>
      </w:r>
      <w:r>
        <w:rPr>
          <w:rFonts w:hint="eastAsia" w:ascii="宋体" w:hAnsi="宋体" w:cs="宋体"/>
          <w:color w:val="auto"/>
          <w:highlight w:val="none"/>
          <w:u w:val="single"/>
          <w:lang w:eastAsia="zh-CN"/>
        </w:rPr>
        <w:t>1</w:t>
      </w:r>
      <w:r>
        <w:rPr>
          <w:rFonts w:hint="eastAsia" w:ascii="宋体" w:hAnsi="宋体" w:cs="宋体"/>
          <w:color w:val="auto"/>
          <w:highlight w:val="none"/>
          <w:u w:val="single"/>
          <w:lang w:val="en-US" w:eastAsia="zh-CN"/>
        </w:rPr>
        <w:t>3873063063</w:t>
      </w:r>
    </w:p>
    <w:p>
      <w:pPr>
        <w:pStyle w:val="6"/>
        <w:spacing w:line="360" w:lineRule="auto"/>
        <w:jc w:val="both"/>
        <w:rPr>
          <w:rFonts w:ascii="Arial" w:hAnsi="Arial"/>
        </w:rPr>
      </w:pPr>
      <w:r>
        <w:t>9</w:t>
      </w:r>
      <w:r>
        <w:rPr>
          <w:rFonts w:hint="eastAsia"/>
        </w:rPr>
        <w:t xml:space="preserve"> </w:t>
      </w:r>
      <w:r>
        <w:rPr>
          <w:rFonts w:hint="eastAsia" w:ascii="黑体" w:hAnsi="黑体"/>
        </w:rPr>
        <w:t>其他</w:t>
      </w:r>
    </w:p>
    <w:p>
      <w:pPr>
        <w:autoSpaceDE w:val="0"/>
        <w:spacing w:line="360" w:lineRule="auto"/>
        <w:jc w:val="both"/>
        <w:rPr>
          <w:rFonts w:hint="eastAsia" w:ascii="宋体" w:hAnsi="宋体"/>
          <w:sz w:val="24"/>
        </w:rPr>
      </w:pPr>
      <w:r>
        <w:rPr>
          <w:rFonts w:hint="eastAsia" w:ascii="宋体" w:hAnsi="宋体"/>
          <w:b/>
          <w:bCs/>
          <w:sz w:val="24"/>
          <w:lang w:val="en-US" w:eastAsia="zh-CN"/>
        </w:rPr>
        <w:t>9.1</w:t>
      </w:r>
      <w:r>
        <w:rPr>
          <w:rFonts w:hint="eastAsia" w:ascii="宋体" w:hAnsi="宋体"/>
          <w:sz w:val="24"/>
        </w:rPr>
        <w:t>采购人在签署采购合同时及合同履行过程中，有权对采购标的的数量进行增加或减少的幅度:</w:t>
      </w:r>
      <w:r>
        <w:rPr>
          <w:rFonts w:hint="eastAsia" w:ascii="宋体" w:hAnsi="宋体"/>
          <w:sz w:val="24"/>
          <w:u w:val="single"/>
        </w:rPr>
        <w:t>10</w:t>
      </w:r>
      <w:r>
        <w:rPr>
          <w:rFonts w:hint="eastAsia" w:ascii="宋体" w:hAnsi="宋体"/>
          <w:sz w:val="24"/>
        </w:rPr>
        <w:t>%。</w:t>
      </w:r>
    </w:p>
    <w:p>
      <w:pPr>
        <w:autoSpaceDE w:val="0"/>
        <w:spacing w:line="360" w:lineRule="auto"/>
        <w:jc w:val="both"/>
        <w:rPr>
          <w:rFonts w:ascii="宋体" w:hAnsi="宋体"/>
          <w:sz w:val="24"/>
        </w:rPr>
      </w:pPr>
      <w:r>
        <w:rPr>
          <w:rFonts w:hint="eastAsia" w:ascii="宋体" w:hAnsi="宋体" w:cs="Times New Roman"/>
          <w:b/>
          <w:bCs/>
          <w:kern w:val="2"/>
          <w:sz w:val="24"/>
          <w:szCs w:val="24"/>
          <w:highlight w:val="none"/>
          <w:lang w:val="en-US" w:eastAsia="zh-CN" w:bidi="ar-SA"/>
        </w:rPr>
        <w:t>9.2</w:t>
      </w:r>
      <w:r>
        <w:rPr>
          <w:rFonts w:hint="eastAsia" w:ascii="宋体" w:hAnsi="宋体" w:eastAsia="宋体" w:cs="Times New Roman"/>
          <w:b w:val="0"/>
          <w:bCs w:val="0"/>
          <w:kern w:val="2"/>
          <w:sz w:val="24"/>
          <w:szCs w:val="24"/>
          <w:highlight w:val="none"/>
          <w:lang w:val="en-US" w:eastAsia="zh-CN" w:bidi="ar-SA"/>
        </w:rPr>
        <w:t>项</w:t>
      </w:r>
      <w:r>
        <w:rPr>
          <w:rFonts w:hint="eastAsia" w:ascii="宋体" w:hAnsi="宋体" w:eastAsia="宋体" w:cs="宋体"/>
          <w:b w:val="0"/>
          <w:bCs w:val="0"/>
          <w:color w:val="auto"/>
          <w:sz w:val="24"/>
          <w:szCs w:val="24"/>
          <w:highlight w:val="none"/>
        </w:rPr>
        <w:t>目</w:t>
      </w:r>
      <w:r>
        <w:rPr>
          <w:rFonts w:hint="eastAsia" w:ascii="宋体" w:hAnsi="宋体" w:eastAsia="宋体" w:cs="宋体"/>
          <w:color w:val="auto"/>
          <w:sz w:val="24"/>
          <w:szCs w:val="24"/>
          <w:highlight w:val="none"/>
        </w:rPr>
        <w:t>控制价：本项目最高限价为</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u w:val="single"/>
          <w:lang w:val="en-US" w:eastAsia="zh-CN"/>
        </w:rPr>
        <w:t>贰拾肆万元整</w:t>
      </w:r>
      <w:r>
        <w:rPr>
          <w:rFonts w:hint="eastAsia" w:ascii="宋体" w:hAnsi="宋体" w:eastAsia="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¥240000.00</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，含</w:t>
      </w:r>
      <w:r>
        <w:rPr>
          <w:rFonts w:hint="eastAsia" w:ascii="宋体" w:hAnsi="宋体" w:eastAsia="宋体" w:cs="宋体"/>
          <w:color w:val="auto"/>
          <w:sz w:val="24"/>
          <w:szCs w:val="24"/>
          <w:highlight w:val="none"/>
          <w:lang w:val="en-US" w:eastAsia="zh-CN"/>
        </w:rPr>
        <w:t>13%的增值税</w:t>
      </w:r>
      <w:r>
        <w:rPr>
          <w:rFonts w:hint="eastAsia" w:ascii="宋体" w:hAnsi="宋体" w:cs="宋体"/>
          <w:color w:val="auto"/>
          <w:sz w:val="24"/>
          <w:szCs w:val="24"/>
          <w:highlight w:val="none"/>
          <w:lang w:val="en-US" w:eastAsia="zh-CN"/>
        </w:rPr>
        <w:t>和运费，</w:t>
      </w:r>
      <w:r>
        <w:rPr>
          <w:rFonts w:hint="eastAsia" w:ascii="宋体" w:hAnsi="宋体" w:eastAsia="宋体" w:cs="宋体"/>
          <w:color w:val="auto"/>
          <w:sz w:val="24"/>
          <w:szCs w:val="24"/>
          <w:highlight w:val="none"/>
        </w:rPr>
        <w:t>超过最高限价的作废。</w:t>
      </w:r>
    </w:p>
    <w:p>
      <w:pPr>
        <w:pStyle w:val="6"/>
        <w:spacing w:line="360" w:lineRule="auto"/>
        <w:jc w:val="both"/>
        <w:rPr>
          <w:rFonts w:ascii="Arial" w:hAnsi="Arial"/>
        </w:rPr>
      </w:pPr>
      <w:r>
        <w:t>10</w:t>
      </w:r>
      <w:r>
        <w:rPr>
          <w:rFonts w:hint="eastAsia"/>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采 购 人:</w:t>
      </w:r>
      <w:r>
        <w:rPr>
          <w:rFonts w:hint="eastAsia" w:ascii="宋体" w:hAnsi="宋体"/>
          <w:sz w:val="24"/>
          <w:lang w:val="en-US" w:eastAsia="zh-CN"/>
        </w:rPr>
        <w:t>湖南</w:t>
      </w:r>
      <w:r>
        <w:rPr>
          <w:rFonts w:hint="eastAsia" w:ascii="宋体" w:hAnsi="宋体"/>
          <w:sz w:val="24"/>
        </w:rPr>
        <w:t>港</w:t>
      </w:r>
      <w:r>
        <w:rPr>
          <w:rFonts w:hint="eastAsia" w:ascii="宋体" w:hAnsi="宋体"/>
          <w:sz w:val="24"/>
          <w:lang w:val="en-US" w:eastAsia="zh-CN"/>
        </w:rPr>
        <w:t>产科技</w:t>
      </w:r>
      <w:r>
        <w:rPr>
          <w:rFonts w:hint="eastAsia" w:ascii="宋体" w:hAnsi="宋体"/>
          <w:sz w:val="24"/>
        </w:rPr>
        <w:t xml:space="preserve">有限公司         </w:t>
      </w:r>
    </w:p>
    <w:p>
      <w:pPr>
        <w:autoSpaceDE w:val="0"/>
        <w:spacing w:line="360" w:lineRule="auto"/>
        <w:ind w:firstLine="240" w:firstLineChars="100"/>
        <w:jc w:val="both"/>
        <w:rPr>
          <w:rFonts w:hint="eastAsia" w:ascii="宋体" w:hAnsi="宋体" w:eastAsia="宋体"/>
          <w:sz w:val="24"/>
          <w:lang w:val="en-US" w:eastAsia="zh-CN"/>
        </w:rPr>
      </w:pPr>
      <w:r>
        <w:rPr>
          <w:rFonts w:hint="eastAsia" w:ascii="宋体" w:hAnsi="宋体"/>
          <w:sz w:val="24"/>
        </w:rPr>
        <w:t>地    址:</w:t>
      </w:r>
      <w:r>
        <w:rPr>
          <w:rFonts w:hint="eastAsia" w:ascii="宋体" w:hAnsi="宋体"/>
          <w:sz w:val="24"/>
          <w:lang w:val="en-US" w:eastAsia="zh-CN"/>
        </w:rPr>
        <w:t>岳阳城陵矶长江路2号</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邮政编码:414000                         </w:t>
      </w:r>
    </w:p>
    <w:p>
      <w:pPr>
        <w:autoSpaceDE w:val="0"/>
        <w:spacing w:line="360" w:lineRule="auto"/>
        <w:ind w:firstLine="240" w:firstLineChars="100"/>
        <w:jc w:val="both"/>
        <w:rPr>
          <w:rFonts w:ascii="宋体" w:hAnsi="宋体"/>
          <w:sz w:val="24"/>
        </w:rPr>
      </w:pPr>
      <w:r>
        <w:rPr>
          <w:rFonts w:hint="eastAsia" w:ascii="宋体" w:hAnsi="宋体"/>
          <w:sz w:val="24"/>
        </w:rPr>
        <w:t>联 系 人:</w:t>
      </w:r>
      <w:r>
        <w:rPr>
          <w:rFonts w:hint="eastAsia" w:ascii="宋体" w:hAnsi="宋体"/>
          <w:sz w:val="24"/>
          <w:lang w:val="en-US" w:eastAsia="zh-CN"/>
        </w:rPr>
        <w:t>彭钰文</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    话:</w:t>
      </w:r>
      <w:r>
        <w:rPr>
          <w:rFonts w:hint="eastAsia" w:ascii="宋体" w:hAnsi="宋体"/>
          <w:sz w:val="24"/>
          <w:lang w:val="en-US" w:eastAsia="zh-CN"/>
        </w:rPr>
        <w:t>15807210736</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电子邮箱:</w:t>
      </w:r>
      <w:r>
        <w:rPr>
          <w:rFonts w:hint="eastAsia" w:ascii="宋体" w:hAnsi="宋体"/>
          <w:sz w:val="24"/>
          <w:lang w:val="en-US" w:eastAsia="zh-CN"/>
        </w:rPr>
        <w:t>471420408@qq.com</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 xml:space="preserve">网    址:http://www.hnsgwjt.com/         </w:t>
      </w:r>
    </w:p>
    <w:p>
      <w:pPr>
        <w:spacing w:line="360" w:lineRule="auto"/>
        <w:jc w:val="left"/>
        <w:rPr>
          <w:rFonts w:hint="eastAsia" w:ascii="黑体" w:hAnsi="黑体" w:eastAsia="黑体"/>
          <w:sz w:val="32"/>
          <w:szCs w:val="32"/>
        </w:rPr>
      </w:pPr>
      <w:r>
        <w:rPr>
          <w:rFonts w:hint="eastAsia" w:ascii="黑体" w:hAnsi="黑体" w:eastAsia="黑体"/>
          <w:sz w:val="32"/>
          <w:szCs w:val="32"/>
        </w:rPr>
        <w:br w:type="page"/>
      </w:r>
    </w:p>
    <w:p>
      <w:pPr>
        <w:spacing w:line="360" w:lineRule="auto"/>
        <w:jc w:val="center"/>
        <w:outlineLvl w:val="0"/>
        <w:rPr>
          <w:rFonts w:ascii="黑体" w:hAnsi="黑体" w:eastAsia="黑体"/>
          <w:sz w:val="36"/>
          <w:szCs w:val="36"/>
        </w:rPr>
      </w:pPr>
      <w:r>
        <w:rPr>
          <w:rFonts w:hint="eastAsia" w:ascii="黑体" w:hAnsi="黑体" w:eastAsia="黑体"/>
          <w:sz w:val="36"/>
          <w:szCs w:val="36"/>
        </w:rPr>
        <w:t>第二章  供应商须知</w:t>
      </w:r>
    </w:p>
    <w:p>
      <w:pPr>
        <w:pStyle w:val="5"/>
        <w:spacing w:before="240" w:after="240" w:line="360" w:lineRule="auto"/>
        <w:jc w:val="center"/>
        <w:rPr>
          <w:rFonts w:ascii="仿宋" w:hAnsi="仿宋" w:eastAsia="仿宋" w:cs="仿宋"/>
          <w:sz w:val="30"/>
          <w:szCs w:val="30"/>
        </w:rPr>
      </w:pPr>
      <w:bookmarkStart w:id="6" w:name="_Toc234832862"/>
      <w:bookmarkStart w:id="7" w:name="_Toc517787495"/>
      <w:r>
        <w:rPr>
          <w:rFonts w:hint="eastAsia" w:ascii="仿宋" w:hAnsi="仿宋" w:eastAsia="仿宋" w:cs="仿宋"/>
          <w:sz w:val="30"/>
          <w:szCs w:val="30"/>
        </w:rPr>
        <w:t>供应商须知前附表</w:t>
      </w:r>
      <w:bookmarkEnd w:id="6"/>
      <w:bookmarkEnd w:id="7"/>
    </w:p>
    <w:tbl>
      <w:tblPr>
        <w:tblStyle w:val="16"/>
        <w:tblW w:w="9018" w:type="dxa"/>
        <w:tblInd w:w="-278" w:type="dxa"/>
        <w:tblLayout w:type="fixed"/>
        <w:tblCellMar>
          <w:top w:w="0" w:type="dxa"/>
          <w:left w:w="108" w:type="dxa"/>
          <w:bottom w:w="0" w:type="dxa"/>
          <w:right w:w="108" w:type="dxa"/>
        </w:tblCellMar>
      </w:tblPr>
      <w:tblGrid>
        <w:gridCol w:w="1200"/>
        <w:gridCol w:w="2955"/>
        <w:gridCol w:w="4863"/>
      </w:tblGrid>
      <w:tr>
        <w:tblPrEx>
          <w:tblCellMar>
            <w:top w:w="0" w:type="dxa"/>
            <w:left w:w="108" w:type="dxa"/>
            <w:bottom w:w="0" w:type="dxa"/>
            <w:right w:w="108" w:type="dxa"/>
          </w:tblCellMar>
        </w:tblPrEx>
        <w:trPr>
          <w:trHeight w:val="387" w:hRule="atLeast"/>
          <w:tblHead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  款  名  称</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编  列  内  容</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询价</w:t>
            </w:r>
          </w:p>
        </w:tc>
      </w:tr>
      <w:tr>
        <w:tblPrEx>
          <w:tblCellMar>
            <w:top w:w="0" w:type="dxa"/>
            <w:left w:w="108" w:type="dxa"/>
            <w:bottom w:w="0" w:type="dxa"/>
            <w:right w:w="108" w:type="dxa"/>
          </w:tblCellMar>
        </w:tblPrEx>
        <w:trPr>
          <w:trHeight w:val="293"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评审办法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lang w:val="en-US" w:eastAsia="zh-CN"/>
              </w:rPr>
              <w:t>综合评分法</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1.7.1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踏勘现场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不组织</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采购预备会</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不召开</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分包</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不得分包的内容：</w:t>
            </w:r>
            <w:r>
              <w:rPr>
                <w:rFonts w:hint="eastAsia" w:cs="仿宋" w:asciiTheme="minorEastAsia" w:hAnsiTheme="minorEastAsia" w:eastAsiaTheme="minorEastAsia"/>
                <w:sz w:val="21"/>
                <w:szCs w:val="21"/>
                <w:u w:val="single"/>
                <w:lang w:eastAsia="zh-CN"/>
              </w:rPr>
              <w:t>不允许分包</w:t>
            </w:r>
          </w:p>
          <w:p>
            <w:pPr>
              <w:spacing w:line="36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对分包供应商的要求：</w:t>
            </w:r>
            <w:r>
              <w:rPr>
                <w:rFonts w:hint="eastAsia" w:cs="仿宋" w:asciiTheme="minorEastAsia" w:hAnsiTheme="minorEastAsia" w:eastAsiaTheme="minorEastAsia"/>
                <w:color w:val="auto"/>
                <w:sz w:val="21"/>
                <w:szCs w:val="21"/>
                <w:u w:val="single"/>
                <w:lang w:eastAsia="zh-CN"/>
              </w:rPr>
              <w:t>不允许分包</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允许偏差的范围：细微偏差</w:t>
            </w:r>
          </w:p>
          <w:p>
            <w:pPr>
              <w:spacing w:line="36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允许偏差的项数：</w:t>
            </w:r>
            <w:r>
              <w:rPr>
                <w:rFonts w:hint="eastAsia" w:cs="仿宋" w:asciiTheme="minorEastAsia" w:hAnsiTheme="minorEastAsia" w:eastAsiaTheme="minorEastAsia"/>
                <w:sz w:val="21"/>
                <w:szCs w:val="21"/>
                <w:lang w:val="en-US" w:eastAsia="zh-CN"/>
              </w:rPr>
              <w:t>3</w:t>
            </w:r>
            <w:r>
              <w:rPr>
                <w:rFonts w:hint="eastAsia" w:cs="仿宋" w:asciiTheme="minorEastAsia" w:hAnsiTheme="minorEastAsia" w:eastAsiaTheme="minorEastAsia"/>
                <w:sz w:val="21"/>
                <w:szCs w:val="21"/>
                <w:u w:val="single"/>
              </w:rPr>
              <w:t>项</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构成采购文件的其他资料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资料名称：</w:t>
            </w:r>
            <w:r>
              <w:rPr>
                <w:rFonts w:hint="eastAsia" w:cs="仿宋" w:asciiTheme="minorEastAsia" w:hAnsiTheme="minorEastAsia" w:eastAsiaTheme="minorEastAsia"/>
                <w:sz w:val="21"/>
                <w:szCs w:val="21"/>
                <w:lang w:eastAsia="zh-CN"/>
              </w:rPr>
              <w:t>采购文件的澄清、解释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2.2.1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供应商要求澄清采购文件的时间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截止时间：</w:t>
            </w:r>
            <w:r>
              <w:rPr>
                <w:rFonts w:hint="eastAsia" w:ascii="宋体" w:hAnsi="宋体"/>
                <w:sz w:val="21"/>
                <w:szCs w:val="21"/>
                <w:highlight w:val="none"/>
                <w:u w:val="single"/>
                <w:lang w:val="en-US" w:eastAsia="zh-CN"/>
              </w:rPr>
              <w:t>2022</w:t>
            </w:r>
            <w:r>
              <w:rPr>
                <w:rFonts w:hint="eastAsia" w:ascii="宋体" w:hAnsi="宋体"/>
                <w:sz w:val="21"/>
                <w:szCs w:val="21"/>
                <w:highlight w:val="none"/>
                <w:u w:val="single"/>
              </w:rPr>
              <w:t>年</w:t>
            </w:r>
            <w:r>
              <w:rPr>
                <w:rFonts w:hint="eastAsia" w:ascii="宋体" w:hAnsi="宋体"/>
                <w:sz w:val="21"/>
                <w:szCs w:val="21"/>
                <w:highlight w:val="none"/>
                <w:u w:val="single"/>
                <w:lang w:val="en-US" w:eastAsia="zh-CN"/>
              </w:rPr>
              <w:t>9</w:t>
            </w:r>
            <w:r>
              <w:rPr>
                <w:rFonts w:hint="eastAsia" w:ascii="宋体" w:hAnsi="宋体"/>
                <w:sz w:val="21"/>
                <w:szCs w:val="21"/>
                <w:highlight w:val="none"/>
                <w:u w:val="single"/>
              </w:rPr>
              <w:t>月</w:t>
            </w:r>
            <w:r>
              <w:rPr>
                <w:rFonts w:hint="eastAsia" w:ascii="宋体" w:hAnsi="宋体"/>
                <w:sz w:val="21"/>
                <w:szCs w:val="21"/>
                <w:highlight w:val="none"/>
                <w:u w:val="single"/>
                <w:lang w:val="en-US" w:eastAsia="zh-CN"/>
              </w:rPr>
              <w:t>18</w:t>
            </w:r>
            <w:r>
              <w:rPr>
                <w:rFonts w:hint="eastAsia" w:ascii="宋体" w:hAnsi="宋体"/>
                <w:sz w:val="21"/>
                <w:szCs w:val="21"/>
                <w:highlight w:val="none"/>
                <w:u w:val="single"/>
              </w:rPr>
              <w:t>日</w:t>
            </w:r>
            <w:r>
              <w:rPr>
                <w:rFonts w:hint="eastAsia" w:ascii="宋体" w:hAnsi="宋体"/>
                <w:sz w:val="21"/>
                <w:szCs w:val="21"/>
                <w:highlight w:val="none"/>
                <w:u w:val="single"/>
                <w:lang w:val="en-US" w:eastAsia="zh-CN"/>
              </w:rPr>
              <w:t>17时30分</w:t>
            </w:r>
            <w:r>
              <w:rPr>
                <w:rFonts w:hint="eastAsia" w:ascii="宋体" w:hAnsi="宋体"/>
                <w:sz w:val="21"/>
                <w:szCs w:val="21"/>
                <w:highlight w:val="none"/>
              </w:rPr>
              <w:t>前</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2.2.3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供应商确认收到采购文件补充文件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确认的最晚时间：</w:t>
            </w:r>
            <w:r>
              <w:rPr>
                <w:rFonts w:hint="eastAsia" w:cs="仿宋" w:asciiTheme="minorEastAsia" w:hAnsiTheme="minorEastAsia" w:eastAsiaTheme="minorEastAsia"/>
                <w:sz w:val="21"/>
                <w:szCs w:val="21"/>
                <w:lang w:eastAsia="zh-CN"/>
              </w:rPr>
              <w:t>收到补充文件的</w:t>
            </w:r>
            <w:r>
              <w:rPr>
                <w:rFonts w:hint="eastAsia" w:cs="仿宋" w:asciiTheme="minorEastAsia" w:hAnsiTheme="minorEastAsia" w:eastAsiaTheme="minorEastAsia"/>
                <w:sz w:val="21"/>
                <w:szCs w:val="21"/>
                <w:lang w:val="en-US" w:eastAsia="zh-CN"/>
              </w:rPr>
              <w:t>24小时内</w:t>
            </w:r>
          </w:p>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确定的方式：</w:t>
            </w:r>
            <w:r>
              <w:rPr>
                <w:rFonts w:hint="eastAsia" w:cs="仿宋" w:asciiTheme="minorEastAsia" w:hAnsiTheme="minorEastAsia" w:eastAsiaTheme="minorEastAsia"/>
                <w:sz w:val="21"/>
                <w:szCs w:val="21"/>
                <w:lang w:eastAsia="zh-CN"/>
              </w:rPr>
              <w:t>书面确认</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3.1.1（9）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构成响应文件的其他资料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资料名称：</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响应</w:t>
            </w:r>
            <w:r>
              <w:rPr>
                <w:rFonts w:hint="eastAsia" w:cs="仿宋" w:asciiTheme="minorEastAsia" w:hAnsiTheme="minorEastAsia" w:eastAsiaTheme="minorEastAsia"/>
                <w:sz w:val="21"/>
                <w:szCs w:val="21"/>
                <w:lang w:eastAsia="zh-CN"/>
              </w:rPr>
              <w:t>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仿宋"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10%</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最高限价或其计算方法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sz w:val="21"/>
                <w:szCs w:val="21"/>
              </w:rPr>
            </w:pPr>
            <w:r>
              <w:rPr>
                <w:rFonts w:hint="eastAsia" w:ascii="宋体" w:hAnsi="宋体" w:cs="宋体"/>
                <w:sz w:val="21"/>
                <w:szCs w:val="21"/>
              </w:rPr>
              <w:sym w:font="Wingdings 2" w:char="0052"/>
            </w:r>
            <w:r>
              <w:rPr>
                <w:rFonts w:hint="eastAsia" w:ascii="宋体" w:hAnsi="宋体" w:cs="宋体"/>
                <w:sz w:val="21"/>
                <w:szCs w:val="21"/>
              </w:rPr>
              <w:t>有，最高限价：人民币</w:t>
            </w:r>
            <w:r>
              <w:rPr>
                <w:rFonts w:hint="eastAsia" w:ascii="宋体" w:hAnsi="宋体" w:cs="宋体"/>
                <w:sz w:val="21"/>
                <w:szCs w:val="21"/>
                <w:lang w:val="en-US" w:eastAsia="zh-CN"/>
              </w:rPr>
              <w:t>贰拾肆万元</w:t>
            </w:r>
            <w:r>
              <w:rPr>
                <w:rFonts w:hint="eastAsia" w:ascii="宋体" w:hAnsi="宋体" w:cs="宋体"/>
                <w:sz w:val="21"/>
                <w:szCs w:val="21"/>
              </w:rPr>
              <w:t>整（小写：¥</w:t>
            </w:r>
            <w:r>
              <w:rPr>
                <w:rFonts w:hint="eastAsia" w:ascii="宋体" w:hAnsi="宋体" w:cs="宋体"/>
                <w:sz w:val="21"/>
                <w:szCs w:val="21"/>
                <w:lang w:val="en-US" w:eastAsia="zh-CN"/>
              </w:rPr>
              <w:t>240000.00</w:t>
            </w:r>
            <w:r>
              <w:rPr>
                <w:rFonts w:hint="eastAsia" w:ascii="宋体" w:hAnsi="宋体" w:cs="宋体"/>
                <w:sz w:val="21"/>
                <w:szCs w:val="21"/>
              </w:rPr>
              <w:t>元）</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报价的其他要求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此报价</w:t>
            </w:r>
            <w:r>
              <w:rPr>
                <w:rFonts w:hint="eastAsia" w:cs="仿宋" w:asciiTheme="minorEastAsia" w:hAnsiTheme="minorEastAsia" w:eastAsiaTheme="minorEastAsia"/>
                <w:sz w:val="21"/>
                <w:szCs w:val="21"/>
                <w:lang w:val="en-US" w:eastAsia="zh-CN"/>
              </w:rPr>
              <w:t>为整体包干价</w:t>
            </w: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highlight w:val="none"/>
              </w:rPr>
              <w:t>包含</w:t>
            </w:r>
            <w:r>
              <w:rPr>
                <w:rFonts w:hint="eastAsia" w:cs="仿宋" w:asciiTheme="minorEastAsia" w:hAnsiTheme="minorEastAsia" w:eastAsiaTheme="minorEastAsia"/>
                <w:sz w:val="21"/>
                <w:szCs w:val="21"/>
                <w:highlight w:val="none"/>
                <w:lang w:val="en-US" w:eastAsia="zh-CN"/>
              </w:rPr>
              <w:t>13%增值税</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递交响应文件截止之日起90日</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不要求递交</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不退还响应保证金的其他情形</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11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19"/>
                <w:rFonts w:asciiTheme="minorEastAsia" w:hAnsiTheme="minorEastAsia" w:eastAsiaTheme="minorEastAsia"/>
                <w:b w:val="0"/>
                <w:color w:val="000000"/>
                <w:sz w:val="21"/>
                <w:szCs w:val="21"/>
              </w:rPr>
            </w:pPr>
            <w:r>
              <w:rPr>
                <w:rStyle w:val="19"/>
                <w:rFonts w:hint="eastAsia" w:asciiTheme="minorEastAsia" w:hAnsiTheme="minorEastAsia" w:eastAsiaTheme="minorEastAsia"/>
                <w:b w:val="0"/>
                <w:color w:val="000000"/>
                <w:sz w:val="21"/>
                <w:szCs w:val="21"/>
              </w:rPr>
              <w:t>依法设立的证明材料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sym w:font="Wingdings 2" w:char="0052"/>
            </w:r>
            <w:r>
              <w:rPr>
                <w:rFonts w:hint="eastAsia" w:cs="仿宋" w:asciiTheme="minorEastAsia" w:hAnsiTheme="minorEastAsia" w:eastAsiaTheme="minorEastAsia"/>
                <w:b/>
                <w:bCs/>
                <w:sz w:val="21"/>
                <w:szCs w:val="21"/>
              </w:rPr>
              <w:t>适用。</w:t>
            </w:r>
          </w:p>
          <w:p>
            <w:pPr>
              <w:spacing w:line="360" w:lineRule="auto"/>
              <w:jc w:val="left"/>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供应商应提供市场监管部门或其他行政机关颁发的可以合法开展</w:t>
            </w:r>
            <w:r>
              <w:rPr>
                <w:rFonts w:hint="eastAsia" w:asciiTheme="minorEastAsia" w:hAnsiTheme="minorEastAsia" w:eastAsiaTheme="minorEastAsia"/>
                <w:color w:val="000000"/>
                <w:sz w:val="21"/>
                <w:szCs w:val="21"/>
                <w:lang w:eastAsia="zh-CN"/>
              </w:rPr>
              <w:t>业务并适用于本项目范围</w:t>
            </w:r>
            <w:r>
              <w:rPr>
                <w:rFonts w:hint="eastAsia" w:asciiTheme="minorEastAsia" w:hAnsiTheme="minorEastAsia" w:eastAsiaTheme="minorEastAsia"/>
                <w:color w:val="000000"/>
                <w:sz w:val="21"/>
                <w:szCs w:val="21"/>
              </w:rPr>
              <w:t>的执照或证书。</w:t>
            </w:r>
            <w:r>
              <w:rPr>
                <w:rFonts w:hint="eastAsia" w:asciiTheme="minorEastAsia" w:hAnsiTheme="minorEastAsia" w:eastAsiaTheme="minorEastAsia"/>
                <w:color w:val="000000"/>
                <w:sz w:val="21"/>
                <w:szCs w:val="21"/>
                <w:lang w:eastAsia="zh-CN"/>
              </w:rPr>
              <w:t>提供营业执照复印件并加盖单位公章。</w:t>
            </w:r>
          </w:p>
        </w:tc>
      </w:tr>
      <w:tr>
        <w:tblPrEx>
          <w:tblCellMar>
            <w:top w:w="0" w:type="dxa"/>
            <w:left w:w="108" w:type="dxa"/>
            <w:bottom w:w="0" w:type="dxa"/>
            <w:right w:w="108" w:type="dxa"/>
          </w:tblCellMar>
        </w:tblPrEx>
        <w:trPr>
          <w:trHeight w:val="60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yellow"/>
              </w:rPr>
            </w:pPr>
            <w:r>
              <w:rPr>
                <w:rStyle w:val="19"/>
                <w:rFonts w:hint="eastAsia" w:asciiTheme="minorEastAsia" w:hAnsiTheme="minorEastAsia" w:eastAsiaTheme="minorEastAsia"/>
                <w:b w:val="0"/>
                <w:color w:val="000000"/>
                <w:sz w:val="21"/>
                <w:szCs w:val="21"/>
                <w:highlight w:val="none"/>
              </w:rPr>
              <w:t>资质要求证明材料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sym w:font="Wingdings 2" w:char="0052"/>
            </w:r>
            <w:r>
              <w:rPr>
                <w:rFonts w:hint="eastAsia" w:cs="仿宋" w:asciiTheme="minorEastAsia" w:hAnsiTheme="minorEastAsia" w:eastAsiaTheme="minorEastAsia"/>
                <w:b/>
                <w:bCs/>
                <w:sz w:val="21"/>
                <w:szCs w:val="21"/>
              </w:rPr>
              <w:t>适用。</w:t>
            </w:r>
          </w:p>
          <w:p>
            <w:pPr>
              <w:spacing w:line="360" w:lineRule="auto"/>
              <w:jc w:val="both"/>
              <w:rPr>
                <w:rFonts w:hint="default"/>
                <w:lang w:val="en-US"/>
              </w:rPr>
            </w:pPr>
            <w:r>
              <w:rPr>
                <w:rFonts w:hint="eastAsia" w:cs="Times New Roman" w:asciiTheme="minorEastAsia" w:hAnsiTheme="minorEastAsia" w:eastAsiaTheme="minorEastAsia"/>
                <w:color w:val="000000"/>
                <w:sz w:val="21"/>
                <w:szCs w:val="21"/>
                <w:lang w:eastAsia="zh-CN"/>
              </w:rPr>
              <w:t>若供应商为所供产品代理商，需提供产品厂家的</w:t>
            </w:r>
            <w:r>
              <w:rPr>
                <w:rFonts w:hint="eastAsia" w:cs="Times New Roman" w:asciiTheme="minorEastAsia" w:hAnsiTheme="minorEastAsia" w:eastAsiaTheme="minorEastAsia"/>
                <w:b/>
                <w:bCs/>
                <w:color w:val="000000"/>
                <w:sz w:val="21"/>
                <w:szCs w:val="21"/>
                <w:lang w:eastAsia="zh-CN"/>
              </w:rPr>
              <w:t>授权代理证书</w:t>
            </w:r>
            <w:r>
              <w:rPr>
                <w:rFonts w:hint="eastAsia" w:cs="Times New Roman" w:asciiTheme="minorEastAsia" w:hAnsiTheme="minorEastAsia" w:eastAsiaTheme="minorEastAsia"/>
                <w:color w:val="000000"/>
                <w:sz w:val="21"/>
                <w:szCs w:val="21"/>
                <w:lang w:eastAsia="zh-CN"/>
              </w:rPr>
              <w:t>。</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19"/>
                <w:rFonts w:asciiTheme="minorEastAsia" w:hAnsiTheme="minorEastAsia" w:eastAsiaTheme="minorEastAsia"/>
                <w:b w:val="0"/>
                <w:color w:val="000000"/>
                <w:sz w:val="21"/>
                <w:szCs w:val="21"/>
                <w:highlight w:val="none"/>
              </w:rPr>
            </w:pPr>
            <w:r>
              <w:rPr>
                <w:rStyle w:val="19"/>
                <w:rFonts w:hint="eastAsia" w:asciiTheme="minorEastAsia" w:hAnsiTheme="minorEastAsia" w:eastAsiaTheme="minorEastAsia"/>
                <w:b w:val="0"/>
                <w:color w:val="000000"/>
                <w:sz w:val="21"/>
                <w:szCs w:val="21"/>
                <w:highlight w:val="none"/>
              </w:rPr>
              <w:t>财务要求证明材料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sz w:val="21"/>
                <w:szCs w:val="21"/>
                <w:highlight w:val="none"/>
              </w:rPr>
            </w:pPr>
            <w:r>
              <w:rPr>
                <w:rFonts w:hint="eastAsia" w:cs="仿宋" w:asciiTheme="minorEastAsia" w:hAnsiTheme="minorEastAsia" w:eastAsiaTheme="minorEastAsia"/>
                <w:b w:val="0"/>
                <w:bCs w:val="0"/>
                <w:sz w:val="21"/>
                <w:szCs w:val="21"/>
                <w:highlight w:val="none"/>
              </w:rPr>
              <w:sym w:font="Wingdings 2" w:char="0052"/>
            </w:r>
            <w:r>
              <w:rPr>
                <w:rFonts w:hint="eastAsia" w:cs="仿宋" w:asciiTheme="minorEastAsia" w:hAnsiTheme="minorEastAsia" w:eastAsiaTheme="minorEastAsia"/>
                <w:b w:val="0"/>
                <w:bCs w:val="0"/>
                <w:sz w:val="21"/>
                <w:szCs w:val="21"/>
                <w:highlight w:val="none"/>
                <w:lang w:val="en-US" w:eastAsia="zh-CN"/>
              </w:rPr>
              <w:t>不</w:t>
            </w:r>
            <w:r>
              <w:rPr>
                <w:rFonts w:hint="eastAsia" w:cs="仿宋" w:asciiTheme="minorEastAsia" w:hAnsiTheme="minorEastAsia" w:eastAsiaTheme="minorEastAsia"/>
                <w:b w:val="0"/>
                <w:bCs w:val="0"/>
                <w:sz w:val="21"/>
                <w:szCs w:val="21"/>
                <w:highlight w:val="none"/>
              </w:rPr>
              <w:t>适用。</w:t>
            </w:r>
          </w:p>
        </w:tc>
      </w:tr>
      <w:tr>
        <w:tblPrEx>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业绩要求证明材料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b/>
                <w:bCs/>
              </w:rPr>
            </w:pPr>
            <w:r>
              <w:rPr>
                <w:rFonts w:hint="eastAsia"/>
                <w:b/>
                <w:bCs/>
              </w:rPr>
              <w:sym w:font="Wingdings 2" w:char="0052"/>
            </w:r>
            <w:r>
              <w:rPr>
                <w:rFonts w:hint="eastAsia"/>
                <w:b/>
                <w:bCs/>
              </w:rPr>
              <w:t>适用。</w:t>
            </w:r>
          </w:p>
          <w:p>
            <w:pPr>
              <w:spacing w:line="360" w:lineRule="auto"/>
              <w:jc w:val="left"/>
            </w:pPr>
            <w:r>
              <w:rPr>
                <w:rFonts w:hint="eastAsia"/>
              </w:rPr>
              <w:t>供应商应提供近年的类似项目情况表（格式见第六章“响应文件格式”七、资格审查资料（三）近年的类似项目情况表），以证明供应商具有承担本项目要求的业绩。近年是指</w:t>
            </w:r>
            <w:r>
              <w:rPr>
                <w:rFonts w:hint="eastAsia"/>
                <w:u w:val="single"/>
              </w:rPr>
              <w:t>20</w:t>
            </w:r>
            <w:r>
              <w:rPr>
                <w:rFonts w:hint="eastAsia"/>
                <w:u w:val="single"/>
                <w:lang w:val="en-US" w:eastAsia="zh-CN"/>
              </w:rPr>
              <w:t>20</w:t>
            </w:r>
            <w:r>
              <w:rPr>
                <w:rFonts w:hint="eastAsia"/>
                <w:u w:val="single"/>
              </w:rPr>
              <w:t>年</w:t>
            </w:r>
            <w:r>
              <w:rPr>
                <w:rFonts w:hint="eastAsia"/>
                <w:u w:val="single"/>
                <w:lang w:val="en-US" w:eastAsia="zh-CN"/>
              </w:rPr>
              <w:t>9</w:t>
            </w:r>
            <w:r>
              <w:rPr>
                <w:rFonts w:hint="eastAsia"/>
                <w:u w:val="single"/>
              </w:rPr>
              <w:t>月</w:t>
            </w:r>
            <w:r>
              <w:rPr>
                <w:rFonts w:hint="eastAsia"/>
              </w:rPr>
              <w:t>至</w:t>
            </w:r>
            <w:r>
              <w:rPr>
                <w:u w:val="single"/>
              </w:rPr>
              <w:t>202</w:t>
            </w:r>
            <w:r>
              <w:rPr>
                <w:rFonts w:hint="eastAsia"/>
                <w:u w:val="single"/>
              </w:rPr>
              <w:t>2年</w:t>
            </w:r>
            <w:r>
              <w:rPr>
                <w:rFonts w:hint="eastAsia"/>
                <w:u w:val="single"/>
                <w:lang w:val="en-US" w:eastAsia="zh-CN"/>
              </w:rPr>
              <w:t>9</w:t>
            </w:r>
            <w:r>
              <w:rPr>
                <w:rFonts w:hint="eastAsia"/>
                <w:u w:val="single"/>
              </w:rPr>
              <w:t>月</w:t>
            </w:r>
          </w:p>
          <w:p>
            <w:pPr>
              <w:spacing w:line="360" w:lineRule="auto"/>
              <w:jc w:val="left"/>
            </w:pPr>
            <w:r>
              <w:rPr>
                <w:rFonts w:hint="eastAsia"/>
              </w:rPr>
              <w:t>业绩证明材料：</w:t>
            </w:r>
          </w:p>
          <w:p>
            <w:pPr>
              <w:spacing w:line="360" w:lineRule="auto"/>
              <w:jc w:val="left"/>
              <w:rPr>
                <w:b/>
                <w:bCs/>
              </w:rPr>
            </w:pPr>
            <w:r>
              <w:rPr>
                <w:rFonts w:hint="eastAsia"/>
                <w:b/>
                <w:bCs/>
              </w:rPr>
              <w:sym w:font="Wingdings 2" w:char="0052"/>
            </w:r>
            <w:r>
              <w:rPr>
                <w:rFonts w:hint="eastAsia"/>
                <w:b/>
                <w:bCs/>
              </w:rPr>
              <w:t>合同/订单</w:t>
            </w:r>
          </w:p>
          <w:p>
            <w:pPr>
              <w:spacing w:line="360" w:lineRule="auto"/>
              <w:jc w:val="left"/>
            </w:pPr>
            <w:r>
              <w:rPr>
                <w:rFonts w:hint="eastAsia"/>
              </w:rPr>
              <w:t>业绩证明材料种类要求：</w:t>
            </w:r>
          </w:p>
          <w:p>
            <w:pPr>
              <w:spacing w:line="360" w:lineRule="auto"/>
              <w:jc w:val="left"/>
              <w:rPr>
                <w:rFonts w:hint="eastAsia"/>
                <w:lang w:eastAsia="zh-CN"/>
              </w:rPr>
            </w:pPr>
            <w:r>
              <w:rPr>
                <w:rFonts w:hint="eastAsia"/>
              </w:rPr>
              <w:t>☑其他要求：</w:t>
            </w:r>
            <w:r>
              <w:rPr>
                <w:rFonts w:hint="eastAsia"/>
                <w:lang w:eastAsia="zh-CN"/>
              </w:rPr>
              <w:t>至少提供</w:t>
            </w:r>
            <w:r>
              <w:rPr>
                <w:rFonts w:hint="eastAsia"/>
                <w:u w:val="single"/>
                <w:lang w:val="en-US" w:eastAsia="zh-CN"/>
              </w:rPr>
              <w:t xml:space="preserve"> 1个</w:t>
            </w:r>
            <w:r>
              <w:rPr>
                <w:rFonts w:hint="eastAsia"/>
                <w:lang w:val="en-US" w:eastAsia="zh-CN"/>
              </w:rPr>
              <w:t>近年类似项目业绩，证明材料若为</w:t>
            </w:r>
            <w:r>
              <w:rPr>
                <w:rFonts w:hint="eastAsia"/>
                <w:lang w:eastAsia="zh-CN"/>
              </w:rPr>
              <w:t>复印件需加盖单位公章。</w:t>
            </w:r>
          </w:p>
          <w:p>
            <w:pPr>
              <w:adjustRightInd/>
              <w:snapToGrid/>
              <w:spacing w:after="0" w:line="360" w:lineRule="auto"/>
              <w:jc w:val="both"/>
            </w:pPr>
            <w:r>
              <w:rPr>
                <w:rFonts w:hint="eastAsia" w:ascii="Times New Roman" w:hAnsi="Times New Roman" w:cs="Times New Roman"/>
                <w:lang w:val="en-US" w:eastAsia="zh-CN"/>
              </w:rPr>
              <w:t>注：</w:t>
            </w:r>
            <w:r>
              <w:rPr>
                <w:rFonts w:hint="eastAsia" w:ascii="Times New Roman" w:hAnsi="Times New Roman" w:cs="Times New Roman"/>
                <w:lang w:eastAsia="zh-CN"/>
              </w:rPr>
              <w:t>类似项目是指与本项目采购规模</w:t>
            </w:r>
            <w:r>
              <w:rPr>
                <w:rFonts w:hint="eastAsia" w:cs="Times New Roman"/>
                <w:lang w:eastAsia="zh-CN"/>
              </w:rPr>
              <w:t>、</w:t>
            </w:r>
            <w:r>
              <w:rPr>
                <w:rFonts w:hint="eastAsia" w:ascii="Times New Roman" w:hAnsi="Times New Roman" w:cs="Times New Roman"/>
                <w:lang w:eastAsia="zh-CN"/>
              </w:rPr>
              <w:t>产品类型</w:t>
            </w:r>
            <w:r>
              <w:rPr>
                <w:rFonts w:hint="eastAsia" w:cs="Times New Roman"/>
                <w:lang w:eastAsia="zh-CN"/>
              </w:rPr>
              <w:t>、</w:t>
            </w:r>
            <w:r>
              <w:rPr>
                <w:rFonts w:hint="eastAsia" w:ascii="Times New Roman" w:hAnsi="Times New Roman" w:cs="Times New Roman"/>
                <w:lang w:eastAsia="zh-CN"/>
              </w:rPr>
              <w:t>产品型号</w:t>
            </w:r>
            <w:r>
              <w:rPr>
                <w:rFonts w:hint="eastAsia" w:cs="Times New Roman"/>
                <w:lang w:eastAsia="zh-CN"/>
              </w:rPr>
              <w:t>、</w:t>
            </w:r>
            <w:r>
              <w:rPr>
                <w:rFonts w:hint="eastAsia" w:ascii="Times New Roman" w:hAnsi="Times New Roman" w:cs="Times New Roman"/>
                <w:lang w:eastAsia="zh-CN"/>
              </w:rPr>
              <w:t>使用功能等相近或相同的项目。</w:t>
            </w:r>
          </w:p>
        </w:tc>
      </w:tr>
      <w:tr>
        <w:tblPrEx>
          <w:tblCellMar>
            <w:top w:w="0" w:type="dxa"/>
            <w:left w:w="108" w:type="dxa"/>
            <w:bottom w:w="0" w:type="dxa"/>
            <w:right w:w="108" w:type="dxa"/>
          </w:tblCellMar>
        </w:tblPrEx>
        <w:trPr>
          <w:trHeight w:val="68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信誉要求证明材料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不适用</w:t>
            </w:r>
          </w:p>
        </w:tc>
      </w:tr>
      <w:tr>
        <w:tblPrEx>
          <w:tblCellMar>
            <w:top w:w="0" w:type="dxa"/>
            <w:left w:w="108" w:type="dxa"/>
            <w:bottom w:w="0" w:type="dxa"/>
            <w:right w:w="108" w:type="dxa"/>
          </w:tblCellMar>
        </w:tblPrEx>
        <w:trPr>
          <w:trHeight w:val="83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3.5（6）</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承担本项目的主要人员要求证明材料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5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其他要求的证明材料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186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供应商不存在第一章3.1款情形的证明材料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rPr>
              <w:sym w:font="Wingdings 2" w:char="0052"/>
            </w:r>
            <w:r>
              <w:rPr>
                <w:rFonts w:hint="eastAsia" w:cs="宋体" w:asciiTheme="minorEastAsia" w:hAnsiTheme="minorEastAsia" w:eastAsiaTheme="minorEastAsia"/>
                <w:b/>
                <w:bCs/>
                <w:color w:val="000000"/>
                <w:sz w:val="21"/>
                <w:szCs w:val="21"/>
              </w:rPr>
              <w:t>需要提供证明材料</w:t>
            </w:r>
            <w:r>
              <w:rPr>
                <w:rFonts w:hint="eastAsia" w:cs="宋体" w:asciiTheme="minorEastAsia" w:hAnsiTheme="minorEastAsia" w:eastAsiaTheme="minorEastAsia"/>
                <w:color w:val="000000"/>
                <w:sz w:val="21"/>
                <w:szCs w:val="21"/>
              </w:rPr>
              <w:t>，包括：</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u w:val="single"/>
              </w:rPr>
              <w:t>信用中国</w:t>
            </w:r>
            <w:r>
              <w:rPr>
                <w:rFonts w:hint="eastAsia" w:ascii="宋体" w:hAnsi="宋体" w:cs="宋体"/>
                <w:sz w:val="21"/>
                <w:szCs w:val="21"/>
                <w:u w:val="single"/>
              </w:rPr>
              <w:t>（https://www.creditchina.gov.cn/）网站上所下载的“企业信用信息报告”第1、2页复印件。</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对关键条款进行响应的证据或证明材料要求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提供证据或证明材料复印件，并加盖单位公章。</w:t>
            </w:r>
          </w:p>
        </w:tc>
      </w:tr>
      <w:tr>
        <w:tblPrEx>
          <w:tblCellMar>
            <w:top w:w="0" w:type="dxa"/>
            <w:left w:w="108" w:type="dxa"/>
            <w:bottom w:w="0" w:type="dxa"/>
            <w:right w:w="108" w:type="dxa"/>
          </w:tblCellMar>
        </w:tblPrEx>
        <w:trPr>
          <w:trHeight w:val="6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响应方案数量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供应商只能提出唯一响应方案</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3.7.5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响应文件及电子版要求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是否要求提供电子版响应文件：</w:t>
            </w: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响应文件的密封</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响应文件须密封包装，并在封套的封口处加盖供应商单位章。</w:t>
            </w:r>
          </w:p>
        </w:tc>
      </w:tr>
      <w:tr>
        <w:tblPrEx>
          <w:tblCellMar>
            <w:top w:w="0" w:type="dxa"/>
            <w:left w:w="108" w:type="dxa"/>
            <w:bottom w:w="0" w:type="dxa"/>
            <w:right w:w="108" w:type="dxa"/>
          </w:tblCellMar>
        </w:tblPrEx>
        <w:trPr>
          <w:trHeight w:val="9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封套上应载明的信息</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适用：</w:t>
            </w:r>
            <w:r>
              <w:rPr>
                <w:rFonts w:hint="eastAsia" w:cs="宋体" w:asciiTheme="minorEastAsia" w:hAnsiTheme="minorEastAsia" w:eastAsiaTheme="minorEastAsia"/>
                <w:color w:val="000000"/>
                <w:sz w:val="21"/>
                <w:szCs w:val="21"/>
                <w:u w:val="single"/>
                <w:lang w:val="en-US" w:eastAsia="zh-CN"/>
              </w:rPr>
              <w:t>湖南港产科技有限公司新港片区户外LED显示屏询价采购</w:t>
            </w:r>
            <w:r>
              <w:rPr>
                <w:rFonts w:hint="eastAsia" w:ascii="宋体" w:hAnsi="宋体"/>
                <w:sz w:val="21"/>
                <w:szCs w:val="21"/>
                <w:u w:val="single"/>
                <w:lang w:val="en-US" w:eastAsia="zh-CN"/>
              </w:rPr>
              <w:t>项目</w:t>
            </w:r>
            <w:r>
              <w:rPr>
                <w:rFonts w:hint="eastAsia" w:cs="宋体" w:asciiTheme="minorEastAsia" w:hAnsiTheme="minorEastAsia" w:eastAsiaTheme="minorEastAsia"/>
                <w:color w:val="000000"/>
                <w:sz w:val="21"/>
                <w:szCs w:val="21"/>
                <w:u w:val="single"/>
              </w:rPr>
              <w:t>响应文件</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递交响应文件截止时间和地点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sz w:val="21"/>
                <w:szCs w:val="21"/>
                <w:highlight w:val="none"/>
                <w:u w:val="single"/>
              </w:rPr>
            </w:pPr>
            <w:r>
              <w:rPr>
                <w:rFonts w:hint="eastAsia" w:cs="宋体" w:asciiTheme="minorEastAsia" w:hAnsiTheme="minorEastAsia" w:eastAsiaTheme="minorEastAsia"/>
                <w:color w:val="000000"/>
                <w:sz w:val="21"/>
                <w:szCs w:val="21"/>
              </w:rPr>
              <w:t>截止时</w:t>
            </w:r>
            <w:r>
              <w:rPr>
                <w:rFonts w:hint="eastAsia" w:cs="宋体" w:asciiTheme="minorEastAsia" w:hAnsiTheme="minorEastAsia" w:eastAsiaTheme="minorEastAsia"/>
                <w:color w:val="000000"/>
                <w:sz w:val="21"/>
                <w:szCs w:val="21"/>
                <w:highlight w:val="none"/>
              </w:rPr>
              <w:t>间：</w:t>
            </w:r>
            <w:r>
              <w:rPr>
                <w:rFonts w:hint="eastAsia" w:ascii="宋体" w:hAnsi="宋体" w:eastAsia="宋体" w:cs="宋体"/>
                <w:color w:val="000000"/>
                <w:sz w:val="21"/>
                <w:szCs w:val="21"/>
                <w:highlight w:val="none"/>
                <w:u w:val="single"/>
                <w:shd w:val="clear" w:color="auto" w:fill="auto"/>
                <w:lang w:val="en-US" w:eastAsia="zh-CN"/>
              </w:rPr>
              <w:t>202</w:t>
            </w:r>
            <w:r>
              <w:rPr>
                <w:rFonts w:hint="eastAsia" w:ascii="宋体" w:hAnsi="宋体" w:cs="宋体"/>
                <w:color w:val="000000"/>
                <w:sz w:val="21"/>
                <w:szCs w:val="21"/>
                <w:highlight w:val="none"/>
                <w:u w:val="single"/>
                <w:shd w:val="clear" w:color="auto" w:fill="auto"/>
                <w:lang w:val="en-US" w:eastAsia="zh-CN"/>
              </w:rPr>
              <w:t>2</w:t>
            </w:r>
            <w:r>
              <w:rPr>
                <w:rFonts w:hint="eastAsia" w:ascii="宋体" w:hAnsi="宋体" w:eastAsia="宋体" w:cs="宋体"/>
                <w:color w:val="000000"/>
                <w:sz w:val="21"/>
                <w:szCs w:val="21"/>
                <w:highlight w:val="none"/>
                <w:u w:val="single"/>
                <w:shd w:val="clear" w:color="auto" w:fill="auto"/>
                <w:lang w:val="en-US" w:eastAsia="zh-CN"/>
              </w:rPr>
              <w:t>年</w:t>
            </w:r>
            <w:r>
              <w:rPr>
                <w:rFonts w:hint="eastAsia" w:ascii="宋体" w:hAnsi="宋体" w:cs="宋体"/>
                <w:color w:val="000000"/>
                <w:sz w:val="21"/>
                <w:szCs w:val="21"/>
                <w:highlight w:val="none"/>
                <w:u w:val="single"/>
                <w:shd w:val="clear" w:color="auto" w:fill="auto"/>
                <w:lang w:val="en-US" w:eastAsia="zh-CN"/>
              </w:rPr>
              <w:t>9</w:t>
            </w:r>
            <w:r>
              <w:rPr>
                <w:rFonts w:hint="eastAsia" w:ascii="宋体" w:hAnsi="宋体" w:eastAsia="宋体" w:cs="宋体"/>
                <w:color w:val="000000"/>
                <w:sz w:val="21"/>
                <w:szCs w:val="21"/>
                <w:highlight w:val="none"/>
                <w:u w:val="single"/>
                <w:shd w:val="clear" w:color="auto" w:fill="auto"/>
                <w:lang w:val="en-US" w:eastAsia="zh-CN"/>
              </w:rPr>
              <w:t>月</w:t>
            </w:r>
            <w:r>
              <w:rPr>
                <w:rFonts w:hint="eastAsia" w:ascii="宋体" w:hAnsi="宋体" w:cs="宋体"/>
                <w:color w:val="000000"/>
                <w:sz w:val="21"/>
                <w:szCs w:val="21"/>
                <w:highlight w:val="none"/>
                <w:u w:val="single"/>
                <w:shd w:val="clear" w:color="auto" w:fill="auto"/>
                <w:lang w:val="en-US" w:eastAsia="zh-CN"/>
              </w:rPr>
              <w:t>19</w:t>
            </w:r>
            <w:r>
              <w:rPr>
                <w:rFonts w:hint="eastAsia" w:ascii="宋体" w:hAnsi="宋体" w:eastAsia="宋体" w:cs="宋体"/>
                <w:color w:val="000000"/>
                <w:sz w:val="21"/>
                <w:szCs w:val="21"/>
                <w:highlight w:val="none"/>
                <w:u w:val="single"/>
                <w:shd w:val="clear" w:color="auto" w:fill="auto"/>
                <w:lang w:val="en-US" w:eastAsia="zh-CN"/>
              </w:rPr>
              <w:t>日</w:t>
            </w:r>
            <w:r>
              <w:rPr>
                <w:rFonts w:hint="eastAsia" w:ascii="宋体" w:hAnsi="宋体" w:cs="宋体"/>
                <w:color w:val="000000"/>
                <w:sz w:val="21"/>
                <w:szCs w:val="21"/>
                <w:highlight w:val="none"/>
                <w:u w:val="single"/>
                <w:shd w:val="clear" w:color="auto" w:fill="auto"/>
                <w:lang w:val="en-US" w:eastAsia="zh-CN"/>
              </w:rPr>
              <w:t>12</w:t>
            </w:r>
            <w:r>
              <w:rPr>
                <w:rFonts w:hint="eastAsia" w:ascii="宋体" w:hAnsi="宋体" w:eastAsia="宋体" w:cs="宋体"/>
                <w:color w:val="000000"/>
                <w:sz w:val="21"/>
                <w:szCs w:val="21"/>
                <w:highlight w:val="none"/>
                <w:u w:val="single"/>
                <w:shd w:val="clear" w:color="auto" w:fill="auto"/>
                <w:lang w:val="en-US" w:eastAsia="zh-CN"/>
              </w:rPr>
              <w:t>时</w:t>
            </w:r>
            <w:r>
              <w:rPr>
                <w:rFonts w:hint="eastAsia" w:ascii="宋体" w:hAnsi="宋体" w:cs="宋体"/>
                <w:color w:val="000000"/>
                <w:sz w:val="21"/>
                <w:szCs w:val="21"/>
                <w:highlight w:val="none"/>
                <w:u w:val="single"/>
                <w:shd w:val="clear" w:color="auto" w:fill="auto"/>
                <w:lang w:val="en-US" w:eastAsia="zh-CN"/>
              </w:rPr>
              <w:t>00</w:t>
            </w:r>
            <w:r>
              <w:rPr>
                <w:rFonts w:hint="eastAsia" w:ascii="宋体" w:hAnsi="宋体" w:eastAsia="宋体" w:cs="宋体"/>
                <w:color w:val="000000"/>
                <w:sz w:val="21"/>
                <w:szCs w:val="21"/>
                <w:highlight w:val="none"/>
                <w:u w:val="single"/>
                <w:shd w:val="clear" w:color="auto" w:fill="auto"/>
                <w:lang w:val="en-US" w:eastAsia="zh-CN"/>
              </w:rPr>
              <w:t>分</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递交响应文件的地点：</w:t>
            </w:r>
            <w:r>
              <w:rPr>
                <w:rFonts w:hint="eastAsia" w:cs="宋体" w:asciiTheme="minorEastAsia" w:hAnsiTheme="minorEastAsia" w:eastAsiaTheme="minorEastAsia"/>
                <w:color w:val="000000"/>
                <w:sz w:val="21"/>
                <w:szCs w:val="21"/>
                <w:u w:val="single"/>
                <w:lang w:val="en-US" w:eastAsia="zh-CN"/>
              </w:rPr>
              <w:t>湖南</w:t>
            </w:r>
            <w:r>
              <w:rPr>
                <w:rFonts w:hint="eastAsia" w:ascii="宋体" w:hAnsi="宋体"/>
                <w:sz w:val="21"/>
                <w:szCs w:val="21"/>
                <w:u w:val="single"/>
              </w:rPr>
              <w:t>港</w:t>
            </w:r>
            <w:r>
              <w:rPr>
                <w:rFonts w:hint="eastAsia" w:ascii="宋体" w:hAnsi="宋体"/>
                <w:sz w:val="21"/>
                <w:szCs w:val="21"/>
                <w:u w:val="single"/>
                <w:lang w:val="en-US" w:eastAsia="zh-CN"/>
              </w:rPr>
              <w:t>产科技有限公司</w:t>
            </w:r>
            <w:r>
              <w:rPr>
                <w:rFonts w:hint="eastAsia" w:ascii="宋体" w:hAnsi="宋体"/>
                <w:sz w:val="21"/>
                <w:szCs w:val="21"/>
                <w:u w:val="single"/>
              </w:rPr>
              <w:t>办公楼1楼10</w:t>
            </w:r>
            <w:r>
              <w:rPr>
                <w:rFonts w:hint="eastAsia" w:ascii="宋体" w:hAnsi="宋体"/>
                <w:sz w:val="21"/>
                <w:szCs w:val="21"/>
                <w:u w:val="single"/>
                <w:lang w:val="en-US" w:eastAsia="zh-CN"/>
              </w:rPr>
              <w:t>8</w:t>
            </w:r>
            <w:r>
              <w:rPr>
                <w:rFonts w:hint="eastAsia" w:ascii="宋体" w:hAnsi="宋体"/>
                <w:sz w:val="21"/>
                <w:szCs w:val="21"/>
                <w:u w:val="single"/>
              </w:rPr>
              <w:t>室</w:t>
            </w:r>
          </w:p>
        </w:tc>
      </w:tr>
      <w:tr>
        <w:tblPrEx>
          <w:tblCellMar>
            <w:top w:w="0" w:type="dxa"/>
            <w:left w:w="108" w:type="dxa"/>
            <w:bottom w:w="0" w:type="dxa"/>
            <w:right w:w="108" w:type="dxa"/>
          </w:tblCellMar>
        </w:tblPrEx>
        <w:trPr>
          <w:trHeight w:val="56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96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4.3.3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供应商撤回响应文件情况下退还响应保证金的时间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无</w:t>
            </w:r>
          </w:p>
        </w:tc>
      </w:tr>
      <w:tr>
        <w:tblPrEx>
          <w:tblCellMar>
            <w:top w:w="0" w:type="dxa"/>
            <w:left w:w="108" w:type="dxa"/>
            <w:bottom w:w="0" w:type="dxa"/>
            <w:right w:w="108" w:type="dxa"/>
          </w:tblCellMar>
        </w:tblPrEx>
        <w:trPr>
          <w:trHeight w:val="54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否</w:t>
            </w:r>
          </w:p>
        </w:tc>
      </w:tr>
      <w:tr>
        <w:tblPrEx>
          <w:tblCellMar>
            <w:top w:w="0" w:type="dxa"/>
            <w:left w:w="108" w:type="dxa"/>
            <w:bottom w:w="0" w:type="dxa"/>
            <w:right w:w="108" w:type="dxa"/>
          </w:tblCellMar>
        </w:tblPrEx>
        <w:trPr>
          <w:trHeight w:val="63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湖南省港务集团有限公司六楼</w:t>
            </w:r>
            <w:r>
              <w:rPr>
                <w:rFonts w:hint="eastAsia" w:cs="宋体" w:asciiTheme="minorEastAsia" w:hAnsiTheme="minorEastAsia" w:eastAsiaTheme="minorEastAsia"/>
                <w:color w:val="000000"/>
                <w:sz w:val="21"/>
                <w:szCs w:val="21"/>
                <w:lang w:val="en-US" w:eastAsia="zh-CN"/>
              </w:rPr>
              <w:t>602开评标室</w:t>
            </w:r>
          </w:p>
        </w:tc>
      </w:tr>
      <w:tr>
        <w:tblPrEx>
          <w:tblCellMar>
            <w:top w:w="0" w:type="dxa"/>
            <w:left w:w="108" w:type="dxa"/>
            <w:bottom w:w="0" w:type="dxa"/>
            <w:right w:w="108" w:type="dxa"/>
          </w:tblCellMar>
        </w:tblPrEx>
        <w:trPr>
          <w:trHeight w:val="59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随机</w:t>
            </w:r>
            <w:r>
              <w:rPr>
                <w:rFonts w:hint="eastAsia" w:cs="宋体" w:asciiTheme="minorEastAsia" w:hAnsiTheme="minorEastAsia" w:eastAsiaTheme="minorEastAsia"/>
                <w:color w:val="000000"/>
                <w:sz w:val="21"/>
                <w:szCs w:val="21"/>
                <w:u w:val="single"/>
                <w:lang w:eastAsia="zh-CN"/>
              </w:rPr>
              <w:t>开启</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r>
              <w:rPr>
                <w:rStyle w:val="21"/>
                <w:rFonts w:cs="宋体" w:asciiTheme="minorEastAsia" w:hAnsiTheme="minorEastAsia" w:eastAsiaTheme="minorEastAsia"/>
                <w:color w:val="000000"/>
                <w:sz w:val="21"/>
                <w:szCs w:val="21"/>
              </w:rPr>
              <w:footnoteReference w:id="0"/>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w:t>
            </w:r>
            <w:r>
              <w:rPr>
                <w:rFonts w:hint="eastAsia" w:cs="宋体" w:asciiTheme="minorEastAsia" w:hAnsiTheme="minorEastAsia" w:eastAsiaTheme="minorEastAsia"/>
                <w:color w:val="000000"/>
                <w:sz w:val="21"/>
                <w:szCs w:val="21"/>
                <w:u w:val="single"/>
              </w:rPr>
              <w:t>3</w:t>
            </w:r>
            <w:r>
              <w:rPr>
                <w:rFonts w:hint="eastAsia" w:cs="宋体" w:asciiTheme="minorEastAsia" w:hAnsiTheme="minorEastAsia" w:eastAsiaTheme="minorEastAsia"/>
                <w:color w:val="000000"/>
                <w:sz w:val="21"/>
                <w:szCs w:val="21"/>
              </w:rPr>
              <w:t>人。</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w:t>
            </w:r>
            <w:r>
              <w:rPr>
                <w:rFonts w:hint="eastAsia" w:cs="宋体" w:asciiTheme="minorEastAsia" w:hAnsiTheme="minorEastAsia" w:eastAsiaTheme="minorEastAsia"/>
                <w:color w:val="000000"/>
                <w:sz w:val="21"/>
                <w:szCs w:val="21"/>
                <w:lang w:eastAsia="zh-CN"/>
              </w:rPr>
              <w:t>采购单位代表</w:t>
            </w:r>
            <w:r>
              <w:rPr>
                <w:rFonts w:hint="eastAsia" w:cs="宋体" w:asciiTheme="minorEastAsia" w:hAnsiTheme="minorEastAsia" w:eastAsiaTheme="minorEastAsia"/>
                <w:color w:val="000000"/>
                <w:sz w:val="21"/>
                <w:szCs w:val="21"/>
                <w:u w:val="single"/>
                <w:lang w:val="en-US" w:eastAsia="zh-CN"/>
              </w:rPr>
              <w:t>1</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在湖南省湘水集团有限公司综合评标专家库中随机抽取</w:t>
            </w:r>
            <w:r>
              <w:rPr>
                <w:rFonts w:hint="eastAsia" w:cs="宋体" w:asciiTheme="minorEastAsia" w:hAnsiTheme="minorEastAsia" w:eastAsiaTheme="minorEastAsia"/>
                <w:color w:val="000000"/>
                <w:sz w:val="21"/>
                <w:szCs w:val="21"/>
                <w:lang w:eastAsia="zh-CN"/>
              </w:rPr>
              <w:t>专家</w:t>
            </w:r>
            <w:r>
              <w:rPr>
                <w:rFonts w:hint="eastAsia" w:cs="宋体" w:asciiTheme="minorEastAsia" w:hAnsiTheme="minorEastAsia" w:eastAsiaTheme="minorEastAsia"/>
                <w:color w:val="000000"/>
                <w:sz w:val="21"/>
                <w:szCs w:val="21"/>
                <w:u w:val="single"/>
                <w:lang w:val="en-US" w:eastAsia="zh-CN"/>
              </w:rPr>
              <w:t>2</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lang w:val="en-US" w:eastAsia="zh-CN"/>
              </w:rPr>
              <w:t>2-3个</w:t>
            </w:r>
          </w:p>
        </w:tc>
      </w:tr>
      <w:tr>
        <w:tblPrEx>
          <w:tblCellMar>
            <w:top w:w="0" w:type="dxa"/>
            <w:left w:w="108" w:type="dxa"/>
            <w:bottom w:w="0" w:type="dxa"/>
            <w:right w:w="108" w:type="dxa"/>
          </w:tblCellMar>
        </w:tblPrEx>
        <w:trPr>
          <w:trHeight w:val="76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推荐成交候选供应商的排序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是否排序：☑排序</w:t>
            </w:r>
          </w:p>
        </w:tc>
      </w:tr>
      <w:tr>
        <w:tblPrEx>
          <w:tblCellMar>
            <w:top w:w="0" w:type="dxa"/>
            <w:left w:w="108" w:type="dxa"/>
            <w:bottom w:w="0" w:type="dxa"/>
            <w:right w:w="108" w:type="dxa"/>
          </w:tblCellMar>
        </w:tblPrEx>
        <w:trPr>
          <w:trHeight w:val="222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成交候选供应商公示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公示媒介：</w:t>
            </w:r>
            <w:r>
              <w:rPr>
                <w:rFonts w:hint="eastAsia" w:ascii="宋体" w:hAnsi="宋体" w:cs="宋体"/>
                <w:sz w:val="21"/>
                <w:szCs w:val="21"/>
              </w:rPr>
              <w:t>中国招标投标公共服务平台（http：//www.cebpubservice.com）、湖南省湘水集团有限公司网站（http：//www.hnsxsjt.co</w:t>
            </w:r>
            <w:r>
              <w:rPr>
                <w:rFonts w:hint="eastAsia" w:ascii="宋体" w:hAnsi="宋体" w:cs="宋体"/>
                <w:sz w:val="21"/>
                <w:szCs w:val="21"/>
                <w:lang w:val="en-US" w:eastAsia="zh-CN"/>
              </w:rPr>
              <w:t>m</w:t>
            </w:r>
            <w:r>
              <w:rPr>
                <w:rFonts w:hint="eastAsia" w:ascii="宋体" w:hAnsi="宋体" w:cs="宋体"/>
                <w:sz w:val="21"/>
                <w:szCs w:val="21"/>
              </w:rPr>
              <w:t>）、湖南省港务集团有限公司门户网站（http://www.hnsgwjt.com/）上发布。</w:t>
            </w:r>
          </w:p>
          <w:p>
            <w:pPr>
              <w:spacing w:line="360" w:lineRule="auto"/>
              <w:jc w:val="left"/>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公示期限：</w:t>
            </w:r>
            <w:r>
              <w:rPr>
                <w:rFonts w:hint="eastAsia" w:cs="宋体" w:asciiTheme="minorEastAsia" w:hAnsiTheme="minorEastAsia" w:eastAsiaTheme="minorEastAsia"/>
                <w:color w:val="000000"/>
                <w:sz w:val="21"/>
                <w:szCs w:val="21"/>
                <w:u w:val="single"/>
                <w:lang w:val="en-US" w:eastAsia="zh-CN"/>
              </w:rPr>
              <w:t>3</w:t>
            </w:r>
            <w:r>
              <w:rPr>
                <w:rFonts w:hint="eastAsia" w:cs="宋体" w:asciiTheme="minorEastAsia" w:hAnsiTheme="minorEastAsia" w:eastAsiaTheme="minorEastAsia"/>
                <w:color w:val="000000"/>
                <w:sz w:val="21"/>
                <w:szCs w:val="21"/>
                <w:u w:val="none"/>
                <w:lang w:val="en-US" w:eastAsia="zh-CN"/>
              </w:rPr>
              <w:t>个工作日</w:t>
            </w:r>
          </w:p>
        </w:tc>
      </w:tr>
      <w:tr>
        <w:tblPrEx>
          <w:tblCellMar>
            <w:top w:w="0" w:type="dxa"/>
            <w:left w:w="108" w:type="dxa"/>
            <w:bottom w:w="0" w:type="dxa"/>
            <w:right w:w="108" w:type="dxa"/>
          </w:tblCellMar>
        </w:tblPrEx>
        <w:trPr>
          <w:trHeight w:val="54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174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联系人：</w:t>
            </w:r>
            <w:r>
              <w:rPr>
                <w:rFonts w:hint="eastAsia" w:cs="宋体" w:asciiTheme="minorEastAsia" w:hAnsiTheme="minorEastAsia" w:eastAsiaTheme="minorEastAsia"/>
                <w:color w:val="000000"/>
                <w:sz w:val="21"/>
                <w:szCs w:val="21"/>
                <w:highlight w:val="none"/>
              </w:rPr>
              <w:t>晏晶</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联系电话：</w:t>
            </w:r>
            <w:r>
              <w:rPr>
                <w:rFonts w:hint="eastAsia" w:cs="宋体" w:asciiTheme="minorEastAsia" w:hAnsiTheme="minorEastAsia" w:eastAsiaTheme="minorEastAsia"/>
                <w:color w:val="000000"/>
                <w:sz w:val="21"/>
                <w:szCs w:val="21"/>
                <w:highlight w:val="none"/>
              </w:rPr>
              <w:t>13873063063</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通信地址：</w:t>
            </w:r>
            <w:r>
              <w:rPr>
                <w:rFonts w:hint="eastAsia" w:cs="宋体" w:asciiTheme="minorEastAsia" w:hAnsiTheme="minorEastAsia" w:eastAsiaTheme="minorEastAsia"/>
                <w:color w:val="000000"/>
                <w:sz w:val="21"/>
                <w:szCs w:val="21"/>
                <w:lang w:eastAsia="zh-CN"/>
              </w:rPr>
              <w:t>岳阳城陵矶港务有限责任公司办公楼</w:t>
            </w:r>
            <w:r>
              <w:rPr>
                <w:rFonts w:hint="eastAsia" w:cs="宋体" w:asciiTheme="minorEastAsia" w:hAnsiTheme="minorEastAsia" w:eastAsiaTheme="minorEastAsia"/>
                <w:color w:val="000000"/>
                <w:sz w:val="21"/>
                <w:szCs w:val="21"/>
                <w:lang w:val="en-US" w:eastAsia="zh-CN"/>
              </w:rPr>
              <w:t>5楼509室</w:t>
            </w:r>
          </w:p>
        </w:tc>
      </w:tr>
      <w:tr>
        <w:tblPrEx>
          <w:tblCellMar>
            <w:top w:w="0" w:type="dxa"/>
            <w:left w:w="108" w:type="dxa"/>
            <w:bottom w:w="0" w:type="dxa"/>
            <w:right w:w="108" w:type="dxa"/>
          </w:tblCellMar>
        </w:tblPrEx>
        <w:trPr>
          <w:trHeight w:val="3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不要求承担</w:t>
            </w:r>
          </w:p>
        </w:tc>
      </w:tr>
      <w:tr>
        <w:tblPrEx>
          <w:tblCellMar>
            <w:top w:w="0" w:type="dxa"/>
            <w:left w:w="108" w:type="dxa"/>
            <w:bottom w:w="0" w:type="dxa"/>
            <w:right w:w="108" w:type="dxa"/>
          </w:tblCellMar>
        </w:tblPrEx>
        <w:trPr>
          <w:trHeight w:val="406"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需要补充的其他内容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360" w:lineRule="auto"/>
              <w:jc w:val="both"/>
              <w:rPr>
                <w:rFonts w:cs="宋体" w:asciiTheme="minorEastAsia" w:hAnsiTheme="minorEastAsia" w:eastAsiaTheme="minorEastAsia"/>
                <w:color w:val="000000"/>
                <w:sz w:val="21"/>
                <w:szCs w:val="21"/>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eastAsia="宋体" w:cs="宋体"/>
                <w:color w:val="000000"/>
                <w:sz w:val="21"/>
                <w:szCs w:val="21"/>
                <w:highlight w:val="none"/>
                <w:lang w:eastAsia="zh-CN"/>
              </w:rPr>
              <w:t>。</w:t>
            </w:r>
          </w:p>
        </w:tc>
      </w:tr>
    </w:tbl>
    <w:p>
      <w:pPr>
        <w:spacing w:line="360" w:lineRule="auto"/>
        <w:jc w:val="center"/>
        <w:outlineLvl w:val="0"/>
        <w:rPr>
          <w:rFonts w:ascii="仿宋" w:hAnsi="仿宋" w:eastAsia="仿宋" w:cs="仿宋"/>
          <w:sz w:val="30"/>
          <w:szCs w:val="30"/>
          <w:u w:val="none"/>
        </w:rPr>
      </w:pPr>
      <w:r>
        <w:rPr>
          <w:rFonts w:ascii="仿宋" w:hAnsi="仿宋" w:eastAsia="仿宋" w:cs="仿宋"/>
          <w:b/>
          <w:bCs/>
          <w:sz w:val="30"/>
          <w:szCs w:val="30"/>
        </w:rPr>
        <w:br w:type="page"/>
      </w:r>
      <w:r>
        <w:rPr>
          <w:rFonts w:hint="eastAsia" w:ascii="华文中宋" w:hAnsi="华文中宋" w:eastAsia="华文中宋" w:cs="仿宋"/>
          <w:b/>
          <w:bCs/>
          <w:sz w:val="30"/>
          <w:szCs w:val="30"/>
          <w:u w:val="none"/>
        </w:rPr>
        <w:t>第二章 供应商须知正文</w:t>
      </w:r>
    </w:p>
    <w:p>
      <w:pPr>
        <w:adjustRightInd w:val="0"/>
        <w:snapToGrid w:val="0"/>
        <w:spacing w:before="120" w:beforeLines="50" w:after="12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25"/>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6"/>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6"/>
        <w:spacing w:line="360"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26"/>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Ansi="宋体" w:eastAsia="宋体" w:cs="仿宋"/>
          <w:sz w:val="24"/>
          <w:szCs w:val="24"/>
        </w:rPr>
      </w:pPr>
      <w:r>
        <w:rPr>
          <w:rFonts w:hint="eastAsia" w:hAnsi="宋体" w:eastAsia="宋体" w:cs="仿宋"/>
          <w:sz w:val="24"/>
          <w:szCs w:val="24"/>
        </w:rPr>
        <w:t>1.1.2评审办法</w:t>
      </w:r>
    </w:p>
    <w:p>
      <w:pPr>
        <w:pStyle w:val="25"/>
        <w:keepNext w:val="0"/>
        <w:keepLines w:val="0"/>
        <w:pageBreakBefore w:val="0"/>
        <w:widowControl/>
        <w:kinsoku/>
        <w:wordWrap/>
        <w:overflowPunct/>
        <w:topLinePunct w:val="0"/>
        <w:autoSpaceDE/>
        <w:autoSpaceDN/>
        <w:bidi w:val="0"/>
        <w:adjustRightInd/>
        <w:snapToGrid/>
        <w:spacing w:beforeLines="0" w:afterLines="0" w:line="360" w:lineRule="auto"/>
        <w:ind w:left="0" w:firstLine="453" w:firstLineChars="189"/>
        <w:jc w:val="both"/>
        <w:textAlignment w:val="auto"/>
        <w:rPr>
          <w:rFonts w:ascii="宋体" w:hAnsi="宋体" w:eastAsia="宋体" w:cs="仿宋"/>
          <w:sz w:val="24"/>
          <w:szCs w:val="24"/>
        </w:rPr>
      </w:pPr>
      <w:r>
        <w:rPr>
          <w:rFonts w:hint="eastAsia" w:ascii="宋体" w:hAnsi="宋体" w:eastAsia="宋体" w:cs="仿宋"/>
          <w:color w:val="000000"/>
          <w:sz w:val="24"/>
          <w:szCs w:val="24"/>
        </w:rPr>
        <w:t>综合评分法（性价比法），</w:t>
      </w:r>
      <w:r>
        <w:rPr>
          <w:rFonts w:hint="eastAsia" w:ascii="宋体" w:hAnsi="宋体" w:eastAsia="宋体" w:cs="仿宋"/>
          <w:sz w:val="24"/>
          <w:szCs w:val="24"/>
        </w:rPr>
        <w:t>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pStyle w:val="3"/>
        <w:rPr>
          <w:rFonts w:hint="eastAsia" w:ascii="宋体" w:hAnsi="宋体" w:eastAsia="宋体" w:cs="仿宋"/>
          <w:sz w:val="24"/>
          <w:lang w:val="en-US" w:eastAsia="zh-CN"/>
        </w:rPr>
      </w:pPr>
      <w:r>
        <w:rPr>
          <w:rFonts w:hint="eastAsia" w:ascii="宋体" w:hAnsi="宋体" w:cs="仿宋"/>
          <w:sz w:val="24"/>
        </w:rPr>
        <w:t>供应商拟对主要材料和关键部件进行外购的，应符合第五章“采购需求”中提出的或允许外购的相关规定，并在响应文件中作出说明</w:t>
      </w:r>
      <w:r>
        <w:rPr>
          <w:rFonts w:hint="eastAsia" w:ascii="宋体" w:hAnsi="宋体" w:cs="仿宋"/>
          <w:sz w:val="24"/>
          <w:lang w:eastAsia="zh-CN"/>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rPr>
        <w:t>2.1采</w:t>
      </w:r>
      <w:r>
        <w:rPr>
          <w:rFonts w:hint="eastAsia" w:ascii="宋体" w:hAnsi="宋体" w:cs="仿宋"/>
          <w:b/>
          <w:bCs/>
          <w:sz w:val="24"/>
          <w:highlight w:val="none"/>
        </w:rPr>
        <w:t>购文件的组成</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60"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w:t>
      </w:r>
      <w:r>
        <w:rPr>
          <w:rFonts w:hint="eastAsia" w:ascii="宋体" w:hAnsi="宋体" w:cs="仿宋"/>
          <w:sz w:val="24"/>
          <w:lang w:eastAsia="zh-CN"/>
        </w:rPr>
        <w:t>不予退还</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w:t>
      </w:r>
      <w:r>
        <w:rPr>
          <w:rFonts w:hint="eastAsia" w:ascii="宋体" w:hAnsi="宋体" w:cs="仿宋"/>
          <w:sz w:val="24"/>
          <w:lang w:eastAsia="zh-CN"/>
        </w:rPr>
        <w:t>下列情形之一的</w:t>
      </w:r>
      <w:r>
        <w:rPr>
          <w:rFonts w:hint="eastAsia" w:ascii="宋体" w:hAnsi="宋体" w:cs="仿宋"/>
          <w:sz w:val="24"/>
        </w:rPr>
        <w:t>，应当回避:</w:t>
      </w:r>
    </w:p>
    <w:p>
      <w:pPr>
        <w:adjustRightInd w:val="0"/>
        <w:snapToGrid w:val="0"/>
        <w:spacing w:line="360" w:lineRule="auto"/>
        <w:ind w:left="716" w:leftChars="284" w:hanging="120" w:hangingChars="50"/>
        <w:jc w:val="both"/>
        <w:rPr>
          <w:rFonts w:hint="eastAsia" w:ascii="宋体" w:hAnsi="宋体" w:eastAsia="宋体" w:cs="仿宋"/>
          <w:sz w:val="24"/>
          <w:lang w:eastAsia="zh-CN"/>
        </w:rPr>
      </w:pPr>
      <w:r>
        <w:rPr>
          <w:rFonts w:hint="eastAsia" w:ascii="宋体" w:hAnsi="宋体" w:cs="仿宋"/>
          <w:sz w:val="24"/>
        </w:rPr>
        <w:t>（1）供应商主要负责人或供应商主要负责人的亲属;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w:t>
      </w:r>
      <w:r>
        <w:rPr>
          <w:rFonts w:hint="eastAsia" w:ascii="宋体" w:hAnsi="宋体" w:cs="仿宋"/>
          <w:sz w:val="24"/>
          <w:lang w:eastAsia="zh-CN"/>
        </w:rPr>
        <w:t>或</w:t>
      </w:r>
      <w:r>
        <w:rPr>
          <w:rFonts w:hint="eastAsia" w:ascii="宋体" w:hAnsi="宋体" w:cs="仿宋"/>
          <w:sz w:val="24"/>
        </w:rPr>
        <w:t>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widowControl w:val="0"/>
        <w:adjustRightInd w:val="0"/>
        <w:snapToGrid w:val="0"/>
        <w:spacing w:line="312" w:lineRule="auto"/>
        <w:ind w:firstLine="480" w:firstLineChars="200"/>
        <w:jc w:val="both"/>
        <w:rPr>
          <w:rFonts w:hint="eastAsia"/>
          <w:lang w:eastAsia="zh-CN"/>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b/>
          <w:bCs/>
          <w:sz w:val="24"/>
          <w:u w:val="single"/>
        </w:rPr>
      </w:pPr>
      <w:r>
        <w:rPr>
          <w:rFonts w:hint="eastAsia" w:ascii="宋体" w:hAnsi="宋体" w:cs="仿宋"/>
          <w:sz w:val="24"/>
        </w:rPr>
        <w:t>需更补充的其他内容:见供应商须知前附表。</w:t>
      </w:r>
    </w:p>
    <w:p>
      <w:pPr>
        <w:rPr>
          <w:rFonts w:hint="eastAsia" w:ascii="华文中宋" w:hAnsi="华文中宋" w:eastAsia="华文中宋" w:cs="仿宋"/>
          <w:b/>
          <w:bCs/>
          <w:sz w:val="36"/>
          <w:szCs w:val="36"/>
        </w:rPr>
      </w:pPr>
      <w:r>
        <w:rPr>
          <w:rFonts w:hint="eastAsia" w:ascii="华文中宋" w:hAnsi="华文中宋" w:eastAsia="华文中宋" w:cs="仿宋"/>
          <w:b/>
          <w:bCs/>
          <w:sz w:val="36"/>
          <w:szCs w:val="36"/>
        </w:rPr>
        <w:br w:type="page"/>
      </w:r>
    </w:p>
    <w:p>
      <w:pPr>
        <w:pStyle w:val="3"/>
        <w:rPr>
          <w:rFonts w:hint="eastAsia"/>
        </w:rPr>
      </w:pPr>
    </w:p>
    <w:p>
      <w:pPr>
        <w:pStyle w:val="3"/>
        <w:rPr>
          <w:rFonts w:hint="eastAsia"/>
        </w:rPr>
      </w:pPr>
    </w:p>
    <w:p>
      <w:pPr>
        <w:spacing w:line="240" w:lineRule="auto"/>
        <w:jc w:val="left"/>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17"/>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pStyle w:val="2"/>
        <w:spacing w:line="360" w:lineRule="auto"/>
        <w:ind w:left="0" w:leftChars="0" w:firstLine="0" w:firstLineChars="0"/>
        <w:rPr>
          <w:rFonts w:ascii="宋体" w:hAnsi="宋体" w:cs="仿宋"/>
          <w:sz w:val="30"/>
          <w:szCs w:val="30"/>
        </w:rPr>
      </w:pPr>
    </w:p>
    <w:p>
      <w:pPr>
        <w:rPr>
          <w:rFonts w:hint="eastAsia" w:ascii="宋体" w:hAnsi="宋体" w:cs="仿宋"/>
          <w:sz w:val="30"/>
          <w:szCs w:val="30"/>
        </w:rPr>
      </w:pPr>
      <w:r>
        <w:rPr>
          <w:rFonts w:hint="eastAsia" w:ascii="宋体" w:hAnsi="宋体" w:cs="仿宋"/>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ind w:firstLine="6000" w:firstLineChars="2500"/>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280" w:firstLineChars="2200"/>
        <w:jc w:val="both"/>
        <w:rPr>
          <w:rFonts w:ascii="宋体" w:hAnsi="宋体" w:cs="仿宋"/>
          <w:sz w:val="24"/>
        </w:rPr>
      </w:pP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5040" w:firstLineChars="21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widowControl w:val="0"/>
        <w:snapToGrid w:val="0"/>
        <w:spacing w:after="0" w:line="490" w:lineRule="exact"/>
        <w:jc w:val="center"/>
        <w:outlineLvl w:val="0"/>
        <w:rPr>
          <w:rFonts w:ascii="黑体" w:hAnsi="黑体" w:eastAsia="黑体" w:cs="宋体"/>
          <w:color w:val="000000"/>
          <w:kern w:val="44"/>
          <w:sz w:val="36"/>
          <w:szCs w:val="36"/>
          <w:highlight w:val="none"/>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bookmarkStart w:id="8" w:name="_Toc77254124"/>
      <w:bookmarkStart w:id="9" w:name="_Toc512257484"/>
      <w:r>
        <w:rPr>
          <w:rFonts w:hint="eastAsia" w:ascii="黑体" w:hAnsi="黑体" w:eastAsia="黑体" w:cs="宋体"/>
          <w:color w:val="000000"/>
          <w:kern w:val="44"/>
          <w:sz w:val="36"/>
          <w:szCs w:val="36"/>
          <w:highlight w:val="none"/>
        </w:rPr>
        <w:t>第三章 评标办法（综合评估法）</w:t>
      </w:r>
      <w:bookmarkEnd w:id="8"/>
      <w:bookmarkEnd w:id="9"/>
      <w:r>
        <w:rPr>
          <w:rFonts w:hint="eastAsia" w:ascii="黑体" w:hAnsi="黑体" w:eastAsia="黑体" w:cs="宋体"/>
          <w:color w:val="000000"/>
          <w:kern w:val="44"/>
          <w:sz w:val="36"/>
          <w:szCs w:val="36"/>
          <w:highlight w:val="none"/>
        </w:rPr>
        <w:t xml:space="preserve"> </w:t>
      </w:r>
    </w:p>
    <w:p>
      <w:pPr>
        <w:widowControl w:val="0"/>
        <w:autoSpaceDN w:val="0"/>
        <w:adjustRightInd w:val="0"/>
        <w:snapToGrid w:val="0"/>
        <w:spacing w:after="0" w:line="312" w:lineRule="auto"/>
        <w:jc w:val="center"/>
        <w:outlineLvl w:val="1"/>
        <w:rPr>
          <w:rFonts w:ascii="Times New Roman" w:hAnsi="Times New Roman" w:eastAsia="黑体" w:cs="Times New Roman"/>
          <w:color w:val="000000"/>
          <w:kern w:val="0"/>
          <w:sz w:val="32"/>
          <w:szCs w:val="32"/>
          <w:highlight w:val="none"/>
        </w:rPr>
      </w:pPr>
      <w:bookmarkStart w:id="10" w:name="_Toc77254125"/>
      <w:bookmarkStart w:id="11" w:name="_Toc24335"/>
      <w:r>
        <w:rPr>
          <w:rFonts w:hint="eastAsia" w:ascii="Times New Roman" w:hAnsi="Times New Roman" w:eastAsia="黑体" w:cs="Times New Roman"/>
          <w:color w:val="000000"/>
          <w:kern w:val="0"/>
          <w:sz w:val="32"/>
          <w:szCs w:val="32"/>
          <w:highlight w:val="none"/>
        </w:rPr>
        <w:t xml:space="preserve"> </w:t>
      </w:r>
    </w:p>
    <w:p>
      <w:pPr>
        <w:widowControl w:val="0"/>
        <w:autoSpaceDN w:val="0"/>
        <w:adjustRightInd w:val="0"/>
        <w:snapToGrid w:val="0"/>
        <w:spacing w:after="0" w:line="312" w:lineRule="auto"/>
        <w:jc w:val="center"/>
        <w:outlineLvl w:val="1"/>
        <w:rPr>
          <w:rFonts w:ascii="Times New Roman" w:hAnsi="Times New Roman" w:eastAsia="黑体" w:cs="Times New Roman"/>
          <w:color w:val="000000"/>
          <w:kern w:val="0"/>
          <w:sz w:val="32"/>
          <w:szCs w:val="32"/>
          <w:highlight w:val="none"/>
        </w:rPr>
      </w:pPr>
      <w:r>
        <w:rPr>
          <w:rFonts w:hint="eastAsia" w:ascii="Times New Roman" w:hAnsi="Times New Roman" w:eastAsia="黑体" w:cs="Times New Roman"/>
          <w:color w:val="000000"/>
          <w:kern w:val="0"/>
          <w:sz w:val="32"/>
          <w:szCs w:val="32"/>
          <w:highlight w:val="none"/>
        </w:rPr>
        <w:t>评标办法前附表</w:t>
      </w:r>
      <w:bookmarkEnd w:id="10"/>
      <w:bookmarkEnd w:id="11"/>
    </w:p>
    <w:tbl>
      <w:tblPr>
        <w:tblStyle w:val="1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85"/>
        <w:gridCol w:w="1665"/>
        <w:gridCol w:w="5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984" w:type="dxa"/>
            <w:gridSpan w:val="2"/>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条款号及名称</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评审因素</w:t>
            </w:r>
          </w:p>
        </w:tc>
        <w:tc>
          <w:tcPr>
            <w:tcW w:w="5113"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w:t>
            </w:r>
          </w:p>
        </w:tc>
        <w:tc>
          <w:tcPr>
            <w:tcW w:w="1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评审方法</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评审方法</w:t>
            </w:r>
          </w:p>
        </w:tc>
        <w:tc>
          <w:tcPr>
            <w:tcW w:w="5113"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lang w:eastAsia="zh-CN"/>
              </w:rPr>
              <w:t>综合评分</w:t>
            </w:r>
            <w:r>
              <w:rPr>
                <w:rFonts w:hint="eastAsia" w:cs="仿宋" w:asciiTheme="minorEastAsia" w:hAnsiTheme="minorEastAsia" w:eastAsiaTheme="minorEastAsia"/>
                <w:sz w:val="21"/>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trPr>
        <w:tc>
          <w:tcPr>
            <w:tcW w:w="799"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2.1.1</w:t>
            </w:r>
          </w:p>
        </w:tc>
        <w:tc>
          <w:tcPr>
            <w:tcW w:w="1185"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形式评审标准</w:t>
            </w:r>
          </w:p>
        </w:tc>
        <w:tc>
          <w:tcPr>
            <w:tcW w:w="1665" w:type="dxa"/>
            <w:vAlign w:val="center"/>
          </w:tcPr>
          <w:p>
            <w:pPr>
              <w:widowControl/>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供应商名称</w:t>
            </w:r>
          </w:p>
        </w:tc>
        <w:tc>
          <w:tcPr>
            <w:tcW w:w="5113" w:type="dxa"/>
            <w:vAlign w:val="center"/>
          </w:tcPr>
          <w:p>
            <w:pPr>
              <w:widowControl w:val="0"/>
              <w:adjustRightInd w:val="0"/>
              <w:spacing w:after="0" w:line="360"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 w:val="21"/>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响应文件签字盖章</w:t>
            </w:r>
          </w:p>
        </w:tc>
        <w:tc>
          <w:tcPr>
            <w:tcW w:w="5113" w:type="dxa"/>
            <w:vAlign w:val="center"/>
          </w:tcPr>
          <w:p>
            <w:pPr>
              <w:widowControl/>
              <w:adjustRightInd w:val="0"/>
              <w:snapToGrid w:val="0"/>
              <w:spacing w:line="360" w:lineRule="auto"/>
              <w:ind w:firstLine="0"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响应函中实质性内容</w:t>
            </w:r>
          </w:p>
        </w:tc>
        <w:tc>
          <w:tcPr>
            <w:tcW w:w="5113" w:type="dxa"/>
            <w:vAlign w:val="center"/>
          </w:tcPr>
          <w:p>
            <w:pPr>
              <w:widowControl/>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799"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2.1.2</w:t>
            </w:r>
          </w:p>
        </w:tc>
        <w:tc>
          <w:tcPr>
            <w:tcW w:w="1185"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资格评审标准</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ascii="宋体" w:hAnsi="宋体" w:eastAsia="宋体" w:cs="Times New Roman"/>
                <w:color w:val="000000"/>
                <w:sz w:val="21"/>
                <w:szCs w:val="21"/>
                <w:highlight w:val="none"/>
              </w:rPr>
              <w:t>营业执照</w:t>
            </w:r>
          </w:p>
        </w:tc>
        <w:tc>
          <w:tcPr>
            <w:tcW w:w="5113"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符合第一章第3.1款及供应商须知前附表第3.5（1）款规定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资质要求</w:t>
            </w:r>
          </w:p>
        </w:tc>
        <w:tc>
          <w:tcPr>
            <w:tcW w:w="5113"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highlight w:val="yellow"/>
                <w:lang w:eastAsia="zh-CN"/>
              </w:rPr>
            </w:pPr>
            <w:r>
              <w:rPr>
                <w:rFonts w:hint="eastAsia" w:cs="仿宋" w:asciiTheme="minorEastAsia" w:hAnsiTheme="minorEastAsia" w:eastAsiaTheme="minorEastAsia"/>
                <w:sz w:val="21"/>
                <w:szCs w:val="21"/>
              </w:rPr>
              <w:t>符合第一章第3.1款及供应商须知前附表第3.5（2）款规定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业绩要求</w:t>
            </w:r>
          </w:p>
        </w:tc>
        <w:tc>
          <w:tcPr>
            <w:tcW w:w="5113"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highlight w:val="yellow"/>
                <w:lang w:eastAsia="zh-CN"/>
              </w:rPr>
            </w:pPr>
            <w:r>
              <w:rPr>
                <w:rFonts w:hint="eastAsia" w:cs="仿宋" w:asciiTheme="minorEastAsia" w:hAnsiTheme="minorEastAsia" w:eastAsiaTheme="minorEastAsia"/>
                <w:sz w:val="21"/>
                <w:szCs w:val="21"/>
              </w:rPr>
              <w:t>符合第一章第3.1款及供应商须知前附表第3.5（4）款规定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不存在第一章第3.2款情形</w:t>
            </w:r>
          </w:p>
        </w:tc>
        <w:tc>
          <w:tcPr>
            <w:tcW w:w="5113"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highlight w:val="yellow"/>
                <w:lang w:eastAsia="zh-CN"/>
              </w:rPr>
            </w:pPr>
            <w:r>
              <w:rPr>
                <w:rFonts w:hint="eastAsia" w:cs="仿宋" w:asciiTheme="minorEastAsia" w:hAnsiTheme="minorEastAsia" w:eastAsiaTheme="minorEastAsia"/>
                <w:sz w:val="21"/>
                <w:szCs w:val="21"/>
              </w:rPr>
              <w:t>符合第一章第3.1款及供应商须知前附表第3.5（</w:t>
            </w:r>
            <w:r>
              <w:rPr>
                <w:rFonts w:hint="eastAsia" w:cs="仿宋" w:asciiTheme="minorEastAsia" w:hAnsiTheme="minorEastAsia" w:eastAsiaTheme="minorEastAsia"/>
                <w:sz w:val="21"/>
                <w:szCs w:val="21"/>
                <w:lang w:val="en-US" w:eastAsia="zh-CN"/>
              </w:rPr>
              <w:t>8</w:t>
            </w:r>
            <w:r>
              <w:rPr>
                <w:rFonts w:hint="eastAsia" w:cs="仿宋" w:asciiTheme="minorEastAsia" w:hAnsiTheme="minorEastAsia" w:eastAsiaTheme="minorEastAsia"/>
                <w:sz w:val="21"/>
                <w:szCs w:val="21"/>
              </w:rPr>
              <w:t>）款规定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2.1.3</w:t>
            </w:r>
          </w:p>
        </w:tc>
        <w:tc>
          <w:tcPr>
            <w:tcW w:w="1185" w:type="dxa"/>
            <w:vMerge w:val="restart"/>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响应性评审标准</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符合第二章第3.2款规定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90天</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响应方案</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符合第二章第3.6款规定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质量标准</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符合第一章第2条规定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完成期限</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合同签订后</w:t>
            </w:r>
            <w:r>
              <w:rPr>
                <w:rFonts w:hint="eastAsia" w:cs="仿宋" w:asciiTheme="minorEastAsia" w:hAnsiTheme="minorEastAsia" w:eastAsiaTheme="minorEastAsia"/>
                <w:sz w:val="21"/>
                <w:szCs w:val="21"/>
                <w:lang w:val="en-US" w:eastAsia="zh-CN"/>
              </w:rPr>
              <w:t>50个日历日</w:t>
            </w:r>
            <w:r>
              <w:rPr>
                <w:rFonts w:hint="eastAsia" w:cs="仿宋" w:asciiTheme="minorEastAsia" w:hAnsiTheme="minorEastAsia" w:eastAsiaTheme="minorEastAsia"/>
                <w:sz w:val="21"/>
                <w:szCs w:val="21"/>
              </w:rPr>
              <w:t>内</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合同条款</w:t>
            </w:r>
          </w:p>
        </w:tc>
        <w:tc>
          <w:tcPr>
            <w:tcW w:w="5113" w:type="dxa"/>
            <w:vAlign w:val="center"/>
          </w:tcPr>
          <w:p>
            <w:pPr>
              <w:widowControl/>
              <w:adjustRightInd w:val="0"/>
              <w:snapToGrid w:val="0"/>
              <w:spacing w:line="288"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符合第二章第1.10.1项规定</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99"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185" w:type="dxa"/>
            <w:vMerge w:val="continue"/>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5113" w:type="dxa"/>
            <w:vAlign w:val="center"/>
          </w:tcPr>
          <w:p>
            <w:pPr>
              <w:widowControl w:val="0"/>
              <w:spacing w:line="288" w:lineRule="auto"/>
              <w:jc w:val="left"/>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允许偏差的范围：细微偏差</w:t>
            </w:r>
            <w:r>
              <w:rPr>
                <w:rFonts w:hint="eastAsia" w:cs="仿宋" w:asciiTheme="minorEastAsia" w:hAnsiTheme="minorEastAsia" w:eastAsiaTheme="minorEastAsia"/>
                <w:sz w:val="21"/>
                <w:szCs w:val="21"/>
                <w:lang w:eastAsia="zh-CN"/>
              </w:rPr>
              <w:t>。</w:t>
            </w:r>
          </w:p>
          <w:p>
            <w:pPr>
              <w:widowControl/>
              <w:adjustRightInd w:val="0"/>
              <w:snapToGrid w:val="0"/>
              <w:spacing w:line="288" w:lineRule="auto"/>
              <w:jc w:val="left"/>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允许偏差的项数：</w:t>
            </w:r>
            <w:r>
              <w:rPr>
                <w:rFonts w:hint="eastAsia" w:cs="仿宋" w:asciiTheme="minorEastAsia" w:hAnsiTheme="minorEastAsia" w:eastAsiaTheme="minorEastAsia"/>
                <w:sz w:val="21"/>
                <w:szCs w:val="21"/>
                <w:u w:val="single"/>
                <w:lang w:val="en-US" w:eastAsia="zh-CN"/>
              </w:rPr>
              <w:t>3</w:t>
            </w:r>
            <w:r>
              <w:rPr>
                <w:rFonts w:hint="eastAsia" w:cs="仿宋" w:asciiTheme="minorEastAsia" w:hAnsiTheme="minorEastAsia" w:eastAsiaTheme="minorEastAsia"/>
                <w:sz w:val="21"/>
                <w:szCs w:val="21"/>
                <w:u w:val="single"/>
              </w:rPr>
              <w:t>项</w:t>
            </w:r>
            <w:r>
              <w:rPr>
                <w:rFonts w:hint="eastAsia" w:cs="仿宋" w:asciiTheme="minorEastAsia" w:hAnsiTheme="minorEastAsia" w:eastAsiaTheme="minorEastAsia"/>
                <w:sz w:val="21"/>
                <w:szCs w:val="21"/>
              </w:rPr>
              <w:t xml:space="preserve"> </w:t>
            </w:r>
            <w:r>
              <w:rPr>
                <w:rFonts w:hint="eastAsia" w:cs="仿宋"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9"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2.2.2</w:t>
            </w:r>
          </w:p>
        </w:tc>
        <w:tc>
          <w:tcPr>
            <w:tcW w:w="118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评审价格</w:t>
            </w:r>
          </w:p>
        </w:tc>
        <w:tc>
          <w:tcPr>
            <w:tcW w:w="5113"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 详细评审标准和程序（</w:t>
            </w:r>
            <w:r>
              <w:rPr>
                <w:rFonts w:hint="eastAsia" w:cs="仿宋" w:asciiTheme="minorEastAsia" w:hAnsiTheme="minorEastAsia" w:eastAsiaTheme="minorEastAsia"/>
                <w:sz w:val="21"/>
                <w:szCs w:val="21"/>
                <w:lang w:eastAsia="zh-CN"/>
              </w:rPr>
              <w:t>综合评分法</w:t>
            </w:r>
            <w:r>
              <w:rPr>
                <w:rFonts w:hint="eastAsia" w:cs="仿宋"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4" w:type="dxa"/>
            <w:gridSpan w:val="2"/>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w:t>
            </w:r>
          </w:p>
        </w:tc>
        <w:tc>
          <w:tcPr>
            <w:tcW w:w="1665"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条款内容</w:t>
            </w:r>
          </w:p>
        </w:tc>
        <w:tc>
          <w:tcPr>
            <w:tcW w:w="5113" w:type="dxa"/>
            <w:vAlign w:val="center"/>
          </w:tcPr>
          <w:p>
            <w:pPr>
              <w:widowControl/>
              <w:adjustRightInd w:val="0"/>
              <w:snapToGrid w:val="0"/>
              <w:spacing w:line="288"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4" w:type="dxa"/>
            <w:gridSpan w:val="2"/>
            <w:vAlign w:val="center"/>
          </w:tcPr>
          <w:p>
            <w:pPr>
              <w:widowControl w:val="0"/>
              <w:adjustRightInd w:val="0"/>
              <w:snapToGrid w:val="0"/>
              <w:spacing w:after="0" w:line="288" w:lineRule="auto"/>
              <w:jc w:val="center"/>
              <w:rPr>
                <w:rFonts w:cs="仿宋" w:asciiTheme="minorEastAsia" w:hAnsiTheme="minorEastAsia" w:eastAsiaTheme="minorEastAsia"/>
                <w:sz w:val="21"/>
                <w:szCs w:val="21"/>
              </w:rPr>
            </w:pPr>
            <w:r>
              <w:rPr>
                <w:rFonts w:hint="eastAsia" w:ascii="宋体" w:hAnsi="宋体" w:eastAsia="宋体" w:cs="Times New Roman"/>
                <w:color w:val="000000"/>
                <w:sz w:val="21"/>
                <w:szCs w:val="21"/>
                <w:highlight w:val="none"/>
              </w:rPr>
              <w:t>2.2.1</w:t>
            </w:r>
          </w:p>
        </w:tc>
        <w:tc>
          <w:tcPr>
            <w:tcW w:w="1665" w:type="dxa"/>
            <w:vAlign w:val="center"/>
          </w:tcPr>
          <w:p>
            <w:pPr>
              <w:widowControl w:val="0"/>
              <w:autoSpaceDE w:val="0"/>
              <w:autoSpaceDN w:val="0"/>
              <w:adjustRightInd w:val="0"/>
              <w:snapToGrid w:val="0"/>
              <w:spacing w:after="0" w:line="288" w:lineRule="auto"/>
              <w:jc w:val="center"/>
              <w:rPr>
                <w:rFonts w:ascii="宋体" w:hAnsi="宋体" w:eastAsia="宋体" w:cs="Times New Roman"/>
                <w:color w:val="000000"/>
                <w:kern w:val="0"/>
                <w:sz w:val="21"/>
                <w:szCs w:val="21"/>
                <w:highlight w:val="none"/>
              </w:rPr>
            </w:pPr>
            <w:r>
              <w:rPr>
                <w:rFonts w:hint="eastAsia" w:ascii="宋体" w:hAnsi="宋体" w:eastAsia="宋体" w:cs="Times New Roman"/>
                <w:color w:val="000000"/>
                <w:kern w:val="0"/>
                <w:sz w:val="21"/>
                <w:szCs w:val="21"/>
                <w:highlight w:val="none"/>
              </w:rPr>
              <w:t>分值构成</w:t>
            </w:r>
          </w:p>
          <w:p>
            <w:pPr>
              <w:widowControl w:val="0"/>
              <w:adjustRightInd w:val="0"/>
              <w:snapToGrid w:val="0"/>
              <w:spacing w:after="0" w:line="288" w:lineRule="auto"/>
              <w:ind w:left="1" w:leftChars="0"/>
              <w:jc w:val="center"/>
              <w:rPr>
                <w:rFonts w:asciiTheme="minorEastAsia" w:hAnsiTheme="minorEastAsia" w:eastAsiaTheme="minorEastAsia"/>
                <w:sz w:val="21"/>
                <w:szCs w:val="21"/>
              </w:rPr>
            </w:pPr>
            <w:r>
              <w:rPr>
                <w:rFonts w:hint="eastAsia" w:ascii="宋体" w:hAnsi="宋体" w:eastAsia="宋体" w:cs="Times New Roman"/>
                <w:color w:val="000000"/>
                <w:sz w:val="21"/>
                <w:szCs w:val="21"/>
                <w:highlight w:val="none"/>
              </w:rPr>
              <w:t>（总分100分）</w:t>
            </w:r>
          </w:p>
        </w:tc>
        <w:tc>
          <w:tcPr>
            <w:tcW w:w="5113" w:type="dxa"/>
            <w:vAlign w:val="center"/>
          </w:tcPr>
          <w:p>
            <w:pPr>
              <w:widowControl w:val="0"/>
              <w:adjustRightInd w:val="0"/>
              <w:snapToGrid w:val="0"/>
              <w:spacing w:after="0" w:line="288" w:lineRule="auto"/>
              <w:jc w:val="both"/>
              <w:rPr>
                <w:rFonts w:hint="eastAsia"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（1）商务部分：</w:t>
            </w:r>
            <w:r>
              <w:rPr>
                <w:rFonts w:hint="eastAsia" w:ascii="宋体" w:hAnsi="宋体" w:eastAsia="宋体" w:cs="Times New Roman"/>
                <w:color w:val="FF0000"/>
                <w:sz w:val="21"/>
                <w:szCs w:val="21"/>
                <w:highlight w:val="none"/>
                <w:lang w:val="en-US" w:eastAsia="zh-CN"/>
              </w:rPr>
              <w:t xml:space="preserve"> </w:t>
            </w:r>
            <w:r>
              <w:rPr>
                <w:rFonts w:hint="eastAsia" w:ascii="宋体" w:hAnsi="宋体" w:cs="Times New Roman"/>
                <w:color w:val="FF0000"/>
                <w:sz w:val="21"/>
                <w:szCs w:val="21"/>
                <w:highlight w:val="none"/>
                <w:u w:val="single"/>
                <w:lang w:val="en-US" w:eastAsia="zh-CN"/>
              </w:rPr>
              <w:t>20</w:t>
            </w:r>
            <w:r>
              <w:rPr>
                <w:rFonts w:hint="eastAsia" w:ascii="宋体" w:hAnsi="宋体" w:eastAsia="宋体" w:cs="Times New Roman"/>
                <w:color w:val="FF0000"/>
                <w:sz w:val="21"/>
                <w:szCs w:val="21"/>
                <w:highlight w:val="none"/>
              </w:rPr>
              <w:t>分</w:t>
            </w:r>
          </w:p>
          <w:p>
            <w:pPr>
              <w:widowControl w:val="0"/>
              <w:adjustRightInd w:val="0"/>
              <w:snapToGrid w:val="0"/>
              <w:spacing w:after="0" w:line="288" w:lineRule="auto"/>
              <w:jc w:val="both"/>
              <w:rPr>
                <w:rFonts w:hint="eastAsia" w:ascii="宋体" w:hAnsi="宋体" w:eastAsia="宋体" w:cs="Times New Roman"/>
                <w:color w:val="FF0000"/>
                <w:sz w:val="21"/>
                <w:szCs w:val="21"/>
                <w:highlight w:val="none"/>
              </w:rPr>
            </w:pPr>
            <w:r>
              <w:rPr>
                <w:rFonts w:hint="eastAsia" w:ascii="宋体" w:hAnsi="宋体" w:eastAsia="宋体" w:cs="Times New Roman"/>
                <w:color w:val="FF0000"/>
                <w:sz w:val="21"/>
                <w:szCs w:val="21"/>
                <w:highlight w:val="none"/>
              </w:rPr>
              <w:t>（2）技术部分：</w:t>
            </w:r>
            <w:r>
              <w:rPr>
                <w:rFonts w:hint="eastAsia" w:ascii="宋体" w:hAnsi="宋体" w:eastAsia="宋体" w:cs="Times New Roman"/>
                <w:color w:val="FF0000"/>
                <w:sz w:val="21"/>
                <w:szCs w:val="21"/>
                <w:highlight w:val="none"/>
                <w:u w:val="none"/>
              </w:rPr>
              <w:t xml:space="preserve"> </w:t>
            </w:r>
            <w:r>
              <w:rPr>
                <w:rFonts w:hint="eastAsia" w:ascii="宋体" w:hAnsi="宋体" w:cs="Times New Roman"/>
                <w:color w:val="FF0000"/>
                <w:sz w:val="21"/>
                <w:szCs w:val="21"/>
                <w:highlight w:val="none"/>
                <w:u w:val="single"/>
                <w:lang w:val="en-US" w:eastAsia="zh-CN"/>
              </w:rPr>
              <w:t>30</w:t>
            </w:r>
            <w:r>
              <w:rPr>
                <w:rFonts w:hint="eastAsia" w:ascii="宋体" w:hAnsi="宋体" w:eastAsia="宋体" w:cs="Times New Roman"/>
                <w:color w:val="FF0000"/>
                <w:sz w:val="21"/>
                <w:szCs w:val="21"/>
                <w:highlight w:val="none"/>
                <w:u w:val="single"/>
                <w:lang w:val="en-US" w:eastAsia="zh-CN"/>
              </w:rPr>
              <w:t xml:space="preserve"> </w:t>
            </w:r>
            <w:r>
              <w:rPr>
                <w:rFonts w:hint="eastAsia" w:ascii="宋体" w:hAnsi="宋体" w:eastAsia="宋体" w:cs="Times New Roman"/>
                <w:color w:val="FF0000"/>
                <w:sz w:val="21"/>
                <w:szCs w:val="21"/>
                <w:highlight w:val="none"/>
              </w:rPr>
              <w:t>分</w:t>
            </w:r>
          </w:p>
          <w:p>
            <w:pPr>
              <w:widowControl w:val="0"/>
              <w:adjustRightInd w:val="0"/>
              <w:snapToGrid w:val="0"/>
              <w:spacing w:after="0" w:line="288" w:lineRule="auto"/>
              <w:jc w:val="both"/>
              <w:rPr>
                <w:rFonts w:cs="仿宋" w:asciiTheme="minorEastAsia" w:hAnsiTheme="minorEastAsia" w:eastAsiaTheme="minorEastAsia"/>
                <w:sz w:val="21"/>
                <w:szCs w:val="21"/>
              </w:rPr>
            </w:pPr>
            <w:r>
              <w:rPr>
                <w:rFonts w:hint="eastAsia" w:ascii="宋体" w:hAnsi="宋体" w:eastAsia="宋体" w:cs="Times New Roman"/>
                <w:color w:val="FF0000"/>
                <w:sz w:val="21"/>
                <w:szCs w:val="21"/>
                <w:highlight w:val="none"/>
              </w:rPr>
              <w:t>（3）投标报价：</w:t>
            </w:r>
            <w:r>
              <w:rPr>
                <w:rFonts w:hint="eastAsia" w:ascii="宋体" w:hAnsi="宋体" w:eastAsia="宋体" w:cs="Times New Roman"/>
                <w:color w:val="FF0000"/>
                <w:sz w:val="21"/>
                <w:szCs w:val="21"/>
                <w:highlight w:val="none"/>
                <w:u w:val="none"/>
              </w:rPr>
              <w:t xml:space="preserve"> </w:t>
            </w:r>
            <w:r>
              <w:rPr>
                <w:rFonts w:hint="eastAsia" w:ascii="宋体" w:hAnsi="宋体" w:cs="Times New Roman"/>
                <w:color w:val="FF0000"/>
                <w:sz w:val="21"/>
                <w:szCs w:val="21"/>
                <w:highlight w:val="none"/>
                <w:u w:val="single"/>
                <w:lang w:val="en-US" w:eastAsia="zh-CN"/>
              </w:rPr>
              <w:t>50</w:t>
            </w:r>
            <w:r>
              <w:rPr>
                <w:rFonts w:hint="eastAsia" w:ascii="宋体" w:hAnsi="宋体" w:eastAsia="宋体" w:cs="Times New Roman"/>
                <w:color w:val="FF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4" w:type="dxa"/>
            <w:gridSpan w:val="2"/>
            <w:vMerge w:val="restart"/>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ascii="宋体" w:hAnsi="宋体" w:eastAsia="宋体" w:cs="Times New Roman"/>
                <w:color w:val="000000"/>
                <w:sz w:val="21"/>
                <w:szCs w:val="21"/>
                <w:highlight w:val="none"/>
              </w:rPr>
              <w:t>2.2.</w:t>
            </w:r>
            <w:r>
              <w:rPr>
                <w:rFonts w:hint="eastAsia" w:ascii="宋体" w:hAnsi="宋体" w:eastAsia="宋体" w:cs="Times New Roman"/>
                <w:color w:val="000000"/>
                <w:sz w:val="21"/>
                <w:szCs w:val="21"/>
                <w:highlight w:val="none"/>
              </w:rPr>
              <w:t>2</w:t>
            </w:r>
          </w:p>
        </w:tc>
        <w:tc>
          <w:tcPr>
            <w:tcW w:w="1665"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商务部分评分标准</w:t>
            </w:r>
          </w:p>
        </w:tc>
        <w:tc>
          <w:tcPr>
            <w:tcW w:w="5113"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详见本章</w:t>
            </w:r>
            <w:r>
              <w:rPr>
                <w:rFonts w:hint="eastAsia" w:ascii="宋体" w:hAnsi="宋体" w:eastAsia="宋体" w:cs="Times New Roman"/>
                <w:b/>
                <w:color w:val="000000"/>
                <w:sz w:val="21"/>
                <w:szCs w:val="21"/>
                <w:highlight w:val="none"/>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4" w:type="dxa"/>
            <w:gridSpan w:val="2"/>
            <w:vMerge w:val="continue"/>
            <w:vAlign w:val="center"/>
          </w:tcPr>
          <w:p>
            <w:pPr>
              <w:widowControl w:val="0"/>
              <w:adjustRightInd w:val="0"/>
              <w:snapToGrid w:val="0"/>
              <w:spacing w:after="0" w:line="288" w:lineRule="auto"/>
              <w:jc w:val="center"/>
              <w:rPr>
                <w:rFonts w:hint="eastAsia" w:ascii="宋体" w:hAnsi="宋体" w:eastAsia="宋体" w:cs="Times New Roman"/>
                <w:color w:val="000000"/>
                <w:sz w:val="21"/>
                <w:szCs w:val="21"/>
                <w:highlight w:val="none"/>
              </w:rPr>
            </w:pPr>
          </w:p>
        </w:tc>
        <w:tc>
          <w:tcPr>
            <w:tcW w:w="1665"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技术部分评分标准</w:t>
            </w:r>
          </w:p>
        </w:tc>
        <w:tc>
          <w:tcPr>
            <w:tcW w:w="5113"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详见本章</w:t>
            </w:r>
            <w:r>
              <w:rPr>
                <w:rFonts w:hint="eastAsia" w:ascii="宋体" w:hAnsi="宋体" w:eastAsia="宋体" w:cs="Times New Roman"/>
                <w:b/>
                <w:color w:val="000000"/>
                <w:sz w:val="21"/>
                <w:szCs w:val="21"/>
                <w:highlight w:val="none"/>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984" w:type="dxa"/>
            <w:gridSpan w:val="2"/>
            <w:vMerge w:val="continue"/>
            <w:vAlign w:val="center"/>
          </w:tcPr>
          <w:p>
            <w:pPr>
              <w:widowControl w:val="0"/>
              <w:adjustRightInd w:val="0"/>
              <w:snapToGrid w:val="0"/>
              <w:spacing w:after="0" w:line="288" w:lineRule="auto"/>
              <w:jc w:val="center"/>
              <w:rPr>
                <w:rFonts w:hint="eastAsia" w:ascii="宋体" w:hAnsi="宋体" w:eastAsia="宋体" w:cs="Times New Roman"/>
                <w:color w:val="000000"/>
                <w:sz w:val="21"/>
                <w:szCs w:val="21"/>
                <w:highlight w:val="none"/>
              </w:rPr>
            </w:pPr>
          </w:p>
        </w:tc>
        <w:tc>
          <w:tcPr>
            <w:tcW w:w="1665" w:type="dxa"/>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投标报价评分标准</w:t>
            </w:r>
          </w:p>
        </w:tc>
        <w:tc>
          <w:tcPr>
            <w:tcW w:w="5113" w:type="dxa"/>
            <w:vAlign w:val="center"/>
          </w:tcPr>
          <w:p>
            <w:pPr>
              <w:widowControl w:val="0"/>
              <w:adjustRightInd w:val="0"/>
              <w:snapToGrid w:val="0"/>
              <w:spacing w:after="0" w:line="288" w:lineRule="auto"/>
              <w:jc w:val="left"/>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投</w:t>
            </w:r>
            <w:r>
              <w:rPr>
                <w:rFonts w:hint="eastAsia" w:ascii="宋体" w:hAnsi="宋体"/>
                <w:color w:val="000000"/>
                <w:sz w:val="21"/>
                <w:szCs w:val="21"/>
                <w:highlight w:val="none"/>
              </w:rPr>
              <w:t>标人的投标价得分计算公式示例：</w:t>
            </w:r>
          </w:p>
          <w:p>
            <w:pPr>
              <w:widowControl w:val="0"/>
              <w:adjustRightInd w:val="0"/>
              <w:snapToGrid w:val="0"/>
              <w:spacing w:after="0" w:line="288" w:lineRule="auto"/>
              <w:jc w:val="left"/>
              <w:rPr>
                <w:rFonts w:hint="eastAsia" w:ascii="宋体" w:hAnsi="宋体"/>
                <w:color w:val="000000"/>
                <w:sz w:val="21"/>
                <w:szCs w:val="21"/>
                <w:highlight w:val="none"/>
              </w:rPr>
            </w:pPr>
            <w:r>
              <w:rPr>
                <w:rFonts w:hint="eastAsia" w:ascii="宋体" w:hAnsi="宋体"/>
                <w:color w:val="000000"/>
                <w:sz w:val="21"/>
                <w:szCs w:val="21"/>
                <w:highlight w:val="none"/>
              </w:rPr>
              <w:t>（1）如果投标人的投标报价&gt;评标基准价，则投标报价得分=P-偏差率×P×E1；</w:t>
            </w:r>
          </w:p>
          <w:p>
            <w:pPr>
              <w:widowControl w:val="0"/>
              <w:adjustRightInd w:val="0"/>
              <w:snapToGrid w:val="0"/>
              <w:spacing w:after="0" w:line="288" w:lineRule="auto"/>
              <w:jc w:val="left"/>
              <w:rPr>
                <w:rFonts w:hint="eastAsia" w:ascii="宋体" w:hAnsi="宋体"/>
                <w:color w:val="000000"/>
                <w:sz w:val="21"/>
                <w:szCs w:val="21"/>
                <w:highlight w:val="none"/>
              </w:rPr>
            </w:pPr>
            <w:r>
              <w:rPr>
                <w:rFonts w:hint="eastAsia" w:ascii="宋体" w:hAnsi="宋体"/>
                <w:color w:val="000000"/>
                <w:sz w:val="21"/>
                <w:szCs w:val="21"/>
                <w:highlight w:val="none"/>
              </w:rPr>
              <w:t>（2）如果投标人的投标报价≤评标基准价，则投标报价得分=P+偏差率×P×E2。</w:t>
            </w:r>
          </w:p>
          <w:p>
            <w:pPr>
              <w:widowControl w:val="0"/>
              <w:adjustRightInd w:val="0"/>
              <w:snapToGrid w:val="0"/>
              <w:spacing w:after="0" w:line="288" w:lineRule="auto"/>
              <w:ind w:firstLine="0" w:firstLineChars="0"/>
              <w:jc w:val="left"/>
              <w:rPr>
                <w:rFonts w:hint="eastAsia" w:ascii="宋体" w:hAnsi="宋体"/>
                <w:color w:val="000000"/>
                <w:sz w:val="21"/>
                <w:szCs w:val="21"/>
                <w:highlight w:val="none"/>
              </w:rPr>
            </w:pPr>
            <w:r>
              <w:rPr>
                <w:rFonts w:hint="eastAsia" w:ascii="宋体" w:hAnsi="宋体"/>
                <w:color w:val="000000"/>
                <w:sz w:val="21"/>
                <w:szCs w:val="21"/>
                <w:highlight w:val="none"/>
              </w:rPr>
              <w:t>其中：P是投标报价所占的评分满分值；E1是投标报价每高于评标基准价一个百分点的扣分值；E2是投标报价每低于评标基准价一个百分点的扣分值；</w:t>
            </w:r>
          </w:p>
          <w:p>
            <w:pPr>
              <w:widowControl w:val="0"/>
              <w:adjustRightInd w:val="0"/>
              <w:snapToGrid w:val="0"/>
              <w:spacing w:after="0" w:line="288" w:lineRule="auto"/>
              <w:ind w:firstLine="0" w:firstLineChars="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E1=</w:t>
            </w:r>
            <w:r>
              <w:rPr>
                <w:rFonts w:hint="eastAsia" w:ascii="宋体" w:hAnsi="宋体" w:eastAsia="宋体"/>
                <w:color w:val="000000"/>
                <w:sz w:val="21"/>
                <w:szCs w:val="21"/>
                <w:highlight w:val="none"/>
                <w:lang w:val="en-US" w:eastAsia="zh-CN"/>
              </w:rPr>
              <w:t>2</w:t>
            </w:r>
            <w:r>
              <w:rPr>
                <w:rFonts w:hint="eastAsia" w:ascii="宋体" w:hAnsi="宋体"/>
                <w:color w:val="000000"/>
                <w:sz w:val="21"/>
                <w:szCs w:val="21"/>
                <w:highlight w:val="none"/>
              </w:rPr>
              <w:t>，E2=</w:t>
            </w:r>
            <w:r>
              <w:rPr>
                <w:rFonts w:hint="eastAsia" w:ascii="宋体" w:hAnsi="宋体" w:eastAsia="宋体"/>
                <w:color w:val="000000"/>
                <w:sz w:val="21"/>
                <w:szCs w:val="21"/>
                <w:highlight w:val="none"/>
                <w:lang w:val="en-US" w:eastAsia="zh-CN"/>
              </w:rPr>
              <w:t>1</w:t>
            </w:r>
            <w:r>
              <w:rPr>
                <w:rFonts w:hint="eastAsia" w:ascii="宋体" w:hAnsi="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4" w:type="dxa"/>
            <w:gridSpan w:val="2"/>
            <w:vAlign w:val="center"/>
          </w:tcPr>
          <w:p>
            <w:pPr>
              <w:widowControl w:val="0"/>
              <w:adjustRightInd w:val="0"/>
              <w:snapToGrid w:val="0"/>
              <w:spacing w:after="0" w:line="288" w:lineRule="auto"/>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sz w:val="21"/>
                <w:szCs w:val="21"/>
                <w:highlight w:val="none"/>
              </w:rPr>
              <w:t xml:space="preserve">3.4.1 </w:t>
            </w:r>
          </w:p>
        </w:tc>
        <w:tc>
          <w:tcPr>
            <w:tcW w:w="1665" w:type="dxa"/>
            <w:vAlign w:val="center"/>
          </w:tcPr>
          <w:p>
            <w:pPr>
              <w:widowControl w:val="0"/>
              <w:adjustRightInd w:val="0"/>
              <w:snapToGrid w:val="0"/>
              <w:spacing w:after="0" w:line="288" w:lineRule="auto"/>
              <w:jc w:val="both"/>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 w:val="21"/>
                <w:szCs w:val="21"/>
                <w:highlight w:val="none"/>
                <w:lang w:eastAsia="zh-CN"/>
              </w:rPr>
              <w:t>供应商</w:t>
            </w:r>
            <w:r>
              <w:rPr>
                <w:rFonts w:hint="eastAsia" w:ascii="宋体" w:hAnsi="宋体" w:eastAsia="宋体" w:cs="Times New Roman"/>
                <w:color w:val="000000"/>
                <w:sz w:val="21"/>
                <w:szCs w:val="21"/>
                <w:highlight w:val="none"/>
              </w:rPr>
              <w:t>最终得分的计算方法</w:t>
            </w:r>
          </w:p>
        </w:tc>
        <w:tc>
          <w:tcPr>
            <w:tcW w:w="5113" w:type="dxa"/>
            <w:vAlign w:val="center"/>
          </w:tcPr>
          <w:p>
            <w:pPr>
              <w:widowControl w:val="0"/>
              <w:adjustRightInd w:val="0"/>
              <w:snapToGrid w:val="0"/>
              <w:spacing w:after="0" w:line="288" w:lineRule="auto"/>
              <w:jc w:val="both"/>
              <w:rPr>
                <w:rFonts w:hint="eastAsia" w:ascii="宋体" w:hAnsi="宋体" w:cs="Times New Roman" w:eastAsiaTheme="minorEastAsia"/>
                <w:color w:val="000000"/>
                <w:kern w:val="2"/>
                <w:sz w:val="21"/>
                <w:szCs w:val="21"/>
                <w:highlight w:val="none"/>
                <w:lang w:val="en-US" w:eastAsia="zh-CN" w:bidi="ar-SA"/>
              </w:rPr>
            </w:pPr>
            <w:r>
              <w:rPr>
                <w:rFonts w:hint="eastAsia" w:asciiTheme="minorEastAsia" w:hAnsiTheme="minorEastAsia" w:eastAsiaTheme="minorEastAsia"/>
                <w:szCs w:val="21"/>
              </w:rPr>
              <w:t>供应商最终得分为商务部分、技术部分、投标报价3个方面评价得分之和。</w:t>
            </w:r>
            <w:r>
              <w:rPr>
                <w:rFonts w:hint="eastAsia" w:asciiTheme="minorEastAsia" w:hAnsiTheme="minorEastAsia" w:eastAsiaTheme="minorEastAsia"/>
                <w:szCs w:val="21"/>
                <w:lang w:eastAsia="zh-CN"/>
              </w:rPr>
              <w:t>得分最高者为第一成交候选人。</w:t>
            </w:r>
          </w:p>
        </w:tc>
      </w:tr>
    </w:tbl>
    <w:p>
      <w:pPr>
        <w:adjustRightInd/>
        <w:snapToGrid/>
        <w:spacing w:line="360" w:lineRule="auto"/>
        <w:jc w:val="left"/>
        <w:rPr>
          <w:rFonts w:hint="eastAsia" w:ascii="宋体" w:hAnsi="宋体" w:cs="仿宋"/>
          <w:b/>
          <w:bCs/>
          <w:sz w:val="36"/>
          <w:szCs w:val="36"/>
        </w:rPr>
      </w:pPr>
      <w:r>
        <w:rPr>
          <w:rFonts w:hint="eastAsia" w:ascii="宋体" w:hAnsi="宋体" w:cs="仿宋"/>
          <w:b/>
          <w:bCs/>
          <w:sz w:val="36"/>
          <w:szCs w:val="36"/>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widowControl w:val="0"/>
        <w:autoSpaceDN w:val="0"/>
        <w:adjustRightInd w:val="0"/>
        <w:snapToGrid w:val="0"/>
        <w:spacing w:after="0" w:line="312" w:lineRule="auto"/>
        <w:ind w:firstLine="482" w:firstLineChars="200"/>
        <w:jc w:val="both"/>
        <w:outlineLvl w:val="1"/>
        <w:rPr>
          <w:rFonts w:ascii="宋体" w:hAnsi="宋体" w:eastAsia="宋体" w:cs="Times New Roman"/>
          <w:b/>
          <w:color w:val="000000"/>
          <w:kern w:val="0"/>
          <w:sz w:val="24"/>
          <w:szCs w:val="24"/>
          <w:highlight w:val="none"/>
        </w:rPr>
      </w:pPr>
      <w:bookmarkStart w:id="12" w:name="_Toc77254126"/>
      <w:bookmarkStart w:id="13" w:name="_Toc76635705"/>
      <w:r>
        <w:rPr>
          <w:rFonts w:hint="eastAsia" w:ascii="宋体" w:hAnsi="宋体" w:eastAsia="宋体" w:cs="Times New Roman"/>
          <w:b/>
          <w:color w:val="000000"/>
          <w:kern w:val="0"/>
          <w:sz w:val="24"/>
          <w:szCs w:val="24"/>
          <w:highlight w:val="none"/>
        </w:rPr>
        <w:t>1．评标方法</w:t>
      </w:r>
      <w:bookmarkEnd w:id="12"/>
      <w:bookmarkEnd w:id="13"/>
      <w:r>
        <w:rPr>
          <w:rFonts w:hint="eastAsia" w:ascii="宋体" w:hAnsi="宋体" w:eastAsia="宋体" w:cs="Times New Roman"/>
          <w:b/>
          <w:color w:val="000000"/>
          <w:kern w:val="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本次评标采用综合评估法，评标委员会对满足</w:t>
      </w:r>
      <w:r>
        <w:rPr>
          <w:rFonts w:hint="eastAsia" w:ascii="宋体" w:hAnsi="宋体" w:cs="Times New Roman"/>
          <w:color w:val="000000"/>
          <w:sz w:val="24"/>
          <w:szCs w:val="24"/>
          <w:highlight w:val="none"/>
          <w:lang w:eastAsia="zh-CN"/>
        </w:rPr>
        <w:t>询价</w:t>
      </w:r>
      <w:r>
        <w:rPr>
          <w:rFonts w:hint="eastAsia" w:ascii="宋体" w:hAnsi="宋体" w:eastAsia="宋体" w:cs="Times New Roman"/>
          <w:color w:val="000000"/>
          <w:sz w:val="24"/>
          <w:szCs w:val="24"/>
          <w:highlight w:val="none"/>
        </w:rPr>
        <w:t>文件实质性要求的投标文件，按照本章第 2.2 款规定的评分标准进行打分，并按得分由高到低顺序推荐中标候选人，但投标报价低于其成本的除外。综合评分相等时，以投标报价低的优先；投标报价也相等的，以技术部分得分高的优先；如果技术部分得分也相等，</w:t>
      </w:r>
      <w:r>
        <w:rPr>
          <w:rFonts w:ascii="宋体" w:hAnsi="宋体" w:eastAsia="宋体" w:cs="Times New Roman"/>
          <w:color w:val="000000"/>
          <w:sz w:val="24"/>
          <w:szCs w:val="24"/>
          <w:highlight w:val="none"/>
        </w:rPr>
        <w:t>由</w:t>
      </w:r>
      <w:r>
        <w:rPr>
          <w:rFonts w:hint="eastAsia" w:ascii="宋体" w:hAnsi="宋体" w:cs="Times New Roman"/>
          <w:color w:val="000000"/>
          <w:sz w:val="24"/>
          <w:szCs w:val="24"/>
          <w:highlight w:val="none"/>
          <w:lang w:eastAsia="zh-CN"/>
        </w:rPr>
        <w:t>采购人</w:t>
      </w:r>
      <w:r>
        <w:rPr>
          <w:rFonts w:ascii="宋体" w:hAnsi="宋体" w:eastAsia="宋体" w:cs="Times New Roman"/>
          <w:color w:val="000000"/>
          <w:sz w:val="24"/>
          <w:szCs w:val="24"/>
          <w:highlight w:val="none"/>
        </w:rPr>
        <w:t>或者经</w:t>
      </w:r>
      <w:r>
        <w:rPr>
          <w:rFonts w:hint="eastAsia" w:ascii="宋体" w:hAnsi="宋体" w:cs="Times New Roman"/>
          <w:color w:val="000000"/>
          <w:sz w:val="24"/>
          <w:szCs w:val="24"/>
          <w:highlight w:val="none"/>
          <w:lang w:eastAsia="zh-CN"/>
        </w:rPr>
        <w:t>采购人</w:t>
      </w:r>
      <w:r>
        <w:rPr>
          <w:rFonts w:ascii="宋体" w:hAnsi="宋体" w:eastAsia="宋体" w:cs="Times New Roman"/>
          <w:color w:val="000000"/>
          <w:sz w:val="24"/>
          <w:szCs w:val="24"/>
          <w:highlight w:val="none"/>
        </w:rPr>
        <w:t>授权评标委员会自行确定。</w:t>
      </w:r>
    </w:p>
    <w:p>
      <w:pPr>
        <w:widowControl w:val="0"/>
        <w:autoSpaceDN w:val="0"/>
        <w:adjustRightInd w:val="0"/>
        <w:snapToGrid w:val="0"/>
        <w:spacing w:after="0" w:line="312" w:lineRule="auto"/>
        <w:ind w:firstLine="482" w:firstLineChars="200"/>
        <w:jc w:val="both"/>
        <w:outlineLvl w:val="1"/>
        <w:rPr>
          <w:rFonts w:hint="eastAsia" w:ascii="宋体" w:hAnsi="宋体" w:eastAsia="宋体" w:cs="Times New Roman"/>
          <w:b/>
          <w:color w:val="000000"/>
          <w:kern w:val="0"/>
          <w:sz w:val="24"/>
          <w:szCs w:val="24"/>
          <w:highlight w:val="none"/>
        </w:rPr>
      </w:pPr>
      <w:bookmarkStart w:id="14" w:name="_Toc512257486"/>
      <w:bookmarkStart w:id="15" w:name="_Toc77254127"/>
      <w:bookmarkStart w:id="16" w:name="_Toc13445"/>
      <w:bookmarkStart w:id="17" w:name="_Toc76635706"/>
      <w:r>
        <w:rPr>
          <w:rFonts w:hint="eastAsia" w:ascii="宋体" w:hAnsi="宋体" w:eastAsia="宋体" w:cs="Times New Roman"/>
          <w:b/>
          <w:color w:val="000000"/>
          <w:kern w:val="0"/>
          <w:sz w:val="24"/>
          <w:szCs w:val="24"/>
          <w:highlight w:val="none"/>
        </w:rPr>
        <w:t>2．评审标准</w:t>
      </w:r>
      <w:bookmarkEnd w:id="14"/>
      <w:bookmarkEnd w:id="15"/>
      <w:bookmarkEnd w:id="16"/>
      <w:bookmarkEnd w:id="17"/>
      <w:r>
        <w:rPr>
          <w:rFonts w:hint="eastAsia" w:ascii="宋体" w:hAnsi="宋体" w:eastAsia="宋体" w:cs="Times New Roman"/>
          <w:b/>
          <w:color w:val="000000"/>
          <w:kern w:val="0"/>
          <w:sz w:val="24"/>
          <w:szCs w:val="24"/>
          <w:highlight w:val="none"/>
        </w:rPr>
        <w:t xml:space="preserve">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18" w:name="_Toc11852"/>
      <w:r>
        <w:rPr>
          <w:rFonts w:hint="eastAsia" w:ascii="宋体" w:hAnsi="宋体" w:eastAsia="宋体" w:cs="Times New Roman"/>
          <w:b/>
          <w:color w:val="000000"/>
          <w:sz w:val="24"/>
          <w:szCs w:val="24"/>
          <w:highlight w:val="none"/>
        </w:rPr>
        <w:t>2.1 初步评审标准</w:t>
      </w:r>
      <w:bookmarkEnd w:id="18"/>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2.1.1 形式评审标准：见评标办法前附表。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2.1.2 资格评审标准：见评标办法前附表。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2.1.3 响应性评审标准：见评标办法前附表。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19" w:name="_Toc8911"/>
      <w:r>
        <w:rPr>
          <w:rFonts w:hint="eastAsia" w:ascii="宋体" w:hAnsi="宋体" w:eastAsia="宋体" w:cs="Times New Roman"/>
          <w:b/>
          <w:color w:val="000000"/>
          <w:sz w:val="24"/>
          <w:szCs w:val="24"/>
          <w:highlight w:val="none"/>
        </w:rPr>
        <w:t>2.2 分值构成与评分标准</w:t>
      </w:r>
      <w:bookmarkEnd w:id="19"/>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2.2.1 分值构成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（1）商务部分：见评标办法附表；</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（2）技术部分：见评标办法附表；</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（3）投标报价部分：见评标办法附表。</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2.2.2 评分标准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（1）商务部分评分标准：见评标办法前附表；</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（2）技术部分评分标准：见评标办法前附表；</w:t>
      </w:r>
    </w:p>
    <w:p>
      <w:pPr>
        <w:pStyle w:val="4"/>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（3）投标报价评分标准：见评标办法前附表。</w:t>
      </w:r>
    </w:p>
    <w:p>
      <w:pPr>
        <w:widowControl w:val="0"/>
        <w:autoSpaceDN w:val="0"/>
        <w:adjustRightInd w:val="0"/>
        <w:snapToGrid w:val="0"/>
        <w:spacing w:after="0" w:line="312" w:lineRule="auto"/>
        <w:ind w:firstLine="482" w:firstLineChars="200"/>
        <w:jc w:val="both"/>
        <w:outlineLvl w:val="1"/>
        <w:rPr>
          <w:rFonts w:hint="eastAsia" w:ascii="宋体" w:hAnsi="宋体" w:eastAsia="宋体" w:cs="Times New Roman"/>
          <w:b/>
          <w:color w:val="000000"/>
          <w:kern w:val="0"/>
          <w:sz w:val="24"/>
          <w:szCs w:val="24"/>
          <w:highlight w:val="none"/>
        </w:rPr>
      </w:pPr>
      <w:bookmarkStart w:id="20" w:name="_Toc512257487"/>
      <w:bookmarkStart w:id="21" w:name="_Toc76635707"/>
      <w:bookmarkStart w:id="22" w:name="_Toc77254128"/>
      <w:bookmarkStart w:id="23" w:name="_Toc16627"/>
      <w:r>
        <w:rPr>
          <w:rFonts w:hint="eastAsia" w:ascii="宋体" w:hAnsi="宋体" w:eastAsia="宋体" w:cs="Times New Roman"/>
          <w:b/>
          <w:color w:val="000000"/>
          <w:kern w:val="0"/>
          <w:sz w:val="24"/>
          <w:szCs w:val="24"/>
          <w:highlight w:val="none"/>
        </w:rPr>
        <w:t>3．评标程序</w:t>
      </w:r>
      <w:bookmarkEnd w:id="20"/>
      <w:bookmarkEnd w:id="21"/>
      <w:bookmarkEnd w:id="22"/>
      <w:bookmarkEnd w:id="23"/>
      <w:r>
        <w:rPr>
          <w:rFonts w:hint="eastAsia" w:ascii="宋体" w:hAnsi="宋体" w:eastAsia="宋体" w:cs="Times New Roman"/>
          <w:b/>
          <w:color w:val="000000"/>
          <w:kern w:val="0"/>
          <w:sz w:val="24"/>
          <w:szCs w:val="24"/>
          <w:highlight w:val="none"/>
        </w:rPr>
        <w:t xml:space="preserve">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24" w:name="_Toc20466"/>
      <w:r>
        <w:rPr>
          <w:rFonts w:hint="eastAsia" w:ascii="宋体" w:hAnsi="宋体" w:eastAsia="宋体" w:cs="Times New Roman"/>
          <w:b/>
          <w:color w:val="000000"/>
          <w:sz w:val="24"/>
          <w:szCs w:val="24"/>
          <w:highlight w:val="none"/>
        </w:rPr>
        <w:t>3.1 初步评审</w:t>
      </w:r>
      <w:bookmarkEnd w:id="24"/>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3.1.1</w:t>
      </w:r>
      <w:r>
        <w:rPr>
          <w:rFonts w:hint="eastAsia" w:ascii="宋体" w:hAnsi="宋体" w:eastAsia="宋体" w:cs="Times New Roman"/>
          <w:color w:val="000000"/>
          <w:sz w:val="24"/>
          <w:szCs w:val="24"/>
          <w:highlight w:val="none"/>
        </w:rPr>
        <w:t>评标委员会可以要求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提交第二章“</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须知”第</w:t>
      </w:r>
      <w:r>
        <w:rPr>
          <w:rFonts w:ascii="宋体" w:hAnsi="宋体" w:eastAsia="宋体" w:cs="Times New Roman"/>
          <w:color w:val="000000"/>
          <w:sz w:val="24"/>
          <w:szCs w:val="24"/>
          <w:highlight w:val="none"/>
        </w:rPr>
        <w:t>3.5</w:t>
      </w:r>
      <w:r>
        <w:rPr>
          <w:rFonts w:hint="eastAsia" w:ascii="宋体" w:hAnsi="宋体" w:eastAsia="宋体" w:cs="Times New Roman"/>
          <w:color w:val="000000"/>
          <w:sz w:val="24"/>
          <w:szCs w:val="24"/>
          <w:highlight w:val="none"/>
        </w:rPr>
        <w:t>项规定的有关证明和证件的原件，以便核验。评标委员会依据本章第</w:t>
      </w:r>
      <w:r>
        <w:rPr>
          <w:rFonts w:ascii="宋体" w:hAnsi="宋体" w:eastAsia="宋体" w:cs="Times New Roman"/>
          <w:color w:val="000000"/>
          <w:sz w:val="24"/>
          <w:szCs w:val="24"/>
          <w:highlight w:val="none"/>
        </w:rPr>
        <w:t>2.1</w:t>
      </w:r>
      <w:r>
        <w:rPr>
          <w:rFonts w:hint="eastAsia" w:ascii="宋体" w:hAnsi="宋体" w:eastAsia="宋体" w:cs="Times New Roman"/>
          <w:color w:val="000000"/>
          <w:sz w:val="24"/>
          <w:szCs w:val="24"/>
          <w:highlight w:val="none"/>
        </w:rPr>
        <w:t>款规定的标准对投标文件进行初步评审。有一项不符合评审标准的，作废标处理。</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 xml:space="preserve">3.1.2 </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有以下情形之一的，其投标作废标处理：</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ascii="宋体" w:hAnsi="宋体" w:eastAsia="宋体" w:cs="Times New Roman"/>
          <w:color w:val="000000"/>
          <w:sz w:val="24"/>
          <w:szCs w:val="24"/>
          <w:highlight w:val="none"/>
        </w:rPr>
        <w:t>l</w:t>
      </w:r>
      <w:r>
        <w:rPr>
          <w:rFonts w:hint="eastAsia" w:ascii="宋体" w:hAnsi="宋体" w:eastAsia="宋体" w:cs="Times New Roman"/>
          <w:color w:val="000000"/>
          <w:sz w:val="24"/>
          <w:szCs w:val="24"/>
          <w:highlight w:val="none"/>
        </w:rPr>
        <w:t>）第二章“</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须知”第</w:t>
      </w:r>
      <w:r>
        <w:rPr>
          <w:rFonts w:ascii="宋体" w:hAnsi="宋体" w:eastAsia="宋体" w:cs="Times New Roman"/>
          <w:color w:val="000000"/>
          <w:sz w:val="24"/>
          <w:szCs w:val="24"/>
          <w:highlight w:val="none"/>
        </w:rPr>
        <w:t>1.4.3</w:t>
      </w:r>
      <w:r>
        <w:rPr>
          <w:rFonts w:hint="eastAsia" w:ascii="宋体" w:hAnsi="宋体" w:eastAsia="宋体" w:cs="Times New Roman"/>
          <w:color w:val="000000"/>
          <w:sz w:val="24"/>
          <w:szCs w:val="24"/>
          <w:highlight w:val="none"/>
        </w:rPr>
        <w:t>项和</w:t>
      </w:r>
      <w:r>
        <w:rPr>
          <w:rFonts w:ascii="宋体" w:hAnsi="宋体" w:eastAsia="宋体" w:cs="Times New Roman"/>
          <w:color w:val="000000"/>
          <w:sz w:val="24"/>
          <w:szCs w:val="24"/>
          <w:highlight w:val="none"/>
        </w:rPr>
        <w:t>9.2</w:t>
      </w:r>
      <w:r>
        <w:rPr>
          <w:rFonts w:hint="eastAsia" w:ascii="宋体" w:hAnsi="宋体" w:eastAsia="宋体" w:cs="Times New Roman"/>
          <w:color w:val="000000"/>
          <w:sz w:val="24"/>
          <w:szCs w:val="24"/>
          <w:highlight w:val="none"/>
        </w:rPr>
        <w:t>项规定的任何一种情形的：</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rPr>
        <w:t>）串通投标或弄虚作假或有其他违法行为的；</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ascii="宋体" w:hAnsi="宋体" w:eastAsia="宋体" w:cs="Times New Roman"/>
          <w:color w:val="000000"/>
          <w:sz w:val="24"/>
          <w:szCs w:val="24"/>
          <w:highlight w:val="none"/>
        </w:rPr>
        <w:t>3</w:t>
      </w:r>
      <w:r>
        <w:rPr>
          <w:rFonts w:hint="eastAsia" w:ascii="宋体" w:hAnsi="宋体" w:eastAsia="宋体" w:cs="Times New Roman"/>
          <w:color w:val="000000"/>
          <w:sz w:val="24"/>
          <w:szCs w:val="24"/>
          <w:highlight w:val="none"/>
        </w:rPr>
        <w:t>）不按评标委员会要求澄清、说明或补正的。3.1.3 投标报价有算术错误及其他错误的，评标委员会按以下原则要求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对投标报价进行修正，并要求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书面澄清确认。</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拒不澄清确认的，评标委员会应当否决其投标：</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（1）投标文件中的大写金额与小写金额不一致的，以大写金额为准；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（2）总价金额与单价金额不一致的，以单价金额为准，但单价金额小数点有明显错误的除外；</w:t>
      </w:r>
    </w:p>
    <w:p>
      <w:pPr>
        <w:widowControl w:val="0"/>
        <w:adjustRightInd w:val="0"/>
        <w:snapToGrid w:val="0"/>
        <w:spacing w:after="0" w:line="312" w:lineRule="auto"/>
        <w:ind w:firstLine="480" w:firstLineChars="200"/>
        <w:jc w:val="both"/>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 xml:space="preserve">（3）投标报价为各分项报价金额之和，投标报价与分项报价的合价不一致的，应以各分项合价累计数为准，修正投标报价； </w:t>
      </w:r>
    </w:p>
    <w:p>
      <w:pPr>
        <w:pStyle w:val="3"/>
        <w:adjustRightInd w:val="0"/>
        <w:snapToGrid w:val="0"/>
        <w:spacing w:after="0" w:line="312" w:lineRule="auto"/>
        <w:ind w:firstLine="475" w:firstLineChars="198"/>
        <w:rPr>
          <w:rFonts w:ascii="宋体" w:hAnsi="宋体"/>
          <w:color w:val="000000"/>
          <w:sz w:val="24"/>
          <w:highlight w:val="none"/>
        </w:rPr>
      </w:pPr>
      <w:r>
        <w:rPr>
          <w:rFonts w:hint="eastAsia" w:ascii="宋体" w:hAnsi="宋体"/>
          <w:color w:val="000000"/>
          <w:sz w:val="24"/>
          <w:highlight w:val="none"/>
        </w:rPr>
        <w:t>3.1.4 进入投标报价分计算的</w:t>
      </w:r>
      <w:r>
        <w:rPr>
          <w:rFonts w:hint="eastAsia" w:ascii="宋体" w:hAnsi="宋体"/>
          <w:color w:val="000000"/>
          <w:sz w:val="24"/>
          <w:highlight w:val="none"/>
          <w:lang w:eastAsia="zh-CN"/>
        </w:rPr>
        <w:t>供应商</w:t>
      </w:r>
      <w:r>
        <w:rPr>
          <w:rFonts w:hint="eastAsia" w:ascii="宋体" w:hAnsi="宋体"/>
          <w:color w:val="000000"/>
          <w:sz w:val="24"/>
          <w:highlight w:val="none"/>
        </w:rPr>
        <w:t>投标报价均指经算术性错误修正后的最终投标报价。</w:t>
      </w:r>
      <w:r>
        <w:rPr>
          <w:rFonts w:hint="eastAsia" w:ascii="宋体" w:hAnsi="宋体"/>
          <w:color w:val="000000"/>
          <w:sz w:val="24"/>
          <w:highlight w:val="none"/>
          <w:lang w:eastAsia="zh-CN"/>
        </w:rPr>
        <w:t>供应商</w:t>
      </w:r>
      <w:r>
        <w:rPr>
          <w:rFonts w:hint="eastAsia" w:ascii="宋体" w:hAnsi="宋体"/>
          <w:color w:val="000000"/>
          <w:sz w:val="24"/>
          <w:highlight w:val="none"/>
        </w:rPr>
        <w:t>的最终投标报价若超过最高投标限价(如有)，</w:t>
      </w:r>
      <w:r>
        <w:rPr>
          <w:rFonts w:hint="eastAsia" w:ascii="宋体" w:hAnsi="宋体"/>
          <w:color w:val="000000"/>
          <w:sz w:val="24"/>
          <w:highlight w:val="none"/>
          <w:lang w:eastAsia="zh-CN"/>
        </w:rPr>
        <w:t>供应商</w:t>
      </w:r>
      <w:r>
        <w:rPr>
          <w:rFonts w:hint="eastAsia" w:ascii="宋体" w:hAnsi="宋体"/>
          <w:color w:val="000000"/>
          <w:sz w:val="24"/>
          <w:highlight w:val="none"/>
        </w:rPr>
        <w:t>的投标文件作废标处理。</w:t>
      </w:r>
      <w:r>
        <w:rPr>
          <w:rFonts w:ascii="宋体" w:hAnsi="宋体"/>
          <w:color w:val="000000"/>
          <w:sz w:val="24"/>
          <w:highlight w:val="none"/>
        </w:rPr>
        <w:t xml:space="preserve">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25" w:name="_Toc4450"/>
      <w:r>
        <w:rPr>
          <w:rFonts w:hint="eastAsia" w:ascii="宋体" w:hAnsi="宋体" w:eastAsia="宋体" w:cs="Times New Roman"/>
          <w:b/>
          <w:color w:val="000000"/>
          <w:sz w:val="24"/>
          <w:szCs w:val="24"/>
          <w:highlight w:val="none"/>
        </w:rPr>
        <w:t>3.2 详细评审</w:t>
      </w:r>
      <w:bookmarkEnd w:id="25"/>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3.2.1 评标委员会按本章第2.2款规定的量化因素和分值进行打分，并计算出综合评估得分。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（1）按本章第2.2.</w:t>
      </w:r>
      <w:r>
        <w:rPr>
          <w:rFonts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rPr>
        <w:t xml:space="preserve">（1）目规定的评分因素和标准对商务部分计算出得分A；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（2）按本章第2.2.</w:t>
      </w:r>
      <w:r>
        <w:rPr>
          <w:rFonts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rPr>
        <w:t>（2）目规定的评分因素和标准对技术部分计算出得分 B；</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（3）按本章第2.2.</w:t>
      </w:r>
      <w:r>
        <w:rPr>
          <w:rFonts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rPr>
        <w:t>（3）目规定的评分因素和标准对投标报价计算出得分C；</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3.2.2 评分分值计算保留小数点后两位，小数点后第三位“四舍五入”。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3.2.3</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得分=</w:t>
      </w:r>
      <w:r>
        <w:rPr>
          <w:rFonts w:hint="eastAsia" w:ascii="宋体" w:hAnsi="宋体" w:eastAsia="宋体" w:cs="Times New Roman"/>
          <w:color w:val="000000"/>
          <w:kern w:val="0"/>
          <w:sz w:val="24"/>
          <w:szCs w:val="24"/>
          <w:highlight w:val="none"/>
        </w:rPr>
        <w:t xml:space="preserve"> A</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kern w:val="0"/>
          <w:sz w:val="24"/>
          <w:szCs w:val="24"/>
          <w:highlight w:val="none"/>
        </w:rPr>
        <w:t xml:space="preserve"> B</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kern w:val="0"/>
          <w:sz w:val="24"/>
          <w:szCs w:val="24"/>
          <w:highlight w:val="none"/>
        </w:rPr>
        <w:t>C</w:t>
      </w:r>
      <w:r>
        <w:rPr>
          <w:rFonts w:hint="eastAsia" w:ascii="宋体" w:hAnsi="宋体" w:eastAsia="宋体" w:cs="Times New Roman"/>
          <w:color w:val="000000"/>
          <w:sz w:val="24"/>
          <w:szCs w:val="24"/>
          <w:highlight w:val="none"/>
        </w:rPr>
        <w:t>。</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26" w:name="_Toc16822"/>
      <w:r>
        <w:rPr>
          <w:rFonts w:hint="eastAsia" w:ascii="宋体" w:hAnsi="宋体" w:eastAsia="宋体" w:cs="Times New Roman"/>
          <w:b/>
          <w:color w:val="000000"/>
          <w:sz w:val="24"/>
          <w:szCs w:val="24"/>
          <w:highlight w:val="none"/>
        </w:rPr>
        <w:t>3.3 投标文件的澄清</w:t>
      </w:r>
      <w:bookmarkEnd w:id="26"/>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3.3.1 在评标过程中，评标委员会可以书面形式要求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对投标文件中含义不明确、对同类问题表述不一致或者有明显文字和计算错误的内容作必要的澄清、说明或补正。澄清、说明或补正应以书面方式进行。评标委员会不接受</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 xml:space="preserve">主动提出的澄清、说明或补正。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3.3.2 澄清、说明或补正不得超出投标文件的范围且不得改变投标文件的实质性内容，并构成投标文件的组成部分。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3.3.3 评标委员会对</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提交的澄清、说明或补正有疑问的，可以要求</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 xml:space="preserve">进一步澄清、说明或补正，直至满足评标委员会的要求。 </w:t>
      </w:r>
    </w:p>
    <w:p>
      <w:pPr>
        <w:widowControl w:val="0"/>
        <w:adjustRightInd w:val="0"/>
        <w:snapToGrid w:val="0"/>
        <w:spacing w:after="0" w:line="312" w:lineRule="auto"/>
        <w:ind w:firstLine="482" w:firstLineChars="200"/>
        <w:jc w:val="both"/>
        <w:rPr>
          <w:rFonts w:hint="eastAsia" w:ascii="宋体" w:hAnsi="宋体" w:eastAsia="宋体" w:cs="Times New Roman"/>
          <w:b/>
          <w:color w:val="000000"/>
          <w:sz w:val="24"/>
          <w:szCs w:val="24"/>
          <w:highlight w:val="none"/>
        </w:rPr>
      </w:pPr>
      <w:bookmarkStart w:id="27" w:name="_Toc21250"/>
      <w:r>
        <w:rPr>
          <w:rFonts w:hint="eastAsia" w:ascii="宋体" w:hAnsi="宋体" w:eastAsia="宋体" w:cs="Times New Roman"/>
          <w:b/>
          <w:color w:val="000000"/>
          <w:sz w:val="24"/>
          <w:szCs w:val="24"/>
          <w:highlight w:val="none"/>
        </w:rPr>
        <w:t>3.4 评标结果</w:t>
      </w:r>
      <w:bookmarkEnd w:id="27"/>
      <w:r>
        <w:rPr>
          <w:rFonts w:hint="eastAsia" w:ascii="宋体" w:hAnsi="宋体" w:eastAsia="宋体" w:cs="Times New Roman"/>
          <w:b/>
          <w:color w:val="000000"/>
          <w:sz w:val="24"/>
          <w:szCs w:val="24"/>
          <w:highlight w:val="none"/>
        </w:rPr>
        <w:t xml:space="preserve">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3.4.1 除第二章“</w:t>
      </w:r>
      <w:r>
        <w:rPr>
          <w:rFonts w:hint="eastAsia" w:ascii="宋体" w:hAnsi="宋体" w:cs="Times New Roman"/>
          <w:color w:val="000000"/>
          <w:sz w:val="24"/>
          <w:szCs w:val="24"/>
          <w:highlight w:val="none"/>
          <w:lang w:eastAsia="zh-CN"/>
        </w:rPr>
        <w:t>供应商</w:t>
      </w:r>
      <w:r>
        <w:rPr>
          <w:rFonts w:hint="eastAsia" w:ascii="宋体" w:hAnsi="宋体" w:eastAsia="宋体" w:cs="Times New Roman"/>
          <w:color w:val="000000"/>
          <w:sz w:val="24"/>
          <w:szCs w:val="24"/>
          <w:highlight w:val="none"/>
        </w:rPr>
        <w:t xml:space="preserve">须知”前附表授权直接确定中标人外，评标委员会按照得分由高到低的顺序推荐中标候选人，并标明排序。 </w:t>
      </w:r>
    </w:p>
    <w:p>
      <w:pPr>
        <w:widowControl w:val="0"/>
        <w:adjustRightInd w:val="0"/>
        <w:snapToGrid w:val="0"/>
        <w:spacing w:after="0" w:line="312" w:lineRule="auto"/>
        <w:ind w:firstLine="480" w:firstLineChars="200"/>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3.4.2 评标委员会完成评标后，应当向</w:t>
      </w:r>
      <w:r>
        <w:rPr>
          <w:rFonts w:hint="eastAsia" w:ascii="宋体" w:hAnsi="宋体" w:cs="Times New Roman"/>
          <w:color w:val="000000"/>
          <w:sz w:val="24"/>
          <w:szCs w:val="24"/>
          <w:highlight w:val="none"/>
          <w:lang w:eastAsia="zh-CN"/>
        </w:rPr>
        <w:t>采购人</w:t>
      </w:r>
      <w:r>
        <w:rPr>
          <w:rFonts w:hint="eastAsia" w:ascii="宋体" w:hAnsi="宋体" w:eastAsia="宋体" w:cs="Times New Roman"/>
          <w:color w:val="000000"/>
          <w:sz w:val="24"/>
          <w:szCs w:val="24"/>
          <w:highlight w:val="none"/>
        </w:rPr>
        <w:t xml:space="preserve">提交书面评标报告和中标候选人名单。 </w:t>
      </w:r>
    </w:p>
    <w:p>
      <w:pPr>
        <w:rPr>
          <w:rFonts w:hint="eastAsia" w:ascii="黑体" w:hAnsi="黑体" w:eastAsia="黑体" w:cs="宋体"/>
          <w:color w:val="000000"/>
          <w:kern w:val="44"/>
          <w:sz w:val="32"/>
          <w:szCs w:val="32"/>
          <w:highlight w:val="none"/>
        </w:rPr>
      </w:pPr>
      <w:bookmarkStart w:id="28" w:name="_Toc76635709"/>
      <w:bookmarkStart w:id="29" w:name="_Toc77254130"/>
      <w:r>
        <w:rPr>
          <w:rFonts w:hint="eastAsia" w:ascii="黑体" w:hAnsi="黑体" w:eastAsia="黑体" w:cs="宋体"/>
          <w:color w:val="000000"/>
          <w:kern w:val="44"/>
          <w:sz w:val="32"/>
          <w:szCs w:val="32"/>
          <w:highlight w:val="none"/>
        </w:rPr>
        <w:br w:type="page"/>
      </w:r>
    </w:p>
    <w:bookmarkEnd w:id="28"/>
    <w:bookmarkEnd w:id="29"/>
    <w:p>
      <w:pPr>
        <w:widowControl w:val="0"/>
        <w:snapToGrid w:val="0"/>
        <w:spacing w:after="0" w:line="490" w:lineRule="exact"/>
        <w:outlineLvl w:val="0"/>
        <w:rPr>
          <w:rFonts w:hint="eastAsia" w:ascii="黑体" w:hAnsi="黑体" w:eastAsia="黑体" w:cs="宋体"/>
          <w:color w:val="000000"/>
          <w:kern w:val="44"/>
          <w:sz w:val="32"/>
          <w:szCs w:val="32"/>
          <w:highlight w:val="none"/>
        </w:rPr>
      </w:pPr>
      <w:r>
        <w:rPr>
          <w:rFonts w:hint="eastAsia" w:ascii="黑体" w:hAnsi="黑体" w:eastAsia="黑体" w:cs="宋体"/>
          <w:color w:val="000000"/>
          <w:kern w:val="44"/>
          <w:sz w:val="32"/>
          <w:szCs w:val="32"/>
          <w:highlight w:val="none"/>
        </w:rPr>
        <w:t xml:space="preserve">附表1  </w:t>
      </w:r>
    </w:p>
    <w:p>
      <w:pPr>
        <w:widowControl w:val="0"/>
        <w:snapToGrid w:val="0"/>
        <w:spacing w:after="0" w:line="360" w:lineRule="auto"/>
        <w:jc w:val="center"/>
        <w:outlineLvl w:val="0"/>
        <w:rPr>
          <w:rFonts w:ascii="黑体" w:hAnsi="黑体" w:eastAsia="黑体" w:cs="宋体"/>
          <w:color w:val="000000"/>
          <w:kern w:val="44"/>
          <w:sz w:val="32"/>
          <w:szCs w:val="32"/>
          <w:highlight w:val="none"/>
        </w:rPr>
      </w:pPr>
      <w:r>
        <w:rPr>
          <w:rFonts w:hint="eastAsia" w:ascii="黑体" w:hAnsi="黑体" w:eastAsia="黑体" w:cs="宋体"/>
          <w:color w:val="000000"/>
          <w:kern w:val="44"/>
          <w:sz w:val="32"/>
          <w:szCs w:val="32"/>
          <w:highlight w:val="none"/>
        </w:rPr>
        <w:t xml:space="preserve"> 商务评分表（ </w:t>
      </w:r>
      <w:r>
        <w:rPr>
          <w:rFonts w:hint="eastAsia" w:ascii="黑体" w:hAnsi="黑体" w:eastAsia="黑体" w:cs="宋体"/>
          <w:color w:val="000000"/>
          <w:kern w:val="44"/>
          <w:sz w:val="32"/>
          <w:szCs w:val="32"/>
          <w:highlight w:val="none"/>
          <w:lang w:val="en-US" w:eastAsia="zh-CN"/>
        </w:rPr>
        <w:t>20</w:t>
      </w:r>
      <w:r>
        <w:rPr>
          <w:rFonts w:hint="eastAsia" w:ascii="黑体" w:hAnsi="黑体" w:eastAsia="黑体" w:cs="宋体"/>
          <w:color w:val="000000"/>
          <w:kern w:val="44"/>
          <w:sz w:val="32"/>
          <w:szCs w:val="32"/>
          <w:highlight w:val="none"/>
        </w:rPr>
        <w:t>分 ）</w:t>
      </w:r>
    </w:p>
    <w:p>
      <w:pPr>
        <w:widowControl w:val="0"/>
        <w:spacing w:after="0" w:line="360" w:lineRule="auto"/>
        <w:jc w:val="both"/>
        <w:rPr>
          <w:rFonts w:hint="eastAsia" w:ascii="宋体" w:hAnsi="宋体" w:eastAsia="宋体" w:cs="Times New Roman"/>
          <w:color w:val="000000"/>
          <w:kern w:val="0"/>
          <w:sz w:val="24"/>
          <w:szCs w:val="24"/>
          <w:highlight w:val="none"/>
          <w:u w:val="single"/>
        </w:rPr>
      </w:pPr>
      <w:r>
        <w:rPr>
          <w:rFonts w:hint="eastAsia" w:ascii="宋体" w:hAnsi="宋体" w:eastAsia="宋体" w:cs="Times New Roman"/>
          <w:color w:val="000000"/>
          <w:sz w:val="24"/>
          <w:szCs w:val="24"/>
          <w:highlight w:val="none"/>
        </w:rPr>
        <w:t>项目名称：</w:t>
      </w:r>
      <w:r>
        <w:rPr>
          <w:rFonts w:hint="eastAsia" w:ascii="宋体" w:hAnsi="宋体" w:eastAsia="宋体" w:cs="Times New Roman"/>
          <w:b w:val="0"/>
          <w:bCs w:val="0"/>
          <w:kern w:val="0"/>
          <w:sz w:val="24"/>
          <w:szCs w:val="24"/>
          <w:highlight w:val="none"/>
          <w:u w:val="single"/>
          <w:lang w:val="en-US" w:eastAsia="zh-CN"/>
        </w:rPr>
        <w:t>新港片区</w:t>
      </w:r>
      <w:r>
        <w:rPr>
          <w:rFonts w:hint="eastAsia" w:ascii="宋体" w:hAnsi="宋体" w:cs="Times New Roman"/>
          <w:b w:val="0"/>
          <w:bCs w:val="0"/>
          <w:kern w:val="0"/>
          <w:sz w:val="24"/>
          <w:szCs w:val="24"/>
          <w:highlight w:val="none"/>
          <w:u w:val="single"/>
          <w:lang w:val="en-US" w:eastAsia="zh-CN"/>
        </w:rPr>
        <w:t>门式起重机</w:t>
      </w:r>
      <w:r>
        <w:rPr>
          <w:rFonts w:hint="eastAsia" w:ascii="宋体" w:hAnsi="宋体" w:eastAsia="宋体" w:cs="宋体"/>
          <w:b w:val="0"/>
          <w:bCs w:val="0"/>
          <w:sz w:val="24"/>
          <w:szCs w:val="24"/>
          <w:u w:val="single"/>
          <w:lang w:val="en-US" w:eastAsia="zh-CN"/>
        </w:rPr>
        <w:t>电子机械式</w:t>
      </w:r>
      <w:r>
        <w:rPr>
          <w:rFonts w:hint="eastAsia" w:ascii="宋体" w:hAnsi="宋体" w:cs="Times New Roman"/>
          <w:b w:val="0"/>
          <w:bCs w:val="0"/>
          <w:kern w:val="0"/>
          <w:sz w:val="24"/>
          <w:szCs w:val="24"/>
          <w:highlight w:val="none"/>
          <w:u w:val="single"/>
          <w:lang w:val="en-US" w:eastAsia="zh-CN"/>
        </w:rPr>
        <w:t>轮边制动器</w:t>
      </w:r>
      <w:r>
        <w:rPr>
          <w:rFonts w:hint="eastAsia" w:ascii="宋体" w:hAnsi="宋体" w:eastAsia="宋体" w:cs="Times New Roman"/>
          <w:b w:val="0"/>
          <w:bCs w:val="0"/>
          <w:kern w:val="0"/>
          <w:sz w:val="24"/>
          <w:szCs w:val="24"/>
          <w:highlight w:val="none"/>
          <w:u w:val="single"/>
          <w:lang w:val="en-US" w:eastAsia="zh-CN"/>
        </w:rPr>
        <w:t>采购</w:t>
      </w:r>
    </w:p>
    <w:tbl>
      <w:tblPr>
        <w:tblStyle w:val="16"/>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7"/>
        <w:gridCol w:w="5759"/>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Merge w:val="restart"/>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序号</w:t>
            </w:r>
          </w:p>
        </w:tc>
        <w:tc>
          <w:tcPr>
            <w:tcW w:w="2207" w:type="dxa"/>
            <w:vMerge w:val="restart"/>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评分因素</w:t>
            </w:r>
          </w:p>
        </w:tc>
        <w:tc>
          <w:tcPr>
            <w:tcW w:w="5759" w:type="dxa"/>
            <w:vMerge w:val="restart"/>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b/>
                <w:bCs/>
                <w:color w:val="000000"/>
                <w:kern w:val="0"/>
                <w:sz w:val="21"/>
                <w:szCs w:val="21"/>
                <w:highlight w:val="none"/>
              </w:rPr>
            </w:pPr>
            <w:r>
              <w:rPr>
                <w:rFonts w:hint="eastAsia" w:ascii="宋体" w:hAnsi="宋体" w:eastAsia="宋体" w:cs="Times New Roman"/>
                <w:b/>
                <w:bCs/>
                <w:color w:val="000000"/>
                <w:kern w:val="0"/>
                <w:sz w:val="21"/>
                <w:szCs w:val="21"/>
                <w:highlight w:val="none"/>
              </w:rPr>
              <w:t>评价内容/分值</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b/>
                <w:bCs/>
                <w:color w:val="000000"/>
                <w:kern w:val="0"/>
                <w:sz w:val="21"/>
                <w:szCs w:val="21"/>
                <w:highlight w:val="none"/>
              </w:rPr>
            </w:pPr>
            <w:r>
              <w:rPr>
                <w:rFonts w:hint="eastAsia" w:ascii="宋体" w:hAnsi="宋体" w:cs="Times New Roman"/>
                <w:b/>
                <w:bCs/>
                <w:color w:val="000000"/>
                <w:kern w:val="0"/>
                <w:sz w:val="21"/>
                <w:szCs w:val="21"/>
                <w:highlight w:val="none"/>
                <w:lang w:eastAsia="zh-CN"/>
              </w:rPr>
              <w:t>供应商</w:t>
            </w:r>
            <w:r>
              <w:rPr>
                <w:rFonts w:hint="eastAsia" w:ascii="宋体" w:hAnsi="宋体" w:eastAsia="宋体" w:cs="Times New Roman"/>
                <w:b/>
                <w:bCs/>
                <w:color w:val="000000"/>
                <w:kern w:val="0"/>
                <w:sz w:val="21"/>
                <w:szCs w:val="21"/>
                <w:highlight w:val="none"/>
                <w:lang w:eastAsia="zh-CN"/>
              </w:rPr>
              <w:t>名称</w:t>
            </w:r>
            <w:r>
              <w:rPr>
                <w:rFonts w:hint="eastAsia" w:ascii="宋体" w:hAnsi="宋体" w:eastAsia="宋体" w:cs="Times New Roman"/>
                <w:b/>
                <w:bCs/>
                <w:color w:val="000000"/>
                <w:kern w:val="0"/>
                <w:sz w:val="21"/>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8" w:type="dxa"/>
            <w:vMerge w:val="continue"/>
            <w:tcBorders>
              <w:left w:val="single" w:color="auto" w:sz="4" w:space="0"/>
              <w:bottom w:val="single" w:color="auto" w:sz="4" w:space="0"/>
              <w:right w:val="single" w:color="auto" w:sz="4" w:space="0"/>
            </w:tcBorders>
            <w:noWrap w:val="0"/>
            <w:vAlign w:val="center"/>
          </w:tcPr>
          <w:p>
            <w:pPr>
              <w:widowControl w:val="0"/>
              <w:spacing w:after="0" w:line="360" w:lineRule="auto"/>
              <w:jc w:val="center"/>
              <w:rPr>
                <w:b/>
                <w:bCs/>
              </w:rPr>
            </w:pPr>
          </w:p>
        </w:tc>
        <w:tc>
          <w:tcPr>
            <w:tcW w:w="2207" w:type="dxa"/>
            <w:vMerge w:val="continue"/>
            <w:tcBorders>
              <w:left w:val="single" w:color="auto" w:sz="4" w:space="0"/>
              <w:bottom w:val="single" w:color="auto" w:sz="4" w:space="0"/>
              <w:right w:val="single" w:color="auto" w:sz="4" w:space="0"/>
            </w:tcBorders>
            <w:noWrap w:val="0"/>
            <w:vAlign w:val="center"/>
          </w:tcPr>
          <w:p>
            <w:pPr>
              <w:widowControl w:val="0"/>
              <w:spacing w:after="0" w:line="360" w:lineRule="auto"/>
              <w:jc w:val="center"/>
              <w:rPr>
                <w:b/>
                <w:bCs/>
              </w:rPr>
            </w:pPr>
          </w:p>
        </w:tc>
        <w:tc>
          <w:tcPr>
            <w:tcW w:w="5759" w:type="dxa"/>
            <w:vMerge w:val="continue"/>
            <w:tcBorders>
              <w:left w:val="single" w:color="auto" w:sz="4" w:space="0"/>
              <w:bottom w:val="single" w:color="auto" w:sz="4" w:space="0"/>
              <w:right w:val="single" w:color="auto" w:sz="4" w:space="0"/>
            </w:tcBorders>
            <w:noWrap w:val="0"/>
            <w:vAlign w:val="center"/>
          </w:tcPr>
          <w:p>
            <w:pPr>
              <w:widowControl w:val="0"/>
              <w:spacing w:after="0" w:line="360" w:lineRule="auto"/>
              <w:jc w:val="center"/>
              <w:rPr>
                <w:b/>
                <w:bCs/>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r>
              <w:rPr>
                <w:rFonts w:hint="eastAsia" w:ascii="宋体" w:hAnsi="宋体" w:eastAsia="宋体" w:cs="Times New Roman"/>
                <w:color w:val="000000"/>
                <w:kern w:val="0"/>
                <w:sz w:val="21"/>
                <w:szCs w:val="21"/>
                <w:highlight w:val="none"/>
              </w:rPr>
              <w:t>1</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企业类似项目业绩（近</w:t>
            </w:r>
            <w:r>
              <w:rPr>
                <w:rFonts w:hint="eastAsia" w:ascii="宋体" w:hAnsi="宋体" w:eastAsia="宋体" w:cs="宋体"/>
                <w:color w:val="000000"/>
                <w:kern w:val="0"/>
                <w:sz w:val="21"/>
                <w:szCs w:val="21"/>
                <w:highlight w:val="none"/>
                <w:u w:val="single"/>
              </w:rPr>
              <w:t xml:space="preserve"> </w:t>
            </w:r>
            <w:r>
              <w:rPr>
                <w:rFonts w:hint="eastAsia" w:ascii="宋体" w:hAnsi="宋体" w:cs="宋体"/>
                <w:color w:val="000000"/>
                <w:kern w:val="0"/>
                <w:sz w:val="21"/>
                <w:szCs w:val="21"/>
                <w:highlight w:val="none"/>
                <w:u w:val="single"/>
                <w:lang w:val="en-US" w:eastAsia="zh-CN"/>
              </w:rPr>
              <w:t>2</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年）</w:t>
            </w:r>
          </w:p>
          <w:p>
            <w:pPr>
              <w:widowControl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分）</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类似项目业绩满足资格审查需求的供应商得4分；</w:t>
            </w:r>
          </w:p>
          <w:p>
            <w:pPr>
              <w:pStyle w:val="2"/>
              <w:spacing w:after="0" w:line="360" w:lineRule="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额外提供近两年内户外LED相关业绩，每单个项目加1分，最高加3分。</w:t>
            </w:r>
          </w:p>
          <w:p>
            <w:pPr>
              <w:pStyle w:val="2"/>
              <w:spacing w:after="0" w:line="360" w:lineRule="auto"/>
              <w:rPr>
                <w:rFonts w:hint="eastAsia" w:ascii="宋体" w:hAnsi="宋体" w:cs="宋体"/>
                <w:szCs w:val="21"/>
              </w:rPr>
            </w:pPr>
            <w:r>
              <w:rPr>
                <w:rFonts w:hint="eastAsia" w:ascii="宋体" w:hAnsi="宋体" w:eastAsia="宋体" w:cs="宋体"/>
                <w:b/>
                <w:bCs/>
                <w:color w:val="000000"/>
                <w:sz w:val="21"/>
                <w:szCs w:val="21"/>
                <w:lang w:eastAsia="zh-CN"/>
              </w:rPr>
              <w:t>注：需提供业绩证明材料作为得分依据。</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color w:val="000000"/>
                <w:kern w:val="0"/>
                <w:sz w:val="21"/>
                <w:szCs w:val="21"/>
                <w:highlight w:val="none"/>
                <w:lang w:val="en-US" w:eastAsia="zh-CN"/>
              </w:rPr>
            </w:pPr>
            <w:r>
              <w:rPr>
                <w:rFonts w:hint="eastAsia" w:ascii="宋体" w:hAnsi="宋体" w:eastAsia="宋体" w:cs="Times New Roman"/>
                <w:color w:val="000000"/>
                <w:kern w:val="0"/>
                <w:sz w:val="21"/>
                <w:szCs w:val="21"/>
                <w:highlight w:val="none"/>
                <w:lang w:val="en-US" w:eastAsia="zh-CN"/>
              </w:rPr>
              <w:t>2</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napToGrid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企业</w:t>
            </w:r>
            <w:r>
              <w:rPr>
                <w:rFonts w:hint="eastAsia" w:ascii="宋体" w:hAnsi="宋体" w:eastAsia="宋体" w:cs="宋体"/>
                <w:color w:val="000000"/>
                <w:kern w:val="0"/>
                <w:sz w:val="21"/>
                <w:szCs w:val="21"/>
                <w:highlight w:val="none"/>
              </w:rPr>
              <w:t>信用等级</w:t>
            </w:r>
          </w:p>
          <w:p>
            <w:pPr>
              <w:widowControl w:val="0"/>
              <w:spacing w:after="0" w:line="360" w:lineRule="auto"/>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AAA级（或相当于AAA级），得</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分；AA级（或相当于AA级），得</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single"/>
                <w:lang w:val="en-US" w:eastAsia="zh-CN"/>
              </w:rPr>
              <w:t>4</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分；A级</w:t>
            </w:r>
            <w:r>
              <w:rPr>
                <w:rFonts w:hint="eastAsia" w:ascii="宋体" w:hAnsi="宋体" w:eastAsia="宋体" w:cs="宋体"/>
                <w:color w:val="000000"/>
                <w:sz w:val="21"/>
                <w:szCs w:val="21"/>
                <w:highlight w:val="none"/>
                <w:lang w:eastAsia="zh-CN"/>
              </w:rPr>
              <w:t>其他等级</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分。</w:t>
            </w:r>
          </w:p>
          <w:p>
            <w:pPr>
              <w:widowControl w:val="0"/>
              <w:spacing w:after="0" w:line="360" w:lineRule="auto"/>
              <w:ind w:firstLine="211" w:firstLineChars="1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eastAsia="zh-CN"/>
              </w:rPr>
              <w:t>注：需提供信用等级证书扫描件或复印件作为得分依据。</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color w:val="000000"/>
                <w:kern w:val="0"/>
                <w:sz w:val="21"/>
                <w:szCs w:val="21"/>
                <w:highlight w:val="none"/>
                <w:lang w:val="en-US" w:eastAsia="zh-CN"/>
              </w:rPr>
            </w:pPr>
            <w:r>
              <w:rPr>
                <w:rFonts w:hint="eastAsia" w:ascii="宋体" w:hAnsi="宋体" w:eastAsia="宋体" w:cs="Times New Roman"/>
                <w:color w:val="000000"/>
                <w:kern w:val="0"/>
                <w:sz w:val="21"/>
                <w:szCs w:val="21"/>
                <w:highlight w:val="none"/>
                <w:lang w:val="en-US" w:eastAsia="zh-CN"/>
              </w:rPr>
              <w:t>3</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eastAsia="zh-CN"/>
              </w:rPr>
              <w:t>响应</w:t>
            </w:r>
            <w:r>
              <w:rPr>
                <w:rFonts w:hint="eastAsia" w:ascii="宋体" w:hAnsi="宋体" w:eastAsia="宋体" w:cs="宋体"/>
                <w:color w:val="000000"/>
                <w:kern w:val="0"/>
                <w:sz w:val="21"/>
                <w:szCs w:val="21"/>
                <w:highlight w:val="none"/>
              </w:rPr>
              <w:t>文件完整性</w:t>
            </w:r>
          </w:p>
          <w:p>
            <w:pPr>
              <w:widowControl w:val="0"/>
              <w:autoSpaceDE w:val="0"/>
              <w:autoSpaceDN w:val="0"/>
              <w:adjustRightInd w:val="0"/>
              <w:snapToGrid w:val="0"/>
              <w:spacing w:after="0"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ind w:left="1" w:firstLine="210" w:firstLineChars="100"/>
              <w:jc w:val="both"/>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eastAsia="zh-CN"/>
              </w:rPr>
              <w:t>响应</w:t>
            </w:r>
            <w:r>
              <w:rPr>
                <w:rFonts w:hint="eastAsia" w:ascii="宋体" w:hAnsi="宋体" w:eastAsia="宋体" w:cs="宋体"/>
                <w:color w:val="000000"/>
                <w:kern w:val="0"/>
                <w:sz w:val="21"/>
                <w:szCs w:val="21"/>
                <w:highlight w:val="none"/>
                <w:lang w:eastAsia="zh-CN"/>
              </w:rPr>
              <w:t>文件内容、格式完全</w:t>
            </w:r>
            <w:r>
              <w:rPr>
                <w:rFonts w:hint="eastAsia" w:ascii="宋体" w:hAnsi="宋体" w:eastAsia="宋体" w:cs="宋体"/>
                <w:color w:val="000000"/>
                <w:kern w:val="0"/>
                <w:sz w:val="21"/>
                <w:szCs w:val="21"/>
                <w:highlight w:val="none"/>
              </w:rPr>
              <w:t>符合</w:t>
            </w:r>
            <w:r>
              <w:rPr>
                <w:rFonts w:hint="eastAsia" w:ascii="宋体" w:hAnsi="宋体" w:cs="宋体"/>
                <w:color w:val="000000"/>
                <w:kern w:val="0"/>
                <w:sz w:val="21"/>
                <w:szCs w:val="21"/>
                <w:highlight w:val="none"/>
                <w:lang w:eastAsia="zh-CN"/>
              </w:rPr>
              <w:t>询价</w:t>
            </w:r>
            <w:r>
              <w:rPr>
                <w:rFonts w:hint="eastAsia" w:ascii="宋体" w:hAnsi="宋体" w:eastAsia="宋体" w:cs="宋体"/>
                <w:color w:val="000000"/>
                <w:kern w:val="0"/>
                <w:sz w:val="21"/>
                <w:szCs w:val="21"/>
                <w:highlight w:val="none"/>
              </w:rPr>
              <w:t>文件要求</w:t>
            </w:r>
            <w:r>
              <w:rPr>
                <w:rFonts w:hint="eastAsia" w:ascii="宋体" w:hAnsi="宋体" w:eastAsia="宋体" w:cs="宋体"/>
                <w:color w:val="000000"/>
                <w:kern w:val="0"/>
                <w:sz w:val="21"/>
                <w:szCs w:val="21"/>
                <w:highlight w:val="none"/>
                <w:lang w:eastAsia="zh-CN"/>
              </w:rPr>
              <w:t>的</w:t>
            </w:r>
            <w:r>
              <w:rPr>
                <w:rFonts w:hint="eastAsia" w:ascii="宋体" w:hAnsi="宋体" w:eastAsia="宋体" w:cs="宋体"/>
                <w:color w:val="000000"/>
                <w:kern w:val="0"/>
                <w:sz w:val="21"/>
                <w:szCs w:val="21"/>
                <w:highlight w:val="none"/>
              </w:rPr>
              <w:t>,得</w:t>
            </w:r>
            <w:r>
              <w:rPr>
                <w:rFonts w:hint="eastAsia" w:ascii="宋体" w:hAnsi="宋体" w:eastAsia="宋体" w:cs="宋体"/>
                <w:color w:val="000000"/>
                <w:kern w:val="0"/>
                <w:sz w:val="21"/>
                <w:szCs w:val="21"/>
                <w:highlight w:val="none"/>
                <w:u w:val="single"/>
              </w:rPr>
              <w:t xml:space="preserve"> </w:t>
            </w:r>
            <w:r>
              <w:rPr>
                <w:rFonts w:hint="eastAsia" w:ascii="宋体" w:hAnsi="宋体" w:cs="宋体"/>
                <w:color w:val="000000"/>
                <w:kern w:val="0"/>
                <w:sz w:val="21"/>
                <w:szCs w:val="21"/>
                <w:highlight w:val="none"/>
                <w:u w:val="single"/>
                <w:lang w:val="en-US" w:eastAsia="zh-CN"/>
              </w:rPr>
              <w:t>3</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分；</w:t>
            </w:r>
          </w:p>
          <w:p>
            <w:pPr>
              <w:widowControl w:val="0"/>
              <w:spacing w:after="0" w:line="360" w:lineRule="auto"/>
              <w:ind w:left="1"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基本符合</w:t>
            </w:r>
            <w:r>
              <w:rPr>
                <w:rFonts w:hint="eastAsia" w:ascii="宋体" w:hAnsi="宋体" w:cs="宋体"/>
                <w:color w:val="000000"/>
                <w:kern w:val="0"/>
                <w:sz w:val="21"/>
                <w:szCs w:val="21"/>
                <w:highlight w:val="none"/>
                <w:lang w:eastAsia="zh-CN"/>
              </w:rPr>
              <w:t>询价</w:t>
            </w:r>
            <w:r>
              <w:rPr>
                <w:rFonts w:hint="eastAsia" w:ascii="宋体" w:hAnsi="宋体" w:eastAsia="宋体" w:cs="宋体"/>
                <w:color w:val="000000"/>
                <w:kern w:val="0"/>
                <w:sz w:val="21"/>
                <w:szCs w:val="21"/>
                <w:highlight w:val="none"/>
              </w:rPr>
              <w:t>文件</w:t>
            </w:r>
            <w:r>
              <w:rPr>
                <w:rFonts w:hint="eastAsia" w:ascii="宋体" w:hAnsi="宋体" w:eastAsia="宋体" w:cs="宋体"/>
                <w:color w:val="000000"/>
                <w:kern w:val="0"/>
                <w:sz w:val="21"/>
                <w:szCs w:val="21"/>
                <w:highlight w:val="none"/>
                <w:lang w:eastAsia="zh-CN"/>
              </w:rPr>
              <w:t>格式</w:t>
            </w:r>
            <w:r>
              <w:rPr>
                <w:rFonts w:hint="eastAsia" w:ascii="宋体" w:hAnsi="宋体" w:eastAsia="宋体" w:cs="宋体"/>
                <w:color w:val="000000"/>
                <w:kern w:val="0"/>
                <w:sz w:val="21"/>
                <w:szCs w:val="21"/>
                <w:highlight w:val="none"/>
              </w:rPr>
              <w:t>要求，得</w:t>
            </w:r>
            <w:r>
              <w:rPr>
                <w:rFonts w:hint="eastAsia" w:ascii="宋体" w:hAnsi="宋体" w:eastAsia="宋体" w:cs="宋体"/>
                <w:color w:val="000000"/>
                <w:kern w:val="0"/>
                <w:sz w:val="21"/>
                <w:szCs w:val="21"/>
                <w:highlight w:val="none"/>
                <w:u w:val="single"/>
              </w:rPr>
              <w:t xml:space="preserve"> </w:t>
            </w:r>
            <w:r>
              <w:rPr>
                <w:rFonts w:hint="eastAsia" w:ascii="宋体" w:hAnsi="宋体" w:cs="宋体"/>
                <w:color w:val="000000"/>
                <w:kern w:val="0"/>
                <w:sz w:val="21"/>
                <w:szCs w:val="21"/>
                <w:highlight w:val="none"/>
                <w:u w:val="single"/>
                <w:lang w:val="en-US" w:eastAsia="zh-CN"/>
              </w:rPr>
              <w:t>2</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分。</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648" w:type="dxa"/>
            <w:tcBorders>
              <w:top w:val="single" w:color="auto" w:sz="4" w:space="0"/>
              <w:left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color w:val="000000"/>
                <w:kern w:val="0"/>
                <w:sz w:val="21"/>
                <w:szCs w:val="21"/>
                <w:highlight w:val="none"/>
                <w:lang w:val="en-US" w:eastAsia="zh-CN"/>
              </w:rPr>
            </w:pPr>
            <w:r>
              <w:rPr>
                <w:rFonts w:hint="eastAsia" w:ascii="宋体" w:hAnsi="宋体" w:eastAsia="宋体" w:cs="Times New Roman"/>
                <w:color w:val="000000"/>
                <w:kern w:val="0"/>
                <w:sz w:val="21"/>
                <w:szCs w:val="21"/>
                <w:highlight w:val="none"/>
                <w:lang w:val="en-US" w:eastAsia="zh-CN"/>
              </w:rPr>
              <w:t>4</w:t>
            </w:r>
          </w:p>
        </w:tc>
        <w:tc>
          <w:tcPr>
            <w:tcW w:w="2207" w:type="dxa"/>
            <w:tcBorders>
              <w:top w:val="single" w:color="auto" w:sz="4" w:space="0"/>
              <w:left w:val="single" w:color="auto" w:sz="4" w:space="0"/>
              <w:right w:val="single" w:color="auto" w:sz="4" w:space="0"/>
            </w:tcBorders>
            <w:noWrap w:val="0"/>
            <w:vAlign w:val="center"/>
          </w:tcPr>
          <w:p>
            <w:pPr>
              <w:widowControl/>
              <w:autoSpaceDE/>
              <w:autoSpaceDN/>
              <w:adjustRightInd/>
              <w:snapToGrid/>
              <w:spacing w:after="0" w:line="360" w:lineRule="auto"/>
              <w:jc w:val="center"/>
              <w:rPr>
                <w:rFonts w:hint="eastAsia" w:ascii="宋体" w:hAnsi="宋体" w:eastAsia="宋体" w:cs="宋体"/>
                <w:color w:val="000000"/>
                <w:sz w:val="21"/>
                <w:szCs w:val="21"/>
                <w:highlight w:val="none"/>
              </w:rPr>
            </w:pPr>
            <w:r>
              <w:rPr>
                <w:rFonts w:hint="eastAsia" w:ascii="宋体" w:hAnsi="宋体" w:cs="宋体"/>
                <w:b w:val="0"/>
                <w:bCs w:val="0"/>
                <w:sz w:val="21"/>
                <w:szCs w:val="21"/>
                <w:lang w:eastAsia="zh-CN"/>
              </w:rPr>
              <w:t>加分项</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分）</w:t>
            </w:r>
          </w:p>
        </w:tc>
        <w:tc>
          <w:tcPr>
            <w:tcW w:w="5759" w:type="dxa"/>
            <w:tcBorders>
              <w:top w:val="single" w:color="auto" w:sz="4" w:space="0"/>
              <w:left w:val="single" w:color="auto" w:sz="4" w:space="0"/>
              <w:right w:val="single" w:color="auto" w:sz="4" w:space="0"/>
            </w:tcBorders>
            <w:noWrap w:val="0"/>
            <w:vAlign w:val="center"/>
          </w:tcPr>
          <w:p>
            <w:pPr>
              <w:widowControl/>
              <w:spacing w:after="0" w:line="360" w:lineRule="auto"/>
              <w:ind w:firstLine="210" w:firstLineChars="100"/>
              <w:jc w:val="left"/>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通过ISO9001质量管理体系认证；ISO14001环境管理体系认证；ISO45001职业健康安全管理体系认证；ISO27001信息安全管理体系认证；IECQQC080000有害物质过程管理体系认证；。</w:t>
            </w:r>
            <w:r>
              <w:rPr>
                <w:rFonts w:hint="eastAsia" w:ascii="宋体" w:hAnsi="宋体" w:eastAsia="宋体" w:cs="宋体"/>
                <w:sz w:val="21"/>
                <w:szCs w:val="21"/>
                <w:lang w:val="en-US" w:eastAsia="zh-CN"/>
              </w:rPr>
              <w:t>本项加分可累计，</w:t>
            </w:r>
            <w:r>
              <w:rPr>
                <w:rFonts w:hint="eastAsia" w:ascii="宋体" w:hAnsi="宋体" w:cs="宋体"/>
                <w:sz w:val="21"/>
                <w:szCs w:val="21"/>
                <w:lang w:val="en-US" w:eastAsia="zh-CN"/>
              </w:rPr>
              <w:t>每项加</w:t>
            </w:r>
            <w:r>
              <w:rPr>
                <w:rFonts w:hint="eastAsia" w:ascii="宋体" w:hAnsi="宋体" w:cs="宋体"/>
                <w:sz w:val="21"/>
                <w:szCs w:val="21"/>
                <w:u w:val="single"/>
                <w:lang w:val="en-US" w:eastAsia="zh-CN"/>
              </w:rPr>
              <w:t>1</w:t>
            </w:r>
            <w:r>
              <w:rPr>
                <w:rFonts w:hint="eastAsia" w:ascii="宋体" w:hAnsi="宋体" w:cs="宋体"/>
                <w:sz w:val="21"/>
                <w:szCs w:val="21"/>
                <w:lang w:val="en-US" w:eastAsia="zh-CN"/>
              </w:rPr>
              <w:t>分</w:t>
            </w:r>
            <w:r>
              <w:rPr>
                <w:rFonts w:hint="eastAsia" w:ascii="宋体" w:hAnsi="宋体" w:eastAsia="宋体" w:cs="宋体"/>
                <w:sz w:val="21"/>
                <w:szCs w:val="21"/>
                <w:lang w:val="en-US" w:eastAsia="zh-CN"/>
              </w:rPr>
              <w:t>最多加</w:t>
            </w:r>
            <w:r>
              <w:rPr>
                <w:rFonts w:hint="eastAsia" w:ascii="宋体" w:hAnsi="宋体" w:cs="宋体"/>
                <w:sz w:val="21"/>
                <w:szCs w:val="21"/>
                <w:u w:val="single"/>
                <w:lang w:val="en-US" w:eastAsia="zh-CN"/>
              </w:rPr>
              <w:t>3</w:t>
            </w:r>
            <w:r>
              <w:rPr>
                <w:rFonts w:hint="eastAsia" w:ascii="宋体" w:hAnsi="宋体" w:eastAsia="宋体" w:cs="宋体"/>
                <w:sz w:val="21"/>
                <w:szCs w:val="21"/>
                <w:lang w:val="en-US" w:eastAsia="zh-CN"/>
              </w:rPr>
              <w:t>分。</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LED显示屏制造商达到CCRC-ISV-C01:2018信息安全服务资质认证_信息系统安全集成三级服务资质，达到CCRC-ISV-C01:2018信息安全服务资质认证_信息系统安全运维三级服务资质，提供相关证明材料并加盖显示屏制造商公章。</w:t>
            </w:r>
            <w:r>
              <w:rPr>
                <w:rFonts w:hint="eastAsia" w:ascii="宋体" w:hAnsi="宋体" w:eastAsia="宋体" w:cs="宋体"/>
              </w:rPr>
              <w:t>全部提供得</w:t>
            </w:r>
            <w:r>
              <w:rPr>
                <w:rFonts w:hint="eastAsia" w:ascii="宋体" w:hAnsi="宋体" w:cs="宋体"/>
                <w:u w:val="single"/>
                <w:lang w:val="en-US" w:eastAsia="zh-CN"/>
              </w:rPr>
              <w:t>2</w:t>
            </w:r>
            <w:r>
              <w:rPr>
                <w:rFonts w:hint="eastAsia" w:ascii="宋体" w:hAnsi="宋体" w:eastAsia="宋体" w:cs="宋体"/>
              </w:rPr>
              <w:t>分</w:t>
            </w:r>
          </w:p>
          <w:p>
            <w:pPr>
              <w:widowControl/>
              <w:spacing w:after="0" w:line="360" w:lineRule="auto"/>
              <w:ind w:firstLine="211" w:firstLineChars="100"/>
              <w:jc w:val="left"/>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注：需提供相关</w:t>
            </w:r>
            <w:r>
              <w:rPr>
                <w:rFonts w:hint="eastAsia" w:ascii="宋体" w:hAnsi="宋体" w:eastAsia="宋体" w:cs="宋体"/>
                <w:b/>
                <w:bCs/>
                <w:sz w:val="21"/>
                <w:szCs w:val="21"/>
              </w:rPr>
              <w:t>证书</w:t>
            </w:r>
            <w:r>
              <w:rPr>
                <w:rFonts w:hint="eastAsia" w:ascii="宋体" w:hAnsi="宋体" w:eastAsia="宋体" w:cs="宋体"/>
                <w:b/>
                <w:bCs/>
                <w:sz w:val="21"/>
                <w:szCs w:val="21"/>
                <w:lang w:eastAsia="zh-CN"/>
              </w:rPr>
              <w:t>或文件作为得分依据，证书必须</w:t>
            </w:r>
            <w:r>
              <w:rPr>
                <w:rFonts w:hint="eastAsia" w:ascii="宋体" w:hAnsi="宋体" w:eastAsia="宋体" w:cs="宋体"/>
                <w:b/>
                <w:bCs/>
                <w:sz w:val="21"/>
                <w:szCs w:val="21"/>
              </w:rPr>
              <w:t>在有效期内</w:t>
            </w:r>
            <w:r>
              <w:rPr>
                <w:rFonts w:hint="eastAsia" w:ascii="宋体" w:hAnsi="宋体" w:eastAsia="宋体" w:cs="宋体"/>
                <w:b/>
                <w:bCs/>
                <w:sz w:val="21"/>
                <w:szCs w:val="21"/>
                <w:lang w:eastAsia="zh-CN"/>
              </w:rPr>
              <w:t>。</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14"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hint="eastAsia" w:ascii="宋体" w:hAnsi="宋体" w:eastAsia="宋体" w:cs="Times New Roman"/>
                <w:color w:val="000000"/>
                <w:sz w:val="21"/>
                <w:szCs w:val="21"/>
                <w:highlight w:val="none"/>
                <w:lang w:eastAsia="zh-CN"/>
              </w:rPr>
            </w:pPr>
            <w:r>
              <w:rPr>
                <w:rFonts w:hint="eastAsia" w:ascii="宋体" w:hAnsi="宋体" w:eastAsia="宋体" w:cs="Times New Roman"/>
                <w:b/>
                <w:color w:val="000000"/>
                <w:kern w:val="0"/>
                <w:sz w:val="21"/>
                <w:szCs w:val="21"/>
                <w:highlight w:val="none"/>
              </w:rPr>
              <w:t>合    计</w:t>
            </w:r>
            <w:r>
              <w:rPr>
                <w:rFonts w:hint="eastAsia" w:ascii="宋体" w:hAnsi="宋体" w:eastAsia="宋体" w:cs="Times New Roman"/>
                <w:b/>
                <w:color w:val="000000"/>
                <w:kern w:val="0"/>
                <w:sz w:val="21"/>
                <w:szCs w:val="21"/>
                <w:highlight w:val="none"/>
                <w:lang w:eastAsia="zh-CN"/>
              </w:rPr>
              <w:t>（</w:t>
            </w:r>
            <w:r>
              <w:rPr>
                <w:rFonts w:hint="eastAsia" w:ascii="宋体" w:hAnsi="宋体" w:cs="Times New Roman"/>
                <w:b/>
                <w:color w:val="000000"/>
                <w:kern w:val="0"/>
                <w:sz w:val="21"/>
                <w:szCs w:val="21"/>
                <w:highlight w:val="none"/>
                <w:lang w:val="en-US" w:eastAsia="zh-CN"/>
              </w:rPr>
              <w:t>2</w:t>
            </w:r>
            <w:r>
              <w:rPr>
                <w:rFonts w:hint="eastAsia" w:ascii="宋体" w:hAnsi="宋体" w:eastAsia="宋体" w:cs="Times New Roman"/>
                <w:b/>
                <w:color w:val="000000"/>
                <w:kern w:val="0"/>
                <w:sz w:val="21"/>
                <w:szCs w:val="21"/>
                <w:highlight w:val="none"/>
                <w:lang w:val="en-US" w:eastAsia="zh-CN"/>
              </w:rPr>
              <w:t>0分</w:t>
            </w:r>
            <w:r>
              <w:rPr>
                <w:rFonts w:hint="eastAsia" w:ascii="宋体" w:hAnsi="宋体" w:eastAsia="宋体" w:cs="Times New Roman"/>
                <w:b/>
                <w:color w:val="000000"/>
                <w:kern w:val="0"/>
                <w:sz w:val="21"/>
                <w:szCs w:val="21"/>
                <w:highlight w:val="none"/>
                <w:lang w:eastAsia="zh-CN"/>
              </w:rPr>
              <w:t>）</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360" w:lineRule="auto"/>
              <w:jc w:val="center"/>
              <w:rPr>
                <w:rFonts w:ascii="宋体" w:hAnsi="宋体" w:eastAsia="宋体" w:cs="Times New Roman"/>
                <w:color w:val="000000"/>
                <w:kern w:val="0"/>
                <w:sz w:val="21"/>
                <w:szCs w:val="21"/>
                <w:highlight w:val="none"/>
              </w:rPr>
            </w:pPr>
          </w:p>
        </w:tc>
      </w:tr>
    </w:tbl>
    <w:p>
      <w:pPr>
        <w:widowControl w:val="0"/>
        <w:adjustRightInd w:val="0"/>
        <w:snapToGrid w:val="0"/>
        <w:spacing w:after="0" w:line="240" w:lineRule="auto"/>
        <w:jc w:val="both"/>
        <w:rPr>
          <w:rFonts w:hint="eastAsia" w:ascii="宋体" w:hAnsi="宋体" w:eastAsia="宋体" w:cs="Times New Roman"/>
          <w:color w:val="000000"/>
          <w:sz w:val="21"/>
          <w:szCs w:val="21"/>
          <w:highlight w:val="none"/>
        </w:rPr>
      </w:pPr>
      <w:r>
        <w:rPr>
          <w:rFonts w:hint="eastAsia" w:ascii="宋体" w:hAnsi="宋体" w:eastAsia="宋体" w:cs="Times New Roman"/>
          <w:b/>
          <w:color w:val="000000"/>
          <w:kern w:val="0"/>
          <w:sz w:val="21"/>
          <w:szCs w:val="21"/>
          <w:highlight w:val="none"/>
        </w:rPr>
        <w:t>注：</w:t>
      </w:r>
      <w:r>
        <w:rPr>
          <w:rFonts w:hint="eastAsia" w:ascii="宋体" w:hAnsi="宋体" w:eastAsia="宋体" w:cs="Times New Roman"/>
          <w:color w:val="000000"/>
          <w:kern w:val="0"/>
          <w:sz w:val="21"/>
          <w:szCs w:val="21"/>
          <w:highlight w:val="none"/>
        </w:rPr>
        <w:t xml:space="preserve"> 1、</w:t>
      </w:r>
      <w:r>
        <w:rPr>
          <w:rFonts w:hint="eastAsia" w:ascii="宋体" w:hAnsi="宋体" w:eastAsia="宋体" w:cs="Times New Roman"/>
          <w:color w:val="000000"/>
          <w:sz w:val="21"/>
          <w:szCs w:val="21"/>
          <w:highlight w:val="none"/>
        </w:rPr>
        <w:t>本表由评标委员会集体评议，统一计分。评标委员会成员中对结论有不同意见时，按少数服从多数的原则，确定得分。</w:t>
      </w:r>
    </w:p>
    <w:p>
      <w:pPr>
        <w:pStyle w:val="2"/>
      </w:pPr>
    </w:p>
    <w:p>
      <w:pPr>
        <w:pStyle w:val="2"/>
        <w:ind w:firstLine="0" w:firstLineChars="0"/>
        <w:rPr>
          <w:rFonts w:hint="eastAsia" w:ascii="黑体" w:hAnsi="黑体" w:eastAsia="黑体" w:cs="Times New Roman"/>
          <w:color w:val="000000"/>
          <w:sz w:val="32"/>
          <w:szCs w:val="32"/>
          <w:highlight w:val="none"/>
        </w:rPr>
      </w:pPr>
      <w:r>
        <w:rPr>
          <w:rFonts w:ascii="宋体" w:hAnsi="宋体" w:eastAsia="宋体" w:cs="Times New Roman"/>
          <w:color w:val="000000"/>
          <w:sz w:val="24"/>
          <w:szCs w:val="24"/>
          <w:highlight w:val="none"/>
        </w:rPr>
        <w:t>评</w:t>
      </w:r>
      <w:r>
        <w:rPr>
          <w:rFonts w:hint="eastAsia" w:ascii="宋体" w:hAnsi="宋体" w:eastAsia="宋体" w:cs="Times New Roman"/>
          <w:color w:val="000000"/>
          <w:sz w:val="24"/>
          <w:szCs w:val="24"/>
          <w:highlight w:val="none"/>
        </w:rPr>
        <w:t>委</w:t>
      </w:r>
      <w:r>
        <w:rPr>
          <w:rFonts w:ascii="宋体" w:hAnsi="宋体" w:eastAsia="宋体" w:cs="Times New Roman"/>
          <w:color w:val="000000"/>
          <w:sz w:val="24"/>
          <w:szCs w:val="24"/>
          <w:highlight w:val="none"/>
        </w:rPr>
        <w:t>签字：</w:t>
      </w:r>
      <w:r>
        <w:rPr>
          <w:rFonts w:hint="eastAsia" w:ascii="宋体" w:hAnsi="宋体" w:eastAsia="宋体" w:cs="Times New Roman"/>
          <w:color w:val="000000"/>
          <w:sz w:val="24"/>
          <w:szCs w:val="24"/>
          <w:highlight w:val="none"/>
          <w:lang w:val="en-US" w:eastAsia="zh-CN"/>
        </w:rPr>
        <w:t xml:space="preserve">                                         </w:t>
      </w:r>
      <w:r>
        <w:rPr>
          <w:rFonts w:hint="eastAsia" w:ascii="宋体" w:hAnsi="宋体" w:eastAsia="宋体" w:cs="Times New Roman"/>
          <w:color w:val="000000"/>
          <w:sz w:val="24"/>
          <w:szCs w:val="24"/>
          <w:highlight w:val="none"/>
          <w:lang w:eastAsia="zh-CN"/>
        </w:rPr>
        <w:t>监督人员签字：</w:t>
      </w:r>
    </w:p>
    <w:p>
      <w:pPr>
        <w:widowControl w:val="0"/>
        <w:snapToGrid w:val="0"/>
        <w:spacing w:after="0" w:line="360" w:lineRule="auto"/>
        <w:jc w:val="both"/>
        <w:outlineLvl w:val="2"/>
        <w:rPr>
          <w:rFonts w:hint="eastAsia"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br w:type="page"/>
      </w:r>
      <w:r>
        <w:rPr>
          <w:rFonts w:hint="eastAsia" w:ascii="黑体" w:hAnsi="黑体" w:eastAsia="黑体" w:cs="Times New Roman"/>
          <w:color w:val="000000"/>
          <w:sz w:val="32"/>
          <w:szCs w:val="32"/>
          <w:highlight w:val="none"/>
        </w:rPr>
        <w:t xml:space="preserve">附表2 </w:t>
      </w:r>
    </w:p>
    <w:p>
      <w:pPr>
        <w:widowControl w:val="0"/>
        <w:snapToGrid w:val="0"/>
        <w:spacing w:after="0" w:line="360" w:lineRule="auto"/>
        <w:jc w:val="center"/>
        <w:outlineLvl w:val="2"/>
        <w:rPr>
          <w:rFonts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t xml:space="preserve">技术评分表（ </w:t>
      </w:r>
      <w:r>
        <w:rPr>
          <w:rFonts w:hint="eastAsia" w:ascii="黑体" w:hAnsi="黑体" w:eastAsia="黑体" w:cs="Times New Roman"/>
          <w:color w:val="000000"/>
          <w:sz w:val="32"/>
          <w:szCs w:val="32"/>
          <w:highlight w:val="none"/>
          <w:lang w:val="en-US" w:eastAsia="zh-CN"/>
        </w:rPr>
        <w:t>30</w:t>
      </w:r>
      <w:r>
        <w:rPr>
          <w:rFonts w:hint="eastAsia" w:ascii="黑体" w:hAnsi="黑体" w:eastAsia="黑体" w:cs="Times New Roman"/>
          <w:color w:val="000000"/>
          <w:sz w:val="32"/>
          <w:szCs w:val="32"/>
          <w:highlight w:val="none"/>
        </w:rPr>
        <w:t xml:space="preserve"> 分）</w:t>
      </w:r>
    </w:p>
    <w:tbl>
      <w:tblPr>
        <w:tblStyle w:val="16"/>
        <w:tblpPr w:leftFromText="180" w:rightFromText="180" w:vertAnchor="text" w:horzAnchor="page" w:tblpXSpec="center" w:tblpY="412"/>
        <w:tblOverlap w:val="never"/>
        <w:tblW w:w="5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154"/>
        <w:gridCol w:w="546"/>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562" w:type="pct"/>
            <w:vMerge w:val="restart"/>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技术</w:t>
            </w:r>
          </w:p>
          <w:p>
            <w:pPr>
              <w:pStyle w:val="3"/>
              <w:keepNext w:val="0"/>
              <w:keepLines w:val="0"/>
              <w:pageBreakBefore w:val="0"/>
              <w:kinsoku/>
              <w:wordWrap/>
              <w:overflowPunct/>
              <w:topLinePunct w:val="0"/>
              <w:autoSpaceDN/>
              <w:bidi w:val="0"/>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部分</w:t>
            </w:r>
          </w:p>
          <w:p>
            <w:pPr>
              <w:keepNext w:val="0"/>
              <w:keepLines w:val="0"/>
              <w:pageBreakBefore w:val="0"/>
              <w:widowControl/>
              <w:kinsoku/>
              <w:wordWrap/>
              <w:overflowPunct/>
              <w:topLinePunct w:val="0"/>
              <w:autoSpaceDN/>
              <w:bidi w:val="0"/>
              <w:spacing w:line="36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30</w:t>
            </w:r>
            <w:r>
              <w:rPr>
                <w:rFonts w:hint="eastAsia" w:asciiTheme="minorEastAsia" w:hAnsiTheme="minorEastAsia" w:eastAsiaTheme="minorEastAsia" w:cstheme="minorEastAsia"/>
                <w:color w:val="000000"/>
                <w:kern w:val="0"/>
                <w:sz w:val="21"/>
                <w:szCs w:val="21"/>
                <w:highlight w:val="none"/>
              </w:rPr>
              <w:t>分）</w:t>
            </w:r>
          </w:p>
        </w:tc>
        <w:tc>
          <w:tcPr>
            <w:tcW w:w="622" w:type="pct"/>
            <w:tcBorders>
              <w:tl2br w:val="nil"/>
              <w:tr2bl w:val="nil"/>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360" w:lineRule="auto"/>
              <w:jc w:val="center"/>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技术指标</w:t>
            </w:r>
          </w:p>
        </w:tc>
        <w:tc>
          <w:tcPr>
            <w:tcW w:w="294" w:type="pct"/>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center"/>
              <w:textAlignment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25</w:t>
            </w:r>
          </w:p>
        </w:tc>
        <w:tc>
          <w:tcPr>
            <w:tcW w:w="352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投标人如实应答“技术偏离表”，所投产品各项技术参数指标及要求完全满足招标文件要求的得满分30分；技术要求中标示“★”的条款属于不可偏离项目，带“▲”的技术参数为重要参数指标，每负偏离一项扣5分，扣完为止；非“▲”的技术参数为一般技术指标，每项负偏离扣1分，扣完为止。</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详见第五章采购需求中技术参数要求。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62" w:type="pct"/>
            <w:vMerge w:val="continue"/>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left"/>
              <w:rPr>
                <w:rFonts w:hint="eastAsia" w:asciiTheme="minorEastAsia" w:hAnsiTheme="minorEastAsia" w:eastAsiaTheme="minorEastAsia" w:cstheme="minorEastAsia"/>
                <w:color w:val="000000"/>
                <w:kern w:val="0"/>
                <w:sz w:val="21"/>
                <w:szCs w:val="21"/>
                <w:highlight w:val="none"/>
              </w:rPr>
            </w:pPr>
          </w:p>
        </w:tc>
        <w:tc>
          <w:tcPr>
            <w:tcW w:w="622" w:type="pct"/>
            <w:tcBorders>
              <w:tl2br w:val="nil"/>
              <w:tr2bl w:val="nil"/>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工程实施措施保证</w:t>
            </w:r>
          </w:p>
        </w:tc>
        <w:tc>
          <w:tcPr>
            <w:tcW w:w="294" w:type="pct"/>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center"/>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3</w:t>
            </w:r>
          </w:p>
        </w:tc>
        <w:tc>
          <w:tcPr>
            <w:tcW w:w="352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保证项目规范运作，快速有效达到预期目标。根据投标人针对本项目所制定的工程实施方案的科学合理可靠程度进行综合评定。</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确保项目交付以后的操作及日常保养规范，根据投标人针对本项目所制定的工程培训方案的完善程度进行综合评定。由评委综合比较计分，优3分，良2分，一般计1分；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62" w:type="pct"/>
            <w:vMerge w:val="continue"/>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left"/>
              <w:rPr>
                <w:rFonts w:hint="eastAsia" w:asciiTheme="minorEastAsia" w:hAnsiTheme="minorEastAsia" w:eastAsiaTheme="minorEastAsia" w:cstheme="minorEastAsia"/>
                <w:color w:val="000000"/>
                <w:kern w:val="0"/>
                <w:sz w:val="21"/>
                <w:szCs w:val="21"/>
                <w:highlight w:val="none"/>
              </w:rPr>
            </w:pPr>
          </w:p>
        </w:tc>
        <w:tc>
          <w:tcPr>
            <w:tcW w:w="622" w:type="pct"/>
            <w:tcBorders>
              <w:tl2br w:val="nil"/>
              <w:tr2bl w:val="nil"/>
            </w:tcBorders>
            <w:noWrap w:val="0"/>
            <w:vAlign w:val="center"/>
          </w:tcPr>
          <w:p>
            <w:pPr>
              <w:keepNext w:val="0"/>
              <w:keepLines w:val="0"/>
              <w:pageBreakBefore w:val="0"/>
              <w:widowControl/>
              <w:kinsoku/>
              <w:wordWrap/>
              <w:overflowPunct/>
              <w:topLinePunct w:val="0"/>
              <w:autoSpaceDE w:val="0"/>
              <w:autoSpaceDN/>
              <w:bidi w:val="0"/>
              <w:adjustRightInd w:val="0"/>
              <w:snapToGrid w:val="0"/>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售后服务</w:t>
            </w:r>
          </w:p>
        </w:tc>
        <w:tc>
          <w:tcPr>
            <w:tcW w:w="294" w:type="pct"/>
            <w:tcBorders>
              <w:tl2br w:val="nil"/>
              <w:tr2bl w:val="nil"/>
            </w:tcBorders>
            <w:noWrap w:val="0"/>
            <w:vAlign w:val="center"/>
          </w:tcPr>
          <w:p>
            <w:pPr>
              <w:keepNext w:val="0"/>
              <w:keepLines w:val="0"/>
              <w:pageBreakBefore w:val="0"/>
              <w:widowControl/>
              <w:kinsoku/>
              <w:wordWrap/>
              <w:overflowPunct/>
              <w:topLinePunct w:val="0"/>
              <w:autoSpaceDN/>
              <w:bidi w:val="0"/>
              <w:spacing w:line="360" w:lineRule="auto"/>
              <w:jc w:val="center"/>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2</w:t>
            </w:r>
          </w:p>
        </w:tc>
        <w:tc>
          <w:tcPr>
            <w:tcW w:w="352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投标人针对本项目提供的售后服务承诺书及服务条款，有明确的服务内容，有详细的设备维护保养方案、措施、计划、关键备品备件准备程度、质保期限等，优的计2分，良计1分，差的或未提供的不计分。</w:t>
            </w:r>
          </w:p>
        </w:tc>
      </w:tr>
    </w:tbl>
    <w:p>
      <w:pPr>
        <w:rPr>
          <w:rFonts w:hint="eastAsia" w:ascii="宋体" w:hAnsi="宋体" w:eastAsia="宋体" w:cs="Times New Roman"/>
          <w:color w:val="000000"/>
          <w:sz w:val="24"/>
          <w:szCs w:val="24"/>
          <w:highlight w:val="none"/>
          <w:lang w:val="en-US" w:eastAsia="zh-CN"/>
        </w:rPr>
      </w:pPr>
    </w:p>
    <w:p>
      <w:pPr>
        <w:rPr>
          <w:rFonts w:hint="eastAsia" w:ascii="黑体" w:hAnsi="黑体" w:eastAsia="黑体" w:cs="Times New Roman"/>
          <w:color w:val="000000"/>
          <w:sz w:val="32"/>
          <w:szCs w:val="32"/>
          <w:highlight w:val="none"/>
        </w:rPr>
      </w:pPr>
      <w:bookmarkStart w:id="30" w:name="_Toc76056662"/>
      <w:bookmarkStart w:id="31" w:name="_Toc11850"/>
      <w:r>
        <w:rPr>
          <w:rFonts w:hint="eastAsia" w:ascii="黑体" w:hAnsi="黑体" w:eastAsia="黑体" w:cs="Times New Roman"/>
          <w:color w:val="000000"/>
          <w:sz w:val="32"/>
          <w:szCs w:val="32"/>
          <w:highlight w:val="none"/>
        </w:rPr>
        <w:br w:type="page"/>
      </w:r>
    </w:p>
    <w:p>
      <w:pPr>
        <w:widowControl w:val="0"/>
        <w:spacing w:after="0" w:line="360" w:lineRule="auto"/>
        <w:jc w:val="both"/>
        <w:rPr>
          <w:rFonts w:hint="eastAsia" w:ascii="黑体" w:hAnsi="黑体" w:eastAsia="黑体" w:cs="Times New Roman"/>
          <w:color w:val="000000"/>
          <w:kern w:val="2"/>
          <w:sz w:val="32"/>
          <w:szCs w:val="32"/>
          <w:highlight w:val="none"/>
          <w:lang w:val="en-US" w:eastAsia="zh-CN"/>
        </w:rPr>
      </w:pPr>
      <w:r>
        <w:rPr>
          <w:rFonts w:hint="eastAsia" w:ascii="黑体" w:hAnsi="黑体" w:eastAsia="黑体" w:cs="Times New Roman"/>
          <w:color w:val="000000"/>
          <w:sz w:val="32"/>
          <w:szCs w:val="32"/>
          <w:highlight w:val="none"/>
        </w:rPr>
        <w:t>附表</w:t>
      </w:r>
      <w:r>
        <w:rPr>
          <w:rFonts w:hint="eastAsia" w:ascii="黑体" w:hAnsi="黑体" w:eastAsia="黑体" w:cs="Times New Roman"/>
          <w:color w:val="000000"/>
          <w:sz w:val="32"/>
          <w:szCs w:val="32"/>
          <w:highlight w:val="none"/>
          <w:lang w:val="en-US" w:eastAsia="zh-CN"/>
        </w:rPr>
        <w:t>3</w:t>
      </w:r>
    </w:p>
    <w:bookmarkEnd w:id="30"/>
    <w:bookmarkEnd w:id="31"/>
    <w:p>
      <w:pPr>
        <w:widowControl w:val="0"/>
        <w:adjustRightInd w:val="0"/>
        <w:snapToGrid w:val="0"/>
        <w:spacing w:after="0" w:line="360" w:lineRule="auto"/>
        <w:jc w:val="center"/>
        <w:rPr>
          <w:rFonts w:hint="eastAsia" w:ascii="黑体" w:hAnsi="黑体" w:eastAsia="黑体" w:cs="Times New Roman"/>
          <w:color w:val="000000"/>
          <w:sz w:val="32"/>
          <w:szCs w:val="32"/>
          <w:highlight w:val="none"/>
          <w:lang w:eastAsia="zh-CN"/>
        </w:rPr>
      </w:pPr>
      <w:r>
        <w:rPr>
          <w:rFonts w:hint="eastAsia" w:ascii="黑体" w:hAnsi="黑体" w:eastAsia="黑体" w:cs="Times New Roman"/>
          <w:color w:val="000000"/>
          <w:sz w:val="32"/>
          <w:szCs w:val="32"/>
          <w:highlight w:val="none"/>
          <w:lang w:eastAsia="zh-CN"/>
        </w:rPr>
        <w:t>价格评分表（</w:t>
      </w:r>
      <w:r>
        <w:rPr>
          <w:rFonts w:hint="eastAsia" w:ascii="黑体" w:hAnsi="黑体" w:eastAsia="黑体" w:cs="Times New Roman"/>
          <w:color w:val="000000"/>
          <w:sz w:val="32"/>
          <w:szCs w:val="32"/>
          <w:highlight w:val="none"/>
          <w:lang w:val="en-US" w:eastAsia="zh-CN"/>
        </w:rPr>
        <w:t>50分</w:t>
      </w:r>
      <w:r>
        <w:rPr>
          <w:rFonts w:hint="eastAsia" w:ascii="黑体" w:hAnsi="黑体" w:eastAsia="黑体" w:cs="Times New Roman"/>
          <w:color w:val="000000"/>
          <w:sz w:val="32"/>
          <w:szCs w:val="32"/>
          <w:highlight w:val="none"/>
          <w:lang w:eastAsia="zh-CN"/>
        </w:rPr>
        <w:t>）</w:t>
      </w:r>
    </w:p>
    <w:p>
      <w:pPr>
        <w:spacing w:line="360" w:lineRule="auto"/>
        <w:jc w:val="both"/>
        <w:rPr>
          <w:rFonts w:hint="eastAsia" w:ascii="黑体" w:hAnsi="黑体" w:eastAsia="黑体" w:cs="Times New Roman"/>
          <w:color w:val="000000"/>
          <w:sz w:val="32"/>
          <w:szCs w:val="32"/>
          <w:highlight w:val="none"/>
          <w:lang w:eastAsia="zh-CN"/>
        </w:rPr>
      </w:pPr>
      <w:r>
        <w:rPr>
          <w:rFonts w:hint="eastAsia" w:ascii="宋体" w:hAnsi="宋体" w:eastAsia="宋体" w:cs="Times New Roman"/>
          <w:color w:val="000000"/>
          <w:kern w:val="0"/>
          <w:sz w:val="24"/>
          <w:szCs w:val="24"/>
          <w:highlight w:val="none"/>
        </w:rPr>
        <w:t>项目名称：</w:t>
      </w:r>
      <w:r>
        <w:rPr>
          <w:rFonts w:hint="eastAsia" w:ascii="宋体" w:hAnsi="宋体" w:cs="Times New Roman"/>
          <w:b w:val="0"/>
          <w:bCs w:val="0"/>
          <w:kern w:val="0"/>
          <w:sz w:val="24"/>
          <w:szCs w:val="24"/>
          <w:highlight w:val="none"/>
          <w:u w:val="single"/>
          <w:lang w:val="en-US" w:eastAsia="zh-CN"/>
        </w:rPr>
        <w:t>湖南港产科技有限公司新港片区LED显示屏询价</w:t>
      </w:r>
      <w:r>
        <w:rPr>
          <w:rFonts w:hint="eastAsia" w:ascii="宋体" w:hAnsi="宋体" w:eastAsia="宋体" w:cs="Times New Roman"/>
          <w:b w:val="0"/>
          <w:bCs w:val="0"/>
          <w:kern w:val="0"/>
          <w:sz w:val="24"/>
          <w:szCs w:val="24"/>
          <w:highlight w:val="none"/>
          <w:u w:val="single"/>
          <w:lang w:val="en-US" w:eastAsia="zh-CN"/>
        </w:rPr>
        <w:t>采购</w:t>
      </w:r>
    </w:p>
    <w:tbl>
      <w:tblPr>
        <w:tblStyle w:val="17"/>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66"/>
        <w:gridCol w:w="525"/>
        <w:gridCol w:w="2852"/>
        <w:gridCol w:w="851"/>
        <w:gridCol w:w="780"/>
        <w:gridCol w:w="166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42" w:type="dxa"/>
            <w:noWrap w:val="0"/>
            <w:vAlign w:val="center"/>
          </w:tcPr>
          <w:p>
            <w:pPr>
              <w:pStyle w:val="5"/>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序号</w:t>
            </w:r>
          </w:p>
        </w:tc>
        <w:tc>
          <w:tcPr>
            <w:tcW w:w="766" w:type="dxa"/>
            <w:noWrap w:val="0"/>
            <w:vAlign w:val="center"/>
          </w:tcPr>
          <w:p>
            <w:pPr>
              <w:pStyle w:val="5"/>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评审因素</w:t>
            </w:r>
          </w:p>
        </w:tc>
        <w:tc>
          <w:tcPr>
            <w:tcW w:w="525" w:type="dxa"/>
            <w:noWrap w:val="0"/>
            <w:vAlign w:val="center"/>
          </w:tcPr>
          <w:p>
            <w:pPr>
              <w:pStyle w:val="5"/>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分值</w:t>
            </w:r>
          </w:p>
        </w:tc>
        <w:tc>
          <w:tcPr>
            <w:tcW w:w="2852" w:type="dxa"/>
            <w:noWrap w:val="0"/>
            <w:vAlign w:val="center"/>
          </w:tcPr>
          <w:p>
            <w:pPr>
              <w:pStyle w:val="5"/>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评分标准</w:t>
            </w:r>
          </w:p>
        </w:tc>
        <w:tc>
          <w:tcPr>
            <w:tcW w:w="851" w:type="dxa"/>
            <w:noWrap w:val="0"/>
            <w:vAlign w:val="center"/>
          </w:tcPr>
          <w:p>
            <w:pPr>
              <w:pStyle w:val="5"/>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投标人名称</w:t>
            </w:r>
          </w:p>
        </w:tc>
        <w:tc>
          <w:tcPr>
            <w:tcW w:w="780" w:type="dxa"/>
            <w:noWrap w:val="0"/>
            <w:vAlign w:val="center"/>
          </w:tcPr>
          <w:p>
            <w:pPr>
              <w:pStyle w:val="5"/>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投标报价</w:t>
            </w:r>
          </w:p>
        </w:tc>
        <w:tc>
          <w:tcPr>
            <w:tcW w:w="1660" w:type="dxa"/>
            <w:noWrap w:val="0"/>
            <w:vAlign w:val="center"/>
          </w:tcPr>
          <w:p>
            <w:pPr>
              <w:pStyle w:val="5"/>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评标基准价</w:t>
            </w:r>
          </w:p>
        </w:tc>
        <w:tc>
          <w:tcPr>
            <w:tcW w:w="859" w:type="dxa"/>
            <w:noWrap w:val="0"/>
            <w:vAlign w:val="center"/>
          </w:tcPr>
          <w:p>
            <w:pPr>
              <w:pStyle w:val="5"/>
              <w:keepNext w:val="0"/>
              <w:keepLines w:val="0"/>
              <w:widowControl w:val="0"/>
              <w:overflowPunct w:val="0"/>
              <w:topLinePunct/>
              <w:adjustRightInd w:val="0"/>
              <w:snapToGrid w:val="0"/>
              <w:spacing w:after="0" w:line="312" w:lineRule="auto"/>
              <w:ind w:right="0"/>
              <w:jc w:val="center"/>
              <w:rPr>
                <w:rFonts w:hint="eastAsia" w:ascii="宋体" w:hAnsi="宋体" w:eastAsia="宋体" w:cs="宋体"/>
                <w:b w:val="0"/>
                <w:bCs w:val="0"/>
                <w:color w:val="000000"/>
                <w:kern w:val="44"/>
                <w:sz w:val="21"/>
                <w:szCs w:val="21"/>
                <w:highlight w:val="none"/>
                <w:vertAlign w:val="baseline"/>
                <w:lang w:eastAsia="zh-CN"/>
              </w:rPr>
            </w:pPr>
            <w:r>
              <w:rPr>
                <w:rFonts w:hint="eastAsia" w:ascii="宋体" w:hAnsi="宋体" w:eastAsia="宋体" w:cs="宋体"/>
                <w:b w:val="0"/>
                <w:bCs w:val="0"/>
                <w:color w:val="000000"/>
                <w:kern w:val="44"/>
                <w:sz w:val="21"/>
                <w:szCs w:val="21"/>
                <w:highlight w:val="none"/>
                <w:vertAlign w:val="baseline"/>
                <w:lang w:eastAsia="zh-CN"/>
              </w:rPr>
              <w:t>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442" w:type="dxa"/>
            <w:noWrap w:val="0"/>
            <w:vAlign w:val="center"/>
          </w:tcPr>
          <w:p>
            <w:pPr>
              <w:pStyle w:val="5"/>
              <w:keepNext w:val="0"/>
              <w:keepLines w:val="0"/>
              <w:widowControl w:val="0"/>
              <w:overflowPunct w:val="0"/>
              <w:topLinePunct/>
              <w:adjustRightInd w:val="0"/>
              <w:snapToGrid w:val="0"/>
              <w:spacing w:after="0" w:line="312" w:lineRule="auto"/>
              <w:ind w:right="0"/>
              <w:jc w:val="both"/>
              <w:rPr>
                <w:rFonts w:hint="eastAsia" w:ascii="宋体" w:hAnsi="宋体" w:eastAsia="宋体" w:cs="宋体"/>
                <w:b w:val="0"/>
                <w:bCs w:val="0"/>
                <w:color w:val="000000"/>
                <w:kern w:val="44"/>
                <w:sz w:val="21"/>
                <w:szCs w:val="21"/>
                <w:highlight w:val="none"/>
                <w:vertAlign w:val="baseline"/>
              </w:rPr>
            </w:pPr>
            <w:r>
              <w:rPr>
                <w:rFonts w:hint="eastAsia" w:ascii="宋体" w:hAnsi="宋体" w:eastAsia="宋体" w:cs="宋体"/>
                <w:b w:val="0"/>
                <w:bCs w:val="0"/>
                <w:color w:val="000000"/>
                <w:kern w:val="44"/>
                <w:sz w:val="21"/>
                <w:szCs w:val="21"/>
                <w:highlight w:val="none"/>
                <w:vertAlign w:val="baseline"/>
                <w:lang w:val="en-US" w:eastAsia="zh-CN"/>
              </w:rPr>
              <w:t>1</w:t>
            </w:r>
          </w:p>
        </w:tc>
        <w:tc>
          <w:tcPr>
            <w:tcW w:w="766" w:type="dxa"/>
            <w:noWrap w:val="0"/>
            <w:vAlign w:val="center"/>
          </w:tcPr>
          <w:p>
            <w:pPr>
              <w:pStyle w:val="5"/>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r>
              <w:rPr>
                <w:rFonts w:hint="eastAsia" w:ascii="宋体" w:hAnsi="宋体" w:eastAsia="宋体" w:cs="宋体"/>
                <w:b w:val="0"/>
                <w:bCs w:val="0"/>
                <w:color w:val="000000"/>
                <w:kern w:val="44"/>
                <w:sz w:val="21"/>
                <w:szCs w:val="21"/>
                <w:highlight w:val="none"/>
                <w:vertAlign w:val="baseline"/>
                <w:lang w:eastAsia="zh-CN"/>
              </w:rPr>
              <w:t>价格评议</w:t>
            </w:r>
          </w:p>
        </w:tc>
        <w:tc>
          <w:tcPr>
            <w:tcW w:w="525" w:type="dxa"/>
            <w:noWrap w:val="0"/>
            <w:vAlign w:val="center"/>
          </w:tcPr>
          <w:p>
            <w:pPr>
              <w:pStyle w:val="5"/>
              <w:keepNext w:val="0"/>
              <w:keepLines w:val="0"/>
              <w:widowControl w:val="0"/>
              <w:overflowPunct w:val="0"/>
              <w:topLinePunct/>
              <w:adjustRightInd w:val="0"/>
              <w:snapToGrid w:val="0"/>
              <w:spacing w:after="0" w:line="312" w:lineRule="auto"/>
              <w:ind w:right="0" w:rightChars="0"/>
              <w:jc w:val="both"/>
              <w:rPr>
                <w:rFonts w:hint="default" w:ascii="宋体" w:hAnsi="宋体" w:eastAsia="宋体" w:cs="宋体"/>
                <w:b w:val="0"/>
                <w:bCs w:val="0"/>
                <w:color w:val="000000"/>
                <w:kern w:val="44"/>
                <w:sz w:val="21"/>
                <w:szCs w:val="21"/>
                <w:highlight w:val="none"/>
                <w:vertAlign w:val="baseline"/>
                <w:lang w:val="en-US" w:eastAsia="zh-CN"/>
              </w:rPr>
            </w:pPr>
            <w:r>
              <w:rPr>
                <w:rFonts w:hint="eastAsia" w:ascii="宋体" w:hAnsi="宋体" w:cs="宋体"/>
                <w:b w:val="0"/>
                <w:bCs w:val="0"/>
                <w:color w:val="000000"/>
                <w:kern w:val="44"/>
                <w:sz w:val="21"/>
                <w:szCs w:val="21"/>
                <w:highlight w:val="none"/>
                <w:vertAlign w:val="baseline"/>
                <w:lang w:val="en-US" w:eastAsia="zh-CN"/>
              </w:rPr>
              <w:t>5</w:t>
            </w:r>
            <w:r>
              <w:rPr>
                <w:rFonts w:hint="eastAsia" w:ascii="宋体" w:hAnsi="宋体" w:eastAsia="宋体" w:cs="宋体"/>
                <w:b w:val="0"/>
                <w:bCs w:val="0"/>
                <w:color w:val="000000"/>
                <w:kern w:val="44"/>
                <w:sz w:val="21"/>
                <w:szCs w:val="21"/>
                <w:highlight w:val="none"/>
                <w:vertAlign w:val="baseline"/>
                <w:lang w:val="en-US" w:eastAsia="zh-CN"/>
              </w:rPr>
              <w:t>0</w:t>
            </w:r>
          </w:p>
        </w:tc>
        <w:tc>
          <w:tcPr>
            <w:tcW w:w="2852" w:type="dxa"/>
            <w:noWrap w:val="0"/>
            <w:vAlign w:val="center"/>
          </w:tcPr>
          <w:p>
            <w:pPr>
              <w:widowControl w:val="0"/>
              <w:adjustRightInd w:val="0"/>
              <w:snapToGrid w:val="0"/>
              <w:spacing w:after="0" w:line="288" w:lineRule="auto"/>
              <w:jc w:val="left"/>
              <w:rPr>
                <w:rFonts w:hint="eastAsia" w:ascii="宋体" w:hAnsi="宋体" w:eastAsia="宋体" w:cs="宋体"/>
                <w:sz w:val="21"/>
                <w:szCs w:val="21"/>
              </w:rPr>
            </w:pPr>
            <w:r>
              <w:rPr>
                <w:rFonts w:hint="eastAsia" w:ascii="宋体" w:hAnsi="宋体" w:eastAsia="宋体" w:cs="宋体"/>
                <w:sz w:val="21"/>
                <w:szCs w:val="21"/>
              </w:rPr>
              <w:t>投标人的投标价得分计算公式示例：</w:t>
            </w:r>
          </w:p>
          <w:p>
            <w:pPr>
              <w:widowControl w:val="0"/>
              <w:adjustRightInd w:val="0"/>
              <w:snapToGrid w:val="0"/>
              <w:spacing w:after="0" w:line="288" w:lineRule="auto"/>
              <w:jc w:val="left"/>
              <w:rPr>
                <w:rFonts w:hint="eastAsia" w:ascii="宋体" w:hAnsi="宋体" w:eastAsia="宋体" w:cs="宋体"/>
                <w:sz w:val="21"/>
                <w:szCs w:val="21"/>
              </w:rPr>
            </w:pPr>
            <w:r>
              <w:rPr>
                <w:rFonts w:hint="eastAsia" w:ascii="宋体" w:hAnsi="宋体" w:eastAsia="宋体" w:cs="宋体"/>
                <w:sz w:val="21"/>
                <w:szCs w:val="21"/>
              </w:rPr>
              <w:t>（1）如果投标人的投标报价&gt;评标基准价，则投标报价得分=P-偏差率×P×E1；</w:t>
            </w:r>
          </w:p>
          <w:p>
            <w:pPr>
              <w:widowControl w:val="0"/>
              <w:adjustRightInd w:val="0"/>
              <w:snapToGrid w:val="0"/>
              <w:spacing w:after="0" w:line="288" w:lineRule="auto"/>
              <w:jc w:val="left"/>
              <w:rPr>
                <w:rFonts w:hint="eastAsia" w:ascii="宋体" w:hAnsi="宋体" w:eastAsia="宋体" w:cs="宋体"/>
                <w:sz w:val="21"/>
                <w:szCs w:val="21"/>
              </w:rPr>
            </w:pPr>
            <w:r>
              <w:rPr>
                <w:rFonts w:hint="eastAsia" w:ascii="宋体" w:hAnsi="宋体" w:eastAsia="宋体" w:cs="宋体"/>
                <w:sz w:val="21"/>
                <w:szCs w:val="21"/>
              </w:rPr>
              <w:t>（2）如果投标人的投标报价≤评标基准价，则投标报价得分=P+偏差率×P×E2。</w:t>
            </w:r>
          </w:p>
          <w:p>
            <w:pPr>
              <w:widowControl w:val="0"/>
              <w:spacing w:line="288" w:lineRule="auto"/>
              <w:ind w:firstLine="0"/>
              <w:jc w:val="left"/>
              <w:rPr>
                <w:rFonts w:hint="eastAsia" w:ascii="宋体" w:hAnsi="宋体" w:eastAsia="宋体" w:cs="宋体"/>
                <w:sz w:val="21"/>
                <w:szCs w:val="21"/>
              </w:rPr>
            </w:pPr>
            <w:r>
              <w:rPr>
                <w:rFonts w:hint="eastAsia" w:ascii="宋体" w:hAnsi="宋体" w:eastAsia="宋体" w:cs="宋体"/>
                <w:sz w:val="21"/>
                <w:szCs w:val="21"/>
              </w:rPr>
              <w:t>其中：P是投标报价所占的评分满分值；E1是投标报价每高于评标基准价一个百分点的扣分值；E2是投标报价每低于评标基准价一个百分点的扣分值；E1=</w:t>
            </w:r>
            <w:r>
              <w:rPr>
                <w:rFonts w:hint="eastAsia" w:ascii="宋体" w:hAnsi="宋体" w:eastAsia="宋体" w:cs="宋体"/>
                <w:sz w:val="21"/>
                <w:szCs w:val="21"/>
                <w:lang w:val="en-US" w:eastAsia="zh-CN"/>
              </w:rPr>
              <w:t>2</w:t>
            </w:r>
            <w:r>
              <w:rPr>
                <w:rFonts w:hint="eastAsia" w:ascii="宋体" w:hAnsi="宋体" w:eastAsia="宋体" w:cs="宋体"/>
                <w:sz w:val="21"/>
                <w:szCs w:val="21"/>
              </w:rPr>
              <w:t>，E2=</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pPr>
              <w:pStyle w:val="2"/>
              <w:widowControl w:val="0"/>
              <w:ind w:firstLine="0" w:firstLineChars="0"/>
              <w:jc w:val="left"/>
              <w:rPr>
                <w:rFonts w:hint="eastAsia" w:ascii="宋体" w:hAnsi="宋体" w:cs="宋体"/>
                <w:b w:val="0"/>
                <w:bCs w:val="0"/>
                <w:color w:val="000000"/>
                <w:kern w:val="2"/>
                <w:sz w:val="21"/>
                <w:szCs w:val="21"/>
                <w:vertAlign w:val="baseline"/>
              </w:rPr>
            </w:pPr>
            <w:r>
              <w:rPr>
                <w:rFonts w:hint="eastAsia" w:ascii="宋体" w:hAnsi="宋体" w:cs="宋体"/>
                <w:color w:val="000000"/>
                <w:sz w:val="21"/>
                <w:szCs w:val="21"/>
                <w:highlight w:val="none"/>
              </w:rPr>
              <w:t>偏差率</w:t>
            </w:r>
            <w:r>
              <w:rPr>
                <w:rFonts w:hint="eastAsia" w:ascii="宋体" w:hAnsi="宋体" w:eastAsia="宋体" w:cs="宋体"/>
                <w:color w:val="000000"/>
                <w:sz w:val="21"/>
                <w:szCs w:val="21"/>
                <w:highlight w:val="none"/>
              </w:rPr>
              <w:t>=100%×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投标人报价</w:t>
            </w:r>
            <w:r>
              <w:rPr>
                <w:rFonts w:hint="eastAsia" w:ascii="宋体" w:hAnsi="宋体" w:cs="宋体"/>
                <w:color w:val="000000"/>
                <w:sz w:val="21"/>
                <w:szCs w:val="21"/>
                <w:highlight w:val="none"/>
              </w:rPr>
              <w:t>-评标基准价</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rPr>
              <w:t>/评标基准</w:t>
            </w:r>
            <w:r>
              <w:rPr>
                <w:rFonts w:hint="eastAsia" w:ascii="宋体" w:hAnsi="宋体" w:eastAsia="宋体" w:cs="宋体"/>
                <w:color w:val="000000"/>
                <w:sz w:val="21"/>
                <w:szCs w:val="21"/>
                <w:highlight w:val="none"/>
                <w:lang w:eastAsia="zh-CN"/>
              </w:rPr>
              <w:t>价</w:t>
            </w:r>
          </w:p>
        </w:tc>
        <w:tc>
          <w:tcPr>
            <w:tcW w:w="851" w:type="dxa"/>
            <w:noWrap w:val="0"/>
            <w:vAlign w:val="center"/>
          </w:tcPr>
          <w:p>
            <w:pPr>
              <w:pStyle w:val="5"/>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p>
        </w:tc>
        <w:tc>
          <w:tcPr>
            <w:tcW w:w="780" w:type="dxa"/>
            <w:noWrap w:val="0"/>
            <w:vAlign w:val="center"/>
          </w:tcPr>
          <w:p>
            <w:pPr>
              <w:pStyle w:val="5"/>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p>
        </w:tc>
        <w:tc>
          <w:tcPr>
            <w:tcW w:w="1660" w:type="dxa"/>
            <w:noWrap w:val="0"/>
            <w:vAlign w:val="center"/>
          </w:tcPr>
          <w:p>
            <w:pPr>
              <w:pStyle w:val="5"/>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r>
              <w:rPr>
                <w:rFonts w:hint="eastAsia" w:ascii="宋体" w:hAnsi="宋体" w:eastAsia="Calibri" w:cs="Calibri"/>
                <w:color w:val="000000"/>
                <w:sz w:val="21"/>
                <w:szCs w:val="21"/>
                <w:highlight w:val="none"/>
              </w:rPr>
              <w:t>除按规定被宣布废标的投标报价外，所有通过初步评审的有效投标人投标报价的算术平均值即为评标基准价。</w:t>
            </w:r>
          </w:p>
        </w:tc>
        <w:tc>
          <w:tcPr>
            <w:tcW w:w="859" w:type="dxa"/>
            <w:noWrap w:val="0"/>
            <w:vAlign w:val="center"/>
          </w:tcPr>
          <w:p>
            <w:pPr>
              <w:pStyle w:val="5"/>
              <w:keepNext w:val="0"/>
              <w:keepLines w:val="0"/>
              <w:widowControl w:val="0"/>
              <w:overflowPunct w:val="0"/>
              <w:topLinePunct/>
              <w:adjustRightInd w:val="0"/>
              <w:snapToGrid w:val="0"/>
              <w:spacing w:after="0" w:line="312" w:lineRule="auto"/>
              <w:ind w:right="0" w:rightChars="0"/>
              <w:jc w:val="both"/>
              <w:rPr>
                <w:rFonts w:hint="eastAsia" w:ascii="宋体" w:hAnsi="宋体" w:eastAsia="宋体" w:cs="宋体"/>
                <w:b w:val="0"/>
                <w:bCs w:val="0"/>
                <w:color w:val="000000"/>
                <w:kern w:val="44"/>
                <w:sz w:val="21"/>
                <w:szCs w:val="21"/>
                <w:highlight w:val="none"/>
                <w:vertAlign w:val="baseline"/>
              </w:rPr>
            </w:pPr>
          </w:p>
        </w:tc>
      </w:tr>
    </w:tbl>
    <w:p>
      <w:pPr>
        <w:rPr>
          <w:rFonts w:hint="eastAsia" w:ascii="宋体" w:hAnsi="宋体" w:eastAsia="宋体" w:cs="Times New Roman"/>
          <w:color w:val="000000"/>
          <w:sz w:val="24"/>
          <w:szCs w:val="24"/>
          <w:highlight w:val="none"/>
          <w:lang w:val="en-US" w:eastAsia="zh-CN"/>
        </w:rPr>
      </w:pPr>
      <w:r>
        <w:rPr>
          <w:rFonts w:hint="eastAsia" w:ascii="宋体" w:hAnsi="宋体" w:cs="Times New Roman"/>
          <w:color w:val="000000"/>
          <w:sz w:val="24"/>
          <w:szCs w:val="24"/>
          <w:highlight w:val="none"/>
          <w:lang w:val="en-US" w:eastAsia="zh-CN"/>
        </w:rPr>
        <w:t xml:space="preserve">                                                                                                                                                                                                                                                                                                                                                                                                                                                                                                                                                                                                                                                                                                                                                                                                                                                                                                         </w:t>
      </w:r>
      <w:r>
        <w:rPr>
          <w:rFonts w:hint="eastAsia" w:ascii="宋体" w:hAnsi="宋体" w:eastAsia="宋体" w:cs="Times New Roman"/>
          <w:color w:val="000000"/>
          <w:sz w:val="24"/>
          <w:szCs w:val="24"/>
          <w:highlight w:val="none"/>
          <w:lang w:val="en-US" w:eastAsia="zh-CN"/>
        </w:rPr>
        <w:br w:type="page"/>
      </w:r>
    </w:p>
    <w:p>
      <w:pPr>
        <w:pStyle w:val="24"/>
        <w:spacing w:line="360" w:lineRule="auto"/>
        <w:ind w:left="420" w:firstLine="0" w:firstLineChars="0"/>
        <w:jc w:val="center"/>
        <w:rPr>
          <w:rFonts w:ascii="黑体" w:hAnsi="黑体" w:eastAsia="黑体" w:cs="仿宋"/>
          <w:b/>
          <w:color w:val="000000"/>
          <w:sz w:val="36"/>
          <w:szCs w:val="36"/>
        </w:rPr>
      </w:pPr>
    </w:p>
    <w:p>
      <w:pPr>
        <w:pStyle w:val="24"/>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rFonts w:hint="eastAsia" w:ascii="黑体" w:hAnsi="黑体" w:eastAsia="黑体" w:cs="黑体"/>
          <w:u w:val="single"/>
        </w:rPr>
      </w:pPr>
      <w:r>
        <w:rPr>
          <w:rFonts w:hint="eastAsia" w:ascii="黑体" w:hAnsi="黑体" w:eastAsia="黑体" w:cs="黑体"/>
        </w:rPr>
        <w:t xml:space="preserve">                                               合同编号：</w:t>
      </w:r>
    </w:p>
    <w:p>
      <w:pPr>
        <w:pStyle w:val="24"/>
        <w:spacing w:line="600" w:lineRule="exact"/>
        <w:ind w:left="420" w:leftChars="200" w:right="979" w:rightChars="466" w:firstLine="0" w:firstLineChars="0"/>
        <w:jc w:val="center"/>
        <w:rPr>
          <w:rFonts w:hint="eastAsia" w:ascii="黑体" w:hAnsi="黑体" w:eastAsia="黑体" w:cs="黑体"/>
          <w:b/>
          <w:color w:val="000000"/>
          <w:sz w:val="36"/>
          <w:szCs w:val="36"/>
          <w:highlight w:val="none"/>
          <w:lang w:val="en-US" w:eastAsia="zh-CN"/>
        </w:rPr>
      </w:pPr>
      <w:r>
        <w:rPr>
          <w:rFonts w:hint="eastAsia" w:ascii="黑体" w:hAnsi="黑体" w:eastAsia="黑体" w:cs="黑体"/>
          <w:b/>
          <w:color w:val="000000"/>
          <w:sz w:val="36"/>
          <w:szCs w:val="36"/>
          <w:highlight w:val="none"/>
          <w:lang w:val="en-US" w:eastAsia="zh-CN"/>
        </w:rPr>
        <w:t>湖南港产科技有限公司</w:t>
      </w:r>
    </w:p>
    <w:p>
      <w:pPr>
        <w:pStyle w:val="24"/>
        <w:spacing w:line="600" w:lineRule="exact"/>
        <w:ind w:left="420" w:leftChars="200" w:right="979" w:rightChars="466" w:firstLine="0" w:firstLineChars="0"/>
        <w:jc w:val="center"/>
        <w:rPr>
          <w:rFonts w:hint="eastAsia" w:ascii="黑体" w:hAnsi="黑体" w:eastAsia="黑体" w:cs="黑体"/>
          <w:b/>
          <w:color w:val="000000"/>
          <w:sz w:val="36"/>
          <w:szCs w:val="36"/>
          <w:highlight w:val="none"/>
        </w:rPr>
      </w:pPr>
      <w:r>
        <w:rPr>
          <w:rFonts w:hint="eastAsia" w:ascii="黑体" w:hAnsi="黑体" w:eastAsia="黑体" w:cs="黑体"/>
          <w:b/>
          <w:color w:val="000000"/>
          <w:sz w:val="36"/>
          <w:szCs w:val="36"/>
          <w:highlight w:val="none"/>
          <w:lang w:val="en-US" w:eastAsia="zh-CN"/>
        </w:rPr>
        <w:t>新港片区LED显示屏询价采购</w:t>
      </w:r>
      <w:r>
        <w:rPr>
          <w:rFonts w:hint="eastAsia" w:ascii="黑体" w:hAnsi="黑体" w:eastAsia="黑体" w:cs="黑体"/>
          <w:b/>
          <w:color w:val="000000"/>
          <w:sz w:val="36"/>
          <w:szCs w:val="36"/>
          <w:highlight w:val="none"/>
        </w:rPr>
        <w:t>合同</w:t>
      </w:r>
    </w:p>
    <w:p>
      <w:pPr>
        <w:spacing w:line="360" w:lineRule="auto"/>
        <w:jc w:val="both"/>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spacing w:line="360" w:lineRule="auto"/>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pStyle w:val="2"/>
        <w:rPr>
          <w:rFonts w:ascii="仿宋" w:hAnsi="仿宋" w:eastAsia="仿宋"/>
          <w:b/>
          <w:bCs/>
          <w:sz w:val="28"/>
          <w:szCs w:val="28"/>
        </w:rPr>
      </w:pPr>
    </w:p>
    <w:p>
      <w:pPr>
        <w:widowControl w:val="0"/>
        <w:snapToGrid w:val="0"/>
        <w:spacing w:line="240" w:lineRule="auto"/>
        <w:ind w:left="1400" w:hanging="1600" w:hangingChars="500"/>
        <w:outlineLvl w:val="2"/>
        <w:rPr>
          <w:rFonts w:hint="eastAsia" w:ascii="黑体" w:hAnsi="黑体" w:eastAsia="黑体" w:cs="黑体"/>
          <w:sz w:val="32"/>
          <w:szCs w:val="32"/>
        </w:rPr>
      </w:pPr>
      <w:r>
        <w:rPr>
          <w:rFonts w:hint="eastAsia" w:ascii="黑体" w:hAnsi="黑体" w:eastAsia="黑体" w:cs="黑体"/>
          <w:sz w:val="32"/>
          <w:szCs w:val="32"/>
        </w:rPr>
        <w:t>项目名称：</w:t>
      </w:r>
      <w:r>
        <w:rPr>
          <w:rFonts w:hint="eastAsia" w:ascii="黑体" w:hAnsi="黑体" w:eastAsia="黑体" w:cs="黑体"/>
          <w:sz w:val="32"/>
          <w:szCs w:val="32"/>
          <w:lang w:val="en-US" w:eastAsia="zh-CN"/>
        </w:rPr>
        <w:t>湖南港产科技有限公司新港片区LED显示屏询价采购</w:t>
      </w:r>
      <w:r>
        <w:rPr>
          <w:rFonts w:hint="eastAsia" w:ascii="黑体" w:hAnsi="黑体" w:eastAsia="黑体" w:cs="黑体"/>
          <w:sz w:val="32"/>
          <w:szCs w:val="32"/>
        </w:rPr>
        <w:t>合同</w:t>
      </w:r>
    </w:p>
    <w:p>
      <w:pPr>
        <w:widowControl w:val="0"/>
        <w:snapToGrid w:val="0"/>
        <w:spacing w:line="240" w:lineRule="auto"/>
        <w:outlineLvl w:val="2"/>
        <w:rPr>
          <w:rFonts w:hint="eastAsia" w:ascii="黑体" w:hAnsi="黑体" w:eastAsia="黑体" w:cs="黑体"/>
          <w:sz w:val="32"/>
          <w:szCs w:val="32"/>
        </w:rPr>
      </w:pPr>
      <w:r>
        <w:rPr>
          <w:rFonts w:hint="eastAsia" w:ascii="黑体" w:hAnsi="黑体" w:eastAsia="黑体" w:cs="黑体"/>
          <w:sz w:val="32"/>
          <w:szCs w:val="32"/>
        </w:rPr>
        <w:t>发 包 人：湖南港产科技有限公司</w:t>
      </w:r>
    </w:p>
    <w:p>
      <w:pPr>
        <w:widowControl w:val="0"/>
        <w:snapToGrid w:val="0"/>
        <w:spacing w:line="240" w:lineRule="auto"/>
        <w:outlineLvl w:val="2"/>
        <w:rPr>
          <w:rFonts w:hint="eastAsia" w:ascii="黑体" w:hAnsi="黑体" w:eastAsia="黑体" w:cs="黑体"/>
          <w:sz w:val="32"/>
          <w:szCs w:val="32"/>
        </w:rPr>
      </w:pPr>
      <w:r>
        <w:rPr>
          <w:rFonts w:hint="eastAsia" w:ascii="黑体" w:hAnsi="黑体" w:eastAsia="黑体" w:cs="黑体"/>
          <w:sz w:val="32"/>
          <w:szCs w:val="32"/>
        </w:rPr>
        <w:t>承 包 人：</w:t>
      </w:r>
    </w:p>
    <w:p>
      <w:pPr>
        <w:widowControl w:val="0"/>
        <w:snapToGrid w:val="0"/>
        <w:spacing w:line="240" w:lineRule="auto"/>
        <w:outlineLvl w:val="2"/>
        <w:rPr>
          <w:rFonts w:hint="eastAsia" w:ascii="黑体" w:hAnsi="黑体" w:eastAsia="黑体" w:cs="黑体"/>
          <w:sz w:val="32"/>
          <w:szCs w:val="32"/>
        </w:rPr>
      </w:pPr>
    </w:p>
    <w:p>
      <w:pPr>
        <w:widowControl w:val="0"/>
        <w:snapToGrid w:val="0"/>
        <w:spacing w:line="240" w:lineRule="auto"/>
        <w:outlineLvl w:val="2"/>
        <w:rPr>
          <w:rFonts w:hint="eastAsia" w:ascii="黑体" w:hAnsi="黑体" w:eastAsia="黑体" w:cs="黑体"/>
          <w:sz w:val="32"/>
          <w:szCs w:val="32"/>
        </w:rPr>
      </w:pPr>
    </w:p>
    <w:p>
      <w:pPr>
        <w:widowControl w:val="0"/>
        <w:snapToGrid w:val="0"/>
        <w:spacing w:line="240" w:lineRule="auto"/>
        <w:outlineLvl w:val="2"/>
        <w:rPr>
          <w:rFonts w:hint="eastAsia" w:ascii="黑体" w:hAnsi="黑体" w:eastAsia="黑体" w:cs="黑体"/>
          <w:sz w:val="32"/>
          <w:szCs w:val="32"/>
        </w:rPr>
      </w:pPr>
      <w:r>
        <w:rPr>
          <w:rFonts w:hint="eastAsia" w:ascii="黑体" w:hAnsi="黑体" w:eastAsia="黑体" w:cs="黑体"/>
          <w:sz w:val="32"/>
          <w:szCs w:val="32"/>
        </w:rPr>
        <w:t>签订日期：2022年   月   日</w:t>
      </w:r>
    </w:p>
    <w:p>
      <w:pPr>
        <w:widowControl w:val="0"/>
        <w:snapToGrid w:val="0"/>
        <w:spacing w:line="240" w:lineRule="auto"/>
        <w:outlineLvl w:val="2"/>
        <w:rPr>
          <w:rFonts w:hint="eastAsia" w:ascii="黑体" w:hAnsi="黑体" w:eastAsia="黑体" w:cs="黑体"/>
          <w:sz w:val="32"/>
          <w:szCs w:val="32"/>
          <w:u w:val="single"/>
        </w:rPr>
        <w:sectPr>
          <w:footerReference r:id="rId5" w:type="default"/>
          <w:pgSz w:w="11900" w:h="16840"/>
          <w:pgMar w:top="1440" w:right="1800" w:bottom="1440" w:left="1800" w:header="720" w:footer="720" w:gutter="0"/>
          <w:cols w:space="720" w:num="1"/>
          <w:docGrid w:linePitch="286" w:charSpace="0"/>
        </w:sectPr>
      </w:pPr>
    </w:p>
    <w:p>
      <w:pPr>
        <w:widowControl/>
        <w:snapToGrid/>
        <w:spacing w:line="240" w:lineRule="auto"/>
        <w:ind w:firstLine="0" w:firstLineChars="0"/>
        <w:jc w:val="center"/>
        <w:outlineLvl w:val="9"/>
        <w:rPr>
          <w:rFonts w:hint="eastAsia" w:ascii="黑体" w:hAnsi="黑体" w:eastAsia="黑体" w:cs="黑体"/>
          <w:w w:val="100"/>
          <w:sz w:val="32"/>
          <w:szCs w:val="32"/>
        </w:rPr>
      </w:pPr>
      <w:r>
        <w:rPr>
          <w:rFonts w:hint="eastAsia" w:ascii="黑体" w:hAnsi="黑体" w:eastAsia="黑体" w:cs="黑体"/>
          <w:w w:val="100"/>
          <w:sz w:val="32"/>
          <w:szCs w:val="32"/>
        </w:rPr>
        <w:t>第一部分 合同部分</w:t>
      </w:r>
    </w:p>
    <w:p>
      <w:pPr>
        <w:widowControl w:val="0"/>
        <w:adjustRightInd w:val="0"/>
        <w:snapToGrid w:val="0"/>
        <w:spacing w:line="312" w:lineRule="auto"/>
        <w:rPr>
          <w:rFonts w:ascii="宋体" w:hAnsi="宋体" w:cs="宋体"/>
          <w:sz w:val="24"/>
        </w:rPr>
      </w:pPr>
      <w:r>
        <w:rPr>
          <w:rFonts w:hint="eastAsia" w:ascii="宋体" w:hAnsi="宋体" w:cs="宋体"/>
          <w:sz w:val="24"/>
        </w:rPr>
        <w:t>甲方：</w:t>
      </w:r>
      <w:r>
        <w:rPr>
          <w:rFonts w:hint="eastAsia" w:ascii="宋体" w:hAnsi="宋体" w:cs="宋体"/>
          <w:sz w:val="24"/>
          <w:lang w:val="en-US" w:eastAsia="zh-CN"/>
        </w:rPr>
        <w:t>湖南</w:t>
      </w:r>
      <w:r>
        <w:rPr>
          <w:rFonts w:hint="eastAsia" w:ascii="宋体" w:hAnsi="宋体" w:cs="宋体"/>
          <w:sz w:val="24"/>
        </w:rPr>
        <w:t>港</w:t>
      </w:r>
      <w:r>
        <w:rPr>
          <w:rFonts w:hint="eastAsia" w:ascii="宋体" w:hAnsi="宋体" w:cs="宋体"/>
          <w:sz w:val="24"/>
          <w:lang w:val="en-US" w:eastAsia="zh-CN"/>
        </w:rPr>
        <w:t>产科技</w:t>
      </w:r>
      <w:r>
        <w:rPr>
          <w:rFonts w:hint="eastAsia" w:ascii="宋体" w:hAnsi="宋体" w:cs="宋体"/>
          <w:sz w:val="24"/>
        </w:rPr>
        <w:t xml:space="preserve">有限公司                     </w:t>
      </w:r>
    </w:p>
    <w:p>
      <w:pPr>
        <w:widowControl w:val="0"/>
        <w:adjustRightInd w:val="0"/>
        <w:snapToGrid w:val="0"/>
        <w:spacing w:line="312"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12" w:lineRule="auto"/>
        <w:ind w:firstLine="480" w:firstLineChars="200"/>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w:t>
      </w:r>
      <w:r>
        <w:rPr>
          <w:rFonts w:hint="eastAsia" w:ascii="宋体" w:hAnsi="宋体" w:cs="宋体"/>
          <w:sz w:val="24"/>
          <w:lang w:val="en-US" w:eastAsia="zh-CN"/>
        </w:rPr>
        <w:t>新港片区LED显示屏</w:t>
      </w:r>
      <w:r>
        <w:rPr>
          <w:rFonts w:hint="eastAsia" w:ascii="宋体" w:hAnsi="宋体" w:cs="宋体"/>
          <w:sz w:val="24"/>
        </w:rPr>
        <w:t xml:space="preserve">采购项目合同，双方共同遵照执行。 </w:t>
      </w:r>
    </w:p>
    <w:p>
      <w:pPr>
        <w:numPr>
          <w:ilvl w:val="255"/>
          <w:numId w:val="0"/>
        </w:numPr>
        <w:rPr>
          <w:rFonts w:hint="eastAsia"/>
          <w:b/>
          <w:bCs/>
          <w:color w:val="000000"/>
          <w:sz w:val="24"/>
          <w:lang w:val="en-US" w:eastAsia="zh-CN"/>
        </w:rPr>
      </w:pPr>
      <w:r>
        <w:rPr>
          <w:rFonts w:hint="eastAsia"/>
          <w:b/>
          <w:bCs/>
          <w:color w:val="000000"/>
          <w:sz w:val="24"/>
        </w:rPr>
        <w:t>第一条：</w:t>
      </w:r>
      <w:r>
        <w:rPr>
          <w:rFonts w:hint="eastAsia"/>
          <w:b/>
          <w:bCs/>
          <w:color w:val="000000"/>
          <w:sz w:val="24"/>
          <w:lang w:val="en-US" w:eastAsia="zh-CN"/>
        </w:rPr>
        <w:t>合同内容：</w:t>
      </w:r>
    </w:p>
    <w:p>
      <w:pPr>
        <w:rPr>
          <w:rFonts w:hint="eastAsia" w:ascii="宋体" w:hAnsi="宋体" w:eastAsia="宋体" w:cs="宋体"/>
          <w:sz w:val="24"/>
          <w:szCs w:val="24"/>
        </w:rPr>
      </w:pPr>
      <w:r>
        <w:rPr>
          <w:rFonts w:hint="eastAsia" w:ascii="宋体" w:hAnsi="宋体" w:eastAsia="宋体" w:cs="宋体"/>
          <w:sz w:val="24"/>
          <w:szCs w:val="24"/>
          <w:lang w:val="en-US" w:eastAsia="zh-CN"/>
        </w:rPr>
        <w:t>1、按技术参数要求制作户外LED显示屏。</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2、将LED显示屏运送至甲方指定地点。</w:t>
      </w:r>
    </w:p>
    <w:p>
      <w:pPr>
        <w:rPr>
          <w:rFonts w:hint="eastAsia"/>
          <w:lang w:val="en-US" w:eastAsia="zh-CN"/>
        </w:rPr>
      </w:pPr>
      <w:r>
        <w:rPr>
          <w:rFonts w:hint="eastAsia" w:ascii="宋体" w:hAnsi="宋体" w:eastAsia="宋体" w:cs="宋体"/>
          <w:sz w:val="24"/>
          <w:szCs w:val="24"/>
          <w:lang w:val="en-US" w:eastAsia="zh-CN"/>
        </w:rPr>
        <w:t>3、安装并且调试确保LED显示屏能正常使用。</w:t>
      </w:r>
    </w:p>
    <w:p>
      <w:pPr>
        <w:rPr>
          <w:rFonts w:hint="eastAsia"/>
          <w:b/>
          <w:bCs/>
          <w:color w:val="000000"/>
          <w:sz w:val="24"/>
          <w:lang w:val="en-US" w:eastAsia="zh-CN"/>
        </w:rPr>
      </w:pPr>
      <w:r>
        <w:rPr>
          <w:rFonts w:hint="eastAsia"/>
          <w:b/>
          <w:bCs/>
          <w:color w:val="000000"/>
          <w:sz w:val="24"/>
        </w:rPr>
        <w:t>第</w:t>
      </w:r>
      <w:r>
        <w:rPr>
          <w:rFonts w:hint="eastAsia"/>
          <w:b/>
          <w:bCs/>
          <w:color w:val="000000"/>
          <w:sz w:val="24"/>
          <w:lang w:val="en-US" w:eastAsia="zh-CN"/>
        </w:rPr>
        <w:t>二</w:t>
      </w:r>
      <w:r>
        <w:rPr>
          <w:rFonts w:hint="eastAsia"/>
          <w:b/>
          <w:bCs/>
          <w:color w:val="000000"/>
          <w:sz w:val="24"/>
        </w:rPr>
        <w:t>条：产品</w:t>
      </w:r>
      <w:r>
        <w:rPr>
          <w:rFonts w:hint="eastAsia"/>
          <w:b/>
          <w:bCs/>
          <w:color w:val="000000"/>
          <w:sz w:val="24"/>
          <w:lang w:val="en-US" w:eastAsia="zh-CN"/>
        </w:rPr>
        <w:t>清单明细</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1070"/>
        <w:gridCol w:w="2120"/>
        <w:gridCol w:w="766"/>
        <w:gridCol w:w="608"/>
        <w:gridCol w:w="614"/>
        <w:gridCol w:w="608"/>
        <w:gridCol w:w="2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湖南港产科技有限公司新港片区LED显示屏询价采购项目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详细配置</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LED显示屏</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显示屏长5760mm×高4640mm=26.73㎡(整屏面积27.67㎡)，模组规格：长320×高160mm，模组数量：18列(320mm×18列=5760mm)×29行(160mm×29行=4640mm)=522块，要求一线品牌。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控制系统</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同异步播放盒</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支持远程开关屏、定时控制、温度检测等功能。配合外网或4G模块利用云平台远程传输数据及控制，实现无人值守。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多功能处理设备（+光探头）</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根据环境光感度自动调节，降低能耗，增加使用寿命。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箱体改造</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防水结构改造</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户外大屏光感设备</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保证5年以上寿命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工程布线</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旧屏拆卸费</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95" w:type="pct"/>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4"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lang w:val="en-US" w:eastAsia="zh-CN"/>
        </w:rPr>
      </w:pPr>
      <w:r>
        <w:rPr>
          <w:rFonts w:hint="eastAsia"/>
          <w:lang w:val="en-US" w:eastAsia="zh-CN"/>
        </w:rPr>
        <w:t>（备注：如有未列项，供应商可另行列出并备注说明，包含在总价中）</w:t>
      </w:r>
    </w:p>
    <w:p>
      <w:pPr>
        <w:numPr>
          <w:ilvl w:val="0"/>
          <w:numId w:val="3"/>
        </w:numPr>
        <w:spacing w:line="360" w:lineRule="auto"/>
        <w:outlineLvl w:val="2"/>
        <w:rPr>
          <w:rFonts w:hint="eastAsia"/>
          <w:b/>
          <w:bCs/>
          <w:color w:val="000000"/>
          <w:sz w:val="24"/>
        </w:rPr>
      </w:pPr>
      <w:r>
        <w:rPr>
          <w:rFonts w:hint="eastAsia"/>
          <w:b/>
          <w:bCs/>
          <w:color w:val="000000"/>
          <w:sz w:val="24"/>
        </w:rPr>
        <w:t xml:space="preserve"> 款项的给付</w:t>
      </w:r>
    </w:p>
    <w:p>
      <w:pPr>
        <w:numPr>
          <w:ilvl w:val="0"/>
          <w:numId w:val="4"/>
        </w:numPr>
        <w:spacing w:line="360" w:lineRule="auto"/>
        <w:ind w:firstLine="480" w:firstLineChars="200"/>
        <w:outlineLvl w:val="2"/>
        <w:rPr>
          <w:rFonts w:hint="eastAsia" w:ascii="宋体" w:hAnsi="宋体" w:cs="宋体"/>
          <w:color w:val="000000"/>
          <w:sz w:val="24"/>
        </w:rPr>
      </w:pPr>
      <w:r>
        <w:rPr>
          <w:rFonts w:hint="eastAsia" w:ascii="宋体" w:hAnsi="宋体" w:cs="宋体"/>
          <w:color w:val="000000"/>
          <w:sz w:val="24"/>
        </w:rPr>
        <w:t>本合同的全部货款为人民币（大写</w:t>
      </w:r>
      <w:r>
        <w:rPr>
          <w:rFonts w:hint="eastAsia" w:ascii="宋体" w:hAnsi="宋体" w:cs="宋体"/>
          <w:b/>
          <w:color w:val="000000"/>
          <w:sz w:val="24"/>
        </w:rPr>
        <w:t>）</w:t>
      </w:r>
      <w:r>
        <w:rPr>
          <w:rFonts w:hint="eastAsia" w:ascii="宋体" w:hAnsi="宋体" w:cs="宋体"/>
          <w:b/>
          <w:color w:val="000000"/>
          <w:sz w:val="24"/>
          <w:u w:val="single"/>
        </w:rPr>
        <w:t xml:space="preserve">         </w:t>
      </w:r>
      <w:r>
        <w:rPr>
          <w:rFonts w:hint="eastAsia" w:ascii="宋体" w:hAnsi="宋体" w:cs="宋体"/>
          <w:color w:val="000000"/>
          <w:sz w:val="24"/>
        </w:rPr>
        <w:t>（小写</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w:t>
      </w:r>
      <w:r>
        <w:rPr>
          <w:rFonts w:hint="eastAsia" w:ascii="宋体" w:hAnsi="宋体" w:cs="宋体"/>
          <w:color w:val="000000"/>
          <w:sz w:val="24"/>
          <w:lang w:val="en-US" w:eastAsia="zh-CN"/>
        </w:rPr>
        <w:t>、13</w:t>
      </w:r>
      <w:r>
        <w:rPr>
          <w:rFonts w:hint="eastAsia" w:ascii="宋体" w:hAnsi="宋体" w:cs="宋体"/>
          <w:color w:val="000000"/>
          <w:sz w:val="24"/>
        </w:rPr>
        <w:t>%增值税等履行本协议发生的一切费用。</w:t>
      </w:r>
    </w:p>
    <w:p>
      <w:pPr>
        <w:numPr>
          <w:ilvl w:val="0"/>
          <w:numId w:val="0"/>
        </w:numPr>
        <w:spacing w:line="360" w:lineRule="auto"/>
        <w:ind w:firstLine="480" w:firstLineChars="200"/>
        <w:outlineLvl w:val="2"/>
        <w:rPr>
          <w:rFonts w:hint="eastAsia" w:ascii="宋体" w:hAnsi="宋体" w:eastAsia="宋体" w:cs="宋体"/>
          <w:sz w:val="24"/>
          <w:lang w:eastAsia="zh-CN"/>
        </w:rPr>
      </w:pPr>
      <w:r>
        <w:rPr>
          <w:rFonts w:hint="eastAsia" w:ascii="宋体" w:hAnsi="宋体" w:cs="宋体"/>
          <w:color w:val="000000"/>
          <w:sz w:val="24"/>
        </w:rPr>
        <w:t>2.本合同经双方确认签字盖章后，发生法律效力。合同签订后买方向卖方支付30%订金（￥</w:t>
      </w:r>
      <w:r>
        <w:rPr>
          <w:rFonts w:hint="eastAsia" w:ascii="宋体" w:hAnsi="宋体" w:cs="宋体"/>
          <w:color w:val="000000"/>
          <w:sz w:val="24"/>
          <w:u w:val="single"/>
        </w:rPr>
        <w:t xml:space="preserve">     </w:t>
      </w:r>
      <w:r>
        <w:rPr>
          <w:rFonts w:hint="eastAsia" w:ascii="宋体" w:hAnsi="宋体" w:cs="宋体"/>
          <w:color w:val="000000"/>
          <w:sz w:val="24"/>
        </w:rPr>
        <w:t>）后</w:t>
      </w:r>
      <w:r>
        <w:rPr>
          <w:rFonts w:hint="eastAsia" w:ascii="宋体" w:hAnsi="宋体" w:cs="宋体"/>
          <w:sz w:val="24"/>
        </w:rPr>
        <w:t>卖方组织</w:t>
      </w:r>
      <w:r>
        <w:rPr>
          <w:rFonts w:hint="eastAsia" w:ascii="宋体" w:hAnsi="宋体" w:cs="宋体"/>
          <w:sz w:val="24"/>
          <w:lang w:val="en-US" w:eastAsia="zh-CN"/>
        </w:rPr>
        <w:t>供货</w:t>
      </w:r>
      <w:r>
        <w:rPr>
          <w:rFonts w:hint="eastAsia" w:ascii="宋体" w:hAnsi="宋体" w:cs="宋体"/>
          <w:sz w:val="24"/>
        </w:rPr>
        <w:t>，指定卖方在规定</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日期到买方指定地点</w:t>
      </w:r>
      <w:r>
        <w:rPr>
          <w:rFonts w:hint="eastAsia" w:ascii="宋体" w:hAnsi="宋体" w:cs="宋体"/>
          <w:sz w:val="24"/>
          <w:lang w:eastAsia="zh-CN"/>
        </w:rPr>
        <w:t>，</w:t>
      </w:r>
      <w:r>
        <w:rPr>
          <w:rFonts w:hint="eastAsia" w:ascii="宋体" w:hAnsi="宋体" w:cs="宋体"/>
          <w:sz w:val="24"/>
          <w:lang w:val="en-US" w:eastAsia="zh-CN"/>
        </w:rPr>
        <w:t>到货后</w:t>
      </w:r>
      <w:r>
        <w:rPr>
          <w:rFonts w:hint="eastAsia" w:ascii="宋体" w:hAnsi="宋体" w:cs="宋体"/>
          <w:sz w:val="24"/>
        </w:rPr>
        <w:t>买方支付</w:t>
      </w:r>
      <w:r>
        <w:rPr>
          <w:rFonts w:hint="eastAsia" w:ascii="宋体" w:hAnsi="宋体" w:cs="宋体"/>
          <w:sz w:val="24"/>
          <w:lang w:val="en-US" w:eastAsia="zh-CN"/>
        </w:rPr>
        <w:t>货</w:t>
      </w:r>
      <w:r>
        <w:rPr>
          <w:rFonts w:hint="eastAsia" w:ascii="宋体" w:hAnsi="宋体" w:cs="宋体"/>
          <w:sz w:val="24"/>
        </w:rPr>
        <w:t>款6</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质保期期满</w:t>
      </w:r>
      <w:r>
        <w:rPr>
          <w:rFonts w:hint="eastAsia" w:ascii="宋体" w:hAnsi="宋体" w:cs="宋体"/>
          <w:sz w:val="24"/>
        </w:rPr>
        <w:t>支</w:t>
      </w:r>
      <w:r>
        <w:rPr>
          <w:rFonts w:hint="eastAsia" w:ascii="宋体" w:hAnsi="宋体" w:cs="宋体"/>
          <w:sz w:val="24"/>
          <w:lang w:val="en-US" w:eastAsia="zh-CN"/>
        </w:rPr>
        <w:t>3</w:t>
      </w:r>
      <w:r>
        <w:rPr>
          <w:rFonts w:hint="eastAsia" w:ascii="宋体" w:hAnsi="宋体" w:cs="宋体"/>
          <w:sz w:val="24"/>
        </w:rPr>
        <w:t>%尾款（￥</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w:t>
      </w:r>
    </w:p>
    <w:p>
      <w:pPr>
        <w:rPr>
          <w:b/>
          <w:bCs/>
          <w:color w:val="000000"/>
          <w:sz w:val="24"/>
        </w:rPr>
      </w:pPr>
      <w:r>
        <w:rPr>
          <w:rFonts w:hint="eastAsia"/>
          <w:b/>
          <w:bCs/>
          <w:color w:val="000000"/>
          <w:sz w:val="24"/>
        </w:rPr>
        <w:t>第四条   产品交付</w:t>
      </w:r>
    </w:p>
    <w:p>
      <w:pPr>
        <w:spacing w:line="460" w:lineRule="exact"/>
        <w:ind w:firstLine="480" w:firstLineChars="200"/>
        <w:rPr>
          <w:b/>
          <w:bCs/>
          <w:color w:val="000000"/>
          <w:sz w:val="24"/>
        </w:rPr>
      </w:pPr>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合</w:t>
      </w:r>
      <w:r>
        <w:rPr>
          <w:rFonts w:hint="eastAsia"/>
          <w:color w:val="000000"/>
          <w:sz w:val="24"/>
        </w:rPr>
        <w:t>同交货期为合同签订后</w:t>
      </w:r>
      <w:r>
        <w:rPr>
          <w:rFonts w:hint="eastAsia"/>
          <w:color w:val="000000"/>
          <w:sz w:val="24"/>
          <w:u w:val="single"/>
          <w:lang w:val="en-US" w:eastAsia="zh-CN"/>
        </w:rPr>
        <w:t>7</w:t>
      </w:r>
      <w:r>
        <w:rPr>
          <w:rFonts w:hint="eastAsia"/>
          <w:color w:val="000000"/>
          <w:sz w:val="24"/>
          <w:u w:val="single"/>
        </w:rPr>
        <w:t xml:space="preserve"> </w:t>
      </w:r>
      <w:r>
        <w:rPr>
          <w:rFonts w:hint="eastAsia"/>
          <w:color w:val="000000"/>
          <w:sz w:val="24"/>
          <w:u w:val="none"/>
          <w:lang w:val="en-US" w:eastAsia="zh-CN"/>
        </w:rPr>
        <w:t>个</w:t>
      </w:r>
      <w:r>
        <w:rPr>
          <w:rFonts w:hint="eastAsia"/>
          <w:color w:val="000000"/>
          <w:sz w:val="24"/>
          <w:lang w:val="en-US" w:eastAsia="zh-CN"/>
        </w:rPr>
        <w:t>日历日</w:t>
      </w:r>
      <w:r>
        <w:rPr>
          <w:rFonts w:hint="eastAsia"/>
          <w:color w:val="000000"/>
          <w:sz w:val="24"/>
        </w:rPr>
        <w:t>内，由卖方将设备运至</w:t>
      </w:r>
      <w:r>
        <w:rPr>
          <w:rFonts w:hint="eastAsia"/>
          <w:color w:val="000000"/>
          <w:sz w:val="24"/>
          <w:lang w:val="en-US" w:eastAsia="zh-CN"/>
        </w:rPr>
        <w:t>甲</w:t>
      </w:r>
      <w:r>
        <w:rPr>
          <w:rFonts w:hint="eastAsia"/>
          <w:color w:val="000000"/>
          <w:sz w:val="24"/>
        </w:rPr>
        <w:t>方指定地点</w:t>
      </w:r>
      <w:r>
        <w:rPr>
          <w:rFonts w:hint="eastAsia"/>
          <w:color w:val="000000"/>
          <w:sz w:val="24"/>
          <w:lang w:val="en-US" w:eastAsia="zh-CN"/>
        </w:rPr>
        <w:t>且安装调试完成能交付使用</w:t>
      </w:r>
      <w:r>
        <w:rPr>
          <w:rFonts w:hint="eastAsia"/>
          <w:color w:val="000000"/>
          <w:sz w:val="24"/>
        </w:rPr>
        <w:t>。</w:t>
      </w:r>
    </w:p>
    <w:p>
      <w:pPr>
        <w:tabs>
          <w:tab w:val="left" w:pos="0"/>
        </w:tabs>
        <w:autoSpaceDE w:val="0"/>
        <w:autoSpaceDN w:val="0"/>
        <w:adjustRightInd w:val="0"/>
        <w:spacing w:line="500" w:lineRule="exact"/>
        <w:ind w:firstLine="480" w:firstLineChars="200"/>
        <w:rPr>
          <w:rFonts w:ascii="宋体" w:hAnsi="宋体" w:cs="宋体"/>
          <w:color w:val="000000"/>
          <w:kern w:val="0"/>
          <w:sz w:val="24"/>
        </w:rPr>
      </w:pPr>
      <w:r>
        <w:rPr>
          <w:rFonts w:hint="eastAsia" w:ascii="宋体" w:hAnsi="宋体"/>
          <w:color w:val="000000"/>
          <w:sz w:val="24"/>
        </w:rPr>
        <w:t>2</w:t>
      </w:r>
      <w:r>
        <w:rPr>
          <w:rFonts w:hint="eastAsia" w:ascii="宋体" w:hAnsi="宋体"/>
          <w:color w:val="000000"/>
          <w:sz w:val="24"/>
          <w:lang w:eastAsia="zh-CN"/>
        </w:rPr>
        <w:t>、</w:t>
      </w:r>
      <w:r>
        <w:rPr>
          <w:rFonts w:hint="eastAsia" w:ascii="宋体" w:hAnsi="宋体" w:cs="宋体"/>
          <w:color w:val="000000"/>
          <w:kern w:val="0"/>
          <w:sz w:val="24"/>
        </w:rPr>
        <w:t>交货地点：岳阳城陵矶港。</w:t>
      </w:r>
    </w:p>
    <w:p>
      <w:pPr>
        <w:tabs>
          <w:tab w:val="left" w:pos="540"/>
        </w:tabs>
        <w:autoSpaceDE w:val="0"/>
        <w:autoSpaceDN w:val="0"/>
        <w:adjustRightInd w:val="0"/>
        <w:spacing w:line="500" w:lineRule="exact"/>
        <w:ind w:firstLine="480" w:firstLineChars="200"/>
        <w:rPr>
          <w:rFonts w:ascii="宋体" w:hAnsi="宋体" w:cs="宋体"/>
          <w:color w:val="000000"/>
          <w:kern w:val="0"/>
          <w:sz w:val="24"/>
          <w:u w:val="single"/>
        </w:rPr>
      </w:pPr>
      <w:r>
        <w:rPr>
          <w:rFonts w:hint="eastAsia" w:ascii="宋体" w:hAnsi="宋体" w:cs="宋体"/>
          <w:color w:val="000000"/>
          <w:kern w:val="0"/>
          <w:sz w:val="24"/>
        </w:rPr>
        <w:t>3</w:t>
      </w:r>
      <w:r>
        <w:rPr>
          <w:rFonts w:hint="eastAsia" w:ascii="宋体" w:hAnsi="宋体" w:cs="宋体"/>
          <w:color w:val="000000"/>
          <w:kern w:val="0"/>
          <w:sz w:val="24"/>
          <w:lang w:eastAsia="zh-CN"/>
        </w:rPr>
        <w:t>、</w:t>
      </w:r>
      <w:r>
        <w:rPr>
          <w:rFonts w:hint="eastAsia" w:ascii="宋体" w:hAnsi="宋体" w:cs="宋体"/>
          <w:color w:val="000000"/>
          <w:kern w:val="0"/>
          <w:sz w:val="24"/>
        </w:rPr>
        <w:t>包装方式：</w:t>
      </w:r>
      <w:r>
        <w:rPr>
          <w:rFonts w:hint="eastAsia" w:ascii="宋体" w:hAnsi="宋体" w:cs="宋体"/>
          <w:color w:val="000000"/>
          <w:kern w:val="0"/>
          <w:sz w:val="24"/>
          <w:lang w:val="en-US" w:eastAsia="zh-CN"/>
        </w:rPr>
        <w:t>乙</w:t>
      </w:r>
      <w:r>
        <w:rPr>
          <w:rFonts w:hint="eastAsia" w:ascii="宋体" w:hAnsi="宋体" w:cs="宋体"/>
          <w:color w:val="000000"/>
          <w:kern w:val="0"/>
          <w:sz w:val="24"/>
        </w:rPr>
        <w:t>方应当严格执行现行包装标准,确保设备无任何损毁瑕疵，包装费用由</w:t>
      </w:r>
      <w:r>
        <w:rPr>
          <w:rFonts w:hint="eastAsia" w:ascii="宋体" w:hAnsi="宋体" w:cs="宋体"/>
          <w:color w:val="000000"/>
          <w:kern w:val="0"/>
          <w:sz w:val="24"/>
          <w:lang w:val="en-US" w:eastAsia="zh-CN"/>
        </w:rPr>
        <w:t>乙</w:t>
      </w:r>
      <w:r>
        <w:rPr>
          <w:rFonts w:hint="eastAsia" w:ascii="宋体" w:hAnsi="宋体" w:cs="宋体"/>
          <w:color w:val="000000"/>
          <w:kern w:val="0"/>
          <w:sz w:val="24"/>
        </w:rPr>
        <w:t>方承担。</w:t>
      </w:r>
    </w:p>
    <w:p>
      <w:pPr>
        <w:tabs>
          <w:tab w:val="left" w:pos="0"/>
        </w:tabs>
        <w:autoSpaceDE w:val="0"/>
        <w:autoSpaceDN w:val="0"/>
        <w:adjustRightIn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eastAsia="zh-CN"/>
        </w:rPr>
        <w:t>、</w:t>
      </w:r>
      <w:r>
        <w:rPr>
          <w:rFonts w:hint="eastAsia" w:ascii="宋体" w:hAnsi="宋体" w:cs="宋体"/>
          <w:color w:val="000000"/>
          <w:kern w:val="0"/>
          <w:sz w:val="24"/>
        </w:rPr>
        <w:t>产品在运送至</w:t>
      </w:r>
      <w:r>
        <w:rPr>
          <w:rFonts w:hint="eastAsia" w:ascii="宋体" w:hAnsi="宋体" w:cs="宋体"/>
          <w:color w:val="000000"/>
          <w:kern w:val="0"/>
          <w:sz w:val="24"/>
          <w:lang w:val="en-US" w:eastAsia="zh-CN"/>
        </w:rPr>
        <w:t>甲</w:t>
      </w:r>
      <w:r>
        <w:rPr>
          <w:rFonts w:hint="eastAsia" w:ascii="宋体" w:hAnsi="宋体" w:cs="宋体"/>
          <w:color w:val="000000"/>
          <w:kern w:val="0"/>
          <w:sz w:val="24"/>
        </w:rPr>
        <w:t>方指定地点并经</w:t>
      </w:r>
      <w:r>
        <w:rPr>
          <w:rFonts w:hint="eastAsia" w:ascii="宋体" w:hAnsi="宋体" w:cs="宋体"/>
          <w:color w:val="000000"/>
          <w:kern w:val="0"/>
          <w:sz w:val="24"/>
          <w:lang w:val="en-US" w:eastAsia="zh-CN"/>
        </w:rPr>
        <w:t>甲</w:t>
      </w:r>
      <w:r>
        <w:rPr>
          <w:rFonts w:hint="eastAsia" w:ascii="宋体" w:hAnsi="宋体" w:cs="宋体"/>
          <w:color w:val="000000"/>
          <w:kern w:val="0"/>
          <w:sz w:val="24"/>
        </w:rPr>
        <w:t>方验收合格之前的毁损、灭失的风险由</w:t>
      </w:r>
      <w:r>
        <w:rPr>
          <w:rFonts w:hint="eastAsia" w:ascii="宋体" w:hAnsi="宋体" w:cs="宋体"/>
          <w:color w:val="000000"/>
          <w:kern w:val="0"/>
          <w:sz w:val="24"/>
          <w:lang w:val="en-US" w:eastAsia="zh-CN"/>
        </w:rPr>
        <w:t>乙</w:t>
      </w:r>
      <w:r>
        <w:rPr>
          <w:rFonts w:hint="eastAsia" w:ascii="宋体" w:hAnsi="宋体" w:cs="宋体"/>
          <w:color w:val="000000"/>
          <w:kern w:val="0"/>
          <w:sz w:val="24"/>
        </w:rPr>
        <w:t>方承担。</w:t>
      </w:r>
    </w:p>
    <w:p>
      <w:pPr>
        <w:spacing w:line="460" w:lineRule="atLeast"/>
        <w:ind w:firstLine="480" w:firstLineChars="200"/>
        <w:rPr>
          <w:rFonts w:hint="eastAsia" w:ascii="宋体" w:hAnsi="宋体"/>
          <w:color w:val="000000"/>
          <w:sz w:val="24"/>
        </w:rPr>
      </w:pPr>
      <w:r>
        <w:rPr>
          <w:rFonts w:hint="eastAsia" w:ascii="宋体" w:hAnsi="宋体"/>
          <w:color w:val="000000"/>
          <w:sz w:val="24"/>
        </w:rPr>
        <w:t>5、交付:产品运送至买方指定地点，买方接收后并经买方查验合格，安装调试验收合格，视为卖方已交付。</w:t>
      </w:r>
    </w:p>
    <w:p>
      <w:pPr>
        <w:spacing w:line="360" w:lineRule="auto"/>
        <w:outlineLvl w:val="2"/>
        <w:rPr>
          <w:b/>
          <w:bCs/>
          <w:color w:val="000000"/>
          <w:sz w:val="24"/>
        </w:rPr>
      </w:pPr>
      <w:r>
        <w:rPr>
          <w:rFonts w:hint="eastAsia"/>
          <w:b/>
          <w:bCs/>
          <w:color w:val="000000"/>
          <w:sz w:val="24"/>
        </w:rPr>
        <w:t>第五条  产品质量异议及保修</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kern w:val="0"/>
          <w:sz w:val="24"/>
        </w:rPr>
        <w:t>1</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乙</w:t>
      </w:r>
      <w:r>
        <w:rPr>
          <w:rFonts w:hint="eastAsia" w:ascii="宋体" w:hAnsi="宋体" w:cs="宋体"/>
          <w:color w:val="000000"/>
          <w:kern w:val="0"/>
          <w:sz w:val="24"/>
        </w:rPr>
        <w:t>方应保证合同项下所供货物是合同签订之后生产的、全新、未使用过的；</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w:t>
      </w:r>
      <w:r>
        <w:rPr>
          <w:rFonts w:hint="eastAsia" w:ascii="宋体" w:hAnsi="宋体" w:cs="宋体"/>
          <w:color w:val="000000"/>
          <w:sz w:val="24"/>
        </w:rPr>
        <w:t>对除上述货品表面情况及数量外的其他质量异议，</w:t>
      </w:r>
      <w:r>
        <w:rPr>
          <w:rFonts w:hint="eastAsia" w:ascii="宋体" w:hAnsi="宋体" w:cs="宋体"/>
          <w:color w:val="000000"/>
          <w:sz w:val="24"/>
          <w:lang w:val="en-US" w:eastAsia="zh-CN"/>
        </w:rPr>
        <w:t>甲</w:t>
      </w:r>
      <w:r>
        <w:rPr>
          <w:rFonts w:hint="eastAsia" w:ascii="宋体" w:hAnsi="宋体" w:cs="宋体"/>
          <w:color w:val="000000"/>
          <w:sz w:val="24"/>
        </w:rPr>
        <w:t>方应在产品验收合格之日起7日内以书面形式向</w:t>
      </w:r>
      <w:r>
        <w:rPr>
          <w:rFonts w:hint="eastAsia" w:ascii="宋体" w:hAnsi="宋体" w:cs="宋体"/>
          <w:color w:val="000000"/>
          <w:sz w:val="24"/>
          <w:lang w:val="en-US" w:eastAsia="zh-CN"/>
        </w:rPr>
        <w:t>乙</w:t>
      </w:r>
      <w:r>
        <w:rPr>
          <w:rFonts w:hint="eastAsia" w:ascii="宋体" w:hAnsi="宋体" w:cs="宋体"/>
          <w:color w:val="000000"/>
          <w:sz w:val="24"/>
        </w:rPr>
        <w:t>方提出，经</w:t>
      </w:r>
      <w:r>
        <w:rPr>
          <w:rFonts w:hint="eastAsia" w:ascii="宋体" w:hAnsi="宋体" w:cs="宋体"/>
          <w:color w:val="000000"/>
          <w:sz w:val="24"/>
          <w:lang w:val="en-US" w:eastAsia="zh-CN"/>
        </w:rPr>
        <w:t>乙</w:t>
      </w:r>
      <w:r>
        <w:rPr>
          <w:rFonts w:hint="eastAsia" w:ascii="宋体" w:hAnsi="宋体" w:cs="宋体"/>
          <w:color w:val="000000"/>
          <w:sz w:val="24"/>
        </w:rPr>
        <w:t>方查验属实的，负担</w:t>
      </w:r>
      <w:r>
        <w:rPr>
          <w:rFonts w:hint="eastAsia" w:ascii="宋体" w:hAnsi="宋体" w:cs="宋体"/>
          <w:color w:val="000000"/>
          <w:sz w:val="24"/>
          <w:lang w:val="en-US" w:eastAsia="zh-CN"/>
        </w:rPr>
        <w:t>退换货</w:t>
      </w:r>
      <w:r>
        <w:rPr>
          <w:rFonts w:hint="eastAsia" w:ascii="宋体" w:hAnsi="宋体" w:cs="宋体"/>
          <w:color w:val="000000"/>
          <w:sz w:val="24"/>
        </w:rPr>
        <w:t>责任。</w:t>
      </w:r>
    </w:p>
    <w:p>
      <w:pPr>
        <w:numPr>
          <w:ilvl w:val="255"/>
          <w:numId w:val="0"/>
        </w:numPr>
        <w:spacing w:line="360" w:lineRule="auto"/>
        <w:ind w:firstLine="240" w:firstLineChars="100"/>
        <w:rPr>
          <w:rFonts w:hint="default" w:eastAsia="宋体"/>
          <w:color w:val="000000"/>
          <w:sz w:val="24"/>
          <w:lang w:val="en-US" w:eastAsia="zh-CN"/>
        </w:rPr>
      </w:pPr>
      <w:r>
        <w:rPr>
          <w:rFonts w:hint="eastAsia" w:ascii="宋体" w:hAnsi="宋体" w:cs="宋体"/>
          <w:color w:val="000000"/>
          <w:sz w:val="24"/>
        </w:rPr>
        <w:t>3</w:t>
      </w:r>
      <w:r>
        <w:rPr>
          <w:rFonts w:hint="eastAsia" w:ascii="宋体" w:hAnsi="宋体" w:cs="宋体"/>
          <w:color w:val="000000"/>
          <w:sz w:val="24"/>
          <w:lang w:eastAsia="zh-CN"/>
        </w:rPr>
        <w:t>、</w:t>
      </w:r>
      <w:r>
        <w:rPr>
          <w:rFonts w:hint="eastAsia" w:ascii="宋体" w:hAnsi="宋体" w:cs="宋体"/>
          <w:color w:val="000000"/>
          <w:sz w:val="24"/>
          <w:lang w:val="en-US" w:eastAsia="zh-CN"/>
        </w:rPr>
        <w:t>乙</w:t>
      </w:r>
      <w:r>
        <w:rPr>
          <w:rFonts w:hint="eastAsia" w:ascii="宋体" w:hAnsi="宋体" w:cs="宋体"/>
          <w:color w:val="000000"/>
          <w:sz w:val="24"/>
        </w:rPr>
        <w:t>方承诺，自买方验收产品合格后的</w:t>
      </w:r>
      <w:r>
        <w:rPr>
          <w:rFonts w:hint="eastAsia" w:ascii="宋体" w:hAnsi="宋体" w:cs="宋体"/>
          <w:color w:val="000000"/>
          <w:sz w:val="24"/>
          <w:lang w:val="en-US" w:eastAsia="zh-CN"/>
        </w:rPr>
        <w:t>一</w:t>
      </w:r>
      <w:r>
        <w:rPr>
          <w:rFonts w:hint="eastAsia" w:ascii="宋体" w:hAnsi="宋体" w:cs="宋体"/>
          <w:color w:val="000000"/>
          <w:sz w:val="24"/>
        </w:rPr>
        <w:t>年内，除使用不当所造成的损坏以外的影响产品正常使用的质量问题，</w:t>
      </w:r>
      <w:r>
        <w:rPr>
          <w:rFonts w:hint="eastAsia" w:ascii="宋体" w:hAnsi="宋体" w:cs="宋体"/>
          <w:color w:val="000000"/>
          <w:sz w:val="24"/>
          <w:lang w:val="en-US" w:eastAsia="zh-CN"/>
        </w:rPr>
        <w:t>乙</w:t>
      </w:r>
      <w:r>
        <w:rPr>
          <w:rFonts w:hint="eastAsia" w:ascii="宋体" w:hAnsi="宋体" w:cs="宋体"/>
          <w:color w:val="000000"/>
          <w:sz w:val="24"/>
        </w:rPr>
        <w:t>方应在收到</w:t>
      </w:r>
      <w:r>
        <w:rPr>
          <w:rFonts w:hint="eastAsia" w:ascii="宋体" w:hAnsi="宋体" w:cs="宋体"/>
          <w:color w:val="000000"/>
          <w:sz w:val="24"/>
          <w:lang w:val="en-US" w:eastAsia="zh-CN"/>
        </w:rPr>
        <w:t>甲</w:t>
      </w:r>
      <w:r>
        <w:rPr>
          <w:rFonts w:hint="eastAsia" w:ascii="宋体" w:hAnsi="宋体" w:cs="宋体"/>
          <w:color w:val="000000"/>
          <w:sz w:val="24"/>
        </w:rPr>
        <w:t>方通知后_</w:t>
      </w:r>
      <w:r>
        <w:rPr>
          <w:rFonts w:hint="eastAsia" w:ascii="宋体" w:hAnsi="宋体" w:cs="宋体"/>
          <w:color w:val="000000"/>
          <w:sz w:val="24"/>
          <w:lang w:val="en-US" w:eastAsia="zh-CN"/>
        </w:rPr>
        <w:t>3</w:t>
      </w:r>
      <w:r>
        <w:rPr>
          <w:rFonts w:hint="eastAsia" w:ascii="宋体" w:hAnsi="宋体" w:cs="宋体"/>
          <w:color w:val="000000"/>
          <w:sz w:val="24"/>
        </w:rPr>
        <w:t>_日内免费负责修复或更换</w:t>
      </w:r>
      <w:r>
        <w:rPr>
          <w:rFonts w:hint="eastAsia" w:ascii="宋体" w:hAnsi="宋体" w:cs="宋体"/>
          <w:color w:val="000000"/>
          <w:sz w:val="24"/>
          <w:lang w:eastAsia="zh-CN"/>
        </w:rPr>
        <w:t>，</w:t>
      </w:r>
      <w:r>
        <w:rPr>
          <w:rFonts w:hint="eastAsia" w:ascii="宋体" w:hAnsi="宋体" w:cs="宋体"/>
          <w:color w:val="000000"/>
          <w:sz w:val="24"/>
          <w:lang w:val="en-US" w:eastAsia="zh-CN"/>
        </w:rPr>
        <w:t>所造成的损失由乙方承担。</w:t>
      </w:r>
    </w:p>
    <w:p>
      <w:pPr>
        <w:pStyle w:val="2"/>
      </w:pPr>
    </w:p>
    <w:p>
      <w:pPr>
        <w:spacing w:line="460" w:lineRule="exact"/>
        <w:rPr>
          <w:b/>
          <w:bCs/>
          <w:color w:val="000000"/>
          <w:sz w:val="24"/>
        </w:rPr>
      </w:pPr>
      <w:r>
        <w:rPr>
          <w:rFonts w:hint="eastAsia"/>
          <w:b/>
          <w:bCs/>
          <w:color w:val="000000"/>
          <w:sz w:val="24"/>
        </w:rPr>
        <w:t>第</w:t>
      </w:r>
      <w:r>
        <w:rPr>
          <w:rFonts w:hint="eastAsia"/>
          <w:b/>
          <w:bCs/>
          <w:color w:val="000000"/>
          <w:sz w:val="24"/>
          <w:lang w:val="en-US" w:eastAsia="zh-CN"/>
        </w:rPr>
        <w:t>六</w:t>
      </w:r>
      <w:r>
        <w:rPr>
          <w:rFonts w:hint="eastAsia"/>
          <w:b/>
          <w:bCs/>
          <w:color w:val="000000"/>
          <w:sz w:val="24"/>
        </w:rPr>
        <w:t>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1.卖方超过合同约定交货日期按逾期交货处理，违约金按逾期交货部分货款的  </w:t>
      </w:r>
      <w:r>
        <w:rPr>
          <w:rFonts w:hint="eastAsia" w:ascii="宋体" w:hAnsi="宋体"/>
          <w:color w:val="000000"/>
          <w:sz w:val="24"/>
          <w:u w:val="single"/>
        </w:rPr>
        <w:t>0.</w:t>
      </w:r>
      <w:r>
        <w:rPr>
          <w:rFonts w:hint="eastAsia" w:ascii="宋体" w:hAnsi="宋体"/>
          <w:color w:val="000000"/>
          <w:sz w:val="24"/>
          <w:u w:val="single"/>
          <w:lang w:val="en-US" w:eastAsia="zh-CN"/>
        </w:rPr>
        <w:t>5</w:t>
      </w:r>
      <w:r>
        <w:rPr>
          <w:rFonts w:hint="eastAsia" w:ascii="宋体" w:hAnsi="宋体"/>
          <w:color w:val="000000"/>
          <w:sz w:val="24"/>
          <w:u w:val="single"/>
        </w:rPr>
        <w:t xml:space="preserve"> </w:t>
      </w:r>
      <w:r>
        <w:rPr>
          <w:rFonts w:hint="eastAsia" w:ascii="宋体" w:hAnsi="宋体"/>
          <w:color w:val="000000"/>
          <w:sz w:val="24"/>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2.卖方明确表示或者以自己的行为表明不能交货的，违约金按不能交货部分货款的 </w:t>
      </w:r>
      <w:r>
        <w:rPr>
          <w:rFonts w:hint="eastAsia" w:ascii="宋体" w:hAnsi="宋体"/>
          <w:color w:val="000000"/>
          <w:sz w:val="24"/>
          <w:u w:val="single"/>
          <w:lang w:val="en-US" w:eastAsia="zh-CN"/>
        </w:rPr>
        <w:t>20</w:t>
      </w:r>
      <w:r>
        <w:rPr>
          <w:rFonts w:hint="eastAsia" w:ascii="宋体" w:hAnsi="宋体"/>
          <w:color w:val="000000"/>
          <w:sz w:val="24"/>
        </w:rPr>
        <w:t xml:space="preserve"> %向买方赔付，并承担买方因此所受的损失费用。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卖方所交产品不符合合同规定的，由卖方按照买方要求负责包换或维修，并承担修理、调换或退货支付的实际费用，卖方不能修理或调换，按不能交货处理。买方另行向第三方购买产品所导致的损失由卖方承担。</w:t>
      </w:r>
    </w:p>
    <w:p>
      <w:pPr>
        <w:pStyle w:val="2"/>
      </w:pPr>
    </w:p>
    <w:p>
      <w:pPr>
        <w:rPr>
          <w:b/>
          <w:bCs/>
          <w:color w:val="000000"/>
          <w:sz w:val="24"/>
        </w:rPr>
      </w:pPr>
      <w:r>
        <w:rPr>
          <w:rFonts w:hint="eastAsia"/>
          <w:b/>
          <w:bCs/>
          <w:color w:val="000000"/>
          <w:sz w:val="24"/>
        </w:rPr>
        <w:t>第</w:t>
      </w:r>
      <w:r>
        <w:rPr>
          <w:rFonts w:hint="eastAsia"/>
          <w:b/>
          <w:bCs/>
          <w:color w:val="000000"/>
          <w:sz w:val="24"/>
          <w:lang w:val="en-US" w:eastAsia="zh-CN"/>
        </w:rPr>
        <w:t>七</w:t>
      </w:r>
      <w:r>
        <w:rPr>
          <w:rFonts w:hint="eastAsia"/>
          <w:b/>
          <w:bCs/>
          <w:color w:val="000000"/>
          <w:sz w:val="24"/>
        </w:rPr>
        <w:t>条   争议的解决</w:t>
      </w:r>
    </w:p>
    <w:p>
      <w:pPr>
        <w:pStyle w:val="8"/>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pPr>
        <w:pStyle w:val="8"/>
        <w:ind w:left="479" w:leftChars="228" w:firstLine="0"/>
        <w:rPr>
          <w:color w:val="000000"/>
        </w:rPr>
      </w:pPr>
    </w:p>
    <w:p>
      <w:pPr>
        <w:rPr>
          <w:b/>
          <w:bCs/>
          <w:color w:val="000000"/>
          <w:sz w:val="24"/>
        </w:rPr>
      </w:pPr>
      <w:r>
        <w:rPr>
          <w:rFonts w:hint="eastAsia"/>
          <w:b/>
          <w:bCs/>
          <w:color w:val="000000"/>
          <w:sz w:val="24"/>
        </w:rPr>
        <w:t>第</w:t>
      </w:r>
      <w:r>
        <w:rPr>
          <w:rFonts w:hint="eastAsia"/>
          <w:b/>
          <w:bCs/>
          <w:color w:val="000000"/>
          <w:sz w:val="24"/>
          <w:lang w:val="en-US" w:eastAsia="zh-CN"/>
        </w:rPr>
        <w:t>八</w:t>
      </w:r>
      <w:r>
        <w:rPr>
          <w:rFonts w:hint="eastAsia"/>
          <w:b/>
          <w:bCs/>
          <w:color w:val="000000"/>
          <w:sz w:val="24"/>
        </w:rPr>
        <w:t>条   附则</w:t>
      </w:r>
    </w:p>
    <w:p>
      <w:pPr>
        <w:numPr>
          <w:ilvl w:val="255"/>
          <w:numId w:val="0"/>
        </w:numPr>
        <w:spacing w:line="460" w:lineRule="exact"/>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460" w:lineRule="exact"/>
        <w:rPr>
          <w:rFonts w:ascii="宋体" w:hAnsi="宋体" w:cs="宋体"/>
          <w:color w:val="000000"/>
          <w:sz w:val="24"/>
        </w:rPr>
      </w:pPr>
      <w:r>
        <w:rPr>
          <w:rFonts w:hint="eastAsia" w:ascii="宋体" w:hAnsi="宋体" w:cs="宋体"/>
          <w:color w:val="000000"/>
          <w:sz w:val="24"/>
        </w:rPr>
        <w:t>力，是本合同不可分割的部分。</w:t>
      </w:r>
    </w:p>
    <w:p>
      <w:pPr>
        <w:spacing w:line="460" w:lineRule="exact"/>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5</w:t>
      </w:r>
      <w:r>
        <w:rPr>
          <w:rFonts w:hint="eastAsia" w:ascii="宋体" w:hAnsi="宋体" w:cs="宋体"/>
          <w:color w:val="000000"/>
          <w:sz w:val="24"/>
          <w:u w:val="single"/>
        </w:rPr>
        <w:t xml:space="preserve"> </w:t>
      </w:r>
      <w:r>
        <w:rPr>
          <w:rFonts w:hint="eastAsia" w:ascii="宋体" w:hAnsi="宋体" w:cs="宋体"/>
          <w:color w:val="000000"/>
          <w:sz w:val="24"/>
        </w:rPr>
        <w:t>份,买方执</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4</w:t>
      </w:r>
      <w:r>
        <w:rPr>
          <w:rFonts w:hint="eastAsia" w:ascii="宋体" w:hAnsi="宋体" w:cs="宋体"/>
          <w:color w:val="000000"/>
          <w:sz w:val="24"/>
        </w:rPr>
        <w:t xml:space="preserve">份，卖方执 </w:t>
      </w:r>
      <w:r>
        <w:rPr>
          <w:rFonts w:hint="eastAsia" w:ascii="宋体" w:hAnsi="宋体" w:cs="宋体"/>
          <w:color w:val="000000"/>
          <w:sz w:val="24"/>
          <w:u w:val="single"/>
        </w:rPr>
        <w:t xml:space="preserve"> 1 </w:t>
      </w:r>
      <w:r>
        <w:rPr>
          <w:rFonts w:hint="eastAsia" w:ascii="宋体" w:hAnsi="宋体" w:cs="宋体"/>
          <w:color w:val="000000"/>
          <w:sz w:val="24"/>
        </w:rPr>
        <w:t>份,经买卖双方授权代表签字盖章之时</w:t>
      </w:r>
      <w:r>
        <w:rPr>
          <w:rFonts w:hint="eastAsia"/>
          <w:color w:val="000000"/>
          <w:sz w:val="24"/>
        </w:rPr>
        <w:t>起生效。</w:t>
      </w:r>
    </w:p>
    <w:p>
      <w:pPr>
        <w:rPr>
          <w:rFonts w:hint="default"/>
          <w:lang w:val="en-US" w:eastAsia="zh-CN"/>
        </w:rPr>
      </w:pPr>
      <w:r>
        <w:rPr>
          <w:rFonts w:hint="default"/>
          <w:lang w:val="en-US" w:eastAsia="zh-CN"/>
        </w:rPr>
        <w:br w:type="page"/>
      </w:r>
    </w:p>
    <w:p>
      <w:pPr>
        <w:jc w:val="center"/>
        <w:rPr>
          <w:rFonts w:hint="eastAsia" w:ascii="黑体" w:hAnsi="黑体" w:eastAsia="黑体" w:cs="黑体"/>
          <w:sz w:val="32"/>
          <w:szCs w:val="32"/>
        </w:rPr>
      </w:pPr>
      <w:r>
        <w:rPr>
          <w:rFonts w:hint="eastAsia" w:ascii="黑体" w:hAnsi="黑体" w:eastAsia="黑体" w:cs="黑体"/>
          <w:sz w:val="32"/>
          <w:szCs w:val="32"/>
        </w:rPr>
        <w:t>安全协议</w:t>
      </w:r>
    </w:p>
    <w:p>
      <w:pPr>
        <w:pStyle w:val="2"/>
        <w:rPr>
          <w:rFonts w:hint="eastAsia" w:ascii="宋体" w:hAnsi="宋体" w:eastAsia="宋体" w:cs="宋体"/>
          <w:sz w:val="24"/>
          <w:szCs w:val="20"/>
        </w:rPr>
      </w:pPr>
    </w:p>
    <w:p>
      <w:pPr>
        <w:adjustRightInd w:val="0"/>
        <w:snapToGrid w:val="0"/>
        <w:spacing w:line="31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协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第一条：项目名称：</w:t>
      </w:r>
      <w:r>
        <w:rPr>
          <w:rFonts w:hint="eastAsia" w:ascii="宋体" w:hAnsi="宋体" w:eastAsia="宋体" w:cs="宋体"/>
          <w:sz w:val="28"/>
          <w:szCs w:val="28"/>
          <w:lang w:val="en-US" w:eastAsia="zh-CN"/>
        </w:rPr>
        <w:t>湖南港产科技有限公司新港片区户外LED显示屏询价采购</w:t>
      </w:r>
      <w:r>
        <w:rPr>
          <w:rFonts w:hint="eastAsia" w:ascii="宋体" w:hAnsi="宋体" w:eastAsia="宋体" w:cs="宋体"/>
          <w:sz w:val="28"/>
          <w:szCs w:val="28"/>
        </w:rPr>
        <w:t>。</w:t>
      </w:r>
    </w:p>
    <w:p>
      <w:pPr>
        <w:adjustRightInd w:val="0"/>
        <w:snapToGrid w:val="0"/>
        <w:spacing w:line="31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第二条：本协议内容只涉及甲乙双方在本项目中关于安全生产的权利和责任。</w:t>
      </w:r>
    </w:p>
    <w:p>
      <w:pPr>
        <w:adjustRightInd w:val="0"/>
        <w:snapToGrid w:val="0"/>
        <w:spacing w:line="312"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第三条：甲方的权利：</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（一）有权要求乙方建立安全组织机构或指定专人负责作业现场安全监督检查。严格执行安全生产法律、法规、条例、标准，遵守甲方的安全生产规章制度等。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（二）有权按规定对乙方安全业绩、资质进行审查，对乙方针对作业项目制定的职业健康安全、环境项目进行审查并备案。</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（三）有权要求乙方在项目施工过程中保护好施工区域内甲方的安全生产设施、设备和器材。</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（四）有权要求乙方在进入甲方现场作业前所有作业人员接受甲方的安全培训与教育。</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（五）有权对乙方的作业现场的安全作业情况进行监督检查，有权对乙方不符合安全生产要求的行为进行制止、纠正、处罚、停止作业</w:t>
      </w:r>
      <w:r>
        <w:rPr>
          <w:rFonts w:hint="eastAsia" w:ascii="宋体" w:hAnsi="宋体" w:eastAsia="宋体" w:cs="宋体"/>
          <w:sz w:val="28"/>
          <w:szCs w:val="28"/>
          <w:lang w:eastAsia="zh-CN"/>
        </w:rPr>
        <w:t>直至</w:t>
      </w:r>
      <w:r>
        <w:rPr>
          <w:rFonts w:hint="eastAsia" w:ascii="宋体" w:hAnsi="宋体" w:eastAsia="宋体" w:cs="宋体"/>
          <w:sz w:val="28"/>
          <w:szCs w:val="28"/>
        </w:rPr>
        <w:t>清退出场。</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（六）有权要求乙方所有作业人员必须</w:t>
      </w:r>
      <w:r>
        <w:rPr>
          <w:rFonts w:hint="eastAsia" w:ascii="宋体" w:hAnsi="宋体" w:eastAsia="宋体" w:cs="宋体"/>
          <w:sz w:val="28"/>
          <w:szCs w:val="28"/>
          <w:lang w:eastAsia="zh-CN"/>
        </w:rPr>
        <w:t>缴纳</w:t>
      </w:r>
      <w:r>
        <w:rPr>
          <w:rFonts w:hint="eastAsia" w:ascii="宋体" w:hAnsi="宋体" w:eastAsia="宋体" w:cs="宋体"/>
          <w:sz w:val="28"/>
          <w:szCs w:val="28"/>
        </w:rPr>
        <w:t>工伤保险和意外伤害保险。</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第四条：甲方的责任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（一）认真贯彻落实国家有关法律、法规、标准及甲方公司安全生产规章制度。</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（二）向乙方明确作业区（甲方港内）的范围、危险源及安全技术交底，并要有书面记录。</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（三）在甲方港内为乙方提供项目合同中规定的安全作业条件。</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（四）在甲方港内发生事故时，积极协助抢险，防止事故扩大，并按照甲方公司有关规定进行报告。</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第五条：乙方的权利</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（一）有权对甲方的安全工作提出合理化建议和改进意见。</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（二）日常作业中，若甲方违章指挥、强令乙方冒险作业，有权拒绝执行。</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（三）有权要求在甲方港内提供符合安全作业的工艺条件和环境。</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（四）发生严重危及乙方生命安全的紧急情况时，乙方有权采取必要的避险措施。</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第六条：乙方的责任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（一）乙方是本项目的安全生产责任主体，对本项目的安全生产工作全面负责。</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（二）健全安全组织机构，建立安全生产责任制，制定健全的安全生产规章制度，制定生产安全事故</w:t>
      </w:r>
      <w:r>
        <w:rPr>
          <w:rFonts w:hint="eastAsia" w:ascii="宋体" w:hAnsi="宋体" w:eastAsia="宋体" w:cs="宋体"/>
          <w:sz w:val="28"/>
          <w:szCs w:val="28"/>
          <w:lang w:eastAsia="zh-CN"/>
        </w:rPr>
        <w:t>应急救援</w:t>
      </w:r>
      <w:r>
        <w:rPr>
          <w:rFonts w:hint="eastAsia" w:ascii="宋体" w:hAnsi="宋体" w:eastAsia="宋体" w:cs="宋体"/>
          <w:sz w:val="28"/>
          <w:szCs w:val="28"/>
        </w:rPr>
        <w:t>预案，配备必要的安全生产管理人员和劳动保护用品，严格执行甲方相关的规章制度。</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（三）应对作业人员进行作业前安全教育培训，使其具备相应的安全意识和安全技能；特种作业人员应具有相应的资格证书。</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（四）不得使用不符合国家、行业标准和甲方规定的原材料、设备、装置、防护用品、器材、安全检测仪器等。所使用的特种设备，必须经具有专业资质的检验检测机构检测。经检测不合格的，不得继续使用。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（五）指定专人负责现场安全监督检查工作，认真开展安全检查，发现作业过程中人的不安全行为及事故安全隐患，应采取有效措施积极处理。</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（六）乙方有责任对作业区域的安全生产条件进行详细了解。</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（七）乙方在作业过程中有属于危及安全生产的关键作业时，应提出切实可行的方案，经甲方同意后，方可实施。</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（八）乙方在甲方港内作业期间只能在甲方规定的路线进出公司，只能在规定的区域内作业，禁止私自进入甲方</w:t>
      </w:r>
      <w:r>
        <w:rPr>
          <w:rFonts w:hint="eastAsia" w:ascii="宋体" w:hAnsi="宋体" w:eastAsia="宋体" w:cs="宋体"/>
          <w:sz w:val="28"/>
          <w:szCs w:val="28"/>
          <w:lang w:eastAsia="zh-CN"/>
        </w:rPr>
        <w:t>其他生产</w:t>
      </w:r>
      <w:r>
        <w:rPr>
          <w:rFonts w:hint="eastAsia" w:ascii="宋体" w:hAnsi="宋体" w:eastAsia="宋体" w:cs="宋体"/>
          <w:sz w:val="28"/>
          <w:szCs w:val="28"/>
        </w:rPr>
        <w:t>区域。</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（九）乙方应服从甲方单位的安全管理。</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（十）发生事故时，乙方应积极抢险，避免事故的进一步扩大，并按照国家相关要求报告事故。</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十一）当乙方在甲方港内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第七条  违约责任及处理</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（一）甲乙双方违反本合同要求，未造成事故时，依据相关合同对违约者进行处理（包括但不限于支付违约金、赔偿损失等）。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（二）在甲方港内发生事故时，甲、乙双方有抢险、救灾的责任，所发生的费用由责任方承担。</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 xml:space="preserve">（三）发生的事故，应经事故调查确认责任；事故报告和调查应按照国家和甲方有关规定进行。           </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（四）甲方违约造成的事故，甲方承担全部责任，并按规定追究有关人员责任及上报。</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（五）乙方违约造成的事故，乙方承担全部责任，并按规定追究有关人员责任并报告甲方。</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（六）甲、乙双方共同造成的事故，按双方责任大小承担相应责任，并按规定追究有关人员责任。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（七）对乙方发生事故后弄虚作假、隐瞒不报、迟报或谎报，一经查出，按有关规定从重处罚，情节严重的，甲方有权向当地政府安全生产监督管理部门报告，并取消其进入甲方市场资格。</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（八）作业期间，需要办理的有关安全的批文</w:t>
      </w:r>
      <w:r>
        <w:rPr>
          <w:rFonts w:hint="eastAsia" w:ascii="宋体" w:hAnsi="宋体" w:eastAsia="宋体" w:cs="宋体"/>
          <w:sz w:val="28"/>
          <w:szCs w:val="28"/>
          <w:lang w:eastAsia="zh-CN"/>
        </w:rPr>
        <w:t>或其他</w:t>
      </w:r>
      <w:r>
        <w:rPr>
          <w:rFonts w:hint="eastAsia" w:ascii="宋体" w:hAnsi="宋体" w:eastAsia="宋体" w:cs="宋体"/>
          <w:sz w:val="28"/>
          <w:szCs w:val="28"/>
        </w:rPr>
        <w:t>手续，乙方必须办理齐全，否则发生安全事故由乙方承担全部责任。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第八条：由于不可抗力造成合同项目作业事故及生产的损失，当事人双方各自承担相应的损失。</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第九条：甲乙双方的作业人员和机具设备的保险，由甲乙双方依据国家相关规定或约定各自承担。</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第十条  本协议履行过程中发生争议纠纷，应通过友好协商方式解决，如协商不成，按双方在项目经济合同中约定的管辖地和纠纷解决的方式执行。</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第十一条：本协议是项目经济合同的附件，与项目经济合同具有同等法律效力。本协议与项目经济合同同时生效、终止。</w:t>
      </w:r>
    </w:p>
    <w:p>
      <w:pPr>
        <w:numPr>
          <w:ilvl w:val="0"/>
          <w:numId w:val="5"/>
        </w:num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 xml:space="preserve"> 乙方人员进场前安全教育培训人员；乙方作业期间指定现场安全监护人员。</w:t>
      </w:r>
    </w:p>
    <w:p>
      <w:pPr>
        <w:pStyle w:val="2"/>
        <w:ind w:firstLine="0"/>
        <w:rPr>
          <w:rFonts w:hint="eastAsia" w:ascii="宋体" w:hAnsi="宋体" w:eastAsia="宋体" w:cs="宋体"/>
        </w:rPr>
      </w:pPr>
      <w:r>
        <w:rPr>
          <w:rFonts w:hint="eastAsia" w:ascii="宋体" w:hAnsi="宋体" w:eastAsia="宋体" w:cs="宋体"/>
        </w:rPr>
        <w:br w:type="page"/>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廉政协议</w:t>
      </w:r>
    </w:p>
    <w:p>
      <w:pPr>
        <w:pStyle w:val="2"/>
        <w:rPr>
          <w:rFonts w:hint="eastAsia" w:ascii="宋体" w:hAnsi="宋体" w:eastAsia="宋体" w:cs="宋体"/>
        </w:rPr>
      </w:pPr>
    </w:p>
    <w:p>
      <w:pPr>
        <w:adjustRightInd w:val="0"/>
        <w:snapToGrid w:val="0"/>
        <w:spacing w:line="312" w:lineRule="auto"/>
        <w:ind w:firstLine="480"/>
        <w:jc w:val="left"/>
        <w:rPr>
          <w:rFonts w:hint="eastAsia" w:ascii="宋体" w:hAnsi="宋体" w:eastAsia="宋体" w:cs="宋体"/>
          <w:sz w:val="28"/>
          <w:szCs w:val="28"/>
        </w:rPr>
      </w:pPr>
      <w:bookmarkStart w:id="32" w:name="_Toc282076315"/>
      <w:bookmarkStart w:id="33" w:name="_Toc30686"/>
      <w:bookmarkStart w:id="34" w:name="_Toc21390"/>
      <w:r>
        <w:rPr>
          <w:rFonts w:hint="eastAsia" w:ascii="宋体" w:hAnsi="宋体" w:eastAsia="宋体" w:cs="宋体"/>
          <w:sz w:val="28"/>
          <w:szCs w:val="28"/>
        </w:rPr>
        <w:t>为做好工程建设中的党风廉政建设，保证工程建设高效优质、建设资金的安全和投资效益，以及双方合作的公平和公正，预防甲方利益受到双方经济合同之外各种不正当行为的损害，根据国家有关项目建设的法律法规和廉政建设规定，签订本廉政协议，以资共同遵守。</w:t>
      </w:r>
    </w:p>
    <w:p>
      <w:pPr>
        <w:adjustRightInd w:val="0"/>
        <w:snapToGrid w:val="0"/>
        <w:spacing w:line="312" w:lineRule="auto"/>
        <w:ind w:firstLine="480"/>
        <w:jc w:val="left"/>
        <w:rPr>
          <w:rFonts w:hint="eastAsia" w:ascii="宋体" w:hAnsi="宋体" w:eastAsia="宋体" w:cs="宋体"/>
          <w:sz w:val="28"/>
          <w:szCs w:val="28"/>
        </w:rPr>
      </w:pPr>
      <w:r>
        <w:rPr>
          <w:rFonts w:hint="eastAsia" w:ascii="宋体" w:hAnsi="宋体" w:eastAsia="宋体" w:cs="宋体"/>
          <w:sz w:val="28"/>
          <w:szCs w:val="28"/>
        </w:rPr>
        <w:t>第一条  甲乙双方的责任</w:t>
      </w:r>
      <w:bookmarkEnd w:id="32"/>
      <w:bookmarkEnd w:id="33"/>
      <w:bookmarkEnd w:id="34"/>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（一）应严格遵守国家关于市场准入、项目招标投标、工程建设和市场活动等有关法律、法规，相关政策，以及廉政建设的各项规定。</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（二）严格执行建设工程项目相关合同文件，自觉按合同办事。</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（三）业务活动必须坚持公开、公平、公正、诚信、透明的原则，不得为获取不正当的利益，损害国家、集体和对方利益。</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（四）发现对方在业务活动中有违规、违纪、违法行为的，应及时提醒对方，情节严重的，应向其上级主管部门或纪检监察部门进行举报。</w:t>
      </w:r>
    </w:p>
    <w:p>
      <w:pPr>
        <w:adjustRightInd w:val="0"/>
        <w:snapToGrid w:val="0"/>
        <w:spacing w:line="312" w:lineRule="auto"/>
        <w:ind w:firstLine="480"/>
        <w:rPr>
          <w:rFonts w:hint="eastAsia" w:ascii="宋体" w:hAnsi="宋体" w:eastAsia="宋体" w:cs="宋体"/>
          <w:sz w:val="28"/>
          <w:szCs w:val="28"/>
        </w:rPr>
      </w:pPr>
      <w:bookmarkStart w:id="35" w:name="_Toc22406"/>
      <w:bookmarkStart w:id="36" w:name="_Toc282076316"/>
      <w:bookmarkStart w:id="37" w:name="_Toc25742"/>
      <w:r>
        <w:rPr>
          <w:rFonts w:hint="eastAsia" w:ascii="宋体" w:hAnsi="宋体" w:eastAsia="宋体" w:cs="宋体"/>
          <w:sz w:val="28"/>
          <w:szCs w:val="28"/>
        </w:rPr>
        <w:t>第二条  甲方的责任</w:t>
      </w:r>
      <w:bookmarkEnd w:id="35"/>
      <w:bookmarkEnd w:id="36"/>
      <w:bookmarkEnd w:id="37"/>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甲方工作人员，在工程建设的事前、事中、事后应遵守以下规定：</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（一）不得向乙方索要或接受回扣、礼金、有价证券、贵重物品和好处费、感谢费等。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（二）不得在乙方报销任何应由个人支付的费用。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（三）不得要求或接受乙方为其个人装修住房或为其配偶、子女的工作安排以及出国（境）、旅游等提供方便。</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（四）不得参加有可能影响公正执行公务的乙方的宴请、健身和娱乐等活动。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（五）不得向乙方介绍或推荐其配偶、子女及其他亲属参与乙方同甲方建设项目有关的经济活动。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（六）不得以任何理由向乙方推荐分包单位或要求乙方购买项目合同规定以外的材料、设备和服务等。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其他</w:t>
      </w:r>
      <w:r>
        <w:rPr>
          <w:rFonts w:hint="eastAsia" w:ascii="宋体" w:hAnsi="宋体" w:eastAsia="宋体" w:cs="宋体"/>
          <w:sz w:val="28"/>
          <w:szCs w:val="28"/>
        </w:rPr>
        <w:t>与项目有关的党风廉政建设和预防腐败的规定。</w:t>
      </w:r>
    </w:p>
    <w:p>
      <w:pPr>
        <w:adjustRightInd w:val="0"/>
        <w:snapToGrid w:val="0"/>
        <w:spacing w:line="312" w:lineRule="auto"/>
        <w:ind w:firstLine="480"/>
        <w:rPr>
          <w:rFonts w:hint="eastAsia" w:ascii="宋体" w:hAnsi="宋体" w:eastAsia="宋体" w:cs="宋体"/>
          <w:sz w:val="28"/>
          <w:szCs w:val="28"/>
        </w:rPr>
      </w:pPr>
      <w:bookmarkStart w:id="38" w:name="_Toc14483"/>
      <w:bookmarkStart w:id="39" w:name="_Toc282076317"/>
      <w:bookmarkStart w:id="40" w:name="_Toc11848"/>
      <w:r>
        <w:rPr>
          <w:rFonts w:hint="eastAsia" w:ascii="宋体" w:hAnsi="宋体" w:eastAsia="宋体" w:cs="宋体"/>
          <w:sz w:val="28"/>
          <w:szCs w:val="28"/>
        </w:rPr>
        <w:t>第三条  乙方的责任</w:t>
      </w:r>
      <w:bookmarkEnd w:id="38"/>
      <w:bookmarkEnd w:id="39"/>
      <w:bookmarkEnd w:id="40"/>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应与甲方保持正常的业务交往，按照有关法律法规和程序开展业务工作，严格执行工程建设的有关方针、政策，并遵守以下规定：</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（一）不得以任何理由向甲方工作人员赠送礼金、有价证券、贵重物品和回扣、好处费、感谢费等。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（二）不得以任何理由为甲方工作人员报销应由其个人支付的费用。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（三）不得为甲方工作人员装修住房或为其配偶、子女的工作安排以及出国（境）、旅游等提供方便。</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（四）不得以任何理由邀请甲方工作人员参加有可能影响公正执行公务的宴请、健身、娱乐等活动。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（五）不得向乙方介绍或推荐其配偶、子女及其他亲属参与乙方同甲方建设项目有关的经济活动。</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（六）不得以任何理由向乙方推荐分包单位或要求乙方购买项目合同规定以外的材料、设备和服务等。</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其他</w:t>
      </w:r>
      <w:r>
        <w:rPr>
          <w:rFonts w:hint="eastAsia" w:ascii="宋体" w:hAnsi="宋体" w:eastAsia="宋体" w:cs="宋体"/>
          <w:sz w:val="28"/>
          <w:szCs w:val="28"/>
        </w:rPr>
        <w:t>与项目有关的党风廉政建设和预防腐败的规定。</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一）甲方工作人员有违反本合同第一、二条行为的，经调查属实，依据有关法律法规和规定给予党纪、政纪处分或组织处理；涉嫌犯罪的，移交司法机关追究刑事责任；给乙方造成经济损失的，甲方应予以赔偿。</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二）乙方工作人员有违反本合同第一、三条行为的，经调查属实，依据有关法律法规和规定给予以下相应处理；给甲方造成经济损失的，乙方应予以赔偿；情节严重的，甲方建议交通工程建设主管部门给予一至三年不得进入交通建设市场的处罚；涉嫌犯罪的，移交司法机关追究刑事责任。</w:t>
      </w:r>
    </w:p>
    <w:p>
      <w:pPr>
        <w:adjustRightInd w:val="0"/>
        <w:snapToGrid w:val="0"/>
        <w:spacing w:line="312" w:lineRule="auto"/>
        <w:ind w:firstLine="480"/>
        <w:rPr>
          <w:rFonts w:hint="eastAsia" w:ascii="宋体" w:hAnsi="宋体" w:eastAsia="宋体" w:cs="宋体"/>
          <w:sz w:val="28"/>
          <w:szCs w:val="28"/>
        </w:rPr>
      </w:pPr>
      <w:r>
        <w:rPr>
          <w:rFonts w:hint="eastAsia" w:ascii="宋体" w:hAnsi="宋体" w:eastAsia="宋体" w:cs="宋体"/>
          <w:sz w:val="28"/>
          <w:szCs w:val="28"/>
        </w:rPr>
        <w:t>（三）双方约定：本合同由甲方或甲方上级单位的纪检监察机关负责监督执行。由甲方或甲方上级单位的纪检监察机关约请乙方行业主管部门的纪检监察机关对本合同执行情况进行检查，提出在本合同规定范围内的裁定意见。</w:t>
      </w:r>
    </w:p>
    <w:p>
      <w:pPr>
        <w:adjustRightInd w:val="0"/>
        <w:snapToGrid w:val="0"/>
        <w:spacing w:line="312" w:lineRule="auto"/>
        <w:ind w:firstLine="480"/>
        <w:rPr>
          <w:rFonts w:hint="eastAsia" w:ascii="宋体" w:hAnsi="宋体" w:eastAsia="宋体" w:cs="宋体"/>
          <w:sz w:val="28"/>
          <w:szCs w:val="28"/>
        </w:rPr>
      </w:pPr>
      <w:bookmarkStart w:id="41" w:name="_Toc9354"/>
      <w:bookmarkStart w:id="42" w:name="_Toc28966"/>
      <w:r>
        <w:rPr>
          <w:rFonts w:hint="eastAsia" w:ascii="宋体" w:hAnsi="宋体" w:eastAsia="宋体" w:cs="宋体"/>
          <w:sz w:val="28"/>
          <w:szCs w:val="28"/>
        </w:rPr>
        <w:t>第五条：本合同作为甲、乙双方主合同的附件，与主合同具有同等法律效力。经双方签署后立即生效，项目决算审计后合同效力终止</w:t>
      </w:r>
      <w:bookmarkEnd w:id="41"/>
      <w:bookmarkEnd w:id="42"/>
      <w:r>
        <w:rPr>
          <w:rFonts w:hint="eastAsia" w:ascii="宋体" w:hAnsi="宋体" w:eastAsia="宋体" w:cs="宋体"/>
          <w:sz w:val="28"/>
          <w:szCs w:val="28"/>
        </w:rPr>
        <w:t>。</w:t>
      </w:r>
    </w:p>
    <w:p>
      <w:pPr>
        <w:pStyle w:val="2"/>
      </w:pPr>
    </w:p>
    <w:tbl>
      <w:tblPr>
        <w:tblStyle w:val="16"/>
        <w:tblW w:w="957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3315"/>
        <w:gridCol w:w="1470"/>
        <w:gridCol w:w="3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73"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after="160" w:line="600" w:lineRule="exact"/>
              <w:jc w:val="center"/>
              <w:rPr>
                <w:rFonts w:ascii="宋体" w:hAnsi="宋体" w:cs="宋体"/>
                <w:kern w:val="0"/>
                <w:sz w:val="28"/>
                <w:szCs w:val="28"/>
              </w:rPr>
            </w:pPr>
            <w:r>
              <w:rPr>
                <w:rFonts w:hint="eastAsia" w:ascii="宋体" w:hAnsi="宋体" w:cs="宋体"/>
                <w:kern w:val="0"/>
                <w:sz w:val="28"/>
                <w:szCs w:val="28"/>
              </w:rPr>
              <w:t>甲    方</w:t>
            </w:r>
          </w:p>
        </w:tc>
        <w:tc>
          <w:tcPr>
            <w:tcW w:w="4701"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after="160" w:line="600" w:lineRule="exact"/>
              <w:jc w:val="center"/>
              <w:rPr>
                <w:rFonts w:ascii="宋体" w:hAnsi="宋体" w:cs="宋体"/>
                <w:kern w:val="0"/>
                <w:sz w:val="28"/>
                <w:szCs w:val="28"/>
              </w:rPr>
            </w:pPr>
            <w:r>
              <w:rPr>
                <w:rFonts w:hint="eastAsia" w:ascii="宋体" w:hAnsi="宋体" w:cs="宋体"/>
                <w:kern w:val="0"/>
                <w:sz w:val="28"/>
                <w:szCs w:val="28"/>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单位名称：（章）</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default" w:ascii="宋体" w:hAnsi="宋体" w:eastAsia="宋体" w:cs="宋体"/>
                <w:kern w:val="0"/>
                <w:sz w:val="28"/>
                <w:szCs w:val="28"/>
                <w:lang w:val="en-US" w:eastAsia="zh-CN"/>
              </w:rPr>
            </w:pPr>
            <w:r>
              <w:rPr>
                <w:rFonts w:hint="eastAsia" w:ascii="宋体" w:hAnsi="宋体" w:cs="宋体"/>
                <w:kern w:val="0"/>
                <w:sz w:val="28"/>
                <w:szCs w:val="28"/>
              </w:rPr>
              <w:t>湖南港产科技有限公司</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单位名称： （章）</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单位地址</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default" w:ascii="宋体" w:hAnsi="宋体" w:eastAsia="宋体" w:cs="宋体"/>
                <w:kern w:val="0"/>
                <w:sz w:val="28"/>
                <w:szCs w:val="28"/>
                <w:lang w:val="en-US" w:eastAsia="zh-CN"/>
              </w:rPr>
            </w:pPr>
            <w:r>
              <w:rPr>
                <w:rFonts w:hint="eastAsia" w:ascii="宋体" w:hAnsi="宋体" w:cs="宋体"/>
                <w:kern w:val="0"/>
                <w:sz w:val="28"/>
                <w:szCs w:val="28"/>
              </w:rPr>
              <w:t>岳阳市城陵矶长江路二号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单位地址</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法定代表</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法定代表</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委托代理人</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委托代理人</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电话</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default" w:ascii="宋体" w:hAnsi="宋体" w:eastAsia="宋体" w:cs="宋体"/>
                <w:kern w:val="0"/>
                <w:sz w:val="28"/>
                <w:szCs w:val="28"/>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电话</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开户银行</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default" w:ascii="宋体" w:hAnsi="宋体" w:eastAsia="宋体" w:cs="宋体"/>
                <w:kern w:val="0"/>
                <w:sz w:val="28"/>
                <w:szCs w:val="28"/>
                <w:lang w:val="en-US" w:eastAsia="zh-CN"/>
              </w:rPr>
            </w:pPr>
            <w:r>
              <w:rPr>
                <w:rFonts w:hint="eastAsia" w:ascii="宋体" w:hAnsi="宋体" w:cs="宋体"/>
                <w:kern w:val="0"/>
                <w:sz w:val="28"/>
                <w:szCs w:val="28"/>
              </w:rPr>
              <w:t>岳阳市建行城陵矶支行</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开户银行</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lang w:eastAsia="zh-CN"/>
              </w:rPr>
              <w:t>账号</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default" w:ascii="宋体" w:hAnsi="宋体" w:eastAsia="宋体" w:cs="宋体"/>
                <w:kern w:val="0"/>
                <w:sz w:val="28"/>
                <w:szCs w:val="28"/>
                <w:lang w:val="en-US" w:eastAsia="zh-CN"/>
              </w:rPr>
            </w:pPr>
            <w:r>
              <w:rPr>
                <w:rFonts w:hint="eastAsia" w:ascii="宋体" w:hAnsi="宋体" w:cs="宋体"/>
                <w:color w:val="000000"/>
                <w:sz w:val="28"/>
                <w:szCs w:val="28"/>
              </w:rPr>
              <w:t>43050166628600000536</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lang w:eastAsia="zh-CN"/>
              </w:rPr>
              <w:t>账号</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税号</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default" w:ascii="宋体" w:hAnsi="宋体" w:eastAsia="宋体" w:cs="宋体"/>
                <w:kern w:val="0"/>
                <w:sz w:val="28"/>
                <w:szCs w:val="28"/>
                <w:lang w:val="en-US" w:eastAsia="zh-CN"/>
              </w:rPr>
            </w:pPr>
            <w:r>
              <w:rPr>
                <w:rFonts w:hint="eastAsia" w:ascii="宋体" w:hAnsi="宋体" w:cs="宋体"/>
                <w:color w:val="000000"/>
                <w:sz w:val="28"/>
                <w:szCs w:val="28"/>
              </w:rPr>
              <w:t>91430600M</w:t>
            </w:r>
            <w:r>
              <w:rPr>
                <w:rFonts w:hint="eastAsia" w:ascii="宋体" w:hAnsi="宋体" w:cs="宋体"/>
                <w:color w:val="000000"/>
                <w:sz w:val="28"/>
                <w:szCs w:val="28"/>
                <w:lang w:val="en-US" w:eastAsia="zh-CN"/>
              </w:rPr>
              <w:t>A</w:t>
            </w:r>
            <w:r>
              <w:rPr>
                <w:rFonts w:hint="eastAsia" w:ascii="宋体" w:hAnsi="宋体" w:cs="宋体"/>
                <w:color w:val="000000"/>
                <w:sz w:val="28"/>
                <w:szCs w:val="28"/>
              </w:rPr>
              <w:t>7FA45M0B</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税号</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邮编</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hint="eastAsia" w:ascii="宋体" w:hAnsi="宋体" w:eastAsia="宋体" w:cs="宋体"/>
                <w:kern w:val="0"/>
                <w:sz w:val="28"/>
                <w:szCs w:val="28"/>
                <w:lang w:val="en-US" w:eastAsia="zh-CN"/>
              </w:rPr>
            </w:pPr>
            <w:r>
              <w:rPr>
                <w:rFonts w:hint="eastAsia" w:ascii="宋体" w:hAnsi="宋体" w:cs="宋体"/>
                <w:kern w:val="0"/>
                <w:sz w:val="28"/>
                <w:szCs w:val="28"/>
              </w:rPr>
              <w:t>414002</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r>
              <w:rPr>
                <w:rFonts w:hint="eastAsia" w:ascii="宋体" w:hAnsi="宋体" w:cs="宋体"/>
                <w:kern w:val="0"/>
                <w:sz w:val="28"/>
                <w:szCs w:val="28"/>
              </w:rPr>
              <w:t>邮编</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600" w:lineRule="exact"/>
              <w:jc w:val="left"/>
              <w:rPr>
                <w:rFonts w:ascii="宋体" w:hAnsi="宋体" w:cs="宋体"/>
                <w:kern w:val="0"/>
                <w:sz w:val="28"/>
                <w:szCs w:val="28"/>
              </w:rPr>
            </w:pPr>
          </w:p>
        </w:tc>
      </w:tr>
    </w:tbl>
    <w:p>
      <w:pPr>
        <w:rPr>
          <w:rFonts w:hint="default"/>
          <w:lang w:val="en-US" w:eastAsia="zh-CN"/>
        </w:rPr>
      </w:pPr>
      <w:r>
        <w:rPr>
          <w:rFonts w:hint="default"/>
          <w:lang w:val="en-US" w:eastAsia="zh-CN"/>
        </w:rPr>
        <w:br w:type="page"/>
      </w:r>
    </w:p>
    <w:p>
      <w:pPr>
        <w:pStyle w:val="2"/>
      </w:pPr>
    </w:p>
    <w:p>
      <w:pPr>
        <w:spacing w:line="360" w:lineRule="auto"/>
        <w:jc w:val="center"/>
        <w:outlineLvl w:val="0"/>
        <w:rPr>
          <w:rFonts w:hint="eastAsia"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after="0"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采购项目名称 :</w:t>
      </w:r>
      <w:r>
        <w:rPr>
          <w:rFonts w:hint="eastAsia" w:ascii="宋体" w:hAnsi="宋体"/>
          <w:b w:val="0"/>
          <w:bCs w:val="0"/>
          <w:color w:val="000000" w:themeColor="text1"/>
          <w:sz w:val="24"/>
          <w:lang w:val="en-US" w:eastAsia="zh-CN"/>
          <w14:textFill>
            <w14:solidFill>
              <w14:schemeClr w14:val="tx1"/>
            </w14:solidFill>
          </w14:textFill>
        </w:rPr>
        <w:t>湖南港产科技有限公司新港片区户外LED显示屏</w:t>
      </w:r>
      <w:r>
        <w:rPr>
          <w:rFonts w:hint="eastAsia" w:ascii="宋体" w:hAnsi="宋体" w:cs="Times New Roman"/>
          <w:b w:val="0"/>
          <w:bCs w:val="0"/>
          <w:color w:val="000000" w:themeColor="text1"/>
          <w:sz w:val="24"/>
          <w14:textFill>
            <w14:solidFill>
              <w14:schemeClr w14:val="tx1"/>
            </w14:solidFill>
          </w14:textFill>
        </w:rPr>
        <w:t>采购</w:t>
      </w:r>
      <w:r>
        <w:rPr>
          <w:rFonts w:hint="eastAsia" w:ascii="宋体" w:hAnsi="宋体" w:cs="Times New Roman"/>
          <w:b w:val="0"/>
          <w:bCs w:val="0"/>
          <w:color w:val="000000" w:themeColor="text1"/>
          <w:sz w:val="24"/>
          <w:lang w:val="en-US" w:eastAsia="zh-CN"/>
          <w14:textFill>
            <w14:solidFill>
              <w14:schemeClr w14:val="tx1"/>
            </w14:solidFill>
          </w14:textFill>
        </w:rPr>
        <w:t>项目</w:t>
      </w:r>
    </w:p>
    <w:p>
      <w:pPr>
        <w:pStyle w:val="2"/>
        <w:widowControl/>
        <w:numPr>
          <w:ilvl w:val="0"/>
          <w:numId w:val="0"/>
        </w:numPr>
        <w:autoSpaceDE w:val="0"/>
        <w:spacing w:after="0" w:line="360" w:lineRule="auto"/>
        <w:jc w:val="left"/>
        <w:rPr>
          <w:rFonts w:hint="default" w:ascii="宋体" w:hAnsi="宋体" w:eastAsia="宋体" w:cs="宋体"/>
          <w:b/>
          <w:bCs/>
          <w:color w:val="000000"/>
          <w:sz w:val="24"/>
          <w:szCs w:val="24"/>
          <w:highlight w:val="none"/>
          <w:lang w:val="en-US" w:eastAsia="zh-CN"/>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二</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eastAsia="zh-CN"/>
          <w14:textFill>
            <w14:solidFill>
              <w14:schemeClr w14:val="tx1"/>
            </w14:solidFill>
          </w14:textFill>
        </w:rPr>
        <w:t>、</w:t>
      </w:r>
      <w:r>
        <w:rPr>
          <w:rFonts w:hint="eastAsia" w:ascii="宋体" w:hAnsi="宋体" w:cs="宋体"/>
          <w:b/>
          <w:bCs/>
          <w:color w:val="000000"/>
          <w:sz w:val="24"/>
          <w:szCs w:val="24"/>
          <w:highlight w:val="none"/>
          <w:lang w:val="en-US" w:eastAsia="zh-CN"/>
        </w:rPr>
        <w:t>数量</w:t>
      </w:r>
      <w:r>
        <w:rPr>
          <w:rFonts w:hint="eastAsia" w:hAnsi="宋体" w:cs="宋体"/>
          <w:b/>
          <w:bCs/>
          <w:color w:val="000000"/>
          <w:sz w:val="24"/>
          <w:szCs w:val="24"/>
          <w:highlight w:val="none"/>
          <w:lang w:val="en-US" w:eastAsia="zh-CN"/>
        </w:rPr>
        <w:t>：</w:t>
      </w:r>
      <w:r>
        <w:rPr>
          <w:rFonts w:hint="eastAsia" w:hAnsi="宋体" w:cs="宋体"/>
          <w:b w:val="0"/>
          <w:bCs w:val="0"/>
          <w:color w:val="000000"/>
          <w:sz w:val="24"/>
          <w:szCs w:val="24"/>
          <w:highlight w:val="none"/>
          <w:u w:val="single"/>
          <w:lang w:val="en-US" w:eastAsia="zh-CN"/>
        </w:rPr>
        <w:t>1</w:t>
      </w:r>
      <w:r>
        <w:rPr>
          <w:rFonts w:hint="eastAsia" w:hAnsi="宋体" w:cs="宋体"/>
          <w:b w:val="0"/>
          <w:bCs w:val="0"/>
          <w:color w:val="000000"/>
          <w:sz w:val="24"/>
          <w:szCs w:val="24"/>
          <w:highlight w:val="none"/>
          <w:lang w:val="en-US" w:eastAsia="zh-CN"/>
        </w:rPr>
        <w:t>台户外LED显示屏</w:t>
      </w:r>
    </w:p>
    <w:p>
      <w:pPr>
        <w:pStyle w:val="2"/>
        <w:widowControl/>
        <w:numPr>
          <w:ilvl w:val="255"/>
          <w:numId w:val="0"/>
        </w:numPr>
        <w:autoSpaceDE w:val="0"/>
        <w:spacing w:after="0" w:line="360" w:lineRule="auto"/>
        <w:ind w:firstLine="0" w:firstLineChars="0"/>
        <w:jc w:val="both"/>
        <w:outlineLvl w:val="1"/>
        <w:rPr>
          <w:rFonts w:hint="eastAsia" w:ascii="宋体"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w:t>
      </w:r>
      <w:r>
        <w:rPr>
          <w:rFonts w:hint="eastAsia" w:hAnsi="宋体"/>
          <w:b/>
          <w:bCs/>
          <w:color w:val="000000" w:themeColor="text1"/>
          <w:sz w:val="24"/>
          <w:lang w:val="en-US" w:eastAsia="zh-CN"/>
          <w14:textFill>
            <w14:solidFill>
              <w14:schemeClr w14:val="tx1"/>
            </w14:solidFill>
          </w14:textFill>
        </w:rPr>
        <w:t>三</w:t>
      </w:r>
      <w:r>
        <w:rPr>
          <w:rFonts w:hint="eastAsia" w:hAnsi="宋体"/>
          <w:b/>
          <w:bCs/>
          <w:color w:val="000000" w:themeColor="text1"/>
          <w:sz w:val="24"/>
          <w14:textFill>
            <w14:solidFill>
              <w14:schemeClr w14:val="tx1"/>
            </w14:solidFill>
          </w14:textFill>
        </w:rPr>
        <w:t>）</w:t>
      </w:r>
      <w:r>
        <w:rPr>
          <w:rFonts w:hint="eastAsia"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技术规格、参数与要求：</w:t>
      </w:r>
    </w:p>
    <w:p>
      <w:pPr>
        <w:pStyle w:val="2"/>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1、LED显示屏参数：</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1.屏幕面积:5.76 m（W）×4.64 m(H)= 26.73㎡</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sz w:val="24"/>
          <w:szCs w:val="24"/>
          <w:lang w:val="en-US" w:eastAsia="zh-CN"/>
        </w:rPr>
        <w:t>像素点间距：4mm；</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3.模组尺寸：320mm×160mm；</w:t>
      </w:r>
    </w:p>
    <w:p>
      <w:pPr>
        <w:pStyle w:val="2"/>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4.像素密度：62500点/平米；需采用三合一封装技术。</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5.对比度：9000:1；</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6.最大亮度：≥6000cd/㎡；</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7.刷新率：1920Hz；</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8.发光点中心距偏差：≤0.8%；</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9.色温：1000K至20000K可调；</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11.水平视角≥150°，垂直视角≥140°；</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13.▲寿命典型值：≥120000h；</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14.▲静电电压衰减：≤2s；</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15.LED显示屏画面延迟≤500ns；</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16.平均失效间隔工作时间（MTBF）：≥100000h；</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17.▲正面IP防护等级：IP66；</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18.LED显示屏能效：符合GB21520-2015，能效一级；</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19.▲供电方式：支持电源均流DC4.5V~DC5V及电源双输出电压DC2.8V/DC3.8V；</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20.▲灯珠推力测试：随机选择LED灯珠，在灯珠四侧以水平夹角45°的方向施加推力12N，灯珠未破碎或脱落；</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21.整机阻燃测试，依据标准GB/T 2408-2008，GB/T 5169.16-2008，GB/T 4943.1-2011，UL94-2016进行测试符合V-1级标准；</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22.电源平均效率：按GB 20943-2013附录A的规定进行，在室温下，LED显示屏供电电源的功率因数不小于95%，转换效率不小于86%；</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24.▲具备防碰撞焊盘技术LED，支持模组级的 LED灯防撞灯保护装置,符合GB/T 20138-2006/IEC62262:2002要求；</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25.可实现远程监督控制，对可能发生的潜在故障记录日志,并向操作员发出警报信号；</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26.▲光生物安全：光生物安全及蓝光危害评估符合无危害类要求；</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27.支持监控自检功能，可实现LED单点检测、通讯检测、温度检测，电源检测，温度监控等功能；</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28.▲具备毛毛虫现象消除功能，显示画面无单列或单行像素失控现象且系统具备掉电储存功能。支持不关电热拔抢修功能。</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以上技术参数，须提供第三方权威机构出具的检测报告复印件并加盖乙方公章。（备注：技术参数可优于但不可低于此技术标准）</w:t>
      </w:r>
    </w:p>
    <w:p>
      <w:pPr>
        <w:pStyle w:val="2"/>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2、</w:t>
      </w:r>
      <w:r>
        <w:rPr>
          <w:rFonts w:hint="default" w:asciiTheme="minorEastAsia" w:hAnsiTheme="minorEastAsia"/>
          <w:b/>
          <w:bCs/>
          <w:sz w:val="24"/>
          <w:szCs w:val="24"/>
          <w:lang w:val="en-US" w:eastAsia="zh-CN"/>
        </w:rPr>
        <w:t>控制</w:t>
      </w:r>
      <w:r>
        <w:rPr>
          <w:rFonts w:hint="eastAsia" w:asciiTheme="minorEastAsia" w:hAnsiTheme="minorEastAsia"/>
          <w:b/>
          <w:bCs/>
          <w:sz w:val="24"/>
          <w:szCs w:val="24"/>
          <w:lang w:val="en-US" w:eastAsia="zh-CN"/>
        </w:rPr>
        <w:t>系统</w:t>
      </w:r>
    </w:p>
    <w:p>
      <w:pPr>
        <w:pStyle w:val="2"/>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2.1、支持带载 256×256 像素</w:t>
      </w:r>
    </w:p>
    <w:p>
      <w:pPr>
        <w:pStyle w:val="2"/>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2.2、支持8 个标准的 HUB75 接口，具有高稳定性和高可靠性，适用于多种环境的搭建。 </w:t>
      </w:r>
    </w:p>
    <w:p>
      <w:pPr>
        <w:pStyle w:val="2"/>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 xml:space="preserve">2.3、支持逐点亮色度校正，配合调试软件和 校正软件，对每个灯点的亮度和色度进行校正。  </w:t>
      </w:r>
    </w:p>
    <w:p>
      <w:pPr>
        <w:pStyle w:val="2"/>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2.4、支持快速亮暗线调节，在调试软件上进行快速亮暗线调节，用来消除灯板与灯板、箱体与箱体之间的缝隙。</w:t>
      </w:r>
    </w:p>
    <w:p>
      <w:pPr>
        <w:pStyle w:val="2"/>
        <w:numPr>
          <w:ilvl w:val="0"/>
          <w:numId w:val="0"/>
        </w:numPr>
        <w:ind w:firstLine="241" w:firstLineChars="100"/>
        <w:rPr>
          <w:rFonts w:hint="eastAsia" w:ascii="宋体" w:hAnsi="宋体" w:eastAsia="宋体" w:cs="宋体"/>
          <w:sz w:val="24"/>
        </w:rPr>
      </w:pPr>
      <w:r>
        <w:rPr>
          <w:rFonts w:hint="eastAsia" w:hAnsi="宋体" w:cs="宋体"/>
          <w:b/>
          <w:bCs/>
          <w:sz w:val="24"/>
          <w:lang w:eastAsia="zh-CN"/>
        </w:rPr>
        <w:t>（</w:t>
      </w:r>
      <w:r>
        <w:rPr>
          <w:rFonts w:hint="eastAsia" w:hAnsi="宋体" w:cs="宋体"/>
          <w:b/>
          <w:bCs/>
          <w:sz w:val="24"/>
          <w:lang w:val="en-US" w:eastAsia="zh-CN"/>
        </w:rPr>
        <w:t>四）</w:t>
      </w:r>
      <w:r>
        <w:rPr>
          <w:rFonts w:hint="eastAsia" w:ascii="宋体" w:hAnsi="宋体" w:cs="宋体"/>
          <w:b/>
          <w:bCs/>
          <w:sz w:val="24"/>
        </w:rPr>
        <w:t>验收标准和方法：</w:t>
      </w:r>
    </w:p>
    <w:p>
      <w:pPr>
        <w:pStyle w:val="2"/>
        <w:numPr>
          <w:ilvl w:val="0"/>
          <w:numId w:val="0"/>
        </w:numPr>
        <w:ind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hAnsi="宋体" w:cs="宋体"/>
          <w:sz w:val="24"/>
          <w:lang w:val="en-US" w:eastAsia="zh-CN"/>
        </w:rPr>
        <w:t>LED显示屏</w:t>
      </w:r>
      <w:r>
        <w:rPr>
          <w:rFonts w:hint="eastAsia" w:ascii="宋体" w:hAnsi="宋体" w:eastAsia="宋体" w:cs="宋体"/>
          <w:sz w:val="24"/>
          <w:lang w:val="en-US" w:eastAsia="zh-CN"/>
        </w:rPr>
        <w:t>为正规供货渠道</w:t>
      </w:r>
      <w:r>
        <w:rPr>
          <w:rFonts w:hint="eastAsia" w:ascii="宋体" w:hAnsi="宋体" w:eastAsia="宋体" w:cs="宋体"/>
          <w:sz w:val="24"/>
        </w:rPr>
        <w:t>，</w:t>
      </w:r>
      <w:r>
        <w:rPr>
          <w:rFonts w:hint="eastAsia" w:ascii="宋体" w:hAnsi="宋体" w:eastAsia="宋体" w:cs="宋体"/>
          <w:sz w:val="24"/>
          <w:lang w:eastAsia="zh-CN"/>
        </w:rPr>
        <w:t>提供</w:t>
      </w:r>
      <w:r>
        <w:rPr>
          <w:rFonts w:hint="eastAsia" w:ascii="宋体" w:hAnsi="宋体" w:eastAsia="宋体" w:cs="宋体"/>
          <w:sz w:val="24"/>
        </w:rPr>
        <w:t>产品合格证明</w:t>
      </w:r>
      <w:r>
        <w:rPr>
          <w:rFonts w:hint="eastAsia" w:ascii="宋体" w:hAnsi="宋体" w:eastAsia="宋体" w:cs="宋体"/>
          <w:sz w:val="24"/>
          <w:lang w:eastAsia="zh-CN"/>
        </w:rPr>
        <w:t>、</w:t>
      </w:r>
      <w:r>
        <w:rPr>
          <w:rFonts w:hint="eastAsia" w:ascii="宋体" w:hAnsi="宋体" w:eastAsia="宋体" w:cs="宋体"/>
          <w:sz w:val="24"/>
        </w:rPr>
        <w:t>质量证书</w:t>
      </w:r>
      <w:r>
        <w:rPr>
          <w:rFonts w:hint="eastAsia" w:ascii="宋体" w:hAnsi="宋体" w:eastAsia="宋体" w:cs="宋体"/>
          <w:sz w:val="24"/>
          <w:lang w:eastAsia="zh-CN"/>
        </w:rPr>
        <w:t>、</w:t>
      </w:r>
      <w:r>
        <w:rPr>
          <w:rFonts w:hint="eastAsia" w:ascii="宋体" w:hAnsi="宋体" w:eastAsia="宋体" w:cs="宋体"/>
          <w:sz w:val="24"/>
          <w:lang w:val="en-US" w:eastAsia="zh-CN"/>
        </w:rPr>
        <w:t>序列号</w:t>
      </w:r>
      <w:r>
        <w:rPr>
          <w:rFonts w:hint="eastAsia" w:hAnsi="宋体" w:cs="宋体"/>
          <w:sz w:val="24"/>
          <w:lang w:eastAsia="zh-CN"/>
        </w:rPr>
        <w:t>；</w:t>
      </w:r>
    </w:p>
    <w:p>
      <w:pPr>
        <w:autoSpaceDE w:val="0"/>
        <w:autoSpaceDN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LED显示屏（包含内部</w:t>
      </w:r>
      <w:r>
        <w:rPr>
          <w:rFonts w:hint="eastAsia" w:ascii="宋体" w:hAnsi="宋体" w:eastAsia="宋体" w:cs="宋体"/>
          <w:sz w:val="24"/>
          <w:u w:val="none"/>
        </w:rPr>
        <w:t>电器元件</w:t>
      </w:r>
      <w:r>
        <w:rPr>
          <w:rFonts w:hint="eastAsia" w:ascii="宋体" w:hAnsi="宋体" w:eastAsia="宋体" w:cs="宋体"/>
          <w:sz w:val="24"/>
          <w:lang w:val="en-US" w:eastAsia="zh-CN"/>
        </w:rPr>
        <w:t>）外观无破损；</w:t>
      </w:r>
    </w:p>
    <w:p>
      <w:pPr>
        <w:autoSpaceDE w:val="0"/>
        <w:autoSpaceDN w:val="0"/>
        <w:adjustRightIn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.在货到买方指定现场之日后，由买卖双方协商确定安装调试的日期的</w:t>
      </w:r>
      <w:r>
        <w:rPr>
          <w:rFonts w:hint="eastAsia" w:ascii="宋体" w:hAnsi="宋体" w:eastAsia="宋体" w:cs="宋体"/>
          <w:color w:val="000000"/>
          <w:kern w:val="0"/>
          <w:sz w:val="24"/>
          <w:u w:val="single"/>
          <w:lang w:val="en-US" w:eastAsia="zh-CN"/>
        </w:rPr>
        <w:t xml:space="preserve"> 3 </w:t>
      </w:r>
      <w:r>
        <w:rPr>
          <w:rFonts w:hint="eastAsia" w:ascii="宋体" w:hAnsi="宋体" w:eastAsia="宋体" w:cs="宋体"/>
          <w:color w:val="000000"/>
          <w:kern w:val="0"/>
          <w:sz w:val="24"/>
        </w:rPr>
        <w:t>日内，派遣技术人员按合同规定</w:t>
      </w:r>
      <w:r>
        <w:rPr>
          <w:rFonts w:hint="eastAsia" w:ascii="宋体" w:hAnsi="宋体" w:eastAsia="宋体" w:cs="宋体"/>
          <w:color w:val="000000"/>
          <w:kern w:val="0"/>
          <w:sz w:val="24"/>
          <w:lang w:val="en-US" w:eastAsia="zh-CN"/>
        </w:rPr>
        <w:t>提供</w:t>
      </w:r>
      <w:r>
        <w:rPr>
          <w:rFonts w:hint="eastAsia" w:ascii="宋体" w:hAnsi="宋体" w:eastAsia="宋体" w:cs="宋体"/>
          <w:color w:val="000000"/>
          <w:kern w:val="0"/>
          <w:sz w:val="24"/>
        </w:rPr>
        <w:t>设备的安装和调试</w:t>
      </w:r>
      <w:r>
        <w:rPr>
          <w:rFonts w:hint="eastAsia" w:ascii="宋体" w:hAnsi="宋体" w:eastAsia="宋体" w:cs="宋体"/>
          <w:color w:val="000000"/>
          <w:kern w:val="0"/>
          <w:sz w:val="24"/>
          <w:lang w:val="en-US" w:eastAsia="zh-CN"/>
        </w:rPr>
        <w:t>指导</w:t>
      </w:r>
      <w:r>
        <w:rPr>
          <w:rFonts w:hint="eastAsia" w:ascii="宋体" w:hAnsi="宋体" w:eastAsia="宋体" w:cs="宋体"/>
          <w:color w:val="000000"/>
          <w:kern w:val="0"/>
          <w:sz w:val="24"/>
        </w:rPr>
        <w:t>工作，并对买方人员进行为期不少于</w:t>
      </w:r>
      <w:r>
        <w:rPr>
          <w:rFonts w:hint="eastAsia" w:ascii="宋体" w:hAnsi="宋体" w:eastAsia="宋体" w:cs="宋体"/>
          <w:color w:val="000000"/>
          <w:kern w:val="0"/>
          <w:sz w:val="24"/>
          <w:u w:val="single"/>
        </w:rPr>
        <w:t xml:space="preserve"> 2 </w:t>
      </w:r>
      <w:r>
        <w:rPr>
          <w:rFonts w:hint="eastAsia" w:ascii="宋体" w:hAnsi="宋体" w:eastAsia="宋体" w:cs="宋体"/>
          <w:color w:val="000000"/>
          <w:kern w:val="0"/>
          <w:sz w:val="24"/>
        </w:rPr>
        <w:t>日的技术指导和现场培训，保证使设备达到预定的性能指标。</w:t>
      </w:r>
    </w:p>
    <w:p>
      <w:pPr>
        <w:spacing w:after="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4.安装调试完成后，设备运行正常，符合生产运行无故障天数达到</w:t>
      </w:r>
      <w:r>
        <w:rPr>
          <w:rFonts w:hint="eastAsia" w:ascii="宋体" w:hAnsi="宋体" w:eastAsia="宋体" w:cs="宋体"/>
          <w:b/>
          <w:bCs/>
          <w:sz w:val="24"/>
          <w:u w:val="single"/>
          <w:lang w:val="en-US" w:eastAsia="zh-CN"/>
        </w:rPr>
        <w:t>30</w:t>
      </w:r>
      <w:r>
        <w:rPr>
          <w:rFonts w:hint="eastAsia" w:ascii="宋体" w:hAnsi="宋体" w:eastAsia="宋体" w:cs="宋体"/>
          <w:sz w:val="24"/>
          <w:lang w:val="en-US" w:eastAsia="zh-CN"/>
        </w:rPr>
        <w:t>个工作日，验收合格。</w:t>
      </w:r>
    </w:p>
    <w:p>
      <w:pPr>
        <w:widowControl w:val="0"/>
        <w:numPr>
          <w:ilvl w:val="0"/>
          <w:numId w:val="0"/>
        </w:numPr>
        <w:spacing w:line="360" w:lineRule="auto"/>
        <w:ind w:firstLine="241" w:firstLineChars="100"/>
        <w:jc w:val="both"/>
        <w:outlineLvl w:val="1"/>
        <w:rPr>
          <w:rFonts w:hint="eastAsia" w:ascii="宋体" w:hAnsi="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五</w:t>
      </w:r>
      <w:r>
        <w:rPr>
          <w:rFonts w:hint="eastAsia" w:ascii="宋体" w:hAnsi="宋体" w:cs="宋体"/>
          <w:b/>
          <w:bCs/>
          <w:sz w:val="24"/>
          <w:lang w:eastAsia="zh-CN"/>
        </w:rPr>
        <w:t>）运输及交货期：</w:t>
      </w:r>
    </w:p>
    <w:p>
      <w:pPr>
        <w:pStyle w:val="2"/>
        <w:ind w:left="0" w:leftChars="0" w:firstLine="240" w:firstLineChars="100"/>
        <w:rPr>
          <w:rFonts w:hint="default"/>
          <w:lang w:val="en-US" w:eastAsia="zh-CN"/>
        </w:rPr>
      </w:pPr>
      <w:r>
        <w:rPr>
          <w:rFonts w:hint="eastAsia" w:hAnsi="宋体" w:cs="宋体"/>
          <w:i w:val="0"/>
          <w:iCs w:val="0"/>
          <w:sz w:val="24"/>
          <w:u w:val="none"/>
          <w:lang w:val="en-US" w:eastAsia="zh-CN"/>
        </w:rPr>
        <w:t>1、</w:t>
      </w:r>
      <w:r>
        <w:rPr>
          <w:rFonts w:hint="eastAsia" w:ascii="宋体" w:hAnsi="宋体" w:eastAsia="宋体" w:cs="宋体"/>
          <w:i w:val="0"/>
          <w:iCs w:val="0"/>
          <w:sz w:val="24"/>
          <w:u w:val="none"/>
          <w:lang w:val="en-US" w:eastAsia="zh-CN"/>
        </w:rPr>
        <w:t>产品运输费用由</w:t>
      </w:r>
      <w:r>
        <w:rPr>
          <w:rFonts w:hint="eastAsia" w:hAnsi="宋体" w:cs="宋体"/>
          <w:i w:val="0"/>
          <w:iCs w:val="0"/>
          <w:sz w:val="24"/>
          <w:u w:val="none"/>
          <w:lang w:val="en-US" w:eastAsia="zh-CN"/>
        </w:rPr>
        <w:t>供应商</w:t>
      </w:r>
      <w:r>
        <w:rPr>
          <w:rFonts w:hint="eastAsia" w:ascii="宋体" w:hAnsi="宋体" w:eastAsia="宋体" w:cs="宋体"/>
          <w:i w:val="0"/>
          <w:iCs w:val="0"/>
          <w:sz w:val="24"/>
          <w:u w:val="none"/>
          <w:lang w:val="en-US" w:eastAsia="zh-CN"/>
        </w:rPr>
        <w:t>承担</w:t>
      </w:r>
    </w:p>
    <w:p>
      <w:pPr>
        <w:spacing w:line="360" w:lineRule="auto"/>
        <w:ind w:firstLine="240" w:firstLineChars="1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交货期:合同签订后</w:t>
      </w:r>
      <w:r>
        <w:rPr>
          <w:rFonts w:hint="eastAsia" w:ascii="宋体" w:hAnsi="宋体" w:cs="宋体"/>
          <w:b w:val="0"/>
          <w:bCs w:val="0"/>
          <w:color w:val="auto"/>
          <w:kern w:val="2"/>
          <w:sz w:val="24"/>
          <w:szCs w:val="24"/>
          <w:u w:val="single"/>
          <w:lang w:val="en-US" w:eastAsia="zh-CN" w:bidi="ar-SA"/>
        </w:rPr>
        <w:t>7</w:t>
      </w:r>
      <w:r>
        <w:rPr>
          <w:rFonts w:hint="eastAsia" w:ascii="宋体" w:hAnsi="宋体" w:eastAsia="宋体" w:cs="宋体"/>
          <w:b w:val="0"/>
          <w:bCs w:val="0"/>
          <w:color w:val="auto"/>
          <w:kern w:val="2"/>
          <w:sz w:val="24"/>
          <w:szCs w:val="24"/>
          <w:lang w:val="en-US" w:eastAsia="zh-CN" w:bidi="ar-SA"/>
        </w:rPr>
        <w:t>个日历日内完成交货</w:t>
      </w:r>
    </w:p>
    <w:p>
      <w:pPr>
        <w:spacing w:line="360" w:lineRule="auto"/>
        <w:ind w:firstLine="240" w:firstLineChars="100"/>
        <w:rPr>
          <w:rFonts w:hint="default"/>
          <w:b/>
          <w:bCs/>
          <w:lang w:val="en-US" w:eastAsia="zh-CN"/>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交货地点:</w:t>
      </w:r>
      <w:r>
        <w:rPr>
          <w:rFonts w:hint="eastAsia" w:ascii="宋体" w:hAnsi="宋体" w:cs="宋体"/>
          <w:color w:val="auto"/>
          <w:kern w:val="2"/>
          <w:sz w:val="24"/>
          <w:szCs w:val="24"/>
          <w:lang w:val="en-US" w:eastAsia="zh-CN" w:bidi="ar-SA"/>
        </w:rPr>
        <w:t>由供应商负责运输至</w:t>
      </w:r>
      <w:r>
        <w:rPr>
          <w:rFonts w:hint="eastAsia" w:ascii="宋体" w:hAnsi="宋体" w:eastAsia="宋体" w:cs="宋体"/>
          <w:color w:val="auto"/>
          <w:kern w:val="2"/>
          <w:sz w:val="24"/>
          <w:szCs w:val="24"/>
          <w:lang w:val="en-US" w:eastAsia="zh-CN" w:bidi="ar-SA"/>
        </w:rPr>
        <w:t>岳阳城陵矶新港有限公司</w:t>
      </w:r>
    </w:p>
    <w:p>
      <w:pPr>
        <w:numPr>
          <w:ilvl w:val="255"/>
          <w:numId w:val="0"/>
        </w:numPr>
        <w:spacing w:line="360" w:lineRule="auto"/>
        <w:ind w:firstLine="241" w:firstLineChars="100"/>
        <w:outlineLvl w:val="1"/>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六</w:t>
      </w:r>
      <w:r>
        <w:rPr>
          <w:rFonts w:hint="eastAsia" w:ascii="宋体" w:hAnsi="宋体" w:cs="宋体"/>
          <w:b/>
          <w:bCs/>
          <w:sz w:val="24"/>
        </w:rPr>
        <w:t>）售后服务的要求：</w:t>
      </w:r>
    </w:p>
    <w:p>
      <w:pPr>
        <w:numPr>
          <w:ilvl w:val="0"/>
          <w:numId w:val="0"/>
        </w:numPr>
        <w:spacing w:after="0" w:line="360" w:lineRule="auto"/>
        <w:ind w:firstLine="240" w:firstLineChars="1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w:t>
      </w:r>
      <w:r>
        <w:rPr>
          <w:rFonts w:hint="eastAsia" w:ascii="宋体" w:hAnsi="宋体" w:eastAsia="宋体" w:cs="宋体"/>
          <w:sz w:val="24"/>
        </w:rPr>
        <w:t>安装调试及技术服务要求：</w:t>
      </w:r>
      <w:r>
        <w:rPr>
          <w:rFonts w:hint="eastAsia" w:ascii="宋体" w:hAnsi="宋体" w:cs="宋体"/>
          <w:sz w:val="24"/>
          <w:lang w:eastAsia="zh-CN"/>
        </w:rPr>
        <w:t>供应商</w:t>
      </w:r>
      <w:r>
        <w:rPr>
          <w:rFonts w:hint="eastAsia" w:ascii="宋体" w:hAnsi="宋体" w:eastAsia="宋体" w:cs="宋体"/>
          <w:sz w:val="24"/>
          <w:u w:val="none"/>
        </w:rPr>
        <w:t>应提供产品设备</w:t>
      </w:r>
      <w:r>
        <w:rPr>
          <w:rFonts w:hint="eastAsia" w:ascii="宋体" w:hAnsi="宋体" w:eastAsia="宋体" w:cs="宋体"/>
          <w:sz w:val="24"/>
          <w:u w:val="none"/>
          <w:lang w:val="en-US" w:eastAsia="zh-CN"/>
        </w:rPr>
        <w:t>安装技术指导</w:t>
      </w:r>
      <w:r>
        <w:rPr>
          <w:rFonts w:hint="eastAsia" w:ascii="宋体" w:hAnsi="宋体" w:eastAsia="宋体" w:cs="宋体"/>
          <w:sz w:val="24"/>
          <w:u w:val="none"/>
        </w:rPr>
        <w:t>服务。</w:t>
      </w:r>
    </w:p>
    <w:p>
      <w:pPr>
        <w:numPr>
          <w:ilvl w:val="0"/>
          <w:numId w:val="0"/>
        </w:numPr>
        <w:spacing w:after="0"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b w:val="0"/>
          <w:bCs w:val="0"/>
          <w:sz w:val="24"/>
        </w:rPr>
        <w:t>质保</w:t>
      </w:r>
      <w:r>
        <w:rPr>
          <w:rFonts w:hint="eastAsia" w:ascii="宋体" w:hAnsi="宋体" w:eastAsia="宋体" w:cs="宋体"/>
          <w:b w:val="0"/>
          <w:bCs w:val="0"/>
          <w:sz w:val="24"/>
          <w:lang w:eastAsia="zh-CN"/>
        </w:rPr>
        <w:t>期</w:t>
      </w:r>
      <w:r>
        <w:rPr>
          <w:rFonts w:hint="eastAsia" w:ascii="宋体" w:hAnsi="宋体" w:eastAsia="宋体" w:cs="宋体"/>
          <w:sz w:val="24"/>
        </w:rPr>
        <w:t>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5</w:t>
      </w:r>
      <w:r>
        <w:rPr>
          <w:rFonts w:hint="eastAsia" w:ascii="宋体" w:hAnsi="宋体" w:eastAsia="宋体" w:cs="宋体"/>
          <w:sz w:val="24"/>
        </w:rPr>
        <w:t>年</w:t>
      </w:r>
      <w:r>
        <w:rPr>
          <w:rFonts w:hint="eastAsia" w:ascii="宋体" w:hAnsi="宋体" w:eastAsia="宋体" w:cs="宋体"/>
          <w:sz w:val="24"/>
          <w:lang w:eastAsia="zh-CN"/>
        </w:rPr>
        <w:t>，</w:t>
      </w:r>
      <w:r>
        <w:rPr>
          <w:rFonts w:hint="eastAsia" w:ascii="宋体" w:hAnsi="宋体" w:eastAsia="宋体" w:cs="宋体"/>
          <w:b w:val="0"/>
          <w:bCs w:val="0"/>
          <w:color w:val="000000"/>
          <w:sz w:val="24"/>
          <w:szCs w:val="24"/>
          <w:highlight w:val="none"/>
          <w:u w:val="none"/>
          <w:lang w:val="en-US" w:eastAsia="zh-CN"/>
        </w:rPr>
        <w:t>质保期内</w:t>
      </w:r>
      <w:r>
        <w:rPr>
          <w:rFonts w:hint="eastAsia" w:ascii="宋体" w:hAnsi="宋体" w:cs="宋体"/>
          <w:b w:val="0"/>
          <w:bCs w:val="0"/>
          <w:color w:val="000000"/>
          <w:sz w:val="24"/>
          <w:szCs w:val="24"/>
          <w:highlight w:val="none"/>
          <w:u w:val="none"/>
          <w:lang w:val="en-US" w:eastAsia="zh-CN"/>
        </w:rPr>
        <w:t>产品</w:t>
      </w:r>
      <w:r>
        <w:rPr>
          <w:rFonts w:hint="eastAsia" w:ascii="宋体" w:hAnsi="宋体" w:eastAsia="宋体" w:cs="宋体"/>
          <w:b w:val="0"/>
          <w:bCs w:val="0"/>
          <w:color w:val="000000"/>
          <w:sz w:val="24"/>
          <w:szCs w:val="24"/>
          <w:highlight w:val="none"/>
          <w:u w:val="none"/>
          <w:lang w:val="en-US" w:eastAsia="zh-CN"/>
        </w:rPr>
        <w:t>关键部位配件损坏，</w:t>
      </w:r>
      <w:r>
        <w:rPr>
          <w:rFonts w:hint="eastAsia" w:ascii="宋体" w:hAnsi="宋体" w:cs="宋体"/>
          <w:b w:val="0"/>
          <w:bCs w:val="0"/>
          <w:color w:val="000000"/>
          <w:sz w:val="24"/>
          <w:szCs w:val="24"/>
          <w:highlight w:val="none"/>
          <w:u w:val="none"/>
          <w:lang w:val="en-US" w:eastAsia="zh-CN"/>
        </w:rPr>
        <w:t>供应商</w:t>
      </w:r>
      <w:r>
        <w:rPr>
          <w:rFonts w:hint="eastAsia" w:ascii="宋体" w:hAnsi="宋体" w:eastAsia="宋体" w:cs="宋体"/>
          <w:b w:val="0"/>
          <w:bCs w:val="0"/>
          <w:color w:val="000000"/>
          <w:sz w:val="24"/>
          <w:szCs w:val="24"/>
          <w:highlight w:val="none"/>
          <w:u w:val="none"/>
          <w:lang w:val="en-US" w:eastAsia="zh-CN"/>
        </w:rPr>
        <w:t>必须免费进行更换。</w:t>
      </w:r>
    </w:p>
    <w:p>
      <w:pPr>
        <w:pStyle w:val="3"/>
        <w:numPr>
          <w:ilvl w:val="0"/>
          <w:numId w:val="0"/>
        </w:numPr>
        <w:spacing w:after="0" w:line="360" w:lineRule="auto"/>
        <w:ind w:left="0" w:firstLine="240" w:firstLineChars="100"/>
        <w:rPr>
          <w:rFonts w:hint="eastAsia" w:ascii="宋体" w:hAnsi="宋体" w:eastAsia="宋体" w:cs="宋体"/>
          <w:b w:val="0"/>
          <w:bCs w:val="0"/>
          <w:color w:val="000000"/>
          <w:sz w:val="24"/>
          <w:szCs w:val="24"/>
          <w:highlight w:val="none"/>
          <w:u w:val="none"/>
          <w:lang w:val="en-US" w:eastAsia="zh-CN"/>
        </w:rPr>
      </w:pP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b w:val="0"/>
          <w:bCs w:val="0"/>
          <w:color w:val="000000"/>
          <w:sz w:val="24"/>
          <w:szCs w:val="24"/>
          <w:highlight w:val="none"/>
          <w:u w:val="none"/>
          <w:lang w:eastAsia="zh-CN"/>
        </w:rPr>
        <w:t>技术服务期限为</w:t>
      </w:r>
      <w:r>
        <w:rPr>
          <w:rFonts w:hint="eastAsia" w:ascii="宋体" w:hAnsi="宋体" w:eastAsia="宋体" w:cs="宋体"/>
          <w:b w:val="0"/>
          <w:bCs w:val="0"/>
          <w:color w:val="000000"/>
          <w:sz w:val="24"/>
          <w:szCs w:val="24"/>
          <w:highlight w:val="none"/>
          <w:u w:val="single"/>
          <w:lang w:val="en-US" w:eastAsia="zh-CN"/>
        </w:rPr>
        <w:t xml:space="preserve"> 1 </w:t>
      </w:r>
      <w:r>
        <w:rPr>
          <w:rFonts w:hint="eastAsia" w:ascii="宋体" w:hAnsi="宋体" w:eastAsia="宋体" w:cs="宋体"/>
          <w:b w:val="0"/>
          <w:bCs w:val="0"/>
          <w:color w:val="000000"/>
          <w:sz w:val="24"/>
          <w:szCs w:val="24"/>
          <w:highlight w:val="none"/>
          <w:u w:val="none"/>
          <w:lang w:val="en-US" w:eastAsia="zh-CN"/>
        </w:rPr>
        <w:t>年，服务期限内出现除使用不当的任何技术问题，投标方必须委派技术人员提供远程处理，必要时委派技术人员到达现场。</w:t>
      </w:r>
    </w:p>
    <w:p>
      <w:pPr>
        <w:pStyle w:val="3"/>
        <w:numPr>
          <w:ilvl w:val="0"/>
          <w:numId w:val="0"/>
        </w:numPr>
        <w:spacing w:after="0" w:line="360" w:lineRule="auto"/>
        <w:ind w:firstLine="240" w:firstLineChars="100"/>
        <w:rPr>
          <w:rFonts w:hint="eastAsia" w:ascii="宋体" w:hAnsi="宋体" w:cs="宋体"/>
        </w:rPr>
      </w:pPr>
      <w:r>
        <w:rPr>
          <w:rFonts w:hint="eastAsia" w:ascii="宋体" w:hAnsi="宋体" w:eastAsia="宋体" w:cs="宋体"/>
          <w:b w:val="0"/>
          <w:bCs w:val="0"/>
          <w:color w:val="000000"/>
          <w:sz w:val="24"/>
          <w:szCs w:val="24"/>
          <w:highlight w:val="none"/>
          <w:u w:val="none"/>
          <w:lang w:val="en-US" w:eastAsia="zh-CN"/>
        </w:rPr>
        <w:t>4</w:t>
      </w:r>
      <w:r>
        <w:rPr>
          <w:rFonts w:hint="eastAsia" w:ascii="宋体" w:hAnsi="宋体" w:cs="宋体"/>
          <w:b w:val="0"/>
          <w:bCs w:val="0"/>
          <w:color w:val="000000"/>
          <w:sz w:val="24"/>
          <w:szCs w:val="24"/>
          <w:highlight w:val="none"/>
          <w:u w:val="none"/>
          <w:lang w:val="en-US" w:eastAsia="zh-CN"/>
        </w:rPr>
        <w:t>、质保期内，</w:t>
      </w:r>
      <w:r>
        <w:rPr>
          <w:rFonts w:hint="eastAsia" w:ascii="宋体" w:hAnsi="宋体" w:cs="宋体"/>
          <w:sz w:val="24"/>
          <w:lang w:eastAsia="zh-CN"/>
        </w:rPr>
        <w:t>若因质量问题导致产品无法正常运行，供应商</w:t>
      </w:r>
      <w:r>
        <w:rPr>
          <w:rFonts w:hint="eastAsia" w:ascii="宋体" w:hAnsi="宋体" w:cs="宋体"/>
          <w:sz w:val="24"/>
        </w:rPr>
        <w:t>应在收到</w:t>
      </w:r>
      <w:r>
        <w:rPr>
          <w:rFonts w:hint="eastAsia" w:ascii="宋体" w:hAnsi="宋体" w:cs="宋体"/>
          <w:sz w:val="24"/>
          <w:lang w:eastAsia="zh-CN"/>
        </w:rPr>
        <w:t>采购人</w:t>
      </w:r>
      <w:r>
        <w:rPr>
          <w:rFonts w:hint="eastAsia" w:ascii="宋体" w:hAnsi="宋体" w:cs="宋体"/>
          <w:sz w:val="24"/>
        </w:rPr>
        <w:t>通知后</w:t>
      </w:r>
      <w:r>
        <w:rPr>
          <w:rFonts w:hint="eastAsia" w:ascii="宋体" w:hAnsi="宋体" w:cs="宋体"/>
          <w:sz w:val="24"/>
          <w:u w:val="single"/>
          <w:lang w:val="en-US" w:eastAsia="zh-CN"/>
        </w:rPr>
        <w:t xml:space="preserve"> 3 </w:t>
      </w:r>
      <w:r>
        <w:rPr>
          <w:rFonts w:hint="eastAsia" w:ascii="宋体" w:hAnsi="宋体" w:cs="宋体"/>
          <w:sz w:val="24"/>
        </w:rPr>
        <w:t>日内免费负责</w:t>
      </w:r>
      <w:r>
        <w:rPr>
          <w:rFonts w:hint="eastAsia" w:ascii="宋体" w:hAnsi="宋体" w:cs="宋体"/>
          <w:sz w:val="24"/>
          <w:lang w:eastAsia="zh-CN"/>
        </w:rPr>
        <w:t>指导</w:t>
      </w:r>
      <w:r>
        <w:rPr>
          <w:rFonts w:hint="eastAsia" w:ascii="宋体" w:hAnsi="宋体" w:cs="宋体"/>
          <w:sz w:val="24"/>
        </w:rPr>
        <w:t>修复</w:t>
      </w:r>
      <w:r>
        <w:rPr>
          <w:rFonts w:hint="eastAsia" w:ascii="宋体" w:hAnsi="宋体" w:cs="宋体"/>
          <w:sz w:val="24"/>
          <w:lang w:eastAsia="zh-CN"/>
        </w:rPr>
        <w:t>，若质量问题严重，供应商需对产品进行免费更换。</w:t>
      </w:r>
    </w:p>
    <w:p>
      <w:pPr>
        <w:pStyle w:val="2"/>
        <w:ind w:left="0" w:leftChars="0" w:firstLine="240" w:firstLineChars="100"/>
        <w:rPr>
          <w:rFonts w:hint="eastAsia"/>
          <w:lang w:val="en-US" w:eastAsia="zh-CN"/>
        </w:rPr>
      </w:pPr>
      <w:r>
        <w:rPr>
          <w:rFonts w:hint="eastAsia"/>
          <w:lang w:val="en-US" w:eastAsia="zh-CN"/>
        </w:rPr>
        <w:t>5、附质量承诺书。</w:t>
      </w:r>
    </w:p>
    <w:p>
      <w:pPr>
        <w:rPr>
          <w:rFonts w:hint="eastAsia"/>
          <w:lang w:val="en-US" w:eastAsia="zh-CN"/>
        </w:rPr>
      </w:pPr>
      <w:r>
        <w:rPr>
          <w:rFonts w:hint="eastAsia"/>
          <w:lang w:val="en-US" w:eastAsia="zh-CN"/>
        </w:rPr>
        <w:br w:type="page"/>
      </w:r>
    </w:p>
    <w:p>
      <w:pPr>
        <w:spacing w:line="360" w:lineRule="auto"/>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adjustRightInd/>
        <w:snapToGrid/>
        <w:spacing w:line="360" w:lineRule="auto"/>
        <w:jc w:val="center"/>
        <w:outlineLvl w:val="0"/>
        <w:rPr>
          <w:rFonts w:ascii="黑体" w:hAnsi="黑体" w:eastAsia="黑体" w:cs="仿宋"/>
          <w:sz w:val="36"/>
          <w:szCs w:val="36"/>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2"/>
        <w:spacing w:after="0" w:line="36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w:t>
      </w:r>
      <w:r>
        <w:rPr>
          <w:rFonts w:hint="eastAsia" w:hAnsi="宋体" w:cs="仿宋"/>
          <w:color w:val="000000" w:themeColor="text1"/>
          <w:szCs w:val="24"/>
          <w:lang w:eastAsia="zh-CN"/>
          <w14:textFill>
            <w14:solidFill>
              <w14:schemeClr w14:val="tx1"/>
            </w14:solidFill>
          </w14:textFill>
        </w:rPr>
        <w:t>、</w:t>
      </w:r>
      <w:r>
        <w:rPr>
          <w:rFonts w:hint="eastAsia" w:hAnsi="宋体" w:cs="仿宋"/>
          <w:color w:val="000000" w:themeColor="text1"/>
          <w:szCs w:val="24"/>
          <w14:textFill>
            <w14:solidFill>
              <w14:schemeClr w14:val="tx1"/>
            </w14:solidFill>
          </w14:textFill>
        </w:rPr>
        <w:t>商务与技术偏差表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36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szCs w:val="24"/>
        </w:rPr>
      </w:pPr>
      <w:r>
        <w:rPr>
          <w:rFonts w:hint="eastAsia" w:ascii="仿宋" w:hAnsi="仿宋" w:eastAsia="仿宋" w:cs="仿宋"/>
          <w:sz w:val="24"/>
          <w:szCs w:val="24"/>
        </w:rPr>
        <w:br w:type="page"/>
      </w:r>
    </w:p>
    <w:p>
      <w:pPr>
        <w:numPr>
          <w:ilvl w:val="0"/>
          <w:numId w:val="6"/>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w:t>
      </w:r>
      <w:r>
        <w:rPr>
          <w:rFonts w:hint="eastAsia" w:cs="仿宋" w:asciiTheme="minorEastAsia" w:hAnsiTheme="minorEastAsia" w:eastAsiaTheme="minorEastAsia"/>
          <w:sz w:val="24"/>
          <w:lang w:eastAsia="zh-CN"/>
        </w:rPr>
        <w:t>货物</w:t>
      </w:r>
      <w:r>
        <w:rPr>
          <w:rFonts w:hint="eastAsia" w:cs="仿宋" w:asciiTheme="minorEastAsia" w:hAnsiTheme="minorEastAsia" w:eastAsiaTheme="minorEastAsia"/>
          <w:sz w:val="24"/>
        </w:rPr>
        <w:t>，并按合同约定履行义务。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在第一章“采购公告”中规定的供应商不得存在的情形</w:t>
      </w:r>
      <w:r>
        <w:rPr>
          <w:rFonts w:hint="eastAsia" w:cs="仿宋" w:asciiTheme="minorEastAsia" w:hAnsiTheme="minorEastAsia" w:eastAsiaTheme="minorEastAsia"/>
          <w:sz w:val="24"/>
        </w:rPr>
        <w:t>。</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1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ind w:left="0"/>
        <w:jc w:val="left"/>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8"/>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8"/>
        </w:numPr>
        <w:spacing w:line="360" w:lineRule="auto"/>
        <w:ind w:left="420" w:leftChars="200"/>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报价表</w:t>
      </w:r>
    </w:p>
    <w:tbl>
      <w:tblPr>
        <w:tblStyle w:val="17"/>
        <w:tblW w:w="9636"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387"/>
        <w:gridCol w:w="1602"/>
        <w:gridCol w:w="612"/>
        <w:gridCol w:w="995"/>
        <w:gridCol w:w="715"/>
        <w:gridCol w:w="1191"/>
        <w:gridCol w:w="124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1387"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名称</w:t>
            </w:r>
          </w:p>
        </w:tc>
        <w:tc>
          <w:tcPr>
            <w:tcW w:w="1602"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规格型号</w:t>
            </w:r>
          </w:p>
        </w:tc>
        <w:tc>
          <w:tcPr>
            <w:tcW w:w="612"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995"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715"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税率</w:t>
            </w:r>
          </w:p>
        </w:tc>
        <w:tc>
          <w:tcPr>
            <w:tcW w:w="1191"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含税单价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247"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含税合价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397"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387"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电子机械</w:t>
            </w:r>
            <w:r>
              <w:rPr>
                <w:rFonts w:hint="eastAsia" w:ascii="宋体" w:hAnsi="宋体" w:cs="宋体"/>
                <w:color w:val="000000"/>
                <w:sz w:val="21"/>
                <w:szCs w:val="21"/>
                <w:highlight w:val="none"/>
                <w:lang w:val="en-US" w:eastAsia="zh-CN"/>
              </w:rPr>
              <w:t>式</w:t>
            </w:r>
            <w:r>
              <w:rPr>
                <w:rFonts w:hint="eastAsia" w:ascii="宋体" w:hAnsi="宋体" w:eastAsia="宋体" w:cs="宋体"/>
                <w:color w:val="000000"/>
                <w:sz w:val="21"/>
                <w:szCs w:val="21"/>
                <w:highlight w:val="none"/>
                <w:lang w:val="en-US" w:eastAsia="zh-CN"/>
              </w:rPr>
              <w:t>轮边制动器</w:t>
            </w:r>
          </w:p>
        </w:tc>
        <w:tc>
          <w:tcPr>
            <w:tcW w:w="1602"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p>
        </w:tc>
        <w:tc>
          <w:tcPr>
            <w:tcW w:w="612" w:type="dxa"/>
            <w:vAlign w:val="center"/>
          </w:tcPr>
          <w:p>
            <w:pPr>
              <w:pStyle w:val="2"/>
              <w:widowControl w:val="0"/>
              <w:spacing w:after="0" w:line="360" w:lineRule="auto"/>
              <w:ind w:firstLine="0" w:firstLineChars="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台</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24</w:t>
            </w:r>
          </w:p>
        </w:tc>
        <w:tc>
          <w:tcPr>
            <w:tcW w:w="715" w:type="dxa"/>
            <w:vAlign w:val="center"/>
          </w:tcPr>
          <w:p>
            <w:pPr>
              <w:widowControl/>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13%</w:t>
            </w: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1387"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配电柜</w:t>
            </w:r>
          </w:p>
        </w:tc>
        <w:tc>
          <w:tcPr>
            <w:tcW w:w="1602"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p>
        </w:tc>
        <w:tc>
          <w:tcPr>
            <w:tcW w:w="61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台</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6</w:t>
            </w:r>
          </w:p>
        </w:tc>
        <w:tc>
          <w:tcPr>
            <w:tcW w:w="715" w:type="dxa"/>
            <w:vAlign w:val="center"/>
          </w:tcPr>
          <w:p>
            <w:pPr>
              <w:widowControl/>
              <w:spacing w:line="360" w:lineRule="auto"/>
              <w:jc w:val="center"/>
              <w:rPr>
                <w:rFonts w:hint="eastAsia" w:ascii="宋体" w:hAnsi="宋体" w:eastAsia="宋体" w:cs="宋体"/>
                <w:sz w:val="22"/>
                <w:szCs w:val="22"/>
              </w:rPr>
            </w:pPr>
            <w:r>
              <w:rPr>
                <w:rFonts w:hint="eastAsia" w:ascii="宋体" w:hAnsi="宋体" w:cs="宋体"/>
                <w:sz w:val="22"/>
                <w:szCs w:val="22"/>
                <w:lang w:val="en-US" w:eastAsia="zh-CN"/>
              </w:rPr>
              <w:t>13%</w:t>
            </w: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1387"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安装支架</w:t>
            </w:r>
          </w:p>
        </w:tc>
        <w:tc>
          <w:tcPr>
            <w:tcW w:w="1602" w:type="dxa"/>
            <w:vAlign w:val="center"/>
          </w:tcPr>
          <w:p>
            <w:pPr>
              <w:widowControl w:val="0"/>
              <w:adjustRightInd w:val="0"/>
              <w:snapToGrid w:val="0"/>
              <w:spacing w:after="0" w:line="360" w:lineRule="auto"/>
              <w:jc w:val="center"/>
              <w:rPr>
                <w:rFonts w:hint="eastAsia" w:ascii="宋体" w:hAnsi="宋体" w:eastAsia="宋体" w:cs="宋体"/>
                <w:color w:val="000000"/>
                <w:kern w:val="2"/>
                <w:sz w:val="21"/>
                <w:szCs w:val="21"/>
                <w:highlight w:val="none"/>
                <w:lang w:val="en-US" w:eastAsia="zh-CN" w:bidi="ar-SA"/>
              </w:rPr>
            </w:pPr>
          </w:p>
        </w:tc>
        <w:tc>
          <w:tcPr>
            <w:tcW w:w="61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个</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24</w:t>
            </w:r>
          </w:p>
        </w:tc>
        <w:tc>
          <w:tcPr>
            <w:tcW w:w="715" w:type="dxa"/>
            <w:vAlign w:val="center"/>
          </w:tcPr>
          <w:p>
            <w:pPr>
              <w:widowControl/>
              <w:spacing w:line="360" w:lineRule="auto"/>
              <w:jc w:val="center"/>
              <w:rPr>
                <w:rFonts w:hint="eastAsia" w:ascii="宋体" w:hAnsi="宋体" w:eastAsia="宋体" w:cs="宋体"/>
                <w:sz w:val="22"/>
                <w:szCs w:val="22"/>
              </w:rPr>
            </w:pPr>
            <w:r>
              <w:rPr>
                <w:rFonts w:hint="eastAsia" w:ascii="宋体" w:hAnsi="宋体" w:cs="宋体"/>
                <w:sz w:val="22"/>
                <w:szCs w:val="22"/>
                <w:lang w:val="en-US" w:eastAsia="zh-CN"/>
              </w:rPr>
              <w:t>13%</w:t>
            </w: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0" w:type="dxa"/>
            <w:vAlign w:val="center"/>
          </w:tcPr>
          <w:p>
            <w:pPr>
              <w:widowControl/>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4</w:t>
            </w:r>
          </w:p>
        </w:tc>
        <w:tc>
          <w:tcPr>
            <w:tcW w:w="1387" w:type="dxa"/>
            <w:vAlign w:val="center"/>
          </w:tcPr>
          <w:p>
            <w:pPr>
              <w:pStyle w:val="2"/>
              <w:widowControl w:val="0"/>
              <w:spacing w:after="0" w:line="360" w:lineRule="auto"/>
              <w:ind w:firstLine="0" w:firstLineChars="0"/>
              <w:jc w:val="both"/>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w:t>
            </w:r>
          </w:p>
        </w:tc>
        <w:tc>
          <w:tcPr>
            <w:tcW w:w="1602" w:type="dxa"/>
            <w:vAlign w:val="center"/>
          </w:tcPr>
          <w:p>
            <w:pPr>
              <w:pStyle w:val="2"/>
              <w:widowControl w:val="0"/>
              <w:spacing w:after="0" w:line="360" w:lineRule="auto"/>
              <w:ind w:firstLine="0" w:firstLineChars="0"/>
              <w:jc w:val="center"/>
              <w:rPr>
                <w:rFonts w:hint="eastAsia" w:ascii="宋体" w:hAnsi="宋体" w:eastAsia="宋体" w:cs="宋体"/>
                <w:snapToGrid w:val="0"/>
                <w:kern w:val="24"/>
                <w:sz w:val="22"/>
                <w:szCs w:val="22"/>
                <w:vertAlign w:val="baseline"/>
                <w:lang w:val="en-US" w:eastAsia="zh-CN" w:bidi="ar-SA"/>
              </w:rPr>
            </w:pPr>
          </w:p>
        </w:tc>
        <w:tc>
          <w:tcPr>
            <w:tcW w:w="612" w:type="dxa"/>
            <w:vAlign w:val="center"/>
          </w:tcPr>
          <w:p>
            <w:pPr>
              <w:pStyle w:val="2"/>
              <w:widowControl w:val="0"/>
              <w:spacing w:after="0" w:line="360" w:lineRule="auto"/>
              <w:ind w:firstLine="0" w:firstLineChars="0"/>
              <w:jc w:val="center"/>
              <w:rPr>
                <w:rFonts w:hint="eastAsia" w:ascii="宋体" w:hAnsi="宋体" w:eastAsia="宋体" w:cs="宋体"/>
                <w:snapToGrid w:val="0"/>
                <w:kern w:val="24"/>
                <w:sz w:val="22"/>
                <w:szCs w:val="22"/>
                <w:vertAlign w:val="baseline"/>
                <w:lang w:val="en-US" w:eastAsia="zh-CN" w:bidi="ar-SA"/>
              </w:rPr>
            </w:pPr>
          </w:p>
        </w:tc>
        <w:tc>
          <w:tcPr>
            <w:tcW w:w="995" w:type="dxa"/>
            <w:vAlign w:val="center"/>
          </w:tcPr>
          <w:p>
            <w:pPr>
              <w:pStyle w:val="2"/>
              <w:widowControl w:val="0"/>
              <w:spacing w:after="0" w:line="360" w:lineRule="auto"/>
              <w:ind w:firstLine="0" w:firstLineChars="0"/>
              <w:jc w:val="center"/>
              <w:rPr>
                <w:rFonts w:hint="eastAsia" w:ascii="宋体" w:hAnsi="宋体" w:eastAsia="宋体" w:cs="宋体"/>
                <w:snapToGrid w:val="0"/>
                <w:kern w:val="24"/>
                <w:sz w:val="22"/>
                <w:szCs w:val="22"/>
                <w:vertAlign w:val="baseline"/>
                <w:lang w:val="en-US" w:eastAsia="zh-CN" w:bidi="ar-SA"/>
              </w:rPr>
            </w:pP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992" w:type="dxa"/>
            <w:gridSpan w:val="7"/>
            <w:vAlign w:val="center"/>
          </w:tcPr>
          <w:p>
            <w:pPr>
              <w:widowControl/>
              <w:spacing w:line="360" w:lineRule="auto"/>
              <w:jc w:val="center"/>
              <w:rPr>
                <w:rFonts w:hint="eastAsia" w:ascii="宋体" w:hAnsi="宋体" w:eastAsia="宋体" w:cs="宋体"/>
                <w:i w:val="0"/>
                <w:iCs w:val="0"/>
                <w:sz w:val="21"/>
                <w:szCs w:val="21"/>
              </w:rPr>
            </w:pPr>
            <w:r>
              <w:rPr>
                <w:rFonts w:hint="eastAsia" w:ascii="宋体" w:hAnsi="宋体" w:eastAsia="宋体" w:cs="宋体"/>
                <w:i w:val="0"/>
                <w:iCs w:val="0"/>
                <w:sz w:val="21"/>
                <w:szCs w:val="21"/>
                <w:lang w:eastAsia="zh-CN"/>
              </w:rPr>
              <w:t>含税总价（元）</w:t>
            </w:r>
          </w:p>
        </w:tc>
        <w:tc>
          <w:tcPr>
            <w:tcW w:w="2644" w:type="dxa"/>
            <w:gridSpan w:val="2"/>
            <w:vAlign w:val="center"/>
          </w:tcPr>
          <w:p>
            <w:pPr>
              <w:widowControl/>
              <w:spacing w:line="360" w:lineRule="auto"/>
              <w:ind w:firstLine="210" w:firstLineChars="100"/>
              <w:jc w:val="both"/>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lang w:val="en-US" w:eastAsia="zh-CN"/>
              </w:rPr>
              <w:t xml:space="preserve"> </w:t>
            </w:r>
            <w:r>
              <w:rPr>
                <w:rFonts w:hint="eastAsia" w:ascii="宋体" w:hAnsi="宋体" w:eastAsia="宋体" w:cs="宋体"/>
                <w:i w:val="0"/>
                <w:iCs w:val="0"/>
                <w:sz w:val="21"/>
                <w:szCs w:val="21"/>
                <w:u w:val="single"/>
                <w:lang w:val="en-US" w:eastAsia="zh-CN"/>
              </w:rPr>
              <w:t xml:space="preserve">         </w:t>
            </w:r>
          </w:p>
        </w:tc>
      </w:tr>
    </w:tbl>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我司承诺</w:t>
      </w:r>
      <w:r>
        <w:rPr>
          <w:rFonts w:hint="eastAsia" w:hAnsi="宋体" w:cs="宋体"/>
          <w:color w:val="000000"/>
          <w:kern w:val="2"/>
          <w:sz w:val="24"/>
          <w:szCs w:val="22"/>
          <w:highlight w:val="none"/>
          <w:lang w:val="en-US" w:eastAsia="zh-CN" w:bidi="ar-SA"/>
        </w:rPr>
        <w:t>按采购数量免费配备电缆等安装所需的辅材、配件</w:t>
      </w:r>
    </w:p>
    <w:p>
      <w:pPr>
        <w:spacing w:line="240" w:lineRule="auto"/>
        <w:jc w:val="left"/>
        <w:rPr>
          <w:rFonts w:hint="eastAsia" w:cs="仿宋" w:asciiTheme="minorEastAsia" w:hAnsiTheme="minorEastAsia" w:eastAsiaTheme="minorEastAsia"/>
          <w:sz w:val="24"/>
        </w:rPr>
      </w:pPr>
    </w:p>
    <w:p>
      <w:pPr>
        <w:spacing w:line="360" w:lineRule="auto"/>
        <w:ind w:firstLine="2880" w:firstLineChars="1200"/>
        <w:jc w:val="center"/>
        <w:outlineLvl w:val="0"/>
        <w:rPr>
          <w:rFonts w:hint="eastAsia" w:cs="仿宋" w:asciiTheme="minorEastAsia" w:hAnsiTheme="minorEastAsia" w:eastAsiaTheme="minorEastAsia"/>
          <w:sz w:val="24"/>
          <w:u w:val="single"/>
          <w:lang w:val="en-US" w:eastAsia="zh-CN"/>
        </w:rPr>
      </w:pPr>
      <w:r>
        <w:rPr>
          <w:rFonts w:hint="eastAsia" w:cs="仿宋" w:asciiTheme="minorEastAsia" w:hAnsiTheme="minorEastAsia" w:eastAsiaTheme="minorEastAsia"/>
          <w:sz w:val="24"/>
          <w:lang w:eastAsia="zh-CN"/>
        </w:rPr>
        <w:t>供应商名称（盖章）：</w:t>
      </w:r>
      <w:r>
        <w:rPr>
          <w:rFonts w:hint="eastAsia" w:cs="仿宋" w:asciiTheme="minorEastAsia" w:hAnsiTheme="minorEastAsia" w:eastAsiaTheme="minorEastAsia"/>
          <w:sz w:val="24"/>
          <w:u w:val="single"/>
          <w:lang w:val="en-US" w:eastAsia="zh-CN"/>
        </w:rPr>
        <w:t xml:space="preserve">              </w:t>
      </w:r>
    </w:p>
    <w:p>
      <w:pPr>
        <w:spacing w:line="360" w:lineRule="auto"/>
        <w:ind w:firstLine="3600" w:firstLineChars="1500"/>
        <w:jc w:val="righ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日</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供应商应根据供应商须知前附表第3.5（1）项和第3.5（2）项的要求提供主体资格证明及相关资质证明资料。供应商还应根据供应商须知前地表第3.5（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）项和第3.5（8）项的要求提供其他相关证明材料。</w:t>
      </w:r>
    </w:p>
    <w:p>
      <w:pPr>
        <w:spacing w:line="360" w:lineRule="auto"/>
        <w:jc w:val="both"/>
        <w:outlineLvl w:val="1"/>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（二）近年的类似项目情况表</w:t>
      </w:r>
      <w:r>
        <w:rPr>
          <w:rFonts w:hint="eastAsia" w:cs="仿宋" w:asciiTheme="minorEastAsia" w:hAnsiTheme="minorEastAsia" w:eastAsiaTheme="minorEastAsia"/>
          <w:sz w:val="24"/>
          <w:lang w:eastAsia="zh-CN"/>
        </w:rPr>
        <w:t>（至少提供</w:t>
      </w: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lang w:eastAsia="zh-CN"/>
        </w:rPr>
        <w:t>个）</w:t>
      </w:r>
    </w:p>
    <w:tbl>
      <w:tblPr>
        <w:tblStyle w:val="17"/>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1"/>
          <w:numId w:val="0"/>
        </w:num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供应商应根据供应商须知前附表第3.5（4）项的要求在本表后附相关证明材料。</w:t>
      </w:r>
    </w:p>
    <w:p>
      <w:pPr>
        <w:pStyle w:val="3"/>
        <w:numPr>
          <w:ilvl w:val="0"/>
          <w:numId w:val="0"/>
        </w:numPr>
        <w:rPr>
          <w:rFonts w:cs="仿宋" w:asciiTheme="minorEastAsia" w:hAnsiTheme="minorEastAsia" w:eastAsiaTheme="minorEastAsia"/>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类似项目是指与本项目</w:t>
      </w:r>
      <w:r>
        <w:rPr>
          <w:rFonts w:hint="eastAsia" w:ascii="宋体" w:hAnsi="宋体" w:eastAsia="宋体" w:cs="宋体"/>
          <w:b w:val="0"/>
          <w:bCs w:val="0"/>
          <w:sz w:val="24"/>
          <w:u w:val="single"/>
          <w:lang w:eastAsia="zh-CN"/>
        </w:rPr>
        <w:t>采购规模</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产品类型</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产品型号</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使用功能</w:t>
      </w:r>
      <w:r>
        <w:rPr>
          <w:rFonts w:hint="eastAsia" w:ascii="宋体" w:hAnsi="宋体" w:eastAsia="宋体" w:cs="宋体"/>
          <w:b w:val="0"/>
          <w:bCs w:val="0"/>
          <w:sz w:val="24"/>
          <w:lang w:eastAsia="zh-CN"/>
        </w:rPr>
        <w:t>等相近或相同的项目。</w:t>
      </w:r>
    </w:p>
    <w:p>
      <w:pPr>
        <w:rPr>
          <w:rFonts w:hint="eastAsia" w:ascii="黑体" w:hAnsi="黑体" w:eastAsia="黑体" w:cs="仿宋"/>
          <w:sz w:val="36"/>
          <w:szCs w:val="36"/>
        </w:rPr>
      </w:pPr>
      <w:r>
        <w:rPr>
          <w:rFonts w:hint="eastAsia" w:ascii="黑体" w:hAnsi="黑体" w:eastAsia="黑体" w:cs="仿宋"/>
          <w:sz w:val="36"/>
          <w:szCs w:val="36"/>
        </w:rPr>
        <w:br w:type="page"/>
      </w:r>
    </w:p>
    <w:p>
      <w:pPr>
        <w:adjustRightInd/>
        <w:snapToGrid/>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2"/>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r>
        <w:rPr>
          <w:rFonts w:hint="eastAsia" w:ascii="黑体" w:hAnsi="黑体" w:eastAsia="黑体" w:cs="仿宋"/>
          <w:sz w:val="36"/>
          <w:szCs w:val="36"/>
          <w:highlight w:val="none"/>
          <w:lang w:eastAsia="zh-CN"/>
        </w:rPr>
        <w:br w:type="page"/>
      </w:r>
    </w:p>
    <w:p>
      <w:pPr>
        <w:spacing w:line="360" w:lineRule="auto"/>
        <w:jc w:val="both"/>
        <w:rPr>
          <w:rFonts w:cs="仿宋" w:asciiTheme="minorEastAsia" w:hAnsiTheme="minorEastAsia" w:eastAsiaTheme="minorEastAsia"/>
          <w:sz w:val="24"/>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pPr>
    </w:p>
    <w:p>
      <w:pPr>
        <w:spacing w:line="360" w:lineRule="auto"/>
      </w:pPr>
    </w:p>
    <w:p>
      <w:pPr>
        <w:pStyle w:val="2"/>
        <w:ind w:left="0" w:leftChars="0" w:firstLine="240" w:firstLineChars="1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center" w:pos="4153"/>
                              <w:tab w:val="right" w:pos="8306"/>
                            </w:tabs>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tabs>
                        <w:tab w:val="center" w:pos="4153"/>
                        <w:tab w:val="right" w:pos="8306"/>
                      </w:tabs>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2"/>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33A7C"/>
    <w:multiLevelType w:val="singleLevel"/>
    <w:tmpl w:val="A7433A7C"/>
    <w:lvl w:ilvl="0" w:tentative="0">
      <w:start w:val="3"/>
      <w:numFmt w:val="chineseCounting"/>
      <w:suff w:val="space"/>
      <w:lvlText w:val="第%1条"/>
      <w:lvlJc w:val="left"/>
      <w:rPr>
        <w:rFonts w:hint="eastAsia"/>
      </w:rPr>
    </w:lvl>
  </w:abstractNum>
  <w:abstractNum w:abstractNumId="1">
    <w:nsid w:val="BE15A2A9"/>
    <w:multiLevelType w:val="singleLevel"/>
    <w:tmpl w:val="BE15A2A9"/>
    <w:lvl w:ilvl="0" w:tentative="0">
      <w:start w:val="2"/>
      <w:numFmt w:val="chineseCounting"/>
      <w:suff w:val="nothing"/>
      <w:lvlText w:val="（%1）"/>
      <w:lvlJc w:val="left"/>
      <w:rPr>
        <w:rFonts w:hint="eastAsia"/>
      </w:rPr>
    </w:lvl>
  </w:abstractNum>
  <w:abstractNum w:abstractNumId="2">
    <w:nsid w:val="BF19998F"/>
    <w:multiLevelType w:val="singleLevel"/>
    <w:tmpl w:val="BF19998F"/>
    <w:lvl w:ilvl="0" w:tentative="0">
      <w:start w:val="1"/>
      <w:numFmt w:val="decimal"/>
      <w:lvlText w:val="%1."/>
      <w:lvlJc w:val="left"/>
      <w:pPr>
        <w:tabs>
          <w:tab w:val="left" w:pos="312"/>
        </w:tabs>
      </w:pPr>
    </w:lvl>
  </w:abstractNum>
  <w:abstractNum w:abstractNumId="3">
    <w:nsid w:val="CCF6924D"/>
    <w:multiLevelType w:val="singleLevel"/>
    <w:tmpl w:val="CCF6924D"/>
    <w:lvl w:ilvl="0" w:tentative="0">
      <w:start w:val="12"/>
      <w:numFmt w:val="chineseCounting"/>
      <w:suff w:val="space"/>
      <w:lvlText w:val="第%1条"/>
      <w:lvlJc w:val="left"/>
      <w:rPr>
        <w:rFonts w:hint="eastAsia"/>
      </w:r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0868652B"/>
    <w:multiLevelType w:val="singleLevel"/>
    <w:tmpl w:val="0868652B"/>
    <w:lvl w:ilvl="0" w:tentative="0">
      <w:start w:val="2"/>
      <w:numFmt w:val="decimal"/>
      <w:suff w:val="nothing"/>
      <w:lvlText w:val="%1．"/>
      <w:lvlJc w:val="left"/>
    </w:lvl>
  </w:abstractNum>
  <w:abstractNum w:abstractNumId="6">
    <w:nsid w:val="1F6DBE5D"/>
    <w:multiLevelType w:val="singleLevel"/>
    <w:tmpl w:val="1F6DBE5D"/>
    <w:lvl w:ilvl="0" w:tentative="0">
      <w:start w:val="1"/>
      <w:numFmt w:val="decimal"/>
      <w:lvlText w:val="%1."/>
      <w:lvlJc w:val="left"/>
      <w:pPr>
        <w:tabs>
          <w:tab w:val="left" w:pos="312"/>
        </w:tabs>
      </w:pPr>
    </w:lvl>
  </w:abstractNum>
  <w:abstractNum w:abstractNumId="7">
    <w:nsid w:val="3601A173"/>
    <w:multiLevelType w:val="singleLevel"/>
    <w:tmpl w:val="3601A173"/>
    <w:lvl w:ilvl="0" w:tentative="0">
      <w:start w:val="1"/>
      <w:numFmt w:val="chineseCounting"/>
      <w:suff w:val="nothing"/>
      <w:lvlText w:val="%1、"/>
      <w:lvlJc w:val="left"/>
      <w:rPr>
        <w:rFonts w:hint="eastAsia"/>
      </w:rPr>
    </w:lvl>
  </w:abstractNum>
  <w:abstractNum w:abstractNumId="8">
    <w:nsid w:val="61DB71E9"/>
    <w:multiLevelType w:val="multilevel"/>
    <w:tmpl w:val="61DB71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8"/>
  </w:num>
  <w:num w:numId="2">
    <w:abstractNumId w:val="5"/>
  </w:num>
  <w:num w:numId="3">
    <w:abstractNumId w:val="0"/>
  </w:num>
  <w:num w:numId="4">
    <w:abstractNumId w:val="2"/>
  </w:num>
  <w:num w:numId="5">
    <w:abstractNumId w:val="3"/>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ZTJkMTI5N2U4MGJiZDRiODkxNWM3MWY3YzEwNGEifQ=="/>
  </w:docVars>
  <w:rsids>
    <w:rsidRoot w:val="00000000"/>
    <w:rsid w:val="014B2E9B"/>
    <w:rsid w:val="04F057C8"/>
    <w:rsid w:val="07DC3469"/>
    <w:rsid w:val="12C639D0"/>
    <w:rsid w:val="146B62F4"/>
    <w:rsid w:val="15296EA6"/>
    <w:rsid w:val="1BEE002F"/>
    <w:rsid w:val="1F9123D4"/>
    <w:rsid w:val="231E6161"/>
    <w:rsid w:val="236B764D"/>
    <w:rsid w:val="252C4420"/>
    <w:rsid w:val="294239E6"/>
    <w:rsid w:val="39561BD6"/>
    <w:rsid w:val="3AF576F6"/>
    <w:rsid w:val="40E65973"/>
    <w:rsid w:val="43A7763B"/>
    <w:rsid w:val="4E095585"/>
    <w:rsid w:val="4E411BE7"/>
    <w:rsid w:val="541D4E1A"/>
    <w:rsid w:val="59CD617A"/>
    <w:rsid w:val="72FA7564"/>
    <w:rsid w:val="794E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semiHidden/>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7">
    <w:name w:val="annotation text"/>
    <w:basedOn w:val="1"/>
    <w:semiHidden/>
    <w:qFormat/>
    <w:uiPriority w:val="0"/>
    <w:rPr>
      <w:rFonts w:asciiTheme="minorHAnsi" w:hAnsiTheme="minorHAnsi" w:eastAsiaTheme="minorEastAsia" w:cstheme="minorBidi"/>
    </w:rPr>
  </w:style>
  <w:style w:type="paragraph" w:styleId="8">
    <w:name w:val="Body Text Indent"/>
    <w:basedOn w:val="1"/>
    <w:qFormat/>
    <w:uiPriority w:val="0"/>
    <w:pPr>
      <w:spacing w:line="400" w:lineRule="exact"/>
      <w:ind w:firstLine="435"/>
    </w:pPr>
  </w:style>
  <w:style w:type="paragraph" w:styleId="9">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0">
    <w:name w:val="header"/>
    <w:basedOn w:val="1"/>
    <w:qFormat/>
    <w:uiPriority w:val="99"/>
    <w:pPr>
      <w:snapToGrid w:val="0"/>
    </w:pPr>
    <w:rPr>
      <w:rFonts w:asciiTheme="minorHAnsi" w:hAnsiTheme="minorHAnsi" w:eastAsiaTheme="minorEastAsia" w:cstheme="minorBidi"/>
      <w:sz w:val="18"/>
      <w:szCs w:val="18"/>
    </w:rPr>
  </w:style>
  <w:style w:type="paragraph" w:styleId="11">
    <w:name w:val="toc 1"/>
    <w:basedOn w:val="1"/>
    <w:next w:val="1"/>
    <w:semiHidden/>
    <w:qFormat/>
    <w:uiPriority w:val="0"/>
    <w:pPr>
      <w:tabs>
        <w:tab w:val="right" w:leader="dot" w:pos="9242"/>
      </w:tabs>
      <w:spacing w:beforeLines="25" w:afterLines="25"/>
    </w:pPr>
    <w:rPr>
      <w:rFonts w:ascii="宋体"/>
      <w:szCs w:val="21"/>
    </w:rPr>
  </w:style>
  <w:style w:type="paragraph" w:styleId="12">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toc 2"/>
    <w:basedOn w:val="1"/>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Normal (Web)"/>
    <w:basedOn w:val="1"/>
    <w:unhideWhenUsed/>
    <w:qFormat/>
    <w:uiPriority w:val="99"/>
    <w:pPr>
      <w:spacing w:before="100" w:beforeAutospacing="1" w:after="100" w:afterAutospacing="1"/>
    </w:pPr>
    <w:rPr>
      <w:rFonts w:ascii="宋体" w:hAnsi="宋体" w:cs="宋体"/>
      <w:kern w:val="0"/>
      <w:sz w:val="24"/>
    </w:rPr>
  </w:style>
  <w:style w:type="paragraph" w:styleId="15">
    <w:name w:val="Body Text First Indent 2"/>
    <w:basedOn w:val="8"/>
    <w:qFormat/>
    <w:uiPriority w:val="0"/>
    <w:pPr>
      <w:spacing w:after="120" w:line="240" w:lineRule="auto"/>
      <w:ind w:left="420" w:firstLine="210"/>
    </w:pPr>
    <w:rPr>
      <w:szCs w:val="20"/>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Hyperlink"/>
    <w:qFormat/>
    <w:uiPriority w:val="99"/>
    <w:rPr>
      <w:color w:val="0000FF"/>
      <w:spacing w:val="0"/>
      <w:w w:val="100"/>
      <w:szCs w:val="21"/>
      <w:u w:val="single"/>
      <w:lang w:val="en-US" w:eastAsia="zh-CN"/>
    </w:rPr>
  </w:style>
  <w:style w:type="character" w:styleId="21">
    <w:name w:val="footnote reference"/>
    <w:qFormat/>
    <w:uiPriority w:val="0"/>
    <w:rPr>
      <w:vertAlign w:val="superscript"/>
    </w:rPr>
  </w:style>
  <w:style w:type="paragraph" w:customStyle="1" w:styleId="22">
    <w:name w:val="列出段落1"/>
    <w:basedOn w:val="1"/>
    <w:qFormat/>
    <w:uiPriority w:val="34"/>
    <w:pPr>
      <w:ind w:firstLine="420" w:firstLineChars="200"/>
    </w:pPr>
  </w:style>
  <w:style w:type="paragraph" w:customStyle="1" w:styleId="23">
    <w:name w:val="_Style 2"/>
    <w:basedOn w:val="5"/>
    <w:next w:val="1"/>
    <w:qFormat/>
    <w:uiPriority w:val="0"/>
    <w:pPr>
      <w:spacing w:before="480" w:after="0" w:line="276" w:lineRule="auto"/>
      <w:outlineLvl w:val="9"/>
    </w:pPr>
    <w:rPr>
      <w:rFonts w:ascii="Cambria" w:hAnsi="Cambria"/>
      <w:color w:val="365F91"/>
      <w:kern w:val="0"/>
      <w:sz w:val="28"/>
      <w:szCs w:val="28"/>
    </w:rPr>
  </w:style>
  <w:style w:type="paragraph" w:styleId="24">
    <w:name w:val="List Paragraph"/>
    <w:basedOn w:val="1"/>
    <w:qFormat/>
    <w:uiPriority w:val="34"/>
    <w:pPr>
      <w:ind w:firstLine="420" w:firstLineChars="200"/>
    </w:pPr>
    <w:rPr>
      <w:rFonts w:ascii="宋体" w:hAnsi="宋体" w:cs="宋体"/>
      <w:kern w:val="0"/>
      <w:sz w:val="24"/>
    </w:rPr>
  </w:style>
  <w:style w:type="paragraph" w:customStyle="1" w:styleId="25">
    <w:name w:val="一级条标题"/>
    <w:next w:val="26"/>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6">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22224</Words>
  <Characters>24525</Characters>
  <Lines>0</Lines>
  <Paragraphs>0</Paragraphs>
  <TotalTime>20</TotalTime>
  <ScaleCrop>false</ScaleCrop>
  <LinksUpToDate>false</LinksUpToDate>
  <CharactersWithSpaces>26571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2022-09-06T02:11:00Z</dcterms:created>
  <dc:creator>lenovo</dc:creator>
  <cp:lastModifiedBy>勒哩</cp:lastModifiedBy>
  <dcterms:modified xsi:type="dcterms:W3CDTF">2022-09-13T07:19:31Z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488636A8FDB840DC99F1484968BA43BE</vt:lpwstr>
  </property>
</Properties>
</file>