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黑体" w:hAnsi="黑体" w:eastAsia="黑体"/>
          <w:b/>
          <w:bCs/>
          <w:sz w:val="52"/>
          <w:szCs w:val="52"/>
        </w:rPr>
      </w:pPr>
      <w:r>
        <w:rPr>
          <w:rFonts w:hint="eastAsia" w:ascii="黑体" w:hAnsi="黑体" w:eastAsia="黑体"/>
          <w:b/>
          <w:bCs/>
          <w:sz w:val="52"/>
          <w:szCs w:val="52"/>
        </w:rPr>
        <w:t>交通工作船建设项目图纸设计</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黑体" w:hAnsi="黑体" w:eastAsia="黑体"/>
          <w:b/>
          <w:bCs/>
          <w:sz w:val="52"/>
          <w:szCs w:val="52"/>
        </w:rPr>
      </w:pPr>
      <w:bookmarkStart w:id="0" w:name="_Toc26073"/>
      <w:bookmarkStart w:id="1" w:name="_Toc20850"/>
      <w:bookmarkStart w:id="2" w:name="_Toc14554"/>
      <w:r>
        <w:rPr>
          <w:rFonts w:hint="eastAsia" w:ascii="黑体" w:hAnsi="黑体" w:eastAsia="黑体"/>
          <w:b/>
          <w:bCs/>
          <w:sz w:val="52"/>
          <w:szCs w:val="52"/>
        </w:rPr>
        <w:t>询</w:t>
      </w:r>
      <w:r>
        <w:rPr>
          <w:rFonts w:hint="eastAsia" w:ascii="黑体" w:hAnsi="黑体" w:eastAsia="黑体"/>
          <w:b/>
          <w:bCs/>
          <w:sz w:val="52"/>
          <w:szCs w:val="52"/>
          <w:lang w:val="en-US" w:eastAsia="zh-CN"/>
        </w:rPr>
        <w:t xml:space="preserve"> </w:t>
      </w:r>
      <w:r>
        <w:rPr>
          <w:rFonts w:hint="eastAsia" w:ascii="黑体" w:hAnsi="黑体" w:eastAsia="黑体"/>
          <w:b/>
          <w:bCs/>
          <w:sz w:val="52"/>
          <w:szCs w:val="52"/>
        </w:rPr>
        <w:t>价</w:t>
      </w:r>
      <w:r>
        <w:rPr>
          <w:rFonts w:hint="eastAsia" w:ascii="黑体" w:hAnsi="黑体" w:eastAsia="黑体"/>
          <w:b/>
          <w:bCs/>
          <w:sz w:val="52"/>
          <w:szCs w:val="52"/>
          <w:lang w:val="en-US" w:eastAsia="zh-CN"/>
        </w:rPr>
        <w:t xml:space="preserve"> </w:t>
      </w:r>
      <w:r>
        <w:rPr>
          <w:rFonts w:hint="eastAsia" w:ascii="黑体" w:hAnsi="黑体" w:eastAsia="黑体"/>
          <w:b/>
          <w:bCs/>
          <w:sz w:val="52"/>
          <w:szCs w:val="52"/>
        </w:rPr>
        <w:t>采</w:t>
      </w:r>
      <w:r>
        <w:rPr>
          <w:rFonts w:hint="eastAsia" w:ascii="黑体" w:hAnsi="黑体" w:eastAsia="黑体"/>
          <w:b/>
          <w:bCs/>
          <w:sz w:val="52"/>
          <w:szCs w:val="52"/>
          <w:lang w:val="en-US" w:eastAsia="zh-CN"/>
        </w:rPr>
        <w:t xml:space="preserve"> </w:t>
      </w:r>
      <w:r>
        <w:rPr>
          <w:rFonts w:hint="eastAsia" w:ascii="黑体" w:hAnsi="黑体" w:eastAsia="黑体"/>
          <w:b/>
          <w:bCs/>
          <w:sz w:val="52"/>
          <w:szCs w:val="52"/>
        </w:rPr>
        <w:t>购</w:t>
      </w:r>
      <w:r>
        <w:rPr>
          <w:rFonts w:hint="eastAsia" w:ascii="黑体" w:hAnsi="黑体" w:eastAsia="黑体"/>
          <w:b/>
          <w:bCs/>
          <w:sz w:val="52"/>
          <w:szCs w:val="52"/>
          <w:lang w:val="en-US" w:eastAsia="zh-CN"/>
        </w:rPr>
        <w:t xml:space="preserve"> </w:t>
      </w:r>
      <w:r>
        <w:rPr>
          <w:rFonts w:hint="eastAsia" w:ascii="黑体" w:hAnsi="黑体" w:eastAsia="黑体"/>
          <w:b/>
          <w:bCs/>
          <w:sz w:val="52"/>
          <w:szCs w:val="52"/>
        </w:rPr>
        <w:t>文</w:t>
      </w:r>
      <w:r>
        <w:rPr>
          <w:rFonts w:hint="eastAsia" w:ascii="黑体" w:hAnsi="黑体" w:eastAsia="黑体"/>
          <w:b/>
          <w:bCs/>
          <w:sz w:val="52"/>
          <w:szCs w:val="52"/>
          <w:lang w:val="en-US" w:eastAsia="zh-CN"/>
        </w:rPr>
        <w:t xml:space="preserve"> </w:t>
      </w:r>
      <w:r>
        <w:rPr>
          <w:rFonts w:hint="eastAsia" w:ascii="黑体" w:hAnsi="黑体" w:eastAsia="黑体"/>
          <w:b/>
          <w:bCs/>
          <w:sz w:val="52"/>
          <w:szCs w:val="52"/>
        </w:rPr>
        <w:t>件</w:t>
      </w:r>
      <w:bookmarkEnd w:id="0"/>
      <w:bookmarkEnd w:id="1"/>
      <w:bookmarkEnd w:id="2"/>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b/>
          <w:bCs/>
          <w:sz w:val="48"/>
          <w:szCs w:val="48"/>
        </w:rPr>
      </w:pPr>
      <w:r>
        <w:rPr>
          <w:rFonts w:hint="eastAsia" w:ascii="黑体" w:hAnsi="黑体" w:eastAsia="黑体" w:cs="黑体"/>
          <w:sz w:val="28"/>
          <w:szCs w:val="28"/>
        </w:rPr>
        <w:t>采购编号：省港服（2022）年询第</w:t>
      </w:r>
      <w:r>
        <w:rPr>
          <w:rFonts w:hint="eastAsia" w:ascii="黑体" w:hAnsi="黑体" w:eastAsia="黑体" w:cs="黑体"/>
          <w:sz w:val="28"/>
          <w:szCs w:val="28"/>
          <w:lang w:val="en-US" w:eastAsia="zh-CN"/>
        </w:rPr>
        <w:t>46</w:t>
      </w:r>
      <w:r>
        <w:rPr>
          <w:rFonts w:hint="eastAsia" w:ascii="黑体" w:hAnsi="黑体" w:eastAsia="黑体" w:cs="黑体"/>
          <w:sz w:val="28"/>
          <w:szCs w:val="28"/>
        </w:rPr>
        <w:t>号【城港</w:t>
      </w:r>
      <w:r>
        <w:rPr>
          <w:rFonts w:ascii="黑体" w:hAnsi="黑体" w:eastAsia="黑体" w:cs="黑体"/>
          <w:sz w:val="28"/>
          <w:szCs w:val="28"/>
        </w:rPr>
        <w:t>】</w:t>
      </w:r>
    </w:p>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b/>
          <w:color w:val="000000"/>
          <w:kern w:val="0"/>
          <w:sz w:val="28"/>
          <w:szCs w:val="28"/>
        </w:rPr>
      </w:pPr>
    </w:p>
    <w:p>
      <w:pPr>
        <w:spacing w:line="480" w:lineRule="auto"/>
        <w:jc w:val="center"/>
        <w:rPr>
          <w:rFonts w:ascii="宋体" w:hAnsi="宋体" w:cs="宋体"/>
          <w:b/>
          <w:color w:val="000000"/>
          <w:kern w:val="0"/>
          <w:sz w:val="28"/>
          <w:szCs w:val="28"/>
        </w:rPr>
      </w:pPr>
    </w:p>
    <w:p>
      <w:pPr>
        <w:snapToGrid w:val="0"/>
        <w:spacing w:line="900" w:lineRule="exact"/>
        <w:jc w:val="center"/>
        <w:outlineLvl w:val="0"/>
        <w:rPr>
          <w:rFonts w:ascii="黑体" w:hAnsi="黑体" w:eastAsia="黑体"/>
          <w:bCs/>
          <w:sz w:val="48"/>
          <w:szCs w:val="48"/>
        </w:rPr>
      </w:pPr>
      <w:bookmarkStart w:id="3" w:name="_Toc20288"/>
      <w:bookmarkStart w:id="4" w:name="_Toc17000"/>
      <w:bookmarkStart w:id="5" w:name="_Toc3850"/>
      <w:r>
        <w:rPr>
          <w:rFonts w:hint="eastAsia" w:ascii="黑体" w:hAnsi="黑体" w:eastAsia="黑体"/>
          <w:bCs/>
          <w:sz w:val="48"/>
          <w:szCs w:val="48"/>
          <w:lang w:val="en-US" w:eastAsia="zh-CN"/>
        </w:rPr>
        <w:t>岳</w:t>
      </w:r>
      <w:r>
        <w:rPr>
          <w:rFonts w:hint="eastAsia" w:ascii="黑体" w:hAnsi="黑体" w:eastAsia="黑体"/>
          <w:bCs/>
          <w:sz w:val="48"/>
          <w:szCs w:val="48"/>
        </w:rPr>
        <w:t>阳城陵矶港务有限责任公司</w:t>
      </w:r>
      <w:bookmarkEnd w:id="3"/>
      <w:bookmarkEnd w:id="4"/>
      <w:bookmarkEnd w:id="5"/>
    </w:p>
    <w:p>
      <w:pPr>
        <w:tabs>
          <w:tab w:val="left" w:pos="0"/>
          <w:tab w:val="left" w:pos="4185"/>
        </w:tabs>
        <w:spacing w:line="288" w:lineRule="auto"/>
        <w:ind w:right="-6"/>
        <w:jc w:val="center"/>
        <w:rPr>
          <w:rFonts w:ascii="黑体" w:hAnsi="黑体" w:eastAsia="黑体"/>
          <w:sz w:val="40"/>
          <w:szCs w:val="40"/>
        </w:rPr>
      </w:pPr>
      <w:r>
        <w:rPr>
          <w:rFonts w:hint="eastAsia" w:ascii="黑体" w:hAnsi="黑体" w:eastAsia="黑体"/>
          <w:bCs/>
          <w:sz w:val="48"/>
          <w:szCs w:val="48"/>
        </w:rPr>
        <w:t>二О二二年</w:t>
      </w:r>
      <w:r>
        <w:rPr>
          <w:rFonts w:hint="eastAsia" w:ascii="黑体" w:hAnsi="黑体" w:eastAsia="黑体"/>
          <w:bCs/>
          <w:sz w:val="48"/>
          <w:szCs w:val="48"/>
          <w:lang w:val="en-US" w:eastAsia="zh-CN"/>
        </w:rPr>
        <w:t>九</w:t>
      </w:r>
      <w:r>
        <w:rPr>
          <w:rFonts w:hint="eastAsia" w:ascii="黑体" w:hAnsi="黑体" w:eastAsia="黑体"/>
          <w:bCs/>
          <w:sz w:val="48"/>
          <w:szCs w:val="48"/>
        </w:rPr>
        <w:t>月</w:t>
      </w:r>
    </w:p>
    <w:p>
      <w:pPr>
        <w:sectPr>
          <w:headerReference r:id="rId5" w:type="default"/>
          <w:footerReference r:id="rId6" w:type="default"/>
          <w:pgSz w:w="11906" w:h="16838"/>
          <w:pgMar w:top="1797" w:right="1440" w:bottom="1797" w:left="1440" w:header="907" w:footer="1344" w:gutter="0"/>
          <w:pgBorders>
            <w:top w:val="none" w:sz="0" w:space="0"/>
            <w:left w:val="none" w:sz="0" w:space="0"/>
            <w:bottom w:val="none" w:sz="0" w:space="0"/>
            <w:right w:val="none" w:sz="0" w:space="0"/>
          </w:pgBorders>
          <w:cols w:space="720" w:num="1"/>
          <w:vAlign w:val="both"/>
          <w:docGrid w:linePitch="312" w:charSpace="0"/>
        </w:sectPr>
      </w:pPr>
    </w:p>
    <w:sdt>
      <w:sdtPr>
        <w:rPr>
          <w:rFonts w:ascii="宋体" w:hAnsi="宋体" w:eastAsia="宋体" w:cs="Times New Roman"/>
          <w:kern w:val="2"/>
          <w:sz w:val="21"/>
          <w:szCs w:val="24"/>
          <w:lang w:val="en-US" w:eastAsia="zh-CN" w:bidi="ar-SA"/>
        </w:rPr>
        <w:id w:val="147481251"/>
        <w15:color w:val="DBDBDB"/>
        <w:docPartObj>
          <w:docPartGallery w:val="Table of Contents"/>
          <w:docPartUnique/>
        </w:docPartObj>
      </w:sdtPr>
      <w:sdtEndPr>
        <w:rPr>
          <w:rFonts w:hint="eastAsia" w:ascii="宋体" w:hAnsi="宋体" w:eastAsia="宋体" w:cs="宋体"/>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pStyle w:val="227"/>
            <w:tabs>
              <w:tab w:val="right" w:leader="dot" w:pos="902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"1-1" \h \u </w:instrText>
          </w:r>
          <w:r>
            <w:rPr>
              <w:rFonts w:hint="eastAsia" w:ascii="宋体" w:hAnsi="宋体" w:eastAsia="宋体" w:cs="宋体"/>
              <w:sz w:val="24"/>
              <w:szCs w:val="24"/>
            </w:rPr>
            <w:fldChar w:fldCharType="separate"/>
          </w:r>
        </w:p>
        <w:p>
          <w:pPr>
            <w:pStyle w:val="227"/>
            <w:tabs>
              <w:tab w:val="right" w:leader="dot" w:pos="902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_Toc10851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采购公告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_Toc10851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7"/>
            <w:tabs>
              <w:tab w:val="right" w:leader="dot" w:pos="902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_Toc3621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_Toc3621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7"/>
            <w:tabs>
              <w:tab w:val="right" w:leader="dot" w:pos="902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_Toc12225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第三章 评审办法</w:t>
          </w:r>
          <w:r>
            <w:rPr>
              <w:rFonts w:hint="eastAsia" w:ascii="宋体" w:hAnsi="宋体" w:eastAsia="宋体" w:cs="宋体"/>
              <w:kern w:val="44"/>
              <w:sz w:val="24"/>
              <w:szCs w:val="24"/>
            </w:rPr>
            <w:t>（综合评估法）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_Toc12225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7"/>
            <w:tabs>
              <w:tab w:val="right" w:leader="dot" w:pos="902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_Toc24909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 xml:space="preserve">第四章 </w:t>
          </w:r>
          <w:r>
            <w:rPr>
              <w:rFonts w:hint="eastAsia" w:ascii="宋体" w:hAnsi="宋体" w:eastAsia="宋体" w:cs="宋体"/>
              <w:bCs/>
              <w:sz w:val="24"/>
              <w:szCs w:val="24"/>
            </w:rPr>
            <w:t>合同专用条款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_Toc24909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7"/>
            <w:tabs>
              <w:tab w:val="right" w:leader="dot" w:pos="902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_Toc21888 </w:instrText>
          </w:r>
          <w:r>
            <w:rPr>
              <w:rFonts w:hint="eastAsia" w:ascii="宋体" w:hAnsi="宋体" w:eastAsia="宋体" w:cs="宋体"/>
              <w:sz w:val="24"/>
              <w:szCs w:val="24"/>
            </w:rPr>
            <w:fldChar w:fldCharType="separate"/>
          </w:r>
          <w:r>
            <w:rPr>
              <w:rFonts w:hint="eastAsia" w:ascii="宋体" w:hAnsi="宋体" w:eastAsia="宋体" w:cs="宋体"/>
              <w:sz w:val="24"/>
              <w:szCs w:val="24"/>
            </w:rPr>
            <w:t>第五章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_Toc21888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7"/>
            <w:tabs>
              <w:tab w:val="right" w:leader="dot" w:pos="902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_Toc897 </w:instrText>
          </w:r>
          <w:r>
            <w:rPr>
              <w:rFonts w:hint="eastAsia" w:ascii="宋体" w:hAnsi="宋体" w:eastAsia="宋体" w:cs="宋体"/>
              <w:sz w:val="24"/>
              <w:szCs w:val="24"/>
            </w:rPr>
            <w:fldChar w:fldCharType="separate"/>
          </w:r>
          <w:r>
            <w:rPr>
              <w:rFonts w:hint="eastAsia" w:ascii="宋体" w:hAnsi="宋体" w:eastAsia="宋体" w:cs="宋体"/>
              <w:sz w:val="24"/>
              <w:szCs w:val="24"/>
            </w:rPr>
            <w:t>第六章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_Toc897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7"/>
            <w:tabs>
              <w:tab w:val="right" w:leader="dot" w:pos="902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_Toc22447 </w:instrText>
          </w:r>
          <w:r>
            <w:rPr>
              <w:rFonts w:hint="eastAsia" w:ascii="宋体" w:hAnsi="宋体" w:eastAsia="宋体" w:cs="宋体"/>
              <w:sz w:val="24"/>
              <w:szCs w:val="24"/>
            </w:rPr>
            <w:fldChar w:fldCharType="separate"/>
          </w:r>
          <w:r>
            <w:rPr>
              <w:rFonts w:hint="eastAsia" w:ascii="宋体" w:hAnsi="宋体" w:eastAsia="宋体" w:cs="宋体"/>
              <w:sz w:val="24"/>
              <w:szCs w:val="24"/>
            </w:rPr>
            <w:t>一、响应函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_Toc22447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7"/>
            <w:tabs>
              <w:tab w:val="right" w:leader="dot" w:pos="902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_Toc19106 </w:instrText>
          </w:r>
          <w:r>
            <w:rPr>
              <w:rFonts w:hint="eastAsia" w:ascii="宋体" w:hAnsi="宋体" w:eastAsia="宋体" w:cs="宋体"/>
              <w:sz w:val="24"/>
              <w:szCs w:val="24"/>
            </w:rPr>
            <w:fldChar w:fldCharType="separate"/>
          </w:r>
          <w:r>
            <w:rPr>
              <w:rFonts w:hint="eastAsia" w:ascii="宋体" w:hAnsi="宋体" w:eastAsia="宋体" w:cs="宋体"/>
              <w:sz w:val="24"/>
              <w:szCs w:val="24"/>
            </w:rPr>
            <w:t>二、授权委托书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_Toc19106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7"/>
            <w:tabs>
              <w:tab w:val="right" w:leader="dot" w:pos="902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_Toc28535 </w:instrText>
          </w:r>
          <w:r>
            <w:rPr>
              <w:rFonts w:hint="eastAsia" w:ascii="宋体" w:hAnsi="宋体" w:eastAsia="宋体" w:cs="宋体"/>
              <w:sz w:val="24"/>
              <w:szCs w:val="24"/>
            </w:rPr>
            <w:fldChar w:fldCharType="separate"/>
          </w:r>
          <w:r>
            <w:rPr>
              <w:rFonts w:hint="eastAsia" w:ascii="宋体" w:hAnsi="宋体" w:eastAsia="宋体" w:cs="宋体"/>
              <w:sz w:val="24"/>
              <w:szCs w:val="24"/>
            </w:rPr>
            <w:t>三、商务和技术偏差表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_Toc28535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7"/>
            <w:tabs>
              <w:tab w:val="right" w:leader="dot" w:pos="902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_Toc23712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四</w:t>
          </w:r>
          <w:r>
            <w:rPr>
              <w:rFonts w:hint="eastAsia" w:ascii="宋体" w:hAnsi="宋体" w:eastAsia="宋体" w:cs="宋体"/>
              <w:sz w:val="24"/>
              <w:szCs w:val="24"/>
            </w:rPr>
            <w:t>、资格审查资料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_Toc23712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7"/>
            <w:tabs>
              <w:tab w:val="right" w:leader="dot" w:pos="902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_Toc17438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五</w:t>
          </w:r>
          <w:r>
            <w:rPr>
              <w:rFonts w:hint="eastAsia" w:ascii="宋体" w:hAnsi="宋体" w:eastAsia="宋体" w:cs="宋体"/>
              <w:sz w:val="24"/>
              <w:szCs w:val="24"/>
            </w:rPr>
            <w:t>、响应方案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_Toc17438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7"/>
            <w:tabs>
              <w:tab w:val="right" w:leader="dot" w:pos="902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_Toc31465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六、</w:t>
          </w:r>
          <w:r>
            <w:rPr>
              <w:rFonts w:hint="eastAsia" w:ascii="宋体" w:hAnsi="宋体" w:eastAsia="宋体" w:cs="宋体"/>
              <w:sz w:val="24"/>
              <w:szCs w:val="24"/>
            </w:rPr>
            <w:t>其他资料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_Toc31465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widowControl w:val="0"/>
            <w:adjustRightInd w:val="0"/>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end"/>
          </w:r>
        </w:p>
      </w:sdtContent>
    </w:sdt>
    <w:p>
      <w:pPr>
        <w:widowControl w:val="0"/>
        <w:adjustRightInd w:val="0"/>
        <w:snapToGrid w:val="0"/>
        <w:spacing w:line="240" w:lineRule="auto"/>
        <w:ind w:firstLine="480" w:firstLineChars="200"/>
        <w:rPr>
          <w:rFonts w:hint="eastAsia" w:ascii="宋体" w:hAnsi="宋体" w:eastAsia="宋体" w:cs="宋体"/>
          <w:sz w:val="24"/>
          <w:szCs w:val="24"/>
        </w:rPr>
      </w:pPr>
    </w:p>
    <w:p>
      <w:pPr>
        <w:widowControl w:val="0"/>
        <w:adjustRightInd w:val="0"/>
        <w:snapToGrid w:val="0"/>
        <w:spacing w:line="240" w:lineRule="auto"/>
        <w:ind w:firstLine="480" w:firstLineChars="200"/>
        <w:rPr>
          <w:rFonts w:hint="eastAsia" w:ascii="宋体" w:hAnsi="宋体" w:eastAsia="宋体" w:cs="宋体"/>
          <w:sz w:val="24"/>
          <w:szCs w:val="24"/>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pStyle w:val="2"/>
        <w:rPr>
          <w:szCs w:val="21"/>
        </w:rPr>
      </w:pPr>
    </w:p>
    <w:p>
      <w:pPr>
        <w:rPr>
          <w:szCs w:val="21"/>
        </w:rPr>
      </w:pPr>
    </w:p>
    <w:p>
      <w:pPr>
        <w:pStyle w:val="2"/>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pStyle w:val="73"/>
        <w:numPr>
          <w:ilvl w:val="0"/>
          <w:numId w:val="1"/>
        </w:numPr>
        <w:spacing w:line="600" w:lineRule="exact"/>
        <w:ind w:firstLineChars="0"/>
        <w:jc w:val="center"/>
        <w:outlineLvl w:val="0"/>
        <w:rPr>
          <w:rFonts w:ascii="黑体" w:hAnsi="黑体" w:eastAsia="黑体" w:cs="仿宋"/>
          <w:b/>
          <w:color w:val="000000"/>
          <w:sz w:val="44"/>
          <w:szCs w:val="44"/>
        </w:rPr>
      </w:pPr>
      <w:bookmarkStart w:id="6" w:name="_Toc11353"/>
      <w:bookmarkStart w:id="7" w:name="_Toc6314"/>
      <w:bookmarkStart w:id="8" w:name="_Toc10851"/>
      <w:bookmarkStart w:id="9" w:name="_Hlk97535188"/>
      <w:r>
        <w:rPr>
          <w:rFonts w:hint="eastAsia" w:ascii="黑体" w:hAnsi="黑体" w:eastAsia="黑体" w:cs="仿宋"/>
          <w:b/>
          <w:color w:val="000000"/>
          <w:sz w:val="44"/>
          <w:szCs w:val="44"/>
        </w:rPr>
        <w:t>采购公告</w:t>
      </w:r>
      <w:bookmarkEnd w:id="6"/>
      <w:bookmarkEnd w:id="7"/>
      <w:bookmarkEnd w:id="8"/>
    </w:p>
    <w:p>
      <w:pPr>
        <w:pStyle w:val="73"/>
        <w:spacing w:line="600" w:lineRule="exact"/>
        <w:ind w:left="1785" w:firstLine="0" w:firstLineChars="0"/>
        <w:rPr>
          <w:rFonts w:ascii="黑体" w:hAnsi="黑体" w:eastAsia="黑体" w:cs="仿宋"/>
          <w:b/>
          <w:color w:val="000000"/>
          <w:sz w:val="44"/>
          <w:szCs w:val="44"/>
        </w:rPr>
      </w:pPr>
    </w:p>
    <w:p>
      <w:pPr>
        <w:pStyle w:val="230"/>
        <w:autoSpaceDE/>
        <w:autoSpaceDN/>
        <w:snapToGrid w:val="0"/>
        <w:spacing w:line="312" w:lineRule="auto"/>
        <w:jc w:val="center"/>
        <w:rPr>
          <w:rFonts w:hAnsi="宋体"/>
          <w:b/>
          <w:bCs/>
          <w:sz w:val="32"/>
          <w:szCs w:val="32"/>
        </w:rPr>
      </w:pPr>
      <w:r>
        <w:rPr>
          <w:rFonts w:hint="eastAsia" w:hAnsi="宋体"/>
          <w:b/>
          <w:bCs/>
          <w:sz w:val="32"/>
          <w:szCs w:val="32"/>
        </w:rPr>
        <w:t>岳阳城陵矶港务有限责任公司</w:t>
      </w:r>
    </w:p>
    <w:p>
      <w:pPr>
        <w:pStyle w:val="230"/>
        <w:autoSpaceDE/>
        <w:autoSpaceDN/>
        <w:snapToGrid w:val="0"/>
        <w:spacing w:line="312" w:lineRule="auto"/>
        <w:jc w:val="center"/>
        <w:rPr>
          <w:rFonts w:hAnsi="宋体"/>
          <w:b/>
          <w:bCs/>
          <w:sz w:val="32"/>
          <w:szCs w:val="32"/>
        </w:rPr>
      </w:pPr>
      <w:r>
        <w:rPr>
          <w:rFonts w:hint="eastAsia" w:hAnsi="宋体"/>
          <w:b/>
          <w:bCs/>
          <w:sz w:val="32"/>
          <w:szCs w:val="32"/>
        </w:rPr>
        <w:t>交通工作船建设项目图纸设计询价采购公告</w:t>
      </w:r>
    </w:p>
    <w:p>
      <w:pPr>
        <w:pStyle w:val="31"/>
        <w:spacing w:before="0" w:beforeAutospacing="0" w:after="0" w:afterAutospacing="0"/>
        <w:ind w:firstLine="2880" w:firstLineChars="1200"/>
        <w:jc w:val="both"/>
      </w:pPr>
      <w:r>
        <w:rPr>
          <w:rFonts w:hint="eastAsia"/>
        </w:rPr>
        <w:t xml:space="preserve"> </w:t>
      </w:r>
    </w:p>
    <w:p>
      <w:pPr>
        <w:autoSpaceDE w:val="0"/>
        <w:spacing w:line="400" w:lineRule="exact"/>
        <w:jc w:val="both"/>
        <w:rPr>
          <w:rFonts w:ascii="宋体" w:hAnsi="宋体"/>
          <w:sz w:val="24"/>
        </w:rPr>
      </w:pPr>
      <w:r>
        <w:rPr>
          <w:rFonts w:hint="eastAsia" w:ascii="宋体" w:hAnsi="宋体"/>
        </w:rPr>
        <w:t xml:space="preserve">  </w:t>
      </w:r>
      <w:r>
        <w:rPr>
          <w:rFonts w:hint="eastAsia" w:ascii="宋体" w:hAnsi="宋体"/>
          <w:sz w:val="24"/>
        </w:rPr>
        <w:t xml:space="preserve">    城陵矶港</w:t>
      </w:r>
      <w:r>
        <w:rPr>
          <w:rFonts w:hint="eastAsia" w:ascii="宋体" w:hAnsi="宋体" w:cs="宋体"/>
          <w:sz w:val="24"/>
        </w:rPr>
        <w:t>交通工作船建设项目图纸设计</w:t>
      </w:r>
      <w:r>
        <w:rPr>
          <w:rFonts w:hint="eastAsia" w:ascii="宋体" w:hAnsi="宋体"/>
          <w:sz w:val="24"/>
        </w:rPr>
        <w:t xml:space="preserve">已具备采购条件，现公开邀请供应商参加询价采购活动。 </w:t>
      </w:r>
    </w:p>
    <w:p>
      <w:pPr>
        <w:pStyle w:val="5"/>
        <w:jc w:val="both"/>
        <w:rPr>
          <w:rFonts w:ascii="Arial" w:hAnsi="Arial"/>
        </w:rPr>
      </w:pPr>
      <w:r>
        <w:rPr>
          <w:rFonts w:hint="eastAsia"/>
        </w:rPr>
        <w:t>一、</w:t>
      </w:r>
      <w:r>
        <w:rPr>
          <w:rFonts w:hint="eastAsia" w:ascii="黑体" w:hAnsi="黑体"/>
        </w:rPr>
        <w:t xml:space="preserve">采购项目简介 </w:t>
      </w:r>
    </w:p>
    <w:p>
      <w:pPr>
        <w:autoSpaceDE w:val="0"/>
        <w:spacing w:line="400" w:lineRule="exact"/>
        <w:jc w:val="both"/>
        <w:rPr>
          <w:rFonts w:ascii="宋体" w:hAnsi="宋体"/>
          <w:sz w:val="24"/>
        </w:rPr>
      </w:pPr>
      <w:r>
        <w:rPr>
          <w:rFonts w:hint="eastAsia" w:ascii="宋体" w:hAnsi="宋体"/>
          <w:sz w:val="24"/>
        </w:rPr>
        <w:t>（一）采购项目名称: 城陵矶港</w:t>
      </w:r>
      <w:r>
        <w:rPr>
          <w:rFonts w:hint="eastAsia" w:ascii="宋体" w:hAnsi="宋体" w:cs="宋体"/>
          <w:sz w:val="24"/>
        </w:rPr>
        <w:t>交通工作船建设项目图纸设计</w:t>
      </w:r>
      <w:r>
        <w:rPr>
          <w:rFonts w:hint="eastAsia" w:ascii="宋体" w:hAnsi="宋体"/>
          <w:sz w:val="24"/>
        </w:rPr>
        <w:t xml:space="preserve"> </w:t>
      </w:r>
      <w:r>
        <w:rPr>
          <w:rFonts w:ascii="宋体" w:hAnsi="宋体"/>
          <w:sz w:val="24"/>
        </w:rPr>
        <w:t xml:space="preserve">                           </w:t>
      </w:r>
    </w:p>
    <w:p>
      <w:pPr>
        <w:autoSpaceDE w:val="0"/>
        <w:spacing w:line="400" w:lineRule="exact"/>
        <w:jc w:val="both"/>
        <w:rPr>
          <w:rFonts w:ascii="宋体" w:hAnsi="宋体"/>
          <w:sz w:val="24"/>
        </w:rPr>
      </w:pPr>
      <w:r>
        <w:rPr>
          <w:rFonts w:hint="eastAsia" w:ascii="宋体" w:hAnsi="宋体"/>
          <w:sz w:val="24"/>
        </w:rPr>
        <w:t>（二）采购人:岳阳城陵矶港务有限责任公司。</w:t>
      </w:r>
    </w:p>
    <w:p>
      <w:pPr>
        <w:autoSpaceDE w:val="0"/>
        <w:spacing w:line="400" w:lineRule="exact"/>
        <w:jc w:val="both"/>
        <w:rPr>
          <w:rFonts w:ascii="宋体" w:hAnsi="宋体"/>
          <w:sz w:val="24"/>
        </w:rPr>
      </w:pPr>
      <w:r>
        <w:rPr>
          <w:rFonts w:hint="eastAsia" w:ascii="宋体" w:hAnsi="宋体"/>
          <w:sz w:val="24"/>
        </w:rPr>
        <w:t>（三）采购代理机构:无。</w:t>
      </w:r>
    </w:p>
    <w:p>
      <w:pPr>
        <w:autoSpaceDE w:val="0"/>
        <w:spacing w:line="400" w:lineRule="exact"/>
        <w:jc w:val="both"/>
        <w:rPr>
          <w:rFonts w:ascii="宋体" w:hAnsi="宋体"/>
          <w:sz w:val="24"/>
        </w:rPr>
      </w:pPr>
      <w:r>
        <w:rPr>
          <w:rFonts w:hint="eastAsia" w:ascii="宋体" w:hAnsi="宋体"/>
          <w:sz w:val="24"/>
        </w:rPr>
        <w:t>（四）采购项目资金落实情况:自筹。</w:t>
      </w:r>
    </w:p>
    <w:p>
      <w:pPr>
        <w:autoSpaceDE w:val="0"/>
        <w:spacing w:line="400" w:lineRule="exact"/>
        <w:jc w:val="both"/>
        <w:rPr>
          <w:rFonts w:ascii="宋体" w:hAnsi="宋体"/>
          <w:sz w:val="24"/>
        </w:rPr>
      </w:pPr>
      <w:r>
        <w:rPr>
          <w:rFonts w:hint="eastAsia" w:ascii="宋体" w:hAnsi="宋体"/>
          <w:sz w:val="24"/>
        </w:rPr>
        <w:t xml:space="preserve">（五）采购项目概况: </w:t>
      </w:r>
      <w:bookmarkStart w:id="10" w:name="_Hlk68447484"/>
      <w:bookmarkStart w:id="11" w:name="_Hlk101779116"/>
      <w:r>
        <w:rPr>
          <w:rFonts w:hint="eastAsia" w:ascii="宋体" w:hAnsi="宋体" w:cs="宋体"/>
          <w:sz w:val="24"/>
        </w:rPr>
        <w:t>城港公司配置的锚地水上交通工作船——城港交3</w:t>
      </w:r>
      <w:r>
        <w:rPr>
          <w:rFonts w:ascii="宋体" w:hAnsi="宋体" w:cs="宋体"/>
          <w:sz w:val="24"/>
        </w:rPr>
        <w:t>01</w:t>
      </w:r>
      <w:r>
        <w:rPr>
          <w:rFonts w:hint="eastAsia" w:ascii="宋体" w:hAnsi="宋体" w:cs="宋体"/>
          <w:sz w:val="24"/>
        </w:rPr>
        <w:t>轮，1</w:t>
      </w:r>
      <w:r>
        <w:rPr>
          <w:rFonts w:ascii="宋体" w:hAnsi="宋体" w:cs="宋体"/>
          <w:sz w:val="24"/>
        </w:rPr>
        <w:t>987</w:t>
      </w:r>
      <w:r>
        <w:rPr>
          <w:rFonts w:hint="eastAsia" w:ascii="宋体" w:hAnsi="宋体" w:cs="宋体"/>
          <w:sz w:val="24"/>
        </w:rPr>
        <w:t>年8月建造完工投入使用，主要作为城港危险品锚地水上交通、安全巡查、船舶污染物接收等综合服务，现已服役3</w:t>
      </w:r>
      <w:r>
        <w:rPr>
          <w:rFonts w:ascii="宋体" w:hAnsi="宋体" w:cs="宋体"/>
          <w:sz w:val="24"/>
        </w:rPr>
        <w:t>4</w:t>
      </w:r>
      <w:r>
        <w:rPr>
          <w:rFonts w:hint="eastAsia" w:ascii="宋体" w:hAnsi="宋体" w:cs="宋体"/>
          <w:sz w:val="24"/>
        </w:rPr>
        <w:t>年，机电设备船体甲板等老化问题突出。根据2</w:t>
      </w:r>
      <w:r>
        <w:rPr>
          <w:rFonts w:ascii="宋体" w:hAnsi="宋体" w:cs="宋体"/>
          <w:sz w:val="24"/>
        </w:rPr>
        <w:t>021</w:t>
      </w:r>
      <w:r>
        <w:rPr>
          <w:rFonts w:hint="eastAsia" w:ascii="宋体" w:hAnsi="宋体" w:cs="宋体"/>
          <w:sz w:val="24"/>
        </w:rPr>
        <w:t>年</w:t>
      </w:r>
      <w:r>
        <w:rPr>
          <w:rFonts w:ascii="宋体" w:hAnsi="宋体" w:cs="宋体"/>
          <w:sz w:val="24"/>
        </w:rPr>
        <w:t>8</w:t>
      </w:r>
      <w:r>
        <w:rPr>
          <w:rFonts w:hint="eastAsia" w:ascii="宋体" w:hAnsi="宋体" w:cs="宋体"/>
          <w:sz w:val="24"/>
        </w:rPr>
        <w:t>月修订的《老旧运输船舶管理规定》（交通运输部令2</w:t>
      </w:r>
      <w:r>
        <w:rPr>
          <w:rFonts w:ascii="宋体" w:hAnsi="宋体" w:cs="宋体"/>
          <w:sz w:val="24"/>
        </w:rPr>
        <w:t>021</w:t>
      </w:r>
      <w:r>
        <w:rPr>
          <w:rFonts w:hint="eastAsia" w:ascii="宋体" w:hAnsi="宋体" w:cs="宋体"/>
          <w:sz w:val="24"/>
        </w:rPr>
        <w:t>年第1</w:t>
      </w:r>
      <w:r>
        <w:rPr>
          <w:rFonts w:ascii="宋体" w:hAnsi="宋体" w:cs="宋体"/>
          <w:sz w:val="24"/>
        </w:rPr>
        <w:t>3</w:t>
      </w:r>
      <w:r>
        <w:rPr>
          <w:rFonts w:hint="eastAsia" w:ascii="宋体" w:hAnsi="宋体" w:cs="宋体"/>
          <w:sz w:val="24"/>
        </w:rPr>
        <w:t>号），该船不予检验，要求强制报废。现申请采购锚地交通工作船一艘，总造价约为3</w:t>
      </w:r>
      <w:r>
        <w:rPr>
          <w:rFonts w:ascii="宋体" w:hAnsi="宋体" w:cs="宋体"/>
          <w:sz w:val="24"/>
        </w:rPr>
        <w:t>97</w:t>
      </w:r>
      <w:r>
        <w:rPr>
          <w:rFonts w:hint="eastAsia" w:ascii="宋体" w:hAnsi="宋体" w:cs="宋体"/>
          <w:sz w:val="24"/>
        </w:rPr>
        <w:t>万元，船型：四类小型交通工作船兼顾垃圾污水接收。</w:t>
      </w:r>
      <w:bookmarkEnd w:id="10"/>
    </w:p>
    <w:bookmarkEnd w:id="11"/>
    <w:p>
      <w:pPr>
        <w:pStyle w:val="5"/>
        <w:jc w:val="both"/>
        <w:rPr>
          <w:rFonts w:ascii="Arial" w:hAnsi="Arial"/>
        </w:rPr>
      </w:pPr>
      <w:r>
        <w:rPr>
          <w:rFonts w:hint="eastAsia"/>
        </w:rPr>
        <w:t>二、</w:t>
      </w:r>
      <w:r>
        <w:rPr>
          <w:rFonts w:hint="eastAsia" w:ascii="黑体" w:hAnsi="黑体"/>
        </w:rPr>
        <w:t>采购范围及相关要求</w:t>
      </w:r>
    </w:p>
    <w:p>
      <w:pPr>
        <w:pStyle w:val="35"/>
        <w:autoSpaceDE w:val="0"/>
        <w:spacing w:after="0" w:line="360" w:lineRule="auto"/>
        <w:ind w:firstLine="0" w:firstLineChars="0"/>
        <w:rPr>
          <w:rFonts w:ascii="宋体" w:hAnsi="宋体" w:cs="宋体"/>
          <w:sz w:val="24"/>
        </w:rPr>
      </w:pPr>
      <w:r>
        <w:rPr>
          <w:rFonts w:hint="eastAsia" w:ascii="宋体" w:hAnsi="宋体"/>
          <w:sz w:val="24"/>
        </w:rPr>
        <w:t xml:space="preserve">（一）采购范围: </w:t>
      </w:r>
      <w:r>
        <w:rPr>
          <w:rFonts w:hint="eastAsia" w:ascii="宋体" w:hAnsi="宋体" w:cs="宋体"/>
          <w:sz w:val="24"/>
        </w:rPr>
        <w:t>本设计项目为</w:t>
      </w:r>
      <w:r>
        <w:rPr>
          <w:rFonts w:hint="eastAsia" w:ascii="宋体" w:hAnsi="宋体"/>
          <w:sz w:val="24"/>
        </w:rPr>
        <w:t>城陵矶港</w:t>
      </w:r>
      <w:r>
        <w:rPr>
          <w:rFonts w:hint="eastAsia" w:ascii="宋体" w:hAnsi="宋体" w:cs="宋体"/>
          <w:sz w:val="24"/>
        </w:rPr>
        <w:t>交通工作船建设项目图纸设计、送审以及后续的配合建造等相关伴随服务。</w:t>
      </w:r>
    </w:p>
    <w:p>
      <w:pPr>
        <w:autoSpaceDE w:val="0"/>
        <w:spacing w:line="400" w:lineRule="exact"/>
        <w:jc w:val="both"/>
        <w:rPr>
          <w:rFonts w:ascii="宋体" w:hAnsi="宋体"/>
          <w:sz w:val="24"/>
        </w:rPr>
      </w:pPr>
      <w:r>
        <w:rPr>
          <w:rFonts w:hint="eastAsia" w:ascii="宋体" w:hAnsi="宋体"/>
          <w:sz w:val="24"/>
        </w:rPr>
        <w:t>（二）服务期限: 期限</w:t>
      </w:r>
      <w:r>
        <w:rPr>
          <w:rFonts w:ascii="宋体" w:hAnsi="宋体"/>
          <w:sz w:val="24"/>
        </w:rPr>
        <w:t>90</w:t>
      </w:r>
      <w:r>
        <w:rPr>
          <w:rFonts w:hint="eastAsia" w:ascii="宋体" w:hAnsi="宋体"/>
          <w:sz w:val="24"/>
        </w:rPr>
        <w:t xml:space="preserve">天 </w:t>
      </w:r>
      <w:r>
        <w:rPr>
          <w:rFonts w:ascii="宋体" w:hAnsi="宋体"/>
          <w:sz w:val="24"/>
        </w:rPr>
        <w:t xml:space="preserve">             </w:t>
      </w:r>
    </w:p>
    <w:p>
      <w:pPr>
        <w:autoSpaceDE w:val="0"/>
        <w:spacing w:line="400" w:lineRule="exact"/>
        <w:jc w:val="both"/>
        <w:rPr>
          <w:rFonts w:ascii="宋体" w:hAnsi="宋体"/>
          <w:sz w:val="24"/>
        </w:rPr>
      </w:pPr>
      <w:r>
        <w:rPr>
          <w:rFonts w:hint="eastAsia" w:ascii="宋体" w:hAnsi="宋体"/>
          <w:sz w:val="24"/>
        </w:rPr>
        <w:t>（三）服务地点: 城陵矶港</w:t>
      </w:r>
    </w:p>
    <w:p>
      <w:pPr>
        <w:autoSpaceDE w:val="0"/>
        <w:spacing w:line="400" w:lineRule="exact"/>
        <w:jc w:val="both"/>
        <w:rPr>
          <w:rFonts w:ascii="宋体" w:hAnsi="宋体"/>
          <w:sz w:val="24"/>
        </w:rPr>
      </w:pPr>
      <w:r>
        <w:rPr>
          <w:rFonts w:hint="eastAsia" w:ascii="宋体" w:hAnsi="宋体"/>
          <w:sz w:val="24"/>
        </w:rPr>
        <w:t xml:space="preserve">（四）质量要求或服务标准: </w:t>
      </w:r>
      <w:r>
        <w:rPr>
          <w:rFonts w:hint="eastAsia" w:ascii="宋体" w:hAnsi="宋体" w:cs="宋体"/>
          <w:sz w:val="24"/>
        </w:rPr>
        <w:t>本船采用3</w:t>
      </w:r>
      <w:r>
        <w:rPr>
          <w:rFonts w:ascii="宋体" w:hAnsi="宋体" w:cs="宋体"/>
          <w:sz w:val="24"/>
        </w:rPr>
        <w:t>0</w:t>
      </w:r>
      <w:r>
        <w:rPr>
          <w:rFonts w:hint="eastAsia" w:ascii="宋体" w:hAnsi="宋体" w:cs="宋体"/>
          <w:sz w:val="24"/>
        </w:rPr>
        <w:t>米级4类小型客船定型船型，船体材料为钢质，设计航区为内河B级航区，船舶抗风等级为6级，船舶主尺度约为2</w:t>
      </w:r>
      <w:r>
        <w:rPr>
          <w:rFonts w:ascii="宋体" w:hAnsi="宋体" w:cs="宋体"/>
          <w:sz w:val="24"/>
        </w:rPr>
        <w:t>9.8</w:t>
      </w:r>
      <w:r>
        <w:rPr>
          <w:rFonts w:hint="eastAsia" w:ascii="宋体" w:hAnsi="宋体" w:cs="宋体"/>
          <w:sz w:val="24"/>
        </w:rPr>
        <w:t>米*</w:t>
      </w:r>
      <w:r>
        <w:rPr>
          <w:rFonts w:ascii="宋体" w:hAnsi="宋体" w:cs="宋体"/>
          <w:sz w:val="24"/>
        </w:rPr>
        <w:t>6.5</w:t>
      </w:r>
      <w:r>
        <w:rPr>
          <w:rFonts w:hint="eastAsia" w:ascii="宋体" w:hAnsi="宋体" w:cs="宋体"/>
          <w:sz w:val="24"/>
        </w:rPr>
        <w:t>米*</w:t>
      </w:r>
      <w:r>
        <w:rPr>
          <w:rFonts w:ascii="宋体" w:hAnsi="宋体" w:cs="宋体"/>
          <w:sz w:val="24"/>
        </w:rPr>
        <w:t>2.6</w:t>
      </w:r>
      <w:r>
        <w:rPr>
          <w:rFonts w:hint="eastAsia" w:ascii="宋体" w:hAnsi="宋体" w:cs="宋体"/>
          <w:sz w:val="24"/>
        </w:rPr>
        <w:t>米（总长*型宽*型深），设计吃水约为1</w:t>
      </w:r>
      <w:r>
        <w:rPr>
          <w:rFonts w:ascii="宋体" w:hAnsi="宋体" w:cs="宋体"/>
          <w:sz w:val="24"/>
        </w:rPr>
        <w:t>.6</w:t>
      </w:r>
      <w:r>
        <w:rPr>
          <w:rFonts w:hint="eastAsia" w:ascii="宋体" w:hAnsi="宋体" w:cs="宋体"/>
          <w:sz w:val="24"/>
        </w:rPr>
        <w:t>米，主柴油功率约为2</w:t>
      </w:r>
      <w:r>
        <w:rPr>
          <w:rFonts w:ascii="宋体" w:hAnsi="宋体" w:cs="宋体"/>
          <w:sz w:val="24"/>
        </w:rPr>
        <w:t>*180</w:t>
      </w:r>
      <w:r>
        <w:rPr>
          <w:rFonts w:hint="eastAsia" w:ascii="宋体" w:hAnsi="宋体" w:cs="宋体"/>
          <w:sz w:val="24"/>
        </w:rPr>
        <w:t>KW以上（主副机及齿轮箱均为国内一线品牌），设计航速约为2</w:t>
      </w:r>
      <w:r>
        <w:rPr>
          <w:rFonts w:ascii="宋体" w:hAnsi="宋体" w:cs="宋体"/>
          <w:sz w:val="24"/>
        </w:rPr>
        <w:t>2</w:t>
      </w:r>
      <w:r>
        <w:rPr>
          <w:rFonts w:hint="eastAsia" w:ascii="宋体" w:hAnsi="宋体" w:cs="宋体"/>
          <w:sz w:val="24"/>
        </w:rPr>
        <w:t>KM</w:t>
      </w:r>
      <w:r>
        <w:rPr>
          <w:rFonts w:ascii="宋体" w:hAnsi="宋体" w:cs="宋体"/>
          <w:sz w:val="24"/>
        </w:rPr>
        <w:t>/h</w:t>
      </w:r>
      <w:r>
        <w:rPr>
          <w:rFonts w:hint="eastAsia" w:ascii="宋体" w:hAnsi="宋体" w:cs="宋体"/>
          <w:sz w:val="24"/>
        </w:rPr>
        <w:t>，按照法定规则配备消防、救生、通信和导航等设备，船上船员6人（船舶证书定员乘客2</w:t>
      </w:r>
      <w:r>
        <w:rPr>
          <w:rFonts w:ascii="宋体" w:hAnsi="宋体" w:cs="宋体"/>
          <w:sz w:val="24"/>
        </w:rPr>
        <w:t>5</w:t>
      </w:r>
      <w:r>
        <w:rPr>
          <w:rFonts w:hint="eastAsia" w:ascii="宋体" w:hAnsi="宋体" w:cs="宋体"/>
          <w:sz w:val="24"/>
          <w:lang w:val="en-US" w:eastAsia="zh-CN"/>
        </w:rPr>
        <w:t>人</w:t>
      </w:r>
      <w:r>
        <w:rPr>
          <w:rFonts w:ascii="宋体" w:hAnsi="宋体" w:cs="宋体"/>
          <w:sz w:val="24"/>
        </w:rPr>
        <w:t>+</w:t>
      </w:r>
      <w:r>
        <w:rPr>
          <w:rFonts w:hint="eastAsia" w:ascii="宋体" w:hAnsi="宋体" w:cs="宋体"/>
          <w:sz w:val="24"/>
        </w:rPr>
        <w:t>船员</w:t>
      </w:r>
      <w:r>
        <w:rPr>
          <w:rFonts w:ascii="宋体" w:hAnsi="宋体" w:cs="宋体"/>
          <w:sz w:val="24"/>
        </w:rPr>
        <w:t>6</w:t>
      </w:r>
      <w:r>
        <w:rPr>
          <w:rFonts w:hint="eastAsia" w:ascii="宋体" w:hAnsi="宋体" w:cs="宋体"/>
          <w:sz w:val="24"/>
        </w:rPr>
        <w:t>人），需配置两间单人间，两间双人间，配置厨房、卫生间、物料间、配件间以及乘客间（设主甲板，面积约为5</w:t>
      </w:r>
      <w:r>
        <w:rPr>
          <w:rFonts w:ascii="宋体" w:hAnsi="宋体" w:cs="宋体"/>
          <w:sz w:val="24"/>
        </w:rPr>
        <w:t>0</w:t>
      </w:r>
      <w:r>
        <w:rPr>
          <w:rFonts w:hint="eastAsia" w:ascii="宋体" w:hAnsi="宋体" w:cs="宋体"/>
          <w:sz w:val="24"/>
        </w:rPr>
        <w:t>平方米），船体配置污水仓以及污水抽送系统（仓容约为</w:t>
      </w:r>
      <w:r>
        <w:rPr>
          <w:rFonts w:ascii="宋体" w:hAnsi="宋体" w:cs="宋体"/>
          <w:sz w:val="24"/>
        </w:rPr>
        <w:t>80</w:t>
      </w:r>
      <w:r>
        <w:rPr>
          <w:rFonts w:hint="eastAsia" w:ascii="宋体" w:hAnsi="宋体" w:cs="宋体"/>
          <w:sz w:val="24"/>
        </w:rPr>
        <w:t>立方），主甲板尾部加装1</w:t>
      </w:r>
      <w:r>
        <w:rPr>
          <w:rFonts w:ascii="宋体" w:hAnsi="宋体" w:cs="宋体"/>
          <w:sz w:val="24"/>
        </w:rPr>
        <w:t>.5</w:t>
      </w:r>
      <w:r>
        <w:rPr>
          <w:rFonts w:hint="eastAsia" w:ascii="宋体" w:hAnsi="宋体" w:cs="宋体"/>
          <w:sz w:val="24"/>
        </w:rPr>
        <w:t>T液压起重装置，垃圾堆存区设围栏、围堰，两侧开门。本船（船体、轮机、电气及空调设备等）按照中国船级社（</w:t>
      </w:r>
      <w:r>
        <w:rPr>
          <w:rFonts w:ascii="宋体" w:hAnsi="宋体" w:cs="宋体"/>
          <w:sz w:val="24"/>
        </w:rPr>
        <w:t>CCS</w:t>
      </w:r>
      <w:r>
        <w:rPr>
          <w:rFonts w:hint="eastAsia" w:ascii="宋体" w:hAnsi="宋体" w:cs="宋体"/>
          <w:sz w:val="24"/>
        </w:rPr>
        <w:t>）的有关规定进行设计，满足国内航行最新的排放标准和船舶行业相关的技术标准和要求，船体、轮机、电气等图纸需获得中国船级社（</w:t>
      </w:r>
      <w:r>
        <w:rPr>
          <w:rFonts w:ascii="宋体" w:hAnsi="宋体" w:cs="宋体"/>
          <w:sz w:val="24"/>
        </w:rPr>
        <w:t>CCS</w:t>
      </w:r>
      <w:r>
        <w:rPr>
          <w:rFonts w:hint="eastAsia" w:ascii="宋体" w:hAnsi="宋体" w:cs="宋体"/>
          <w:sz w:val="24"/>
        </w:rPr>
        <w:t>）批准，</w:t>
      </w:r>
      <w:r>
        <w:rPr>
          <w:rFonts w:hint="eastAsia" w:ascii="宋体" w:hAnsi="宋体"/>
          <w:sz w:val="24"/>
        </w:rPr>
        <w:t xml:space="preserve">并配合建造船厂取得相应的船舶证书。    </w:t>
      </w:r>
      <w:r>
        <w:t xml:space="preserve">           </w:t>
      </w:r>
    </w:p>
    <w:p>
      <w:pPr>
        <w:pStyle w:val="5"/>
        <w:jc w:val="both"/>
        <w:rPr>
          <w:rFonts w:ascii="Arial" w:hAnsi="Arial"/>
        </w:rPr>
      </w:pPr>
      <w:r>
        <w:rPr>
          <w:rFonts w:hint="eastAsia"/>
        </w:rPr>
        <w:t>三、</w:t>
      </w:r>
      <w:r>
        <w:rPr>
          <w:rFonts w:hint="eastAsia" w:ascii="黑体" w:hAnsi="黑体"/>
        </w:rPr>
        <w:t>供应商资格要求</w:t>
      </w:r>
    </w:p>
    <w:p>
      <w:pPr>
        <w:autoSpaceDE w:val="0"/>
        <w:spacing w:line="400" w:lineRule="exact"/>
        <w:jc w:val="both"/>
        <w:rPr>
          <w:rFonts w:ascii="宋体" w:hAnsi="宋体"/>
          <w:sz w:val="24"/>
        </w:rPr>
      </w:pPr>
      <w:r>
        <w:rPr>
          <w:rFonts w:hint="eastAsia" w:ascii="宋体" w:hAnsi="宋体"/>
          <w:sz w:val="24"/>
        </w:rPr>
        <w:t>（一）供应商不得存在下列情形之一:</w:t>
      </w:r>
    </w:p>
    <w:p>
      <w:pPr>
        <w:autoSpaceDE w:val="0"/>
        <w:spacing w:line="400" w:lineRule="exact"/>
        <w:ind w:firstLine="240" w:firstLineChars="100"/>
        <w:jc w:val="both"/>
        <w:rPr>
          <w:rFonts w:ascii="宋体" w:hAnsi="宋体"/>
          <w:sz w:val="24"/>
        </w:rPr>
      </w:pPr>
      <w:r>
        <w:rPr>
          <w:rFonts w:hint="eastAsia" w:ascii="宋体" w:hAnsi="宋体"/>
          <w:sz w:val="24"/>
        </w:rPr>
        <w:t>1.处于被责令停产停业、暂扣或者吊销执照、暂扣或者吊销许可证、吊销资质证书状态;</w:t>
      </w:r>
    </w:p>
    <w:p>
      <w:pPr>
        <w:autoSpaceDE w:val="0"/>
        <w:spacing w:line="400" w:lineRule="exact"/>
        <w:ind w:firstLine="240" w:firstLineChars="100"/>
        <w:jc w:val="both"/>
        <w:rPr>
          <w:rFonts w:ascii="宋体" w:hAnsi="宋体"/>
          <w:sz w:val="24"/>
        </w:rPr>
      </w:pPr>
      <w:r>
        <w:rPr>
          <w:rFonts w:hint="eastAsia" w:ascii="宋体" w:hAnsi="宋体"/>
          <w:sz w:val="24"/>
        </w:rPr>
        <w:t>2.进入清算程序，或被宣告破产，或其他丧失履约能力的情形;</w:t>
      </w:r>
    </w:p>
    <w:p>
      <w:pPr>
        <w:autoSpaceDE w:val="0"/>
        <w:spacing w:line="400" w:lineRule="exact"/>
        <w:ind w:firstLine="240" w:firstLineChars="100"/>
        <w:jc w:val="both"/>
        <w:rPr>
          <w:rFonts w:ascii="宋体" w:hAnsi="宋体"/>
          <w:sz w:val="24"/>
        </w:rPr>
      </w:pPr>
      <w:r>
        <w:rPr>
          <w:rFonts w:hint="eastAsia" w:ascii="宋体" w:hAnsi="宋体"/>
          <w:sz w:val="24"/>
        </w:rPr>
        <w:t>3.被采购人或采购人上级单位纳入黑名单</w:t>
      </w:r>
    </w:p>
    <w:p>
      <w:pPr>
        <w:autoSpaceDE w:val="0"/>
        <w:spacing w:line="400" w:lineRule="exact"/>
        <w:jc w:val="both"/>
        <w:rPr>
          <w:rFonts w:ascii="宋体" w:hAnsi="宋体"/>
          <w:sz w:val="24"/>
        </w:rPr>
      </w:pPr>
      <w:r>
        <w:rPr>
          <w:rFonts w:hint="eastAsia" w:ascii="宋体" w:hAnsi="宋体"/>
          <w:sz w:val="24"/>
        </w:rPr>
        <w:t>（二）供应商应满足如下要求:</w:t>
      </w:r>
    </w:p>
    <w:tbl>
      <w:tblPr>
        <w:tblStyle w:val="37"/>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86"/>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center"/>
              <w:rPr>
                <w:rFonts w:ascii="宋体" w:hAnsi="宋体"/>
                <w:sz w:val="24"/>
              </w:rPr>
            </w:pPr>
            <w:r>
              <w:rPr>
                <w:rFonts w:hint="eastAsia" w:ascii="宋体" w:hAnsi="宋体"/>
                <w:sz w:val="24"/>
              </w:rPr>
              <w:t>资格条件</w:t>
            </w:r>
          </w:p>
        </w:tc>
        <w:tc>
          <w:tcPr>
            <w:tcW w:w="1786" w:type="dxa"/>
          </w:tcPr>
          <w:p>
            <w:pPr>
              <w:widowControl w:val="0"/>
              <w:spacing w:line="320" w:lineRule="exact"/>
              <w:jc w:val="center"/>
              <w:rPr>
                <w:rFonts w:ascii="宋体" w:hAnsi="宋体"/>
                <w:sz w:val="24"/>
              </w:rPr>
            </w:pPr>
            <w:r>
              <w:rPr>
                <w:rFonts w:hint="eastAsia" w:ascii="宋体" w:hAnsi="宋体"/>
                <w:sz w:val="24"/>
              </w:rPr>
              <w:t>对供应商要求</w:t>
            </w:r>
          </w:p>
        </w:tc>
        <w:tc>
          <w:tcPr>
            <w:tcW w:w="4905" w:type="dxa"/>
          </w:tcPr>
          <w:p>
            <w:pPr>
              <w:widowControl w:val="0"/>
              <w:spacing w:line="320" w:lineRule="exact"/>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（1）依法设立</w:t>
            </w:r>
          </w:p>
        </w:tc>
        <w:tc>
          <w:tcPr>
            <w:tcW w:w="1786" w:type="dxa"/>
          </w:tcPr>
          <w:p>
            <w:pPr>
              <w:widowControl w:val="0"/>
              <w:spacing w:line="320" w:lineRule="exact"/>
              <w:jc w:val="both"/>
              <w:rPr>
                <w:rStyle w:val="39"/>
                <w:u w:val="single"/>
              </w:rPr>
            </w:pPr>
            <w:r>
              <w:rPr>
                <w:rStyle w:val="39"/>
                <w:rFonts w:hint="eastAsia"/>
                <w:u w:val="single"/>
              </w:rPr>
              <w:t xml:space="preserve">□不适用  </w:t>
            </w:r>
          </w:p>
          <w:p>
            <w:pPr>
              <w:widowControl w:val="0"/>
              <w:spacing w:line="320" w:lineRule="exact"/>
              <w:jc w:val="both"/>
              <w:rPr>
                <w:rFonts w:ascii="宋体" w:hAnsi="宋体"/>
                <w:sz w:val="24"/>
              </w:rPr>
            </w:pPr>
            <w:r>
              <w:rPr>
                <w:rFonts w:hint="eastAsia" w:asciiTheme="minorEastAsia" w:hAnsiTheme="minorEastAsia" w:eastAsiaTheme="minorEastAsia"/>
                <w:sz w:val="24"/>
              </w:rPr>
              <w:t>√</w:t>
            </w:r>
            <w:r>
              <w:rPr>
                <w:rStyle w:val="39"/>
                <w:rFonts w:hint="eastAsia"/>
                <w:u w:val="single"/>
              </w:rPr>
              <w:t>适用</w:t>
            </w:r>
          </w:p>
        </w:tc>
        <w:tc>
          <w:tcPr>
            <w:tcW w:w="4905" w:type="dxa"/>
          </w:tcPr>
          <w:p>
            <w:pPr>
              <w:widowControl w:val="0"/>
              <w:spacing w:line="320" w:lineRule="exact"/>
              <w:jc w:val="both"/>
              <w:rPr>
                <w:rStyle w:val="39"/>
                <w:u w:val="single"/>
              </w:rPr>
            </w:pPr>
            <w:r>
              <w:rPr>
                <w:rStyle w:val="39"/>
                <w:rFonts w:hint="eastAsia"/>
                <w:u w:val="single"/>
              </w:rPr>
              <w:t xml:space="preserve">□不适用  </w:t>
            </w:r>
          </w:p>
          <w:p>
            <w:pPr>
              <w:widowControl w:val="0"/>
              <w:spacing w:line="320" w:lineRule="exact"/>
              <w:jc w:val="both"/>
              <w:rPr>
                <w:rFonts w:ascii="宋体" w:hAnsi="宋体"/>
                <w:sz w:val="24"/>
              </w:rPr>
            </w:pPr>
            <w:r>
              <w:rPr>
                <w:rStyle w:val="39"/>
                <w:rFonts w:hint="eastAsia"/>
                <w:u w:val="single"/>
              </w:rPr>
              <w:sym w:font="Wingdings 2" w:char="0052"/>
            </w:r>
            <w:r>
              <w:rPr>
                <w:rStyle w:val="39"/>
                <w:rFonts w:hint="eastAsia"/>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（2）资质要求</w:t>
            </w:r>
          </w:p>
        </w:tc>
        <w:tc>
          <w:tcPr>
            <w:tcW w:w="1786" w:type="dxa"/>
          </w:tcPr>
          <w:p>
            <w:pPr>
              <w:widowControl w:val="0"/>
              <w:spacing w:line="320" w:lineRule="exact"/>
              <w:jc w:val="both"/>
              <w:rPr>
                <w:rStyle w:val="39"/>
                <w:u w:val="single"/>
              </w:rPr>
            </w:pPr>
            <w:r>
              <w:rPr>
                <w:rStyle w:val="39"/>
                <w:rFonts w:hint="eastAsia"/>
                <w:u w:val="single"/>
              </w:rPr>
              <w:t xml:space="preserve">□不适用  </w:t>
            </w:r>
          </w:p>
          <w:p>
            <w:pPr>
              <w:widowControl w:val="0"/>
              <w:spacing w:line="320" w:lineRule="exact"/>
              <w:jc w:val="both"/>
              <w:rPr>
                <w:rFonts w:ascii="宋体" w:hAnsi="宋体"/>
                <w:sz w:val="24"/>
              </w:rPr>
            </w:pPr>
            <w:r>
              <w:rPr>
                <w:rFonts w:hint="eastAsia" w:asciiTheme="minorEastAsia" w:hAnsiTheme="minorEastAsia" w:eastAsiaTheme="minorEastAsia"/>
                <w:sz w:val="24"/>
              </w:rPr>
              <w:t>√</w:t>
            </w:r>
            <w:r>
              <w:rPr>
                <w:rStyle w:val="39"/>
                <w:rFonts w:hint="eastAsia"/>
                <w:u w:val="single"/>
              </w:rPr>
              <w:t>适用</w:t>
            </w:r>
          </w:p>
        </w:tc>
        <w:tc>
          <w:tcPr>
            <w:tcW w:w="4905" w:type="dxa"/>
          </w:tcPr>
          <w:p>
            <w:pPr>
              <w:widowControl w:val="0"/>
              <w:spacing w:line="320" w:lineRule="exact"/>
              <w:jc w:val="both"/>
              <w:rPr>
                <w:rStyle w:val="39"/>
                <w:u w:val="single"/>
              </w:rPr>
            </w:pPr>
            <w:r>
              <w:rPr>
                <w:rStyle w:val="39"/>
                <w:rFonts w:hint="eastAsia"/>
                <w:u w:val="single"/>
              </w:rPr>
              <w:t xml:space="preserve">□不适用  </w:t>
            </w:r>
          </w:p>
          <w:p>
            <w:pPr>
              <w:widowControl w:val="0"/>
              <w:spacing w:line="320" w:lineRule="exact"/>
              <w:jc w:val="both"/>
              <w:rPr>
                <w:rFonts w:ascii="宋体" w:hAnsi="宋体"/>
                <w:sz w:val="24"/>
              </w:rPr>
            </w:pPr>
            <w:r>
              <w:rPr>
                <w:rStyle w:val="39"/>
                <w:rFonts w:hint="eastAsia"/>
                <w:u w:val="single"/>
              </w:rPr>
              <w:sym w:font="Wingdings 2" w:char="0052"/>
            </w:r>
            <w:r>
              <w:rPr>
                <w:rStyle w:val="39"/>
                <w:rFonts w:hint="eastAsia"/>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（3）财务要求</w:t>
            </w:r>
          </w:p>
        </w:tc>
        <w:tc>
          <w:tcPr>
            <w:tcW w:w="1786" w:type="dxa"/>
          </w:tcPr>
          <w:p>
            <w:pPr>
              <w:widowControl w:val="0"/>
              <w:spacing w:line="320" w:lineRule="exact"/>
              <w:jc w:val="both"/>
              <w:rPr>
                <w:rStyle w:val="39"/>
                <w:u w:val="single"/>
              </w:rPr>
            </w:pPr>
            <w:r>
              <w:rPr>
                <w:rFonts w:hint="eastAsia" w:asciiTheme="minorEastAsia" w:hAnsiTheme="minorEastAsia" w:eastAsiaTheme="minorEastAsia"/>
                <w:sz w:val="24"/>
              </w:rPr>
              <w:t>√</w:t>
            </w:r>
            <w:r>
              <w:rPr>
                <w:rStyle w:val="39"/>
                <w:rFonts w:hint="eastAsia"/>
                <w:u w:val="single"/>
              </w:rPr>
              <w:t xml:space="preserve">不适用  </w:t>
            </w:r>
          </w:p>
          <w:p>
            <w:pPr>
              <w:widowControl w:val="0"/>
              <w:spacing w:line="320" w:lineRule="exact"/>
              <w:jc w:val="both"/>
              <w:rPr>
                <w:rFonts w:ascii="宋体" w:hAnsi="宋体"/>
                <w:sz w:val="24"/>
              </w:rPr>
            </w:pPr>
            <w:r>
              <w:rPr>
                <w:rStyle w:val="39"/>
                <w:rFonts w:hint="eastAsia"/>
                <w:u w:val="single"/>
              </w:rPr>
              <w:t>□适用</w:t>
            </w:r>
          </w:p>
        </w:tc>
        <w:tc>
          <w:tcPr>
            <w:tcW w:w="4905" w:type="dxa"/>
          </w:tcPr>
          <w:p>
            <w:pPr>
              <w:widowControl w:val="0"/>
              <w:spacing w:line="320" w:lineRule="exact"/>
              <w:jc w:val="both"/>
              <w:rPr>
                <w:rStyle w:val="39"/>
                <w:u w:val="single"/>
              </w:rPr>
            </w:pPr>
            <w:r>
              <w:rPr>
                <w:rStyle w:val="39"/>
                <w:rFonts w:hint="eastAsia"/>
                <w:u w:val="single"/>
              </w:rPr>
              <w:sym w:font="Wingdings 2" w:char="0052"/>
            </w:r>
            <w:r>
              <w:rPr>
                <w:rStyle w:val="39"/>
                <w:rFonts w:hint="eastAsia"/>
                <w:u w:val="single"/>
              </w:rPr>
              <w:t xml:space="preserve">不适用  </w:t>
            </w:r>
          </w:p>
          <w:p>
            <w:pPr>
              <w:widowControl w:val="0"/>
              <w:spacing w:line="320" w:lineRule="exact"/>
              <w:jc w:val="both"/>
              <w:rPr>
                <w:rFonts w:ascii="宋体" w:hAnsi="宋体"/>
                <w:sz w:val="24"/>
              </w:rPr>
            </w:pPr>
            <w:r>
              <w:rPr>
                <w:rStyle w:val="39"/>
                <w:rFonts w:hint="eastAsia"/>
                <w:u w:val="single"/>
              </w:rPr>
              <w:t>□适用,见采购文件供应商须知前附表3.5（3）。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（4）业绩要求</w:t>
            </w:r>
          </w:p>
        </w:tc>
        <w:tc>
          <w:tcPr>
            <w:tcW w:w="1786" w:type="dxa"/>
          </w:tcPr>
          <w:p>
            <w:pPr>
              <w:widowControl w:val="0"/>
              <w:spacing w:line="320" w:lineRule="exact"/>
              <w:jc w:val="both"/>
              <w:rPr>
                <w:rStyle w:val="39"/>
                <w:u w:val="single"/>
              </w:rPr>
            </w:pPr>
            <w:r>
              <w:rPr>
                <w:rStyle w:val="39"/>
                <w:rFonts w:hint="eastAsia"/>
                <w:u w:val="single"/>
              </w:rPr>
              <w:t xml:space="preserve">□不适用  </w:t>
            </w:r>
          </w:p>
          <w:p>
            <w:pPr>
              <w:widowControl w:val="0"/>
              <w:spacing w:line="320" w:lineRule="exact"/>
              <w:jc w:val="both"/>
              <w:rPr>
                <w:rFonts w:ascii="宋体" w:hAnsi="宋体"/>
                <w:sz w:val="24"/>
              </w:rPr>
            </w:pPr>
            <w:r>
              <w:rPr>
                <w:rFonts w:hint="eastAsia" w:asciiTheme="minorEastAsia" w:hAnsiTheme="minorEastAsia" w:eastAsiaTheme="minorEastAsia"/>
                <w:sz w:val="24"/>
              </w:rPr>
              <w:t>√</w:t>
            </w:r>
            <w:r>
              <w:rPr>
                <w:rStyle w:val="39"/>
                <w:rFonts w:hint="eastAsia"/>
                <w:u w:val="single"/>
              </w:rPr>
              <w:t>适用</w:t>
            </w:r>
          </w:p>
        </w:tc>
        <w:tc>
          <w:tcPr>
            <w:tcW w:w="4905" w:type="dxa"/>
          </w:tcPr>
          <w:p>
            <w:pPr>
              <w:widowControl w:val="0"/>
              <w:spacing w:line="320" w:lineRule="exact"/>
              <w:jc w:val="both"/>
              <w:rPr>
                <w:rStyle w:val="39"/>
                <w:u w:val="single"/>
              </w:rPr>
            </w:pPr>
            <w:r>
              <w:rPr>
                <w:rStyle w:val="39"/>
                <w:rFonts w:hint="eastAsia"/>
                <w:u w:val="single"/>
              </w:rPr>
              <w:t xml:space="preserve">□不适用  </w:t>
            </w:r>
          </w:p>
          <w:p>
            <w:pPr>
              <w:widowControl w:val="0"/>
              <w:spacing w:line="320" w:lineRule="exact"/>
              <w:jc w:val="both"/>
              <w:rPr>
                <w:rFonts w:ascii="宋体" w:hAnsi="宋体"/>
                <w:sz w:val="24"/>
              </w:rPr>
            </w:pPr>
            <w:r>
              <w:rPr>
                <w:rStyle w:val="39"/>
                <w:rFonts w:hint="eastAsia"/>
                <w:u w:val="single"/>
              </w:rPr>
              <w:sym w:font="Wingdings 2" w:char="0052"/>
            </w:r>
            <w:r>
              <w:rPr>
                <w:rStyle w:val="39"/>
                <w:rFonts w:hint="eastAsia"/>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（5）信誉要求</w:t>
            </w:r>
          </w:p>
        </w:tc>
        <w:tc>
          <w:tcPr>
            <w:tcW w:w="1786" w:type="dxa"/>
          </w:tcPr>
          <w:p>
            <w:pPr>
              <w:widowControl w:val="0"/>
              <w:spacing w:line="320" w:lineRule="exact"/>
              <w:jc w:val="both"/>
              <w:rPr>
                <w:rStyle w:val="39"/>
                <w:u w:val="single"/>
              </w:rPr>
            </w:pPr>
            <w:r>
              <w:rPr>
                <w:rStyle w:val="39"/>
                <w:rFonts w:hint="eastAsia"/>
                <w:u w:val="single"/>
              </w:rPr>
              <w:t xml:space="preserve">□不适用  </w:t>
            </w:r>
          </w:p>
          <w:p>
            <w:pPr>
              <w:widowControl w:val="0"/>
              <w:spacing w:line="320" w:lineRule="exact"/>
              <w:jc w:val="both"/>
              <w:rPr>
                <w:rFonts w:ascii="宋体" w:hAnsi="宋体"/>
                <w:sz w:val="24"/>
              </w:rPr>
            </w:pPr>
            <w:r>
              <w:rPr>
                <w:rFonts w:hint="eastAsia" w:asciiTheme="minorEastAsia" w:hAnsiTheme="minorEastAsia" w:eastAsiaTheme="minorEastAsia"/>
                <w:sz w:val="24"/>
              </w:rPr>
              <w:t>√</w:t>
            </w:r>
            <w:r>
              <w:rPr>
                <w:rStyle w:val="39"/>
                <w:rFonts w:hint="eastAsia"/>
                <w:u w:val="single"/>
              </w:rPr>
              <w:t>适用</w:t>
            </w:r>
          </w:p>
        </w:tc>
        <w:tc>
          <w:tcPr>
            <w:tcW w:w="4905" w:type="dxa"/>
          </w:tcPr>
          <w:p>
            <w:pPr>
              <w:widowControl w:val="0"/>
              <w:spacing w:line="320" w:lineRule="exact"/>
              <w:jc w:val="both"/>
              <w:rPr>
                <w:rStyle w:val="39"/>
                <w:u w:val="single"/>
              </w:rPr>
            </w:pPr>
            <w:r>
              <w:rPr>
                <w:rStyle w:val="39"/>
                <w:rFonts w:hint="eastAsia"/>
                <w:u w:val="single"/>
              </w:rPr>
              <w:t xml:space="preserve">□不适用  </w:t>
            </w:r>
          </w:p>
          <w:p>
            <w:pPr>
              <w:widowControl w:val="0"/>
              <w:spacing w:line="320" w:lineRule="exact"/>
              <w:jc w:val="both"/>
              <w:rPr>
                <w:rFonts w:ascii="宋体" w:hAnsi="宋体"/>
                <w:sz w:val="24"/>
              </w:rPr>
            </w:pPr>
            <w:r>
              <w:rPr>
                <w:rStyle w:val="39"/>
                <w:rFonts w:hint="eastAsia"/>
                <w:u w:val="single"/>
              </w:rPr>
              <w:sym w:font="Wingdings 2" w:char="0052"/>
            </w:r>
            <w:r>
              <w:rPr>
                <w:rStyle w:val="39"/>
                <w:rFonts w:hint="eastAsia"/>
                <w:u w:val="single"/>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288" w:lineRule="auto"/>
              <w:jc w:val="both"/>
              <w:rPr>
                <w:rFonts w:ascii="宋体" w:hAnsi="宋体"/>
                <w:sz w:val="24"/>
              </w:rPr>
            </w:pPr>
            <w:r>
              <w:rPr>
                <w:rFonts w:hint="eastAsia" w:ascii="宋体" w:hAnsi="宋体"/>
                <w:sz w:val="24"/>
              </w:rPr>
              <w:t>（6）承担本项目的主要人员要求</w:t>
            </w:r>
          </w:p>
        </w:tc>
        <w:tc>
          <w:tcPr>
            <w:tcW w:w="1786" w:type="dxa"/>
          </w:tcPr>
          <w:p>
            <w:pPr>
              <w:widowControl w:val="0"/>
              <w:spacing w:line="320" w:lineRule="exact"/>
              <w:jc w:val="both"/>
              <w:rPr>
                <w:rStyle w:val="39"/>
                <w:u w:val="single"/>
              </w:rPr>
            </w:pPr>
            <w:r>
              <w:rPr>
                <w:rStyle w:val="39"/>
                <w:rFonts w:hint="eastAsia"/>
                <w:u w:val="single"/>
              </w:rPr>
              <w:t xml:space="preserve">□不适用  </w:t>
            </w:r>
          </w:p>
          <w:p>
            <w:pPr>
              <w:widowControl w:val="0"/>
              <w:spacing w:line="320" w:lineRule="exact"/>
              <w:jc w:val="both"/>
              <w:rPr>
                <w:rFonts w:ascii="宋体" w:hAnsi="宋体"/>
                <w:sz w:val="24"/>
              </w:rPr>
            </w:pPr>
            <w:r>
              <w:rPr>
                <w:rFonts w:hint="eastAsia" w:asciiTheme="minorEastAsia" w:hAnsiTheme="minorEastAsia" w:eastAsiaTheme="minorEastAsia"/>
                <w:sz w:val="24"/>
              </w:rPr>
              <w:t>√</w:t>
            </w:r>
            <w:r>
              <w:rPr>
                <w:rStyle w:val="39"/>
                <w:rFonts w:hint="eastAsia"/>
                <w:u w:val="single"/>
              </w:rPr>
              <w:t>适用</w:t>
            </w:r>
          </w:p>
        </w:tc>
        <w:tc>
          <w:tcPr>
            <w:tcW w:w="4905" w:type="dxa"/>
          </w:tcPr>
          <w:p>
            <w:pPr>
              <w:widowControl w:val="0"/>
              <w:spacing w:line="320" w:lineRule="exact"/>
              <w:jc w:val="both"/>
              <w:rPr>
                <w:rStyle w:val="39"/>
                <w:u w:val="single"/>
              </w:rPr>
            </w:pPr>
            <w:r>
              <w:rPr>
                <w:rStyle w:val="39"/>
                <w:rFonts w:hint="eastAsia"/>
                <w:u w:val="single"/>
              </w:rPr>
              <w:t xml:space="preserve">□不适用  </w:t>
            </w:r>
          </w:p>
          <w:p>
            <w:pPr>
              <w:widowControl w:val="0"/>
              <w:spacing w:line="320" w:lineRule="exact"/>
              <w:jc w:val="both"/>
              <w:rPr>
                <w:rFonts w:ascii="宋体" w:hAnsi="宋体"/>
                <w:sz w:val="24"/>
              </w:rPr>
            </w:pPr>
            <w:r>
              <w:rPr>
                <w:rStyle w:val="39"/>
                <w:rFonts w:hint="eastAsia"/>
                <w:u w:val="single"/>
              </w:rPr>
              <w:sym w:font="Wingdings 2" w:char="0052"/>
            </w:r>
            <w:r>
              <w:rPr>
                <w:rStyle w:val="39"/>
                <w:rFonts w:hint="eastAsia"/>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（7）其他要求</w:t>
            </w:r>
          </w:p>
        </w:tc>
        <w:tc>
          <w:tcPr>
            <w:tcW w:w="1786" w:type="dxa"/>
          </w:tcPr>
          <w:p>
            <w:pPr>
              <w:widowControl w:val="0"/>
              <w:spacing w:line="320" w:lineRule="exact"/>
              <w:jc w:val="both"/>
              <w:rPr>
                <w:rStyle w:val="39"/>
                <w:u w:val="single"/>
              </w:rPr>
            </w:pPr>
            <w:r>
              <w:rPr>
                <w:rFonts w:hint="eastAsia" w:asciiTheme="minorEastAsia" w:hAnsiTheme="minorEastAsia" w:eastAsiaTheme="minorEastAsia"/>
                <w:sz w:val="24"/>
              </w:rPr>
              <w:t>√</w:t>
            </w:r>
            <w:r>
              <w:rPr>
                <w:rStyle w:val="39"/>
                <w:rFonts w:hint="eastAsia"/>
                <w:u w:val="single"/>
              </w:rPr>
              <w:t xml:space="preserve">不适用  </w:t>
            </w:r>
          </w:p>
          <w:p>
            <w:pPr>
              <w:widowControl w:val="0"/>
              <w:spacing w:line="320" w:lineRule="exact"/>
              <w:jc w:val="both"/>
              <w:rPr>
                <w:rFonts w:ascii="宋体" w:hAnsi="宋体"/>
                <w:sz w:val="24"/>
              </w:rPr>
            </w:pPr>
            <w:r>
              <w:rPr>
                <w:rStyle w:val="39"/>
                <w:rFonts w:hint="eastAsia"/>
                <w:u w:val="single"/>
              </w:rPr>
              <w:t>□适用</w:t>
            </w:r>
          </w:p>
        </w:tc>
        <w:tc>
          <w:tcPr>
            <w:tcW w:w="4905" w:type="dxa"/>
          </w:tcPr>
          <w:p>
            <w:pPr>
              <w:widowControl w:val="0"/>
              <w:spacing w:line="320" w:lineRule="exact"/>
              <w:jc w:val="both"/>
              <w:rPr>
                <w:rStyle w:val="39"/>
                <w:u w:val="single"/>
              </w:rPr>
            </w:pPr>
            <w:r>
              <w:rPr>
                <w:rStyle w:val="39"/>
                <w:rFonts w:hint="eastAsia"/>
                <w:u w:val="single"/>
              </w:rPr>
              <w:sym w:font="Wingdings 2" w:char="0052"/>
            </w:r>
            <w:r>
              <w:rPr>
                <w:rStyle w:val="39"/>
                <w:rFonts w:hint="eastAsia"/>
                <w:u w:val="single"/>
              </w:rPr>
              <w:t xml:space="preserve">不适用  </w:t>
            </w:r>
          </w:p>
          <w:p>
            <w:pPr>
              <w:widowControl w:val="0"/>
              <w:spacing w:line="320" w:lineRule="exact"/>
              <w:jc w:val="both"/>
              <w:rPr>
                <w:rFonts w:ascii="宋体" w:hAnsi="宋体"/>
                <w:sz w:val="24"/>
              </w:rPr>
            </w:pPr>
            <w:r>
              <w:rPr>
                <w:rStyle w:val="39"/>
                <w:rFonts w:hint="eastAsia"/>
                <w:u w:val="single"/>
              </w:rPr>
              <w:t>□适用,见采购文件供应商须知前附表3.5（7）。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widowControl w:val="0"/>
              <w:spacing w:line="288" w:lineRule="auto"/>
              <w:jc w:val="both"/>
              <w:rPr>
                <w:rFonts w:ascii="宋体" w:hAnsi="宋体"/>
                <w:sz w:val="24"/>
              </w:rPr>
            </w:pPr>
            <w:r>
              <w:rPr>
                <w:rFonts w:hint="eastAsia" w:ascii="宋体" w:hAnsi="宋体"/>
                <w:sz w:val="24"/>
              </w:rPr>
              <w:t>（8）供应商不存在第一章3.1款情形的证明材料</w:t>
            </w:r>
          </w:p>
        </w:tc>
        <w:tc>
          <w:tcPr>
            <w:tcW w:w="1786" w:type="dxa"/>
          </w:tcPr>
          <w:p>
            <w:pPr>
              <w:widowControl w:val="0"/>
              <w:spacing w:line="320" w:lineRule="exact"/>
              <w:jc w:val="both"/>
              <w:rPr>
                <w:rStyle w:val="39"/>
                <w:u w:val="single"/>
              </w:rPr>
            </w:pPr>
            <w:r>
              <w:rPr>
                <w:rFonts w:hint="eastAsia" w:asciiTheme="minorEastAsia" w:hAnsiTheme="minorEastAsia" w:eastAsiaTheme="minorEastAsia"/>
                <w:sz w:val="24"/>
              </w:rPr>
              <w:t>√</w:t>
            </w:r>
            <w:r>
              <w:rPr>
                <w:rStyle w:val="39"/>
                <w:rFonts w:hint="eastAsia"/>
                <w:u w:val="single"/>
              </w:rPr>
              <w:t xml:space="preserve">不适用  </w:t>
            </w:r>
          </w:p>
          <w:p>
            <w:pPr>
              <w:widowControl w:val="0"/>
              <w:spacing w:line="320" w:lineRule="exact"/>
              <w:jc w:val="both"/>
              <w:rPr>
                <w:rFonts w:ascii="宋体" w:hAnsi="宋体"/>
                <w:sz w:val="24"/>
              </w:rPr>
            </w:pPr>
            <w:r>
              <w:rPr>
                <w:rStyle w:val="39"/>
                <w:rFonts w:hint="eastAsia"/>
                <w:u w:val="single"/>
              </w:rPr>
              <w:t>□适用</w:t>
            </w:r>
          </w:p>
        </w:tc>
        <w:tc>
          <w:tcPr>
            <w:tcW w:w="4905" w:type="dxa"/>
          </w:tcPr>
          <w:p>
            <w:pPr>
              <w:widowControl w:val="0"/>
              <w:spacing w:line="320" w:lineRule="exact"/>
              <w:jc w:val="both"/>
              <w:rPr>
                <w:rStyle w:val="39"/>
                <w:u w:val="single"/>
              </w:rPr>
            </w:pPr>
            <w:r>
              <w:rPr>
                <w:rStyle w:val="39"/>
                <w:rFonts w:hint="eastAsia"/>
                <w:u w:val="single"/>
              </w:rPr>
              <w:sym w:font="Wingdings 2" w:char="0052"/>
            </w:r>
            <w:r>
              <w:rPr>
                <w:rStyle w:val="39"/>
                <w:rFonts w:hint="eastAsia"/>
                <w:u w:val="single"/>
              </w:rPr>
              <w:t xml:space="preserve">不适用  </w:t>
            </w:r>
          </w:p>
          <w:p>
            <w:pPr>
              <w:widowControl w:val="0"/>
              <w:spacing w:line="320" w:lineRule="exact"/>
              <w:jc w:val="both"/>
              <w:rPr>
                <w:rFonts w:ascii="宋体" w:hAnsi="宋体"/>
                <w:sz w:val="24"/>
              </w:rPr>
            </w:pPr>
            <w:r>
              <w:rPr>
                <w:rStyle w:val="39"/>
                <w:rFonts w:hint="eastAsia"/>
                <w:u w:val="single"/>
              </w:rPr>
              <w:t>□适用,见采购文件供应商须知前附表3.5（8）。</w:t>
            </w:r>
          </w:p>
        </w:tc>
      </w:tr>
    </w:tbl>
    <w:p>
      <w:pPr>
        <w:pStyle w:val="5"/>
        <w:jc w:val="both"/>
        <w:rPr>
          <w:rFonts w:ascii="Arial" w:hAnsi="Arial"/>
        </w:rPr>
      </w:pPr>
      <w:r>
        <w:rPr>
          <w:rFonts w:hint="eastAsia"/>
        </w:rPr>
        <w:t>四、</w:t>
      </w:r>
      <w:r>
        <w:rPr>
          <w:rFonts w:hint="eastAsia" w:ascii="黑体" w:hAnsi="黑体"/>
        </w:rPr>
        <w:t>响应保证金</w:t>
      </w:r>
    </w:p>
    <w:tbl>
      <w:tblPr>
        <w:tblStyle w:val="3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597"/>
        <w:gridCol w:w="2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黑体" w:hAnsi="黑体"/>
              </w:rPr>
            </w:pPr>
            <w:r>
              <w:rPr>
                <w:rFonts w:hint="eastAsia" w:ascii="黑体" w:hAnsi="黑体"/>
              </w:rPr>
              <w:t>响应</w:t>
            </w:r>
            <w:r>
              <w:rPr>
                <w:rFonts w:hint="eastAsia" w:ascii="宋体" w:hAnsi="宋体"/>
                <w:sz w:val="24"/>
              </w:rPr>
              <w:t>保证金的递交</w:t>
            </w:r>
          </w:p>
        </w:tc>
        <w:tc>
          <w:tcPr>
            <w:tcW w:w="3597" w:type="dxa"/>
          </w:tcPr>
          <w:p>
            <w:pPr>
              <w:widowControl w:val="0"/>
              <w:autoSpaceDE w:val="0"/>
              <w:spacing w:line="400" w:lineRule="exact"/>
              <w:jc w:val="both"/>
              <w:rPr>
                <w:rFonts w:ascii="黑体" w:hAnsi="黑体"/>
              </w:rPr>
            </w:pPr>
            <w:r>
              <w:rPr>
                <w:rFonts w:hint="eastAsia" w:ascii="宋体" w:hAnsi="宋体"/>
                <w:sz w:val="24"/>
              </w:rPr>
              <w:t>不退还响应保证金的其他情形</w:t>
            </w:r>
          </w:p>
        </w:tc>
        <w:tc>
          <w:tcPr>
            <w:tcW w:w="2924" w:type="dxa"/>
          </w:tcPr>
          <w:p>
            <w:pPr>
              <w:widowControl w:val="0"/>
              <w:autoSpaceDE w:val="0"/>
              <w:spacing w:line="400" w:lineRule="exact"/>
              <w:jc w:val="both"/>
              <w:rPr>
                <w:rFonts w:ascii="黑体" w:hAnsi="黑体"/>
              </w:rPr>
            </w:pPr>
            <w:r>
              <w:rPr>
                <w:rFonts w:hint="eastAsia" w:ascii="宋体" w:hAnsi="宋体"/>
                <w:sz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宋体" w:hAnsi="宋体"/>
                <w:sz w:val="24"/>
              </w:rPr>
            </w:pPr>
            <w:r>
              <w:rPr>
                <w:rFonts w:hint="eastAsia" w:asciiTheme="minorEastAsia" w:hAnsiTheme="minorEastAsia" w:eastAsiaTheme="minorEastAsia"/>
                <w:sz w:val="24"/>
              </w:rPr>
              <w:t>√</w:t>
            </w:r>
            <w:r>
              <w:rPr>
                <w:rFonts w:hint="eastAsia" w:ascii="宋体" w:hAnsi="宋体"/>
                <w:sz w:val="24"/>
              </w:rPr>
              <w:t>不要求递交</w:t>
            </w:r>
          </w:p>
          <w:p>
            <w:pPr>
              <w:widowControl w:val="0"/>
              <w:autoSpaceDE w:val="0"/>
              <w:spacing w:line="400" w:lineRule="exact"/>
              <w:jc w:val="both"/>
              <w:rPr>
                <w:rFonts w:ascii="宋体" w:hAnsi="宋体"/>
                <w:sz w:val="24"/>
              </w:rPr>
            </w:pPr>
            <w:r>
              <w:rPr>
                <w:rStyle w:val="39"/>
                <w:rFonts w:hint="eastAsia"/>
              </w:rPr>
              <w:t>□</w:t>
            </w:r>
            <w:r>
              <w:rPr>
                <w:rFonts w:hint="eastAsia" w:ascii="宋体" w:hAnsi="宋体"/>
                <w:sz w:val="24"/>
              </w:rPr>
              <w:t>要求递交</w:t>
            </w:r>
          </w:p>
          <w:p>
            <w:pPr>
              <w:widowControl w:val="0"/>
              <w:autoSpaceDE w:val="0"/>
              <w:spacing w:line="400" w:lineRule="exact"/>
              <w:jc w:val="both"/>
              <w:rPr>
                <w:rFonts w:ascii="宋体" w:hAnsi="宋体"/>
                <w:sz w:val="24"/>
              </w:rPr>
            </w:pPr>
            <w:r>
              <w:rPr>
                <w:rFonts w:hint="eastAsia" w:ascii="宋体" w:hAnsi="宋体"/>
                <w:sz w:val="24"/>
              </w:rPr>
              <w:t>保证金金额：_________；</w:t>
            </w:r>
          </w:p>
          <w:p>
            <w:pPr>
              <w:widowControl w:val="0"/>
              <w:autoSpaceDE w:val="0"/>
              <w:spacing w:line="400" w:lineRule="exact"/>
              <w:jc w:val="both"/>
              <w:rPr>
                <w:rFonts w:ascii="宋体" w:hAnsi="宋体"/>
                <w:sz w:val="24"/>
              </w:rPr>
            </w:pPr>
            <w:r>
              <w:rPr>
                <w:rFonts w:hint="eastAsia" w:ascii="宋体" w:hAnsi="宋体"/>
                <w:sz w:val="24"/>
              </w:rPr>
              <w:t>保证金形式：________；</w:t>
            </w:r>
          </w:p>
        </w:tc>
        <w:tc>
          <w:tcPr>
            <w:tcW w:w="3597" w:type="dxa"/>
          </w:tcPr>
          <w:p>
            <w:pPr>
              <w:widowControl w:val="0"/>
              <w:autoSpaceDE w:val="0"/>
              <w:spacing w:line="400" w:lineRule="exact"/>
              <w:jc w:val="both"/>
              <w:rPr>
                <w:rFonts w:ascii="宋体" w:hAnsi="宋体"/>
                <w:sz w:val="24"/>
              </w:rPr>
            </w:pPr>
            <w:r>
              <w:rPr>
                <w:rFonts w:hint="eastAsia" w:asciiTheme="minorEastAsia" w:hAnsiTheme="minorEastAsia" w:eastAsiaTheme="minorEastAsia"/>
                <w:sz w:val="24"/>
              </w:rPr>
              <w:t>√</w:t>
            </w:r>
            <w:r>
              <w:rPr>
                <w:rStyle w:val="39"/>
                <w:rFonts w:hint="eastAsia"/>
              </w:rPr>
              <w:t>不</w:t>
            </w:r>
            <w:r>
              <w:rPr>
                <w:rFonts w:hint="eastAsia" w:ascii="宋体" w:hAnsi="宋体"/>
                <w:sz w:val="24"/>
              </w:rPr>
              <w:t>适用</w:t>
            </w:r>
          </w:p>
          <w:p>
            <w:pPr>
              <w:widowControl w:val="0"/>
              <w:autoSpaceDE w:val="0"/>
              <w:spacing w:line="400" w:lineRule="exact"/>
              <w:jc w:val="both"/>
              <w:rPr>
                <w:rFonts w:ascii="宋体" w:hAnsi="宋体"/>
                <w:sz w:val="24"/>
              </w:rPr>
            </w:pPr>
            <w:r>
              <w:rPr>
                <w:rStyle w:val="39"/>
                <w:rFonts w:hint="eastAsia"/>
              </w:rPr>
              <w:t>□</w:t>
            </w:r>
            <w:r>
              <w:rPr>
                <w:rFonts w:hint="eastAsia" w:ascii="宋体" w:hAnsi="宋体"/>
                <w:sz w:val="24"/>
              </w:rPr>
              <w:t>适用，具体如下：</w:t>
            </w:r>
          </w:p>
          <w:p>
            <w:pPr>
              <w:widowControl w:val="0"/>
              <w:autoSpaceDE w:val="0"/>
              <w:spacing w:line="400" w:lineRule="exact"/>
              <w:jc w:val="both"/>
              <w:rPr>
                <w:rFonts w:ascii="宋体" w:hAnsi="宋体"/>
                <w:sz w:val="24"/>
              </w:rPr>
            </w:pPr>
          </w:p>
          <w:p>
            <w:pPr>
              <w:widowControl w:val="0"/>
              <w:autoSpaceDE w:val="0"/>
              <w:spacing w:line="400" w:lineRule="exact"/>
              <w:jc w:val="both"/>
              <w:rPr>
                <w:rFonts w:ascii="黑体" w:hAnsi="黑体"/>
              </w:rPr>
            </w:pPr>
          </w:p>
        </w:tc>
        <w:tc>
          <w:tcPr>
            <w:tcW w:w="2924" w:type="dxa"/>
          </w:tcPr>
          <w:p>
            <w:pPr>
              <w:widowControl w:val="0"/>
              <w:autoSpaceDE w:val="0"/>
              <w:spacing w:line="400" w:lineRule="exact"/>
              <w:jc w:val="both"/>
              <w:rPr>
                <w:rFonts w:ascii="宋体" w:hAnsi="宋体"/>
                <w:sz w:val="24"/>
              </w:rPr>
            </w:pPr>
            <w:r>
              <w:rPr>
                <w:rFonts w:hint="eastAsia" w:asciiTheme="minorEastAsia" w:hAnsiTheme="minorEastAsia" w:eastAsiaTheme="minorEastAsia"/>
                <w:sz w:val="24"/>
              </w:rPr>
              <w:t>√</w:t>
            </w:r>
            <w:r>
              <w:rPr>
                <w:rFonts w:hint="eastAsia" w:ascii="宋体" w:hAnsi="宋体"/>
                <w:sz w:val="24"/>
              </w:rPr>
              <w:t>不适用</w:t>
            </w:r>
          </w:p>
          <w:p>
            <w:pPr>
              <w:widowControl w:val="0"/>
              <w:autoSpaceDE w:val="0"/>
              <w:spacing w:line="400" w:lineRule="exact"/>
              <w:jc w:val="both"/>
              <w:rPr>
                <w:rFonts w:ascii="宋体" w:hAnsi="宋体"/>
                <w:sz w:val="24"/>
              </w:rPr>
            </w:pPr>
            <w:r>
              <w:rPr>
                <w:rStyle w:val="39"/>
                <w:rFonts w:hint="eastAsia"/>
              </w:rPr>
              <w:t>□</w:t>
            </w:r>
            <w:r>
              <w:rPr>
                <w:rFonts w:hint="eastAsia" w:ascii="宋体" w:hAnsi="宋体"/>
                <w:sz w:val="24"/>
              </w:rPr>
              <w:t>适用，具体如下：</w:t>
            </w:r>
          </w:p>
          <w:p>
            <w:pPr>
              <w:widowControl w:val="0"/>
              <w:autoSpaceDE w:val="0"/>
              <w:spacing w:line="400" w:lineRule="exact"/>
              <w:jc w:val="both"/>
              <w:rPr>
                <w:rFonts w:ascii="宋体" w:hAnsi="宋体"/>
                <w:sz w:val="24"/>
              </w:rPr>
            </w:pPr>
          </w:p>
          <w:p>
            <w:pPr>
              <w:widowControl w:val="0"/>
              <w:autoSpaceDE w:val="0"/>
              <w:spacing w:line="400" w:lineRule="exact"/>
              <w:jc w:val="both"/>
              <w:rPr>
                <w:rFonts w:ascii="黑体" w:hAnsi="黑体"/>
              </w:rPr>
            </w:pPr>
          </w:p>
        </w:tc>
      </w:tr>
    </w:tbl>
    <w:p>
      <w:pPr>
        <w:pStyle w:val="5"/>
        <w:jc w:val="both"/>
        <w:rPr>
          <w:rFonts w:ascii="Arial" w:hAnsi="Arial"/>
        </w:rPr>
      </w:pPr>
      <w:r>
        <w:rPr>
          <w:rFonts w:hint="eastAsia"/>
        </w:rPr>
        <w:t>五、</w:t>
      </w:r>
      <w:r>
        <w:rPr>
          <w:rFonts w:hint="eastAsia" w:ascii="黑体" w:hAnsi="黑体"/>
        </w:rPr>
        <w:t>确定成交供应商的方法</w:t>
      </w:r>
    </w:p>
    <w:p>
      <w:pPr>
        <w:autoSpaceDE w:val="0"/>
        <w:spacing w:line="400" w:lineRule="exact"/>
        <w:jc w:val="both"/>
        <w:rPr>
          <w:rFonts w:ascii="宋体" w:hAnsi="宋体" w:cs="宋体"/>
          <w:sz w:val="24"/>
        </w:rPr>
      </w:pPr>
      <w:r>
        <w:rPr>
          <w:rFonts w:hint="eastAsia" w:ascii="宋体" w:hAnsi="宋体"/>
          <w:sz w:val="24"/>
        </w:rPr>
        <w:t>（一）</w:t>
      </w:r>
      <w:r>
        <w:rPr>
          <w:rFonts w:hint="eastAsia" w:ascii="宋体" w:hAnsi="宋体" w:cs="宋体"/>
          <w:sz w:val="24"/>
        </w:rPr>
        <w:t>本项目评</w:t>
      </w:r>
      <w:r>
        <w:rPr>
          <w:rFonts w:hint="eastAsia" w:ascii="宋体" w:hAnsi="宋体" w:cs="宋体"/>
          <w:sz w:val="24"/>
          <w:lang w:val="en-US" w:eastAsia="zh-CN"/>
        </w:rPr>
        <w:t>审</w:t>
      </w:r>
      <w:r>
        <w:rPr>
          <w:rFonts w:hint="eastAsia" w:ascii="宋体" w:hAnsi="宋体" w:cs="宋体"/>
          <w:sz w:val="24"/>
        </w:rPr>
        <w:t>办法采用</w:t>
      </w:r>
      <w:r>
        <w:rPr>
          <w:rFonts w:hint="eastAsia" w:ascii="宋体" w:hAnsi="宋体" w:cs="宋体"/>
          <w:sz w:val="24"/>
          <w:u w:val="single"/>
        </w:rPr>
        <w:t>综合评估法</w:t>
      </w:r>
      <w:r>
        <w:rPr>
          <w:rFonts w:hint="eastAsia" w:ascii="宋体" w:hAnsi="宋体" w:cs="宋体"/>
          <w:sz w:val="24"/>
        </w:rPr>
        <w:t>。</w:t>
      </w:r>
    </w:p>
    <w:p>
      <w:pPr>
        <w:autoSpaceDE w:val="0"/>
        <w:spacing w:line="400" w:lineRule="exact"/>
        <w:jc w:val="both"/>
        <w:rPr>
          <w:rFonts w:ascii="宋体" w:hAnsi="宋体"/>
          <w:sz w:val="24"/>
        </w:rPr>
      </w:pPr>
      <w:r>
        <w:rPr>
          <w:rFonts w:hint="eastAsia" w:ascii="宋体" w:hAnsi="宋体"/>
          <w:sz w:val="24"/>
        </w:rPr>
        <w:t xml:space="preserve">（二）采购人应当确定排名第一的成交候选供应商为成交供应商。若排名第一的成交候选供应商未通过履约能力和报价核查，采购人应按推荐的名单排序依次确定其他成交候选供应商为成交供应商。 </w:t>
      </w:r>
    </w:p>
    <w:p>
      <w:pPr>
        <w:pStyle w:val="5"/>
        <w:jc w:val="both"/>
        <w:rPr>
          <w:rFonts w:ascii="Arial" w:hAnsi="Arial"/>
        </w:rPr>
      </w:pPr>
      <w:r>
        <w:rPr>
          <w:rFonts w:hint="eastAsia"/>
        </w:rPr>
        <w:t>六、</w:t>
      </w:r>
      <w:r>
        <w:rPr>
          <w:rFonts w:hint="eastAsia" w:ascii="黑体" w:hAnsi="黑体"/>
        </w:rPr>
        <w:t>采购文件获取</w:t>
      </w:r>
    </w:p>
    <w:p>
      <w:pPr>
        <w:autoSpaceDE w:val="0"/>
        <w:spacing w:line="400" w:lineRule="exact"/>
        <w:jc w:val="both"/>
        <w:rPr>
          <w:rFonts w:hint="eastAsia" w:ascii="宋体" w:hAnsi="宋体" w:eastAsia="宋体"/>
          <w:sz w:val="24"/>
          <w:lang w:val="en-US" w:eastAsia="zh-CN"/>
        </w:rPr>
      </w:pPr>
      <w:r>
        <w:rPr>
          <w:rFonts w:hint="eastAsia" w:ascii="宋体" w:hAnsi="宋体"/>
          <w:sz w:val="24"/>
        </w:rPr>
        <w:t>（一）供应商应当于</w:t>
      </w:r>
      <w:r>
        <w:rPr>
          <w:rFonts w:ascii="宋体" w:hAnsi="宋体"/>
          <w:sz w:val="24"/>
        </w:rPr>
        <w:t>2022</w:t>
      </w:r>
      <w:r>
        <w:rPr>
          <w:rFonts w:hint="eastAsia" w:ascii="宋体" w:hAnsi="宋体"/>
          <w:sz w:val="24"/>
        </w:rPr>
        <w:t>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5</w:t>
      </w:r>
      <w:r>
        <w:rPr>
          <w:rFonts w:hint="eastAsia" w:ascii="宋体" w:hAnsi="宋体"/>
          <w:sz w:val="24"/>
        </w:rPr>
        <w:t>日至</w:t>
      </w:r>
      <w:r>
        <w:rPr>
          <w:rFonts w:ascii="宋体" w:hAnsi="宋体"/>
          <w:sz w:val="24"/>
        </w:rPr>
        <w:t>2022</w:t>
      </w:r>
      <w:r>
        <w:rPr>
          <w:rFonts w:hint="eastAsia" w:ascii="宋体" w:hAnsi="宋体"/>
          <w:sz w:val="24"/>
        </w:rPr>
        <w:t>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11</w:t>
      </w:r>
      <w:r>
        <w:rPr>
          <w:rFonts w:hint="eastAsia" w:ascii="宋体" w:hAnsi="宋体"/>
          <w:sz w:val="24"/>
        </w:rPr>
        <w:t>日，在中国</w:t>
      </w:r>
      <w:r>
        <w:rPr>
          <w:rFonts w:hint="eastAsia" w:ascii="宋体" w:hAnsi="宋体"/>
          <w:sz w:val="24"/>
          <w:lang w:val="en-US" w:eastAsia="zh-CN"/>
        </w:rPr>
        <w:t>招标投标</w:t>
      </w:r>
      <w:r>
        <w:rPr>
          <w:rFonts w:hint="eastAsia" w:ascii="宋体" w:hAnsi="宋体"/>
          <w:sz w:val="24"/>
        </w:rPr>
        <w:t>公共服务平台（http：//www.cebpubservice.com）、湖南省湘水集团有限公司网站（http：//www.hnsxsjt.com）、湖南省港务集团有限公司（http://www.hnsgwjt.com）上获取采购文件</w:t>
      </w:r>
      <w:r>
        <w:rPr>
          <w:rFonts w:hint="eastAsia" w:ascii="宋体" w:hAnsi="宋体"/>
          <w:sz w:val="24"/>
          <w:lang w:val="en-US" w:eastAsia="zh-CN"/>
        </w:rPr>
        <w:t>.</w:t>
      </w:r>
      <w:bookmarkStart w:id="97" w:name="_GoBack"/>
      <w:bookmarkEnd w:id="97"/>
    </w:p>
    <w:p>
      <w:pPr>
        <w:autoSpaceDE w:val="0"/>
        <w:spacing w:line="400" w:lineRule="exact"/>
        <w:jc w:val="both"/>
        <w:rPr>
          <w:rFonts w:hint="default" w:ascii="宋体" w:hAnsi="宋体" w:eastAsia="宋体"/>
          <w:sz w:val="24"/>
          <w:lang w:val="en-US" w:eastAsia="zh-CN"/>
        </w:rPr>
      </w:pPr>
      <w:r>
        <w:rPr>
          <w:rFonts w:hint="eastAsia" w:ascii="宋体" w:hAnsi="宋体"/>
          <w:sz w:val="24"/>
        </w:rPr>
        <w:t>（二）供应商若对本项目采购需求、资格要求等有疑问的，应当于</w:t>
      </w:r>
      <w:r>
        <w:rPr>
          <w:rFonts w:ascii="宋体" w:hAnsi="宋体"/>
          <w:sz w:val="24"/>
        </w:rPr>
        <w:t>2022</w:t>
      </w:r>
      <w:r>
        <w:rPr>
          <w:rFonts w:hint="eastAsia" w:ascii="宋体" w:hAnsi="宋体"/>
          <w:sz w:val="24"/>
        </w:rPr>
        <w:t>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12</w:t>
      </w:r>
      <w:r>
        <w:rPr>
          <w:rFonts w:hint="eastAsia" w:ascii="宋体" w:hAnsi="宋体"/>
          <w:sz w:val="24"/>
        </w:rPr>
        <w:t xml:space="preserve"> 日</w:t>
      </w:r>
      <w:r>
        <w:rPr>
          <w:rFonts w:hint="eastAsia" w:ascii="宋体" w:hAnsi="宋体"/>
          <w:sz w:val="24"/>
          <w:lang w:val="en-US" w:eastAsia="zh-CN"/>
        </w:rPr>
        <w:t>9</w:t>
      </w:r>
      <w:r>
        <w:rPr>
          <w:rFonts w:hint="eastAsia" w:ascii="宋体" w:hAnsi="宋体"/>
          <w:sz w:val="24"/>
        </w:rPr>
        <w:t>时</w:t>
      </w:r>
      <w:r>
        <w:rPr>
          <w:rFonts w:hint="eastAsia" w:ascii="宋体" w:hAnsi="宋体"/>
          <w:sz w:val="24"/>
          <w:lang w:val="en-US" w:eastAsia="zh-CN"/>
        </w:rPr>
        <w:t>0</w:t>
      </w:r>
      <w:r>
        <w:rPr>
          <w:rFonts w:ascii="宋体" w:hAnsi="宋体"/>
          <w:sz w:val="24"/>
        </w:rPr>
        <w:t>0</w:t>
      </w:r>
      <w:r>
        <w:rPr>
          <w:rFonts w:hint="eastAsia" w:ascii="宋体" w:hAnsi="宋体"/>
          <w:sz w:val="24"/>
        </w:rPr>
        <w:t>分前向采购人提出澄清要求，于</w:t>
      </w:r>
      <w:r>
        <w:rPr>
          <w:rFonts w:ascii="宋体" w:hAnsi="宋体"/>
          <w:sz w:val="24"/>
        </w:rPr>
        <w:t>2022</w:t>
      </w:r>
      <w:r>
        <w:rPr>
          <w:rFonts w:hint="eastAsia" w:ascii="宋体" w:hAnsi="宋体"/>
          <w:sz w:val="24"/>
        </w:rPr>
        <w:t>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14</w:t>
      </w:r>
      <w:r>
        <w:rPr>
          <w:rFonts w:hint="eastAsia" w:ascii="宋体" w:hAnsi="宋体"/>
          <w:sz w:val="24"/>
        </w:rPr>
        <w:t>日</w:t>
      </w:r>
      <w:r>
        <w:rPr>
          <w:rFonts w:hint="eastAsia" w:ascii="宋体" w:hAnsi="宋体"/>
          <w:sz w:val="24"/>
          <w:lang w:val="en-US" w:eastAsia="zh-CN"/>
        </w:rPr>
        <w:t>9</w:t>
      </w:r>
      <w:r>
        <w:rPr>
          <w:rFonts w:hint="eastAsia" w:ascii="宋体" w:hAnsi="宋体"/>
          <w:sz w:val="24"/>
        </w:rPr>
        <w:t>时</w:t>
      </w:r>
      <w:r>
        <w:rPr>
          <w:rFonts w:hint="eastAsia" w:ascii="宋体" w:hAnsi="宋体"/>
          <w:sz w:val="24"/>
          <w:lang w:val="en-US" w:eastAsia="zh-CN"/>
        </w:rPr>
        <w:t>0</w:t>
      </w:r>
      <w:r>
        <w:rPr>
          <w:rFonts w:ascii="宋体" w:hAnsi="宋体"/>
          <w:sz w:val="24"/>
        </w:rPr>
        <w:t>0</w:t>
      </w:r>
      <w:r>
        <w:rPr>
          <w:rFonts w:hint="eastAsia" w:ascii="宋体" w:hAnsi="宋体"/>
          <w:sz w:val="24"/>
        </w:rPr>
        <w:t>分前</w:t>
      </w:r>
      <w:r>
        <w:rPr>
          <w:rFonts w:hint="eastAsia" w:ascii="宋体" w:hAnsi="宋体"/>
          <w:sz w:val="24"/>
          <w:lang w:val="en-US" w:eastAsia="zh-CN"/>
        </w:rPr>
        <w:t>将响应文件送达至湖南岳阳云溪区湖南省港务集团有限公司办公楼602招标室。</w:t>
      </w:r>
    </w:p>
    <w:p>
      <w:pPr>
        <w:pStyle w:val="5"/>
        <w:jc w:val="both"/>
      </w:pPr>
      <w:r>
        <w:rPr>
          <w:rFonts w:hint="eastAsia"/>
        </w:rPr>
        <w:t>七、最高限价</w:t>
      </w:r>
    </w:p>
    <w:p>
      <w:pPr>
        <w:spacing w:line="312" w:lineRule="auto"/>
        <w:ind w:firstLine="482"/>
      </w:pPr>
      <w:bookmarkStart w:id="12" w:name="_Toc40274970"/>
      <w:bookmarkStart w:id="13" w:name="_Toc38287094"/>
      <w:r>
        <w:rPr>
          <w:rFonts w:hint="eastAsia" w:ascii="宋体" w:hAnsi="宋体"/>
          <w:color w:val="000000"/>
          <w:sz w:val="24"/>
        </w:rPr>
        <w:t>采购人为本次</w:t>
      </w:r>
      <w:r>
        <w:rPr>
          <w:rFonts w:hint="eastAsia" w:ascii="宋体" w:hAnsi="宋体"/>
          <w:color w:val="000000"/>
          <w:sz w:val="24"/>
          <w:lang w:eastAsia="zh-CN"/>
        </w:rPr>
        <w:t>采购</w:t>
      </w:r>
      <w:r>
        <w:rPr>
          <w:rFonts w:hint="eastAsia" w:ascii="宋体" w:hAnsi="宋体"/>
          <w:color w:val="000000"/>
          <w:sz w:val="24"/>
        </w:rPr>
        <w:t xml:space="preserve">编制了最高限价，最高限价： </w:t>
      </w:r>
      <w:r>
        <w:rPr>
          <w:rFonts w:hint="eastAsia" w:ascii="宋体" w:hAnsi="宋体"/>
          <w:color w:val="000000"/>
          <w:sz w:val="24"/>
          <w:u w:val="single"/>
        </w:rPr>
        <w:t xml:space="preserve">大写：贰拾万元整   </w:t>
      </w:r>
      <w:r>
        <w:rPr>
          <w:rFonts w:hint="eastAsia" w:ascii="宋体" w:hAnsi="宋体"/>
          <w:color w:val="000000"/>
          <w:sz w:val="24"/>
        </w:rPr>
        <w:t>（小写：</w:t>
      </w:r>
      <w:r>
        <w:rPr>
          <w:rFonts w:cs="仿宋" w:asciiTheme="minorEastAsia" w:hAnsiTheme="minorEastAsia" w:eastAsiaTheme="minorEastAsia"/>
          <w:sz w:val="24"/>
        </w:rPr>
        <w:t>¥</w:t>
      </w:r>
      <w:r>
        <w:rPr>
          <w:rFonts w:hint="eastAsia" w:ascii="宋体" w:hAnsi="宋体"/>
          <w:color w:val="000000"/>
          <w:sz w:val="24"/>
          <w:u w:val="single"/>
        </w:rPr>
        <w:t xml:space="preserve"> </w:t>
      </w:r>
      <w:r>
        <w:rPr>
          <w:rFonts w:ascii="宋体" w:hAnsi="宋体"/>
          <w:color w:val="000000"/>
          <w:sz w:val="24"/>
          <w:u w:val="single"/>
        </w:rPr>
        <w:t>200</w:t>
      </w:r>
      <w:r>
        <w:rPr>
          <w:rFonts w:hint="eastAsia" w:ascii="宋体" w:hAnsi="宋体"/>
          <w:color w:val="000000"/>
          <w:sz w:val="24"/>
          <w:u w:val="single"/>
          <w:lang w:eastAsia="zh-CN"/>
        </w:rPr>
        <w:t>，</w:t>
      </w:r>
      <w:r>
        <w:rPr>
          <w:rFonts w:ascii="宋体" w:hAnsi="宋体"/>
          <w:color w:val="000000"/>
          <w:sz w:val="24"/>
          <w:u w:val="single"/>
        </w:rPr>
        <w:t>000</w:t>
      </w:r>
      <w:r>
        <w:rPr>
          <w:rFonts w:hint="eastAsia" w:ascii="宋体" w:hAnsi="宋体"/>
          <w:color w:val="000000"/>
          <w:sz w:val="24"/>
          <w:u w:val="single"/>
          <w:lang w:val="en-US" w:eastAsia="zh-CN"/>
        </w:rPr>
        <w:t>.00</w:t>
      </w:r>
      <w:r>
        <w:rPr>
          <w:rFonts w:hint="eastAsia" w:ascii="宋体" w:hAnsi="宋体"/>
          <w:color w:val="000000"/>
          <w:sz w:val="24"/>
        </w:rPr>
        <w:t>）含</w:t>
      </w:r>
      <w:r>
        <w:rPr>
          <w:rFonts w:ascii="宋体" w:hAnsi="宋体"/>
          <w:color w:val="000000"/>
          <w:sz w:val="24"/>
        </w:rPr>
        <w:t>6</w:t>
      </w:r>
      <w:r>
        <w:rPr>
          <w:rFonts w:hint="eastAsia" w:ascii="宋体" w:hAnsi="宋体"/>
          <w:color w:val="000000"/>
          <w:sz w:val="24"/>
        </w:rPr>
        <w:t>%增值税税率</w:t>
      </w:r>
      <w:r>
        <w:rPr>
          <w:rFonts w:hint="eastAsia" w:ascii="宋体" w:hAnsi="宋体"/>
          <w:color w:val="000000"/>
          <w:sz w:val="24"/>
          <w:lang w:eastAsia="zh-CN"/>
        </w:rPr>
        <w:t>，</w:t>
      </w:r>
      <w:r>
        <w:rPr>
          <w:rFonts w:hint="eastAsia" w:ascii="宋体" w:hAnsi="宋体"/>
          <w:color w:val="000000"/>
          <w:sz w:val="24"/>
          <w:lang w:val="en-US" w:eastAsia="zh-CN"/>
        </w:rPr>
        <w:t>响应人如提供其他税率发票，采购人按6%税率调整后参与排序</w:t>
      </w:r>
      <w:r>
        <w:rPr>
          <w:rFonts w:hint="eastAsia" w:ascii="宋体" w:hAnsi="宋体"/>
          <w:color w:val="000000"/>
          <w:sz w:val="24"/>
        </w:rPr>
        <w:t>。</w:t>
      </w:r>
      <w:r>
        <w:rPr>
          <w:rFonts w:hint="eastAsia" w:ascii="宋体" w:hAnsi="宋体"/>
          <w:color w:val="000000"/>
          <w:sz w:val="24"/>
          <w:lang w:val="en-US" w:eastAsia="zh-CN"/>
        </w:rPr>
        <w:t>调整后的</w:t>
      </w:r>
      <w:r>
        <w:rPr>
          <w:rFonts w:hint="eastAsia" w:ascii="宋体" w:hAnsi="宋体"/>
          <w:color w:val="000000"/>
          <w:sz w:val="24"/>
        </w:rPr>
        <w:t>响应报价应不高于最高限价，否则其响应文件将被否决。</w:t>
      </w:r>
      <w:bookmarkEnd w:id="12"/>
      <w:bookmarkEnd w:id="13"/>
    </w:p>
    <w:p>
      <w:pPr>
        <w:pStyle w:val="5"/>
        <w:jc w:val="both"/>
      </w:pPr>
      <w:bookmarkStart w:id="14" w:name="_Toc77254104"/>
      <w:bookmarkStart w:id="15" w:name="_Toc76635692"/>
      <w:bookmarkStart w:id="16" w:name="_Toc512257471"/>
      <w:bookmarkStart w:id="17" w:name="_Toc79596547"/>
      <w:r>
        <w:rPr>
          <w:rFonts w:hint="eastAsia"/>
        </w:rPr>
        <w:t>八、</w:t>
      </w:r>
      <w:r>
        <w:t>监督</w:t>
      </w:r>
      <w:bookmarkEnd w:id="14"/>
      <w:bookmarkEnd w:id="15"/>
      <w:bookmarkEnd w:id="16"/>
      <w:r>
        <w:rPr>
          <w:rFonts w:hint="eastAsia"/>
        </w:rPr>
        <w:t>部门</w:t>
      </w:r>
      <w:bookmarkEnd w:id="17"/>
    </w:p>
    <w:p>
      <w:pPr>
        <w:pStyle w:val="31"/>
        <w:widowControl w:val="0"/>
        <w:adjustRightInd w:val="0"/>
        <w:snapToGrid w:val="0"/>
        <w:spacing w:before="0" w:beforeAutospacing="0" w:after="0" w:afterAutospacing="0" w:line="312" w:lineRule="auto"/>
        <w:ind w:firstLine="480" w:firstLineChars="200"/>
        <w:jc w:val="both"/>
        <w:rPr>
          <w:rFonts w:cs="Times New Roman"/>
        </w:rPr>
      </w:pPr>
      <w:r>
        <w:rPr>
          <w:rFonts w:cs="Times New Roman"/>
        </w:rPr>
        <w:t>本次</w:t>
      </w:r>
      <w:r>
        <w:rPr>
          <w:rFonts w:hint="eastAsia" w:cs="Times New Roman"/>
        </w:rPr>
        <w:t>采购</w:t>
      </w:r>
      <w:r>
        <w:rPr>
          <w:rFonts w:cs="Times New Roman"/>
        </w:rPr>
        <w:t xml:space="preserve">监督部门为 </w:t>
      </w:r>
      <w:r>
        <w:rPr>
          <w:rFonts w:hint="eastAsia" w:cs="Times New Roman"/>
        </w:rPr>
        <w:t>岳阳城陵矶港务有限责任公司纪委</w:t>
      </w:r>
      <w:r>
        <w:rPr>
          <w:rFonts w:cs="Times New Roman"/>
        </w:rPr>
        <w:t xml:space="preserve"> </w:t>
      </w:r>
    </w:p>
    <w:p>
      <w:pPr>
        <w:pStyle w:val="31"/>
        <w:widowControl w:val="0"/>
        <w:adjustRightInd w:val="0"/>
        <w:snapToGrid w:val="0"/>
        <w:spacing w:before="0" w:beforeAutospacing="0" w:after="0" w:afterAutospacing="0" w:line="312" w:lineRule="auto"/>
        <w:ind w:firstLine="480" w:firstLineChars="200"/>
        <w:jc w:val="both"/>
        <w:rPr>
          <w:rFonts w:cs="Times New Roman"/>
        </w:rPr>
      </w:pPr>
      <w:r>
        <w:rPr>
          <w:rFonts w:cs="Times New Roman"/>
        </w:rPr>
        <w:t xml:space="preserve">电话： </w:t>
      </w:r>
      <w:r>
        <w:rPr>
          <w:rFonts w:hint="eastAsia" w:cs="Times New Roman"/>
        </w:rPr>
        <w:t>0730-3050160</w:t>
      </w:r>
    </w:p>
    <w:p>
      <w:pPr>
        <w:pStyle w:val="5"/>
        <w:jc w:val="both"/>
        <w:rPr>
          <w:rFonts w:ascii="Arial" w:hAnsi="Arial"/>
        </w:rPr>
      </w:pPr>
      <w:r>
        <w:rPr>
          <w:rFonts w:hint="eastAsia"/>
        </w:rPr>
        <w:t>九、</w:t>
      </w:r>
      <w:r>
        <w:rPr>
          <w:rFonts w:hint="eastAsia" w:ascii="黑体" w:hAnsi="黑体"/>
        </w:rPr>
        <w:t>联系方式</w:t>
      </w:r>
    </w:p>
    <w:p>
      <w:pPr>
        <w:autoSpaceDE w:val="0"/>
        <w:spacing w:line="400" w:lineRule="exact"/>
        <w:ind w:firstLine="240" w:firstLineChars="100"/>
        <w:jc w:val="both"/>
        <w:rPr>
          <w:rFonts w:ascii="宋体" w:hAnsi="宋体"/>
          <w:sz w:val="24"/>
        </w:rPr>
      </w:pPr>
      <w:r>
        <w:rPr>
          <w:rFonts w:hint="eastAsia" w:ascii="宋体" w:hAnsi="宋体"/>
          <w:sz w:val="24"/>
        </w:rPr>
        <w:t xml:space="preserve">采 购 人: </w:t>
      </w:r>
      <w:r>
        <w:rPr>
          <w:rFonts w:ascii="宋体" w:hAnsi="宋体"/>
          <w:sz w:val="24"/>
        </w:rPr>
        <w:t xml:space="preserve"> 岳阳城陵矶港务有限责任公司 </w:t>
      </w:r>
      <w:r>
        <w:rPr>
          <w:rFonts w:hint="eastAsia" w:ascii="宋体" w:hAnsi="宋体"/>
          <w:sz w:val="24"/>
        </w:rPr>
        <w:t xml:space="preserve">    </w:t>
      </w:r>
    </w:p>
    <w:p>
      <w:pPr>
        <w:autoSpaceDE w:val="0"/>
        <w:spacing w:line="400" w:lineRule="exact"/>
        <w:ind w:firstLine="240" w:firstLineChars="100"/>
        <w:jc w:val="both"/>
        <w:rPr>
          <w:rFonts w:ascii="宋体" w:hAnsi="宋体"/>
          <w:sz w:val="24"/>
        </w:rPr>
      </w:pPr>
      <w:r>
        <w:rPr>
          <w:rFonts w:hint="eastAsia" w:ascii="宋体" w:hAnsi="宋体"/>
          <w:sz w:val="24"/>
        </w:rPr>
        <w:t xml:space="preserve">地    址: </w:t>
      </w:r>
      <w:r>
        <w:rPr>
          <w:rFonts w:ascii="宋体" w:hAnsi="宋体"/>
          <w:sz w:val="24"/>
        </w:rPr>
        <w:t xml:space="preserve"> </w:t>
      </w:r>
      <w:r>
        <w:rPr>
          <w:rFonts w:hint="eastAsia" w:ascii="宋体" w:hAnsi="宋体"/>
          <w:sz w:val="24"/>
        </w:rPr>
        <w:t>岳阳城陵矶长江路二号</w:t>
      </w:r>
      <w:r>
        <w:rPr>
          <w:rFonts w:ascii="宋体" w:hAnsi="宋体"/>
          <w:sz w:val="24"/>
        </w:rPr>
        <w:t xml:space="preserve">  </w:t>
      </w:r>
      <w:r>
        <w:rPr>
          <w:rFonts w:hint="eastAsia" w:ascii="宋体" w:hAnsi="宋体"/>
          <w:sz w:val="24"/>
        </w:rPr>
        <w:t xml:space="preserve">   </w:t>
      </w:r>
    </w:p>
    <w:p>
      <w:pPr>
        <w:autoSpaceDE w:val="0"/>
        <w:spacing w:line="400" w:lineRule="exact"/>
        <w:jc w:val="both"/>
        <w:rPr>
          <w:rFonts w:ascii="宋体" w:hAnsi="宋体"/>
          <w:sz w:val="24"/>
        </w:rPr>
      </w:pPr>
      <w:r>
        <w:rPr>
          <w:rFonts w:ascii="宋体" w:hAnsi="宋体"/>
          <w:sz w:val="24"/>
        </w:rPr>
        <w:t xml:space="preserve">  </w:t>
      </w:r>
      <w:r>
        <w:rPr>
          <w:rFonts w:hint="eastAsia" w:ascii="宋体" w:hAnsi="宋体"/>
          <w:sz w:val="24"/>
        </w:rPr>
        <w:t xml:space="preserve">联 系 人: </w:t>
      </w:r>
      <w:r>
        <w:rPr>
          <w:rFonts w:ascii="宋体" w:hAnsi="宋体"/>
          <w:sz w:val="24"/>
        </w:rPr>
        <w:t xml:space="preserve"> </w:t>
      </w:r>
      <w:r>
        <w:rPr>
          <w:rFonts w:hint="eastAsia" w:ascii="宋体" w:hAnsi="宋体"/>
          <w:sz w:val="24"/>
        </w:rPr>
        <w:t>谢挺</w:t>
      </w:r>
      <w:r>
        <w:rPr>
          <w:rFonts w:ascii="宋体" w:hAnsi="宋体"/>
          <w:sz w:val="24"/>
        </w:rPr>
        <w:t xml:space="preserve">                  </w:t>
      </w:r>
      <w:r>
        <w:rPr>
          <w:rFonts w:hint="eastAsia" w:ascii="宋体" w:hAnsi="宋体"/>
          <w:sz w:val="24"/>
        </w:rPr>
        <w:t xml:space="preserve">       </w:t>
      </w:r>
    </w:p>
    <w:p>
      <w:pPr>
        <w:autoSpaceDE w:val="0"/>
        <w:spacing w:line="400" w:lineRule="exact"/>
        <w:ind w:firstLine="240" w:firstLineChars="100"/>
        <w:jc w:val="both"/>
        <w:rPr>
          <w:rFonts w:ascii="宋体" w:hAnsi="宋体"/>
          <w:sz w:val="24"/>
        </w:rPr>
      </w:pPr>
      <w:r>
        <w:rPr>
          <w:rFonts w:hint="eastAsia" w:ascii="宋体" w:hAnsi="宋体"/>
          <w:sz w:val="24"/>
        </w:rPr>
        <w:t xml:space="preserve">电    话: </w:t>
      </w:r>
      <w:r>
        <w:rPr>
          <w:rFonts w:ascii="宋体" w:hAnsi="宋体"/>
          <w:sz w:val="24"/>
        </w:rPr>
        <w:t xml:space="preserve"> 0730-3050157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p>
      <w:pPr>
        <w:autoSpaceDE w:val="0"/>
        <w:spacing w:line="400" w:lineRule="exact"/>
        <w:jc w:val="both"/>
        <w:rPr>
          <w:rFonts w:ascii="宋体" w:hAnsi="宋体"/>
          <w:sz w:val="24"/>
        </w:rPr>
      </w:pPr>
      <w:r>
        <w:rPr>
          <w:rFonts w:hint="eastAsia" w:ascii="宋体" w:hAnsi="宋体"/>
          <w:sz w:val="24"/>
        </w:rPr>
        <w:t xml:space="preserve">  电子邮箱: </w:t>
      </w:r>
      <w:r>
        <w:rPr>
          <w:rFonts w:ascii="宋体" w:hAnsi="宋体"/>
          <w:sz w:val="24"/>
        </w:rPr>
        <w:t xml:space="preserve"> 199573382@qq.com       </w:t>
      </w:r>
      <w:r>
        <w:rPr>
          <w:rFonts w:hint="eastAsia" w:ascii="宋体" w:hAnsi="宋体"/>
          <w:sz w:val="24"/>
        </w:rPr>
        <w:t xml:space="preserve">        </w:t>
      </w:r>
    </w:p>
    <w:p>
      <w:pPr>
        <w:autoSpaceDE w:val="0"/>
        <w:spacing w:line="400" w:lineRule="exact"/>
        <w:ind w:firstLine="240" w:firstLineChars="100"/>
        <w:jc w:val="both"/>
        <w:rPr>
          <w:rFonts w:ascii="宋体" w:hAnsi="宋体"/>
          <w:sz w:val="24"/>
        </w:rPr>
      </w:pPr>
      <w:r>
        <w:rPr>
          <w:rFonts w:hint="eastAsia" w:ascii="宋体" w:hAnsi="宋体"/>
          <w:sz w:val="24"/>
        </w:rPr>
        <w:t xml:space="preserve">开户银行: </w:t>
      </w:r>
      <w:r>
        <w:rPr>
          <w:rFonts w:ascii="宋体" w:hAnsi="宋体"/>
          <w:sz w:val="24"/>
        </w:rPr>
        <w:t xml:space="preserve"> 岳阳建行城陵矶支行    </w:t>
      </w:r>
      <w:r>
        <w:rPr>
          <w:rFonts w:hint="eastAsia" w:ascii="宋体" w:hAnsi="宋体"/>
          <w:sz w:val="24"/>
        </w:rPr>
        <w:t xml:space="preserve">         </w:t>
      </w:r>
    </w:p>
    <w:p>
      <w:pPr>
        <w:autoSpaceDE w:val="0"/>
        <w:spacing w:line="400" w:lineRule="exact"/>
        <w:ind w:firstLine="240" w:firstLineChars="100"/>
        <w:jc w:val="both"/>
        <w:rPr>
          <w:rFonts w:ascii="宋体" w:hAnsi="宋体"/>
          <w:sz w:val="24"/>
        </w:rPr>
      </w:pPr>
      <w:r>
        <w:rPr>
          <w:rFonts w:hint="eastAsia" w:ascii="宋体" w:hAnsi="宋体"/>
          <w:sz w:val="24"/>
        </w:rPr>
        <w:t xml:space="preserve">账    号: </w:t>
      </w:r>
      <w:r>
        <w:rPr>
          <w:rFonts w:ascii="宋体" w:hAnsi="宋体"/>
          <w:sz w:val="24"/>
        </w:rPr>
        <w:t xml:space="preserve"> 43001650066050000703 </w:t>
      </w:r>
      <w:r>
        <w:rPr>
          <w:rFonts w:hint="eastAsia" w:ascii="宋体" w:hAnsi="宋体"/>
          <w:sz w:val="24"/>
        </w:rPr>
        <w:t xml:space="preserve">          </w:t>
      </w:r>
      <w:bookmarkStart w:id="18" w:name="_Toc517787494"/>
      <w:bookmarkStart w:id="19" w:name="_Toc234832861"/>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hint="eastAsia" w:ascii="黑体" w:hAnsi="黑体" w:eastAsia="黑体"/>
          <w:sz w:val="32"/>
          <w:szCs w:val="32"/>
          <w:lang w:val="en-US" w:eastAsia="zh-CN"/>
        </w:rPr>
      </w:pPr>
    </w:p>
    <w:p>
      <w:pPr>
        <w:spacing w:line="600" w:lineRule="exact"/>
        <w:jc w:val="center"/>
        <w:rPr>
          <w:rFonts w:hint="eastAsia" w:ascii="黑体" w:hAnsi="黑体" w:eastAsia="黑体"/>
          <w:sz w:val="32"/>
          <w:szCs w:val="32"/>
          <w:lang w:val="en-US" w:eastAsia="zh-CN"/>
        </w:rPr>
      </w:pPr>
    </w:p>
    <w:p>
      <w:pPr>
        <w:pStyle w:val="73"/>
        <w:numPr>
          <w:ilvl w:val="0"/>
          <w:numId w:val="1"/>
        </w:numPr>
        <w:spacing w:line="600" w:lineRule="exact"/>
        <w:ind w:firstLineChars="0"/>
        <w:jc w:val="center"/>
        <w:outlineLvl w:val="0"/>
        <w:rPr>
          <w:rFonts w:hint="eastAsia" w:ascii="黑体" w:hAnsi="黑体" w:eastAsia="黑体" w:cs="仿宋"/>
          <w:b/>
          <w:color w:val="000000"/>
          <w:sz w:val="44"/>
          <w:szCs w:val="44"/>
        </w:rPr>
      </w:pPr>
      <w:bookmarkStart w:id="20" w:name="_Toc489"/>
      <w:bookmarkStart w:id="21" w:name="_Toc17212"/>
      <w:r>
        <w:rPr>
          <w:rFonts w:hint="eastAsia" w:ascii="黑体" w:hAnsi="黑体" w:eastAsia="黑体" w:cs="仿宋"/>
          <w:b/>
          <w:color w:val="000000"/>
          <w:sz w:val="44"/>
          <w:szCs w:val="44"/>
        </w:rPr>
        <w:t xml:space="preserve"> </w:t>
      </w:r>
      <w:bookmarkStart w:id="22" w:name="_Toc3621"/>
      <w:r>
        <w:rPr>
          <w:rFonts w:hint="eastAsia" w:ascii="黑体" w:hAnsi="黑体" w:eastAsia="黑体" w:cs="仿宋"/>
          <w:b/>
          <w:color w:val="000000"/>
          <w:sz w:val="44"/>
          <w:szCs w:val="44"/>
        </w:rPr>
        <w:t>供应商须知</w:t>
      </w:r>
      <w:bookmarkEnd w:id="18"/>
      <w:bookmarkEnd w:id="19"/>
      <w:bookmarkEnd w:id="20"/>
      <w:bookmarkEnd w:id="21"/>
      <w:bookmarkEnd w:id="22"/>
    </w:p>
    <w:p>
      <w:pPr>
        <w:pStyle w:val="73"/>
        <w:numPr>
          <w:ilvl w:val="0"/>
          <w:numId w:val="0"/>
        </w:numPr>
        <w:spacing w:line="600" w:lineRule="exact"/>
        <w:ind w:leftChars="0"/>
        <w:jc w:val="both"/>
        <w:outlineLvl w:val="0"/>
        <w:rPr>
          <w:rFonts w:ascii="仿宋" w:hAnsi="仿宋" w:eastAsia="仿宋" w:cs="仿宋"/>
          <w:sz w:val="30"/>
          <w:szCs w:val="30"/>
        </w:rPr>
      </w:pPr>
      <w:bookmarkStart w:id="23" w:name="_Toc419"/>
      <w:bookmarkStart w:id="24" w:name="_Toc234832862"/>
      <w:bookmarkStart w:id="25" w:name="_Toc21193"/>
      <w:bookmarkStart w:id="26" w:name="_Toc7283"/>
      <w:bookmarkStart w:id="27" w:name="_Toc517787495"/>
      <w:bookmarkStart w:id="28" w:name="_Toc17871"/>
      <w:r>
        <w:rPr>
          <w:rFonts w:hint="eastAsia" w:ascii="仿宋" w:hAnsi="仿宋" w:eastAsia="仿宋" w:cs="仿宋"/>
          <w:sz w:val="30"/>
          <w:szCs w:val="30"/>
        </w:rPr>
        <w:t>供应商须知前附表</w:t>
      </w:r>
      <w:r>
        <w:rPr>
          <w:rStyle w:val="45"/>
          <w:rFonts w:hint="eastAsia" w:ascii="仿宋" w:hAnsi="仿宋" w:eastAsia="仿宋" w:cs="仿宋"/>
          <w:sz w:val="30"/>
          <w:szCs w:val="30"/>
        </w:rPr>
        <w:footnoteReference w:id="0"/>
      </w:r>
      <w:bookmarkEnd w:id="23"/>
      <w:bookmarkEnd w:id="24"/>
      <w:bookmarkEnd w:id="25"/>
      <w:bookmarkEnd w:id="26"/>
      <w:bookmarkEnd w:id="27"/>
      <w:bookmarkEnd w:id="28"/>
    </w:p>
    <w:tbl>
      <w:tblPr>
        <w:tblStyle w:val="36"/>
        <w:tblW w:w="9067" w:type="dxa"/>
        <w:tblInd w:w="0" w:type="dxa"/>
        <w:tblLayout w:type="fixed"/>
        <w:tblCellMar>
          <w:top w:w="0" w:type="dxa"/>
          <w:left w:w="108" w:type="dxa"/>
          <w:bottom w:w="0" w:type="dxa"/>
          <w:right w:w="108" w:type="dxa"/>
        </w:tblCellMar>
      </w:tblPr>
      <w:tblGrid>
        <w:gridCol w:w="1415"/>
        <w:gridCol w:w="3090"/>
        <w:gridCol w:w="4562"/>
      </w:tblGrid>
      <w:tr>
        <w:tblPrEx>
          <w:tblCellMar>
            <w:top w:w="0" w:type="dxa"/>
            <w:left w:w="108" w:type="dxa"/>
            <w:bottom w:w="0" w:type="dxa"/>
            <w:right w:w="108" w:type="dxa"/>
          </w:tblCellMar>
        </w:tblPrEx>
        <w:trPr>
          <w:trHeight w:val="9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asciiTheme="minorEastAsia" w:hAnsiTheme="minorEastAsia" w:eastAsiaTheme="minorEastAsia"/>
                <w:sz w:val="24"/>
              </w:rPr>
              <w:t>√</w:t>
            </w:r>
            <w:r>
              <w:rPr>
                <w:rFonts w:hint="eastAsia" w:cs="仿宋" w:asciiTheme="minorEastAsia" w:hAnsiTheme="minorEastAsia" w:eastAsiaTheme="minorEastAsia"/>
                <w:sz w:val="24"/>
              </w:rPr>
              <w:t>询价</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□竞争性谈判</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□单一来源</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□直接采购</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□最低价法（同质比价法和同价比质法）</w:t>
            </w:r>
          </w:p>
          <w:p>
            <w:pPr>
              <w:spacing w:line="288" w:lineRule="auto"/>
              <w:jc w:val="both"/>
              <w:rPr>
                <w:rFonts w:cs="仿宋" w:asciiTheme="minorEastAsia" w:hAnsiTheme="minorEastAsia" w:eastAsiaTheme="minorEastAsia"/>
                <w:sz w:val="24"/>
              </w:rPr>
            </w:pPr>
            <w:r>
              <w:rPr>
                <w:rFonts w:hint="eastAsia" w:asciiTheme="minorEastAsia" w:hAnsiTheme="minorEastAsia" w:eastAsiaTheme="minorEastAsia"/>
                <w:sz w:val="24"/>
              </w:rPr>
              <w:t>√</w:t>
            </w:r>
            <w:r>
              <w:rPr>
                <w:rFonts w:hint="eastAsia" w:cs="仿宋" w:asciiTheme="minorEastAsia" w:hAnsiTheme="minorEastAsia" w:eastAsiaTheme="minorEastAsia"/>
                <w:sz w:val="24"/>
              </w:rPr>
              <w:t>综合评分法（性价比法）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asciiTheme="minorEastAsia" w:hAnsiTheme="minorEastAsia" w:eastAsiaTheme="minorEastAsia"/>
                <w:sz w:val="24"/>
              </w:rPr>
              <w:t>√</w:t>
            </w:r>
            <w:r>
              <w:rPr>
                <w:rFonts w:hint="eastAsia" w:cs="仿宋" w:asciiTheme="minorEastAsia" w:hAnsiTheme="minorEastAsia" w:eastAsiaTheme="minorEastAsia"/>
                <w:sz w:val="24"/>
              </w:rPr>
              <w:t>不组织</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□组织，踏勘时间：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踏勘集中地点：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asciiTheme="minorEastAsia" w:hAnsiTheme="minorEastAsia" w:eastAsiaTheme="minorEastAsia"/>
                <w:sz w:val="24"/>
              </w:rPr>
              <w:t>√</w:t>
            </w:r>
            <w:r>
              <w:rPr>
                <w:rFonts w:hint="eastAsia" w:cs="仿宋" w:asciiTheme="minorEastAsia" w:hAnsiTheme="minorEastAsia" w:eastAsiaTheme="minorEastAsia"/>
                <w:sz w:val="24"/>
              </w:rPr>
              <w:t>不召开</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□召开，召开时间：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召开地点：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（A、C）</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不得分包的内容：全部</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对分包供应商的要求：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允许偏差的范围：允许细微偏离</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允许偏差的项数：  3项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供应商要求澄清采购文件的时间</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截止时间：</w:t>
            </w:r>
            <w:r>
              <w:rPr>
                <w:rFonts w:hint="eastAsia" w:cs="仿宋" w:asciiTheme="minorEastAsia" w:hAnsiTheme="minorEastAsia" w:eastAsiaTheme="minorEastAsia"/>
                <w:sz w:val="24"/>
                <w:lang w:val="en-US" w:eastAsia="zh-CN"/>
              </w:rPr>
              <w:t>2022年9月9日</w:t>
            </w:r>
            <w:r>
              <w:rPr>
                <w:rFonts w:hint="eastAsia" w:cs="仿宋" w:asciiTheme="minorEastAsia" w:hAnsiTheme="minorEastAsia" w:eastAsiaTheme="minorEastAsia"/>
                <w:sz w:val="24"/>
              </w:rPr>
              <w:t xml:space="preserve"> </w:t>
            </w:r>
            <w:r>
              <w:rPr>
                <w:rFonts w:hint="eastAsia" w:cs="仿宋" w:asciiTheme="minorEastAsia" w:hAnsiTheme="minorEastAsia" w:eastAsiaTheme="minorEastAsia"/>
                <w:sz w:val="24"/>
                <w:lang w:val="en-US" w:eastAsia="zh-CN"/>
              </w:rPr>
              <w:t>17时30分前</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供应商确认收到采购文件补充文件</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确认的最晚时间：补充文件发出后24小时</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确定的方式：补充文件接收确认函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 采购文件补遗书及答疑书（如果有）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采购标的数量增减幅度</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采购标的数量增减幅度：</w:t>
            </w:r>
            <w:r>
              <w:rPr>
                <w:rFonts w:hint="eastAsia" w:cs="仿宋" w:asciiTheme="minorEastAsia" w:hAnsiTheme="minorEastAsia" w:eastAsiaTheme="minorEastAsia"/>
                <w:sz w:val="24"/>
                <w:lang w:val="en-US" w:eastAsia="zh-CN"/>
              </w:rPr>
              <w:t>0%</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最高限价或其计算方法</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□无</w:t>
            </w:r>
          </w:p>
          <w:p>
            <w:pPr>
              <w:spacing w:line="288" w:lineRule="auto"/>
              <w:jc w:val="both"/>
              <w:rPr>
                <w:rFonts w:cs="仿宋" w:asciiTheme="minorEastAsia" w:hAnsiTheme="minorEastAsia" w:eastAsiaTheme="minorEastAsia"/>
                <w:sz w:val="24"/>
              </w:rPr>
            </w:pPr>
            <w:r>
              <w:rPr>
                <w:rFonts w:hint="eastAsia" w:asciiTheme="minorEastAsia" w:hAnsiTheme="minorEastAsia" w:eastAsiaTheme="minorEastAsia"/>
                <w:sz w:val="24"/>
              </w:rPr>
              <w:t>√</w:t>
            </w:r>
            <w:r>
              <w:rPr>
                <w:rFonts w:hint="eastAsia" w:cs="仿宋" w:asciiTheme="minorEastAsia" w:hAnsiTheme="minorEastAsia" w:eastAsiaTheme="minorEastAsia"/>
                <w:sz w:val="24"/>
              </w:rPr>
              <w:t>有，最高限价：人民币</w:t>
            </w:r>
            <w:r>
              <w:rPr>
                <w:rFonts w:hint="eastAsia" w:ascii="宋体" w:hAnsi="宋体"/>
                <w:color w:val="000000"/>
                <w:sz w:val="24"/>
                <w:u w:val="single"/>
              </w:rPr>
              <w:t>贰拾万</w:t>
            </w:r>
            <w:r>
              <w:rPr>
                <w:rFonts w:hint="eastAsia" w:cs="仿宋" w:asciiTheme="minorEastAsia" w:hAnsiTheme="minorEastAsia" w:eastAsiaTheme="minorEastAsia"/>
                <w:sz w:val="24"/>
              </w:rPr>
              <w:t>元（小写：</w:t>
            </w:r>
            <w:r>
              <w:rPr>
                <w:rFonts w:cs="仿宋" w:asciiTheme="minorEastAsia" w:hAnsiTheme="minorEastAsia" w:eastAsiaTheme="minorEastAsia"/>
                <w:sz w:val="24"/>
              </w:rPr>
              <w:t>¥200</w:t>
            </w:r>
            <w:r>
              <w:rPr>
                <w:rFonts w:hint="eastAsia" w:cs="仿宋" w:asciiTheme="minorEastAsia" w:hAnsiTheme="minorEastAsia" w:eastAsiaTheme="minorEastAsia"/>
                <w:sz w:val="24"/>
                <w:lang w:eastAsia="zh-CN"/>
              </w:rPr>
              <w:t>，</w:t>
            </w:r>
            <w:r>
              <w:rPr>
                <w:rFonts w:cs="仿宋" w:asciiTheme="minorEastAsia" w:hAnsiTheme="minorEastAsia" w:eastAsiaTheme="minorEastAsia"/>
                <w:sz w:val="24"/>
              </w:rPr>
              <w:t>000.00</w:t>
            </w:r>
            <w:r>
              <w:rPr>
                <w:rFonts w:hint="eastAsia" w:cs="仿宋" w:asciiTheme="minorEastAsia" w:hAnsiTheme="minorEastAsia" w:eastAsiaTheme="minorEastAsia"/>
                <w:sz w:val="24"/>
              </w:rPr>
              <w:t>）含</w:t>
            </w:r>
            <w:r>
              <w:rPr>
                <w:rFonts w:cs="仿宋" w:asciiTheme="minorEastAsia" w:hAnsiTheme="minorEastAsia" w:eastAsiaTheme="minorEastAsia"/>
                <w:sz w:val="24"/>
              </w:rPr>
              <w:t>6</w:t>
            </w:r>
            <w:r>
              <w:rPr>
                <w:rFonts w:hint="eastAsia" w:cs="仿宋" w:asciiTheme="minorEastAsia" w:hAnsiTheme="minorEastAsia" w:eastAsiaTheme="minorEastAsia"/>
                <w:sz w:val="24"/>
              </w:rPr>
              <w:t>%的增值税，</w:t>
            </w:r>
            <w:r>
              <w:rPr>
                <w:rFonts w:hint="eastAsia" w:cs="仿宋" w:asciiTheme="minorEastAsia" w:hAnsiTheme="minorEastAsia" w:eastAsiaTheme="minorEastAsia"/>
                <w:sz w:val="24"/>
                <w:lang w:val="en-US" w:eastAsia="zh-CN"/>
              </w:rPr>
              <w:t>调整后的报价</w:t>
            </w:r>
            <w:r>
              <w:rPr>
                <w:rFonts w:hint="eastAsia" w:cs="仿宋" w:asciiTheme="minorEastAsia" w:hAnsiTheme="minorEastAsia" w:eastAsiaTheme="minorEastAsia"/>
                <w:sz w:val="24"/>
              </w:rPr>
              <w:t xml:space="preserve">超过最高限价作废。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报价的其他要求</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ascii="宋体" w:hAnsi="宋体"/>
                <w:color w:val="000000"/>
                <w:sz w:val="24"/>
                <w:lang w:val="en-US" w:eastAsia="zh-CN"/>
              </w:rPr>
              <w:t>响应人如提供其他税率发票，采购人按6%税率调整后参与排序</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递交响应文件截止之日起90日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asciiTheme="minorEastAsia" w:hAnsiTheme="minorEastAsia" w:eastAsiaTheme="minorEastAsia"/>
                <w:sz w:val="24"/>
              </w:rPr>
              <w:t>√</w:t>
            </w:r>
            <w:r>
              <w:rPr>
                <w:rFonts w:hint="eastAsia" w:cs="仿宋" w:asciiTheme="minorEastAsia" w:hAnsiTheme="minorEastAsia" w:eastAsiaTheme="minorEastAsia"/>
                <w:sz w:val="24"/>
              </w:rPr>
              <w:t>不要求递交</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□要求递交，</w:t>
            </w:r>
          </w:p>
          <w:p>
            <w:pPr>
              <w:spacing w:line="288" w:lineRule="auto"/>
              <w:ind w:firstLine="360" w:firstLineChars="15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保证金的金额：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保证金的形式：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39"/>
                <w:rFonts w:asciiTheme="minorEastAsia" w:hAnsiTheme="minorEastAsia" w:eastAsiaTheme="minorEastAsia"/>
                <w:b w:val="0"/>
                <w:color w:val="000000"/>
                <w:sz w:val="24"/>
              </w:rPr>
            </w:pPr>
            <w:r>
              <w:rPr>
                <w:rStyle w:val="39"/>
                <w:rFonts w:hint="eastAsia" w:asciiTheme="minorEastAsia" w:hAnsiTheme="minorEastAsia" w:eastAsiaTheme="minorEastAsia"/>
                <w:b w:val="0"/>
                <w:color w:val="000000"/>
                <w:sz w:val="24"/>
              </w:rPr>
              <w:t>依法设立的证明材料</w:t>
            </w:r>
          </w:p>
        </w:tc>
        <w:tc>
          <w:tcPr>
            <w:tcW w:w="4562" w:type="dxa"/>
            <w:tcBorders>
              <w:top w:val="single" w:color="auto" w:sz="4" w:space="0"/>
              <w:left w:val="single" w:color="auto" w:sz="4" w:space="0"/>
              <w:bottom w:val="single" w:color="auto" w:sz="4" w:space="0"/>
              <w:right w:val="single" w:color="auto" w:sz="4" w:space="0"/>
            </w:tcBorders>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□不适用。</w:t>
            </w:r>
          </w:p>
          <w:p>
            <w:pPr>
              <w:spacing w:line="288" w:lineRule="auto"/>
              <w:jc w:val="both"/>
              <w:rPr>
                <w:rFonts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仿宋" w:asciiTheme="minorEastAsia" w:hAnsiTheme="minorEastAsia" w:eastAsiaTheme="minorEastAsia"/>
                <w:sz w:val="24"/>
              </w:rPr>
              <w:t>适用。</w:t>
            </w:r>
            <w:r>
              <w:rPr>
                <w:rFonts w:hint="eastAsia" w:asciiTheme="minorEastAsia" w:hAnsiTheme="minorEastAsia" w:eastAsiaTheme="minorEastAsia"/>
                <w:color w:val="000000"/>
                <w:sz w:val="24"/>
              </w:rPr>
              <w:t>供应商应提供市场监管部门或其他行政机关颁发的可以合法开展</w:t>
            </w:r>
            <w:r>
              <w:rPr>
                <w:rFonts w:hint="eastAsia" w:asciiTheme="minorEastAsia" w:hAnsiTheme="minorEastAsia" w:eastAsiaTheme="minorEastAsia"/>
                <w:color w:val="000000"/>
                <w:sz w:val="24"/>
                <w:lang w:val="en-US" w:eastAsia="zh-CN"/>
              </w:rPr>
              <w:t>船舶设计</w:t>
            </w:r>
            <w:r>
              <w:rPr>
                <w:rFonts w:hint="eastAsia" w:asciiTheme="minorEastAsia" w:hAnsiTheme="minorEastAsia" w:eastAsiaTheme="minorEastAsia"/>
                <w:color w:val="000000"/>
                <w:sz w:val="24"/>
              </w:rPr>
              <w:t>业务的执照或证书。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Style w:val="39"/>
                <w:rFonts w:hint="eastAsia" w:asciiTheme="minorEastAsia" w:hAnsiTheme="minorEastAsia" w:eastAsiaTheme="minorEastAsia"/>
                <w:b w:val="0"/>
                <w:color w:val="000000"/>
                <w:sz w:val="24"/>
              </w:rPr>
              <w:t>资质要求证明材料</w:t>
            </w:r>
          </w:p>
        </w:tc>
        <w:tc>
          <w:tcPr>
            <w:tcW w:w="4562"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适用。供应商应提供相关资质证书的复印件，以证明供应商具有承担本项目要求的资质。</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资</w:t>
            </w:r>
            <w:r>
              <w:rPr>
                <w:rFonts w:hint="eastAsia" w:cs="宋体" w:asciiTheme="minorEastAsia" w:hAnsiTheme="minorEastAsia" w:eastAsiaTheme="minorEastAsia"/>
                <w:sz w:val="24"/>
              </w:rPr>
              <w:t>质证书</w:t>
            </w:r>
            <w:r>
              <w:rPr>
                <w:rFonts w:hint="eastAsia" w:cs="宋体" w:asciiTheme="minorEastAsia" w:hAnsiTheme="minorEastAsia" w:eastAsiaTheme="minorEastAsia"/>
                <w:color w:val="000000"/>
                <w:sz w:val="24"/>
              </w:rPr>
              <w:t>包括：</w:t>
            </w:r>
            <w:r>
              <w:rPr>
                <w:rFonts w:hint="eastAsia" w:ascii="宋体" w:hAnsi="宋体" w:cs="宋体"/>
                <w:kern w:val="0"/>
                <w:sz w:val="24"/>
              </w:rPr>
              <w:t>国家船舶工程设计资质或</w:t>
            </w:r>
            <w:r>
              <w:rPr>
                <w:rFonts w:hint="eastAsia" w:ascii="宋体" w:hAnsi="宋体" w:cs="宋体"/>
                <w:kern w:val="0"/>
                <w:sz w:val="24"/>
                <w:lang w:val="en-US" w:eastAsia="zh-CN"/>
              </w:rPr>
              <w:t>由</w:t>
            </w:r>
            <w:r>
              <w:rPr>
                <w:rFonts w:hint="eastAsia" w:ascii="宋体" w:hAnsi="宋体" w:cs="宋体"/>
                <w:kern w:val="0"/>
                <w:sz w:val="24"/>
              </w:rPr>
              <w:t>中国船级社</w:t>
            </w:r>
            <w:r>
              <w:rPr>
                <w:rFonts w:hint="eastAsia" w:ascii="宋体" w:hAnsi="宋体" w:cs="宋体"/>
                <w:kern w:val="0"/>
                <w:sz w:val="24"/>
                <w:lang w:val="en-US" w:eastAsia="zh-CN"/>
              </w:rPr>
              <w:t>认可</w:t>
            </w:r>
            <w:r>
              <w:rPr>
                <w:rFonts w:hint="eastAsia" w:ascii="宋体" w:hAnsi="宋体" w:cs="宋体"/>
                <w:kern w:val="0"/>
                <w:sz w:val="24"/>
              </w:rPr>
              <w:t>的</w:t>
            </w:r>
            <w:r>
              <w:rPr>
                <w:rFonts w:hint="eastAsia" w:ascii="宋体" w:hAnsi="宋体" w:cs="宋体"/>
                <w:kern w:val="0"/>
                <w:sz w:val="24"/>
                <w:lang w:val="en-US" w:eastAsia="zh-CN"/>
              </w:rPr>
              <w:t>具有船舶工程设计资质的</w:t>
            </w:r>
            <w:r>
              <w:rPr>
                <w:rFonts w:hint="eastAsia" w:ascii="宋体" w:hAnsi="宋体" w:cs="宋体"/>
                <w:kern w:val="0"/>
                <w:sz w:val="24"/>
              </w:rPr>
              <w:t>证明文件</w:t>
            </w:r>
            <w:r>
              <w:rPr>
                <w:rFonts w:hint="eastAsia" w:cs="宋体" w:asciiTheme="minorEastAsia" w:hAnsiTheme="minorEastAsia" w:eastAsiaTheme="minorEastAsia"/>
                <w:sz w:val="24"/>
              </w:rPr>
              <w:t>。</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39"/>
                <w:rFonts w:asciiTheme="minorEastAsia" w:hAnsiTheme="minorEastAsia" w:eastAsiaTheme="minorEastAsia"/>
                <w:b w:val="0"/>
                <w:color w:val="000000"/>
                <w:sz w:val="24"/>
              </w:rPr>
            </w:pPr>
            <w:r>
              <w:rPr>
                <w:rStyle w:val="39"/>
                <w:rFonts w:hint="eastAsia" w:asciiTheme="minorEastAsia" w:hAnsiTheme="minorEastAsia" w:eastAsiaTheme="minorEastAsia"/>
                <w:b w:val="0"/>
                <w:color w:val="000000"/>
                <w:sz w:val="24"/>
              </w:rPr>
              <w:t>财务要求证明材料</w:t>
            </w:r>
          </w:p>
        </w:tc>
        <w:tc>
          <w:tcPr>
            <w:tcW w:w="4562"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color w:val="000000"/>
                <w:sz w:val="24"/>
              </w:rPr>
            </w:pPr>
            <w:r>
              <w:rPr>
                <w:rFonts w:hint="eastAsia" w:asciiTheme="minorEastAsia" w:hAnsiTheme="minorEastAsia" w:eastAsiaTheme="minorEastAsia"/>
                <w:color w:val="C0504D" w:themeColor="accent2"/>
                <w:sz w:val="24"/>
                <w14:textFill>
                  <w14:solidFill>
                    <w14:schemeClr w14:val="accent2"/>
                  </w14:solidFill>
                </w14:textFill>
              </w:rPr>
              <w:t>√</w:t>
            </w:r>
            <w:r>
              <w:rPr>
                <w:rFonts w:hint="eastAsia" w:cs="宋体" w:asciiTheme="minorEastAsia" w:hAnsiTheme="minorEastAsia" w:eastAsiaTheme="minorEastAsia"/>
                <w:color w:val="C0504D" w:themeColor="accent2"/>
                <w:sz w:val="24"/>
                <w14:textFill>
                  <w14:solidFill>
                    <w14:schemeClr w14:val="accent2"/>
                  </w14:solidFill>
                </w14:textFill>
              </w:rPr>
              <w:t>不适用</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业绩要求证明材料</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color w:val="000000"/>
                <w:sz w:val="24"/>
                <w:u w:val="single"/>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适用。供应商应提供近年的类似项目情况表（格式见第六章“响应文件格式”七、资格审查资料（三）近年的类似项目情况表），以证明供应商具有承担本项目要求的业绩。近年是指</w:t>
            </w:r>
            <w:r>
              <w:rPr>
                <w:rFonts w:hint="eastAsia" w:cs="宋体" w:asciiTheme="minorEastAsia" w:hAnsiTheme="minorEastAsia" w:eastAsiaTheme="minorEastAsia"/>
                <w:color w:val="000000"/>
                <w:sz w:val="24"/>
                <w:u w:val="single"/>
              </w:rPr>
              <w:t xml:space="preserve"> </w:t>
            </w:r>
            <w:r>
              <w:rPr>
                <w:rFonts w:cs="宋体" w:asciiTheme="minorEastAsia" w:hAnsiTheme="minorEastAsia" w:eastAsiaTheme="minorEastAsia"/>
                <w:color w:val="000000"/>
                <w:sz w:val="24"/>
                <w:u w:val="single"/>
              </w:rPr>
              <w:t>2019</w:t>
            </w:r>
            <w:r>
              <w:rPr>
                <w:rFonts w:hint="eastAsia" w:cs="宋体" w:asciiTheme="minorEastAsia" w:hAnsiTheme="minorEastAsia" w:eastAsiaTheme="minorEastAsia"/>
                <w:color w:val="000000"/>
                <w:sz w:val="24"/>
                <w:u w:val="single"/>
              </w:rPr>
              <w:t>年</w:t>
            </w:r>
            <w:r>
              <w:rPr>
                <w:rFonts w:hint="eastAsia" w:cs="宋体" w:asciiTheme="minorEastAsia" w:hAnsiTheme="minorEastAsia" w:eastAsiaTheme="minorEastAsia"/>
                <w:color w:val="000000"/>
                <w:sz w:val="24"/>
                <w:u w:val="single"/>
                <w:lang w:val="en-US" w:eastAsia="zh-CN"/>
              </w:rPr>
              <w:t>9</w:t>
            </w:r>
            <w:r>
              <w:rPr>
                <w:rFonts w:hint="eastAsia" w:cs="宋体" w:asciiTheme="minorEastAsia" w:hAnsiTheme="minorEastAsia" w:eastAsiaTheme="minorEastAsia"/>
                <w:color w:val="000000"/>
                <w:sz w:val="24"/>
              </w:rPr>
              <w:t>至</w:t>
            </w:r>
            <w:r>
              <w:rPr>
                <w:rFonts w:cs="宋体" w:asciiTheme="minorEastAsia" w:hAnsiTheme="minorEastAsia" w:eastAsiaTheme="minorEastAsia"/>
                <w:color w:val="000000"/>
                <w:sz w:val="24"/>
                <w:u w:val="single"/>
              </w:rPr>
              <w:t>2022</w:t>
            </w:r>
            <w:r>
              <w:rPr>
                <w:rFonts w:hint="eastAsia" w:cs="宋体" w:asciiTheme="minorEastAsia" w:hAnsiTheme="minorEastAsia" w:eastAsiaTheme="minorEastAsia"/>
                <w:color w:val="000000"/>
                <w:sz w:val="24"/>
                <w:u w:val="single"/>
              </w:rPr>
              <w:t>年</w:t>
            </w:r>
            <w:r>
              <w:rPr>
                <w:rFonts w:hint="eastAsia" w:cs="宋体" w:asciiTheme="minorEastAsia" w:hAnsiTheme="minorEastAsia" w:eastAsiaTheme="minorEastAsia"/>
                <w:color w:val="000000"/>
                <w:sz w:val="24"/>
                <w:u w:val="single"/>
                <w:lang w:val="en-US" w:eastAsia="zh-CN"/>
              </w:rPr>
              <w:t>9</w:t>
            </w:r>
            <w:r>
              <w:rPr>
                <w:rFonts w:hint="eastAsia" w:cs="宋体" w:asciiTheme="minorEastAsia" w:hAnsiTheme="minorEastAsia" w:eastAsiaTheme="minorEastAsia"/>
                <w:color w:val="000000"/>
                <w:sz w:val="24"/>
                <w:u w:val="single"/>
              </w:rPr>
              <w:t>月</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业绩证明材料：</w:t>
            </w:r>
          </w:p>
          <w:p>
            <w:pPr>
              <w:spacing w:line="288" w:lineRule="auto"/>
              <w:jc w:val="both"/>
              <w:rPr>
                <w:rFonts w:cs="宋体"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合同/订单</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□中标通知书/成交通知书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□竣工验收报告/验收证明</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□业主证明</w:t>
            </w:r>
          </w:p>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□其他材料：</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lang w:val="en-US" w:eastAsia="zh-CN"/>
              </w:rPr>
              <w:t>至少提供一份业绩合同复印件。</w:t>
            </w:r>
          </w:p>
          <w:p>
            <w:pPr>
              <w:spacing w:line="288" w:lineRule="auto"/>
              <w:jc w:val="both"/>
              <w:rPr>
                <w:rFonts w:cs="宋体" w:asciiTheme="minorEastAsia" w:hAnsiTheme="minorEastAsia" w:eastAsiaTheme="minorEastAsia"/>
                <w:color w:val="000000"/>
                <w:sz w:val="24"/>
              </w:rPr>
            </w:pP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业绩证明材料种类要求：</w:t>
            </w:r>
          </w:p>
          <w:p>
            <w:pPr>
              <w:spacing w:line="288" w:lineRule="auto"/>
              <w:jc w:val="both"/>
              <w:rPr>
                <w:rFonts w:cs="宋体"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需同时提供上述勾选的所有证明材料</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t xml:space="preserve">□其他要求：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信誉要求证明材料</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适用。供应商应提供相关信誉情况的证明材料，包括：</w:t>
            </w:r>
            <w:r>
              <w:rPr>
                <w:rFonts w:hint="eastAsia" w:cs="宋体" w:asciiTheme="minorEastAsia" w:hAnsiTheme="minorEastAsia" w:eastAsiaTheme="minorEastAsia"/>
                <w:color w:val="000000"/>
                <w:sz w:val="24"/>
                <w:u w:val="none"/>
                <w:lang w:eastAsia="zh-CN"/>
              </w:rPr>
              <w:t>提供信用中国（</w:t>
            </w:r>
            <w:r>
              <w:rPr>
                <w:rFonts w:hint="eastAsia" w:cs="宋体" w:asciiTheme="minorEastAsia" w:hAnsiTheme="minorEastAsia" w:eastAsiaTheme="minorEastAsia"/>
                <w:color w:val="000000"/>
                <w:sz w:val="24"/>
                <w:u w:val="none"/>
                <w:lang w:val="en-US" w:eastAsia="zh-CN"/>
              </w:rPr>
              <w:t>www.creditchina.com</w:t>
            </w:r>
            <w:r>
              <w:rPr>
                <w:rFonts w:hint="eastAsia" w:cs="宋体" w:asciiTheme="minorEastAsia" w:hAnsiTheme="minorEastAsia" w:eastAsiaTheme="minorEastAsia"/>
                <w:color w:val="000000"/>
                <w:sz w:val="24"/>
                <w:u w:val="none"/>
                <w:lang w:eastAsia="zh-CN"/>
              </w:rPr>
              <w:t>）网站查询，供应商未被列入信用记录失信被执行人、重大税收违法案件当事人名单、政府采购严重违法失信行为记录名单的网页截图。</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承担本项目的主要人员要求证明材料</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适用。供应商应提供拟委任的主要人员汇总表和主要人员简历表（格式见第六章“响应文件格式”五、资格审查资料（四）拟委任的主要人员汇总表和（五）主要人员简历表）。供应商应填报满足第一章“采购公告”规定的项目负责人和其他主要人员的相关信息，并按如下要求提供相关证明文件：</w:t>
            </w:r>
            <w:r>
              <w:rPr>
                <w:rFonts w:hint="eastAsia" w:cs="宋体" w:asciiTheme="minorEastAsia" w:hAnsiTheme="minorEastAsia" w:eastAsiaTheme="minorEastAsia"/>
                <w:color w:val="000000"/>
                <w:sz w:val="24"/>
                <w:lang w:val="en-US" w:eastAsia="zh-CN"/>
              </w:rPr>
              <w:t>船舶</w:t>
            </w:r>
            <w:r>
              <w:rPr>
                <w:rFonts w:hint="eastAsia" w:cs="宋体" w:asciiTheme="minorEastAsia" w:hAnsiTheme="minorEastAsia" w:eastAsiaTheme="minorEastAsia"/>
                <w:color w:val="000000"/>
                <w:sz w:val="24"/>
                <w:u w:val="single"/>
              </w:rPr>
              <w:t>设计人员证书</w:t>
            </w:r>
            <w:r>
              <w:rPr>
                <w:rFonts w:hint="eastAsia" w:cs="宋体" w:asciiTheme="minorEastAsia" w:hAnsiTheme="minorEastAsia" w:eastAsiaTheme="minorEastAsia"/>
                <w:color w:val="000000"/>
                <w:sz w:val="24"/>
                <w:u w:val="single"/>
                <w:lang w:val="en-US" w:eastAsia="zh-CN"/>
              </w:rPr>
              <w:t>及近三个月的</w:t>
            </w:r>
            <w:r>
              <w:rPr>
                <w:rFonts w:hint="eastAsia" w:cs="宋体" w:asciiTheme="minorEastAsia" w:hAnsiTheme="minorEastAsia" w:eastAsiaTheme="minorEastAsia"/>
                <w:color w:val="000000"/>
                <w:sz w:val="24"/>
                <w:u w:val="single"/>
              </w:rPr>
              <w:t>社保缴费证明</w:t>
            </w:r>
            <w:r>
              <w:rPr>
                <w:rFonts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其他要求的证明材料</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供应商不存在第一章3.1款情形的证明材料</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不需要提供证明材料</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□需要提供证明材料，包括：</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对关键条款进行响应的证据或证明材料要求</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响应方案数量</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供应商只能提出唯一响应方案</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□供应商可提出多个响应方案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响应文件及电子版要求</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是否要求提供电子版响应文件：</w:t>
            </w:r>
          </w:p>
          <w:p>
            <w:pPr>
              <w:spacing w:line="288" w:lineRule="auto"/>
              <w:jc w:val="both"/>
              <w:rPr>
                <w:rFonts w:hint="default" w:cs="宋体" w:asciiTheme="minorEastAsia" w:hAnsiTheme="minorEastAsia" w:eastAsiaTheme="minorEastAsia"/>
                <w:color w:val="000000"/>
                <w:sz w:val="24"/>
                <w:lang w:val="en-US" w:eastAsia="zh-CN"/>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不要求</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lang w:val="en-US" w:eastAsia="zh-CN"/>
              </w:rPr>
              <w:t>但要提供船舶设计图PPT 并现场讲解。</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□要求，提供电子版响应文件的形式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响应文件的密封</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响应文件一正</w:t>
            </w:r>
            <w:r>
              <w:rPr>
                <w:rFonts w:hint="eastAsia" w:cs="宋体" w:asciiTheme="minorEastAsia" w:hAnsiTheme="minorEastAsia" w:eastAsiaTheme="minorEastAsia"/>
                <w:color w:val="000000"/>
                <w:sz w:val="24"/>
                <w:lang w:val="en-US" w:eastAsia="zh-CN"/>
              </w:rPr>
              <w:t>二</w:t>
            </w:r>
            <w:r>
              <w:rPr>
                <w:rFonts w:hint="eastAsia" w:cs="宋体" w:asciiTheme="minorEastAsia" w:hAnsiTheme="minorEastAsia" w:eastAsiaTheme="minorEastAsia"/>
                <w:color w:val="000000"/>
                <w:sz w:val="24"/>
              </w:rPr>
              <w:t>副，须密封包装，并在封套的封口处加盖供应商单位公章。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封套上应载明的信息</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rPr>
                <w:rFonts w:cs="宋体"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适用，供应商名称：</w:t>
            </w:r>
            <w:r>
              <w:rPr>
                <w:rFonts w:hint="eastAsia" w:ascii="宋体" w:hAnsi="宋体"/>
                <w:sz w:val="24"/>
                <w:u w:val="single"/>
              </w:rPr>
              <w:t>城陵矶港</w:t>
            </w:r>
            <w:r>
              <w:rPr>
                <w:rFonts w:hint="eastAsia" w:ascii="宋体" w:hAnsi="宋体" w:cs="宋体"/>
                <w:sz w:val="24"/>
                <w:u w:val="single"/>
              </w:rPr>
              <w:t>交通工作船建设项目图纸设计</w:t>
            </w:r>
            <w:r>
              <w:rPr>
                <w:rFonts w:hint="eastAsia" w:cs="宋体" w:asciiTheme="minorEastAsia" w:hAnsiTheme="minorEastAsia" w:eastAsiaTheme="minorEastAsia"/>
                <w:color w:val="000000"/>
                <w:sz w:val="24"/>
              </w:rPr>
              <w:t>响应文件</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递交响应文件截止时间和地点</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截止时间：</w:t>
            </w:r>
            <w:r>
              <w:rPr>
                <w:rFonts w:hint="eastAsia" w:cs="宋体" w:asciiTheme="minorEastAsia" w:hAnsiTheme="minorEastAsia" w:eastAsiaTheme="minorEastAsia"/>
                <w:color w:val="000000"/>
                <w:sz w:val="24"/>
                <w:u w:val="single"/>
              </w:rPr>
              <w:t xml:space="preserve"> </w:t>
            </w:r>
            <w:r>
              <w:rPr>
                <w:rFonts w:cs="宋体" w:asciiTheme="minorEastAsia" w:hAnsiTheme="minorEastAsia" w:eastAsiaTheme="minorEastAsia"/>
                <w:color w:val="000000"/>
                <w:sz w:val="24"/>
                <w:u w:val="single"/>
              </w:rPr>
              <w:t>2022</w:t>
            </w:r>
            <w:r>
              <w:rPr>
                <w:rFonts w:hint="eastAsia" w:cs="宋体" w:asciiTheme="minorEastAsia" w:hAnsiTheme="minorEastAsia" w:eastAsiaTheme="minorEastAsia"/>
                <w:color w:val="000000"/>
                <w:sz w:val="24"/>
                <w:u w:val="single"/>
              </w:rPr>
              <w:t>年</w:t>
            </w:r>
            <w:r>
              <w:rPr>
                <w:rFonts w:hint="eastAsia" w:cs="宋体" w:asciiTheme="minorEastAsia" w:hAnsiTheme="minorEastAsia" w:eastAsiaTheme="minorEastAsia"/>
                <w:color w:val="000000"/>
                <w:sz w:val="24"/>
                <w:u w:val="single"/>
                <w:lang w:val="en-US" w:eastAsia="zh-CN"/>
              </w:rPr>
              <w:t>9</w:t>
            </w:r>
            <w:r>
              <w:rPr>
                <w:rFonts w:hint="eastAsia" w:cs="宋体" w:asciiTheme="minorEastAsia" w:hAnsiTheme="minorEastAsia" w:eastAsiaTheme="minorEastAsia"/>
                <w:color w:val="000000"/>
                <w:sz w:val="24"/>
                <w:u w:val="single"/>
              </w:rPr>
              <w:t>月</w:t>
            </w:r>
            <w:r>
              <w:rPr>
                <w:rFonts w:hint="eastAsia" w:cs="宋体" w:asciiTheme="minorEastAsia" w:hAnsiTheme="minorEastAsia" w:eastAsiaTheme="minorEastAsia"/>
                <w:color w:val="000000"/>
                <w:sz w:val="24"/>
                <w:u w:val="single"/>
                <w:lang w:val="en-US" w:eastAsia="zh-CN"/>
              </w:rPr>
              <w:t>14</w:t>
            </w:r>
            <w:r>
              <w:rPr>
                <w:rFonts w:hint="eastAsia" w:cs="宋体" w:asciiTheme="minorEastAsia" w:hAnsiTheme="minorEastAsia" w:eastAsiaTheme="minorEastAsia"/>
                <w:color w:val="000000"/>
                <w:sz w:val="24"/>
                <w:u w:val="single"/>
              </w:rPr>
              <w:t>日</w:t>
            </w:r>
            <w:r>
              <w:rPr>
                <w:rFonts w:hint="eastAsia" w:cs="宋体" w:asciiTheme="minorEastAsia" w:hAnsiTheme="minorEastAsia" w:eastAsiaTheme="minorEastAsia"/>
                <w:color w:val="000000"/>
                <w:sz w:val="24"/>
                <w:u w:val="single"/>
                <w:lang w:val="en-US" w:eastAsia="zh-CN"/>
              </w:rPr>
              <w:t>9</w:t>
            </w:r>
            <w:r>
              <w:rPr>
                <w:rFonts w:hint="eastAsia" w:cs="宋体" w:asciiTheme="minorEastAsia" w:hAnsiTheme="minorEastAsia" w:eastAsiaTheme="minorEastAsia"/>
                <w:color w:val="000000"/>
                <w:sz w:val="24"/>
                <w:u w:val="single"/>
              </w:rPr>
              <w:t>时</w:t>
            </w:r>
            <w:r>
              <w:rPr>
                <w:rFonts w:hint="eastAsia" w:cs="宋体" w:asciiTheme="minorEastAsia" w:hAnsiTheme="minorEastAsia" w:eastAsiaTheme="minorEastAsia"/>
                <w:color w:val="000000"/>
                <w:sz w:val="24"/>
                <w:u w:val="single"/>
                <w:lang w:val="en-US" w:eastAsia="zh-CN"/>
              </w:rPr>
              <w:t>0</w:t>
            </w:r>
            <w:r>
              <w:rPr>
                <w:rFonts w:hint="eastAsia" w:cs="宋体" w:asciiTheme="minorEastAsia" w:hAnsiTheme="minorEastAsia" w:eastAsiaTheme="minorEastAsia"/>
                <w:color w:val="000000"/>
                <w:sz w:val="24"/>
                <w:u w:val="single"/>
              </w:rPr>
              <w:t xml:space="preserve">分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递交响应文件的地点：</w:t>
            </w:r>
            <w:r>
              <w:rPr>
                <w:rFonts w:hint="eastAsia" w:ascii="宋体" w:hAnsi="宋体"/>
                <w:sz w:val="24"/>
                <w:lang w:val="en-US" w:eastAsia="zh-CN"/>
              </w:rPr>
              <w:t>湖南岳阳云溪区湖南省港务集团有限公司办公楼602招标室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是否退还响应文件</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□是，退还时间：</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是否公开开启响应文件</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w:t>
            </w:r>
          </w:p>
          <w:p>
            <w:pPr>
              <w:spacing w:line="288" w:lineRule="auto"/>
              <w:jc w:val="both"/>
              <w:rPr>
                <w:rFonts w:cs="宋体"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开启地点</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湖南省港务集团有限公司办公楼6</w:t>
            </w:r>
            <w:r>
              <w:rPr>
                <w:rFonts w:cs="宋体" w:asciiTheme="minorEastAsia" w:hAnsiTheme="minorEastAsia" w:eastAsiaTheme="minorEastAsia"/>
                <w:color w:val="000000"/>
                <w:sz w:val="24"/>
              </w:rPr>
              <w:t>02</w:t>
            </w:r>
            <w:r>
              <w:rPr>
                <w:rFonts w:hint="eastAsia" w:cs="宋体" w:asciiTheme="minorEastAsia" w:hAnsiTheme="minorEastAsia" w:eastAsiaTheme="minorEastAsia"/>
                <w:color w:val="000000"/>
                <w:sz w:val="24"/>
              </w:rPr>
              <w:t>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开启程序</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开启顺序：</w:t>
            </w:r>
            <w:r>
              <w:rPr>
                <w:rFonts w:hint="eastAsia" w:cs="宋体" w:asciiTheme="minorEastAsia" w:hAnsiTheme="minorEastAsia" w:eastAsiaTheme="minorEastAsia"/>
                <w:color w:val="000000"/>
                <w:sz w:val="24"/>
                <w:u w:val="single"/>
              </w:rPr>
              <w:t xml:space="preserve">   随机 </w:t>
            </w:r>
            <w:r>
              <w:rPr>
                <w:rFonts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其他应公布的信息：</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评审（谈判）小组的组建</w:t>
            </w:r>
            <w:r>
              <w:rPr>
                <w:rStyle w:val="45"/>
                <w:rFonts w:cs="宋体" w:asciiTheme="minorEastAsia" w:hAnsiTheme="minorEastAsia" w:eastAsiaTheme="minorEastAsia"/>
                <w:color w:val="000000"/>
                <w:sz w:val="24"/>
              </w:rPr>
              <w:footnoteReference w:id="1"/>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评标（谈判）小组构成：</w:t>
            </w:r>
            <w:r>
              <w:rPr>
                <w:rFonts w:hint="eastAsia" w:cs="宋体" w:asciiTheme="minorEastAsia" w:hAnsiTheme="minorEastAsia" w:eastAsiaTheme="minorEastAsia"/>
                <w:color w:val="000000"/>
                <w:sz w:val="24"/>
                <w:lang w:val="en-US" w:eastAsia="zh-CN"/>
              </w:rPr>
              <w:t>3</w:t>
            </w:r>
            <w:r>
              <w:rPr>
                <w:rFonts w:hint="eastAsia" w:cs="宋体" w:asciiTheme="minorEastAsia" w:hAnsiTheme="minorEastAsia" w:eastAsiaTheme="minorEastAsia"/>
                <w:color w:val="000000"/>
                <w:sz w:val="24"/>
              </w:rPr>
              <w:t>人。</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评审（谈判）专家确定方式：在湖南省</w:t>
            </w:r>
            <w:r>
              <w:rPr>
                <w:rFonts w:hint="eastAsia" w:cs="宋体" w:asciiTheme="minorEastAsia" w:hAnsiTheme="minorEastAsia" w:eastAsiaTheme="minorEastAsia"/>
                <w:color w:val="000000"/>
                <w:sz w:val="24"/>
                <w:lang w:val="en-US" w:eastAsia="zh-CN"/>
              </w:rPr>
              <w:t>湘水</w:t>
            </w:r>
            <w:r>
              <w:rPr>
                <w:rFonts w:hint="eastAsia" w:cs="宋体" w:asciiTheme="minorEastAsia" w:hAnsiTheme="minorEastAsia" w:eastAsiaTheme="minorEastAsia"/>
                <w:color w:val="000000"/>
                <w:sz w:val="24"/>
              </w:rPr>
              <w:t>集团有限公司综合评标专家库中随机抽取2人，业主代表</w:t>
            </w:r>
            <w:r>
              <w:rPr>
                <w:rFonts w:hint="eastAsia" w:cs="宋体" w:asciiTheme="minorEastAsia" w:hAnsiTheme="minorEastAsia" w:eastAsiaTheme="minorEastAsia"/>
                <w:color w:val="000000"/>
                <w:sz w:val="24"/>
                <w:lang w:val="en-US" w:eastAsia="zh-CN"/>
              </w:rPr>
              <w:t>1</w:t>
            </w:r>
            <w:r>
              <w:rPr>
                <w:rFonts w:hint="eastAsia" w:cs="宋体" w:asciiTheme="minorEastAsia" w:hAnsiTheme="minorEastAsia" w:eastAsiaTheme="minorEastAsia"/>
                <w:color w:val="000000"/>
                <w:sz w:val="24"/>
              </w:rPr>
              <w:t>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评审小组推荐成交候选供应商的数量</w:t>
            </w:r>
            <w:r>
              <w:rPr>
                <w:rStyle w:val="45"/>
                <w:rFonts w:cs="宋体" w:asciiTheme="minorEastAsia" w:hAnsiTheme="minorEastAsia" w:eastAsiaTheme="minorEastAsia"/>
                <w:color w:val="000000"/>
                <w:sz w:val="24"/>
              </w:rPr>
              <w:footnoteReference w:id="2"/>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cs="宋体" w:asciiTheme="minorEastAsia" w:hAnsiTheme="minorEastAsia" w:eastAsiaTheme="minorEastAsia"/>
                <w:b/>
                <w:bCs/>
                <w:color w:val="000000"/>
                <w:sz w:val="24"/>
              </w:rPr>
              <w:t xml:space="preserve"> </w:t>
            </w:r>
            <w:r>
              <w:rPr>
                <w:rFonts w:hint="eastAsia" w:cs="宋体" w:asciiTheme="minorEastAsia" w:hAnsiTheme="minorEastAsia" w:eastAsiaTheme="minorEastAsia"/>
                <w:b/>
                <w:bCs/>
                <w:color w:val="000000"/>
                <w:sz w:val="24"/>
                <w:lang w:val="en-US" w:eastAsia="zh-CN"/>
              </w:rPr>
              <w:t>2-</w:t>
            </w:r>
            <w:r>
              <w:rPr>
                <w:rFonts w:cs="宋体" w:asciiTheme="minorEastAsia" w:hAnsiTheme="minorEastAsia" w:eastAsiaTheme="minorEastAsia"/>
                <w:b/>
                <w:bCs/>
                <w:color w:val="000000"/>
                <w:sz w:val="24"/>
              </w:rPr>
              <w:t>3</w:t>
            </w:r>
            <w:r>
              <w:rPr>
                <w:rFonts w:hint="eastAsia" w:cs="宋体" w:asciiTheme="minorEastAsia" w:hAnsiTheme="minorEastAsia" w:eastAsiaTheme="minorEastAsia"/>
                <w:color w:val="000000"/>
                <w:sz w:val="24"/>
              </w:rPr>
              <w:t>个（不超过3个），并标明推荐顺序。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是否公开开启最终报价</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是</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推荐成交候选供应商的排序及数量</w:t>
            </w: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是否排序：</w:t>
            </w:r>
          </w:p>
          <w:p>
            <w:pPr>
              <w:spacing w:line="288" w:lineRule="auto"/>
              <w:jc w:val="both"/>
              <w:rPr>
                <w:rFonts w:cs="宋体"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数量：</w:t>
            </w:r>
            <w:r>
              <w:rPr>
                <w:rFonts w:cs="宋体" w:asciiTheme="minorEastAsia" w:hAnsiTheme="minorEastAsia" w:eastAsiaTheme="minorEastAsia"/>
                <w:color w:val="000000"/>
                <w:sz w:val="24"/>
              </w:rPr>
              <w:t xml:space="preserve"> </w:t>
            </w:r>
            <w:r>
              <w:rPr>
                <w:rFonts w:hint="eastAsia" w:cs="宋体" w:asciiTheme="minorEastAsia" w:hAnsiTheme="minorEastAsia" w:eastAsiaTheme="minorEastAsia"/>
                <w:b/>
                <w:bCs/>
                <w:color w:val="000000"/>
                <w:sz w:val="24"/>
                <w:lang w:val="en-US" w:eastAsia="zh-CN"/>
              </w:rPr>
              <w:t>2</w:t>
            </w:r>
            <w:r>
              <w:rPr>
                <w:rFonts w:cs="宋体" w:asciiTheme="minorEastAsia" w:hAnsiTheme="minorEastAsia" w:eastAsiaTheme="minorEastAsia"/>
                <w:b/>
                <w:bCs/>
                <w:color w:val="000000"/>
                <w:sz w:val="24"/>
              </w:rPr>
              <w:t>-3</w:t>
            </w:r>
            <w:r>
              <w:rPr>
                <w:rFonts w:hint="eastAsia" w:cs="宋体" w:asciiTheme="minorEastAsia" w:hAnsiTheme="minorEastAsia" w:eastAsiaTheme="minorEastAsia"/>
                <w:color w:val="000000"/>
                <w:sz w:val="24"/>
              </w:rPr>
              <w:t>个（不超过3个）</w:t>
            </w:r>
            <w:r>
              <w:rPr>
                <w:rFonts w:cs="宋体" w:asciiTheme="minorEastAsia" w:hAnsiTheme="minorEastAsia" w:eastAsiaTheme="minorEastAsia"/>
                <w:color w:val="000000"/>
                <w:sz w:val="24"/>
              </w:rPr>
              <w:t xml:space="preserve">                </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rPr>
            </w:pP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rPr>
            </w:pPr>
          </w:p>
        </w:tc>
        <w:tc>
          <w:tcPr>
            <w:tcW w:w="456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rPr>
            </w:pPr>
          </w:p>
        </w:tc>
      </w:tr>
    </w:tbl>
    <w:p>
      <w:pPr>
        <w:spacing w:line="240" w:lineRule="auto"/>
        <w:jc w:val="center"/>
        <w:outlineLvl w:val="0"/>
        <w:rPr>
          <w:rFonts w:ascii="仿宋" w:hAnsi="仿宋" w:eastAsia="仿宋" w:cs="仿宋"/>
          <w:sz w:val="30"/>
          <w:szCs w:val="30"/>
        </w:rPr>
      </w:pPr>
      <w:r>
        <w:rPr>
          <w:rFonts w:ascii="仿宋" w:hAnsi="仿宋" w:eastAsia="仿宋" w:cs="仿宋"/>
          <w:b/>
          <w:bCs/>
          <w:sz w:val="30"/>
          <w:szCs w:val="30"/>
        </w:rPr>
        <w:br w:type="page"/>
      </w:r>
      <w:bookmarkStart w:id="29" w:name="_Toc18948"/>
      <w:bookmarkStart w:id="30" w:name="_Toc1017"/>
      <w:r>
        <w:rPr>
          <w:rFonts w:hint="eastAsia" w:ascii="华文中宋" w:hAnsi="华文中宋" w:eastAsia="华文中宋" w:cs="仿宋"/>
          <w:b/>
          <w:bCs/>
          <w:sz w:val="30"/>
          <w:szCs w:val="30"/>
        </w:rPr>
        <w:t xml:space="preserve"> </w:t>
      </w:r>
      <w:bookmarkStart w:id="31" w:name="_Toc27986"/>
      <w:bookmarkStart w:id="32" w:name="_Toc1748"/>
      <w:r>
        <w:rPr>
          <w:rFonts w:hint="eastAsia" w:ascii="华文中宋" w:hAnsi="华文中宋" w:eastAsia="华文中宋" w:cs="仿宋"/>
          <w:b/>
          <w:bCs/>
          <w:sz w:val="30"/>
          <w:szCs w:val="30"/>
        </w:rPr>
        <w:t>供应商须知正文</w:t>
      </w:r>
      <w:bookmarkEnd w:id="29"/>
      <w:bookmarkEnd w:id="30"/>
      <w:bookmarkEnd w:id="31"/>
      <w:bookmarkEnd w:id="32"/>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68"/>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62"/>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62"/>
        <w:spacing w:line="312"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62"/>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pStyle w:val="68"/>
        <w:spacing w:before="120" w:after="120" w:line="312" w:lineRule="auto"/>
        <w:ind w:left="0" w:firstLine="453" w:firstLineChars="189"/>
        <w:jc w:val="both"/>
        <w:rPr>
          <w:rFonts w:ascii="宋体" w:hAnsi="宋体" w:eastAsia="宋体" w:cs="仿宋"/>
          <w:sz w:val="24"/>
          <w:szCs w:val="24"/>
        </w:rPr>
      </w:pPr>
      <w:r>
        <w:rPr>
          <w:rFonts w:hint="eastAsia" w:ascii="宋体" w:hAnsi="宋体" w:eastAsia="宋体" w:cs="仿宋"/>
          <w:color w:val="000000"/>
          <w:sz w:val="24"/>
          <w:szCs w:val="24"/>
        </w:rPr>
        <w:t>综合评分法（性价比法），</w:t>
      </w:r>
      <w:r>
        <w:rPr>
          <w:rFonts w:hint="eastAsia" w:ascii="宋体" w:hAnsi="宋体" w:eastAsia="宋体" w:cs="仿宋"/>
          <w:sz w:val="24"/>
          <w:szCs w:val="24"/>
        </w:rPr>
        <w:t>潜在供应商服务水平有较大差别的，可采用综合评分法，在最大限度地满足采购文件实质性要求前提下，按照采购文件规定的要求对供应商的商务、技术和价格等进行综合评审，根据需求，按评审最终得分排名先后顺序依次推荐中选供应商的评审办法。按综合性能最优原则确定成交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sz w:val="24"/>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w:t>
      </w:r>
    </w:p>
    <w:p>
      <w:pPr>
        <w:adjustRightInd w:val="0"/>
        <w:snapToGrid w:val="0"/>
        <w:spacing w:line="312" w:lineRule="auto"/>
        <w:jc w:val="both"/>
        <w:rPr>
          <w:rFonts w:ascii="宋体" w:hAnsi="宋体" w:cs="仿宋"/>
          <w:sz w:val="24"/>
        </w:rPr>
      </w:pPr>
      <w:r>
        <w:rPr>
          <w:rFonts w:hint="eastAsia" w:ascii="宋体" w:hAnsi="宋体" w:cs="仿宋"/>
          <w:sz w:val="24"/>
        </w:rPr>
        <w:t>本项目不得分包</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(1)响应函;</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w:t>
      </w:r>
      <w:r>
        <w:rPr>
          <w:rFonts w:hint="eastAsia" w:ascii="宋体" w:hAnsi="宋体" w:cs="仿宋"/>
          <w:sz w:val="24"/>
          <w:lang w:val="en-US" w:eastAsia="zh-CN"/>
        </w:rPr>
        <w:t>3</w:t>
      </w:r>
      <w:r>
        <w:rPr>
          <w:rFonts w:hint="eastAsia" w:ascii="宋体" w:hAnsi="宋体" w:cs="仿宋"/>
          <w:sz w:val="24"/>
        </w:rPr>
        <w:t>)响应保证金(如有);</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w:t>
      </w:r>
      <w:r>
        <w:rPr>
          <w:rFonts w:hint="eastAsia" w:ascii="宋体" w:hAnsi="宋体" w:cs="仿宋"/>
          <w:sz w:val="24"/>
          <w:lang w:val="en-US" w:eastAsia="zh-CN"/>
        </w:rPr>
        <w:t>4</w:t>
      </w:r>
      <w:r>
        <w:rPr>
          <w:rFonts w:hint="eastAsia" w:ascii="宋体" w:hAnsi="宋体" w:cs="仿宋"/>
          <w:sz w:val="24"/>
        </w:rPr>
        <w:t>)商务和技术偏差表;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w:t>
      </w:r>
      <w:r>
        <w:rPr>
          <w:rFonts w:hint="eastAsia" w:ascii="宋体" w:hAnsi="宋体" w:cs="仿宋"/>
          <w:sz w:val="24"/>
          <w:lang w:val="en-US" w:eastAsia="zh-CN"/>
        </w:rPr>
        <w:t>5</w:t>
      </w:r>
      <w:r>
        <w:rPr>
          <w:rFonts w:hint="eastAsia" w:ascii="宋体" w:hAnsi="宋体" w:cs="仿宋"/>
          <w:sz w:val="24"/>
        </w:rPr>
        <w:t>)资格审查资料;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w:t>
      </w:r>
      <w:r>
        <w:rPr>
          <w:rFonts w:hint="eastAsia" w:ascii="宋体" w:hAnsi="宋体" w:cs="仿宋"/>
          <w:sz w:val="24"/>
          <w:lang w:val="en-US" w:eastAsia="zh-CN"/>
        </w:rPr>
        <w:t>6</w:t>
      </w:r>
      <w:r>
        <w:rPr>
          <w:rFonts w:hint="eastAsia" w:ascii="宋体" w:hAnsi="宋体" w:cs="仿宋"/>
          <w:sz w:val="24"/>
        </w:rPr>
        <w:t>)响应方案;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w:t>
      </w:r>
      <w:r>
        <w:rPr>
          <w:rFonts w:hint="eastAsia" w:ascii="宋体" w:hAnsi="宋体" w:cs="仿宋"/>
          <w:sz w:val="24"/>
          <w:lang w:val="en-US" w:eastAsia="zh-CN"/>
        </w:rPr>
        <w:t>7</w:t>
      </w:r>
      <w:r>
        <w:rPr>
          <w:rFonts w:hint="eastAsia" w:ascii="宋体" w:hAnsi="宋体" w:cs="仿宋"/>
          <w:sz w:val="24"/>
        </w:rPr>
        <w:t>)供应商须知前附表规定的其他资料。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w:t>
      </w:r>
    </w:p>
    <w:p>
      <w:pPr>
        <w:adjustRightInd w:val="0"/>
        <w:snapToGrid w:val="0"/>
        <w:spacing w:line="312" w:lineRule="auto"/>
        <w:jc w:val="both"/>
        <w:rPr>
          <w:rFonts w:ascii="宋体" w:hAnsi="宋体" w:cs="仿宋"/>
          <w:sz w:val="24"/>
        </w:rPr>
      </w:pPr>
      <w:r>
        <w:rPr>
          <w:rFonts w:hint="eastAsia" w:ascii="宋体" w:hAnsi="宋体" w:cs="仿宋"/>
          <w:sz w:val="24"/>
        </w:rPr>
        <w:t>（本项目不提交响应保证金）</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(2)开启会议结束。</w:t>
      </w:r>
      <w:r>
        <w:rPr>
          <w:rFonts w:hint="eastAsia" w:ascii="宋体" w:hAnsi="宋体" w:cs="仿宋"/>
          <w:sz w:val="24"/>
        </w:rPr>
        <w:br w:type="textWrapping"/>
      </w: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r>
        <w:rPr>
          <w:rFonts w:hint="eastAsia" w:ascii="宋体" w:hAnsi="宋体" w:cs="仿宋"/>
          <w:sz w:val="24"/>
        </w:rPr>
        <w:br w:type="textWrapping"/>
      </w: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bookmarkStart w:id="33" w:name="_Toc24135"/>
      <w:r>
        <w:rPr>
          <w:rFonts w:hint="eastAsia" w:ascii="宋体" w:hAnsi="宋体" w:cs="宋体"/>
          <w:b/>
          <w:bCs/>
          <w:sz w:val="24"/>
        </w:rPr>
        <w:t>7.3成交结果异议</w:t>
      </w:r>
      <w:bookmarkEnd w:id="33"/>
      <w:r>
        <w:rPr>
          <w:rFonts w:hint="eastAsia" w:ascii="宋体" w:hAnsi="宋体" w:cs="宋体"/>
          <w:b/>
          <w:bCs/>
          <w:sz w:val="24"/>
        </w:rPr>
        <w:t xml:space="preserve">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sz w:val="24"/>
        </w:rPr>
      </w:pPr>
      <w:r>
        <w:rPr>
          <w:rFonts w:hint="eastAsia" w:ascii="宋体" w:hAnsi="宋体" w:cs="仿宋"/>
          <w:b/>
          <w:bCs/>
          <w:sz w:val="24"/>
        </w:rPr>
        <w:t>10.2其他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adjustRightInd w:val="0"/>
        <w:snapToGrid w:val="0"/>
        <w:spacing w:line="312" w:lineRule="auto"/>
        <w:jc w:val="both"/>
        <w:rPr>
          <w:rFonts w:ascii="宋体" w:hAnsi="宋体" w:cs="仿宋"/>
          <w:sz w:val="24"/>
        </w:rPr>
      </w:pPr>
    </w:p>
    <w:p>
      <w:pPr>
        <w:adjustRightInd w:val="0"/>
        <w:snapToGrid w:val="0"/>
        <w:spacing w:line="312" w:lineRule="auto"/>
        <w:ind w:firstLine="453" w:firstLineChars="189"/>
        <w:jc w:val="both"/>
        <w:rPr>
          <w:rFonts w:ascii="宋体" w:hAnsi="宋体" w:cs="仿宋"/>
          <w:sz w:val="24"/>
        </w:rPr>
      </w:pPr>
    </w:p>
    <w:p>
      <w:pPr>
        <w:spacing w:line="312"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jc w:val="center"/>
        <w:outlineLvl w:val="0"/>
        <w:rPr>
          <w:rFonts w:ascii="黑体" w:hAnsi="黑体" w:eastAsia="黑体" w:cs="仿宋"/>
          <w:bCs/>
          <w:sz w:val="44"/>
          <w:szCs w:val="44"/>
        </w:rPr>
      </w:pPr>
      <w:bookmarkStart w:id="34" w:name="_Toc27750"/>
      <w:bookmarkStart w:id="35" w:name="_Toc6729"/>
      <w:bookmarkStart w:id="36" w:name="_Toc12225"/>
      <w:r>
        <w:rPr>
          <w:rFonts w:hint="eastAsia" w:ascii="黑体" w:hAnsi="黑体" w:eastAsia="黑体" w:cs="仿宋"/>
          <w:bCs/>
          <w:sz w:val="44"/>
          <w:szCs w:val="44"/>
        </w:rPr>
        <w:t>第三章 评审办法</w:t>
      </w:r>
      <w:bookmarkEnd w:id="34"/>
      <w:r>
        <w:rPr>
          <w:rFonts w:hint="eastAsia" w:ascii="黑体" w:hAnsi="黑体" w:eastAsia="黑体" w:cs="宋体"/>
          <w:kern w:val="44"/>
          <w:sz w:val="44"/>
          <w:szCs w:val="44"/>
        </w:rPr>
        <w:t>（综合评估法）</w:t>
      </w:r>
      <w:bookmarkEnd w:id="35"/>
      <w:bookmarkEnd w:id="36"/>
    </w:p>
    <w:p>
      <w:pPr>
        <w:adjustRightInd w:val="0"/>
        <w:snapToGrid w:val="0"/>
        <w:spacing w:before="120" w:beforeLines="50" w:after="120" w:afterLines="50" w:line="312"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37"/>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2797"/>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2797"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4032"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2797"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403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2797"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4032" w:type="dxa"/>
          </w:tcPr>
          <w:p>
            <w:pPr>
              <w:widowControl/>
              <w:adjustRightInd w:val="0"/>
              <w:snapToGrid w:val="0"/>
              <w:spacing w:line="288" w:lineRule="auto"/>
              <w:jc w:val="both"/>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2797"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403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2797"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联合体协议书</w:t>
            </w:r>
          </w:p>
        </w:tc>
        <w:tc>
          <w:tcPr>
            <w:tcW w:w="403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本项目不允许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2797"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响应函中实质性内容</w:t>
            </w:r>
          </w:p>
        </w:tc>
        <w:tc>
          <w:tcPr>
            <w:tcW w:w="403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2797"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403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2797"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资质要求</w:t>
            </w:r>
          </w:p>
        </w:tc>
        <w:tc>
          <w:tcPr>
            <w:tcW w:w="403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2797"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财务要求</w:t>
            </w:r>
          </w:p>
        </w:tc>
        <w:tc>
          <w:tcPr>
            <w:tcW w:w="403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2797"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403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2797"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信誉要求</w:t>
            </w:r>
          </w:p>
        </w:tc>
        <w:tc>
          <w:tcPr>
            <w:tcW w:w="403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2797"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人员要求</w:t>
            </w:r>
          </w:p>
        </w:tc>
        <w:tc>
          <w:tcPr>
            <w:tcW w:w="403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2797"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其他要求</w:t>
            </w:r>
          </w:p>
        </w:tc>
        <w:tc>
          <w:tcPr>
            <w:tcW w:w="403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2797"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不存在第一章第3.2款情形</w:t>
            </w:r>
          </w:p>
        </w:tc>
        <w:tc>
          <w:tcPr>
            <w:tcW w:w="403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2797"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联合体供应商</w:t>
            </w:r>
          </w:p>
        </w:tc>
        <w:tc>
          <w:tcPr>
            <w:tcW w:w="403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符合第一章第3.1款及供应商须知前附表第3.5（9）款规定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2797"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403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2797"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403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2797"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响应保证金</w:t>
            </w:r>
          </w:p>
        </w:tc>
        <w:tc>
          <w:tcPr>
            <w:tcW w:w="403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2797"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403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2797"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质量标准</w:t>
            </w:r>
          </w:p>
        </w:tc>
        <w:tc>
          <w:tcPr>
            <w:tcW w:w="403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2797"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403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2797"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403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2797"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403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2797"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w:t>
            </w:r>
          </w:p>
        </w:tc>
        <w:tc>
          <w:tcPr>
            <w:tcW w:w="403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51" w:type="dxa"/>
            <w:gridSpan w:val="4"/>
            <w:vAlign w:val="top"/>
          </w:tcPr>
          <w:p>
            <w:pPr>
              <w:widowControl/>
              <w:adjustRightInd w:val="0"/>
              <w:snapToGrid w:val="0"/>
              <w:spacing w:line="288" w:lineRule="auto"/>
              <w:jc w:val="both"/>
              <w:rPr>
                <w:rFonts w:hint="eastAsia" w:cs="仿宋" w:asciiTheme="minorEastAsia" w:hAnsiTheme="minorEastAsia" w:eastAsiaTheme="minorEastAsia"/>
                <w:szCs w:val="21"/>
              </w:rPr>
            </w:pPr>
            <w:r>
              <w:rPr>
                <w:rFonts w:hint="eastAsia" w:cs="仿宋" w:asciiTheme="minorEastAsia" w:hAnsiTheme="minorEastAsia" w:eastAsiaTheme="minorEastAsia"/>
                <w:szCs w:val="21"/>
              </w:rPr>
              <w:t>3 详细评审标准和程序（综合评分法）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top"/>
          </w:tcPr>
          <w:p>
            <w:pPr>
              <w:widowControl/>
              <w:adjustRightInd w:val="0"/>
              <w:snapToGrid w:val="0"/>
              <w:spacing w:line="288" w:lineRule="auto"/>
              <w:jc w:val="both"/>
              <w:rPr>
                <w:rFonts w:cs="仿宋" w:asciiTheme="minorEastAsia" w:hAnsiTheme="minorEastAsia" w:eastAsiaTheme="minorEastAsia"/>
                <w:kern w:val="2"/>
                <w:sz w:val="21"/>
                <w:szCs w:val="21"/>
                <w:lang w:val="en-US" w:eastAsia="zh-CN" w:bidi="ar-SA"/>
              </w:rPr>
            </w:pPr>
            <w:r>
              <w:rPr>
                <w:rFonts w:hint="eastAsia" w:cs="仿宋" w:asciiTheme="minorEastAsia" w:hAnsiTheme="minorEastAsia" w:eastAsiaTheme="minorEastAsia"/>
                <w:szCs w:val="21"/>
              </w:rPr>
              <w:t>3.1</w:t>
            </w:r>
          </w:p>
        </w:tc>
        <w:tc>
          <w:tcPr>
            <w:tcW w:w="0" w:type="auto"/>
            <w:vAlign w:val="top"/>
          </w:tcPr>
          <w:p>
            <w:pPr>
              <w:widowControl/>
              <w:adjustRightInd w:val="0"/>
              <w:snapToGrid w:val="0"/>
              <w:spacing w:line="288" w:lineRule="auto"/>
              <w:jc w:val="both"/>
              <w:rPr>
                <w:rFonts w:cs="仿宋" w:asciiTheme="minorEastAsia" w:hAnsiTheme="minorEastAsia" w:eastAsiaTheme="minorEastAsia"/>
                <w:kern w:val="2"/>
                <w:sz w:val="21"/>
                <w:szCs w:val="21"/>
                <w:lang w:val="en-US" w:eastAsia="zh-CN" w:bidi="ar-SA"/>
              </w:rPr>
            </w:pPr>
            <w:r>
              <w:rPr>
                <w:rFonts w:hint="eastAsia" w:cs="仿宋" w:asciiTheme="minorEastAsia" w:hAnsiTheme="minorEastAsia" w:eastAsiaTheme="minorEastAsia"/>
                <w:szCs w:val="21"/>
              </w:rPr>
              <w:t>分值构成（总分100分）</w:t>
            </w:r>
          </w:p>
        </w:tc>
        <w:tc>
          <w:tcPr>
            <w:tcW w:w="2797" w:type="dxa"/>
            <w:vAlign w:val="top"/>
          </w:tcPr>
          <w:p>
            <w:pPr>
              <w:widowControl/>
              <w:numPr>
                <w:ilvl w:val="0"/>
                <w:numId w:val="2"/>
              </w:numPr>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商务部分：</w:t>
            </w:r>
            <w:r>
              <w:rPr>
                <w:rFonts w:hint="eastAsia" w:cs="仿宋" w:asciiTheme="minorEastAsia" w:hAnsiTheme="minorEastAsia" w:eastAsiaTheme="minorEastAsia"/>
                <w:szCs w:val="21"/>
                <w:u w:val="single"/>
                <w:lang w:val="en-US" w:eastAsia="zh-CN"/>
              </w:rPr>
              <w:t>40</w:t>
            </w:r>
            <w:r>
              <w:rPr>
                <w:rFonts w:hint="eastAsia" w:cs="仿宋" w:asciiTheme="minorEastAsia" w:hAnsiTheme="minorEastAsia" w:eastAsiaTheme="minorEastAsia"/>
                <w:szCs w:val="21"/>
              </w:rPr>
              <w:t>分</w:t>
            </w:r>
          </w:p>
          <w:p>
            <w:pPr>
              <w:widowControl/>
              <w:numPr>
                <w:ilvl w:val="0"/>
                <w:numId w:val="2"/>
              </w:numPr>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技术部分：</w:t>
            </w:r>
            <w:r>
              <w:rPr>
                <w:rFonts w:hint="eastAsia" w:cs="仿宋" w:asciiTheme="minorEastAsia" w:hAnsiTheme="minorEastAsia" w:eastAsiaTheme="minorEastAsia"/>
                <w:szCs w:val="21"/>
                <w:u w:val="single"/>
                <w:lang w:val="en-US" w:eastAsia="zh-CN"/>
              </w:rPr>
              <w:t>30</w:t>
            </w:r>
            <w:r>
              <w:rPr>
                <w:rFonts w:hint="eastAsia" w:cs="仿宋" w:asciiTheme="minorEastAsia" w:hAnsiTheme="minorEastAsia" w:eastAsiaTheme="minorEastAsia"/>
                <w:szCs w:val="21"/>
              </w:rPr>
              <w:t>分</w:t>
            </w:r>
          </w:p>
          <w:p>
            <w:pPr>
              <w:widowControl/>
              <w:numPr>
                <w:ilvl w:val="0"/>
                <w:numId w:val="2"/>
              </w:numPr>
              <w:adjustRightInd w:val="0"/>
              <w:snapToGrid w:val="0"/>
              <w:spacing w:line="288" w:lineRule="auto"/>
              <w:jc w:val="both"/>
              <w:rPr>
                <w:rFonts w:hint="eastAsia" w:cs="仿宋" w:asciiTheme="minorEastAsia" w:hAnsiTheme="minorEastAsia" w:eastAsiaTheme="minorEastAsia"/>
                <w:kern w:val="2"/>
                <w:sz w:val="21"/>
                <w:szCs w:val="21"/>
                <w:lang w:val="en-US" w:eastAsia="zh-CN" w:bidi="ar-SA"/>
              </w:rPr>
            </w:pPr>
            <w:r>
              <w:rPr>
                <w:rFonts w:hint="eastAsia" w:cs="仿宋" w:asciiTheme="minorEastAsia" w:hAnsiTheme="minorEastAsia" w:eastAsiaTheme="minorEastAsia"/>
                <w:szCs w:val="21"/>
              </w:rPr>
              <w:t>报价部分：</w:t>
            </w:r>
            <w:r>
              <w:rPr>
                <w:rFonts w:hint="eastAsia" w:cs="仿宋" w:asciiTheme="minorEastAsia" w:hAnsiTheme="minorEastAsia" w:eastAsiaTheme="minorEastAsia"/>
                <w:szCs w:val="21"/>
                <w:u w:val="single"/>
                <w:lang w:val="en-US" w:eastAsia="zh-CN"/>
              </w:rPr>
              <w:t>30</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分</w:t>
            </w:r>
          </w:p>
        </w:tc>
        <w:tc>
          <w:tcPr>
            <w:tcW w:w="4032" w:type="dxa"/>
          </w:tcPr>
          <w:p>
            <w:pPr>
              <w:widowControl/>
              <w:adjustRightInd w:val="0"/>
              <w:snapToGrid w:val="0"/>
              <w:spacing w:line="288" w:lineRule="auto"/>
              <w:jc w:val="both"/>
              <w:rPr>
                <w:rFonts w:hint="eastAsia"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top"/>
          </w:tcPr>
          <w:p>
            <w:pPr>
              <w:widowControl/>
              <w:adjustRightInd w:val="0"/>
              <w:snapToGrid w:val="0"/>
              <w:spacing w:line="288" w:lineRule="auto"/>
              <w:jc w:val="both"/>
              <w:rPr>
                <w:rFonts w:cs="仿宋" w:asciiTheme="minorEastAsia" w:hAnsiTheme="minorEastAsia" w:eastAsiaTheme="minorEastAsia"/>
                <w:kern w:val="2"/>
                <w:sz w:val="21"/>
                <w:szCs w:val="21"/>
                <w:lang w:val="en-US" w:eastAsia="zh-CN" w:bidi="ar-SA"/>
              </w:rPr>
            </w:pPr>
            <w:r>
              <w:rPr>
                <w:rFonts w:hint="eastAsia" w:cs="仿宋" w:asciiTheme="minorEastAsia" w:hAnsiTheme="minorEastAsia" w:eastAsiaTheme="minorEastAsia"/>
                <w:szCs w:val="21"/>
              </w:rPr>
              <w:t>3.2（2）</w:t>
            </w:r>
          </w:p>
        </w:tc>
        <w:tc>
          <w:tcPr>
            <w:tcW w:w="0" w:type="auto"/>
            <w:vAlign w:val="top"/>
          </w:tcPr>
          <w:p>
            <w:pPr>
              <w:widowControl/>
              <w:adjustRightInd w:val="0"/>
              <w:snapToGrid w:val="0"/>
              <w:spacing w:line="288" w:lineRule="auto"/>
              <w:jc w:val="both"/>
              <w:rPr>
                <w:rFonts w:cs="仿宋" w:asciiTheme="minorEastAsia" w:hAnsiTheme="minorEastAsia" w:eastAsiaTheme="minorEastAsia"/>
                <w:kern w:val="2"/>
                <w:sz w:val="21"/>
                <w:szCs w:val="21"/>
                <w:lang w:val="en-US" w:eastAsia="zh-CN" w:bidi="ar-SA"/>
              </w:rPr>
            </w:pPr>
            <w:r>
              <w:rPr>
                <w:rFonts w:hint="eastAsia" w:cs="仿宋" w:asciiTheme="minorEastAsia" w:hAnsiTheme="minorEastAsia" w:eastAsiaTheme="minorEastAsia"/>
                <w:szCs w:val="21"/>
              </w:rPr>
              <w:t>评审基准价计算方法</w:t>
            </w:r>
          </w:p>
        </w:tc>
        <w:tc>
          <w:tcPr>
            <w:tcW w:w="2797" w:type="dxa"/>
            <w:vAlign w:val="top"/>
          </w:tcPr>
          <w:p>
            <w:pPr>
              <w:widowControl/>
              <w:adjustRightInd w:val="0"/>
              <w:snapToGrid w:val="0"/>
              <w:spacing w:line="288" w:lineRule="auto"/>
              <w:ind w:firstLine="210" w:firstLineChars="100"/>
              <w:jc w:val="both"/>
              <w:rPr>
                <w:rFonts w:hint="default" w:cs="仿宋" w:asciiTheme="minorEastAsia" w:hAnsiTheme="minorEastAsia" w:eastAsiaTheme="minorEastAsia"/>
                <w:kern w:val="2"/>
                <w:sz w:val="21"/>
                <w:szCs w:val="21"/>
                <w:lang w:val="en-US" w:eastAsia="zh-CN" w:bidi="ar-SA"/>
              </w:rPr>
            </w:pPr>
            <w:r>
              <w:rPr>
                <w:rFonts w:hint="eastAsia" w:cs="仿宋" w:asciiTheme="minorEastAsia" w:hAnsiTheme="minorEastAsia" w:eastAsiaTheme="minorEastAsia"/>
                <w:kern w:val="2"/>
                <w:sz w:val="21"/>
                <w:szCs w:val="21"/>
                <w:lang w:val="en-US" w:eastAsia="zh-CN" w:bidi="ar-SA"/>
              </w:rPr>
              <w:t>无</w:t>
            </w:r>
          </w:p>
        </w:tc>
        <w:tc>
          <w:tcPr>
            <w:tcW w:w="4032" w:type="dxa"/>
          </w:tcPr>
          <w:p>
            <w:pPr>
              <w:widowControl/>
              <w:adjustRightInd w:val="0"/>
              <w:snapToGrid w:val="0"/>
              <w:spacing w:line="288" w:lineRule="auto"/>
              <w:jc w:val="both"/>
              <w:rPr>
                <w:rFonts w:hint="eastAsia"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top"/>
          </w:tcPr>
          <w:p>
            <w:pPr>
              <w:widowControl/>
              <w:adjustRightInd w:val="0"/>
              <w:snapToGrid w:val="0"/>
              <w:spacing w:line="288" w:lineRule="auto"/>
              <w:jc w:val="both"/>
              <w:rPr>
                <w:rFonts w:cs="仿宋" w:asciiTheme="minorEastAsia" w:hAnsiTheme="minorEastAsia" w:eastAsiaTheme="minorEastAsia"/>
                <w:kern w:val="2"/>
                <w:sz w:val="21"/>
                <w:szCs w:val="21"/>
                <w:lang w:val="en-US" w:eastAsia="zh-CN" w:bidi="ar-SA"/>
              </w:rPr>
            </w:pPr>
            <w:r>
              <w:rPr>
                <w:rFonts w:hint="eastAsia" w:cs="仿宋" w:asciiTheme="minorEastAsia" w:hAnsiTheme="minorEastAsia" w:eastAsiaTheme="minorEastAsia"/>
                <w:szCs w:val="21"/>
              </w:rPr>
              <w:t>条款号</w:t>
            </w:r>
          </w:p>
        </w:tc>
        <w:tc>
          <w:tcPr>
            <w:tcW w:w="0" w:type="auto"/>
            <w:vAlign w:val="top"/>
          </w:tcPr>
          <w:p>
            <w:pPr>
              <w:widowControl/>
              <w:adjustRightInd w:val="0"/>
              <w:snapToGrid w:val="0"/>
              <w:spacing w:line="288" w:lineRule="auto"/>
              <w:jc w:val="center"/>
              <w:rPr>
                <w:rFonts w:cs="仿宋" w:asciiTheme="minorEastAsia" w:hAnsiTheme="minorEastAsia" w:eastAsiaTheme="minorEastAsia"/>
                <w:kern w:val="2"/>
                <w:sz w:val="21"/>
                <w:szCs w:val="21"/>
                <w:lang w:val="en-US" w:eastAsia="zh-CN" w:bidi="ar-SA"/>
              </w:rPr>
            </w:pPr>
            <w:r>
              <w:rPr>
                <w:rFonts w:hint="eastAsia" w:cs="仿宋" w:asciiTheme="minorEastAsia" w:hAnsiTheme="minorEastAsia" w:eastAsiaTheme="minorEastAsia"/>
                <w:szCs w:val="21"/>
              </w:rPr>
              <w:t>评分因素</w:t>
            </w:r>
          </w:p>
        </w:tc>
        <w:tc>
          <w:tcPr>
            <w:tcW w:w="2797" w:type="dxa"/>
            <w:vAlign w:val="top"/>
          </w:tcPr>
          <w:p>
            <w:pPr>
              <w:widowControl/>
              <w:adjustRightInd w:val="0"/>
              <w:snapToGrid w:val="0"/>
              <w:spacing w:line="288" w:lineRule="auto"/>
              <w:jc w:val="center"/>
              <w:rPr>
                <w:rFonts w:hint="eastAsia" w:cs="仿宋" w:asciiTheme="minorEastAsia" w:hAnsiTheme="minorEastAsia" w:eastAsiaTheme="minorEastAsia"/>
                <w:kern w:val="2"/>
                <w:sz w:val="21"/>
                <w:szCs w:val="21"/>
                <w:lang w:val="en-US" w:eastAsia="zh-CN" w:bidi="ar-SA"/>
              </w:rPr>
            </w:pPr>
            <w:r>
              <w:rPr>
                <w:rFonts w:hint="eastAsia" w:cs="仿宋" w:asciiTheme="minorEastAsia" w:hAnsiTheme="minorEastAsia" w:eastAsiaTheme="minorEastAsia"/>
                <w:szCs w:val="21"/>
              </w:rPr>
              <w:t>评分标准</w:t>
            </w:r>
          </w:p>
        </w:tc>
        <w:tc>
          <w:tcPr>
            <w:tcW w:w="4032" w:type="dxa"/>
          </w:tcPr>
          <w:p>
            <w:pPr>
              <w:widowControl/>
              <w:adjustRightInd w:val="0"/>
              <w:snapToGrid w:val="0"/>
              <w:spacing w:line="288" w:lineRule="auto"/>
              <w:jc w:val="both"/>
              <w:rPr>
                <w:rFonts w:hint="eastAsia"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top"/>
          </w:tcPr>
          <w:p>
            <w:pPr>
              <w:widowControl/>
              <w:adjustRightInd w:val="0"/>
              <w:snapToGrid w:val="0"/>
              <w:spacing w:line="288" w:lineRule="auto"/>
              <w:jc w:val="both"/>
              <w:rPr>
                <w:rFonts w:cs="仿宋" w:asciiTheme="minorEastAsia" w:hAnsiTheme="minorEastAsia" w:eastAsiaTheme="minorEastAsia"/>
                <w:kern w:val="2"/>
                <w:sz w:val="21"/>
                <w:szCs w:val="21"/>
                <w:lang w:val="en-US" w:eastAsia="zh-CN" w:bidi="ar-SA"/>
              </w:rPr>
            </w:pPr>
            <w:r>
              <w:rPr>
                <w:rFonts w:hint="eastAsia" w:cs="仿宋" w:asciiTheme="minorEastAsia" w:hAnsiTheme="minorEastAsia" w:eastAsiaTheme="minorEastAsia"/>
                <w:szCs w:val="21"/>
              </w:rPr>
              <w:t>3.3（1）</w:t>
            </w:r>
          </w:p>
        </w:tc>
        <w:tc>
          <w:tcPr>
            <w:tcW w:w="0" w:type="auto"/>
            <w:vAlign w:val="top"/>
          </w:tcPr>
          <w:p>
            <w:pPr>
              <w:widowControl w:val="0"/>
              <w:adjustRightInd w:val="0"/>
              <w:snapToGrid w:val="0"/>
              <w:spacing w:line="288" w:lineRule="auto"/>
              <w:jc w:val="center"/>
              <w:rPr>
                <w:rFonts w:ascii="宋体" w:hAnsi="宋体" w:eastAsia="宋体" w:cs="Times New Roman"/>
                <w:kern w:val="2"/>
                <w:sz w:val="21"/>
                <w:szCs w:val="21"/>
                <w:lang w:val="en-US" w:eastAsia="zh-CN" w:bidi="ar-SA"/>
              </w:rPr>
            </w:pPr>
            <w:r>
              <w:rPr>
                <w:rFonts w:hint="eastAsia" w:ascii="宋体" w:hAnsi="宋体"/>
                <w:szCs w:val="21"/>
              </w:rPr>
              <w:t>商务部分评分标准</w:t>
            </w:r>
          </w:p>
        </w:tc>
        <w:tc>
          <w:tcPr>
            <w:tcW w:w="2797" w:type="dxa"/>
            <w:vAlign w:val="center"/>
          </w:tcPr>
          <w:p>
            <w:pPr>
              <w:widowControl w:val="0"/>
              <w:adjustRightInd w:val="0"/>
              <w:snapToGrid w:val="0"/>
              <w:spacing w:line="288" w:lineRule="auto"/>
              <w:jc w:val="center"/>
              <w:rPr>
                <w:rFonts w:hint="eastAsia" w:ascii="宋体" w:hAnsi="宋体" w:eastAsia="宋体" w:cs="Times New Roman"/>
                <w:kern w:val="2"/>
                <w:sz w:val="21"/>
                <w:szCs w:val="21"/>
                <w:lang w:val="en-US" w:eastAsia="zh-CN" w:bidi="ar-SA"/>
              </w:rPr>
            </w:pPr>
            <w:r>
              <w:rPr>
                <w:rFonts w:hint="eastAsia" w:ascii="宋体" w:hAnsi="宋体"/>
                <w:szCs w:val="21"/>
              </w:rPr>
              <w:t>详见本章</w:t>
            </w:r>
            <w:r>
              <w:rPr>
                <w:rFonts w:hint="eastAsia" w:ascii="宋体" w:hAnsi="宋体"/>
                <w:b/>
                <w:szCs w:val="21"/>
              </w:rPr>
              <w:t>附表1</w:t>
            </w:r>
          </w:p>
        </w:tc>
        <w:tc>
          <w:tcPr>
            <w:tcW w:w="4032" w:type="dxa"/>
          </w:tcPr>
          <w:p>
            <w:pPr>
              <w:widowControl/>
              <w:adjustRightInd w:val="0"/>
              <w:snapToGrid w:val="0"/>
              <w:spacing w:line="288" w:lineRule="auto"/>
              <w:jc w:val="both"/>
              <w:rPr>
                <w:rFonts w:hint="eastAsia"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top"/>
          </w:tcPr>
          <w:p>
            <w:pPr>
              <w:widowControl/>
              <w:adjustRightInd w:val="0"/>
              <w:snapToGrid w:val="0"/>
              <w:spacing w:line="288" w:lineRule="auto"/>
              <w:jc w:val="both"/>
              <w:rPr>
                <w:rFonts w:cs="仿宋" w:asciiTheme="minorEastAsia" w:hAnsiTheme="minorEastAsia" w:eastAsiaTheme="minorEastAsia"/>
                <w:kern w:val="2"/>
                <w:sz w:val="21"/>
                <w:szCs w:val="21"/>
                <w:lang w:val="en-US" w:eastAsia="zh-CN" w:bidi="ar-SA"/>
              </w:rPr>
            </w:pPr>
            <w:r>
              <w:rPr>
                <w:rFonts w:hint="eastAsia" w:cs="仿宋" w:asciiTheme="minorEastAsia" w:hAnsiTheme="minorEastAsia" w:eastAsiaTheme="minorEastAsia"/>
                <w:szCs w:val="21"/>
              </w:rPr>
              <w:t>3.3（2）</w:t>
            </w:r>
          </w:p>
        </w:tc>
        <w:tc>
          <w:tcPr>
            <w:tcW w:w="0" w:type="auto"/>
            <w:vAlign w:val="top"/>
          </w:tcPr>
          <w:p>
            <w:pPr>
              <w:widowControl w:val="0"/>
              <w:adjustRightInd w:val="0"/>
              <w:snapToGrid w:val="0"/>
              <w:spacing w:line="288" w:lineRule="auto"/>
              <w:jc w:val="center"/>
              <w:rPr>
                <w:rFonts w:ascii="宋体" w:hAnsi="宋体" w:eastAsia="宋体" w:cs="Times New Roman"/>
                <w:kern w:val="2"/>
                <w:sz w:val="21"/>
                <w:szCs w:val="21"/>
                <w:lang w:val="en-US" w:eastAsia="zh-CN" w:bidi="ar-SA"/>
              </w:rPr>
            </w:pPr>
            <w:r>
              <w:rPr>
                <w:rFonts w:hint="eastAsia" w:ascii="宋体" w:hAnsi="宋体"/>
                <w:szCs w:val="21"/>
              </w:rPr>
              <w:t>技术部分评分标准</w:t>
            </w:r>
          </w:p>
        </w:tc>
        <w:tc>
          <w:tcPr>
            <w:tcW w:w="2797" w:type="dxa"/>
            <w:vAlign w:val="center"/>
          </w:tcPr>
          <w:p>
            <w:pPr>
              <w:widowControl w:val="0"/>
              <w:adjustRightInd w:val="0"/>
              <w:snapToGrid w:val="0"/>
              <w:spacing w:line="288" w:lineRule="auto"/>
              <w:jc w:val="center"/>
              <w:rPr>
                <w:rFonts w:hint="eastAsia" w:ascii="宋体" w:hAnsi="宋体" w:eastAsia="宋体" w:cs="Times New Roman"/>
                <w:kern w:val="2"/>
                <w:sz w:val="21"/>
                <w:szCs w:val="21"/>
                <w:lang w:val="en-US" w:eastAsia="zh-CN" w:bidi="ar-SA"/>
              </w:rPr>
            </w:pPr>
            <w:r>
              <w:rPr>
                <w:rFonts w:hint="eastAsia" w:ascii="宋体" w:hAnsi="宋体"/>
                <w:szCs w:val="21"/>
              </w:rPr>
              <w:t>详见本章</w:t>
            </w:r>
            <w:r>
              <w:rPr>
                <w:rFonts w:hint="eastAsia" w:ascii="宋体" w:hAnsi="宋体"/>
                <w:b/>
                <w:szCs w:val="21"/>
              </w:rPr>
              <w:t>附表2</w:t>
            </w:r>
          </w:p>
        </w:tc>
        <w:tc>
          <w:tcPr>
            <w:tcW w:w="4032" w:type="dxa"/>
          </w:tcPr>
          <w:p>
            <w:pPr>
              <w:widowControl/>
              <w:adjustRightInd w:val="0"/>
              <w:snapToGrid w:val="0"/>
              <w:spacing w:line="288" w:lineRule="auto"/>
              <w:jc w:val="both"/>
              <w:rPr>
                <w:rFonts w:hint="eastAsia"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top"/>
          </w:tcPr>
          <w:p>
            <w:pPr>
              <w:widowControl/>
              <w:adjustRightInd w:val="0"/>
              <w:snapToGrid w:val="0"/>
              <w:spacing w:line="288" w:lineRule="auto"/>
              <w:jc w:val="both"/>
              <w:rPr>
                <w:rFonts w:cs="仿宋" w:asciiTheme="minorEastAsia" w:hAnsiTheme="minorEastAsia" w:eastAsiaTheme="minorEastAsia"/>
                <w:kern w:val="2"/>
                <w:sz w:val="21"/>
                <w:szCs w:val="21"/>
                <w:lang w:val="en-US" w:eastAsia="zh-CN" w:bidi="ar-SA"/>
              </w:rPr>
            </w:pPr>
            <w:r>
              <w:rPr>
                <w:rFonts w:hint="eastAsia" w:cs="仿宋" w:asciiTheme="minorEastAsia" w:hAnsiTheme="minorEastAsia" w:eastAsiaTheme="minorEastAsia"/>
                <w:szCs w:val="21"/>
              </w:rPr>
              <w:t>3.3（3）</w:t>
            </w:r>
          </w:p>
        </w:tc>
        <w:tc>
          <w:tcPr>
            <w:tcW w:w="0" w:type="auto"/>
            <w:vAlign w:val="top"/>
          </w:tcPr>
          <w:p>
            <w:pPr>
              <w:widowControl/>
              <w:adjustRightInd w:val="0"/>
              <w:snapToGrid w:val="0"/>
              <w:spacing w:line="288" w:lineRule="auto"/>
              <w:jc w:val="center"/>
              <w:rPr>
                <w:rFonts w:cs="仿宋" w:asciiTheme="minorEastAsia" w:hAnsiTheme="minorEastAsia" w:eastAsiaTheme="minorEastAsia"/>
                <w:kern w:val="2"/>
                <w:sz w:val="21"/>
                <w:szCs w:val="21"/>
                <w:lang w:val="en-US" w:eastAsia="zh-CN" w:bidi="ar-SA"/>
              </w:rPr>
            </w:pPr>
            <w:r>
              <w:rPr>
                <w:rFonts w:hint="eastAsia" w:ascii="宋体" w:hAnsi="宋体"/>
                <w:szCs w:val="21"/>
              </w:rPr>
              <w:t>报价评分标准</w:t>
            </w:r>
          </w:p>
        </w:tc>
        <w:tc>
          <w:tcPr>
            <w:tcW w:w="6829" w:type="dxa"/>
            <w:gridSpan w:val="2"/>
            <w:vAlign w:val="top"/>
          </w:tcPr>
          <w:p>
            <w:pPr>
              <w:widowControl/>
              <w:adjustRightInd w:val="0"/>
              <w:snapToGrid w:val="0"/>
              <w:spacing w:line="288" w:lineRule="auto"/>
              <w:jc w:val="both"/>
              <w:rPr>
                <w:rFonts w:hint="eastAsia" w:cs="仿宋" w:asciiTheme="minorEastAsia" w:hAnsiTheme="minorEastAsia" w:eastAsiaTheme="minorEastAsia"/>
                <w:szCs w:val="21"/>
              </w:rPr>
            </w:pPr>
            <w:r>
              <w:rPr>
                <w:rFonts w:hint="eastAsia" w:asciiTheme="minorEastAsia" w:hAnsiTheme="minorEastAsia" w:eastAsiaTheme="minorEastAsia"/>
                <w:szCs w:val="21"/>
              </w:rPr>
              <w:t>通过初步评审的最低评审价格为评审基准价，其供应商报价分为满分。其他供应商的报价分统一按照下列公式计算：报价得分＝（评审基准价／评审价格）</w:t>
            </w:r>
            <w:r>
              <w:rPr>
                <w:rFonts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响应</w:t>
            </w:r>
            <w:r>
              <w:rPr>
                <w:rFonts w:hint="eastAsia" w:asciiTheme="minorEastAsia" w:hAnsiTheme="minorEastAsia" w:eastAsiaTheme="minorEastAsia"/>
                <w:szCs w:val="21"/>
              </w:rPr>
              <w:t>报价分）。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center"/>
          </w:tcPr>
          <w:p>
            <w:pPr>
              <w:widowControl w:val="0"/>
              <w:adjustRightInd w:val="0"/>
              <w:snapToGrid w:val="0"/>
              <w:spacing w:line="288" w:lineRule="auto"/>
              <w:jc w:val="both"/>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 xml:space="preserve">3.4.1 </w:t>
            </w:r>
          </w:p>
        </w:tc>
        <w:tc>
          <w:tcPr>
            <w:tcW w:w="0" w:type="auto"/>
            <w:vAlign w:val="center"/>
          </w:tcPr>
          <w:p>
            <w:pPr>
              <w:widowControl w:val="0"/>
              <w:adjustRightInd w:val="0"/>
              <w:snapToGrid w:val="0"/>
              <w:spacing w:line="288" w:lineRule="auto"/>
              <w:jc w:val="both"/>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供应商最终得分的计算方法</w:t>
            </w:r>
          </w:p>
        </w:tc>
        <w:tc>
          <w:tcPr>
            <w:tcW w:w="6829" w:type="dxa"/>
            <w:gridSpan w:val="2"/>
            <w:vAlign w:val="center"/>
          </w:tcPr>
          <w:p>
            <w:pPr>
              <w:widowControl w:val="0"/>
              <w:adjustRightInd w:val="0"/>
              <w:snapToGrid w:val="0"/>
              <w:spacing w:line="288" w:lineRule="auto"/>
              <w:jc w:val="both"/>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供应商最终得分为商务部分、技术部分、</w:t>
            </w:r>
            <w:r>
              <w:rPr>
                <w:rFonts w:hint="eastAsia" w:asciiTheme="minorEastAsia" w:hAnsiTheme="minorEastAsia" w:eastAsiaTheme="minorEastAsia"/>
                <w:szCs w:val="21"/>
                <w:lang w:eastAsia="zh-CN"/>
              </w:rPr>
              <w:t>响应</w:t>
            </w:r>
            <w:r>
              <w:rPr>
                <w:rFonts w:hint="eastAsia" w:asciiTheme="minorEastAsia" w:hAnsiTheme="minorEastAsia" w:eastAsiaTheme="minorEastAsia"/>
                <w:szCs w:val="21"/>
              </w:rPr>
              <w:t>报价3个方面评价得分之和。</w:t>
            </w:r>
          </w:p>
        </w:tc>
      </w:tr>
    </w:tbl>
    <w:p>
      <w:pPr>
        <w:spacing w:line="288" w:lineRule="auto"/>
        <w:jc w:val="both"/>
        <w:rPr>
          <w:rFonts w:ascii="宋体" w:hAnsi="宋体" w:cs="仿宋"/>
          <w:sz w:val="24"/>
        </w:rPr>
      </w:pP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1评审方法(综合评分法)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本次评审采用综合评分法。评审小组对满足采购文件实质性要求的响应文件，按照本章第3条规定的评分标准进行打分，并按得分由高到低的顺序推荐成交候选供应商。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2.2.2除评审办法前附表另有规定外，评审价格为供应商在响应函中填报的大写含税价格。提供</w:t>
      </w:r>
      <w:r>
        <w:rPr>
          <w:rFonts w:ascii="宋体" w:hAnsi="宋体" w:cs="仿宋"/>
          <w:sz w:val="24"/>
        </w:rPr>
        <w:t>6%的的增值税专用发票，超过最高限价的作废。如果报价人提供其他税率的增值税专用发票，</w:t>
      </w:r>
      <w:r>
        <w:rPr>
          <w:rFonts w:hint="eastAsia" w:ascii="宋体" w:hAnsi="宋体" w:cs="仿宋"/>
          <w:sz w:val="24"/>
          <w:lang w:eastAsia="zh-CN"/>
        </w:rPr>
        <w:t>采购人</w:t>
      </w:r>
      <w:r>
        <w:rPr>
          <w:rFonts w:ascii="宋体" w:hAnsi="宋体" w:cs="仿宋"/>
          <w:sz w:val="24"/>
        </w:rPr>
        <w:t>按6%的的增值税税率调整报价后参</w:t>
      </w:r>
      <w:r>
        <w:rPr>
          <w:rFonts w:hint="eastAsia" w:ascii="宋体" w:hAnsi="宋体" w:cs="仿宋"/>
          <w:sz w:val="24"/>
        </w:rPr>
        <w:t>按照评审价格由低到高的顺序推荐成交候选供应商。税率调整后的评审价格若超过最高限价，其响应文件将被视为无效。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sz w:val="24"/>
        </w:rPr>
      </w:pPr>
      <w:r>
        <w:rPr>
          <w:rFonts w:hint="eastAsia" w:ascii="宋体" w:hAnsi="宋体" w:cs="仿宋"/>
          <w:b/>
          <w:bCs/>
          <w:sz w:val="24"/>
        </w:rPr>
        <w:t>3详细评审标准和程序(综合评分法)</w:t>
      </w:r>
    </w:p>
    <w:p>
      <w:pPr>
        <w:adjustRightInd w:val="0"/>
        <w:snapToGrid w:val="0"/>
        <w:spacing w:line="312" w:lineRule="auto"/>
        <w:jc w:val="both"/>
        <w:rPr>
          <w:rFonts w:ascii="宋体" w:hAnsi="宋体" w:cs="仿宋"/>
          <w:b/>
          <w:bCs/>
          <w:sz w:val="24"/>
        </w:rPr>
      </w:pPr>
      <w:r>
        <w:rPr>
          <w:rFonts w:hint="eastAsia" w:ascii="宋体" w:hAnsi="宋体" w:cs="仿宋"/>
          <w:b/>
          <w:bCs/>
          <w:sz w:val="24"/>
        </w:rPr>
        <w:t>3.1分值构成</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(1)商务部分:见评审办法前附表;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(2)技术部分:见评审办法前附表;</w:t>
      </w:r>
    </w:p>
    <w:p>
      <w:pPr>
        <w:adjustRightInd w:val="0"/>
        <w:snapToGrid w:val="0"/>
        <w:spacing w:line="312" w:lineRule="auto"/>
        <w:ind w:firstLine="321" w:firstLineChars="134"/>
        <w:jc w:val="both"/>
        <w:rPr>
          <w:rFonts w:ascii="宋体" w:hAnsi="宋体" w:cs="仿宋"/>
          <w:sz w:val="24"/>
        </w:rPr>
      </w:pPr>
      <w:r>
        <w:rPr>
          <w:rFonts w:hint="eastAsia" w:ascii="宋体" w:hAnsi="宋体" w:cs="仿宋"/>
          <w:sz w:val="24"/>
        </w:rPr>
        <w:t xml:space="preserve"> (3)报价:见评审办法前附表;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3.2评分标准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(1)商务评分标准:见评审办法前附表;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(2)技术评分标准:见评审办法前附表;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(3)报价评分标准: 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3.3评分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p>
    <w:p>
      <w:pPr>
        <w:adjustRightInd w:val="0"/>
        <w:snapToGrid w:val="0"/>
        <w:spacing w:line="312" w:lineRule="auto"/>
        <w:jc w:val="both"/>
        <w:rPr>
          <w:rFonts w:ascii="宋体" w:hAnsi="宋体" w:cs="仿宋"/>
          <w:sz w:val="24"/>
        </w:rPr>
      </w:pPr>
      <w:r>
        <w:rPr>
          <w:rFonts w:hint="eastAsia" w:ascii="宋体" w:hAnsi="宋体" w:cs="仿宋"/>
          <w:b/>
          <w:bCs/>
          <w:sz w:val="24"/>
        </w:rPr>
        <w:t>3.4汇总</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评审小组汇总每个成员对供应商的评分总分，每个供应商的评分总分的算术平均值为供应商最终得分。</w:t>
      </w:r>
    </w:p>
    <w:p>
      <w:pPr>
        <w:adjustRightInd w:val="0"/>
        <w:snapToGrid w:val="0"/>
        <w:spacing w:line="312" w:lineRule="auto"/>
        <w:jc w:val="both"/>
        <w:rPr>
          <w:rFonts w:ascii="宋体" w:hAnsi="宋体" w:cs="仿宋"/>
          <w:b/>
          <w:bCs/>
          <w:sz w:val="24"/>
        </w:rPr>
      </w:pPr>
      <w:r>
        <w:rPr>
          <w:rFonts w:hint="eastAsia" w:ascii="宋体" w:hAnsi="宋体" w:cs="仿宋"/>
          <w:b/>
          <w:bCs/>
          <w:sz w:val="24"/>
        </w:rPr>
        <w:t>3.5排序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pPr>
        <w:adjustRightInd w:val="0"/>
        <w:snapToGrid w:val="0"/>
        <w:spacing w:line="312" w:lineRule="auto"/>
        <w:jc w:val="both"/>
        <w:rPr>
          <w:rFonts w:ascii="宋体" w:hAnsi="宋体" w:cs="仿宋"/>
          <w:b/>
          <w:bCs/>
          <w:sz w:val="24"/>
        </w:rPr>
      </w:pP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490" w:lineRule="exact"/>
        <w:jc w:val="center"/>
        <w:rPr>
          <w:rFonts w:ascii="黑体" w:hAnsi="黑体" w:eastAsia="黑体" w:cs="宋体"/>
          <w:kern w:val="44"/>
          <w:sz w:val="32"/>
          <w:szCs w:val="32"/>
        </w:rPr>
      </w:pPr>
    </w:p>
    <w:p>
      <w:pPr>
        <w:widowControl w:val="0"/>
        <w:snapToGrid w:val="0"/>
        <w:spacing w:line="490" w:lineRule="exact"/>
        <w:jc w:val="center"/>
        <w:rPr>
          <w:rFonts w:ascii="黑体" w:hAnsi="黑体" w:eastAsia="黑体" w:cs="宋体"/>
          <w:kern w:val="44"/>
          <w:sz w:val="32"/>
          <w:szCs w:val="32"/>
        </w:rPr>
      </w:pPr>
    </w:p>
    <w:p>
      <w:pPr>
        <w:widowControl w:val="0"/>
        <w:snapToGrid w:val="0"/>
        <w:spacing w:line="490" w:lineRule="exact"/>
        <w:jc w:val="center"/>
        <w:rPr>
          <w:rFonts w:ascii="黑体" w:hAnsi="黑体" w:eastAsia="黑体" w:cs="宋体"/>
          <w:kern w:val="44"/>
          <w:sz w:val="32"/>
          <w:szCs w:val="32"/>
        </w:rPr>
      </w:pPr>
    </w:p>
    <w:p>
      <w:pPr>
        <w:widowControl w:val="0"/>
        <w:snapToGrid w:val="0"/>
        <w:spacing w:line="490" w:lineRule="exact"/>
        <w:jc w:val="center"/>
        <w:rPr>
          <w:rFonts w:ascii="黑体" w:hAnsi="黑体" w:eastAsia="黑体" w:cs="宋体"/>
          <w:kern w:val="44"/>
          <w:sz w:val="32"/>
          <w:szCs w:val="32"/>
        </w:rPr>
      </w:pPr>
    </w:p>
    <w:p>
      <w:pPr>
        <w:widowControl w:val="0"/>
        <w:snapToGrid w:val="0"/>
        <w:spacing w:line="490" w:lineRule="exact"/>
        <w:jc w:val="center"/>
        <w:rPr>
          <w:rFonts w:ascii="黑体" w:hAnsi="黑体" w:eastAsia="黑体" w:cs="宋体"/>
          <w:kern w:val="44"/>
          <w:sz w:val="32"/>
          <w:szCs w:val="32"/>
        </w:rPr>
      </w:pPr>
    </w:p>
    <w:p>
      <w:pPr>
        <w:widowControl w:val="0"/>
        <w:snapToGrid w:val="0"/>
        <w:spacing w:line="490" w:lineRule="exact"/>
        <w:jc w:val="center"/>
        <w:rPr>
          <w:rFonts w:ascii="黑体" w:hAnsi="黑体" w:eastAsia="黑体" w:cs="宋体"/>
          <w:kern w:val="44"/>
          <w:sz w:val="32"/>
          <w:szCs w:val="32"/>
        </w:rPr>
      </w:pPr>
    </w:p>
    <w:p>
      <w:pPr>
        <w:widowControl w:val="0"/>
        <w:snapToGrid w:val="0"/>
        <w:spacing w:line="490" w:lineRule="exact"/>
        <w:jc w:val="center"/>
        <w:rPr>
          <w:rFonts w:ascii="黑体" w:hAnsi="黑体" w:eastAsia="黑体" w:cs="宋体"/>
          <w:kern w:val="44"/>
          <w:sz w:val="32"/>
          <w:szCs w:val="32"/>
        </w:rPr>
      </w:pPr>
    </w:p>
    <w:p>
      <w:pPr>
        <w:widowControl w:val="0"/>
        <w:snapToGrid w:val="0"/>
        <w:spacing w:line="490" w:lineRule="exact"/>
        <w:jc w:val="center"/>
        <w:rPr>
          <w:rFonts w:ascii="黑体" w:hAnsi="黑体" w:eastAsia="黑体" w:cs="宋体"/>
          <w:kern w:val="44"/>
          <w:sz w:val="32"/>
          <w:szCs w:val="32"/>
        </w:rPr>
      </w:pPr>
    </w:p>
    <w:p>
      <w:pPr>
        <w:widowControl w:val="0"/>
        <w:snapToGrid w:val="0"/>
        <w:spacing w:line="490" w:lineRule="exact"/>
        <w:jc w:val="center"/>
        <w:outlineLvl w:val="0"/>
        <w:rPr>
          <w:rFonts w:ascii="黑体" w:hAnsi="黑体" w:eastAsia="黑体" w:cs="宋体"/>
          <w:kern w:val="44"/>
          <w:sz w:val="32"/>
          <w:szCs w:val="32"/>
        </w:rPr>
      </w:pPr>
      <w:bookmarkStart w:id="37" w:name="_Toc17663"/>
      <w:bookmarkStart w:id="38" w:name="_Toc21841"/>
      <w:r>
        <w:rPr>
          <w:rFonts w:hint="eastAsia" w:ascii="黑体" w:hAnsi="黑体" w:eastAsia="黑体" w:cs="宋体"/>
          <w:kern w:val="44"/>
          <w:sz w:val="32"/>
          <w:szCs w:val="32"/>
        </w:rPr>
        <w:t>附表1  商务部分评分表</w:t>
      </w:r>
      <w:bookmarkEnd w:id="37"/>
      <w:bookmarkEnd w:id="38"/>
    </w:p>
    <w:p>
      <w:pPr>
        <w:widowControl w:val="0"/>
        <w:spacing w:line="490" w:lineRule="exact"/>
        <w:jc w:val="both"/>
        <w:rPr>
          <w:rFonts w:ascii="宋体" w:hAnsi="宋体"/>
          <w:sz w:val="24"/>
          <w:u w:val="single"/>
        </w:rPr>
      </w:pPr>
      <w:r>
        <w:rPr>
          <w:rFonts w:hint="eastAsia" w:ascii="宋体" w:hAnsi="宋体"/>
          <w:sz w:val="24"/>
        </w:rPr>
        <w:t>项目名称：</w:t>
      </w:r>
      <w:r>
        <w:rPr>
          <w:rFonts w:hint="eastAsia" w:ascii="宋体" w:hAnsi="宋体"/>
          <w:sz w:val="24"/>
          <w:u w:val="single"/>
        </w:rPr>
        <w:t xml:space="preserve"> 城陵矶港</w:t>
      </w:r>
      <w:r>
        <w:rPr>
          <w:rFonts w:hint="eastAsia" w:ascii="宋体" w:hAnsi="宋体" w:cs="宋体"/>
          <w:sz w:val="24"/>
          <w:u w:val="single"/>
        </w:rPr>
        <w:t>交通工作船建设项目图纸设计</w:t>
      </w:r>
      <w:r>
        <w:rPr>
          <w:rFonts w:hint="eastAsia" w:ascii="宋体" w:hAnsi="宋体"/>
          <w:sz w:val="24"/>
          <w:u w:val="single"/>
        </w:rPr>
        <w:t xml:space="preserve"> </w:t>
      </w:r>
    </w:p>
    <w:tbl>
      <w:tblPr>
        <w:tblStyle w:val="36"/>
        <w:tblW w:w="1052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9"/>
        <w:gridCol w:w="1856"/>
        <w:gridCol w:w="4819"/>
        <w:gridCol w:w="1121"/>
        <w:gridCol w:w="1121"/>
        <w:gridCol w:w="10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99" w:type="dxa"/>
            <w:vMerge w:val="restart"/>
            <w:tcBorders>
              <w:tl2br w:val="nil"/>
              <w:tr2bl w:val="nil"/>
            </w:tcBorders>
            <w:vAlign w:val="center"/>
          </w:tcPr>
          <w:p>
            <w:pPr>
              <w:widowControl w:val="0"/>
              <w:spacing w:line="240" w:lineRule="auto"/>
              <w:jc w:val="center"/>
              <w:rPr>
                <w:rFonts w:ascii="宋体" w:hAnsi="宋体"/>
                <w:kern w:val="0"/>
                <w:szCs w:val="21"/>
              </w:rPr>
            </w:pPr>
            <w:r>
              <w:rPr>
                <w:rFonts w:hint="eastAsia" w:ascii="宋体" w:hAnsi="宋体"/>
                <w:kern w:val="0"/>
                <w:szCs w:val="21"/>
              </w:rPr>
              <w:t>序号</w:t>
            </w:r>
          </w:p>
        </w:tc>
        <w:tc>
          <w:tcPr>
            <w:tcW w:w="1856" w:type="dxa"/>
            <w:vMerge w:val="restart"/>
            <w:tcBorders>
              <w:tl2br w:val="nil"/>
              <w:tr2bl w:val="nil"/>
            </w:tcBorders>
            <w:vAlign w:val="center"/>
          </w:tcPr>
          <w:p>
            <w:pPr>
              <w:widowControl w:val="0"/>
              <w:spacing w:line="240" w:lineRule="auto"/>
              <w:jc w:val="center"/>
              <w:rPr>
                <w:rFonts w:ascii="宋体" w:hAnsi="宋体"/>
                <w:kern w:val="0"/>
                <w:szCs w:val="21"/>
              </w:rPr>
            </w:pPr>
            <w:r>
              <w:rPr>
                <w:rFonts w:hint="eastAsia" w:ascii="宋体" w:hAnsi="宋体"/>
                <w:kern w:val="0"/>
                <w:szCs w:val="21"/>
              </w:rPr>
              <w:t>评分因素</w:t>
            </w:r>
          </w:p>
        </w:tc>
        <w:tc>
          <w:tcPr>
            <w:tcW w:w="4819" w:type="dxa"/>
            <w:vMerge w:val="restart"/>
            <w:tcBorders>
              <w:tl2br w:val="nil"/>
              <w:tr2bl w:val="nil"/>
            </w:tcBorders>
            <w:vAlign w:val="center"/>
          </w:tcPr>
          <w:p>
            <w:pPr>
              <w:widowControl w:val="0"/>
              <w:spacing w:line="240" w:lineRule="auto"/>
              <w:jc w:val="center"/>
              <w:rPr>
                <w:rFonts w:ascii="宋体" w:hAnsi="宋体"/>
                <w:kern w:val="0"/>
                <w:szCs w:val="21"/>
              </w:rPr>
            </w:pPr>
            <w:r>
              <w:rPr>
                <w:rFonts w:hint="eastAsia" w:ascii="宋体" w:hAnsi="宋体"/>
                <w:kern w:val="0"/>
                <w:szCs w:val="21"/>
              </w:rPr>
              <w:t>评价内容/分值</w:t>
            </w:r>
          </w:p>
        </w:tc>
        <w:tc>
          <w:tcPr>
            <w:tcW w:w="3254" w:type="dxa"/>
            <w:gridSpan w:val="3"/>
            <w:tcBorders>
              <w:tl2br w:val="nil"/>
              <w:tr2bl w:val="nil"/>
            </w:tcBorders>
          </w:tcPr>
          <w:p>
            <w:pPr>
              <w:widowControl w:val="0"/>
              <w:spacing w:line="240" w:lineRule="auto"/>
              <w:jc w:val="center"/>
              <w:rPr>
                <w:rFonts w:ascii="宋体" w:hAnsi="宋体"/>
                <w:kern w:val="0"/>
                <w:szCs w:val="21"/>
              </w:rPr>
            </w:pPr>
            <w:r>
              <w:rPr>
                <w:rFonts w:hint="eastAsia" w:ascii="宋体" w:hAnsi="宋体"/>
                <w:kern w:val="0"/>
                <w:szCs w:val="21"/>
              </w:rPr>
              <w:t>供应商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99" w:type="dxa"/>
            <w:vMerge w:val="continue"/>
            <w:tcBorders>
              <w:tl2br w:val="nil"/>
              <w:tr2bl w:val="nil"/>
            </w:tcBorders>
            <w:vAlign w:val="center"/>
          </w:tcPr>
          <w:p>
            <w:pPr>
              <w:widowControl w:val="0"/>
              <w:spacing w:line="240" w:lineRule="auto"/>
              <w:jc w:val="center"/>
              <w:rPr>
                <w:rFonts w:ascii="宋体" w:hAnsi="宋体"/>
                <w:kern w:val="0"/>
                <w:szCs w:val="21"/>
              </w:rPr>
            </w:pPr>
          </w:p>
        </w:tc>
        <w:tc>
          <w:tcPr>
            <w:tcW w:w="1856" w:type="dxa"/>
            <w:vMerge w:val="continue"/>
            <w:tcBorders>
              <w:tl2br w:val="nil"/>
              <w:tr2bl w:val="nil"/>
            </w:tcBorders>
            <w:vAlign w:val="center"/>
          </w:tcPr>
          <w:p>
            <w:pPr>
              <w:widowControl w:val="0"/>
              <w:spacing w:line="240" w:lineRule="auto"/>
              <w:jc w:val="center"/>
              <w:rPr>
                <w:rFonts w:ascii="宋体" w:hAnsi="宋体"/>
                <w:kern w:val="0"/>
                <w:szCs w:val="21"/>
              </w:rPr>
            </w:pPr>
          </w:p>
        </w:tc>
        <w:tc>
          <w:tcPr>
            <w:tcW w:w="4819" w:type="dxa"/>
            <w:vMerge w:val="continue"/>
            <w:tcBorders>
              <w:tl2br w:val="nil"/>
              <w:tr2bl w:val="nil"/>
            </w:tcBorders>
            <w:vAlign w:val="center"/>
          </w:tcPr>
          <w:p>
            <w:pPr>
              <w:widowControl w:val="0"/>
              <w:spacing w:line="240" w:lineRule="auto"/>
              <w:jc w:val="center"/>
              <w:rPr>
                <w:rFonts w:ascii="宋体" w:hAnsi="宋体"/>
                <w:kern w:val="0"/>
                <w:szCs w:val="21"/>
              </w:rPr>
            </w:pPr>
          </w:p>
        </w:tc>
        <w:tc>
          <w:tcPr>
            <w:tcW w:w="1121" w:type="dxa"/>
            <w:tcBorders>
              <w:tl2br w:val="nil"/>
              <w:tr2bl w:val="nil"/>
            </w:tcBorders>
          </w:tcPr>
          <w:p>
            <w:pPr>
              <w:widowControl w:val="0"/>
              <w:spacing w:line="240" w:lineRule="auto"/>
              <w:jc w:val="center"/>
              <w:rPr>
                <w:rFonts w:ascii="宋体" w:hAnsi="宋体"/>
                <w:kern w:val="0"/>
                <w:szCs w:val="21"/>
              </w:rPr>
            </w:pPr>
          </w:p>
        </w:tc>
        <w:tc>
          <w:tcPr>
            <w:tcW w:w="1121" w:type="dxa"/>
            <w:tcBorders>
              <w:tl2br w:val="nil"/>
              <w:tr2bl w:val="nil"/>
            </w:tcBorders>
          </w:tcPr>
          <w:p>
            <w:pPr>
              <w:widowControl w:val="0"/>
              <w:spacing w:line="240" w:lineRule="auto"/>
              <w:jc w:val="center"/>
              <w:rPr>
                <w:rFonts w:ascii="宋体" w:hAnsi="宋体"/>
                <w:kern w:val="0"/>
                <w:szCs w:val="21"/>
              </w:rPr>
            </w:pPr>
          </w:p>
        </w:tc>
        <w:tc>
          <w:tcPr>
            <w:tcW w:w="1012" w:type="dxa"/>
            <w:tcBorders>
              <w:tl2br w:val="nil"/>
              <w:tr2bl w:val="nil"/>
            </w:tcBorders>
            <w:vAlign w:val="center"/>
          </w:tcPr>
          <w:p>
            <w:pPr>
              <w:widowControl w:val="0"/>
              <w:spacing w:line="240" w:lineRule="auto"/>
              <w:jc w:val="center"/>
              <w:rPr>
                <w:rFonts w:ascii="宋体" w:hAnsi="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99" w:type="dxa"/>
            <w:tcBorders>
              <w:tl2br w:val="nil"/>
              <w:tr2bl w:val="nil"/>
            </w:tcBorders>
            <w:vAlign w:val="center"/>
          </w:tcPr>
          <w:p>
            <w:pPr>
              <w:widowControl w:val="0"/>
              <w:spacing w:line="240" w:lineRule="auto"/>
              <w:jc w:val="center"/>
              <w:rPr>
                <w:rFonts w:ascii="宋体" w:hAnsi="宋体"/>
                <w:kern w:val="0"/>
                <w:szCs w:val="21"/>
              </w:rPr>
            </w:pPr>
            <w:r>
              <w:rPr>
                <w:rFonts w:hint="eastAsia" w:ascii="宋体" w:hAnsi="宋体"/>
                <w:kern w:val="0"/>
                <w:szCs w:val="21"/>
              </w:rPr>
              <w:t>1</w:t>
            </w:r>
          </w:p>
        </w:tc>
        <w:tc>
          <w:tcPr>
            <w:tcW w:w="1856" w:type="dxa"/>
            <w:tcBorders>
              <w:tl2br w:val="nil"/>
              <w:tr2bl w:val="nil"/>
            </w:tcBorders>
            <w:vAlign w:val="center"/>
          </w:tcPr>
          <w:p>
            <w:pPr>
              <w:jc w:val="center"/>
              <w:rPr>
                <w:rFonts w:hint="eastAsia" w:ascii="宋体" w:hAnsi="宋体"/>
                <w:szCs w:val="21"/>
              </w:rPr>
            </w:pPr>
            <w:r>
              <w:rPr>
                <w:rFonts w:hint="eastAsia" w:ascii="宋体" w:hAnsi="宋体"/>
                <w:szCs w:val="21"/>
                <w:lang w:val="en-US" w:eastAsia="zh-CN"/>
              </w:rPr>
              <w:t>类似</w:t>
            </w:r>
            <w:r>
              <w:rPr>
                <w:rFonts w:hint="eastAsia" w:ascii="宋体" w:hAnsi="宋体"/>
                <w:szCs w:val="21"/>
              </w:rPr>
              <w:t>设计</w:t>
            </w:r>
            <w:r>
              <w:rPr>
                <w:rFonts w:hint="eastAsia" w:ascii="宋体" w:hAnsi="宋体"/>
                <w:szCs w:val="21"/>
                <w:lang w:val="en-US" w:eastAsia="zh-CN"/>
              </w:rPr>
              <w:t>业绩</w:t>
            </w:r>
          </w:p>
          <w:p>
            <w:pPr>
              <w:jc w:val="center"/>
              <w:rPr>
                <w:rFonts w:hint="eastAsia" w:ascii="宋体" w:hAnsi="宋体"/>
                <w:szCs w:val="21"/>
                <w:lang w:val="en-US" w:eastAsia="zh-CN"/>
              </w:rPr>
            </w:pPr>
            <w:r>
              <w:rPr>
                <w:rFonts w:hint="eastAsia" w:ascii="宋体" w:hAnsi="宋体"/>
                <w:szCs w:val="21"/>
              </w:rPr>
              <w:t xml:space="preserve">（  </w:t>
            </w:r>
            <w:r>
              <w:rPr>
                <w:rFonts w:hint="eastAsia" w:ascii="宋体" w:hAnsi="宋体"/>
                <w:szCs w:val="21"/>
                <w:lang w:val="en-US" w:eastAsia="zh-CN"/>
              </w:rPr>
              <w:t>10</w:t>
            </w:r>
            <w:r>
              <w:rPr>
                <w:rFonts w:hint="eastAsia" w:ascii="宋体" w:hAnsi="宋体"/>
                <w:szCs w:val="21"/>
              </w:rPr>
              <w:t xml:space="preserve">  分）</w:t>
            </w:r>
          </w:p>
        </w:tc>
        <w:tc>
          <w:tcPr>
            <w:tcW w:w="4819" w:type="dxa"/>
            <w:tcBorders>
              <w:tl2br w:val="nil"/>
              <w:tr2bl w:val="nil"/>
            </w:tcBorders>
            <w:vAlign w:val="center"/>
          </w:tcPr>
          <w:p>
            <w:pPr>
              <w:jc w:val="left"/>
              <w:rPr>
                <w:rFonts w:hint="eastAsia" w:ascii="宋体" w:hAnsi="宋体"/>
                <w:szCs w:val="21"/>
                <w:lang w:val="en-US" w:eastAsia="zh-CN"/>
              </w:rPr>
            </w:pPr>
            <w:r>
              <w:rPr>
                <w:rFonts w:hint="eastAsia" w:ascii="宋体" w:hAnsi="宋体"/>
                <w:szCs w:val="21"/>
              </w:rPr>
              <w:t>满足资格审查业绩要求的，得</w:t>
            </w:r>
            <w:r>
              <w:rPr>
                <w:rFonts w:hint="eastAsia" w:ascii="宋体" w:hAnsi="宋体"/>
                <w:szCs w:val="21"/>
                <w:lang w:val="en-US" w:eastAsia="zh-CN"/>
              </w:rPr>
              <w:t>6</w:t>
            </w:r>
            <w:r>
              <w:rPr>
                <w:rFonts w:hint="eastAsia" w:ascii="宋体" w:hAnsi="宋体"/>
                <w:szCs w:val="21"/>
              </w:rPr>
              <w:t xml:space="preserve"> 分；每增加一个类似项目，得</w:t>
            </w:r>
            <w:r>
              <w:rPr>
                <w:rFonts w:hint="eastAsia" w:ascii="宋体" w:hAnsi="宋体"/>
                <w:szCs w:val="21"/>
                <w:lang w:val="en-US" w:eastAsia="zh-CN"/>
              </w:rPr>
              <w:t>2</w:t>
            </w:r>
            <w:r>
              <w:rPr>
                <w:rFonts w:hint="eastAsia" w:ascii="宋体" w:hAnsi="宋体"/>
                <w:szCs w:val="21"/>
              </w:rPr>
              <w:t>分，最多得</w:t>
            </w:r>
            <w:r>
              <w:rPr>
                <w:rFonts w:hint="eastAsia" w:ascii="宋体" w:hAnsi="宋体"/>
                <w:szCs w:val="21"/>
                <w:lang w:val="en-US" w:eastAsia="zh-CN"/>
              </w:rPr>
              <w:t>10</w:t>
            </w:r>
            <w:r>
              <w:rPr>
                <w:rFonts w:hint="eastAsia" w:ascii="宋体" w:hAnsi="宋体"/>
                <w:szCs w:val="21"/>
              </w:rPr>
              <w:t>分。</w:t>
            </w:r>
          </w:p>
        </w:tc>
        <w:tc>
          <w:tcPr>
            <w:tcW w:w="1121" w:type="dxa"/>
            <w:tcBorders>
              <w:tl2br w:val="nil"/>
              <w:tr2bl w:val="nil"/>
            </w:tcBorders>
          </w:tcPr>
          <w:p>
            <w:pPr>
              <w:widowControl w:val="0"/>
              <w:spacing w:line="240" w:lineRule="auto"/>
              <w:jc w:val="center"/>
              <w:rPr>
                <w:rFonts w:ascii="宋体" w:hAnsi="宋体"/>
                <w:kern w:val="0"/>
                <w:szCs w:val="21"/>
              </w:rPr>
            </w:pPr>
          </w:p>
        </w:tc>
        <w:tc>
          <w:tcPr>
            <w:tcW w:w="1121" w:type="dxa"/>
            <w:tcBorders>
              <w:tl2br w:val="nil"/>
              <w:tr2bl w:val="nil"/>
            </w:tcBorders>
          </w:tcPr>
          <w:p>
            <w:pPr>
              <w:widowControl w:val="0"/>
              <w:spacing w:line="240" w:lineRule="auto"/>
              <w:jc w:val="center"/>
              <w:rPr>
                <w:rFonts w:ascii="宋体" w:hAnsi="宋体"/>
                <w:kern w:val="0"/>
                <w:szCs w:val="21"/>
              </w:rPr>
            </w:pPr>
          </w:p>
        </w:tc>
        <w:tc>
          <w:tcPr>
            <w:tcW w:w="1012" w:type="dxa"/>
            <w:tcBorders>
              <w:tl2br w:val="nil"/>
              <w:tr2bl w:val="nil"/>
            </w:tcBorders>
            <w:vAlign w:val="center"/>
          </w:tcPr>
          <w:p>
            <w:pPr>
              <w:widowControl w:val="0"/>
              <w:spacing w:line="240" w:lineRule="auto"/>
              <w:jc w:val="center"/>
              <w:rPr>
                <w:rFonts w:ascii="宋体" w:hAnsi="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99" w:type="dxa"/>
            <w:tcBorders>
              <w:tl2br w:val="nil"/>
              <w:tr2bl w:val="nil"/>
            </w:tcBorders>
            <w:vAlign w:val="center"/>
          </w:tcPr>
          <w:p>
            <w:pPr>
              <w:widowControl w:val="0"/>
              <w:spacing w:line="24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2</w:t>
            </w:r>
          </w:p>
        </w:tc>
        <w:tc>
          <w:tcPr>
            <w:tcW w:w="1856" w:type="dxa"/>
            <w:tcBorders>
              <w:tl2br w:val="nil"/>
              <w:tr2bl w:val="nil"/>
            </w:tcBorders>
            <w:vAlign w:val="center"/>
          </w:tcPr>
          <w:p>
            <w:pPr>
              <w:jc w:val="center"/>
              <w:rPr>
                <w:rFonts w:hint="eastAsia" w:ascii="宋体" w:hAnsi="宋体"/>
                <w:szCs w:val="21"/>
                <w:lang w:val="en-US" w:eastAsia="zh-CN"/>
              </w:rPr>
            </w:pPr>
            <w:r>
              <w:rPr>
                <w:rFonts w:hint="eastAsia" w:ascii="宋体" w:hAnsi="宋体"/>
                <w:szCs w:val="21"/>
                <w:lang w:val="en-US" w:eastAsia="zh-CN"/>
              </w:rPr>
              <w:t>获奖情况（  5 分）</w:t>
            </w:r>
          </w:p>
        </w:tc>
        <w:tc>
          <w:tcPr>
            <w:tcW w:w="4819" w:type="dxa"/>
            <w:tcBorders>
              <w:tl2br w:val="nil"/>
              <w:tr2bl w:val="nil"/>
            </w:tcBorders>
            <w:vAlign w:val="center"/>
          </w:tcPr>
          <w:p>
            <w:pPr>
              <w:jc w:val="left"/>
              <w:rPr>
                <w:rFonts w:hint="eastAsia" w:ascii="宋体" w:hAnsi="宋体"/>
                <w:szCs w:val="21"/>
                <w:lang w:val="en-US" w:eastAsia="zh-CN"/>
              </w:rPr>
            </w:pPr>
            <w:r>
              <w:rPr>
                <w:rFonts w:hint="eastAsia" w:ascii="宋体" w:hAnsi="宋体"/>
                <w:szCs w:val="21"/>
                <w:lang w:val="en-US" w:eastAsia="zh-CN"/>
              </w:rPr>
              <w:t>获省部级或以上奖项，每个得 1 分，两项累计最多5 分。</w:t>
            </w:r>
          </w:p>
        </w:tc>
        <w:tc>
          <w:tcPr>
            <w:tcW w:w="1121" w:type="dxa"/>
            <w:tcBorders>
              <w:tl2br w:val="nil"/>
              <w:tr2bl w:val="nil"/>
            </w:tcBorders>
          </w:tcPr>
          <w:p>
            <w:pPr>
              <w:widowControl w:val="0"/>
              <w:spacing w:line="240" w:lineRule="auto"/>
              <w:jc w:val="center"/>
              <w:rPr>
                <w:rFonts w:ascii="宋体" w:hAnsi="宋体"/>
                <w:kern w:val="0"/>
                <w:szCs w:val="21"/>
              </w:rPr>
            </w:pPr>
          </w:p>
        </w:tc>
        <w:tc>
          <w:tcPr>
            <w:tcW w:w="1121" w:type="dxa"/>
            <w:tcBorders>
              <w:tl2br w:val="nil"/>
              <w:tr2bl w:val="nil"/>
            </w:tcBorders>
          </w:tcPr>
          <w:p>
            <w:pPr>
              <w:widowControl w:val="0"/>
              <w:spacing w:line="240" w:lineRule="auto"/>
              <w:jc w:val="center"/>
              <w:rPr>
                <w:rFonts w:ascii="宋体" w:hAnsi="宋体"/>
                <w:kern w:val="0"/>
                <w:szCs w:val="21"/>
              </w:rPr>
            </w:pPr>
          </w:p>
        </w:tc>
        <w:tc>
          <w:tcPr>
            <w:tcW w:w="1012" w:type="dxa"/>
            <w:tcBorders>
              <w:tl2br w:val="nil"/>
              <w:tr2bl w:val="nil"/>
            </w:tcBorders>
            <w:vAlign w:val="center"/>
          </w:tcPr>
          <w:p>
            <w:pPr>
              <w:widowControl w:val="0"/>
              <w:spacing w:line="240" w:lineRule="auto"/>
              <w:jc w:val="center"/>
              <w:rPr>
                <w:rFonts w:ascii="宋体" w:hAnsi="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80" w:hRule="atLeast"/>
          <w:jc w:val="center"/>
        </w:trPr>
        <w:tc>
          <w:tcPr>
            <w:tcW w:w="599" w:type="dxa"/>
            <w:vMerge w:val="restart"/>
            <w:tcBorders>
              <w:tl2br w:val="nil"/>
              <w:tr2bl w:val="nil"/>
            </w:tcBorders>
            <w:vAlign w:val="center"/>
          </w:tcPr>
          <w:p>
            <w:pPr>
              <w:widowControl w:val="0"/>
              <w:spacing w:line="24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1856" w:type="dxa"/>
            <w:vMerge w:val="restart"/>
            <w:tcBorders>
              <w:tl2br w:val="nil"/>
              <w:tr2bl w:val="nil"/>
            </w:tcBorders>
            <w:vAlign w:val="center"/>
          </w:tcPr>
          <w:p>
            <w:pPr>
              <w:jc w:val="center"/>
              <w:rPr>
                <w:rFonts w:hint="eastAsia" w:ascii="宋体" w:hAnsi="宋体"/>
                <w:szCs w:val="21"/>
                <w:lang w:val="en-US" w:eastAsia="zh-CN"/>
              </w:rPr>
            </w:pPr>
            <w:r>
              <w:rPr>
                <w:rFonts w:hint="eastAsia" w:ascii="宋体" w:hAnsi="宋体"/>
                <w:szCs w:val="21"/>
              </w:rPr>
              <w:t xml:space="preserve">技术团队资历和业绩（ </w:t>
            </w:r>
            <w:r>
              <w:rPr>
                <w:rFonts w:hint="eastAsia" w:ascii="宋体" w:hAnsi="宋体"/>
                <w:szCs w:val="21"/>
                <w:lang w:val="en-US" w:eastAsia="zh-CN"/>
              </w:rPr>
              <w:t>15</w:t>
            </w:r>
            <w:r>
              <w:rPr>
                <w:rFonts w:hint="eastAsia" w:ascii="宋体" w:hAnsi="宋体"/>
                <w:szCs w:val="21"/>
              </w:rPr>
              <w:t xml:space="preserve"> 分）</w:t>
            </w:r>
          </w:p>
        </w:tc>
        <w:tc>
          <w:tcPr>
            <w:tcW w:w="4819" w:type="dxa"/>
            <w:tcBorders>
              <w:bottom w:val="single" w:color="000000" w:sz="2" w:space="0"/>
              <w:tl2br w:val="nil"/>
              <w:tr2bl w:val="nil"/>
            </w:tcBorders>
            <w:vAlign w:val="center"/>
          </w:tcPr>
          <w:p>
            <w:pPr>
              <w:jc w:val="left"/>
              <w:rPr>
                <w:rFonts w:hint="eastAsia" w:ascii="宋体" w:hAnsi="宋体"/>
                <w:szCs w:val="21"/>
                <w:lang w:val="en-US" w:eastAsia="zh-CN"/>
              </w:rPr>
            </w:pPr>
            <w:r>
              <w:rPr>
                <w:rFonts w:hint="eastAsia" w:ascii="宋体" w:hAnsi="宋体"/>
                <w:szCs w:val="21"/>
              </w:rPr>
              <w:t>担任本项目的项目经理</w:t>
            </w:r>
            <w:r>
              <w:rPr>
                <w:rFonts w:hint="eastAsia" w:ascii="宋体" w:hAnsi="宋体"/>
                <w:szCs w:val="21"/>
                <w:lang w:val="en-US" w:eastAsia="zh-CN"/>
              </w:rPr>
              <w:t>或</w:t>
            </w:r>
            <w:r>
              <w:rPr>
                <w:rFonts w:hint="eastAsia" w:ascii="宋体" w:hAnsi="宋体"/>
                <w:szCs w:val="21"/>
              </w:rPr>
              <w:t>技术负责人具有高级职称资格证书计2分</w:t>
            </w:r>
            <w:r>
              <w:rPr>
                <w:rFonts w:hint="eastAsia" w:ascii="宋体" w:hAnsi="宋体"/>
                <w:szCs w:val="21"/>
                <w:lang w:eastAsia="zh-CN"/>
              </w:rPr>
              <w:t>、</w:t>
            </w:r>
            <w:r>
              <w:rPr>
                <w:rFonts w:hint="eastAsia" w:ascii="宋体" w:hAnsi="宋体"/>
                <w:szCs w:val="21"/>
              </w:rPr>
              <w:t>具有5年（含）以上相关工作经历计2分、具有</w:t>
            </w:r>
            <w:r>
              <w:rPr>
                <w:rFonts w:hint="eastAsia" w:ascii="宋体" w:hAnsi="宋体"/>
                <w:szCs w:val="21"/>
                <w:lang w:val="en-US" w:eastAsia="zh-CN"/>
              </w:rPr>
              <w:t>1</w:t>
            </w:r>
            <w:r>
              <w:rPr>
                <w:rFonts w:hint="eastAsia" w:ascii="宋体" w:hAnsi="宋体"/>
                <w:szCs w:val="21"/>
              </w:rPr>
              <w:t>个类似</w:t>
            </w:r>
            <w:r>
              <w:rPr>
                <w:rFonts w:hint="eastAsia" w:ascii="宋体" w:hAnsi="宋体"/>
                <w:szCs w:val="21"/>
                <w:lang w:val="en-US" w:eastAsia="zh-CN"/>
              </w:rPr>
              <w:t>个人业绩</w:t>
            </w:r>
            <w:r>
              <w:rPr>
                <w:rFonts w:hint="eastAsia" w:ascii="宋体" w:hAnsi="宋体"/>
                <w:szCs w:val="21"/>
              </w:rPr>
              <w:t>案例的计</w:t>
            </w:r>
            <w:r>
              <w:rPr>
                <w:rFonts w:hint="eastAsia" w:ascii="宋体" w:hAnsi="宋体"/>
                <w:szCs w:val="21"/>
                <w:lang w:val="en-US" w:eastAsia="zh-CN"/>
              </w:rPr>
              <w:t>2</w:t>
            </w:r>
            <w:r>
              <w:rPr>
                <w:rFonts w:hint="eastAsia" w:ascii="宋体" w:hAnsi="宋体"/>
                <w:szCs w:val="21"/>
              </w:rPr>
              <w:t>分 计满</w:t>
            </w:r>
            <w:r>
              <w:rPr>
                <w:rFonts w:hint="eastAsia" w:ascii="宋体" w:hAnsi="宋体"/>
                <w:szCs w:val="21"/>
                <w:lang w:val="en-US" w:eastAsia="zh-CN"/>
              </w:rPr>
              <w:t>10</w:t>
            </w:r>
            <w:r>
              <w:rPr>
                <w:rFonts w:hint="eastAsia" w:ascii="宋体" w:hAnsi="宋体"/>
                <w:szCs w:val="21"/>
              </w:rPr>
              <w:t>分为止。提供相关证照</w:t>
            </w:r>
            <w:r>
              <w:rPr>
                <w:rFonts w:hint="eastAsia" w:ascii="宋体" w:hAnsi="宋体"/>
                <w:szCs w:val="21"/>
                <w:lang w:val="en-US" w:eastAsia="zh-CN"/>
              </w:rPr>
              <w:t>和业绩</w:t>
            </w:r>
            <w:r>
              <w:rPr>
                <w:rFonts w:hint="eastAsia" w:ascii="宋体" w:hAnsi="宋体"/>
                <w:szCs w:val="21"/>
              </w:rPr>
              <w:t>资料复印件。</w:t>
            </w:r>
          </w:p>
        </w:tc>
        <w:tc>
          <w:tcPr>
            <w:tcW w:w="1121" w:type="dxa"/>
            <w:vMerge w:val="restart"/>
            <w:tcBorders>
              <w:tl2br w:val="nil"/>
              <w:tr2bl w:val="nil"/>
            </w:tcBorders>
          </w:tcPr>
          <w:p>
            <w:pPr>
              <w:widowControl w:val="0"/>
              <w:spacing w:line="240" w:lineRule="auto"/>
              <w:jc w:val="center"/>
              <w:rPr>
                <w:rFonts w:ascii="宋体" w:hAnsi="宋体"/>
                <w:kern w:val="0"/>
                <w:szCs w:val="21"/>
              </w:rPr>
            </w:pPr>
          </w:p>
        </w:tc>
        <w:tc>
          <w:tcPr>
            <w:tcW w:w="1121" w:type="dxa"/>
            <w:vMerge w:val="restart"/>
            <w:tcBorders>
              <w:tl2br w:val="nil"/>
              <w:tr2bl w:val="nil"/>
            </w:tcBorders>
          </w:tcPr>
          <w:p>
            <w:pPr>
              <w:widowControl w:val="0"/>
              <w:spacing w:line="240" w:lineRule="auto"/>
              <w:jc w:val="center"/>
              <w:rPr>
                <w:rFonts w:ascii="宋体" w:hAnsi="宋体"/>
                <w:kern w:val="0"/>
                <w:szCs w:val="21"/>
              </w:rPr>
            </w:pPr>
          </w:p>
        </w:tc>
        <w:tc>
          <w:tcPr>
            <w:tcW w:w="1012" w:type="dxa"/>
            <w:vMerge w:val="restart"/>
            <w:tcBorders>
              <w:tl2br w:val="nil"/>
              <w:tr2bl w:val="nil"/>
            </w:tcBorders>
            <w:vAlign w:val="center"/>
          </w:tcPr>
          <w:p>
            <w:pPr>
              <w:widowControl w:val="0"/>
              <w:spacing w:line="240" w:lineRule="auto"/>
              <w:jc w:val="center"/>
              <w:rPr>
                <w:rFonts w:ascii="宋体" w:hAnsi="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0" w:hRule="atLeast"/>
          <w:jc w:val="center"/>
        </w:trPr>
        <w:tc>
          <w:tcPr>
            <w:tcW w:w="599" w:type="dxa"/>
            <w:vMerge w:val="continue"/>
            <w:tcBorders>
              <w:tl2br w:val="nil"/>
              <w:tr2bl w:val="nil"/>
            </w:tcBorders>
            <w:vAlign w:val="center"/>
          </w:tcPr>
          <w:p>
            <w:pPr>
              <w:widowControl w:val="0"/>
              <w:spacing w:line="240" w:lineRule="auto"/>
              <w:jc w:val="center"/>
              <w:rPr>
                <w:rFonts w:hint="eastAsia" w:ascii="宋体" w:hAnsi="宋体"/>
                <w:kern w:val="0"/>
                <w:szCs w:val="21"/>
                <w:lang w:val="en-US" w:eastAsia="zh-CN"/>
              </w:rPr>
            </w:pPr>
          </w:p>
        </w:tc>
        <w:tc>
          <w:tcPr>
            <w:tcW w:w="1856" w:type="dxa"/>
            <w:vMerge w:val="continue"/>
            <w:tcBorders>
              <w:tl2br w:val="nil"/>
              <w:tr2bl w:val="nil"/>
            </w:tcBorders>
            <w:vAlign w:val="center"/>
          </w:tcPr>
          <w:p>
            <w:pPr>
              <w:jc w:val="center"/>
              <w:rPr>
                <w:rFonts w:hint="eastAsia" w:ascii="宋体" w:hAnsi="宋体"/>
                <w:szCs w:val="21"/>
              </w:rPr>
            </w:pPr>
          </w:p>
        </w:tc>
        <w:tc>
          <w:tcPr>
            <w:tcW w:w="4819" w:type="dxa"/>
            <w:tcBorders>
              <w:top w:val="single" w:color="000000" w:sz="2" w:space="0"/>
              <w:tl2br w:val="nil"/>
              <w:tr2bl w:val="nil"/>
            </w:tcBorders>
            <w:vAlign w:val="center"/>
          </w:tcPr>
          <w:p>
            <w:pPr>
              <w:jc w:val="left"/>
              <w:rPr>
                <w:rFonts w:hint="eastAsia" w:ascii="宋体" w:hAnsi="宋体"/>
                <w:szCs w:val="21"/>
              </w:rPr>
            </w:pPr>
            <w:r>
              <w:rPr>
                <w:rFonts w:hint="eastAsia" w:ascii="宋体" w:hAnsi="宋体"/>
                <w:szCs w:val="21"/>
              </w:rPr>
              <w:t>其他成员具有中级职称以上资格计</w:t>
            </w:r>
            <w:r>
              <w:rPr>
                <w:rFonts w:hint="eastAsia" w:ascii="宋体" w:hAnsi="宋体"/>
                <w:szCs w:val="21"/>
                <w:lang w:val="en-US" w:eastAsia="zh-CN"/>
              </w:rPr>
              <w:t>1</w:t>
            </w:r>
            <w:r>
              <w:rPr>
                <w:rFonts w:hint="eastAsia" w:ascii="宋体" w:hAnsi="宋体"/>
                <w:szCs w:val="21"/>
              </w:rPr>
              <w:t>分</w:t>
            </w:r>
            <w:r>
              <w:rPr>
                <w:rFonts w:hint="eastAsia" w:ascii="宋体" w:hAnsi="宋体"/>
                <w:szCs w:val="21"/>
                <w:lang w:eastAsia="zh-CN"/>
              </w:rPr>
              <w:t>、</w:t>
            </w:r>
            <w:r>
              <w:rPr>
                <w:rFonts w:hint="eastAsia" w:ascii="宋体" w:hAnsi="宋体"/>
                <w:szCs w:val="21"/>
              </w:rPr>
              <w:t>具有3年（含）以上工作经历计</w:t>
            </w:r>
            <w:r>
              <w:rPr>
                <w:rFonts w:hint="eastAsia" w:ascii="宋体" w:hAnsi="宋体"/>
                <w:szCs w:val="21"/>
                <w:lang w:val="en-US" w:eastAsia="zh-CN"/>
              </w:rPr>
              <w:t>1</w:t>
            </w:r>
            <w:r>
              <w:rPr>
                <w:rFonts w:hint="eastAsia" w:ascii="宋体" w:hAnsi="宋体"/>
                <w:szCs w:val="21"/>
              </w:rPr>
              <w:t>分、具有1个类似实施案例的计</w:t>
            </w:r>
            <w:r>
              <w:rPr>
                <w:rFonts w:hint="eastAsia" w:ascii="宋体" w:hAnsi="宋体"/>
                <w:szCs w:val="21"/>
                <w:lang w:val="en-US" w:eastAsia="zh-CN"/>
              </w:rPr>
              <w:t>1</w:t>
            </w:r>
            <w:r>
              <w:rPr>
                <w:rFonts w:hint="eastAsia" w:ascii="宋体" w:hAnsi="宋体"/>
                <w:szCs w:val="21"/>
              </w:rPr>
              <w:t>分计满</w:t>
            </w:r>
            <w:r>
              <w:rPr>
                <w:rFonts w:hint="eastAsia" w:ascii="宋体" w:hAnsi="宋体"/>
                <w:szCs w:val="21"/>
                <w:lang w:val="en-US" w:eastAsia="zh-CN"/>
              </w:rPr>
              <w:t>5</w:t>
            </w:r>
            <w:r>
              <w:rPr>
                <w:rFonts w:hint="eastAsia" w:ascii="宋体" w:hAnsi="宋体"/>
                <w:szCs w:val="21"/>
              </w:rPr>
              <w:t>分为止。不得重复计分。提供相关证照</w:t>
            </w:r>
            <w:r>
              <w:rPr>
                <w:rFonts w:hint="eastAsia" w:ascii="宋体" w:hAnsi="宋体"/>
                <w:szCs w:val="21"/>
                <w:lang w:val="en-US" w:eastAsia="zh-CN"/>
              </w:rPr>
              <w:t>和业绩</w:t>
            </w:r>
            <w:r>
              <w:rPr>
                <w:rFonts w:hint="eastAsia" w:ascii="宋体" w:hAnsi="宋体"/>
                <w:szCs w:val="21"/>
              </w:rPr>
              <w:t>资料复印件。</w:t>
            </w:r>
          </w:p>
        </w:tc>
        <w:tc>
          <w:tcPr>
            <w:tcW w:w="1121" w:type="dxa"/>
            <w:vMerge w:val="continue"/>
            <w:tcBorders>
              <w:tl2br w:val="nil"/>
              <w:tr2bl w:val="nil"/>
            </w:tcBorders>
          </w:tcPr>
          <w:p>
            <w:pPr>
              <w:widowControl w:val="0"/>
              <w:spacing w:line="240" w:lineRule="auto"/>
              <w:jc w:val="center"/>
              <w:rPr>
                <w:rFonts w:ascii="宋体" w:hAnsi="宋体"/>
                <w:kern w:val="0"/>
                <w:szCs w:val="21"/>
              </w:rPr>
            </w:pPr>
          </w:p>
        </w:tc>
        <w:tc>
          <w:tcPr>
            <w:tcW w:w="1121" w:type="dxa"/>
            <w:vMerge w:val="continue"/>
            <w:tcBorders>
              <w:tl2br w:val="nil"/>
              <w:tr2bl w:val="nil"/>
            </w:tcBorders>
          </w:tcPr>
          <w:p>
            <w:pPr>
              <w:widowControl w:val="0"/>
              <w:spacing w:line="240" w:lineRule="auto"/>
              <w:jc w:val="center"/>
              <w:rPr>
                <w:rFonts w:ascii="宋体" w:hAnsi="宋体"/>
                <w:kern w:val="0"/>
                <w:szCs w:val="21"/>
              </w:rPr>
            </w:pPr>
          </w:p>
        </w:tc>
        <w:tc>
          <w:tcPr>
            <w:tcW w:w="1012" w:type="dxa"/>
            <w:vMerge w:val="continue"/>
            <w:tcBorders>
              <w:tl2br w:val="nil"/>
              <w:tr2bl w:val="nil"/>
            </w:tcBorders>
            <w:vAlign w:val="center"/>
          </w:tcPr>
          <w:p>
            <w:pPr>
              <w:widowControl w:val="0"/>
              <w:spacing w:line="240" w:lineRule="auto"/>
              <w:jc w:val="center"/>
              <w:rPr>
                <w:rFonts w:ascii="宋体" w:hAnsi="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599" w:type="dxa"/>
            <w:tcBorders>
              <w:tl2br w:val="nil"/>
              <w:tr2bl w:val="nil"/>
            </w:tcBorders>
            <w:vAlign w:val="center"/>
          </w:tcPr>
          <w:p>
            <w:pPr>
              <w:widowControl w:val="0"/>
              <w:spacing w:line="240" w:lineRule="auto"/>
              <w:jc w:val="center"/>
              <w:rPr>
                <w:rFonts w:ascii="宋体" w:hAnsi="宋体"/>
                <w:kern w:val="0"/>
                <w:szCs w:val="21"/>
              </w:rPr>
            </w:pPr>
            <w:r>
              <w:rPr>
                <w:rFonts w:ascii="宋体" w:hAnsi="宋体"/>
                <w:kern w:val="0"/>
                <w:szCs w:val="21"/>
              </w:rPr>
              <w:t>5</w:t>
            </w:r>
          </w:p>
        </w:tc>
        <w:tc>
          <w:tcPr>
            <w:tcW w:w="1856" w:type="dxa"/>
            <w:tcBorders>
              <w:tl2br w:val="nil"/>
              <w:tr2bl w:val="nil"/>
            </w:tcBorders>
            <w:vAlign w:val="center"/>
          </w:tcPr>
          <w:p>
            <w:pPr>
              <w:jc w:val="center"/>
              <w:rPr>
                <w:rFonts w:hint="eastAsia" w:ascii="宋体" w:hAnsi="宋体"/>
                <w:szCs w:val="21"/>
                <w:lang w:val="en-US" w:eastAsia="zh-CN"/>
              </w:rPr>
            </w:pPr>
            <w:r>
              <w:rPr>
                <w:rFonts w:hint="eastAsia" w:ascii="宋体" w:hAnsi="宋体"/>
                <w:szCs w:val="21"/>
              </w:rPr>
              <w:t>通过中国船级社审图</w:t>
            </w:r>
            <w:r>
              <w:rPr>
                <w:rFonts w:hint="eastAsia" w:ascii="宋体" w:hAnsi="宋体"/>
                <w:szCs w:val="21"/>
                <w:lang w:val="en-US" w:eastAsia="zh-CN"/>
              </w:rPr>
              <w:t>期限</w:t>
            </w:r>
          </w:p>
          <w:p>
            <w:pPr>
              <w:jc w:val="center"/>
              <w:rPr>
                <w:rFonts w:hint="eastAsia" w:ascii="宋体" w:hAnsi="宋体"/>
                <w:szCs w:val="21"/>
                <w:lang w:val="en-US" w:eastAsia="zh-CN"/>
              </w:rPr>
            </w:pPr>
            <w:r>
              <w:rPr>
                <w:rFonts w:hint="eastAsia" w:ascii="宋体" w:hAnsi="宋体"/>
                <w:szCs w:val="21"/>
              </w:rPr>
              <w:t xml:space="preserve">（  </w:t>
            </w:r>
            <w:r>
              <w:rPr>
                <w:rFonts w:hint="eastAsia" w:ascii="宋体" w:hAnsi="宋体"/>
                <w:szCs w:val="21"/>
                <w:lang w:val="en-US" w:eastAsia="zh-CN"/>
              </w:rPr>
              <w:t>5</w:t>
            </w:r>
            <w:r>
              <w:rPr>
                <w:rFonts w:hint="eastAsia" w:ascii="宋体" w:hAnsi="宋体"/>
                <w:szCs w:val="21"/>
              </w:rPr>
              <w:t xml:space="preserve">  分）</w:t>
            </w:r>
          </w:p>
        </w:tc>
        <w:tc>
          <w:tcPr>
            <w:tcW w:w="4819" w:type="dxa"/>
            <w:tcBorders>
              <w:tl2br w:val="nil"/>
              <w:tr2bl w:val="nil"/>
            </w:tcBorders>
            <w:vAlign w:val="center"/>
          </w:tcPr>
          <w:p>
            <w:pPr>
              <w:jc w:val="left"/>
              <w:rPr>
                <w:rFonts w:hint="default" w:ascii="宋体" w:hAnsi="宋体"/>
                <w:szCs w:val="21"/>
                <w:lang w:val="en-US" w:eastAsia="zh-CN"/>
              </w:rPr>
            </w:pPr>
            <w:r>
              <w:rPr>
                <w:rFonts w:hint="eastAsia" w:ascii="宋体" w:hAnsi="宋体"/>
                <w:szCs w:val="21"/>
                <w:lang w:val="en-US" w:eastAsia="zh-CN"/>
              </w:rPr>
              <w:t>承诺90天能</w:t>
            </w:r>
            <w:r>
              <w:rPr>
                <w:rFonts w:hint="eastAsia" w:ascii="宋体" w:hAnsi="宋体"/>
                <w:szCs w:val="21"/>
              </w:rPr>
              <w:t xml:space="preserve">通过审图得 </w:t>
            </w:r>
            <w:r>
              <w:rPr>
                <w:rFonts w:hint="eastAsia" w:ascii="宋体" w:hAnsi="宋体"/>
                <w:szCs w:val="21"/>
                <w:lang w:val="en-US" w:eastAsia="zh-CN"/>
              </w:rPr>
              <w:t>3</w:t>
            </w:r>
            <w:r>
              <w:rPr>
                <w:rFonts w:hint="eastAsia" w:ascii="宋体" w:hAnsi="宋体"/>
                <w:szCs w:val="21"/>
              </w:rPr>
              <w:t>分</w:t>
            </w:r>
            <w:r>
              <w:rPr>
                <w:rFonts w:hint="eastAsia" w:ascii="宋体" w:hAnsi="宋体"/>
                <w:szCs w:val="21"/>
                <w:lang w:eastAsia="zh-CN"/>
              </w:rPr>
              <w:t>，</w:t>
            </w:r>
            <w:r>
              <w:rPr>
                <w:rFonts w:hint="eastAsia" w:ascii="宋体" w:hAnsi="宋体"/>
                <w:szCs w:val="21"/>
                <w:lang w:val="en-US" w:eastAsia="zh-CN"/>
              </w:rPr>
              <w:t>每提前一天得0.2分，最多5分。</w:t>
            </w:r>
          </w:p>
        </w:tc>
        <w:tc>
          <w:tcPr>
            <w:tcW w:w="1121" w:type="dxa"/>
            <w:tcBorders>
              <w:tl2br w:val="nil"/>
              <w:tr2bl w:val="nil"/>
            </w:tcBorders>
          </w:tcPr>
          <w:p>
            <w:pPr>
              <w:widowControl w:val="0"/>
              <w:spacing w:line="240" w:lineRule="auto"/>
              <w:jc w:val="center"/>
              <w:rPr>
                <w:rFonts w:ascii="宋体" w:hAnsi="宋体"/>
                <w:kern w:val="0"/>
                <w:szCs w:val="21"/>
              </w:rPr>
            </w:pPr>
          </w:p>
        </w:tc>
        <w:tc>
          <w:tcPr>
            <w:tcW w:w="1121" w:type="dxa"/>
            <w:tcBorders>
              <w:tl2br w:val="nil"/>
              <w:tr2bl w:val="nil"/>
            </w:tcBorders>
          </w:tcPr>
          <w:p>
            <w:pPr>
              <w:widowControl w:val="0"/>
              <w:spacing w:line="240" w:lineRule="auto"/>
              <w:jc w:val="center"/>
              <w:rPr>
                <w:rFonts w:ascii="宋体" w:hAnsi="宋体"/>
                <w:kern w:val="0"/>
                <w:szCs w:val="21"/>
              </w:rPr>
            </w:pPr>
          </w:p>
        </w:tc>
        <w:tc>
          <w:tcPr>
            <w:tcW w:w="1012" w:type="dxa"/>
            <w:tcBorders>
              <w:tl2br w:val="nil"/>
              <w:tr2bl w:val="nil"/>
            </w:tcBorders>
            <w:vAlign w:val="center"/>
          </w:tcPr>
          <w:p>
            <w:pPr>
              <w:widowControl w:val="0"/>
              <w:spacing w:line="240" w:lineRule="auto"/>
              <w:jc w:val="center"/>
              <w:rPr>
                <w:rFonts w:ascii="宋体" w:hAnsi="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99" w:type="dxa"/>
            <w:tcBorders>
              <w:tl2br w:val="nil"/>
              <w:tr2bl w:val="nil"/>
            </w:tcBorders>
            <w:vAlign w:val="center"/>
          </w:tcPr>
          <w:p>
            <w:pPr>
              <w:widowControl w:val="0"/>
              <w:spacing w:line="240" w:lineRule="auto"/>
              <w:jc w:val="center"/>
              <w:rPr>
                <w:rFonts w:ascii="宋体" w:hAnsi="宋体"/>
                <w:kern w:val="0"/>
                <w:szCs w:val="21"/>
              </w:rPr>
            </w:pPr>
          </w:p>
        </w:tc>
        <w:tc>
          <w:tcPr>
            <w:tcW w:w="1856" w:type="dxa"/>
            <w:tcBorders>
              <w:tl2br w:val="nil"/>
              <w:tr2bl w:val="nil"/>
            </w:tcBorders>
            <w:vAlign w:val="center"/>
          </w:tcPr>
          <w:p>
            <w:pPr>
              <w:jc w:val="center"/>
              <w:rPr>
                <w:rFonts w:hint="eastAsia" w:ascii="宋体" w:hAnsi="宋体"/>
                <w:szCs w:val="21"/>
              </w:rPr>
            </w:pPr>
            <w:r>
              <w:rPr>
                <w:rFonts w:hint="eastAsia" w:ascii="宋体" w:hAnsi="宋体"/>
                <w:szCs w:val="21"/>
                <w:lang w:val="en-US" w:eastAsia="zh-CN"/>
              </w:rPr>
              <w:t>响应</w:t>
            </w:r>
            <w:r>
              <w:rPr>
                <w:rFonts w:hint="eastAsia" w:ascii="宋体" w:hAnsi="宋体"/>
                <w:szCs w:val="21"/>
              </w:rPr>
              <w:t>文件完整性</w:t>
            </w:r>
          </w:p>
          <w:p>
            <w:pPr>
              <w:jc w:val="center"/>
              <w:rPr>
                <w:rFonts w:hint="eastAsia" w:ascii="宋体" w:hAnsi="宋体"/>
                <w:szCs w:val="21"/>
                <w:lang w:val="en-US" w:eastAsia="zh-CN"/>
              </w:rPr>
            </w:pPr>
            <w:r>
              <w:rPr>
                <w:rFonts w:hint="eastAsia" w:ascii="宋体" w:hAnsi="宋体"/>
                <w:szCs w:val="21"/>
              </w:rPr>
              <w:t xml:space="preserve">（  </w:t>
            </w:r>
            <w:r>
              <w:rPr>
                <w:rFonts w:hint="eastAsia" w:ascii="宋体" w:hAnsi="宋体"/>
                <w:szCs w:val="21"/>
                <w:lang w:val="en-US" w:eastAsia="zh-CN"/>
              </w:rPr>
              <w:t>5</w:t>
            </w:r>
            <w:r>
              <w:rPr>
                <w:rFonts w:hint="eastAsia" w:ascii="宋体" w:hAnsi="宋体"/>
                <w:szCs w:val="21"/>
              </w:rPr>
              <w:t xml:space="preserve">  分）</w:t>
            </w:r>
          </w:p>
        </w:tc>
        <w:tc>
          <w:tcPr>
            <w:tcW w:w="4819" w:type="dxa"/>
            <w:tcBorders>
              <w:tl2br w:val="nil"/>
              <w:tr2bl w:val="nil"/>
            </w:tcBorders>
            <w:vAlign w:val="center"/>
          </w:tcPr>
          <w:p>
            <w:pPr>
              <w:jc w:val="left"/>
              <w:rPr>
                <w:rFonts w:hint="eastAsia" w:ascii="宋体" w:hAnsi="宋体"/>
                <w:szCs w:val="21"/>
                <w:lang w:val="en-US" w:eastAsia="zh-CN"/>
              </w:rPr>
            </w:pPr>
            <w:r>
              <w:rPr>
                <w:rFonts w:hint="eastAsia" w:ascii="宋体" w:hAnsi="宋体"/>
                <w:szCs w:val="21"/>
                <w:lang w:val="en-US" w:eastAsia="zh-CN"/>
              </w:rPr>
              <w:t>符合采购文件要求,得 5 分；基本符合采购文件要求，得  3 分。</w:t>
            </w:r>
          </w:p>
        </w:tc>
        <w:tc>
          <w:tcPr>
            <w:tcW w:w="1121" w:type="dxa"/>
            <w:tcBorders>
              <w:tl2br w:val="nil"/>
              <w:tr2bl w:val="nil"/>
            </w:tcBorders>
          </w:tcPr>
          <w:p>
            <w:pPr>
              <w:widowControl w:val="0"/>
              <w:spacing w:line="240" w:lineRule="auto"/>
              <w:jc w:val="center"/>
              <w:rPr>
                <w:rFonts w:ascii="宋体" w:hAnsi="宋体"/>
                <w:kern w:val="0"/>
                <w:szCs w:val="21"/>
              </w:rPr>
            </w:pPr>
          </w:p>
        </w:tc>
        <w:tc>
          <w:tcPr>
            <w:tcW w:w="1121" w:type="dxa"/>
            <w:tcBorders>
              <w:tl2br w:val="nil"/>
              <w:tr2bl w:val="nil"/>
            </w:tcBorders>
          </w:tcPr>
          <w:p>
            <w:pPr>
              <w:widowControl w:val="0"/>
              <w:spacing w:line="240" w:lineRule="auto"/>
              <w:jc w:val="center"/>
              <w:rPr>
                <w:rFonts w:ascii="宋体" w:hAnsi="宋体"/>
                <w:kern w:val="0"/>
                <w:szCs w:val="21"/>
              </w:rPr>
            </w:pPr>
          </w:p>
        </w:tc>
        <w:tc>
          <w:tcPr>
            <w:tcW w:w="1012" w:type="dxa"/>
            <w:tcBorders>
              <w:tl2br w:val="nil"/>
              <w:tr2bl w:val="nil"/>
            </w:tcBorders>
            <w:vAlign w:val="center"/>
          </w:tcPr>
          <w:p>
            <w:pPr>
              <w:widowControl w:val="0"/>
              <w:spacing w:line="240" w:lineRule="auto"/>
              <w:jc w:val="center"/>
              <w:rPr>
                <w:rFonts w:ascii="宋体" w:hAnsi="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74" w:type="dxa"/>
            <w:gridSpan w:val="3"/>
            <w:tcBorders>
              <w:tl2br w:val="nil"/>
              <w:tr2bl w:val="nil"/>
            </w:tcBorders>
            <w:vAlign w:val="center"/>
          </w:tcPr>
          <w:p>
            <w:pPr>
              <w:widowControl w:val="0"/>
              <w:spacing w:line="240" w:lineRule="auto"/>
              <w:jc w:val="center"/>
              <w:rPr>
                <w:rFonts w:hint="eastAsia" w:ascii="宋体" w:hAnsi="宋体" w:eastAsia="宋体"/>
                <w:szCs w:val="21"/>
                <w:lang w:val="en-US" w:eastAsia="zh-CN"/>
              </w:rPr>
            </w:pPr>
            <w:r>
              <w:rPr>
                <w:rFonts w:hint="eastAsia" w:ascii="宋体" w:hAnsi="宋体"/>
                <w:szCs w:val="21"/>
                <w:lang w:val="en-US" w:eastAsia="zh-CN"/>
              </w:rPr>
              <w:t>合计</w:t>
            </w:r>
          </w:p>
        </w:tc>
        <w:tc>
          <w:tcPr>
            <w:tcW w:w="1121" w:type="dxa"/>
            <w:tcBorders>
              <w:tl2br w:val="nil"/>
              <w:tr2bl w:val="nil"/>
            </w:tcBorders>
            <w:vAlign w:val="center"/>
          </w:tcPr>
          <w:p>
            <w:pPr>
              <w:pStyle w:val="179"/>
              <w:snapToGrid w:val="0"/>
              <w:jc w:val="center"/>
              <w:rPr>
                <w:rFonts w:ascii="黑体" w:hAnsi="宋体" w:eastAsia="黑体" w:cs="Times New Roman"/>
                <w:color w:val="000000"/>
                <w:kern w:val="0"/>
                <w:sz w:val="21"/>
                <w:szCs w:val="21"/>
                <w:lang w:val="en-US" w:eastAsia="zh-CN" w:bidi="ar-SA"/>
              </w:rPr>
            </w:pPr>
          </w:p>
        </w:tc>
        <w:tc>
          <w:tcPr>
            <w:tcW w:w="1121" w:type="dxa"/>
            <w:tcBorders>
              <w:tl2br w:val="nil"/>
              <w:tr2bl w:val="nil"/>
            </w:tcBorders>
            <w:vAlign w:val="center"/>
          </w:tcPr>
          <w:p>
            <w:pPr>
              <w:rPr>
                <w:rFonts w:hint="eastAsia" w:ascii="宋体" w:hAnsi="宋体" w:eastAsia="宋体" w:cs="Times New Roman"/>
                <w:color w:val="000000"/>
                <w:kern w:val="0"/>
                <w:sz w:val="21"/>
                <w:szCs w:val="21"/>
                <w:lang w:val="en-US" w:eastAsia="zh-CN" w:bidi="ar-SA"/>
              </w:rPr>
            </w:pPr>
          </w:p>
        </w:tc>
        <w:tc>
          <w:tcPr>
            <w:tcW w:w="1012" w:type="dxa"/>
            <w:tcBorders>
              <w:tl2br w:val="nil"/>
              <w:tr2bl w:val="nil"/>
            </w:tcBorders>
            <w:vAlign w:val="center"/>
          </w:tcPr>
          <w:p>
            <w:pPr>
              <w:widowControl w:val="0"/>
              <w:spacing w:line="240" w:lineRule="auto"/>
              <w:jc w:val="center"/>
              <w:rPr>
                <w:rFonts w:ascii="宋体" w:hAnsi="宋体"/>
                <w:kern w:val="0"/>
                <w:szCs w:val="21"/>
              </w:rPr>
            </w:pPr>
          </w:p>
        </w:tc>
      </w:tr>
    </w:tbl>
    <w:p>
      <w:pPr>
        <w:widowControl w:val="0"/>
        <w:adjustRightInd w:val="0"/>
        <w:snapToGrid w:val="0"/>
        <w:spacing w:line="312" w:lineRule="auto"/>
        <w:rPr>
          <w:rFonts w:hint="eastAsia" w:ascii="宋体" w:hAnsi="宋体"/>
          <w:b w:val="0"/>
          <w:bCs/>
          <w:kern w:val="0"/>
          <w:szCs w:val="21"/>
        </w:rPr>
      </w:pPr>
      <w:r>
        <w:rPr>
          <w:rFonts w:hint="eastAsia" w:ascii="宋体" w:hAnsi="宋体"/>
          <w:b w:val="0"/>
          <w:bCs/>
          <w:kern w:val="0"/>
          <w:szCs w:val="21"/>
        </w:rPr>
        <w:t xml:space="preserve">注： </w:t>
      </w:r>
    </w:p>
    <w:p>
      <w:pPr>
        <w:widowControl w:val="0"/>
        <w:adjustRightInd w:val="0"/>
        <w:snapToGrid w:val="0"/>
        <w:spacing w:line="312" w:lineRule="auto"/>
        <w:rPr>
          <w:rFonts w:ascii="宋体" w:hAnsi="宋体"/>
          <w:kern w:val="0"/>
          <w:szCs w:val="21"/>
        </w:rPr>
      </w:pPr>
      <w:r>
        <w:rPr>
          <w:rFonts w:hint="eastAsia" w:ascii="宋体" w:hAnsi="宋体"/>
          <w:kern w:val="0"/>
          <w:szCs w:val="21"/>
        </w:rPr>
        <w:t>1、本表小计总分为</w:t>
      </w:r>
      <w:r>
        <w:rPr>
          <w:rFonts w:ascii="宋体" w:hAnsi="宋体"/>
          <w:szCs w:val="21"/>
          <w:u w:val="single"/>
        </w:rPr>
        <w:t xml:space="preserve"> </w:t>
      </w:r>
      <w:r>
        <w:rPr>
          <w:rFonts w:hint="eastAsia" w:ascii="宋体" w:hAnsi="宋体"/>
          <w:szCs w:val="21"/>
          <w:u w:val="single"/>
          <w:lang w:val="en-US" w:eastAsia="zh-CN"/>
        </w:rPr>
        <w:t>30</w:t>
      </w:r>
      <w:r>
        <w:rPr>
          <w:rFonts w:ascii="宋体" w:hAnsi="宋体"/>
          <w:szCs w:val="21"/>
          <w:u w:val="single"/>
        </w:rPr>
        <w:t xml:space="preserve"> </w:t>
      </w:r>
      <w:r>
        <w:rPr>
          <w:rFonts w:hint="eastAsia" w:ascii="宋体" w:hAnsi="宋体"/>
          <w:kern w:val="0"/>
          <w:szCs w:val="21"/>
        </w:rPr>
        <w:t>分。</w:t>
      </w:r>
    </w:p>
    <w:p>
      <w:pPr>
        <w:widowControl w:val="0"/>
        <w:adjustRightInd w:val="0"/>
        <w:snapToGrid w:val="0"/>
        <w:spacing w:line="312" w:lineRule="auto"/>
        <w:jc w:val="both"/>
        <w:rPr>
          <w:rFonts w:ascii="宋体" w:hAnsi="宋体"/>
          <w:szCs w:val="21"/>
        </w:rPr>
      </w:pPr>
      <w:r>
        <w:rPr>
          <w:rFonts w:hint="eastAsia" w:ascii="宋体" w:hAnsi="宋体"/>
          <w:szCs w:val="21"/>
          <w:lang w:val="en-US" w:eastAsia="zh-CN"/>
        </w:rPr>
        <w:t>2、</w:t>
      </w:r>
      <w:r>
        <w:rPr>
          <w:rFonts w:hint="eastAsia" w:ascii="宋体" w:hAnsi="宋体"/>
          <w:szCs w:val="21"/>
        </w:rPr>
        <w:t>本表由评审（谈判）小组集体评议，统一计分。评审（谈判）小组成员中对结论有不同意见时，按少数服从多数的原则，确定得分。</w:t>
      </w:r>
    </w:p>
    <w:p>
      <w:pPr>
        <w:widowControl w:val="0"/>
        <w:adjustRightInd w:val="0"/>
        <w:snapToGrid w:val="0"/>
        <w:spacing w:line="312" w:lineRule="auto"/>
        <w:jc w:val="both"/>
        <w:rPr>
          <w:rFonts w:ascii="宋体" w:hAnsi="宋体"/>
          <w:kern w:val="0"/>
          <w:szCs w:val="21"/>
        </w:rPr>
      </w:pPr>
      <w:r>
        <w:rPr>
          <w:rFonts w:hint="eastAsia" w:ascii="宋体" w:hAnsi="宋体"/>
          <w:kern w:val="0"/>
          <w:szCs w:val="21"/>
        </w:rPr>
        <w:t>3、各评分因素中基本合理项的最低分值不得低于该评分因素和评分标准最高分值的60%。</w:t>
      </w:r>
      <w:r>
        <w:rPr>
          <w:rFonts w:hint="eastAsia" w:ascii="宋体" w:hAnsi="宋体"/>
          <w:szCs w:val="21"/>
        </w:rPr>
        <w:t>评审（谈判）小组</w:t>
      </w:r>
      <w:r>
        <w:rPr>
          <w:rFonts w:hint="eastAsia" w:ascii="宋体" w:hAnsi="宋体"/>
          <w:kern w:val="0"/>
          <w:szCs w:val="21"/>
        </w:rPr>
        <w:t>对某评分因素评审计分低于该评分因素和评分标准最高分值的60%的，评委应说明原因。</w:t>
      </w:r>
    </w:p>
    <w:p>
      <w:pPr>
        <w:widowControl w:val="0"/>
        <w:jc w:val="both"/>
        <w:rPr>
          <w:rFonts w:ascii="宋体" w:hAnsi="宋体"/>
          <w:sz w:val="24"/>
        </w:rPr>
      </w:pPr>
    </w:p>
    <w:p>
      <w:pPr>
        <w:widowControl w:val="0"/>
        <w:jc w:val="both"/>
        <w:rPr>
          <w:rFonts w:ascii="宋体" w:hAnsi="宋体"/>
          <w:sz w:val="24"/>
        </w:rPr>
      </w:pPr>
    </w:p>
    <w:p>
      <w:pPr>
        <w:widowControl w:val="0"/>
        <w:jc w:val="both"/>
        <w:rPr>
          <w:rFonts w:ascii="宋体" w:hAnsi="宋体"/>
          <w:bCs/>
          <w:sz w:val="24"/>
        </w:rPr>
      </w:pPr>
      <w:r>
        <w:rPr>
          <w:rFonts w:hint="eastAsia" w:ascii="宋体" w:hAnsi="宋体"/>
          <w:sz w:val="24"/>
        </w:rPr>
        <w:t>评审（谈判）小组</w:t>
      </w:r>
      <w:r>
        <w:rPr>
          <w:rFonts w:ascii="宋体" w:hAnsi="宋体"/>
          <w:sz w:val="24"/>
        </w:rPr>
        <w:t>全体成员签字：</w:t>
      </w:r>
    </w:p>
    <w:p>
      <w:pPr>
        <w:widowControl w:val="0"/>
        <w:snapToGrid w:val="0"/>
        <w:spacing w:line="490" w:lineRule="exact"/>
        <w:jc w:val="center"/>
        <w:rPr>
          <w:rFonts w:ascii="黑体" w:hAnsi="黑体" w:eastAsia="黑体" w:cs="宋体"/>
          <w:kern w:val="44"/>
          <w:sz w:val="32"/>
          <w:szCs w:val="32"/>
        </w:rPr>
      </w:pPr>
    </w:p>
    <w:p>
      <w:pPr>
        <w:widowControl w:val="0"/>
        <w:snapToGrid w:val="0"/>
        <w:spacing w:line="490" w:lineRule="exact"/>
        <w:jc w:val="center"/>
        <w:rPr>
          <w:rFonts w:ascii="黑体" w:hAnsi="黑体" w:eastAsia="黑体" w:cs="宋体"/>
          <w:kern w:val="44"/>
          <w:sz w:val="32"/>
          <w:szCs w:val="32"/>
        </w:rPr>
      </w:pPr>
    </w:p>
    <w:p>
      <w:pPr>
        <w:widowControl w:val="0"/>
        <w:snapToGrid w:val="0"/>
        <w:spacing w:line="490" w:lineRule="exact"/>
        <w:jc w:val="center"/>
        <w:rPr>
          <w:rFonts w:ascii="黑体" w:hAnsi="黑体" w:eastAsia="黑体" w:cs="宋体"/>
          <w:kern w:val="44"/>
          <w:sz w:val="32"/>
          <w:szCs w:val="32"/>
        </w:rPr>
      </w:pPr>
    </w:p>
    <w:p>
      <w:pPr>
        <w:widowControl w:val="0"/>
        <w:snapToGrid w:val="0"/>
        <w:spacing w:line="240" w:lineRule="auto"/>
        <w:jc w:val="center"/>
        <w:outlineLvl w:val="9"/>
        <w:rPr>
          <w:rFonts w:hint="eastAsia" w:ascii="黑体" w:hAnsi="黑体" w:eastAsia="黑体"/>
          <w:sz w:val="32"/>
          <w:szCs w:val="32"/>
          <w:lang w:val="en-US" w:eastAsia="zh-CN"/>
        </w:rPr>
      </w:pPr>
    </w:p>
    <w:p>
      <w:pPr>
        <w:widowControl w:val="0"/>
        <w:snapToGrid w:val="0"/>
        <w:spacing w:line="240" w:lineRule="auto"/>
        <w:jc w:val="center"/>
        <w:outlineLvl w:val="0"/>
        <w:rPr>
          <w:rFonts w:ascii="黑体" w:hAnsi="黑体" w:eastAsia="黑体"/>
          <w:sz w:val="32"/>
          <w:szCs w:val="32"/>
        </w:rPr>
      </w:pPr>
      <w:bookmarkStart w:id="39" w:name="_Toc30627"/>
      <w:r>
        <w:rPr>
          <w:rFonts w:hint="eastAsia" w:ascii="黑体" w:hAnsi="黑体" w:eastAsia="黑体"/>
          <w:sz w:val="32"/>
          <w:szCs w:val="32"/>
          <w:lang w:val="en-US" w:eastAsia="zh-CN"/>
        </w:rPr>
        <w:t xml:space="preserve">附表2  </w:t>
      </w:r>
      <w:r>
        <w:rPr>
          <w:rFonts w:hint="eastAsia" w:ascii="黑体" w:hAnsi="黑体" w:eastAsia="黑体"/>
          <w:sz w:val="32"/>
          <w:szCs w:val="32"/>
        </w:rPr>
        <w:t>技术部分评分表</w:t>
      </w:r>
      <w:bookmarkEnd w:id="39"/>
    </w:p>
    <w:p>
      <w:pPr>
        <w:widowControl w:val="0"/>
        <w:adjustRightInd w:val="0"/>
        <w:snapToGrid w:val="0"/>
        <w:spacing w:line="312" w:lineRule="auto"/>
        <w:jc w:val="both"/>
        <w:rPr>
          <w:rFonts w:ascii="宋体" w:hAnsi="宋体"/>
          <w:kern w:val="0"/>
          <w:sz w:val="24"/>
        </w:rPr>
      </w:pPr>
      <w:r>
        <w:rPr>
          <w:rFonts w:hint="eastAsia" w:ascii="宋体" w:hAnsi="宋体"/>
          <w:kern w:val="0"/>
          <w:sz w:val="24"/>
        </w:rPr>
        <w:t>项目名称：</w:t>
      </w:r>
      <w:r>
        <w:rPr>
          <w:rFonts w:hint="eastAsia" w:ascii="宋体" w:hAnsi="宋体"/>
          <w:kern w:val="0"/>
          <w:sz w:val="24"/>
          <w:u w:val="single"/>
        </w:rPr>
        <w:t xml:space="preserve"> </w:t>
      </w:r>
      <w:r>
        <w:rPr>
          <w:rFonts w:hint="eastAsia" w:ascii="宋体" w:hAnsi="宋体"/>
          <w:sz w:val="24"/>
          <w:u w:val="single"/>
        </w:rPr>
        <w:t>城陵矶港</w:t>
      </w:r>
      <w:r>
        <w:rPr>
          <w:rFonts w:hint="eastAsia" w:ascii="宋体" w:hAnsi="宋体" w:cs="宋体"/>
          <w:sz w:val="24"/>
          <w:u w:val="single"/>
        </w:rPr>
        <w:t>交通工作船建设项目图纸设计</w:t>
      </w:r>
      <w:r>
        <w:rPr>
          <w:rFonts w:hint="eastAsia" w:ascii="宋体" w:hAnsi="宋体"/>
          <w:sz w:val="24"/>
          <w:u w:val="single"/>
        </w:rPr>
        <w:t xml:space="preserve"> </w:t>
      </w:r>
      <w:r>
        <w:rPr>
          <w:rFonts w:hint="eastAsia" w:ascii="宋体" w:hAnsi="宋体"/>
          <w:kern w:val="0"/>
          <w:sz w:val="24"/>
          <w:u w:val="single"/>
        </w:rPr>
        <w:t xml:space="preserve"> </w:t>
      </w:r>
    </w:p>
    <w:tbl>
      <w:tblPr>
        <w:tblStyle w:val="36"/>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267"/>
        <w:gridCol w:w="3667"/>
        <w:gridCol w:w="796"/>
        <w:gridCol w:w="796"/>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783"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r>
              <w:rPr>
                <w:rFonts w:hint="eastAsia" w:ascii="宋体" w:hAnsi="宋体"/>
                <w:b/>
                <w:szCs w:val="21"/>
              </w:rPr>
              <w:t>序号</w:t>
            </w:r>
          </w:p>
        </w:tc>
        <w:tc>
          <w:tcPr>
            <w:tcW w:w="2267"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r>
              <w:rPr>
                <w:rFonts w:hint="eastAsia" w:ascii="宋体" w:hAnsi="宋体"/>
                <w:b/>
                <w:szCs w:val="21"/>
              </w:rPr>
              <w:t>评分因素</w:t>
            </w:r>
          </w:p>
        </w:tc>
        <w:tc>
          <w:tcPr>
            <w:tcW w:w="3667"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r>
              <w:rPr>
                <w:rFonts w:hint="eastAsia" w:ascii="宋体" w:hAnsi="宋体"/>
                <w:b/>
                <w:kern w:val="0"/>
                <w:szCs w:val="21"/>
              </w:rPr>
              <w:t>评分标准</w:t>
            </w:r>
            <w:r>
              <w:rPr>
                <w:rFonts w:hint="eastAsia" w:ascii="宋体" w:hAnsi="宋体"/>
                <w:b/>
                <w:szCs w:val="21"/>
              </w:rPr>
              <w:t>/分值</w:t>
            </w:r>
          </w:p>
        </w:tc>
        <w:tc>
          <w:tcPr>
            <w:tcW w:w="2388"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r>
              <w:rPr>
                <w:rFonts w:hint="eastAsia" w:ascii="宋体" w:hAnsi="宋体"/>
                <w:b/>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78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szCs w:val="21"/>
              </w:rPr>
            </w:pPr>
          </w:p>
        </w:tc>
        <w:tc>
          <w:tcPr>
            <w:tcW w:w="226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szCs w:val="21"/>
              </w:rPr>
            </w:pPr>
          </w:p>
        </w:tc>
        <w:tc>
          <w:tcPr>
            <w:tcW w:w="366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r>
              <w:rPr>
                <w:rFonts w:hint="eastAsia" w:ascii="宋体" w:hAnsi="宋体"/>
                <w:szCs w:val="21"/>
              </w:rPr>
              <w:t>1</w:t>
            </w:r>
          </w:p>
        </w:tc>
        <w:tc>
          <w:tcPr>
            <w:tcW w:w="226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eastAsia" w:ascii="宋体" w:hAnsi="宋体" w:eastAsia="宋体"/>
                <w:szCs w:val="21"/>
                <w:lang w:eastAsia="zh-CN"/>
              </w:rPr>
            </w:pPr>
            <w:r>
              <w:rPr>
                <w:rFonts w:hint="eastAsia" w:ascii="宋体" w:hAnsi="宋体"/>
                <w:szCs w:val="21"/>
              </w:rPr>
              <w:t>技术方案</w:t>
            </w:r>
            <w:r>
              <w:rPr>
                <w:rFonts w:hint="eastAsia" w:ascii="宋体" w:hAnsi="宋体"/>
                <w:szCs w:val="21"/>
                <w:lang w:eastAsia="zh-CN"/>
              </w:rPr>
              <w:t>（</w:t>
            </w:r>
            <w:r>
              <w:rPr>
                <w:rFonts w:hint="eastAsia" w:ascii="宋体" w:hAnsi="宋体"/>
                <w:szCs w:val="21"/>
                <w:lang w:val="en-US" w:eastAsia="zh-CN"/>
              </w:rPr>
              <w:t>10分</w:t>
            </w:r>
            <w:r>
              <w:rPr>
                <w:rFonts w:hint="eastAsia" w:ascii="宋体" w:hAnsi="宋体"/>
                <w:szCs w:val="21"/>
                <w:lang w:eastAsia="zh-CN"/>
              </w:rPr>
              <w:t>）</w:t>
            </w:r>
          </w:p>
        </w:tc>
        <w:tc>
          <w:tcPr>
            <w:tcW w:w="3667" w:type="dxa"/>
            <w:tcBorders>
              <w:top w:val="single" w:color="auto" w:sz="4" w:space="0"/>
              <w:left w:val="single" w:color="auto" w:sz="4" w:space="0"/>
              <w:right w:val="single" w:color="auto" w:sz="4" w:space="0"/>
            </w:tcBorders>
            <w:vAlign w:val="center"/>
          </w:tcPr>
          <w:p>
            <w:pPr>
              <w:pStyle w:val="232"/>
              <w:ind w:firstLine="0" w:firstLineChars="0"/>
              <w:rPr>
                <w:rFonts w:ascii="宋体" w:hAnsi="宋体" w:cs="宋体"/>
                <w:color w:val="FF0000"/>
                <w:szCs w:val="21"/>
              </w:rPr>
            </w:pPr>
            <w:r>
              <w:rPr>
                <w:rFonts w:hint="eastAsia" w:ascii="宋体" w:hAnsi="宋体" w:cs="宋体"/>
                <w:color w:val="000000"/>
                <w:kern w:val="0"/>
                <w:szCs w:val="21"/>
                <w:lang w:bidi="ar"/>
              </w:rPr>
              <w:t>初步</w:t>
            </w:r>
            <w:r>
              <w:rPr>
                <w:rFonts w:ascii="宋体" w:hAnsi="宋体" w:cs="宋体"/>
                <w:color w:val="000000"/>
                <w:kern w:val="0"/>
                <w:szCs w:val="21"/>
                <w:lang w:bidi="ar"/>
              </w:rPr>
              <w:t>方案</w:t>
            </w:r>
            <w:r>
              <w:rPr>
                <w:rFonts w:hint="eastAsia" w:ascii="宋体" w:hAnsi="宋体" w:cs="宋体"/>
                <w:color w:val="000000"/>
                <w:kern w:val="0"/>
                <w:szCs w:val="21"/>
                <w:lang w:bidi="ar"/>
              </w:rPr>
              <w:t>中的</w:t>
            </w:r>
            <w:r>
              <w:rPr>
                <w:rFonts w:ascii="宋体" w:hAnsi="宋体" w:cs="宋体"/>
                <w:color w:val="000000"/>
                <w:kern w:val="0"/>
                <w:szCs w:val="21"/>
                <w:lang w:bidi="ar"/>
              </w:rPr>
              <w:t>总体布局</w:t>
            </w:r>
            <w:r>
              <w:rPr>
                <w:rFonts w:hint="eastAsia" w:ascii="宋体" w:hAnsi="宋体" w:cs="宋体"/>
                <w:color w:val="000000"/>
                <w:kern w:val="0"/>
                <w:szCs w:val="21"/>
                <w:lang w:bidi="ar"/>
              </w:rPr>
              <w:t>、主要设备选型合理，总体设计方案满足主要功能需求，，计</w:t>
            </w: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分，各要素阐述</w:t>
            </w:r>
            <w:r>
              <w:rPr>
                <w:rFonts w:hint="eastAsia" w:ascii="宋体" w:hAnsi="宋体" w:cs="宋体"/>
                <w:color w:val="000000"/>
                <w:kern w:val="0"/>
                <w:szCs w:val="21"/>
                <w:lang w:val="en-US" w:eastAsia="zh-CN" w:bidi="ar"/>
              </w:rPr>
              <w:t>比较</w:t>
            </w:r>
            <w:r>
              <w:rPr>
                <w:rFonts w:hint="eastAsia" w:ascii="宋体" w:hAnsi="宋体" w:cs="宋体"/>
                <w:color w:val="000000"/>
                <w:kern w:val="0"/>
                <w:szCs w:val="21"/>
                <w:lang w:bidi="ar"/>
              </w:rPr>
              <w:t>完整清晰、</w:t>
            </w:r>
            <w:r>
              <w:rPr>
                <w:rFonts w:hint="eastAsia" w:ascii="宋体" w:hAnsi="宋体" w:cs="宋体"/>
                <w:color w:val="000000"/>
                <w:kern w:val="0"/>
                <w:szCs w:val="21"/>
                <w:lang w:val="en-US" w:eastAsia="zh-CN" w:bidi="ar"/>
              </w:rPr>
              <w:t>比较</w:t>
            </w:r>
            <w:r>
              <w:rPr>
                <w:rFonts w:hint="eastAsia" w:ascii="宋体" w:hAnsi="宋体" w:cs="宋体"/>
                <w:color w:val="000000"/>
                <w:kern w:val="0"/>
                <w:szCs w:val="21"/>
                <w:lang w:bidi="ar"/>
              </w:rPr>
              <w:t>合理，</w:t>
            </w:r>
            <w:r>
              <w:rPr>
                <w:rFonts w:hint="eastAsia" w:ascii="宋体" w:hAnsi="宋体" w:cs="宋体"/>
                <w:color w:val="000000"/>
                <w:kern w:val="0"/>
                <w:szCs w:val="21"/>
                <w:lang w:val="en-US" w:eastAsia="zh-CN" w:bidi="ar"/>
              </w:rPr>
              <w:t>得7-8</w:t>
            </w:r>
            <w:r>
              <w:rPr>
                <w:rFonts w:hint="eastAsia" w:ascii="宋体" w:hAnsi="宋体" w:cs="宋体"/>
                <w:color w:val="000000"/>
                <w:kern w:val="0"/>
                <w:szCs w:val="21"/>
                <w:lang w:bidi="ar"/>
              </w:rPr>
              <w:t>分，。各要素阐述不</w:t>
            </w:r>
            <w:r>
              <w:rPr>
                <w:rFonts w:hint="eastAsia" w:ascii="宋体" w:hAnsi="宋体" w:cs="宋体"/>
                <w:color w:val="000000"/>
                <w:kern w:val="0"/>
                <w:szCs w:val="21"/>
                <w:lang w:val="en-US" w:eastAsia="zh-CN" w:bidi="ar"/>
              </w:rPr>
              <w:t>太</w:t>
            </w:r>
            <w:r>
              <w:rPr>
                <w:rFonts w:hint="eastAsia" w:ascii="宋体" w:hAnsi="宋体" w:cs="宋体"/>
                <w:color w:val="000000"/>
                <w:kern w:val="0"/>
                <w:szCs w:val="21"/>
                <w:lang w:bidi="ar"/>
              </w:rPr>
              <w:t>完整、或不</w:t>
            </w:r>
            <w:r>
              <w:rPr>
                <w:rFonts w:hint="eastAsia" w:ascii="宋体" w:hAnsi="宋体" w:cs="宋体"/>
                <w:color w:val="000000"/>
                <w:kern w:val="0"/>
                <w:szCs w:val="21"/>
                <w:lang w:val="en-US" w:eastAsia="zh-CN" w:bidi="ar"/>
              </w:rPr>
              <w:t>太</w:t>
            </w:r>
            <w:r>
              <w:rPr>
                <w:rFonts w:hint="eastAsia" w:ascii="宋体" w:hAnsi="宋体" w:cs="宋体"/>
                <w:color w:val="000000"/>
                <w:kern w:val="0"/>
                <w:szCs w:val="21"/>
                <w:lang w:bidi="ar"/>
              </w:rPr>
              <w:t>清晰、或不</w:t>
            </w:r>
            <w:r>
              <w:rPr>
                <w:rFonts w:hint="eastAsia" w:ascii="宋体" w:hAnsi="宋体" w:cs="宋体"/>
                <w:color w:val="000000"/>
                <w:kern w:val="0"/>
                <w:szCs w:val="21"/>
                <w:lang w:val="en-US" w:eastAsia="zh-CN" w:bidi="ar"/>
              </w:rPr>
              <w:t>太</w:t>
            </w:r>
            <w:r>
              <w:rPr>
                <w:rFonts w:hint="eastAsia" w:ascii="宋体" w:hAnsi="宋体" w:cs="宋体"/>
                <w:color w:val="000000"/>
                <w:kern w:val="0"/>
                <w:szCs w:val="21"/>
                <w:lang w:bidi="ar"/>
              </w:rPr>
              <w:t>合理，</w:t>
            </w:r>
            <w:r>
              <w:rPr>
                <w:rFonts w:hint="eastAsia" w:ascii="宋体" w:hAnsi="宋体" w:cs="宋体"/>
                <w:color w:val="000000"/>
                <w:kern w:val="0"/>
                <w:szCs w:val="21"/>
                <w:lang w:val="en-US" w:eastAsia="zh-CN" w:bidi="ar"/>
              </w:rPr>
              <w:t>得6</w:t>
            </w:r>
            <w:r>
              <w:rPr>
                <w:rFonts w:hint="eastAsia" w:ascii="宋体" w:hAnsi="宋体" w:cs="宋体"/>
                <w:color w:val="000000"/>
                <w:kern w:val="0"/>
                <w:szCs w:val="21"/>
                <w:lang w:bidi="ar"/>
              </w:rPr>
              <w:t>分。</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6"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r>
              <w:rPr>
                <w:rFonts w:hint="eastAsia" w:ascii="宋体" w:hAnsi="宋体"/>
                <w:szCs w:val="21"/>
              </w:rPr>
              <w:t>2</w:t>
            </w:r>
          </w:p>
        </w:tc>
        <w:tc>
          <w:tcPr>
            <w:tcW w:w="226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eastAsia" w:ascii="宋体" w:hAnsi="宋体" w:eastAsia="宋体"/>
                <w:szCs w:val="21"/>
                <w:lang w:eastAsia="zh-CN"/>
              </w:rPr>
            </w:pPr>
            <w:r>
              <w:rPr>
                <w:rFonts w:hint="eastAsia" w:ascii="宋体" w:hAnsi="宋体"/>
                <w:szCs w:val="21"/>
              </w:rPr>
              <w:t>实施方案</w:t>
            </w:r>
            <w:r>
              <w:rPr>
                <w:rFonts w:hint="eastAsia" w:ascii="宋体" w:hAnsi="宋体"/>
                <w:szCs w:val="21"/>
                <w:lang w:eastAsia="zh-CN"/>
              </w:rPr>
              <w:t>（</w:t>
            </w:r>
            <w:r>
              <w:rPr>
                <w:rFonts w:hint="eastAsia" w:ascii="宋体" w:hAnsi="宋体"/>
                <w:szCs w:val="21"/>
                <w:lang w:val="en-US" w:eastAsia="zh-CN"/>
              </w:rPr>
              <w:t>10分</w:t>
            </w:r>
            <w:r>
              <w:rPr>
                <w:rFonts w:hint="eastAsia" w:ascii="宋体" w:hAnsi="宋体"/>
                <w:szCs w:val="21"/>
                <w:lang w:eastAsia="zh-CN"/>
              </w:rPr>
              <w:t>）</w:t>
            </w:r>
          </w:p>
        </w:tc>
        <w:tc>
          <w:tcPr>
            <w:tcW w:w="3667" w:type="dxa"/>
            <w:tcBorders>
              <w:top w:val="single" w:color="auto" w:sz="4" w:space="0"/>
              <w:left w:val="single" w:color="auto" w:sz="4" w:space="0"/>
              <w:right w:val="single" w:color="auto" w:sz="4" w:space="0"/>
            </w:tcBorders>
            <w:vAlign w:val="center"/>
          </w:tcPr>
          <w:p>
            <w:pPr>
              <w:widowControl w:val="0"/>
              <w:adjustRightInd w:val="0"/>
              <w:snapToGrid w:val="0"/>
              <w:spacing w:line="240" w:lineRule="auto"/>
              <w:rPr>
                <w:rFonts w:ascii="宋体" w:hAnsi="宋体"/>
                <w:szCs w:val="21"/>
              </w:rPr>
            </w:pPr>
            <w:r>
              <w:rPr>
                <w:rFonts w:hint="eastAsia" w:ascii="宋体" w:hAnsi="宋体" w:cs="宋体"/>
                <w:color w:val="000000"/>
                <w:kern w:val="0"/>
                <w:szCs w:val="21"/>
                <w:lang w:bidi="ar"/>
              </w:rPr>
              <w:t>内容全面、重点突出，工作步骤详细，进度计划安排合理，编制与设计思路清晰，组织架构科学，计</w:t>
            </w:r>
            <w:r>
              <w:rPr>
                <w:rFonts w:hint="eastAsia" w:ascii="宋体" w:hAnsi="宋体" w:cs="宋体"/>
                <w:color w:val="000000"/>
                <w:kern w:val="0"/>
                <w:szCs w:val="21"/>
                <w:lang w:val="en-US" w:eastAsia="zh-CN" w:bidi="ar"/>
              </w:rPr>
              <w:t>10-9</w:t>
            </w:r>
            <w:r>
              <w:rPr>
                <w:rFonts w:hint="eastAsia" w:ascii="宋体" w:hAnsi="宋体" w:cs="宋体"/>
                <w:color w:val="000000"/>
                <w:kern w:val="0"/>
                <w:szCs w:val="21"/>
                <w:lang w:bidi="ar"/>
              </w:rPr>
              <w:t>分，各要素阐述</w:t>
            </w:r>
            <w:r>
              <w:rPr>
                <w:rFonts w:hint="eastAsia" w:ascii="宋体" w:hAnsi="宋体" w:cs="宋体"/>
                <w:color w:val="000000"/>
                <w:kern w:val="0"/>
                <w:szCs w:val="21"/>
                <w:lang w:val="en-US" w:eastAsia="zh-CN" w:bidi="ar"/>
              </w:rPr>
              <w:t>比较</w:t>
            </w:r>
            <w:r>
              <w:rPr>
                <w:rFonts w:hint="eastAsia" w:ascii="宋体" w:hAnsi="宋体" w:cs="宋体"/>
                <w:color w:val="000000"/>
                <w:kern w:val="0"/>
                <w:szCs w:val="21"/>
                <w:lang w:bidi="ar"/>
              </w:rPr>
              <w:t>完整清晰、</w:t>
            </w:r>
            <w:r>
              <w:rPr>
                <w:rFonts w:hint="eastAsia" w:ascii="宋体" w:hAnsi="宋体" w:cs="宋体"/>
                <w:color w:val="000000"/>
                <w:kern w:val="0"/>
                <w:szCs w:val="21"/>
                <w:lang w:val="en-US" w:eastAsia="zh-CN" w:bidi="ar"/>
              </w:rPr>
              <w:t>比较</w:t>
            </w:r>
            <w:r>
              <w:rPr>
                <w:rFonts w:hint="eastAsia" w:ascii="宋体" w:hAnsi="宋体" w:cs="宋体"/>
                <w:color w:val="000000"/>
                <w:kern w:val="0"/>
                <w:szCs w:val="21"/>
                <w:lang w:bidi="ar"/>
              </w:rPr>
              <w:t>合理，</w:t>
            </w:r>
            <w:r>
              <w:rPr>
                <w:rFonts w:hint="eastAsia" w:ascii="宋体" w:hAnsi="宋体" w:cs="宋体"/>
                <w:color w:val="000000"/>
                <w:kern w:val="0"/>
                <w:szCs w:val="21"/>
                <w:lang w:val="en-US" w:eastAsia="zh-CN" w:bidi="ar"/>
              </w:rPr>
              <w:t>得7-8</w:t>
            </w:r>
            <w:r>
              <w:rPr>
                <w:rFonts w:hint="eastAsia" w:ascii="宋体" w:hAnsi="宋体" w:cs="宋体"/>
                <w:color w:val="000000"/>
                <w:kern w:val="0"/>
                <w:szCs w:val="21"/>
                <w:lang w:bidi="ar"/>
              </w:rPr>
              <w:t>分，各要素阐述不</w:t>
            </w:r>
            <w:r>
              <w:rPr>
                <w:rFonts w:hint="eastAsia" w:ascii="宋体" w:hAnsi="宋体" w:cs="宋体"/>
                <w:color w:val="000000"/>
                <w:kern w:val="0"/>
                <w:szCs w:val="21"/>
                <w:lang w:val="en-US" w:eastAsia="zh-CN" w:bidi="ar"/>
              </w:rPr>
              <w:t>太</w:t>
            </w:r>
            <w:r>
              <w:rPr>
                <w:rFonts w:hint="eastAsia" w:ascii="宋体" w:hAnsi="宋体" w:cs="宋体"/>
                <w:color w:val="000000"/>
                <w:kern w:val="0"/>
                <w:szCs w:val="21"/>
                <w:lang w:bidi="ar"/>
              </w:rPr>
              <w:t>完整、或不</w:t>
            </w:r>
            <w:r>
              <w:rPr>
                <w:rFonts w:hint="eastAsia" w:ascii="宋体" w:hAnsi="宋体" w:cs="宋体"/>
                <w:color w:val="000000"/>
                <w:kern w:val="0"/>
                <w:szCs w:val="21"/>
                <w:lang w:val="en-US" w:eastAsia="zh-CN" w:bidi="ar"/>
              </w:rPr>
              <w:t>太</w:t>
            </w:r>
            <w:r>
              <w:rPr>
                <w:rFonts w:hint="eastAsia" w:ascii="宋体" w:hAnsi="宋体" w:cs="宋体"/>
                <w:color w:val="000000"/>
                <w:kern w:val="0"/>
                <w:szCs w:val="21"/>
                <w:lang w:bidi="ar"/>
              </w:rPr>
              <w:t>清晰、或不</w:t>
            </w:r>
            <w:r>
              <w:rPr>
                <w:rFonts w:hint="eastAsia" w:ascii="宋体" w:hAnsi="宋体" w:cs="宋体"/>
                <w:color w:val="000000"/>
                <w:kern w:val="0"/>
                <w:szCs w:val="21"/>
                <w:lang w:val="en-US" w:eastAsia="zh-CN" w:bidi="ar"/>
              </w:rPr>
              <w:t>太</w:t>
            </w:r>
            <w:r>
              <w:rPr>
                <w:rFonts w:hint="eastAsia" w:ascii="宋体" w:hAnsi="宋体" w:cs="宋体"/>
                <w:color w:val="000000"/>
                <w:kern w:val="0"/>
                <w:szCs w:val="21"/>
                <w:lang w:bidi="ar"/>
              </w:rPr>
              <w:t>合理，</w:t>
            </w:r>
            <w:r>
              <w:rPr>
                <w:rFonts w:hint="eastAsia" w:ascii="宋体" w:hAnsi="宋体" w:cs="宋体"/>
                <w:color w:val="000000"/>
                <w:kern w:val="0"/>
                <w:szCs w:val="21"/>
                <w:lang w:val="en-US" w:eastAsia="zh-CN" w:bidi="ar"/>
              </w:rPr>
              <w:t>得6</w:t>
            </w:r>
            <w:r>
              <w:rPr>
                <w:rFonts w:hint="eastAsia" w:ascii="宋体" w:hAnsi="宋体" w:cs="宋体"/>
                <w:color w:val="000000"/>
                <w:kern w:val="0"/>
                <w:szCs w:val="21"/>
                <w:lang w:bidi="ar"/>
              </w:rPr>
              <w:t>分。</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0" w:hRule="exac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r>
              <w:rPr>
                <w:rFonts w:hint="eastAsia" w:ascii="宋体" w:hAnsi="宋体"/>
                <w:b/>
                <w:szCs w:val="21"/>
              </w:rPr>
              <w:t>4</w:t>
            </w:r>
          </w:p>
        </w:tc>
        <w:tc>
          <w:tcPr>
            <w:tcW w:w="226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eastAsia" w:ascii="宋体" w:hAnsi="宋体" w:eastAsia="宋体"/>
                <w:bCs/>
                <w:szCs w:val="21"/>
                <w:lang w:eastAsia="zh-CN"/>
              </w:rPr>
            </w:pPr>
            <w:r>
              <w:rPr>
                <w:rFonts w:hint="eastAsia" w:ascii="宋体" w:hAnsi="宋体"/>
                <w:bCs/>
                <w:szCs w:val="21"/>
              </w:rPr>
              <w:t>必要的图纸</w:t>
            </w:r>
            <w:r>
              <w:rPr>
                <w:rFonts w:hint="eastAsia" w:ascii="宋体" w:hAnsi="宋体"/>
                <w:bCs/>
                <w:szCs w:val="21"/>
                <w:lang w:val="en-US" w:eastAsia="zh-CN"/>
              </w:rPr>
              <w:t>含现场PPT讲解</w:t>
            </w:r>
            <w:r>
              <w:rPr>
                <w:rFonts w:hint="eastAsia" w:ascii="宋体" w:hAnsi="宋体"/>
                <w:bCs/>
                <w:szCs w:val="21"/>
                <w:lang w:eastAsia="zh-CN"/>
              </w:rPr>
              <w:t>（</w:t>
            </w:r>
            <w:r>
              <w:rPr>
                <w:rFonts w:hint="eastAsia" w:ascii="宋体" w:hAnsi="宋体"/>
                <w:bCs/>
                <w:szCs w:val="21"/>
                <w:lang w:val="en-US" w:eastAsia="zh-CN"/>
              </w:rPr>
              <w:t>10分</w:t>
            </w:r>
            <w:r>
              <w:rPr>
                <w:rFonts w:hint="eastAsia" w:ascii="宋体" w:hAnsi="宋体"/>
                <w:bCs/>
                <w:szCs w:val="21"/>
                <w:lang w:eastAsia="zh-CN"/>
              </w:rPr>
              <w:t>）</w:t>
            </w:r>
          </w:p>
        </w:tc>
        <w:tc>
          <w:tcPr>
            <w:tcW w:w="366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rPr>
                <w:rFonts w:ascii="宋体" w:hAnsi="宋体"/>
                <w:szCs w:val="21"/>
              </w:rPr>
            </w:pPr>
            <w:r>
              <w:rPr>
                <w:rFonts w:hint="eastAsia" w:ascii="宋体" w:hAnsi="宋体" w:cs="宋体"/>
                <w:sz w:val="22"/>
              </w:rPr>
              <w:t>提供主要设计图纸资料（包括但不限于</w:t>
            </w:r>
            <w:r>
              <w:rPr>
                <w:rFonts w:hint="eastAsia" w:ascii="宋体" w:hAnsi="宋体" w:cs="宋体"/>
                <w:sz w:val="22"/>
                <w:lang w:val="en-US" w:eastAsia="zh-CN"/>
              </w:rPr>
              <w:t>三D效果图、</w:t>
            </w:r>
            <w:r>
              <w:rPr>
                <w:rFonts w:hint="eastAsia" w:ascii="宋体" w:hAnsi="宋体" w:cs="宋体"/>
                <w:sz w:val="22"/>
              </w:rPr>
              <w:t>总布置图、型线图、技术规格书、设备清单）。设计图纸资料提供较全的得</w:t>
            </w:r>
            <w:r>
              <w:rPr>
                <w:rFonts w:hint="eastAsia" w:ascii="宋体" w:hAnsi="宋体" w:cs="宋体"/>
                <w:sz w:val="22"/>
                <w:lang w:val="en-US" w:eastAsia="zh-CN"/>
              </w:rPr>
              <w:t>9-10</w:t>
            </w:r>
            <w:r>
              <w:rPr>
                <w:rFonts w:hint="eastAsia" w:ascii="宋体" w:hAnsi="宋体" w:cs="宋体"/>
                <w:sz w:val="22"/>
              </w:rPr>
              <w:t>分；设计图纸资料提供一般的得</w:t>
            </w:r>
            <w:r>
              <w:rPr>
                <w:rFonts w:hint="eastAsia" w:ascii="宋体" w:hAnsi="宋体" w:cs="宋体"/>
                <w:sz w:val="22"/>
                <w:lang w:val="en-US" w:eastAsia="zh-CN"/>
              </w:rPr>
              <w:t>7-8</w:t>
            </w:r>
            <w:r>
              <w:rPr>
                <w:rFonts w:hint="eastAsia" w:ascii="宋体" w:hAnsi="宋体" w:cs="宋体"/>
                <w:sz w:val="22"/>
              </w:rPr>
              <w:t>分；设计图纸资料提供较少的得</w:t>
            </w:r>
            <w:r>
              <w:rPr>
                <w:rFonts w:hint="eastAsia" w:ascii="宋体" w:hAnsi="宋体" w:cs="宋体"/>
                <w:sz w:val="22"/>
                <w:lang w:val="en-US" w:eastAsia="zh-CN"/>
              </w:rPr>
              <w:t>6</w:t>
            </w:r>
            <w:r>
              <w:rPr>
                <w:rFonts w:hint="eastAsia" w:ascii="宋体" w:hAnsi="宋体" w:cs="宋体"/>
                <w:sz w:val="22"/>
              </w:rPr>
              <w:t>分。</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17"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r>
              <w:rPr>
                <w:rFonts w:hint="eastAsia" w:ascii="宋体" w:hAnsi="宋体"/>
                <w:b/>
                <w:szCs w:val="21"/>
              </w:rPr>
              <w:t>合计</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r>
    </w:tbl>
    <w:p>
      <w:pPr>
        <w:widowControl w:val="0"/>
        <w:adjustRightInd w:val="0"/>
        <w:snapToGrid w:val="0"/>
        <w:spacing w:line="312" w:lineRule="auto"/>
        <w:ind w:firstLine="315" w:firstLineChars="150"/>
        <w:rPr>
          <w:rFonts w:hint="eastAsia" w:ascii="宋体" w:hAnsi="宋体"/>
          <w:kern w:val="0"/>
          <w:szCs w:val="21"/>
        </w:rPr>
      </w:pPr>
      <w:r>
        <w:rPr>
          <w:rFonts w:hint="eastAsia" w:ascii="宋体" w:hAnsi="宋体"/>
          <w:kern w:val="0"/>
          <w:szCs w:val="21"/>
        </w:rPr>
        <w:t>注：</w:t>
      </w:r>
    </w:p>
    <w:p>
      <w:pPr>
        <w:widowControl w:val="0"/>
        <w:adjustRightInd w:val="0"/>
        <w:snapToGrid w:val="0"/>
        <w:spacing w:line="312" w:lineRule="auto"/>
        <w:ind w:firstLine="735" w:firstLineChars="350"/>
        <w:rPr>
          <w:rFonts w:ascii="宋体" w:hAnsi="宋体"/>
          <w:kern w:val="0"/>
          <w:szCs w:val="21"/>
        </w:rPr>
      </w:pPr>
      <w:r>
        <w:rPr>
          <w:rFonts w:hint="eastAsia" w:ascii="宋体" w:hAnsi="宋体"/>
          <w:kern w:val="0"/>
          <w:szCs w:val="21"/>
        </w:rPr>
        <w:t>1、本表小计总分为</w:t>
      </w:r>
      <w:r>
        <w:rPr>
          <w:rFonts w:ascii="宋体" w:hAnsi="宋体"/>
          <w:szCs w:val="21"/>
          <w:u w:val="single"/>
        </w:rPr>
        <w:t xml:space="preserve"> </w:t>
      </w:r>
      <w:r>
        <w:rPr>
          <w:rFonts w:hint="eastAsia" w:ascii="宋体" w:hAnsi="宋体"/>
          <w:szCs w:val="21"/>
          <w:u w:val="single"/>
          <w:lang w:val="en-US" w:eastAsia="zh-CN"/>
        </w:rPr>
        <w:t>30</w:t>
      </w:r>
      <w:r>
        <w:rPr>
          <w:rFonts w:ascii="宋体" w:hAnsi="宋体"/>
          <w:szCs w:val="21"/>
          <w:u w:val="single"/>
        </w:rPr>
        <w:t xml:space="preserve"> </w:t>
      </w:r>
      <w:r>
        <w:rPr>
          <w:rFonts w:hint="eastAsia" w:ascii="宋体" w:hAnsi="宋体"/>
          <w:kern w:val="0"/>
          <w:szCs w:val="21"/>
        </w:rPr>
        <w:t>分。</w:t>
      </w:r>
    </w:p>
    <w:p>
      <w:pPr>
        <w:widowControl w:val="0"/>
        <w:adjustRightInd w:val="0"/>
        <w:snapToGrid w:val="0"/>
        <w:spacing w:line="312" w:lineRule="auto"/>
        <w:ind w:firstLine="735" w:firstLineChars="350"/>
        <w:rPr>
          <w:rFonts w:ascii="宋体" w:hAnsi="宋体"/>
          <w:kern w:val="0"/>
          <w:szCs w:val="21"/>
        </w:rPr>
      </w:pPr>
      <w:r>
        <w:rPr>
          <w:rFonts w:hint="eastAsia" w:ascii="宋体" w:hAnsi="宋体"/>
          <w:kern w:val="0"/>
          <w:szCs w:val="21"/>
        </w:rPr>
        <w:t>2、技术文件中缺失某项评分因素的，该项评分因素计0分。</w:t>
      </w:r>
    </w:p>
    <w:p>
      <w:pPr>
        <w:widowControl w:val="0"/>
        <w:adjustRightInd w:val="0"/>
        <w:snapToGrid w:val="0"/>
        <w:spacing w:line="312" w:lineRule="auto"/>
        <w:ind w:firstLine="735" w:firstLineChars="350"/>
        <w:rPr>
          <w:rFonts w:hint="eastAsia" w:ascii="宋体" w:hAnsi="宋体"/>
          <w:kern w:val="0"/>
          <w:szCs w:val="21"/>
        </w:rPr>
      </w:pPr>
      <w:r>
        <w:rPr>
          <w:rFonts w:hint="eastAsia" w:ascii="宋体" w:hAnsi="宋体"/>
          <w:kern w:val="0"/>
          <w:szCs w:val="21"/>
        </w:rPr>
        <w:t>3、该项评分内容计分，由评审（谈判）小组集体评议，评委根据集体评议意见，自主评分。技术文件得分为评委个人评审计分的算术平均值。</w:t>
      </w:r>
    </w:p>
    <w:p>
      <w:pPr>
        <w:widowControl w:val="0"/>
        <w:adjustRightInd w:val="0"/>
        <w:snapToGrid w:val="0"/>
        <w:spacing w:line="312" w:lineRule="auto"/>
        <w:ind w:firstLine="735" w:firstLineChars="350"/>
        <w:rPr>
          <w:rFonts w:hint="eastAsia" w:ascii="宋体" w:hAnsi="宋体"/>
          <w:kern w:val="0"/>
          <w:szCs w:val="21"/>
        </w:rPr>
      </w:pPr>
      <w:r>
        <w:rPr>
          <w:rFonts w:hint="eastAsia" w:ascii="宋体" w:hAnsi="宋体"/>
          <w:kern w:val="0"/>
          <w:szCs w:val="21"/>
        </w:rPr>
        <w:t>4、采购人可根据项目的具体特点和需要设置合理的评分因素，项目没有具体需要的不得设置为评分因素内容。</w:t>
      </w:r>
    </w:p>
    <w:p>
      <w:pPr>
        <w:widowControl w:val="0"/>
        <w:adjustRightInd w:val="0"/>
        <w:snapToGrid w:val="0"/>
        <w:spacing w:line="312" w:lineRule="auto"/>
        <w:ind w:firstLine="735" w:firstLineChars="350"/>
        <w:rPr>
          <w:rFonts w:hint="eastAsia" w:ascii="宋体" w:hAnsi="宋体"/>
          <w:kern w:val="0"/>
          <w:szCs w:val="21"/>
        </w:rPr>
      </w:pPr>
      <w:r>
        <w:rPr>
          <w:rFonts w:hint="eastAsia" w:ascii="宋体" w:hAnsi="宋体"/>
          <w:kern w:val="0"/>
          <w:szCs w:val="21"/>
        </w:rPr>
        <w:t>5、各评分因素中基本合理项的最低分值不得低于该评分因素和评分标准最高分值的60%。评审（谈判）小组对某评分因素评审计分低于该评分因素和评分标准最高分值的60%的，评委应说明原因。</w:t>
      </w:r>
    </w:p>
    <w:p>
      <w:pPr>
        <w:widowControl w:val="0"/>
        <w:adjustRightInd w:val="0"/>
        <w:snapToGrid w:val="0"/>
        <w:spacing w:line="312" w:lineRule="auto"/>
        <w:rPr>
          <w:rFonts w:ascii="宋体" w:hAnsi="宋体"/>
          <w:b/>
          <w:kern w:val="0"/>
          <w:szCs w:val="21"/>
        </w:rPr>
      </w:pPr>
    </w:p>
    <w:p>
      <w:pPr>
        <w:widowControl w:val="0"/>
        <w:adjustRightInd w:val="0"/>
        <w:snapToGrid w:val="0"/>
        <w:spacing w:line="312" w:lineRule="auto"/>
        <w:ind w:firstLine="480" w:firstLineChars="200"/>
        <w:jc w:val="both"/>
        <w:rPr>
          <w:rFonts w:ascii="宋体" w:hAnsi="宋体"/>
          <w:sz w:val="24"/>
        </w:rPr>
      </w:pPr>
      <w:r>
        <w:rPr>
          <w:rFonts w:hint="eastAsia" w:ascii="宋体" w:hAnsi="宋体"/>
          <w:sz w:val="24"/>
        </w:rPr>
        <w:t>评审（谈判）小组</w:t>
      </w:r>
      <w:r>
        <w:rPr>
          <w:rFonts w:ascii="宋体" w:hAnsi="宋体"/>
          <w:sz w:val="24"/>
        </w:rPr>
        <w:t>全体成员签字：</w:t>
      </w:r>
    </w:p>
    <w:p>
      <w:pPr>
        <w:pStyle w:val="73"/>
        <w:spacing w:line="600" w:lineRule="exact"/>
        <w:ind w:left="420" w:firstLine="0" w:firstLineChars="0"/>
        <w:jc w:val="center"/>
        <w:outlineLvl w:val="9"/>
        <w:rPr>
          <w:rFonts w:ascii="黑体" w:hAnsi="黑体" w:eastAsia="黑体" w:cs="仿宋"/>
          <w:b/>
          <w:color w:val="000000"/>
          <w:sz w:val="36"/>
          <w:szCs w:val="36"/>
        </w:rPr>
      </w:pPr>
    </w:p>
    <w:p>
      <w:pPr>
        <w:pStyle w:val="73"/>
        <w:spacing w:line="600" w:lineRule="exact"/>
        <w:ind w:left="420" w:firstLine="0" w:firstLineChars="0"/>
        <w:jc w:val="center"/>
        <w:outlineLvl w:val="9"/>
        <w:rPr>
          <w:rFonts w:ascii="黑体" w:hAnsi="黑体" w:eastAsia="黑体" w:cs="仿宋"/>
          <w:b/>
          <w:color w:val="000000"/>
          <w:sz w:val="36"/>
          <w:szCs w:val="36"/>
        </w:rPr>
      </w:pPr>
    </w:p>
    <w:p>
      <w:pPr>
        <w:pStyle w:val="73"/>
        <w:spacing w:line="600" w:lineRule="exact"/>
        <w:ind w:left="420" w:firstLine="0" w:firstLineChars="0"/>
        <w:jc w:val="center"/>
        <w:outlineLvl w:val="0"/>
        <w:rPr>
          <w:bCs/>
          <w:sz w:val="44"/>
          <w:szCs w:val="44"/>
        </w:rPr>
      </w:pPr>
      <w:bookmarkStart w:id="40" w:name="_Toc24909"/>
      <w:bookmarkStart w:id="41" w:name="_Toc6431"/>
      <w:r>
        <w:rPr>
          <w:rFonts w:hint="eastAsia" w:ascii="黑体" w:hAnsi="黑体" w:eastAsia="黑体" w:cs="仿宋"/>
          <w:bCs/>
          <w:color w:val="000000"/>
          <w:sz w:val="44"/>
          <w:szCs w:val="44"/>
          <w:lang w:val="en-US" w:eastAsia="zh-CN"/>
        </w:rPr>
        <w:t xml:space="preserve">第四章 </w:t>
      </w:r>
      <w:r>
        <w:rPr>
          <w:rFonts w:hint="eastAsia" w:ascii="黑体" w:hAnsi="黑体" w:eastAsia="黑体" w:cs="仿宋"/>
          <w:bCs/>
          <w:color w:val="000000"/>
          <w:sz w:val="44"/>
          <w:szCs w:val="44"/>
        </w:rPr>
        <w:t>合同专用条款</w:t>
      </w:r>
      <w:bookmarkEnd w:id="40"/>
      <w:bookmarkEnd w:id="41"/>
    </w:p>
    <w:p>
      <w:pPr>
        <w:spacing w:line="312" w:lineRule="auto"/>
        <w:jc w:val="both"/>
        <w:rPr>
          <w:rFonts w:cs="仿宋" w:asciiTheme="minorEastAsia" w:hAnsiTheme="minorEastAsia" w:eastAsiaTheme="minorEastAsia"/>
          <w:sz w:val="24"/>
        </w:rPr>
      </w:pPr>
    </w:p>
    <w:p>
      <w:pPr>
        <w:adjustRightInd w:val="0"/>
        <w:snapToGrid w:val="0"/>
        <w:spacing w:line="312" w:lineRule="auto"/>
        <w:ind w:firstLine="396" w:firstLineChars="189"/>
        <w:jc w:val="both"/>
        <w:rPr>
          <w:rFonts w:ascii="宋体" w:hAnsi="宋体" w:cs="仿宋"/>
          <w:sz w:val="24"/>
        </w:rPr>
      </w:pPr>
      <w:r>
        <w:t xml:space="preserve">    </w:t>
      </w:r>
      <w:r>
        <w:rPr>
          <w:rFonts w:hint="eastAsia" w:ascii="宋体" w:hAnsi="宋体" w:cs="仿宋"/>
          <w:sz w:val="24"/>
        </w:rPr>
        <w:t>本合同特殊条款为合同一般条款的补充和修改。如果两者之间有抵触，应以本特殊条款为准。</w:t>
      </w:r>
      <w:r>
        <w:rPr>
          <w:rFonts w:hint="eastAsia" w:ascii="宋体" w:hAnsi="宋体" w:cs="仿宋"/>
          <w:sz w:val="24"/>
          <w:lang w:eastAsia="zh-CN"/>
        </w:rPr>
        <w:t>供应商</w:t>
      </w:r>
      <w:r>
        <w:rPr>
          <w:rFonts w:hint="eastAsia" w:ascii="宋体" w:hAnsi="宋体" w:cs="仿宋"/>
          <w:sz w:val="24"/>
        </w:rPr>
        <w:t>文件对合同特殊条款逐条响应，若有偏离，应以偏离表表示。</w:t>
      </w:r>
    </w:p>
    <w:p>
      <w:pPr>
        <w:adjustRightInd w:val="0"/>
        <w:snapToGrid w:val="0"/>
        <w:spacing w:line="312" w:lineRule="auto"/>
        <w:ind w:firstLine="453" w:firstLineChars="189"/>
        <w:jc w:val="both"/>
        <w:rPr>
          <w:rFonts w:ascii="宋体" w:hAnsi="宋体" w:cs="仿宋"/>
          <w:sz w:val="24"/>
        </w:rPr>
      </w:pPr>
      <w:r>
        <w:rPr>
          <w:rFonts w:ascii="宋体" w:hAnsi="宋体" w:cs="仿宋"/>
          <w:sz w:val="24"/>
        </w:rPr>
        <w:t>1</w:t>
      </w:r>
      <w:r>
        <w:rPr>
          <w:rFonts w:hint="eastAsia" w:ascii="宋体" w:hAnsi="宋体" w:cs="仿宋"/>
          <w:sz w:val="24"/>
        </w:rPr>
        <w:t>、服务工期：合同签订后三个月。</w:t>
      </w:r>
    </w:p>
    <w:p>
      <w:pPr>
        <w:adjustRightInd w:val="0"/>
        <w:snapToGrid w:val="0"/>
        <w:spacing w:line="312" w:lineRule="auto"/>
        <w:ind w:firstLine="453" w:firstLineChars="189"/>
        <w:jc w:val="both"/>
        <w:rPr>
          <w:rFonts w:ascii="宋体" w:hAnsi="宋体" w:cs="仿宋"/>
          <w:sz w:val="24"/>
        </w:rPr>
      </w:pPr>
      <w:r>
        <w:rPr>
          <w:rFonts w:ascii="宋体" w:hAnsi="宋体" w:cs="仿宋"/>
          <w:sz w:val="24"/>
        </w:rPr>
        <w:t>2</w:t>
      </w:r>
      <w:r>
        <w:rPr>
          <w:rFonts w:hint="eastAsia" w:ascii="宋体" w:hAnsi="宋体" w:cs="仿宋"/>
          <w:sz w:val="24"/>
        </w:rPr>
        <w:t>、交接地点：城陵矶港</w:t>
      </w:r>
    </w:p>
    <w:p>
      <w:pPr>
        <w:spacing w:line="440" w:lineRule="exact"/>
        <w:ind w:left="1155" w:hanging="735"/>
        <w:rPr>
          <w:rFonts w:hint="eastAsia"/>
          <w:sz w:val="24"/>
        </w:rPr>
      </w:pPr>
      <w:r>
        <w:rPr>
          <w:rFonts w:ascii="宋体" w:hAnsi="宋体" w:cs="仿宋"/>
          <w:sz w:val="24"/>
        </w:rPr>
        <w:t>3</w:t>
      </w:r>
      <w:r>
        <w:rPr>
          <w:rFonts w:hint="eastAsia" w:ascii="宋体" w:hAnsi="宋体" w:cs="仿宋"/>
          <w:sz w:val="24"/>
        </w:rPr>
        <w:t>、其它服务：</w:t>
      </w:r>
      <w:r>
        <w:rPr>
          <w:rFonts w:hint="eastAsia"/>
          <w:sz w:val="24"/>
        </w:rPr>
        <w:t>乙方承担</w:t>
      </w:r>
      <w:r>
        <w:rPr>
          <w:rFonts w:hint="eastAsia" w:ascii="宋体" w:hAnsi="宋体"/>
          <w:sz w:val="24"/>
        </w:rPr>
        <w:t>该船的方案设计、送审设计及详细设计</w:t>
      </w:r>
      <w:r>
        <w:rPr>
          <w:rFonts w:hint="eastAsia"/>
          <w:sz w:val="24"/>
        </w:rPr>
        <w:t>。</w:t>
      </w:r>
    </w:p>
    <w:p>
      <w:pPr>
        <w:spacing w:line="440" w:lineRule="exact"/>
        <w:ind w:left="1155" w:hanging="735"/>
        <w:rPr>
          <w:rFonts w:hint="eastAsia"/>
          <w:sz w:val="24"/>
        </w:rPr>
      </w:pPr>
      <w:r>
        <w:rPr>
          <w:rFonts w:hint="eastAsia"/>
          <w:sz w:val="24"/>
        </w:rPr>
        <w:t>设计依据： （1）“CCS”《内河钢质船舶建造规范》（2016）及其修改通报；</w:t>
      </w:r>
    </w:p>
    <w:p>
      <w:pPr>
        <w:spacing w:line="440" w:lineRule="exact"/>
        <w:ind w:firstLine="1680" w:firstLineChars="700"/>
        <w:rPr>
          <w:rFonts w:hint="eastAsia"/>
          <w:sz w:val="24"/>
        </w:rPr>
      </w:pPr>
      <w:r>
        <w:rPr>
          <w:rFonts w:hint="eastAsia"/>
          <w:sz w:val="24"/>
        </w:rPr>
        <w:t>（2）“CMSA”《</w:t>
      </w:r>
      <w:r>
        <w:rPr>
          <w:rFonts w:hint="eastAsia" w:ascii="宋体" w:hAnsi="宋体"/>
          <w:sz w:val="24"/>
        </w:rPr>
        <w:t>内河船舶法定检验技术规则</w:t>
      </w:r>
      <w:r>
        <w:rPr>
          <w:rFonts w:hint="eastAsia"/>
          <w:sz w:val="24"/>
        </w:rPr>
        <w:t>》（2019）；</w:t>
      </w:r>
    </w:p>
    <w:p>
      <w:pPr>
        <w:spacing w:line="440" w:lineRule="exact"/>
        <w:ind w:firstLine="1680" w:firstLineChars="700"/>
        <w:rPr>
          <w:rFonts w:hint="eastAsia"/>
          <w:sz w:val="24"/>
        </w:rPr>
      </w:pPr>
      <w:r>
        <w:rPr>
          <w:rFonts w:hint="eastAsia"/>
          <w:sz w:val="24"/>
        </w:rPr>
        <w:t>（3）其他相关规范、规则要求。</w:t>
      </w:r>
      <w:r>
        <w:rPr>
          <w:sz w:val="24"/>
        </w:rPr>
        <w:t xml:space="preserve"> </w:t>
      </w:r>
    </w:p>
    <w:p>
      <w:pPr>
        <w:adjustRightInd w:val="0"/>
        <w:snapToGrid w:val="0"/>
        <w:spacing w:line="312" w:lineRule="auto"/>
        <w:ind w:firstLine="453" w:firstLineChars="189"/>
        <w:jc w:val="both"/>
        <w:rPr>
          <w:rFonts w:ascii="宋体" w:hAnsi="宋体" w:cs="仿宋"/>
          <w:sz w:val="24"/>
        </w:rPr>
      </w:pPr>
      <w:r>
        <w:rPr>
          <w:rFonts w:ascii="宋体" w:hAnsi="宋体" w:cs="仿宋"/>
          <w:sz w:val="24"/>
        </w:rPr>
        <w:t>4</w:t>
      </w:r>
      <w:r>
        <w:rPr>
          <w:rFonts w:hint="eastAsia" w:ascii="宋体" w:hAnsi="宋体" w:cs="仿宋"/>
          <w:sz w:val="24"/>
        </w:rPr>
        <w:t>、</w:t>
      </w:r>
      <w:r>
        <w:rPr>
          <w:rFonts w:hint="eastAsia"/>
          <w:sz w:val="24"/>
        </w:rPr>
        <w:t>设计图纸报送CCS审查。</w:t>
      </w:r>
    </w:p>
    <w:p>
      <w:pPr>
        <w:adjustRightInd w:val="0"/>
        <w:snapToGrid w:val="0"/>
        <w:spacing w:line="312" w:lineRule="auto"/>
        <w:ind w:firstLine="453" w:firstLineChars="189"/>
        <w:jc w:val="both"/>
        <w:rPr>
          <w:sz w:val="24"/>
        </w:rPr>
      </w:pPr>
      <w:r>
        <w:rPr>
          <w:rFonts w:ascii="宋体" w:hAnsi="宋体" w:cs="仿宋"/>
          <w:sz w:val="24"/>
        </w:rPr>
        <w:t>5</w:t>
      </w:r>
      <w:r>
        <w:rPr>
          <w:rFonts w:hint="eastAsia" w:ascii="宋体" w:hAnsi="宋体" w:cs="仿宋"/>
          <w:sz w:val="24"/>
        </w:rPr>
        <w:t>、</w:t>
      </w:r>
      <w:r>
        <w:rPr>
          <w:rFonts w:hint="eastAsia"/>
          <w:sz w:val="24"/>
        </w:rPr>
        <w:t>在乙方完成送审设计（技术设计）后，甲方不宜再提出重大设计修改，如甲方确实需要，乙方认为可以达到，亦予以解决，其更改后的设计进度和补偿费用，由双方另行商定。因乙方原因造成的设计变更及相关费用，由乙方承担。</w:t>
      </w:r>
    </w:p>
    <w:p>
      <w:pPr>
        <w:adjustRightInd w:val="0"/>
        <w:snapToGrid w:val="0"/>
        <w:spacing w:line="276" w:lineRule="auto"/>
        <w:ind w:firstLine="453" w:firstLineChars="189"/>
        <w:jc w:val="both"/>
        <w:rPr>
          <w:rFonts w:ascii="宋体" w:hAnsi="宋体" w:cs="仿宋"/>
          <w:sz w:val="24"/>
        </w:rPr>
      </w:pPr>
      <w:r>
        <w:rPr>
          <w:rFonts w:ascii="宋体" w:hAnsi="宋体" w:cs="仿宋"/>
          <w:sz w:val="24"/>
        </w:rPr>
        <w:t>6</w:t>
      </w:r>
      <w:r>
        <w:rPr>
          <w:rFonts w:hint="eastAsia" w:ascii="宋体" w:hAnsi="宋体" w:cs="仿宋"/>
          <w:sz w:val="24"/>
        </w:rPr>
        <w:t>、付款方式</w:t>
      </w:r>
    </w:p>
    <w:p>
      <w:pPr>
        <w:adjustRightInd w:val="0"/>
        <w:snapToGrid w:val="0"/>
        <w:spacing w:line="276" w:lineRule="auto"/>
        <w:ind w:firstLine="453" w:firstLineChars="189"/>
        <w:jc w:val="both"/>
        <w:rPr>
          <w:rFonts w:hint="eastAsia" w:ascii="宋体" w:hAnsi="宋体" w:cs="仿宋"/>
          <w:sz w:val="24"/>
        </w:rPr>
      </w:pPr>
      <w:r>
        <w:rPr>
          <w:rFonts w:hint="eastAsia"/>
          <w:color w:val="000000"/>
          <w:sz w:val="24"/>
        </w:rPr>
        <w:t>第一期，本合同生效后的10日内，甲方向乙方支付合同款总额的4</w:t>
      </w:r>
      <w:r>
        <w:rPr>
          <w:color w:val="000000"/>
          <w:sz w:val="24"/>
        </w:rPr>
        <w:t>0%</w:t>
      </w:r>
      <w:r>
        <w:rPr>
          <w:rFonts w:hint="eastAsia"/>
          <w:color w:val="000000"/>
          <w:sz w:val="24"/>
        </w:rPr>
        <w:t>设计费；第二期，乙方提供经船检盖章批准的图纸2套、详细设计图纸</w:t>
      </w:r>
      <w:r>
        <w:rPr>
          <w:color w:val="000000"/>
          <w:sz w:val="24"/>
        </w:rPr>
        <w:t>3</w:t>
      </w:r>
      <w:r>
        <w:rPr>
          <w:rFonts w:hint="eastAsia"/>
          <w:color w:val="000000"/>
          <w:sz w:val="24"/>
        </w:rPr>
        <w:t>套后10日内，甲方向乙方支付合同款总额的5</w:t>
      </w:r>
      <w:r>
        <w:rPr>
          <w:color w:val="000000"/>
          <w:sz w:val="24"/>
        </w:rPr>
        <w:t>0%</w:t>
      </w:r>
      <w:r>
        <w:rPr>
          <w:rFonts w:hint="eastAsia"/>
          <w:color w:val="000000"/>
          <w:sz w:val="24"/>
        </w:rPr>
        <w:t>设计费；</w:t>
      </w:r>
      <w:r>
        <w:rPr>
          <w:rFonts w:hint="eastAsia"/>
          <w:sz w:val="24"/>
        </w:rPr>
        <w:t>本船建造完工，乙方协助甲方办理船舶检验证书后</w:t>
      </w:r>
      <w:r>
        <w:rPr>
          <w:rFonts w:hint="eastAsia"/>
          <w:color w:val="000000"/>
          <w:sz w:val="24"/>
        </w:rPr>
        <w:t>10日内</w:t>
      </w:r>
      <w:r>
        <w:rPr>
          <w:rFonts w:hint="eastAsia"/>
          <w:sz w:val="24"/>
        </w:rPr>
        <w:t>，</w:t>
      </w:r>
      <w:r>
        <w:rPr>
          <w:rFonts w:hint="eastAsia"/>
          <w:color w:val="000000"/>
          <w:sz w:val="24"/>
        </w:rPr>
        <w:t>甲方向乙方支付合同款总额的1</w:t>
      </w:r>
      <w:r>
        <w:rPr>
          <w:color w:val="000000"/>
          <w:sz w:val="24"/>
        </w:rPr>
        <w:t>0%</w:t>
      </w:r>
      <w:r>
        <w:rPr>
          <w:rFonts w:hint="eastAsia"/>
          <w:color w:val="000000"/>
          <w:sz w:val="24"/>
        </w:rPr>
        <w:t>设计费。</w:t>
      </w:r>
    </w:p>
    <w:p>
      <w:pPr>
        <w:spacing w:before="200" w:line="276" w:lineRule="auto"/>
        <w:ind w:firstLine="480" w:firstLineChars="200"/>
        <w:rPr>
          <w:rFonts w:hint="eastAsia"/>
          <w:sz w:val="24"/>
        </w:rPr>
      </w:pPr>
      <w:r>
        <w:rPr>
          <w:sz w:val="24"/>
        </w:rPr>
        <w:t>7</w:t>
      </w:r>
      <w:r>
        <w:rPr>
          <w:rFonts w:hint="eastAsia"/>
          <w:sz w:val="24"/>
        </w:rPr>
        <w:t>、验收标准和方式</w:t>
      </w:r>
    </w:p>
    <w:p>
      <w:pPr>
        <w:spacing w:line="276" w:lineRule="auto"/>
        <w:ind w:left="1155" w:hanging="735"/>
        <w:rPr>
          <w:rFonts w:hint="eastAsia"/>
          <w:sz w:val="24"/>
        </w:rPr>
      </w:pPr>
      <w:r>
        <w:rPr>
          <w:sz w:val="24"/>
        </w:rPr>
        <w:t>7.1</w:t>
      </w:r>
      <w:r>
        <w:rPr>
          <w:rFonts w:hint="eastAsia"/>
          <w:sz w:val="24"/>
        </w:rPr>
        <w:t>按国家有关技术标准内容进行验收。</w:t>
      </w:r>
    </w:p>
    <w:p>
      <w:pPr>
        <w:adjustRightInd w:val="0"/>
        <w:snapToGrid w:val="0"/>
        <w:spacing w:line="276" w:lineRule="auto"/>
        <w:ind w:firstLine="453" w:firstLineChars="189"/>
        <w:jc w:val="both"/>
        <w:rPr>
          <w:rFonts w:ascii="宋体" w:hAnsi="宋体" w:cs="仿宋"/>
          <w:sz w:val="24"/>
        </w:rPr>
      </w:pPr>
      <w:r>
        <w:rPr>
          <w:rFonts w:ascii="宋体" w:hAnsi="宋体" w:cs="仿宋"/>
          <w:sz w:val="24"/>
        </w:rPr>
        <w:t>8</w:t>
      </w:r>
      <w:r>
        <w:rPr>
          <w:rFonts w:hint="eastAsia" w:ascii="宋体" w:hAnsi="宋体" w:cs="仿宋"/>
          <w:sz w:val="24"/>
        </w:rPr>
        <w:t>、违约责任</w:t>
      </w:r>
    </w:p>
    <w:p>
      <w:pPr>
        <w:spacing w:line="276" w:lineRule="auto"/>
        <w:ind w:left="1155" w:hanging="735"/>
        <w:rPr>
          <w:rFonts w:hint="eastAsia"/>
          <w:sz w:val="24"/>
        </w:rPr>
      </w:pPr>
      <w:r>
        <w:rPr>
          <w:rFonts w:ascii="宋体" w:hAnsi="宋体" w:cs="仿宋"/>
          <w:sz w:val="24"/>
        </w:rPr>
        <w:t>8.1</w:t>
      </w:r>
      <w:r>
        <w:rPr>
          <w:rFonts w:hint="eastAsia"/>
          <w:sz w:val="24"/>
        </w:rPr>
        <w:t>本条款适用《中华人民共和国民法典》相关规定，任一方违反本合同约定，应承担违约责任。</w:t>
      </w:r>
    </w:p>
    <w:p>
      <w:pPr>
        <w:spacing w:line="276" w:lineRule="auto"/>
        <w:ind w:left="1155" w:hanging="735"/>
        <w:rPr>
          <w:rFonts w:hint="eastAsia"/>
          <w:sz w:val="24"/>
        </w:rPr>
      </w:pPr>
      <w:r>
        <w:rPr>
          <w:rFonts w:hint="eastAsia"/>
          <w:sz w:val="24"/>
        </w:rPr>
        <w:t>8</w:t>
      </w:r>
      <w:r>
        <w:rPr>
          <w:sz w:val="24"/>
        </w:rPr>
        <w:t>.2</w:t>
      </w:r>
      <w:r>
        <w:rPr>
          <w:rFonts w:hint="eastAsia"/>
          <w:sz w:val="24"/>
        </w:rPr>
        <w:t>甲方若超过本合同第七条规定的期限付款，应偿付逾期违约金，按人民银行公布的同期银行存款利率计付；乙方若超过本合同第三条所规定的各阶段期限，应付逾期违约金，按人民银行公布的同期银行存款利率计付。</w:t>
      </w:r>
    </w:p>
    <w:p>
      <w:pPr>
        <w:spacing w:line="276" w:lineRule="auto"/>
        <w:ind w:left="1155" w:hanging="735"/>
        <w:rPr>
          <w:rFonts w:hint="eastAsia"/>
          <w:sz w:val="24"/>
        </w:rPr>
      </w:pPr>
      <w:r>
        <w:rPr>
          <w:rFonts w:hint="eastAsia"/>
          <w:sz w:val="24"/>
        </w:rPr>
        <w:t>8.</w:t>
      </w:r>
      <w:r>
        <w:rPr>
          <w:sz w:val="24"/>
        </w:rPr>
        <w:t>3</w:t>
      </w:r>
      <w:r>
        <w:rPr>
          <w:rFonts w:hint="eastAsia"/>
          <w:sz w:val="24"/>
        </w:rPr>
        <w:t>本合同生效后，按《中华人民共和国民法典》的规定，给付定金的一方不履行合同约定义务的，无权要求返还定金。收受定金的一方不履行合同约定义务的，应当双倍返还定金。</w:t>
      </w:r>
    </w:p>
    <w:p>
      <w:pPr>
        <w:spacing w:line="276" w:lineRule="auto"/>
        <w:ind w:left="1155" w:hanging="735"/>
        <w:rPr>
          <w:rFonts w:hint="eastAsia"/>
          <w:sz w:val="24"/>
        </w:rPr>
      </w:pPr>
      <w:r>
        <w:rPr>
          <w:rFonts w:hint="eastAsia"/>
          <w:sz w:val="24"/>
        </w:rPr>
        <w:t>8.</w:t>
      </w:r>
      <w:r>
        <w:rPr>
          <w:sz w:val="24"/>
        </w:rPr>
        <w:t>4</w:t>
      </w:r>
      <w:r>
        <w:rPr>
          <w:rFonts w:hint="eastAsia"/>
          <w:sz w:val="24"/>
        </w:rPr>
        <w:t>在本合同执行过程中，对于因不可抗力原因，影响本合同履行时，将不视作违约。</w:t>
      </w:r>
    </w:p>
    <w:p>
      <w:pPr>
        <w:adjustRightInd w:val="0"/>
        <w:snapToGrid w:val="0"/>
        <w:spacing w:line="276" w:lineRule="auto"/>
        <w:ind w:firstLine="453" w:firstLineChars="189"/>
        <w:jc w:val="both"/>
        <w:rPr>
          <w:rFonts w:ascii="宋体" w:hAnsi="宋体" w:cs="仿宋"/>
          <w:sz w:val="24"/>
        </w:rPr>
      </w:pPr>
      <w:r>
        <w:rPr>
          <w:rFonts w:ascii="宋体" w:hAnsi="宋体" w:cs="仿宋"/>
          <w:sz w:val="24"/>
        </w:rPr>
        <w:t xml:space="preserve">9. </w:t>
      </w:r>
      <w:r>
        <w:rPr>
          <w:rFonts w:hint="eastAsia" w:ascii="宋体" w:hAnsi="宋体" w:cs="仿宋"/>
          <w:sz w:val="24"/>
        </w:rPr>
        <w:t>争议的解决</w:t>
      </w:r>
    </w:p>
    <w:p>
      <w:pPr>
        <w:adjustRightInd w:val="0"/>
        <w:snapToGrid w:val="0"/>
        <w:spacing w:line="276" w:lineRule="auto"/>
        <w:ind w:firstLine="453" w:firstLineChars="189"/>
        <w:rPr>
          <w:rFonts w:ascii="宋体" w:hAnsi="宋体" w:cs="仿宋"/>
          <w:sz w:val="24"/>
        </w:rPr>
      </w:pPr>
      <w:r>
        <w:rPr>
          <w:rFonts w:hint="eastAsia"/>
          <w:sz w:val="24"/>
        </w:rPr>
        <w:t>在本合同履行过程中发生任何争议，应及时协商解决或者请求合同履行地工商部门调解解决。若任一方不愿通过协商、调解解决或者协商，调解不成，可依据《中华人民共和国民法典》，向甲方所在地的人民法院提起诉讼。</w:t>
      </w:r>
    </w:p>
    <w:p>
      <w:pPr>
        <w:adjustRightInd w:val="0"/>
        <w:snapToGrid w:val="0"/>
        <w:spacing w:line="312" w:lineRule="auto"/>
        <w:ind w:firstLine="453" w:firstLineChars="189"/>
        <w:jc w:val="center"/>
        <w:rPr>
          <w:rFonts w:ascii="宋体" w:hAnsi="宋体" w:cs="仿宋"/>
          <w:sz w:val="24"/>
        </w:rPr>
      </w:pPr>
    </w:p>
    <w:p>
      <w:pPr>
        <w:pStyle w:val="2"/>
        <w:rPr>
          <w:rFonts w:ascii="宋体" w:hAnsi="宋体" w:cs="仿宋"/>
          <w:sz w:val="24"/>
          <w:szCs w:val="24"/>
        </w:rPr>
      </w:pPr>
      <w:r>
        <w:rPr>
          <w:rFonts w:hint="eastAsia" w:ascii="宋体" w:hAnsi="宋体" w:cs="仿宋"/>
          <w:sz w:val="24"/>
          <w:szCs w:val="24"/>
        </w:rPr>
        <w:t>附件：合同协议书</w:t>
      </w:r>
    </w:p>
    <w:p>
      <w:pPr>
        <w:pStyle w:val="5"/>
        <w:jc w:val="center"/>
        <w:rPr>
          <w:rFonts w:ascii="宋体" w:hAnsi="宋体" w:eastAsia="宋体" w:cs="仿宋"/>
          <w:sz w:val="24"/>
          <w:szCs w:val="24"/>
        </w:rPr>
      </w:pPr>
      <w:r>
        <w:rPr>
          <w:rFonts w:hint="eastAsia" w:ascii="宋体" w:hAnsi="宋体" w:eastAsia="宋体" w:cs="仿宋"/>
          <w:sz w:val="24"/>
          <w:szCs w:val="24"/>
        </w:rPr>
        <w:t>一、合同协议书</w:t>
      </w:r>
    </w:p>
    <w:p>
      <w:pPr>
        <w:spacing w:line="440" w:lineRule="exact"/>
        <w:ind w:left="480" w:firstLine="480"/>
        <w:jc w:val="center"/>
        <w:rPr>
          <w:rFonts w:ascii="宋体" w:hAnsi="宋体" w:cs="仿宋"/>
          <w:sz w:val="24"/>
        </w:rPr>
      </w:pPr>
      <w:r>
        <w:rPr>
          <w:rFonts w:hint="eastAsia" w:ascii="宋体" w:hAnsi="宋体" w:cs="仿宋"/>
          <w:sz w:val="24"/>
        </w:rPr>
        <w:t>（本格式编排在</w:t>
      </w:r>
      <w:r>
        <w:rPr>
          <w:rFonts w:hint="eastAsia" w:ascii="宋体" w:hAnsi="宋体" w:cs="仿宋"/>
          <w:sz w:val="24"/>
          <w:lang w:eastAsia="zh-CN"/>
        </w:rPr>
        <w:t>采购</w:t>
      </w:r>
      <w:r>
        <w:rPr>
          <w:rFonts w:hint="eastAsia" w:ascii="宋体" w:hAnsi="宋体" w:cs="仿宋"/>
          <w:sz w:val="24"/>
        </w:rPr>
        <w:t>文件中，供</w:t>
      </w:r>
      <w:r>
        <w:rPr>
          <w:rFonts w:hint="eastAsia" w:ascii="宋体" w:hAnsi="宋体" w:cs="仿宋"/>
          <w:sz w:val="24"/>
          <w:lang w:eastAsia="zh-CN"/>
        </w:rPr>
        <w:t>供应商</w:t>
      </w:r>
      <w:r>
        <w:rPr>
          <w:rFonts w:hint="eastAsia" w:ascii="宋体" w:hAnsi="宋体" w:cs="仿宋"/>
          <w:sz w:val="24"/>
        </w:rPr>
        <w:t>参考，</w:t>
      </w:r>
      <w:r>
        <w:rPr>
          <w:rFonts w:hint="eastAsia" w:ascii="宋体" w:hAnsi="宋体" w:cs="仿宋"/>
          <w:sz w:val="24"/>
          <w:lang w:eastAsia="zh-CN"/>
        </w:rPr>
        <w:t>响应</w:t>
      </w:r>
      <w:r>
        <w:rPr>
          <w:rFonts w:hint="eastAsia" w:ascii="宋体" w:hAnsi="宋体" w:cs="仿宋"/>
          <w:sz w:val="24"/>
        </w:rPr>
        <w:t>时不需提交）</w:t>
      </w:r>
    </w:p>
    <w:p>
      <w:pPr>
        <w:spacing w:line="440" w:lineRule="exact"/>
        <w:ind w:left="480" w:firstLine="480"/>
        <w:rPr>
          <w:rFonts w:ascii="宋体" w:hAnsi="宋体" w:cs="仿宋"/>
          <w:sz w:val="24"/>
        </w:rPr>
      </w:pPr>
    </w:p>
    <w:p>
      <w:pPr>
        <w:spacing w:line="440" w:lineRule="exact"/>
        <w:ind w:firstLine="851"/>
        <w:rPr>
          <w:rFonts w:ascii="宋体" w:hAnsi="宋体" w:cs="仿宋"/>
          <w:sz w:val="24"/>
        </w:rPr>
      </w:pPr>
      <w:r>
        <w:rPr>
          <w:rFonts w:hint="eastAsia" w:ascii="宋体" w:hAnsi="宋体" w:cs="仿宋"/>
          <w:sz w:val="24"/>
        </w:rPr>
        <w:t>本合同协议书由______（以下简称“甲方”或“发包人”）与_____________(以下简称“乙方”或“技术服务人”)于____年____月____日共同订署。</w:t>
      </w:r>
    </w:p>
    <w:p>
      <w:pPr>
        <w:spacing w:line="440" w:lineRule="exact"/>
        <w:ind w:firstLine="851"/>
        <w:rPr>
          <w:rFonts w:ascii="宋体" w:hAnsi="宋体" w:cs="仿宋"/>
          <w:sz w:val="24"/>
        </w:rPr>
      </w:pPr>
      <w:r>
        <w:rPr>
          <w:rFonts w:hint="eastAsia" w:ascii="宋体" w:hAnsi="宋体" w:cs="仿宋"/>
          <w:sz w:val="24"/>
        </w:rPr>
        <w:t>鉴于甲方接受了乙方____________（项目名称）的</w:t>
      </w:r>
      <w:r>
        <w:rPr>
          <w:rFonts w:hint="eastAsia" w:ascii="宋体" w:hAnsi="宋体" w:cs="仿宋"/>
          <w:sz w:val="24"/>
          <w:lang w:eastAsia="zh-CN"/>
        </w:rPr>
        <w:t>响应</w:t>
      </w:r>
      <w:r>
        <w:rPr>
          <w:rFonts w:hint="eastAsia" w:ascii="宋体" w:hAnsi="宋体" w:cs="仿宋"/>
          <w:sz w:val="24"/>
        </w:rPr>
        <w:t>书，为明确双方在合同期间的义务、责任、权力和利益，兹就以下事项达成协议：</w:t>
      </w:r>
    </w:p>
    <w:p>
      <w:pPr>
        <w:spacing w:line="440" w:lineRule="exact"/>
        <w:ind w:firstLine="360" w:firstLineChars="150"/>
        <w:rPr>
          <w:rFonts w:ascii="宋体" w:hAnsi="宋体" w:cs="仿宋"/>
          <w:sz w:val="24"/>
        </w:rPr>
      </w:pPr>
      <w:r>
        <w:rPr>
          <w:rFonts w:hint="eastAsia" w:ascii="宋体" w:hAnsi="宋体" w:cs="仿宋"/>
          <w:sz w:val="24"/>
        </w:rPr>
        <w:t xml:space="preserve"> 一、本协议书中的词句和用语与本合同条款所规定的定义相同。</w:t>
      </w:r>
    </w:p>
    <w:p>
      <w:pPr>
        <w:spacing w:line="440" w:lineRule="exact"/>
        <w:ind w:firstLine="360" w:firstLineChars="150"/>
        <w:rPr>
          <w:rFonts w:ascii="宋体" w:hAnsi="宋体" w:cs="仿宋"/>
          <w:sz w:val="24"/>
        </w:rPr>
      </w:pPr>
      <w:r>
        <w:rPr>
          <w:rFonts w:hint="eastAsia" w:ascii="宋体" w:hAnsi="宋体" w:cs="仿宋"/>
          <w:sz w:val="24"/>
        </w:rPr>
        <w:t xml:space="preserve"> 二、下列文件是本合同协议书的组成部分，各个组成部分应作为协议书的有效内容予以遵守和执行。</w:t>
      </w:r>
    </w:p>
    <w:p>
      <w:pPr>
        <w:spacing w:line="440" w:lineRule="exact"/>
        <w:ind w:firstLine="360" w:firstLineChars="150"/>
        <w:rPr>
          <w:rFonts w:ascii="宋体" w:hAnsi="宋体" w:cs="仿宋"/>
          <w:sz w:val="24"/>
        </w:rPr>
      </w:pPr>
      <w:r>
        <w:rPr>
          <w:rFonts w:hint="eastAsia" w:ascii="宋体" w:hAnsi="宋体" w:cs="仿宋"/>
          <w:sz w:val="24"/>
        </w:rPr>
        <w:t>（1）合同协议书及各种合同附件（含评标期间和合同谈判过程中的澄清文件和补充资料等，如果有）；</w:t>
      </w:r>
    </w:p>
    <w:p>
      <w:pPr>
        <w:spacing w:line="440" w:lineRule="exact"/>
        <w:ind w:firstLine="360" w:firstLineChars="150"/>
        <w:rPr>
          <w:rFonts w:ascii="宋体" w:hAnsi="宋体" w:cs="仿宋"/>
          <w:sz w:val="24"/>
        </w:rPr>
      </w:pPr>
      <w:r>
        <w:rPr>
          <w:rFonts w:hint="eastAsia" w:ascii="宋体" w:hAnsi="宋体" w:cs="仿宋"/>
          <w:sz w:val="24"/>
        </w:rPr>
        <w:t>（2）中标通知书（如有）；</w:t>
      </w:r>
    </w:p>
    <w:p>
      <w:pPr>
        <w:spacing w:line="440" w:lineRule="exact"/>
        <w:ind w:firstLine="360" w:firstLineChars="150"/>
        <w:rPr>
          <w:rFonts w:ascii="宋体" w:hAnsi="宋体" w:cs="仿宋"/>
          <w:sz w:val="24"/>
        </w:rPr>
      </w:pPr>
      <w:r>
        <w:rPr>
          <w:rFonts w:hint="eastAsia" w:ascii="宋体" w:hAnsi="宋体" w:cs="仿宋"/>
          <w:sz w:val="24"/>
        </w:rPr>
        <w:t>（3）</w:t>
      </w:r>
      <w:r>
        <w:rPr>
          <w:rFonts w:hint="eastAsia" w:ascii="宋体" w:hAnsi="宋体" w:cs="仿宋"/>
          <w:sz w:val="24"/>
          <w:lang w:eastAsia="zh-CN"/>
        </w:rPr>
        <w:t>响应</w:t>
      </w:r>
      <w:r>
        <w:rPr>
          <w:rFonts w:hint="eastAsia" w:ascii="宋体" w:hAnsi="宋体" w:cs="仿宋"/>
          <w:sz w:val="24"/>
        </w:rPr>
        <w:t>函；</w:t>
      </w:r>
    </w:p>
    <w:p>
      <w:pPr>
        <w:spacing w:line="440" w:lineRule="exact"/>
        <w:ind w:firstLine="360" w:firstLineChars="150"/>
        <w:rPr>
          <w:rFonts w:ascii="宋体" w:hAnsi="宋体" w:cs="仿宋"/>
          <w:sz w:val="24"/>
        </w:rPr>
      </w:pPr>
      <w:r>
        <w:rPr>
          <w:rFonts w:hint="eastAsia" w:ascii="宋体" w:hAnsi="宋体" w:cs="仿宋"/>
          <w:sz w:val="24"/>
        </w:rPr>
        <w:t>（4）专用合同条款；</w:t>
      </w:r>
    </w:p>
    <w:p>
      <w:pPr>
        <w:spacing w:line="440" w:lineRule="exact"/>
        <w:ind w:firstLine="360" w:firstLineChars="150"/>
        <w:rPr>
          <w:rFonts w:ascii="宋体" w:hAnsi="宋体" w:cs="仿宋"/>
          <w:sz w:val="24"/>
        </w:rPr>
      </w:pPr>
      <w:r>
        <w:rPr>
          <w:rFonts w:hint="eastAsia" w:ascii="宋体" w:hAnsi="宋体" w:cs="仿宋"/>
          <w:sz w:val="24"/>
        </w:rPr>
        <w:t>（5）通用合同条款；</w:t>
      </w:r>
    </w:p>
    <w:p>
      <w:pPr>
        <w:spacing w:line="440" w:lineRule="exact"/>
        <w:ind w:firstLine="360" w:firstLineChars="150"/>
        <w:rPr>
          <w:rFonts w:ascii="宋体" w:hAnsi="宋体" w:cs="仿宋"/>
          <w:sz w:val="24"/>
        </w:rPr>
      </w:pPr>
      <w:r>
        <w:rPr>
          <w:rFonts w:hint="eastAsia" w:ascii="宋体" w:hAnsi="宋体" w:cs="仿宋"/>
          <w:sz w:val="24"/>
        </w:rPr>
        <w:t>（6）技术标准及要求</w:t>
      </w:r>
    </w:p>
    <w:p>
      <w:pPr>
        <w:spacing w:line="440" w:lineRule="exact"/>
        <w:ind w:firstLine="360" w:firstLineChars="150"/>
        <w:rPr>
          <w:rFonts w:ascii="宋体" w:hAnsi="宋体" w:cs="仿宋"/>
          <w:sz w:val="24"/>
        </w:rPr>
      </w:pPr>
      <w:r>
        <w:rPr>
          <w:rFonts w:hint="eastAsia" w:ascii="宋体" w:hAnsi="宋体" w:cs="仿宋"/>
          <w:sz w:val="24"/>
        </w:rPr>
        <w:t>（7）报价清单；</w:t>
      </w:r>
    </w:p>
    <w:p>
      <w:pPr>
        <w:spacing w:line="440" w:lineRule="exact"/>
        <w:ind w:firstLine="360" w:firstLineChars="150"/>
        <w:rPr>
          <w:rFonts w:ascii="宋体" w:hAnsi="宋体" w:cs="仿宋"/>
          <w:sz w:val="24"/>
        </w:rPr>
      </w:pPr>
      <w:r>
        <w:rPr>
          <w:rFonts w:hint="eastAsia" w:ascii="宋体" w:hAnsi="宋体" w:cs="仿宋"/>
          <w:sz w:val="24"/>
        </w:rPr>
        <w:t>（8）联合体协议（如有）；</w:t>
      </w:r>
    </w:p>
    <w:p>
      <w:pPr>
        <w:spacing w:line="440" w:lineRule="exact"/>
        <w:ind w:firstLine="360" w:firstLineChars="150"/>
        <w:rPr>
          <w:rFonts w:ascii="宋体" w:hAnsi="宋体" w:cs="仿宋"/>
          <w:sz w:val="24"/>
        </w:rPr>
      </w:pPr>
      <w:r>
        <w:rPr>
          <w:rFonts w:hint="eastAsia" w:ascii="宋体" w:hAnsi="宋体" w:cs="仿宋"/>
          <w:sz w:val="24"/>
        </w:rPr>
        <w:t>（9）构成本合同组成部分的其它文件（补遗书、澄清函）。</w:t>
      </w:r>
    </w:p>
    <w:p>
      <w:pPr>
        <w:spacing w:line="440" w:lineRule="exact"/>
        <w:ind w:firstLine="480" w:firstLineChars="200"/>
        <w:rPr>
          <w:rFonts w:ascii="宋体" w:hAnsi="宋体" w:cs="仿宋"/>
          <w:sz w:val="24"/>
        </w:rPr>
      </w:pPr>
      <w:r>
        <w:rPr>
          <w:rFonts w:hint="eastAsia" w:ascii="宋体" w:hAnsi="宋体" w:cs="仿宋"/>
          <w:sz w:val="24"/>
        </w:rPr>
        <w:t>三、上述文件将互相补充，如有不明确或不一致之处，以上列次序在先者为准。</w:t>
      </w:r>
    </w:p>
    <w:p>
      <w:pPr>
        <w:spacing w:line="440" w:lineRule="exact"/>
        <w:ind w:firstLine="480" w:firstLineChars="200"/>
        <w:rPr>
          <w:rFonts w:ascii="宋体" w:hAnsi="宋体" w:cs="仿宋"/>
          <w:sz w:val="24"/>
        </w:rPr>
      </w:pPr>
      <w:r>
        <w:rPr>
          <w:rFonts w:hint="eastAsia" w:ascii="宋体" w:hAnsi="宋体" w:cs="仿宋"/>
          <w:sz w:val="24"/>
        </w:rPr>
        <w:t>四、本合同的总金额是完成本合同所规定义务的一切费用，合同总金额为人民币（大写）：__________元整（小写：________元）。</w:t>
      </w:r>
    </w:p>
    <w:p>
      <w:pPr>
        <w:spacing w:line="440" w:lineRule="exact"/>
        <w:ind w:firstLine="480" w:firstLineChars="200"/>
        <w:rPr>
          <w:rFonts w:ascii="宋体" w:hAnsi="宋体" w:cs="仿宋"/>
          <w:sz w:val="24"/>
        </w:rPr>
      </w:pPr>
      <w:r>
        <w:rPr>
          <w:rFonts w:hint="eastAsia" w:ascii="宋体" w:hAnsi="宋体" w:cs="仿宋"/>
          <w:sz w:val="24"/>
        </w:rPr>
        <w:t>五、甲方在此同意按照本合同协议规定的期限、方式和条件向乙方支付应支付的费用和提供工作条件、有关图纸等文件。</w:t>
      </w:r>
    </w:p>
    <w:p>
      <w:pPr>
        <w:spacing w:line="440" w:lineRule="exact"/>
        <w:ind w:firstLine="480" w:firstLineChars="200"/>
        <w:rPr>
          <w:rFonts w:ascii="宋体" w:hAnsi="宋体" w:cs="仿宋"/>
          <w:sz w:val="24"/>
        </w:rPr>
      </w:pPr>
      <w:r>
        <w:rPr>
          <w:rFonts w:hint="eastAsia" w:ascii="宋体" w:hAnsi="宋体" w:cs="仿宋"/>
          <w:sz w:val="24"/>
        </w:rPr>
        <w:t>六、乙方基于甲方的上述保证，在此向甲方承诺按照本技术服务合同的规定履行技术服务。</w:t>
      </w:r>
    </w:p>
    <w:p>
      <w:pPr>
        <w:spacing w:line="440" w:lineRule="exact"/>
        <w:ind w:firstLine="480" w:firstLineChars="200"/>
        <w:rPr>
          <w:rFonts w:ascii="宋体" w:hAnsi="宋体" w:cs="仿宋"/>
          <w:sz w:val="24"/>
        </w:rPr>
      </w:pPr>
      <w:r>
        <w:rPr>
          <w:rFonts w:hint="eastAsia" w:ascii="宋体" w:hAnsi="宋体" w:cs="仿宋"/>
          <w:sz w:val="24"/>
        </w:rPr>
        <w:t>七、本协议书经双方签字盖章后生效，双方全面履行合同义务后终止。</w:t>
      </w:r>
    </w:p>
    <w:p>
      <w:pPr>
        <w:spacing w:line="440" w:lineRule="exact"/>
        <w:ind w:firstLine="480" w:firstLineChars="200"/>
        <w:rPr>
          <w:rFonts w:ascii="宋体" w:hAnsi="宋体" w:cs="仿宋"/>
          <w:sz w:val="24"/>
        </w:rPr>
      </w:pPr>
      <w:r>
        <w:rPr>
          <w:rFonts w:hint="eastAsia" w:ascii="宋体" w:hAnsi="宋体" w:cs="仿宋"/>
          <w:sz w:val="24"/>
        </w:rPr>
        <w:t>八、本合同协议书一式</w:t>
      </w:r>
      <w:r>
        <w:rPr>
          <w:rFonts w:hint="eastAsia" w:ascii="宋体" w:hAnsi="宋体" w:cs="仿宋"/>
          <w:sz w:val="24"/>
          <w:lang w:val="en-US" w:eastAsia="zh-CN"/>
        </w:rPr>
        <w:t>二</w:t>
      </w:r>
      <w:r>
        <w:rPr>
          <w:rFonts w:hint="eastAsia" w:ascii="宋体" w:hAnsi="宋体" w:cs="仿宋"/>
          <w:sz w:val="24"/>
        </w:rPr>
        <w:t>份，其中正本</w:t>
      </w:r>
      <w:r>
        <w:rPr>
          <w:rFonts w:hint="eastAsia" w:ascii="宋体" w:hAnsi="宋体" w:cs="仿宋"/>
          <w:sz w:val="24"/>
          <w:lang w:val="en-US" w:eastAsia="zh-CN"/>
        </w:rPr>
        <w:t>二</w:t>
      </w:r>
      <w:r>
        <w:rPr>
          <w:rFonts w:hint="eastAsia" w:ascii="宋体" w:hAnsi="宋体" w:cs="仿宋"/>
          <w:sz w:val="24"/>
        </w:rPr>
        <w:t>份，甲方执正本</w:t>
      </w:r>
      <w:r>
        <w:rPr>
          <w:rFonts w:hint="eastAsia" w:ascii="宋体" w:hAnsi="宋体" w:cs="仿宋"/>
          <w:sz w:val="24"/>
          <w:lang w:val="en-US" w:eastAsia="zh-CN"/>
        </w:rPr>
        <w:t>一</w:t>
      </w:r>
      <w:r>
        <w:rPr>
          <w:rFonts w:hint="eastAsia" w:ascii="宋体" w:hAnsi="宋体" w:cs="仿宋"/>
          <w:sz w:val="24"/>
        </w:rPr>
        <w:t>份，副本</w:t>
      </w:r>
      <w:r>
        <w:rPr>
          <w:rFonts w:hint="eastAsia" w:ascii="宋体" w:hAnsi="宋体" w:cs="仿宋"/>
          <w:sz w:val="24"/>
          <w:lang w:val="en-US" w:eastAsia="zh-CN"/>
        </w:rPr>
        <w:t>二</w:t>
      </w:r>
      <w:r>
        <w:rPr>
          <w:rFonts w:hint="eastAsia" w:ascii="宋体" w:hAnsi="宋体" w:cs="仿宋"/>
          <w:sz w:val="24"/>
        </w:rPr>
        <w:t>份，乙方执正本</w:t>
      </w:r>
      <w:r>
        <w:rPr>
          <w:rFonts w:hint="eastAsia" w:ascii="宋体" w:hAnsi="宋体" w:cs="仿宋"/>
          <w:sz w:val="24"/>
          <w:lang w:val="en-US" w:eastAsia="zh-CN"/>
        </w:rPr>
        <w:t>一</w:t>
      </w:r>
      <w:r>
        <w:rPr>
          <w:rFonts w:hint="eastAsia" w:ascii="宋体" w:hAnsi="宋体" w:cs="仿宋"/>
          <w:sz w:val="24"/>
        </w:rPr>
        <w:t>份，副本</w:t>
      </w:r>
      <w:r>
        <w:rPr>
          <w:rFonts w:hint="eastAsia" w:ascii="宋体" w:hAnsi="宋体" w:cs="仿宋"/>
          <w:sz w:val="24"/>
          <w:lang w:val="en-US" w:eastAsia="zh-CN"/>
        </w:rPr>
        <w:t>二</w:t>
      </w:r>
      <w:r>
        <w:rPr>
          <w:rFonts w:hint="eastAsia" w:ascii="宋体" w:hAnsi="宋体" w:cs="仿宋"/>
          <w:sz w:val="24"/>
        </w:rPr>
        <w:t>份，正副本具有同等法律效力；当正本与副本内容不一致时，以正本为准。</w:t>
      </w:r>
    </w:p>
    <w:p>
      <w:pPr>
        <w:spacing w:line="440" w:lineRule="exact"/>
        <w:rPr>
          <w:rFonts w:ascii="宋体" w:hAnsi="宋体" w:cs="仿宋"/>
          <w:sz w:val="24"/>
        </w:rPr>
      </w:pPr>
      <w:r>
        <w:rPr>
          <w:rFonts w:hint="eastAsia" w:ascii="宋体" w:hAnsi="宋体" w:cs="仿宋"/>
          <w:sz w:val="24"/>
        </w:rPr>
        <w:t xml:space="preserve">甲方：（    盖单位章     ）                乙方：   盖单位章）               </w:t>
      </w:r>
    </w:p>
    <w:p>
      <w:pPr>
        <w:spacing w:line="440" w:lineRule="exact"/>
        <w:ind w:firstLine="851"/>
        <w:rPr>
          <w:rFonts w:ascii="宋体" w:hAnsi="宋体" w:cs="仿宋"/>
          <w:sz w:val="24"/>
        </w:rPr>
      </w:pPr>
      <w:r>
        <w:rPr>
          <w:rFonts w:hint="eastAsia" w:ascii="宋体" w:hAnsi="宋体" w:cs="仿宋"/>
          <w:sz w:val="24"/>
        </w:rPr>
        <w:t xml:space="preserve">                                                    </w:t>
      </w:r>
    </w:p>
    <w:p>
      <w:pPr>
        <w:spacing w:line="440" w:lineRule="exact"/>
        <w:rPr>
          <w:rFonts w:ascii="宋体" w:hAnsi="宋体" w:cs="仿宋"/>
          <w:sz w:val="24"/>
        </w:rPr>
      </w:pPr>
      <w:r>
        <w:rPr>
          <w:rFonts w:hint="eastAsia" w:ascii="宋体" w:hAnsi="宋体" w:cs="仿宋"/>
          <w:sz w:val="24"/>
        </w:rPr>
        <w:t>法定代表人                                法定代表人</w:t>
      </w:r>
    </w:p>
    <w:p>
      <w:pPr>
        <w:spacing w:line="440" w:lineRule="exact"/>
        <w:rPr>
          <w:rFonts w:ascii="宋体" w:hAnsi="宋体" w:cs="仿宋"/>
          <w:sz w:val="24"/>
        </w:rPr>
      </w:pPr>
      <w:r>
        <w:rPr>
          <w:rFonts w:hint="eastAsia" w:ascii="宋体" w:hAnsi="宋体" w:cs="仿宋"/>
          <w:sz w:val="24"/>
        </w:rPr>
        <w:t xml:space="preserve">或其委托代理人：      （ 签字）           或其委托代理人：       （签字）      </w:t>
      </w:r>
    </w:p>
    <w:p>
      <w:pPr>
        <w:spacing w:line="440" w:lineRule="exact"/>
        <w:ind w:left="480" w:firstLine="480"/>
        <w:rPr>
          <w:rFonts w:ascii="宋体" w:hAnsi="宋体" w:cs="仿宋"/>
          <w:sz w:val="24"/>
        </w:rPr>
      </w:pPr>
      <w:r>
        <w:rPr>
          <w:rFonts w:hint="eastAsia" w:ascii="宋体" w:hAnsi="宋体" w:cs="仿宋"/>
          <w:sz w:val="24"/>
        </w:rPr>
        <w:t xml:space="preserve">  ______年_____月______日                 ______年_____月______日</w:t>
      </w:r>
    </w:p>
    <w:p>
      <w:pPr>
        <w:adjustRightInd w:val="0"/>
        <w:snapToGrid w:val="0"/>
        <w:spacing w:line="312" w:lineRule="auto"/>
        <w:ind w:firstLine="453" w:firstLineChars="189"/>
        <w:jc w:val="center"/>
        <w:rPr>
          <w:rFonts w:ascii="宋体" w:hAnsi="宋体" w:cs="仿宋"/>
          <w:sz w:val="24"/>
        </w:rPr>
      </w:pPr>
      <w:r>
        <w:rPr>
          <w:rFonts w:ascii="宋体" w:hAnsi="宋体" w:cs="仿宋"/>
          <w:sz w:val="24"/>
        </w:rPr>
        <w:br w:type="page"/>
      </w:r>
    </w:p>
    <w:p>
      <w:pPr>
        <w:spacing w:line="600" w:lineRule="exact"/>
        <w:jc w:val="center"/>
        <w:outlineLvl w:val="0"/>
        <w:rPr>
          <w:rFonts w:ascii="黑体" w:hAnsi="黑体" w:eastAsia="黑体" w:cs="仿宋"/>
          <w:b/>
          <w:color w:val="000000"/>
          <w:sz w:val="36"/>
          <w:szCs w:val="36"/>
        </w:rPr>
      </w:pPr>
      <w:bookmarkStart w:id="42" w:name="_Toc21888"/>
      <w:bookmarkStart w:id="43" w:name="_Toc27625"/>
      <w:bookmarkStart w:id="44" w:name="_Toc32507"/>
      <w:r>
        <w:rPr>
          <w:rFonts w:hint="eastAsia" w:ascii="黑体" w:hAnsi="黑体" w:eastAsia="黑体" w:cs="仿宋"/>
          <w:b/>
          <w:color w:val="000000"/>
          <w:sz w:val="44"/>
          <w:szCs w:val="44"/>
        </w:rPr>
        <w:t>第五章  采购需求</w:t>
      </w:r>
      <w:bookmarkEnd w:id="42"/>
      <w:bookmarkEnd w:id="43"/>
      <w:bookmarkEnd w:id="44"/>
    </w:p>
    <w:p>
      <w:r>
        <w:rPr>
          <w:rFonts w:hint="eastAsia" w:ascii="宋体" w:hAnsi="宋体"/>
          <w:sz w:val="24"/>
        </w:rPr>
        <w:t>（一</w:t>
      </w:r>
      <w:r>
        <w:rPr>
          <w:rFonts w:ascii="宋体" w:hAnsi="宋体"/>
          <w:sz w:val="24"/>
        </w:rPr>
        <w:t>）</w:t>
      </w:r>
      <w:r>
        <w:rPr>
          <w:rFonts w:hint="eastAsia" w:ascii="宋体" w:hAnsi="宋体"/>
          <w:sz w:val="24"/>
        </w:rPr>
        <w:t>采购项目名称：城陵矶港</w:t>
      </w:r>
      <w:r>
        <w:rPr>
          <w:rFonts w:hint="eastAsia" w:ascii="宋体" w:hAnsi="宋体" w:cs="宋体"/>
          <w:sz w:val="24"/>
        </w:rPr>
        <w:t>交通工作船建设项目图纸设计</w:t>
      </w:r>
    </w:p>
    <w:p>
      <w:pPr>
        <w:autoSpaceDE w:val="0"/>
        <w:spacing w:line="400" w:lineRule="exact"/>
        <w:jc w:val="both"/>
        <w:rPr>
          <w:rFonts w:ascii="宋体" w:hAnsi="宋体"/>
          <w:color w:val="auto"/>
          <w:sz w:val="24"/>
          <w:highlight w:val="none"/>
        </w:rPr>
      </w:pPr>
      <w:r>
        <w:rPr>
          <w:rFonts w:hint="eastAsia" w:ascii="宋体" w:hAnsi="宋体"/>
          <w:sz w:val="24"/>
        </w:rPr>
        <w:t>（二</w:t>
      </w:r>
      <w:r>
        <w:rPr>
          <w:rFonts w:ascii="宋体" w:hAnsi="宋体"/>
          <w:sz w:val="24"/>
        </w:rPr>
        <w:t>）</w:t>
      </w:r>
      <w:r>
        <w:rPr>
          <w:rFonts w:hint="eastAsia" w:ascii="宋体" w:hAnsi="宋体"/>
          <w:sz w:val="24"/>
        </w:rPr>
        <w:t>项目概况及主要数据</w:t>
      </w:r>
      <w:r>
        <w:rPr>
          <w:rFonts w:ascii="宋体" w:hAnsi="宋体"/>
          <w:sz w:val="24"/>
        </w:rPr>
        <w:t xml:space="preserve"> </w:t>
      </w:r>
      <w:r>
        <w:rPr>
          <w:rFonts w:hint="eastAsia" w:ascii="宋体" w:hAnsi="宋体"/>
          <w:sz w:val="24"/>
        </w:rPr>
        <w:t>：</w:t>
      </w:r>
      <w:r>
        <w:rPr>
          <w:rFonts w:hint="eastAsia" w:ascii="宋体" w:hAnsi="宋体" w:cs="宋体"/>
          <w:sz w:val="24"/>
        </w:rPr>
        <w:t>城港公司配置的锚地水上交通工作船——城港交3</w:t>
      </w:r>
      <w:r>
        <w:rPr>
          <w:rFonts w:ascii="宋体" w:hAnsi="宋体" w:cs="宋体"/>
          <w:sz w:val="24"/>
        </w:rPr>
        <w:t>01</w:t>
      </w:r>
      <w:r>
        <w:rPr>
          <w:rFonts w:hint="eastAsia" w:ascii="宋体" w:hAnsi="宋体" w:cs="宋体"/>
          <w:sz w:val="24"/>
        </w:rPr>
        <w:t>轮，1</w:t>
      </w:r>
      <w:r>
        <w:rPr>
          <w:rFonts w:ascii="宋体" w:hAnsi="宋体" w:cs="宋体"/>
          <w:sz w:val="24"/>
        </w:rPr>
        <w:t>987</w:t>
      </w:r>
      <w:r>
        <w:rPr>
          <w:rFonts w:hint="eastAsia" w:ascii="宋体" w:hAnsi="宋体" w:cs="宋体"/>
          <w:sz w:val="24"/>
        </w:rPr>
        <w:t>年8月建造完工投入使用，主要作为危险品锚地水上交通、安全巡查、船舶污染物接收等综合服务，现已服役3</w:t>
      </w:r>
      <w:r>
        <w:rPr>
          <w:rFonts w:ascii="宋体" w:hAnsi="宋体" w:cs="宋体"/>
          <w:sz w:val="24"/>
        </w:rPr>
        <w:t>4</w:t>
      </w:r>
      <w:r>
        <w:rPr>
          <w:rFonts w:hint="eastAsia" w:ascii="宋体" w:hAnsi="宋体" w:cs="宋体"/>
          <w:sz w:val="24"/>
        </w:rPr>
        <w:t>年，机电设备船体甲板等老化问题突出。根据2</w:t>
      </w:r>
      <w:r>
        <w:rPr>
          <w:rFonts w:ascii="宋体" w:hAnsi="宋体" w:cs="宋体"/>
          <w:sz w:val="24"/>
        </w:rPr>
        <w:t>021</w:t>
      </w:r>
      <w:r>
        <w:rPr>
          <w:rFonts w:hint="eastAsia" w:ascii="宋体" w:hAnsi="宋体" w:cs="宋体"/>
          <w:sz w:val="24"/>
        </w:rPr>
        <w:t>年</w:t>
      </w:r>
      <w:r>
        <w:rPr>
          <w:rFonts w:ascii="宋体" w:hAnsi="宋体" w:cs="宋体"/>
          <w:sz w:val="24"/>
        </w:rPr>
        <w:t>8</w:t>
      </w:r>
      <w:r>
        <w:rPr>
          <w:rFonts w:hint="eastAsia" w:ascii="宋体" w:hAnsi="宋体" w:cs="宋体"/>
          <w:sz w:val="24"/>
        </w:rPr>
        <w:t>月修订的《老旧运输船舶管理规定》（交通运输部令2</w:t>
      </w:r>
      <w:r>
        <w:rPr>
          <w:rFonts w:ascii="宋体" w:hAnsi="宋体" w:cs="宋体"/>
          <w:sz w:val="24"/>
        </w:rPr>
        <w:t>021</w:t>
      </w:r>
      <w:r>
        <w:rPr>
          <w:rFonts w:hint="eastAsia" w:ascii="宋体" w:hAnsi="宋体" w:cs="宋体"/>
          <w:sz w:val="24"/>
        </w:rPr>
        <w:t>年第1</w:t>
      </w:r>
      <w:r>
        <w:rPr>
          <w:rFonts w:ascii="宋体" w:hAnsi="宋体" w:cs="宋体"/>
          <w:sz w:val="24"/>
        </w:rPr>
        <w:t>3</w:t>
      </w:r>
      <w:r>
        <w:rPr>
          <w:rFonts w:hint="eastAsia" w:ascii="宋体" w:hAnsi="宋体" w:cs="宋体"/>
          <w:sz w:val="24"/>
        </w:rPr>
        <w:t>号），该船不予检验，要求强制报废。现申请采购锚地交通工作船一艘，总造价约为3</w:t>
      </w:r>
      <w:r>
        <w:rPr>
          <w:rFonts w:ascii="宋体" w:hAnsi="宋体" w:cs="宋体"/>
          <w:color w:val="auto"/>
          <w:sz w:val="24"/>
          <w:highlight w:val="none"/>
        </w:rPr>
        <w:t>97</w:t>
      </w:r>
      <w:r>
        <w:rPr>
          <w:rFonts w:hint="eastAsia" w:ascii="宋体" w:hAnsi="宋体" w:cs="宋体"/>
          <w:color w:val="auto"/>
          <w:sz w:val="24"/>
          <w:highlight w:val="none"/>
        </w:rPr>
        <w:t>万元，船型：四类小型交通船兼顾垃圾污水接收。</w:t>
      </w:r>
    </w:p>
    <w:p>
      <w:pPr>
        <w:pStyle w:val="35"/>
        <w:autoSpaceDE w:val="0"/>
        <w:spacing w:after="0" w:line="360" w:lineRule="auto"/>
        <w:ind w:firstLine="0" w:firstLineChars="0"/>
        <w:rPr>
          <w:rFonts w:ascii="宋体" w:hAnsi="宋体" w:cs="宋体"/>
          <w:color w:val="auto"/>
          <w:sz w:val="24"/>
          <w:highlight w:val="none"/>
        </w:rPr>
      </w:pPr>
      <w:r>
        <w:rPr>
          <w:rFonts w:hint="eastAsia" w:ascii="宋体" w:hAnsi="宋体"/>
          <w:color w:val="auto"/>
          <w:sz w:val="24"/>
          <w:highlight w:val="none"/>
        </w:rPr>
        <w:t>（三</w:t>
      </w:r>
      <w:r>
        <w:rPr>
          <w:rFonts w:ascii="宋体" w:hAnsi="宋体"/>
          <w:color w:val="auto"/>
          <w:sz w:val="24"/>
          <w:highlight w:val="none"/>
        </w:rPr>
        <w:t>）</w:t>
      </w:r>
      <w:r>
        <w:rPr>
          <w:rFonts w:hint="eastAsia" w:ascii="宋体" w:hAnsi="宋体"/>
          <w:color w:val="auto"/>
          <w:sz w:val="24"/>
          <w:highlight w:val="none"/>
        </w:rPr>
        <w:t>服务承包范围：</w:t>
      </w:r>
      <w:r>
        <w:rPr>
          <w:rFonts w:hint="eastAsia" w:ascii="宋体" w:hAnsi="宋体" w:cs="宋体"/>
          <w:color w:val="auto"/>
          <w:sz w:val="24"/>
          <w:highlight w:val="none"/>
        </w:rPr>
        <w:t>交通工作船建设项目图纸设计送审以及后续的配合建造等相关伴随服务。</w:t>
      </w:r>
    </w:p>
    <w:p>
      <w:pPr>
        <w:adjustRightInd w:val="0"/>
        <w:snapToGrid w:val="0"/>
        <w:spacing w:line="312" w:lineRule="auto"/>
        <w:rPr>
          <w:rFonts w:ascii="宋体" w:hAnsi="宋体"/>
          <w:sz w:val="24"/>
        </w:rPr>
      </w:pPr>
      <w:r>
        <w:rPr>
          <w:rFonts w:hint="eastAsia" w:ascii="宋体" w:hAnsi="宋体"/>
          <w:sz w:val="24"/>
        </w:rPr>
        <w:t>（四</w:t>
      </w:r>
      <w:r>
        <w:rPr>
          <w:rFonts w:ascii="宋体" w:hAnsi="宋体"/>
          <w:sz w:val="24"/>
        </w:rPr>
        <w:t>）</w:t>
      </w:r>
      <w:r>
        <w:rPr>
          <w:rFonts w:hint="eastAsia" w:ascii="宋体" w:hAnsi="宋体"/>
          <w:sz w:val="24"/>
        </w:rPr>
        <w:t>服务要求、质量和标准：</w:t>
      </w:r>
      <w:r>
        <w:rPr>
          <w:rFonts w:hint="eastAsia" w:ascii="宋体" w:hAnsi="宋体" w:cs="宋体"/>
          <w:sz w:val="24"/>
        </w:rPr>
        <w:t>本船采用3</w:t>
      </w:r>
      <w:r>
        <w:rPr>
          <w:rFonts w:ascii="宋体" w:hAnsi="宋体" w:cs="宋体"/>
          <w:sz w:val="24"/>
        </w:rPr>
        <w:t>0</w:t>
      </w:r>
      <w:r>
        <w:rPr>
          <w:rFonts w:hint="eastAsia" w:ascii="宋体" w:hAnsi="宋体" w:cs="宋体"/>
          <w:sz w:val="24"/>
        </w:rPr>
        <w:t>米级4类小型客船定型船型，船体材料为钢质，设计航区为内河B级航区，船舶抗风等级为6级，船舶主尺度约为2</w:t>
      </w:r>
      <w:r>
        <w:rPr>
          <w:rFonts w:ascii="宋体" w:hAnsi="宋体" w:cs="宋体"/>
          <w:sz w:val="24"/>
        </w:rPr>
        <w:t>9.8</w:t>
      </w:r>
      <w:r>
        <w:rPr>
          <w:rFonts w:hint="eastAsia" w:ascii="宋体" w:hAnsi="宋体" w:cs="宋体"/>
          <w:sz w:val="24"/>
        </w:rPr>
        <w:t>米*</w:t>
      </w:r>
      <w:r>
        <w:rPr>
          <w:rFonts w:ascii="宋体" w:hAnsi="宋体" w:cs="宋体"/>
          <w:sz w:val="24"/>
        </w:rPr>
        <w:t>6.5</w:t>
      </w:r>
      <w:r>
        <w:rPr>
          <w:rFonts w:hint="eastAsia" w:ascii="宋体" w:hAnsi="宋体" w:cs="宋体"/>
          <w:sz w:val="24"/>
        </w:rPr>
        <w:t>米*</w:t>
      </w:r>
      <w:r>
        <w:rPr>
          <w:rFonts w:ascii="宋体" w:hAnsi="宋体" w:cs="宋体"/>
          <w:sz w:val="24"/>
        </w:rPr>
        <w:t>2.6</w:t>
      </w:r>
      <w:r>
        <w:rPr>
          <w:rFonts w:hint="eastAsia" w:ascii="宋体" w:hAnsi="宋体" w:cs="宋体"/>
          <w:sz w:val="24"/>
        </w:rPr>
        <w:t>米（总长*型宽*型深），设计吃水约为1</w:t>
      </w:r>
      <w:r>
        <w:rPr>
          <w:rFonts w:ascii="宋体" w:hAnsi="宋体" w:cs="宋体"/>
          <w:sz w:val="24"/>
        </w:rPr>
        <w:t>.6</w:t>
      </w:r>
      <w:r>
        <w:rPr>
          <w:rFonts w:hint="eastAsia" w:ascii="宋体" w:hAnsi="宋体" w:cs="宋体"/>
          <w:sz w:val="24"/>
        </w:rPr>
        <w:t>米，主柴油功率约为2</w:t>
      </w:r>
      <w:r>
        <w:rPr>
          <w:rFonts w:ascii="宋体" w:hAnsi="宋体" w:cs="宋体"/>
          <w:sz w:val="24"/>
        </w:rPr>
        <w:t>*180</w:t>
      </w:r>
      <w:r>
        <w:rPr>
          <w:rFonts w:hint="eastAsia" w:ascii="宋体" w:hAnsi="宋体" w:cs="宋体"/>
          <w:sz w:val="24"/>
        </w:rPr>
        <w:t>KW以上（主副机及齿轮箱均为国内一线品牌），设计航速约为2</w:t>
      </w:r>
      <w:r>
        <w:rPr>
          <w:rFonts w:ascii="宋体" w:hAnsi="宋体" w:cs="宋体"/>
          <w:sz w:val="24"/>
        </w:rPr>
        <w:t>2</w:t>
      </w:r>
      <w:r>
        <w:rPr>
          <w:rFonts w:hint="eastAsia" w:ascii="宋体" w:hAnsi="宋体" w:cs="宋体"/>
          <w:sz w:val="24"/>
        </w:rPr>
        <w:t>KM</w:t>
      </w:r>
      <w:r>
        <w:rPr>
          <w:rFonts w:ascii="宋体" w:hAnsi="宋体" w:cs="宋体"/>
          <w:sz w:val="24"/>
        </w:rPr>
        <w:t>/h</w:t>
      </w:r>
      <w:r>
        <w:rPr>
          <w:rFonts w:hint="eastAsia" w:ascii="宋体" w:hAnsi="宋体" w:cs="宋体"/>
          <w:sz w:val="24"/>
        </w:rPr>
        <w:t>，按照法定规则配备消防、救生、通信和导航等设备，船上船员6人（船舶证书定员乘客2</w:t>
      </w:r>
      <w:r>
        <w:rPr>
          <w:rFonts w:ascii="宋体" w:hAnsi="宋体" w:cs="宋体"/>
          <w:sz w:val="24"/>
        </w:rPr>
        <w:t>5+</w:t>
      </w:r>
      <w:r>
        <w:rPr>
          <w:rFonts w:hint="eastAsia" w:ascii="宋体" w:hAnsi="宋体" w:cs="宋体"/>
          <w:sz w:val="24"/>
        </w:rPr>
        <w:t>船员</w:t>
      </w:r>
      <w:r>
        <w:rPr>
          <w:rFonts w:ascii="宋体" w:hAnsi="宋体" w:cs="宋体"/>
          <w:sz w:val="24"/>
        </w:rPr>
        <w:t>6</w:t>
      </w:r>
      <w:r>
        <w:rPr>
          <w:rFonts w:hint="eastAsia" w:ascii="宋体" w:hAnsi="宋体" w:cs="宋体"/>
          <w:sz w:val="24"/>
        </w:rPr>
        <w:t>人），需配置两间单人间，两间双人间，配置厨房、卫生间、物料间、配件间以及乘客间（设主甲板，面积约为5</w:t>
      </w:r>
      <w:r>
        <w:rPr>
          <w:rFonts w:ascii="宋体" w:hAnsi="宋体" w:cs="宋体"/>
          <w:sz w:val="24"/>
        </w:rPr>
        <w:t>0</w:t>
      </w:r>
      <w:r>
        <w:rPr>
          <w:rFonts w:hint="eastAsia" w:ascii="宋体" w:hAnsi="宋体" w:cs="宋体"/>
          <w:sz w:val="24"/>
        </w:rPr>
        <w:t>平方米），船体配置污水仓以及污水抽送系统（仓容约为</w:t>
      </w:r>
      <w:r>
        <w:rPr>
          <w:rFonts w:ascii="宋体" w:hAnsi="宋体" w:cs="宋体"/>
          <w:sz w:val="24"/>
        </w:rPr>
        <w:t>80</w:t>
      </w:r>
      <w:r>
        <w:rPr>
          <w:rFonts w:hint="eastAsia" w:ascii="宋体" w:hAnsi="宋体" w:cs="宋体"/>
          <w:sz w:val="24"/>
        </w:rPr>
        <w:t>立方），主甲板尾部加装1</w:t>
      </w:r>
      <w:r>
        <w:rPr>
          <w:rFonts w:ascii="宋体" w:hAnsi="宋体" w:cs="宋体"/>
          <w:sz w:val="24"/>
        </w:rPr>
        <w:t>.5</w:t>
      </w:r>
      <w:r>
        <w:rPr>
          <w:rFonts w:hint="eastAsia" w:ascii="宋体" w:hAnsi="宋体" w:cs="宋体"/>
          <w:sz w:val="24"/>
        </w:rPr>
        <w:t>T液压起重装置，垃圾堆存区设围栏、围堰，两侧开门。本船（船体、轮机、电气及空调设备等）按照中国船级社（</w:t>
      </w:r>
      <w:r>
        <w:rPr>
          <w:rFonts w:ascii="宋体" w:hAnsi="宋体" w:cs="宋体"/>
          <w:sz w:val="24"/>
        </w:rPr>
        <w:t>CCS</w:t>
      </w:r>
      <w:r>
        <w:rPr>
          <w:rFonts w:hint="eastAsia" w:ascii="宋体" w:hAnsi="宋体" w:cs="宋体"/>
          <w:sz w:val="24"/>
        </w:rPr>
        <w:t>）的有关规定进行设计，满足国内航行最新的排放标准和船舶行业相关的技术标准和要求，船体、轮机、电气等图纸需获得中国船级社（</w:t>
      </w:r>
      <w:r>
        <w:rPr>
          <w:rFonts w:ascii="宋体" w:hAnsi="宋体" w:cs="宋体"/>
          <w:sz w:val="24"/>
        </w:rPr>
        <w:t>CCS</w:t>
      </w:r>
      <w:r>
        <w:rPr>
          <w:rFonts w:hint="eastAsia" w:ascii="宋体" w:hAnsi="宋体" w:cs="宋体"/>
          <w:sz w:val="24"/>
        </w:rPr>
        <w:t>）批准，</w:t>
      </w:r>
      <w:r>
        <w:rPr>
          <w:rFonts w:hint="eastAsia" w:ascii="宋体" w:hAnsi="宋体"/>
          <w:sz w:val="24"/>
        </w:rPr>
        <w:t>并配合建造船厂取得相应的船舶证书。</w:t>
      </w:r>
    </w:p>
    <w:p>
      <w:pPr>
        <w:spacing w:line="480" w:lineRule="exact"/>
        <w:rPr>
          <w:rFonts w:ascii="宋体" w:hAnsi="宋体"/>
          <w:sz w:val="24"/>
        </w:rPr>
      </w:pPr>
      <w:r>
        <w:rPr>
          <w:rFonts w:hint="eastAsia" w:ascii="宋体" w:hAnsi="宋体"/>
          <w:sz w:val="24"/>
        </w:rPr>
        <w:t>（五</w:t>
      </w:r>
      <w:r>
        <w:rPr>
          <w:rFonts w:ascii="宋体" w:hAnsi="宋体"/>
          <w:sz w:val="24"/>
        </w:rPr>
        <w:t>）</w:t>
      </w:r>
      <w:r>
        <w:rPr>
          <w:rFonts w:hint="eastAsia" w:ascii="宋体" w:hAnsi="宋体"/>
          <w:sz w:val="24"/>
        </w:rPr>
        <w:t>工期及验收</w:t>
      </w:r>
      <w:r>
        <w:rPr>
          <w:rFonts w:ascii="宋体" w:hAnsi="宋体"/>
          <w:sz w:val="24"/>
        </w:rPr>
        <w:t xml:space="preserve"> </w:t>
      </w:r>
      <w:r>
        <w:rPr>
          <w:rFonts w:hint="eastAsia" w:ascii="宋体" w:hAnsi="宋体"/>
          <w:sz w:val="24"/>
        </w:rPr>
        <w:t>：服务工期</w:t>
      </w:r>
      <w:r>
        <w:rPr>
          <w:rFonts w:ascii="宋体" w:hAnsi="宋体"/>
          <w:sz w:val="24"/>
        </w:rPr>
        <w:t>90</w:t>
      </w:r>
      <w:r>
        <w:rPr>
          <w:rFonts w:hint="eastAsia" w:ascii="宋体" w:hAnsi="宋体"/>
          <w:sz w:val="24"/>
        </w:rPr>
        <w:t>天，配合建造船厂取得相应的船舶证书。</w:t>
      </w:r>
    </w:p>
    <w:p>
      <w:pPr>
        <w:adjustRightInd w:val="0"/>
        <w:snapToGrid w:val="0"/>
        <w:spacing w:line="312" w:lineRule="auto"/>
        <w:rPr>
          <w:rFonts w:ascii="宋体" w:hAnsi="宋体"/>
          <w:sz w:val="24"/>
        </w:rPr>
      </w:pPr>
      <w:r>
        <w:rPr>
          <w:rFonts w:hint="eastAsia" w:ascii="宋体" w:hAnsi="宋体"/>
          <w:sz w:val="24"/>
        </w:rPr>
        <w:t>（六</w:t>
      </w:r>
      <w:r>
        <w:rPr>
          <w:rFonts w:ascii="宋体" w:hAnsi="宋体"/>
          <w:sz w:val="24"/>
        </w:rPr>
        <w:t>）适用法规政策目录</w:t>
      </w:r>
    </w:p>
    <w:p>
      <w:pPr>
        <w:spacing w:line="460" w:lineRule="exact"/>
        <w:ind w:left="480" w:hanging="480" w:hangingChars="200"/>
        <w:rPr>
          <w:rFonts w:ascii="宋体" w:hAnsi="宋体"/>
          <w:sz w:val="24"/>
        </w:rPr>
      </w:pPr>
      <w:r>
        <w:rPr>
          <w:rFonts w:hint="eastAsia" w:ascii="宋体" w:hAnsi="宋体"/>
          <w:sz w:val="24"/>
        </w:rPr>
        <w:t>（七</w:t>
      </w:r>
      <w:r>
        <w:rPr>
          <w:rFonts w:ascii="宋体" w:hAnsi="宋体"/>
          <w:sz w:val="24"/>
        </w:rPr>
        <w:t>）</w:t>
      </w:r>
      <w:r>
        <w:rPr>
          <w:rFonts w:hint="eastAsia" w:ascii="宋体" w:hAnsi="宋体"/>
          <w:sz w:val="24"/>
        </w:rPr>
        <w:t>其它需要说明的事项</w:t>
      </w:r>
    </w:p>
    <w:p>
      <w:pPr>
        <w:spacing w:line="460" w:lineRule="exact"/>
        <w:ind w:left="480" w:hanging="480" w:hangingChars="200"/>
        <w:rPr>
          <w:rFonts w:ascii="宋体" w:hAnsi="宋体" w:cs="宋体"/>
          <w:sz w:val="24"/>
        </w:rPr>
      </w:pPr>
      <w:r>
        <w:rPr>
          <w:rFonts w:hint="eastAsia" w:ascii="宋体" w:hAnsi="宋体" w:cs="宋体"/>
          <w:sz w:val="24"/>
        </w:rPr>
        <w:t>注：本项目设计需要的相关规范标准在本</w:t>
      </w:r>
      <w:r>
        <w:rPr>
          <w:rFonts w:hint="eastAsia" w:ascii="宋体" w:hAnsi="宋体" w:cs="宋体"/>
          <w:sz w:val="24"/>
          <w:lang w:eastAsia="zh-CN"/>
        </w:rPr>
        <w:t>采购</w:t>
      </w:r>
      <w:r>
        <w:rPr>
          <w:rFonts w:hint="eastAsia" w:ascii="宋体" w:hAnsi="宋体" w:cs="宋体"/>
          <w:sz w:val="24"/>
        </w:rPr>
        <w:t>文件没有提及的，需按有关规范及相关法规要求实行。</w:t>
      </w:r>
    </w:p>
    <w:p>
      <w:pPr>
        <w:adjustRightInd w:val="0"/>
        <w:snapToGrid w:val="0"/>
        <w:spacing w:line="312" w:lineRule="auto"/>
        <w:rPr>
          <w:rFonts w:ascii="宋体" w:hAnsi="宋体"/>
          <w:sz w:val="24"/>
        </w:rPr>
      </w:pPr>
    </w:p>
    <w:p>
      <w:pPr>
        <w:spacing w:line="312" w:lineRule="auto"/>
        <w:jc w:val="center"/>
        <w:outlineLvl w:val="0"/>
        <w:rPr>
          <w:rFonts w:ascii="黑体" w:hAnsi="黑体" w:eastAsia="黑体" w:cs="仿宋"/>
          <w:b/>
          <w:color w:val="000000"/>
          <w:sz w:val="44"/>
          <w:szCs w:val="44"/>
        </w:rPr>
      </w:pPr>
      <w:r>
        <w:rPr>
          <w:rFonts w:ascii="仿宋" w:hAnsi="仿宋" w:eastAsia="仿宋" w:cs="仿宋"/>
          <w:sz w:val="30"/>
          <w:szCs w:val="30"/>
        </w:rPr>
        <w:br w:type="page"/>
      </w:r>
      <w:bookmarkStart w:id="45" w:name="_Toc897"/>
      <w:bookmarkStart w:id="46" w:name="_Toc18884"/>
      <w:bookmarkStart w:id="47" w:name="_Toc13448"/>
      <w:r>
        <w:rPr>
          <w:rFonts w:hint="eastAsia" w:ascii="黑体" w:hAnsi="黑体" w:eastAsia="黑体" w:cs="仿宋"/>
          <w:b/>
          <w:color w:val="000000"/>
          <w:sz w:val="44"/>
          <w:szCs w:val="44"/>
        </w:rPr>
        <w:t>第六章  响应文件格式</w:t>
      </w:r>
      <w:bookmarkEnd w:id="45"/>
      <w:bookmarkEnd w:id="46"/>
      <w:bookmarkEnd w:id="47"/>
    </w:p>
    <w:p>
      <w:pPr>
        <w:jc w:val="center"/>
        <w:rPr>
          <w:rFonts w:ascii="仿宋" w:hAnsi="仿宋" w:eastAsia="仿宋" w:cs="仿宋"/>
          <w:sz w:val="44"/>
          <w:szCs w:val="44"/>
        </w:rPr>
      </w:pPr>
    </w:p>
    <w:p>
      <w:pPr>
        <w:jc w:val="center"/>
        <w:rPr>
          <w:rFonts w:ascii="仿宋" w:hAnsi="仿宋" w:eastAsia="仿宋" w:cs="仿宋"/>
          <w:sz w:val="30"/>
          <w:szCs w:val="30"/>
        </w:rPr>
      </w:pPr>
    </w:p>
    <w:p>
      <w:pPr>
        <w:jc w:val="center"/>
        <w:rPr>
          <w:rFonts w:ascii="仿宋" w:hAnsi="仿宋" w:eastAsia="仿宋" w:cs="仿宋"/>
          <w:sz w:val="30"/>
          <w:szCs w:val="30"/>
        </w:rPr>
      </w:pPr>
    </w:p>
    <w:p>
      <w:pPr>
        <w:spacing w:line="240" w:lineRule="auto"/>
        <w:jc w:val="center"/>
        <w:outlineLvl w:val="0"/>
        <w:rPr>
          <w:rFonts w:eastAsia="方正小标宋_GBK"/>
          <w:b/>
          <w:bCs/>
          <w:sz w:val="40"/>
          <w:szCs w:val="36"/>
        </w:rPr>
      </w:pPr>
      <w:r>
        <w:rPr>
          <w:rFonts w:hint="eastAsia" w:eastAsia="方正小标宋_GBK"/>
          <w:bCs/>
          <w:sz w:val="48"/>
          <w:szCs w:val="44"/>
          <w:u w:val="single"/>
        </w:rPr>
        <w:t xml:space="preserve">   </w:t>
      </w:r>
      <w:bookmarkStart w:id="48" w:name="_Toc960"/>
      <w:bookmarkStart w:id="49" w:name="_Toc16159"/>
      <w:bookmarkStart w:id="50" w:name="_Toc29712"/>
      <w:r>
        <w:rPr>
          <w:rFonts w:hint="eastAsia" w:eastAsia="方正小标宋_GBK"/>
          <w:b/>
          <w:bCs/>
          <w:sz w:val="40"/>
          <w:szCs w:val="36"/>
          <w:u w:val="single"/>
        </w:rPr>
        <w:t>城陵矶港交通工作船建设项目图纸设计项目</w:t>
      </w:r>
      <w:bookmarkEnd w:id="48"/>
      <w:bookmarkEnd w:id="49"/>
      <w:r>
        <w:rPr>
          <w:rFonts w:hint="eastAsia" w:eastAsia="方正小标宋_GBK"/>
          <w:b/>
          <w:bCs/>
          <w:sz w:val="40"/>
          <w:szCs w:val="36"/>
          <w:u w:val="single"/>
        </w:rPr>
        <w:t xml:space="preserve"> </w:t>
      </w:r>
      <w:r>
        <w:rPr>
          <w:rFonts w:eastAsia="方正小标宋_GBK"/>
          <w:bCs/>
          <w:sz w:val="48"/>
          <w:szCs w:val="44"/>
          <w:u w:val="single"/>
        </w:rPr>
        <w:t xml:space="preserve">   </w:t>
      </w:r>
      <w:bookmarkEnd w:id="50"/>
    </w:p>
    <w:p>
      <w:pPr>
        <w:widowControl w:val="0"/>
        <w:spacing w:before="240" w:beforeLines="100" w:after="240" w:afterLines="100" w:line="240" w:lineRule="auto"/>
        <w:jc w:val="center"/>
        <w:outlineLvl w:val="0"/>
        <w:rPr>
          <w:rFonts w:eastAsia="楷体_GB2312"/>
          <w:b/>
          <w:bCs/>
          <w:sz w:val="28"/>
          <w:szCs w:val="28"/>
        </w:rPr>
      </w:pPr>
      <w:bookmarkStart w:id="51" w:name="_Toc9660"/>
      <w:bookmarkStart w:id="52" w:name="_Toc6258"/>
      <w:bookmarkStart w:id="53" w:name="_Toc19220"/>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bookmarkEnd w:id="51"/>
      <w:bookmarkEnd w:id="52"/>
      <w:bookmarkEnd w:id="53"/>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outlineLvl w:val="0"/>
        <w:rPr>
          <w:rFonts w:eastAsia="方正小标宋_GBK"/>
          <w:b/>
          <w:bCs/>
          <w:spacing w:val="160"/>
          <w:sz w:val="72"/>
          <w:szCs w:val="72"/>
        </w:rPr>
      </w:pPr>
      <w:bookmarkStart w:id="54" w:name="_Toc19102"/>
      <w:bookmarkStart w:id="55" w:name="_Toc7515"/>
      <w:bookmarkStart w:id="56" w:name="_Toc31670"/>
      <w:r>
        <w:rPr>
          <w:rFonts w:hint="eastAsia" w:eastAsia="方正小标宋_GBK"/>
          <w:b/>
          <w:bCs/>
          <w:spacing w:val="160"/>
          <w:sz w:val="72"/>
          <w:szCs w:val="72"/>
        </w:rPr>
        <w:t>响应</w:t>
      </w:r>
      <w:r>
        <w:rPr>
          <w:rFonts w:eastAsia="方正小标宋_GBK"/>
          <w:b/>
          <w:bCs/>
          <w:spacing w:val="160"/>
          <w:sz w:val="72"/>
          <w:szCs w:val="72"/>
        </w:rPr>
        <w:t>文件</w:t>
      </w:r>
      <w:bookmarkEnd w:id="54"/>
      <w:bookmarkEnd w:id="55"/>
      <w:bookmarkEnd w:id="56"/>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outlineLvl w:val="0"/>
        <w:rPr>
          <w:rFonts w:eastAsia="黑体"/>
          <w:bCs/>
          <w:sz w:val="30"/>
          <w:szCs w:val="30"/>
        </w:rPr>
      </w:pPr>
      <w:bookmarkStart w:id="57" w:name="_Toc31100"/>
      <w:bookmarkStart w:id="58" w:name="_Toc25814"/>
      <w:bookmarkStart w:id="59" w:name="_Toc20019"/>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全称并盖单位公章</w:t>
      </w:r>
      <w:bookmarkEnd w:id="57"/>
      <w:bookmarkEnd w:id="58"/>
      <w:bookmarkEnd w:id="59"/>
      <w:r>
        <w:rPr>
          <w:rFonts w:eastAsia="黑体"/>
          <w:bCs/>
          <w:sz w:val="30"/>
          <w:szCs w:val="30"/>
          <w:u w:val="single"/>
        </w:rPr>
        <w:t xml:space="preserve"> </w:t>
      </w:r>
    </w:p>
    <w:p>
      <w:pPr>
        <w:spacing w:line="900" w:lineRule="exact"/>
        <w:jc w:val="center"/>
        <w:outlineLvl w:val="0"/>
        <w:rPr>
          <w:rFonts w:eastAsia="黑体"/>
          <w:sz w:val="30"/>
          <w:szCs w:val="30"/>
        </w:rPr>
      </w:pPr>
      <w:bookmarkStart w:id="60" w:name="_Toc19702"/>
      <w:bookmarkStart w:id="61" w:name="_Toc28211"/>
      <w:bookmarkStart w:id="62" w:name="_Toc27032"/>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bookmarkEnd w:id="60"/>
      <w:bookmarkEnd w:id="61"/>
      <w:bookmarkEnd w:id="62"/>
    </w:p>
    <w:p>
      <w:pPr>
        <w:adjustRightInd w:val="0"/>
        <w:snapToGrid w:val="0"/>
        <w:spacing w:line="600" w:lineRule="exact"/>
        <w:jc w:val="center"/>
        <w:outlineLvl w:val="0"/>
        <w:rPr>
          <w:rFonts w:ascii="黑体" w:hAnsi="黑体" w:eastAsia="黑体" w:cs="仿宋"/>
          <w:sz w:val="36"/>
          <w:szCs w:val="36"/>
        </w:rPr>
      </w:pPr>
      <w:bookmarkStart w:id="63" w:name="_Toc21417"/>
      <w:bookmarkStart w:id="64" w:name="_Toc21402"/>
      <w:bookmarkStart w:id="65" w:name="_Toc19295"/>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bookmarkEnd w:id="63"/>
      <w:bookmarkEnd w:id="64"/>
      <w:bookmarkEnd w:id="65"/>
    </w:p>
    <w:p>
      <w:pPr>
        <w:adjustRightInd w:val="0"/>
        <w:snapToGrid w:val="0"/>
        <w:spacing w:line="600" w:lineRule="exact"/>
        <w:jc w:val="both"/>
        <w:outlineLvl w:val="0"/>
        <w:rPr>
          <w:rFonts w:ascii="宋体" w:hAnsi="宋体" w:cs="仿宋"/>
          <w:sz w:val="24"/>
        </w:rPr>
      </w:pPr>
      <w:bookmarkStart w:id="66" w:name="_Toc15870"/>
      <w:bookmarkStart w:id="67" w:name="_Toc6294"/>
      <w:bookmarkStart w:id="68" w:name="_Toc16949"/>
      <w:r>
        <w:rPr>
          <w:rFonts w:hint="eastAsia" w:ascii="宋体" w:hAnsi="宋体" w:cs="仿宋"/>
          <w:sz w:val="24"/>
        </w:rPr>
        <w:t>一、响应函</w:t>
      </w:r>
      <w:r>
        <w:rPr>
          <w:rFonts w:hint="eastAsia" w:ascii="宋体" w:hAnsi="宋体" w:cs="仿宋"/>
          <w:sz w:val="24"/>
        </w:rPr>
        <w:br w:type="textWrapping"/>
      </w:r>
      <w:r>
        <w:rPr>
          <w:rFonts w:hint="eastAsia" w:ascii="宋体" w:hAnsi="宋体" w:cs="仿宋"/>
          <w:sz w:val="24"/>
        </w:rPr>
        <w:t>二、授权委托书(适用于有委托代理人的情况)</w:t>
      </w:r>
      <w:r>
        <w:rPr>
          <w:rFonts w:hint="eastAsia" w:ascii="宋体" w:hAnsi="宋体" w:cs="仿宋"/>
          <w:sz w:val="24"/>
        </w:rPr>
        <w:br w:type="textWrapping"/>
      </w:r>
      <w:r>
        <w:rPr>
          <w:rFonts w:hint="eastAsia" w:ascii="宋体" w:hAnsi="宋体" w:cs="仿宋"/>
          <w:sz w:val="24"/>
        </w:rPr>
        <w:t>三、商务和技术偏差表</w:t>
      </w:r>
      <w:bookmarkEnd w:id="66"/>
      <w:bookmarkEnd w:id="67"/>
      <w:bookmarkEnd w:id="68"/>
    </w:p>
    <w:p>
      <w:pPr>
        <w:adjustRightInd w:val="0"/>
        <w:snapToGrid w:val="0"/>
        <w:spacing w:line="600" w:lineRule="exact"/>
        <w:jc w:val="both"/>
        <w:outlineLvl w:val="0"/>
        <w:rPr>
          <w:rFonts w:ascii="宋体" w:hAnsi="宋体" w:cs="仿宋"/>
          <w:sz w:val="24"/>
        </w:rPr>
      </w:pPr>
      <w:bookmarkStart w:id="69" w:name="_Toc7306"/>
      <w:bookmarkStart w:id="70" w:name="_Toc22998"/>
      <w:bookmarkStart w:id="71" w:name="_Toc9708"/>
      <w:r>
        <w:rPr>
          <w:rFonts w:hint="eastAsia" w:ascii="宋体" w:hAnsi="宋体" w:cs="仿宋"/>
          <w:sz w:val="24"/>
          <w:lang w:val="en-US" w:eastAsia="zh-CN"/>
        </w:rPr>
        <w:t>四</w:t>
      </w:r>
      <w:r>
        <w:rPr>
          <w:rFonts w:hint="eastAsia" w:ascii="宋体" w:hAnsi="宋体" w:cs="仿宋"/>
          <w:sz w:val="24"/>
        </w:rPr>
        <w:t>、资格审查资料</w:t>
      </w:r>
      <w:bookmarkEnd w:id="69"/>
      <w:bookmarkEnd w:id="70"/>
      <w:bookmarkEnd w:id="71"/>
    </w:p>
    <w:p>
      <w:pPr>
        <w:adjustRightInd w:val="0"/>
        <w:snapToGrid w:val="0"/>
        <w:spacing w:line="600" w:lineRule="exact"/>
        <w:jc w:val="both"/>
        <w:outlineLvl w:val="0"/>
        <w:rPr>
          <w:rFonts w:ascii="宋体" w:hAnsi="宋体" w:cs="仿宋"/>
          <w:sz w:val="24"/>
        </w:rPr>
      </w:pPr>
      <w:bookmarkStart w:id="72" w:name="_Toc22289"/>
      <w:bookmarkStart w:id="73" w:name="_Toc21680"/>
      <w:bookmarkStart w:id="74" w:name="_Toc21554"/>
      <w:r>
        <w:rPr>
          <w:rFonts w:hint="eastAsia" w:ascii="宋体" w:hAnsi="宋体" w:cs="仿宋"/>
          <w:sz w:val="24"/>
          <w:lang w:val="en-US" w:eastAsia="zh-CN"/>
        </w:rPr>
        <w:t>五</w:t>
      </w:r>
      <w:r>
        <w:rPr>
          <w:rFonts w:hint="eastAsia" w:ascii="宋体" w:hAnsi="宋体" w:cs="仿宋"/>
          <w:sz w:val="24"/>
        </w:rPr>
        <w:t>、响应方案</w:t>
      </w:r>
      <w:bookmarkEnd w:id="72"/>
      <w:bookmarkEnd w:id="73"/>
      <w:bookmarkEnd w:id="74"/>
    </w:p>
    <w:p>
      <w:pPr>
        <w:adjustRightInd w:val="0"/>
        <w:snapToGrid w:val="0"/>
        <w:spacing w:line="600" w:lineRule="exact"/>
        <w:jc w:val="both"/>
        <w:outlineLvl w:val="0"/>
        <w:rPr>
          <w:rFonts w:ascii="宋体" w:hAnsi="宋体" w:cs="仿宋"/>
          <w:sz w:val="24"/>
        </w:rPr>
      </w:pPr>
      <w:bookmarkStart w:id="75" w:name="_Toc6851"/>
      <w:bookmarkStart w:id="76" w:name="_Toc22677"/>
      <w:bookmarkStart w:id="77" w:name="_Toc26335"/>
      <w:r>
        <w:rPr>
          <w:rFonts w:hint="eastAsia" w:ascii="宋体" w:hAnsi="宋体" w:cs="仿宋"/>
          <w:sz w:val="24"/>
          <w:lang w:val="en-US" w:eastAsia="zh-CN"/>
        </w:rPr>
        <w:t>六</w:t>
      </w:r>
      <w:r>
        <w:rPr>
          <w:rFonts w:hint="eastAsia" w:ascii="宋体" w:hAnsi="宋体" w:cs="仿宋"/>
          <w:sz w:val="24"/>
        </w:rPr>
        <w:t>、其他资料</w:t>
      </w:r>
      <w:bookmarkEnd w:id="75"/>
      <w:bookmarkEnd w:id="76"/>
      <w:bookmarkEnd w:id="77"/>
    </w:p>
    <w:p>
      <w:pPr>
        <w:spacing w:line="600" w:lineRule="exact"/>
        <w:jc w:val="both"/>
        <w:rPr>
          <w:rFonts w:ascii="仿宋" w:hAnsi="仿宋" w:eastAsia="仿宋" w:cs="仿宋"/>
          <w:sz w:val="30"/>
          <w:szCs w:val="30"/>
        </w:rPr>
      </w:pPr>
    </w:p>
    <w:p>
      <w:pPr>
        <w:spacing w:line="600" w:lineRule="exact"/>
        <w:jc w:val="both"/>
        <w:rPr>
          <w:rFonts w:ascii="仿宋" w:hAnsi="仿宋" w:eastAsia="仿宋" w:cs="仿宋"/>
          <w:sz w:val="30"/>
          <w:szCs w:val="30"/>
        </w:rPr>
      </w:pPr>
    </w:p>
    <w:p>
      <w:pPr>
        <w:spacing w:line="600" w:lineRule="exact"/>
        <w:jc w:val="both"/>
        <w:rPr>
          <w:rFonts w:ascii="仿宋" w:hAnsi="仿宋" w:eastAsia="仿宋" w:cs="仿宋"/>
          <w:sz w:val="30"/>
          <w:szCs w:val="30"/>
        </w:rPr>
      </w:pPr>
    </w:p>
    <w:p>
      <w:pPr>
        <w:spacing w:line="600" w:lineRule="exact"/>
        <w:jc w:val="both"/>
        <w:rPr>
          <w:rFonts w:ascii="仿宋" w:hAnsi="仿宋" w:eastAsia="仿宋" w:cs="仿宋"/>
          <w:sz w:val="30"/>
          <w:szCs w:val="30"/>
        </w:rPr>
      </w:pPr>
    </w:p>
    <w:p>
      <w:pPr>
        <w:spacing w:line="600" w:lineRule="exact"/>
        <w:jc w:val="both"/>
        <w:rPr>
          <w:rFonts w:ascii="仿宋" w:hAnsi="仿宋" w:eastAsia="仿宋" w:cs="仿宋"/>
          <w:sz w:val="30"/>
          <w:szCs w:val="30"/>
        </w:rPr>
      </w:pPr>
    </w:p>
    <w:p>
      <w:pPr>
        <w:spacing w:line="600" w:lineRule="exact"/>
        <w:jc w:val="both"/>
        <w:rPr>
          <w:rFonts w:ascii="仿宋" w:hAnsi="仿宋" w:eastAsia="仿宋" w:cs="仿宋"/>
          <w:sz w:val="30"/>
          <w:szCs w:val="30"/>
        </w:rPr>
      </w:pPr>
    </w:p>
    <w:p>
      <w:pPr>
        <w:spacing w:line="600" w:lineRule="exact"/>
        <w:jc w:val="both"/>
        <w:rPr>
          <w:rFonts w:ascii="仿宋" w:hAnsi="仿宋" w:eastAsia="仿宋" w:cs="仿宋"/>
          <w:sz w:val="30"/>
          <w:szCs w:val="30"/>
        </w:rPr>
      </w:pPr>
    </w:p>
    <w:p>
      <w:pPr>
        <w:spacing w:line="600" w:lineRule="exact"/>
        <w:jc w:val="both"/>
        <w:rPr>
          <w:rFonts w:ascii="仿宋" w:hAnsi="仿宋" w:eastAsia="仿宋" w:cs="仿宋"/>
          <w:sz w:val="30"/>
          <w:szCs w:val="30"/>
        </w:rPr>
      </w:pPr>
    </w:p>
    <w:p>
      <w:pPr>
        <w:spacing w:line="600" w:lineRule="exact"/>
        <w:jc w:val="both"/>
        <w:rPr>
          <w:rFonts w:ascii="仿宋" w:hAnsi="仿宋" w:eastAsia="仿宋" w:cs="仿宋"/>
          <w:sz w:val="30"/>
          <w:szCs w:val="30"/>
        </w:rPr>
      </w:pPr>
    </w:p>
    <w:p>
      <w:pPr>
        <w:spacing w:line="600" w:lineRule="exact"/>
        <w:jc w:val="both"/>
        <w:rPr>
          <w:rFonts w:ascii="仿宋" w:hAnsi="仿宋" w:eastAsia="仿宋" w:cs="仿宋"/>
          <w:sz w:val="30"/>
          <w:szCs w:val="30"/>
        </w:rPr>
      </w:pPr>
    </w:p>
    <w:p>
      <w:pPr>
        <w:spacing w:line="600" w:lineRule="exact"/>
        <w:jc w:val="both"/>
        <w:rPr>
          <w:rFonts w:ascii="仿宋" w:hAnsi="仿宋" w:eastAsia="仿宋" w:cs="仿宋"/>
          <w:sz w:val="30"/>
          <w:szCs w:val="30"/>
        </w:rPr>
      </w:pPr>
    </w:p>
    <w:p>
      <w:pPr>
        <w:pStyle w:val="2"/>
        <w:outlineLvl w:val="9"/>
      </w:pPr>
    </w:p>
    <w:p>
      <w:pPr>
        <w:spacing w:line="600" w:lineRule="exact"/>
        <w:jc w:val="both"/>
        <w:rPr>
          <w:rFonts w:ascii="仿宋" w:hAnsi="仿宋" w:eastAsia="仿宋" w:cs="仿宋"/>
          <w:sz w:val="30"/>
          <w:szCs w:val="30"/>
        </w:rPr>
      </w:pPr>
    </w:p>
    <w:p>
      <w:pPr>
        <w:spacing w:line="600" w:lineRule="exact"/>
        <w:jc w:val="both"/>
        <w:rPr>
          <w:rFonts w:ascii="仿宋" w:hAnsi="仿宋" w:eastAsia="仿宋" w:cs="仿宋"/>
          <w:sz w:val="30"/>
          <w:szCs w:val="30"/>
        </w:rPr>
      </w:pPr>
    </w:p>
    <w:p>
      <w:pPr>
        <w:numPr>
          <w:ilvl w:val="0"/>
          <w:numId w:val="3"/>
        </w:numPr>
        <w:adjustRightInd w:val="0"/>
        <w:snapToGrid w:val="0"/>
        <w:spacing w:line="600" w:lineRule="exact"/>
        <w:jc w:val="center"/>
        <w:outlineLvl w:val="0"/>
        <w:rPr>
          <w:rFonts w:ascii="黑体" w:hAnsi="黑体" w:eastAsia="黑体" w:cs="仿宋"/>
          <w:sz w:val="36"/>
          <w:szCs w:val="36"/>
        </w:rPr>
      </w:pPr>
      <w:bookmarkStart w:id="78" w:name="_Toc10057"/>
      <w:bookmarkStart w:id="79" w:name="_Toc3411"/>
      <w:bookmarkStart w:id="80" w:name="_Toc22447"/>
      <w:r>
        <w:rPr>
          <w:rFonts w:hint="eastAsia" w:ascii="黑体" w:hAnsi="黑体" w:eastAsia="黑体" w:cs="仿宋"/>
          <w:sz w:val="36"/>
          <w:szCs w:val="36"/>
        </w:rPr>
        <w:t>响应函</w:t>
      </w:r>
      <w:bookmarkEnd w:id="78"/>
      <w:bookmarkEnd w:id="79"/>
      <w:bookmarkEnd w:id="80"/>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600" w:lineRule="exact"/>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rPr>
        <w:t>1.我方已仔细研究了__(项目名称)采购文件的全部内容，愿意以含税价人民币(大写)(￥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)的报价（其中：增值税税</w:t>
      </w:r>
      <w:r>
        <w:rPr>
          <w:rFonts w:hint="eastAsia" w:cs="仿宋" w:asciiTheme="minorEastAsia" w:hAnsiTheme="minorEastAsia" w:eastAsiaTheme="minorEastAsia"/>
          <w:sz w:val="24"/>
          <w:lang w:val="en-US" w:eastAsia="zh-CN"/>
        </w:rPr>
        <w:t>率</w:t>
      </w:r>
      <w:r>
        <w:rPr>
          <w:rFonts w:hint="eastAsia" w:cs="仿宋" w:asciiTheme="minorEastAsia" w:hAnsiTheme="minorEastAsia" w:eastAsiaTheme="minorEastAsia"/>
          <w:sz w:val="24"/>
        </w:rPr>
        <w:t>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)完成本项目服务，并按合同约定履行义务。</w:t>
      </w:r>
      <w:r>
        <w:rPr>
          <w:rFonts w:hint="eastAsia" w:cs="仿宋" w:asciiTheme="minorEastAsia" w:hAnsiTheme="minorEastAsia" w:eastAsiaTheme="minorEastAsia"/>
          <w:sz w:val="24"/>
          <w:lang w:val="en-US" w:eastAsia="zh-CN"/>
        </w:rPr>
        <w:t>服务期限：</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 商务和技术偏差表;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 报价表;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(5) 资格审查资料;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 响应方案;</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4"/>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w:t>
      </w:r>
      <w:r>
        <w:rPr>
          <w:rFonts w:hint="eastAsia" w:cs="仿宋" w:asciiTheme="minorEastAsia" w:hAnsiTheme="minorEastAsia" w:eastAsiaTheme="minorEastAsia"/>
          <w:sz w:val="24"/>
          <w:lang w:val="en-US" w:eastAsia="zh-CN"/>
        </w:rPr>
        <w:t>90天</w:t>
      </w:r>
      <w:r>
        <w:rPr>
          <w:rFonts w:hint="eastAsia" w:cs="仿宋" w:asciiTheme="minorEastAsia" w:hAnsiTheme="minorEastAsia" w:eastAsiaTheme="minorEastAsia"/>
          <w:sz w:val="24"/>
        </w:rPr>
        <w:t>内不撤销响应文件。</w:t>
      </w:r>
    </w:p>
    <w:p>
      <w:pPr>
        <w:numPr>
          <w:ilvl w:val="0"/>
          <w:numId w:val="4"/>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(3)按照采购文件要求递交履约保证金;</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6.我方在此声明，所递交的响应文件及有关资料内容完整、真实和准确，且不开在第一章“采购公告”中规定的供应商不得存在的情形。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w:t>
      </w:r>
      <w:r>
        <w:rPr>
          <w:rFonts w:hint="eastAsia" w:cs="仿宋" w:asciiTheme="minorEastAsia" w:hAnsiTheme="minorEastAsia" w:eastAsiaTheme="minorEastAsia"/>
          <w:sz w:val="24"/>
          <w:lang w:eastAsia="zh-CN"/>
        </w:rPr>
        <w:t>响应</w:t>
      </w:r>
      <w:r>
        <w:rPr>
          <w:rFonts w:hint="eastAsia" w:cs="仿宋" w:asciiTheme="minorEastAsia" w:hAnsiTheme="minorEastAsia" w:eastAsiaTheme="minorEastAsia"/>
          <w:sz w:val="24"/>
        </w:rPr>
        <w:t>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outlineLvl w:val="0"/>
        <w:rPr>
          <w:rFonts w:ascii="黑体" w:hAnsi="黑体" w:eastAsia="黑体" w:cs="仿宋"/>
          <w:sz w:val="36"/>
          <w:szCs w:val="36"/>
        </w:rPr>
      </w:pPr>
      <w:r>
        <w:rPr>
          <w:rFonts w:hint="eastAsia" w:cs="仿宋" w:asciiTheme="minorEastAsia" w:hAnsiTheme="minorEastAsia" w:eastAsiaTheme="minorEastAsia"/>
          <w:sz w:val="24"/>
        </w:rPr>
        <w:br w:type="page"/>
      </w:r>
      <w:bookmarkStart w:id="81" w:name="_Toc18921"/>
      <w:bookmarkStart w:id="82" w:name="_Toc27960"/>
      <w:bookmarkStart w:id="83" w:name="_Toc19106"/>
      <w:r>
        <w:rPr>
          <w:rFonts w:hint="eastAsia" w:ascii="黑体" w:hAnsi="黑体" w:eastAsia="黑体" w:cs="仿宋"/>
          <w:sz w:val="36"/>
          <w:szCs w:val="36"/>
        </w:rPr>
        <w:t>二、授权委托书</w:t>
      </w:r>
      <w:bookmarkEnd w:id="81"/>
      <w:bookmarkEnd w:id="82"/>
      <w:bookmarkEnd w:id="83"/>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(适用于有委托代理人的情况)</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outlineLvl w:val="0"/>
        <w:rPr>
          <w:rFonts w:ascii="黑体" w:hAnsi="黑体" w:eastAsia="黑体" w:cs="仿宋"/>
          <w:sz w:val="36"/>
          <w:szCs w:val="36"/>
        </w:rPr>
      </w:pPr>
      <w:bookmarkStart w:id="84" w:name="_Toc3815"/>
      <w:bookmarkStart w:id="85" w:name="_Toc21753"/>
      <w:bookmarkStart w:id="86" w:name="_Toc28535"/>
      <w:r>
        <w:rPr>
          <w:rFonts w:hint="eastAsia" w:ascii="黑体" w:hAnsi="黑体" w:eastAsia="黑体" w:cs="仿宋"/>
          <w:sz w:val="36"/>
          <w:szCs w:val="36"/>
        </w:rPr>
        <w:t>三、商务和技术偏差表</w:t>
      </w:r>
      <w:bookmarkEnd w:id="84"/>
      <w:bookmarkEnd w:id="85"/>
      <w:bookmarkEnd w:id="86"/>
    </w:p>
    <w:tbl>
      <w:tblPr>
        <w:tblStyle w:val="37"/>
        <w:tblpPr w:leftFromText="180" w:rightFromText="180" w:vertAnchor="text" w:horzAnchor="page" w:tblpX="1275" w:tblpY="1104"/>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464"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hint="eastAsia" w:cs="仿宋" w:asciiTheme="minorEastAsia" w:hAnsiTheme="minorEastAsia" w:eastAsiaTheme="minorEastAsia"/>
                <w:sz w:val="24"/>
              </w:rPr>
            </w:pPr>
          </w:p>
        </w:tc>
        <w:tc>
          <w:tcPr>
            <w:tcW w:w="2463" w:type="dxa"/>
          </w:tcPr>
          <w:p>
            <w:pPr>
              <w:widowControl/>
              <w:spacing w:line="600" w:lineRule="exact"/>
              <w:jc w:val="both"/>
              <w:rPr>
                <w:rFonts w:hint="eastAsia" w:cs="仿宋" w:asciiTheme="minorEastAsia" w:hAnsiTheme="minorEastAsia" w:eastAsiaTheme="minorEastAsia"/>
                <w:sz w:val="24"/>
              </w:rPr>
            </w:pPr>
          </w:p>
        </w:tc>
        <w:tc>
          <w:tcPr>
            <w:tcW w:w="2464" w:type="dxa"/>
          </w:tcPr>
          <w:p>
            <w:pPr>
              <w:widowControl/>
              <w:spacing w:line="600" w:lineRule="exact"/>
              <w:jc w:val="both"/>
              <w:rPr>
                <w:rFonts w:hint="eastAsia" w:cs="仿宋" w:asciiTheme="minorEastAsia" w:hAnsiTheme="minorEastAsia" w:eastAsiaTheme="minorEastAsia"/>
                <w:sz w:val="24"/>
              </w:rPr>
            </w:pPr>
          </w:p>
        </w:tc>
        <w:tc>
          <w:tcPr>
            <w:tcW w:w="2464" w:type="dxa"/>
          </w:tcPr>
          <w:p>
            <w:pPr>
              <w:widowControl/>
              <w:spacing w:line="600" w:lineRule="exact"/>
              <w:jc w:val="both"/>
              <w:rPr>
                <w:rFonts w:hint="eastAsia"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hint="eastAsia" w:cs="仿宋" w:asciiTheme="minorEastAsia" w:hAnsiTheme="minorEastAsia" w:eastAsiaTheme="minorEastAsia"/>
                <w:sz w:val="24"/>
              </w:rPr>
            </w:pPr>
          </w:p>
        </w:tc>
        <w:tc>
          <w:tcPr>
            <w:tcW w:w="2463" w:type="dxa"/>
          </w:tcPr>
          <w:p>
            <w:pPr>
              <w:widowControl/>
              <w:spacing w:line="600" w:lineRule="exact"/>
              <w:jc w:val="both"/>
              <w:rPr>
                <w:rFonts w:hint="eastAsia" w:cs="仿宋" w:asciiTheme="minorEastAsia" w:hAnsiTheme="minorEastAsia" w:eastAsiaTheme="minorEastAsia"/>
                <w:sz w:val="24"/>
              </w:rPr>
            </w:pPr>
          </w:p>
        </w:tc>
        <w:tc>
          <w:tcPr>
            <w:tcW w:w="2464" w:type="dxa"/>
          </w:tcPr>
          <w:p>
            <w:pPr>
              <w:widowControl/>
              <w:spacing w:line="600" w:lineRule="exact"/>
              <w:jc w:val="both"/>
              <w:rPr>
                <w:rFonts w:hint="eastAsia" w:cs="仿宋" w:asciiTheme="minorEastAsia" w:hAnsiTheme="minorEastAsia" w:eastAsiaTheme="minorEastAsia"/>
                <w:sz w:val="24"/>
              </w:rPr>
            </w:pPr>
          </w:p>
        </w:tc>
        <w:tc>
          <w:tcPr>
            <w:tcW w:w="2464" w:type="dxa"/>
          </w:tcPr>
          <w:p>
            <w:pPr>
              <w:widowControl/>
              <w:spacing w:line="600" w:lineRule="exact"/>
              <w:jc w:val="both"/>
              <w:rPr>
                <w:rFonts w:hint="eastAsia"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hint="eastAsia" w:cs="仿宋" w:asciiTheme="minorEastAsia" w:hAnsiTheme="minorEastAsia" w:eastAsiaTheme="minorEastAsia"/>
                <w:sz w:val="24"/>
              </w:rPr>
            </w:pPr>
          </w:p>
        </w:tc>
        <w:tc>
          <w:tcPr>
            <w:tcW w:w="2463" w:type="dxa"/>
          </w:tcPr>
          <w:p>
            <w:pPr>
              <w:widowControl/>
              <w:spacing w:line="600" w:lineRule="exact"/>
              <w:jc w:val="both"/>
              <w:rPr>
                <w:rFonts w:hint="eastAsia" w:cs="仿宋" w:asciiTheme="minorEastAsia" w:hAnsiTheme="minorEastAsia" w:eastAsiaTheme="minorEastAsia"/>
                <w:sz w:val="24"/>
              </w:rPr>
            </w:pPr>
          </w:p>
        </w:tc>
        <w:tc>
          <w:tcPr>
            <w:tcW w:w="2464" w:type="dxa"/>
          </w:tcPr>
          <w:p>
            <w:pPr>
              <w:widowControl/>
              <w:spacing w:line="600" w:lineRule="exact"/>
              <w:jc w:val="both"/>
              <w:rPr>
                <w:rFonts w:hint="eastAsia" w:cs="仿宋" w:asciiTheme="minorEastAsia" w:hAnsiTheme="minorEastAsia" w:eastAsiaTheme="minorEastAsia"/>
                <w:sz w:val="24"/>
              </w:rPr>
            </w:pPr>
          </w:p>
        </w:tc>
        <w:tc>
          <w:tcPr>
            <w:tcW w:w="2464" w:type="dxa"/>
          </w:tcPr>
          <w:p>
            <w:pPr>
              <w:widowControl/>
              <w:spacing w:line="600" w:lineRule="exact"/>
              <w:jc w:val="both"/>
              <w:rPr>
                <w:rFonts w:hint="eastAsia"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hint="eastAsia" w:cs="仿宋" w:asciiTheme="minorEastAsia" w:hAnsiTheme="minorEastAsia" w:eastAsiaTheme="minorEastAsia"/>
                <w:sz w:val="24"/>
              </w:rPr>
            </w:pPr>
          </w:p>
        </w:tc>
        <w:tc>
          <w:tcPr>
            <w:tcW w:w="2463" w:type="dxa"/>
          </w:tcPr>
          <w:p>
            <w:pPr>
              <w:widowControl/>
              <w:spacing w:line="600" w:lineRule="exact"/>
              <w:jc w:val="both"/>
              <w:rPr>
                <w:rFonts w:hint="eastAsia" w:cs="仿宋" w:asciiTheme="minorEastAsia" w:hAnsiTheme="minorEastAsia" w:eastAsiaTheme="minorEastAsia"/>
                <w:sz w:val="24"/>
              </w:rPr>
            </w:pPr>
          </w:p>
        </w:tc>
        <w:tc>
          <w:tcPr>
            <w:tcW w:w="2464" w:type="dxa"/>
          </w:tcPr>
          <w:p>
            <w:pPr>
              <w:widowControl/>
              <w:spacing w:line="600" w:lineRule="exact"/>
              <w:jc w:val="both"/>
              <w:rPr>
                <w:rFonts w:hint="eastAsia" w:cs="仿宋" w:asciiTheme="minorEastAsia" w:hAnsiTheme="minorEastAsia" w:eastAsiaTheme="minorEastAsia"/>
                <w:sz w:val="24"/>
              </w:rPr>
            </w:pPr>
          </w:p>
        </w:tc>
        <w:tc>
          <w:tcPr>
            <w:tcW w:w="2464" w:type="dxa"/>
          </w:tcPr>
          <w:p>
            <w:pPr>
              <w:widowControl/>
              <w:spacing w:line="600" w:lineRule="exact"/>
              <w:jc w:val="both"/>
              <w:rPr>
                <w:rFonts w:hint="eastAsia"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hint="eastAsia" w:cs="仿宋" w:asciiTheme="minorEastAsia" w:hAnsiTheme="minorEastAsia" w:eastAsiaTheme="minorEastAsia"/>
                <w:sz w:val="24"/>
              </w:rPr>
            </w:pPr>
          </w:p>
        </w:tc>
        <w:tc>
          <w:tcPr>
            <w:tcW w:w="2463" w:type="dxa"/>
          </w:tcPr>
          <w:p>
            <w:pPr>
              <w:widowControl/>
              <w:spacing w:line="600" w:lineRule="exact"/>
              <w:jc w:val="both"/>
              <w:rPr>
                <w:rFonts w:hint="eastAsia" w:cs="仿宋" w:asciiTheme="minorEastAsia" w:hAnsiTheme="minorEastAsia" w:eastAsiaTheme="minorEastAsia"/>
                <w:sz w:val="24"/>
              </w:rPr>
            </w:pPr>
          </w:p>
        </w:tc>
        <w:tc>
          <w:tcPr>
            <w:tcW w:w="2464" w:type="dxa"/>
          </w:tcPr>
          <w:p>
            <w:pPr>
              <w:widowControl/>
              <w:spacing w:line="600" w:lineRule="exact"/>
              <w:jc w:val="both"/>
              <w:rPr>
                <w:rFonts w:hint="eastAsia" w:cs="仿宋" w:asciiTheme="minorEastAsia" w:hAnsiTheme="minorEastAsia" w:eastAsiaTheme="minorEastAsia"/>
                <w:sz w:val="24"/>
              </w:rPr>
            </w:pPr>
          </w:p>
        </w:tc>
        <w:tc>
          <w:tcPr>
            <w:tcW w:w="2464" w:type="dxa"/>
          </w:tcPr>
          <w:p>
            <w:pPr>
              <w:widowControl/>
              <w:spacing w:line="600" w:lineRule="exact"/>
              <w:jc w:val="both"/>
              <w:rPr>
                <w:rFonts w:hint="eastAsia"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outlineLvl w:val="0"/>
        <w:rPr>
          <w:rFonts w:ascii="黑体" w:hAnsi="黑体" w:eastAsia="黑体" w:cs="仿宋"/>
          <w:sz w:val="36"/>
          <w:szCs w:val="36"/>
        </w:rPr>
      </w:pPr>
      <w:bookmarkStart w:id="87" w:name="_Toc18300"/>
      <w:bookmarkStart w:id="88" w:name="_Toc23712"/>
      <w:bookmarkStart w:id="89" w:name="_Toc28674"/>
      <w:r>
        <w:rPr>
          <w:rFonts w:hint="eastAsia" w:ascii="黑体" w:hAnsi="黑体" w:eastAsia="黑体" w:cs="仿宋"/>
          <w:sz w:val="36"/>
          <w:szCs w:val="36"/>
          <w:lang w:val="en-US" w:eastAsia="zh-CN"/>
        </w:rPr>
        <w:t>四</w:t>
      </w:r>
      <w:r>
        <w:rPr>
          <w:rFonts w:hint="eastAsia" w:ascii="黑体" w:hAnsi="黑体" w:eastAsia="黑体" w:cs="仿宋"/>
          <w:sz w:val="36"/>
          <w:szCs w:val="36"/>
        </w:rPr>
        <w:t>、资格审查资料</w:t>
      </w:r>
      <w:bookmarkEnd w:id="87"/>
      <w:bookmarkEnd w:id="88"/>
      <w:bookmarkEnd w:id="89"/>
    </w:p>
    <w:p>
      <w:pPr>
        <w:spacing w:line="600" w:lineRule="exact"/>
        <w:jc w:val="center"/>
        <w:rPr>
          <w:rFonts w:ascii="黑体" w:hAnsi="黑体" w:eastAsia="黑体" w:cs="仿宋"/>
          <w:sz w:val="36"/>
          <w:szCs w:val="36"/>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供应商应根据供应商须知前附表第3.5（1）项和第3.5（2）项的要求提供主体资格证明及相关资质证明资料（如有要求）。</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供应商还应根据供应商须知前地表第3.5（5）项、第3.5（7）项和第3.5（8）项的要求提供其他相关证明材料（如有要求）。</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（二）近年财务状况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供应商应根据供应商须知前附表第3.5（3）项的要求提供近年财务会计报表复印件（如有要求）。</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（三）近年的类似项目情况表</w:t>
      </w:r>
    </w:p>
    <w:tbl>
      <w:tblPr>
        <w:tblStyle w:val="3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t>（四）拟委任的主要人员汇总表</w:t>
      </w:r>
    </w:p>
    <w:p>
      <w:pPr>
        <w:jc w:val="both"/>
        <w:rPr>
          <w:rFonts w:asciiTheme="minorEastAsia" w:hAnsiTheme="minorEastAsia" w:eastAsiaTheme="minorEastAsia"/>
          <w:b w:val="0"/>
          <w:sz w:val="24"/>
          <w:szCs w:val="24"/>
        </w:rPr>
      </w:pPr>
      <w:bookmarkStart w:id="90" w:name="_Toc16826"/>
      <w:r>
        <w:rPr>
          <w:rFonts w:hint="eastAsia" w:asciiTheme="minorEastAsia" w:hAnsiTheme="minorEastAsia" w:eastAsiaTheme="minorEastAsia"/>
          <w:b w:val="0"/>
          <w:sz w:val="24"/>
          <w:szCs w:val="24"/>
        </w:rPr>
        <w:t>（五）主要人员简</w:t>
      </w:r>
      <w:r>
        <w:rPr>
          <w:rFonts w:asciiTheme="minorEastAsia" w:hAnsiTheme="minorEastAsia" w:eastAsiaTheme="minorEastAsia"/>
          <w:b w:val="0"/>
          <w:sz w:val="24"/>
          <w:szCs w:val="24"/>
        </w:rPr>
        <w:t>历表</w:t>
      </w:r>
      <w:bookmarkEnd w:id="90"/>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注：供应商应根据供应商须知前附表第3.5（6）项的要求在本表后附相关证明材料。</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outlineLvl w:val="0"/>
        <w:rPr>
          <w:rFonts w:ascii="黑体" w:hAnsi="黑体" w:eastAsia="黑体" w:cs="仿宋"/>
          <w:sz w:val="36"/>
          <w:szCs w:val="36"/>
        </w:rPr>
      </w:pPr>
      <w:bookmarkStart w:id="91" w:name="_Toc17438"/>
      <w:bookmarkStart w:id="92" w:name="_Toc8638"/>
      <w:bookmarkStart w:id="93" w:name="_Toc22621"/>
      <w:r>
        <w:rPr>
          <w:rFonts w:hint="eastAsia" w:ascii="黑体" w:hAnsi="黑体" w:eastAsia="黑体" w:cs="仿宋"/>
          <w:sz w:val="36"/>
          <w:szCs w:val="36"/>
          <w:lang w:val="en-US" w:eastAsia="zh-CN"/>
        </w:rPr>
        <w:t>五</w:t>
      </w:r>
      <w:r>
        <w:rPr>
          <w:rFonts w:hint="eastAsia" w:ascii="黑体" w:hAnsi="黑体" w:eastAsia="黑体" w:cs="仿宋"/>
          <w:sz w:val="36"/>
          <w:szCs w:val="36"/>
        </w:rPr>
        <w:t>、响应方案</w:t>
      </w:r>
      <w:bookmarkEnd w:id="91"/>
      <w:bookmarkEnd w:id="92"/>
      <w:bookmarkEnd w:id="93"/>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ind w:firstLine="720" w:firstLineChars="300"/>
        <w:jc w:val="both"/>
        <w:rPr>
          <w:rFonts w:cs="仿宋" w:asciiTheme="minorEastAsia" w:hAnsiTheme="minorEastAsia" w:eastAsiaTheme="minorEastAsia"/>
          <w:sz w:val="24"/>
        </w:rPr>
      </w:pPr>
      <w:r>
        <w:rPr>
          <w:rFonts w:hint="eastAsia" w:cs="仿宋" w:asciiTheme="minorEastAsia" w:hAnsiTheme="minorEastAsia" w:eastAsiaTheme="minorEastAsia"/>
          <w:sz w:val="24"/>
        </w:rPr>
        <w:t>(1)对项目的理解;</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(2)服务范围及内容;</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(3)服务工作的依据、工作目标;</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(4)服务机构设置(框图)、岗位职责;</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(5)拟投入本项目的服务人员及主要人员简历;</w:t>
      </w:r>
    </w:p>
    <w:p>
      <w:pPr>
        <w:adjustRightInd w:val="0"/>
        <w:snapToGrid w:val="0"/>
        <w:spacing w:line="600" w:lineRule="exact"/>
        <w:ind w:firstLine="720" w:firstLineChars="300"/>
        <w:jc w:val="both"/>
        <w:rPr>
          <w:rFonts w:cs="仿宋" w:asciiTheme="minorEastAsia" w:hAnsiTheme="minorEastAsia" w:eastAsiaTheme="minorEastAsia"/>
          <w:sz w:val="24"/>
        </w:rPr>
      </w:pPr>
      <w:r>
        <w:rPr>
          <w:rFonts w:hint="eastAsia" w:cs="仿宋" w:asciiTheme="minorEastAsia" w:hAnsiTheme="minorEastAsia" w:eastAsiaTheme="minorEastAsia"/>
          <w:sz w:val="24"/>
        </w:rPr>
        <w:t>(6)拟分包计划及情况说明（本项目不允许分包）;</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(7)服务质量、进度、保密等保证措施;</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(8)服务工作重点、难点分析;</w:t>
      </w:r>
    </w:p>
    <w:p>
      <w:pPr>
        <w:adjustRightInd w:val="0"/>
        <w:snapToGrid w:val="0"/>
        <w:spacing w:line="600" w:lineRule="exact"/>
        <w:ind w:firstLine="720" w:firstLineChars="300"/>
        <w:jc w:val="both"/>
        <w:rPr>
          <w:rFonts w:cs="仿宋" w:asciiTheme="minorEastAsia" w:hAnsiTheme="minorEastAsia" w:eastAsiaTheme="minorEastAsia"/>
          <w:sz w:val="24"/>
        </w:rPr>
      </w:pPr>
      <w:r>
        <w:rPr>
          <w:rFonts w:hint="eastAsia" w:cs="仿宋" w:asciiTheme="minorEastAsia" w:hAnsiTheme="minorEastAsia" w:eastAsiaTheme="minorEastAsia"/>
          <w:sz w:val="24"/>
        </w:rPr>
        <w:t>(9)对本项目的合理化建议。</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outlineLvl w:val="0"/>
        <w:rPr>
          <w:rFonts w:hint="eastAsia" w:ascii="黑体" w:hAnsi="黑体" w:eastAsia="黑体" w:cs="仿宋"/>
          <w:sz w:val="36"/>
          <w:szCs w:val="36"/>
        </w:rPr>
      </w:pPr>
      <w:bookmarkStart w:id="94" w:name="_Toc31465"/>
      <w:bookmarkStart w:id="95" w:name="_Toc26741"/>
      <w:bookmarkStart w:id="96" w:name="_Toc32229"/>
      <w:r>
        <w:rPr>
          <w:rFonts w:hint="eastAsia" w:ascii="黑体" w:hAnsi="黑体" w:eastAsia="黑体" w:cs="仿宋"/>
          <w:sz w:val="36"/>
          <w:szCs w:val="36"/>
          <w:lang w:val="en-US" w:eastAsia="zh-CN"/>
        </w:rPr>
        <w:t>六、</w:t>
      </w:r>
      <w:r>
        <w:rPr>
          <w:rFonts w:hint="eastAsia" w:ascii="黑体" w:hAnsi="黑体" w:eastAsia="黑体" w:cs="仿宋"/>
          <w:sz w:val="36"/>
          <w:szCs w:val="36"/>
        </w:rPr>
        <w:t>其他资料</w:t>
      </w:r>
      <w:bookmarkEnd w:id="94"/>
      <w:bookmarkEnd w:id="95"/>
      <w:bookmarkEnd w:id="96"/>
    </w:p>
    <w:bookmarkEnd w:id="9"/>
    <w:p>
      <w:pPr>
        <w:spacing w:line="240" w:lineRule="auto"/>
        <w:jc w:val="both"/>
        <w:rPr>
          <w:rFonts w:asciiTheme="minorEastAsia" w:hAnsiTheme="minorEastAsia" w:eastAsiaTheme="minorEastAsia"/>
          <w:sz w:val="24"/>
        </w:rPr>
      </w:pPr>
    </w:p>
    <w:sectPr>
      <w:footerReference r:id="rId7" w:type="default"/>
      <w:pgSz w:w="11906" w:h="16838"/>
      <w:pgMar w:top="1797" w:right="1440" w:bottom="1797" w:left="1440" w:header="907" w:footer="1344" w:gutter="0"/>
      <w:pgBorders>
        <w:top w:val="none" w:sz="0" w:space="0"/>
        <w:left w:val="none" w:sz="0" w:space="0"/>
        <w:bottom w:val="none" w:sz="0" w:space="0"/>
        <w:right w:val="none" w:sz="0" w:space="0"/>
      </w:pgBorders>
      <w:pgNumType w:start="1"/>
      <w:cols w:space="720" w:num="1"/>
      <w:vAlign w:val="both"/>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1"/>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9</w:t>
        </w:r>
        <w:r>
          <w:rPr>
            <w:sz w:val="20"/>
          </w:rPr>
          <w:fldChar w:fldCharType="end"/>
        </w:r>
      </w:p>
    </w:sdtContent>
  </w:sdt>
  <w:p>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pPr>
      <w:r>
        <w:separator/>
      </w:r>
    </w:p>
  </w:footnote>
  <w:footnote w:type="continuationSeparator" w:id="7">
    <w:p>
      <w:pPr>
        <w:spacing w:line="240" w:lineRule="auto"/>
      </w:pPr>
      <w:r>
        <w:continuationSeparator/>
      </w:r>
    </w:p>
  </w:footnote>
  <w:footnote w:id="0">
    <w:p>
      <w:pPr>
        <w:pStyle w:val="26"/>
        <w:spacing w:line="280" w:lineRule="atLeast"/>
        <w:ind w:left="0" w:firstLine="0"/>
      </w:pPr>
    </w:p>
  </w:footnote>
  <w:footnote w:id="1">
    <w:p>
      <w:pPr>
        <w:pStyle w:val="26"/>
        <w:rPr>
          <w:sz w:val="24"/>
          <w:szCs w:val="24"/>
        </w:rPr>
      </w:pPr>
      <w:r>
        <w:rPr>
          <w:rStyle w:val="45"/>
          <w:sz w:val="24"/>
          <w:szCs w:val="24"/>
        </w:rPr>
        <w:footnoteRef/>
      </w:r>
      <w:r>
        <w:rPr>
          <w:rStyle w:val="45"/>
          <w:sz w:val="24"/>
          <w:szCs w:val="24"/>
        </w:rPr>
        <w:t>4</w:t>
      </w:r>
      <w:r>
        <w:rPr>
          <w:rFonts w:hint="eastAsia"/>
          <w:sz w:val="24"/>
          <w:szCs w:val="24"/>
        </w:rPr>
        <w:t>仅适用于询价采购和竞争性谈判。</w:t>
      </w:r>
    </w:p>
  </w:footnote>
  <w:footnote w:id="2">
    <w:p>
      <w:pPr>
        <w:pStyle w:val="26"/>
        <w:rPr>
          <w:sz w:val="24"/>
          <w:szCs w:val="24"/>
        </w:rPr>
      </w:pPr>
      <w:r>
        <w:rPr>
          <w:rStyle w:val="45"/>
          <w:sz w:val="24"/>
          <w:szCs w:val="24"/>
        </w:rPr>
        <w:footnoteRef/>
      </w:r>
      <w:r>
        <w:rPr>
          <w:rStyle w:val="45"/>
          <w:sz w:val="24"/>
          <w:szCs w:val="24"/>
        </w:rPr>
        <w:t>4</w:t>
      </w:r>
      <w:r>
        <w:rPr>
          <w:rFonts w:hint="eastAsia"/>
          <w:sz w:val="24"/>
          <w:szCs w:val="24"/>
        </w:rPr>
        <w:t>仅适用于询价采购。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4F26E"/>
    <w:multiLevelType w:val="singleLevel"/>
    <w:tmpl w:val="DBA4F26E"/>
    <w:lvl w:ilvl="0" w:tentative="0">
      <w:start w:val="1"/>
      <w:numFmt w:val="decimal"/>
      <w:suff w:val="nothing"/>
      <w:lvlText w:val="（%1）"/>
      <w:lvlJc w:val="left"/>
    </w:lvl>
  </w:abstractNum>
  <w:abstractNum w:abstractNumId="1">
    <w:nsid w:val="03ECED67"/>
    <w:multiLevelType w:val="singleLevel"/>
    <w:tmpl w:val="03ECED67"/>
    <w:lvl w:ilvl="0" w:tentative="0">
      <w:start w:val="4"/>
      <w:numFmt w:val="decimal"/>
      <w:lvlText w:val="%1."/>
      <w:lvlJc w:val="left"/>
      <w:pPr>
        <w:tabs>
          <w:tab w:val="left" w:pos="312"/>
        </w:tabs>
      </w:pPr>
    </w:lvl>
  </w:abstractNum>
  <w:abstractNum w:abstractNumId="2">
    <w:nsid w:val="3601A173"/>
    <w:multiLevelType w:val="singleLevel"/>
    <w:tmpl w:val="3601A173"/>
    <w:lvl w:ilvl="0" w:tentative="0">
      <w:start w:val="1"/>
      <w:numFmt w:val="chineseCounting"/>
      <w:suff w:val="nothing"/>
      <w:lvlText w:val="%1、"/>
      <w:lvlJc w:val="left"/>
      <w:rPr>
        <w:rFonts w:hint="eastAsia"/>
      </w:rPr>
    </w:lvl>
  </w:abstractNum>
  <w:abstractNum w:abstractNumId="3">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kMDI1YzkyMWEwNWRjOThlNjFkYzkzZGIwNDk5ZTUifQ=="/>
  </w:docVars>
  <w:rsids>
    <w:rsidRoot w:val="00124EA9"/>
    <w:rsid w:val="000021E0"/>
    <w:rsid w:val="00002637"/>
    <w:rsid w:val="00003007"/>
    <w:rsid w:val="00004047"/>
    <w:rsid w:val="0000539D"/>
    <w:rsid w:val="00010F56"/>
    <w:rsid w:val="00017249"/>
    <w:rsid w:val="000204AE"/>
    <w:rsid w:val="00024612"/>
    <w:rsid w:val="00044051"/>
    <w:rsid w:val="0004536E"/>
    <w:rsid w:val="00045372"/>
    <w:rsid w:val="00045996"/>
    <w:rsid w:val="00053E1B"/>
    <w:rsid w:val="00067A14"/>
    <w:rsid w:val="00077817"/>
    <w:rsid w:val="00080B47"/>
    <w:rsid w:val="00083E22"/>
    <w:rsid w:val="000A0047"/>
    <w:rsid w:val="000A2545"/>
    <w:rsid w:val="000A7926"/>
    <w:rsid w:val="000B4936"/>
    <w:rsid w:val="000C4E44"/>
    <w:rsid w:val="000C5689"/>
    <w:rsid w:val="000D3A07"/>
    <w:rsid w:val="000E5829"/>
    <w:rsid w:val="000F00D5"/>
    <w:rsid w:val="000F2F60"/>
    <w:rsid w:val="000F3D59"/>
    <w:rsid w:val="000F65C5"/>
    <w:rsid w:val="00100463"/>
    <w:rsid w:val="00101210"/>
    <w:rsid w:val="001039B8"/>
    <w:rsid w:val="00124EA9"/>
    <w:rsid w:val="00133753"/>
    <w:rsid w:val="0013533E"/>
    <w:rsid w:val="00140A5D"/>
    <w:rsid w:val="00141200"/>
    <w:rsid w:val="001421A1"/>
    <w:rsid w:val="0014231F"/>
    <w:rsid w:val="001429F5"/>
    <w:rsid w:val="00144A0B"/>
    <w:rsid w:val="00155F5F"/>
    <w:rsid w:val="0016577A"/>
    <w:rsid w:val="00167F0D"/>
    <w:rsid w:val="00172E5F"/>
    <w:rsid w:val="00175066"/>
    <w:rsid w:val="001847D7"/>
    <w:rsid w:val="00186D78"/>
    <w:rsid w:val="00190AAF"/>
    <w:rsid w:val="001A1831"/>
    <w:rsid w:val="001A77A4"/>
    <w:rsid w:val="001B2C90"/>
    <w:rsid w:val="001B336A"/>
    <w:rsid w:val="001C7EC5"/>
    <w:rsid w:val="001D03F9"/>
    <w:rsid w:val="001D1E40"/>
    <w:rsid w:val="001F28D4"/>
    <w:rsid w:val="001F55EE"/>
    <w:rsid w:val="00200C8B"/>
    <w:rsid w:val="0020642B"/>
    <w:rsid w:val="00207E4F"/>
    <w:rsid w:val="00210B19"/>
    <w:rsid w:val="002152E4"/>
    <w:rsid w:val="0021628B"/>
    <w:rsid w:val="002266C1"/>
    <w:rsid w:val="00240105"/>
    <w:rsid w:val="00244E9B"/>
    <w:rsid w:val="00260308"/>
    <w:rsid w:val="0026094B"/>
    <w:rsid w:val="002720E5"/>
    <w:rsid w:val="002745DF"/>
    <w:rsid w:val="0028027A"/>
    <w:rsid w:val="00281C9C"/>
    <w:rsid w:val="002832EF"/>
    <w:rsid w:val="0028390B"/>
    <w:rsid w:val="00291E30"/>
    <w:rsid w:val="00292A27"/>
    <w:rsid w:val="002A13A6"/>
    <w:rsid w:val="002A3646"/>
    <w:rsid w:val="002A69B8"/>
    <w:rsid w:val="002B20E3"/>
    <w:rsid w:val="002B225E"/>
    <w:rsid w:val="002B7B11"/>
    <w:rsid w:val="002C1929"/>
    <w:rsid w:val="002C340B"/>
    <w:rsid w:val="002D3189"/>
    <w:rsid w:val="002D3DCC"/>
    <w:rsid w:val="002D460A"/>
    <w:rsid w:val="002E1D5F"/>
    <w:rsid w:val="002E311E"/>
    <w:rsid w:val="002E549B"/>
    <w:rsid w:val="002F4C12"/>
    <w:rsid w:val="0031048F"/>
    <w:rsid w:val="003220EE"/>
    <w:rsid w:val="003276E9"/>
    <w:rsid w:val="00333AC7"/>
    <w:rsid w:val="003346E3"/>
    <w:rsid w:val="00335C6C"/>
    <w:rsid w:val="00340982"/>
    <w:rsid w:val="00341BE1"/>
    <w:rsid w:val="00342B79"/>
    <w:rsid w:val="00343219"/>
    <w:rsid w:val="0034750E"/>
    <w:rsid w:val="003536C1"/>
    <w:rsid w:val="00355D89"/>
    <w:rsid w:val="00371495"/>
    <w:rsid w:val="003846CB"/>
    <w:rsid w:val="00392340"/>
    <w:rsid w:val="00392E0D"/>
    <w:rsid w:val="00392E5A"/>
    <w:rsid w:val="003A008A"/>
    <w:rsid w:val="003A21A4"/>
    <w:rsid w:val="003A35E6"/>
    <w:rsid w:val="003A47A2"/>
    <w:rsid w:val="003A7BE3"/>
    <w:rsid w:val="003B1B7D"/>
    <w:rsid w:val="003C0E8A"/>
    <w:rsid w:val="003C71AC"/>
    <w:rsid w:val="003E7A6F"/>
    <w:rsid w:val="003F380F"/>
    <w:rsid w:val="004179C4"/>
    <w:rsid w:val="004212E9"/>
    <w:rsid w:val="00445025"/>
    <w:rsid w:val="004477E9"/>
    <w:rsid w:val="004528FC"/>
    <w:rsid w:val="004529AE"/>
    <w:rsid w:val="00464986"/>
    <w:rsid w:val="00470510"/>
    <w:rsid w:val="00474349"/>
    <w:rsid w:val="00477005"/>
    <w:rsid w:val="00480E54"/>
    <w:rsid w:val="00482A85"/>
    <w:rsid w:val="00483003"/>
    <w:rsid w:val="0048561B"/>
    <w:rsid w:val="00494772"/>
    <w:rsid w:val="0049561F"/>
    <w:rsid w:val="004A3D16"/>
    <w:rsid w:val="004A6BC6"/>
    <w:rsid w:val="004B2465"/>
    <w:rsid w:val="004B24C9"/>
    <w:rsid w:val="004B266A"/>
    <w:rsid w:val="004B3E4A"/>
    <w:rsid w:val="004C4DD2"/>
    <w:rsid w:val="004D1DCD"/>
    <w:rsid w:val="004D2DC8"/>
    <w:rsid w:val="004D6ACE"/>
    <w:rsid w:val="004D702E"/>
    <w:rsid w:val="004E5E10"/>
    <w:rsid w:val="004F03C7"/>
    <w:rsid w:val="004F1CF3"/>
    <w:rsid w:val="004F7BD5"/>
    <w:rsid w:val="004F7F0C"/>
    <w:rsid w:val="0050258D"/>
    <w:rsid w:val="0051116B"/>
    <w:rsid w:val="00514C0F"/>
    <w:rsid w:val="00514DA0"/>
    <w:rsid w:val="00527EEC"/>
    <w:rsid w:val="005307B3"/>
    <w:rsid w:val="00531433"/>
    <w:rsid w:val="0054163E"/>
    <w:rsid w:val="005458F8"/>
    <w:rsid w:val="0054718F"/>
    <w:rsid w:val="0055203E"/>
    <w:rsid w:val="0057297F"/>
    <w:rsid w:val="0057563C"/>
    <w:rsid w:val="00580488"/>
    <w:rsid w:val="0058176A"/>
    <w:rsid w:val="005864F4"/>
    <w:rsid w:val="005932FF"/>
    <w:rsid w:val="005A24DF"/>
    <w:rsid w:val="005A5693"/>
    <w:rsid w:val="005A70E0"/>
    <w:rsid w:val="005B251E"/>
    <w:rsid w:val="005C4BCE"/>
    <w:rsid w:val="005E5529"/>
    <w:rsid w:val="005F29AC"/>
    <w:rsid w:val="005F3C29"/>
    <w:rsid w:val="005F499C"/>
    <w:rsid w:val="00602185"/>
    <w:rsid w:val="00604943"/>
    <w:rsid w:val="00605B85"/>
    <w:rsid w:val="00612206"/>
    <w:rsid w:val="00617F38"/>
    <w:rsid w:val="006417A4"/>
    <w:rsid w:val="006435FD"/>
    <w:rsid w:val="00645395"/>
    <w:rsid w:val="0065638A"/>
    <w:rsid w:val="00656CED"/>
    <w:rsid w:val="00660D70"/>
    <w:rsid w:val="00665B3C"/>
    <w:rsid w:val="00671175"/>
    <w:rsid w:val="00672057"/>
    <w:rsid w:val="00673382"/>
    <w:rsid w:val="00676BDB"/>
    <w:rsid w:val="00686532"/>
    <w:rsid w:val="00690B7C"/>
    <w:rsid w:val="006A12CE"/>
    <w:rsid w:val="006A499F"/>
    <w:rsid w:val="006B1EC2"/>
    <w:rsid w:val="006B3F31"/>
    <w:rsid w:val="006C735F"/>
    <w:rsid w:val="006D2014"/>
    <w:rsid w:val="006D3E72"/>
    <w:rsid w:val="006D74CC"/>
    <w:rsid w:val="006E037A"/>
    <w:rsid w:val="006E0909"/>
    <w:rsid w:val="006E37CB"/>
    <w:rsid w:val="006E4993"/>
    <w:rsid w:val="006E5C39"/>
    <w:rsid w:val="006F5D83"/>
    <w:rsid w:val="007005EB"/>
    <w:rsid w:val="00702A69"/>
    <w:rsid w:val="007265BE"/>
    <w:rsid w:val="00734D60"/>
    <w:rsid w:val="007555FC"/>
    <w:rsid w:val="00755F84"/>
    <w:rsid w:val="007623DE"/>
    <w:rsid w:val="00767FCD"/>
    <w:rsid w:val="00770FF3"/>
    <w:rsid w:val="00771629"/>
    <w:rsid w:val="00773441"/>
    <w:rsid w:val="00773E3D"/>
    <w:rsid w:val="00774100"/>
    <w:rsid w:val="00780488"/>
    <w:rsid w:val="00780A3E"/>
    <w:rsid w:val="0078149B"/>
    <w:rsid w:val="00784672"/>
    <w:rsid w:val="00784F8A"/>
    <w:rsid w:val="00785C21"/>
    <w:rsid w:val="00795746"/>
    <w:rsid w:val="007964EF"/>
    <w:rsid w:val="007C0BD4"/>
    <w:rsid w:val="007C209D"/>
    <w:rsid w:val="007C2355"/>
    <w:rsid w:val="007C74E8"/>
    <w:rsid w:val="007D0497"/>
    <w:rsid w:val="007D29D4"/>
    <w:rsid w:val="007D3081"/>
    <w:rsid w:val="007E1F23"/>
    <w:rsid w:val="007E2A0A"/>
    <w:rsid w:val="007F3D4A"/>
    <w:rsid w:val="007F54A5"/>
    <w:rsid w:val="007F7302"/>
    <w:rsid w:val="0080745B"/>
    <w:rsid w:val="008160A7"/>
    <w:rsid w:val="00822A51"/>
    <w:rsid w:val="00824B55"/>
    <w:rsid w:val="008556DD"/>
    <w:rsid w:val="00855A14"/>
    <w:rsid w:val="00862885"/>
    <w:rsid w:val="00867D79"/>
    <w:rsid w:val="008705DF"/>
    <w:rsid w:val="008762E6"/>
    <w:rsid w:val="00883782"/>
    <w:rsid w:val="00884694"/>
    <w:rsid w:val="00886875"/>
    <w:rsid w:val="00892349"/>
    <w:rsid w:val="00892DCC"/>
    <w:rsid w:val="008933B7"/>
    <w:rsid w:val="00896688"/>
    <w:rsid w:val="008A4531"/>
    <w:rsid w:val="008A6664"/>
    <w:rsid w:val="008B2D72"/>
    <w:rsid w:val="008B5579"/>
    <w:rsid w:val="008B7B27"/>
    <w:rsid w:val="008C4098"/>
    <w:rsid w:val="008C519C"/>
    <w:rsid w:val="008C623B"/>
    <w:rsid w:val="008E6549"/>
    <w:rsid w:val="008F6B51"/>
    <w:rsid w:val="0090589A"/>
    <w:rsid w:val="00927EB5"/>
    <w:rsid w:val="009315C2"/>
    <w:rsid w:val="00935E41"/>
    <w:rsid w:val="00935ED2"/>
    <w:rsid w:val="00952D6D"/>
    <w:rsid w:val="00954F74"/>
    <w:rsid w:val="00955643"/>
    <w:rsid w:val="009573B9"/>
    <w:rsid w:val="00965E94"/>
    <w:rsid w:val="00977C86"/>
    <w:rsid w:val="00983877"/>
    <w:rsid w:val="009A1BD2"/>
    <w:rsid w:val="009A24B1"/>
    <w:rsid w:val="009B084E"/>
    <w:rsid w:val="009B53B2"/>
    <w:rsid w:val="009B5405"/>
    <w:rsid w:val="009B626F"/>
    <w:rsid w:val="009B66AE"/>
    <w:rsid w:val="009D1F92"/>
    <w:rsid w:val="009D6D35"/>
    <w:rsid w:val="009E52B6"/>
    <w:rsid w:val="009F4AF6"/>
    <w:rsid w:val="00A02DDD"/>
    <w:rsid w:val="00A12741"/>
    <w:rsid w:val="00A1311B"/>
    <w:rsid w:val="00A15750"/>
    <w:rsid w:val="00A2148B"/>
    <w:rsid w:val="00A2462C"/>
    <w:rsid w:val="00A27204"/>
    <w:rsid w:val="00A30EE3"/>
    <w:rsid w:val="00A33D67"/>
    <w:rsid w:val="00A362D7"/>
    <w:rsid w:val="00A3767B"/>
    <w:rsid w:val="00A40907"/>
    <w:rsid w:val="00A41388"/>
    <w:rsid w:val="00A477C0"/>
    <w:rsid w:val="00A507DC"/>
    <w:rsid w:val="00A54E02"/>
    <w:rsid w:val="00A650A2"/>
    <w:rsid w:val="00A67EC8"/>
    <w:rsid w:val="00A76CD8"/>
    <w:rsid w:val="00A77E6F"/>
    <w:rsid w:val="00A81F80"/>
    <w:rsid w:val="00A86144"/>
    <w:rsid w:val="00A868EF"/>
    <w:rsid w:val="00A906E2"/>
    <w:rsid w:val="00AA0F15"/>
    <w:rsid w:val="00AA6CF7"/>
    <w:rsid w:val="00AD2A48"/>
    <w:rsid w:val="00AD2C8A"/>
    <w:rsid w:val="00AD6819"/>
    <w:rsid w:val="00AE15F3"/>
    <w:rsid w:val="00AE4E0B"/>
    <w:rsid w:val="00AF4CC2"/>
    <w:rsid w:val="00B013BE"/>
    <w:rsid w:val="00B01BCC"/>
    <w:rsid w:val="00B14C34"/>
    <w:rsid w:val="00B17409"/>
    <w:rsid w:val="00B25D89"/>
    <w:rsid w:val="00B3664B"/>
    <w:rsid w:val="00B42A34"/>
    <w:rsid w:val="00B439A9"/>
    <w:rsid w:val="00B4446C"/>
    <w:rsid w:val="00B558A3"/>
    <w:rsid w:val="00B60605"/>
    <w:rsid w:val="00B64A25"/>
    <w:rsid w:val="00B6591E"/>
    <w:rsid w:val="00B66C84"/>
    <w:rsid w:val="00B80BE7"/>
    <w:rsid w:val="00B82043"/>
    <w:rsid w:val="00B861B6"/>
    <w:rsid w:val="00B91731"/>
    <w:rsid w:val="00B9193D"/>
    <w:rsid w:val="00B92BED"/>
    <w:rsid w:val="00B938D9"/>
    <w:rsid w:val="00B95169"/>
    <w:rsid w:val="00BA3720"/>
    <w:rsid w:val="00BA4291"/>
    <w:rsid w:val="00BA6815"/>
    <w:rsid w:val="00BA6DC7"/>
    <w:rsid w:val="00BA6DCF"/>
    <w:rsid w:val="00BA783A"/>
    <w:rsid w:val="00BB00AF"/>
    <w:rsid w:val="00BB1B83"/>
    <w:rsid w:val="00BB3943"/>
    <w:rsid w:val="00BB53FF"/>
    <w:rsid w:val="00BC08B5"/>
    <w:rsid w:val="00BC5446"/>
    <w:rsid w:val="00BD7A21"/>
    <w:rsid w:val="00BE382F"/>
    <w:rsid w:val="00BF2669"/>
    <w:rsid w:val="00BF3D61"/>
    <w:rsid w:val="00BF69BF"/>
    <w:rsid w:val="00C03C07"/>
    <w:rsid w:val="00C12666"/>
    <w:rsid w:val="00C14B63"/>
    <w:rsid w:val="00C16814"/>
    <w:rsid w:val="00C22565"/>
    <w:rsid w:val="00C309BD"/>
    <w:rsid w:val="00C36768"/>
    <w:rsid w:val="00C4508E"/>
    <w:rsid w:val="00C52E06"/>
    <w:rsid w:val="00C53A90"/>
    <w:rsid w:val="00C54AC5"/>
    <w:rsid w:val="00C56306"/>
    <w:rsid w:val="00C6092D"/>
    <w:rsid w:val="00C7182C"/>
    <w:rsid w:val="00C802EA"/>
    <w:rsid w:val="00C80A31"/>
    <w:rsid w:val="00C80A7E"/>
    <w:rsid w:val="00C82613"/>
    <w:rsid w:val="00C938B5"/>
    <w:rsid w:val="00C94DBF"/>
    <w:rsid w:val="00CB2271"/>
    <w:rsid w:val="00CB35D3"/>
    <w:rsid w:val="00CC21BC"/>
    <w:rsid w:val="00CC2B5B"/>
    <w:rsid w:val="00CD2E69"/>
    <w:rsid w:val="00CD5814"/>
    <w:rsid w:val="00CE020B"/>
    <w:rsid w:val="00CE29B8"/>
    <w:rsid w:val="00CE6C1F"/>
    <w:rsid w:val="00CE71D2"/>
    <w:rsid w:val="00CE7226"/>
    <w:rsid w:val="00CE7D8E"/>
    <w:rsid w:val="00CF1379"/>
    <w:rsid w:val="00CF1E04"/>
    <w:rsid w:val="00CF36EE"/>
    <w:rsid w:val="00D1160E"/>
    <w:rsid w:val="00D1328D"/>
    <w:rsid w:val="00D26E74"/>
    <w:rsid w:val="00D27461"/>
    <w:rsid w:val="00D30D7D"/>
    <w:rsid w:val="00D32AD3"/>
    <w:rsid w:val="00D34479"/>
    <w:rsid w:val="00D35B47"/>
    <w:rsid w:val="00D44DE9"/>
    <w:rsid w:val="00D4514A"/>
    <w:rsid w:val="00D47F7C"/>
    <w:rsid w:val="00D52D42"/>
    <w:rsid w:val="00D5313A"/>
    <w:rsid w:val="00D56D4E"/>
    <w:rsid w:val="00D812B2"/>
    <w:rsid w:val="00D841AD"/>
    <w:rsid w:val="00D86B1B"/>
    <w:rsid w:val="00D90F37"/>
    <w:rsid w:val="00D92EB2"/>
    <w:rsid w:val="00D945A5"/>
    <w:rsid w:val="00D962D6"/>
    <w:rsid w:val="00DA2E85"/>
    <w:rsid w:val="00DA3A70"/>
    <w:rsid w:val="00DA6572"/>
    <w:rsid w:val="00DB2007"/>
    <w:rsid w:val="00DB5C3B"/>
    <w:rsid w:val="00DC3790"/>
    <w:rsid w:val="00DC758D"/>
    <w:rsid w:val="00DD03AC"/>
    <w:rsid w:val="00DD081E"/>
    <w:rsid w:val="00DD63AD"/>
    <w:rsid w:val="00DD7197"/>
    <w:rsid w:val="00DF2B35"/>
    <w:rsid w:val="00E006FA"/>
    <w:rsid w:val="00E03639"/>
    <w:rsid w:val="00E07092"/>
    <w:rsid w:val="00E10A95"/>
    <w:rsid w:val="00E25112"/>
    <w:rsid w:val="00E263FD"/>
    <w:rsid w:val="00E30201"/>
    <w:rsid w:val="00E366AD"/>
    <w:rsid w:val="00E42185"/>
    <w:rsid w:val="00E44E6A"/>
    <w:rsid w:val="00E5145F"/>
    <w:rsid w:val="00E5459C"/>
    <w:rsid w:val="00E61B4A"/>
    <w:rsid w:val="00E65DCA"/>
    <w:rsid w:val="00E828A3"/>
    <w:rsid w:val="00E839E1"/>
    <w:rsid w:val="00E8703F"/>
    <w:rsid w:val="00E92652"/>
    <w:rsid w:val="00EA246C"/>
    <w:rsid w:val="00EA3253"/>
    <w:rsid w:val="00EB3032"/>
    <w:rsid w:val="00EB36F8"/>
    <w:rsid w:val="00EB3D32"/>
    <w:rsid w:val="00EB7BD1"/>
    <w:rsid w:val="00EC1A38"/>
    <w:rsid w:val="00EC394D"/>
    <w:rsid w:val="00EC5AF3"/>
    <w:rsid w:val="00ED18F1"/>
    <w:rsid w:val="00ED2293"/>
    <w:rsid w:val="00EE75AA"/>
    <w:rsid w:val="00EF2773"/>
    <w:rsid w:val="00EF3D0E"/>
    <w:rsid w:val="00F014DF"/>
    <w:rsid w:val="00F067FF"/>
    <w:rsid w:val="00F11BEA"/>
    <w:rsid w:val="00F138CF"/>
    <w:rsid w:val="00F17C9D"/>
    <w:rsid w:val="00F240AA"/>
    <w:rsid w:val="00F2509D"/>
    <w:rsid w:val="00F27EFD"/>
    <w:rsid w:val="00F30762"/>
    <w:rsid w:val="00F31726"/>
    <w:rsid w:val="00F40991"/>
    <w:rsid w:val="00F449A4"/>
    <w:rsid w:val="00F452CA"/>
    <w:rsid w:val="00F51761"/>
    <w:rsid w:val="00F51B37"/>
    <w:rsid w:val="00F552F8"/>
    <w:rsid w:val="00F70B89"/>
    <w:rsid w:val="00F725CC"/>
    <w:rsid w:val="00F76C2C"/>
    <w:rsid w:val="00F86C0E"/>
    <w:rsid w:val="00F87F1F"/>
    <w:rsid w:val="00F92BBD"/>
    <w:rsid w:val="00FA004A"/>
    <w:rsid w:val="00FA688E"/>
    <w:rsid w:val="00FB76D6"/>
    <w:rsid w:val="00FB7FEC"/>
    <w:rsid w:val="00FC0CDA"/>
    <w:rsid w:val="00FC2557"/>
    <w:rsid w:val="00FC3155"/>
    <w:rsid w:val="00FC6379"/>
    <w:rsid w:val="00FD0360"/>
    <w:rsid w:val="00FD4D0F"/>
    <w:rsid w:val="00FD78D6"/>
    <w:rsid w:val="00FE3439"/>
    <w:rsid w:val="00FE5003"/>
    <w:rsid w:val="00FF43B1"/>
    <w:rsid w:val="01AC7279"/>
    <w:rsid w:val="05EF1FFE"/>
    <w:rsid w:val="071C2DD7"/>
    <w:rsid w:val="082838F8"/>
    <w:rsid w:val="0983749D"/>
    <w:rsid w:val="09C6304D"/>
    <w:rsid w:val="0AED2D32"/>
    <w:rsid w:val="0C905B62"/>
    <w:rsid w:val="0CAD3E6B"/>
    <w:rsid w:val="0DA84C14"/>
    <w:rsid w:val="0DB759FC"/>
    <w:rsid w:val="0E891CDE"/>
    <w:rsid w:val="119E5E08"/>
    <w:rsid w:val="16314BAD"/>
    <w:rsid w:val="16333C36"/>
    <w:rsid w:val="16BA6B8B"/>
    <w:rsid w:val="17594306"/>
    <w:rsid w:val="17D539F2"/>
    <w:rsid w:val="19097045"/>
    <w:rsid w:val="191463FB"/>
    <w:rsid w:val="1C83084E"/>
    <w:rsid w:val="1E1F3B60"/>
    <w:rsid w:val="1F1013E5"/>
    <w:rsid w:val="1F2E0BFF"/>
    <w:rsid w:val="1FBF76D7"/>
    <w:rsid w:val="212E078A"/>
    <w:rsid w:val="247B6E76"/>
    <w:rsid w:val="264E6DB9"/>
    <w:rsid w:val="26A05072"/>
    <w:rsid w:val="2872440F"/>
    <w:rsid w:val="2BF10955"/>
    <w:rsid w:val="2E41641E"/>
    <w:rsid w:val="2E944985"/>
    <w:rsid w:val="2FD26F55"/>
    <w:rsid w:val="30096558"/>
    <w:rsid w:val="30DE2DAE"/>
    <w:rsid w:val="32574BED"/>
    <w:rsid w:val="32756EB2"/>
    <w:rsid w:val="339248A7"/>
    <w:rsid w:val="34874156"/>
    <w:rsid w:val="35032B89"/>
    <w:rsid w:val="379B30ED"/>
    <w:rsid w:val="37E36BED"/>
    <w:rsid w:val="3B2B40CB"/>
    <w:rsid w:val="3C412453"/>
    <w:rsid w:val="3FB93C81"/>
    <w:rsid w:val="431E0248"/>
    <w:rsid w:val="44D14A1F"/>
    <w:rsid w:val="4503099B"/>
    <w:rsid w:val="453D7EFA"/>
    <w:rsid w:val="46480423"/>
    <w:rsid w:val="46C44BD5"/>
    <w:rsid w:val="46FD0ED7"/>
    <w:rsid w:val="47D44A52"/>
    <w:rsid w:val="4A8F25BB"/>
    <w:rsid w:val="4B904344"/>
    <w:rsid w:val="4BB73BE9"/>
    <w:rsid w:val="4BEB2031"/>
    <w:rsid w:val="4E5F0909"/>
    <w:rsid w:val="4E6200BB"/>
    <w:rsid w:val="50203001"/>
    <w:rsid w:val="503E08F6"/>
    <w:rsid w:val="546D2190"/>
    <w:rsid w:val="56820D5B"/>
    <w:rsid w:val="57096D7C"/>
    <w:rsid w:val="59222FD8"/>
    <w:rsid w:val="5C862F7C"/>
    <w:rsid w:val="5E007081"/>
    <w:rsid w:val="5FC5301A"/>
    <w:rsid w:val="62525166"/>
    <w:rsid w:val="63100281"/>
    <w:rsid w:val="63310F09"/>
    <w:rsid w:val="63B84F56"/>
    <w:rsid w:val="663E10C6"/>
    <w:rsid w:val="673D5D9B"/>
    <w:rsid w:val="67DB2C51"/>
    <w:rsid w:val="68562B5B"/>
    <w:rsid w:val="686B311E"/>
    <w:rsid w:val="6B533C17"/>
    <w:rsid w:val="6DF6375F"/>
    <w:rsid w:val="6FD45398"/>
    <w:rsid w:val="71246B10"/>
    <w:rsid w:val="73BC5AD9"/>
    <w:rsid w:val="764D1C01"/>
    <w:rsid w:val="7C7149C8"/>
    <w:rsid w:val="7D1928A3"/>
    <w:rsid w:val="7DB135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3">
    <w:name w:val="heading 2"/>
    <w:basedOn w:val="1"/>
    <w:next w:val="2"/>
    <w:link w:val="47"/>
    <w:qFormat/>
    <w:uiPriority w:val="0"/>
    <w:pPr>
      <w:spacing w:before="100" w:beforeAutospacing="1" w:after="100" w:afterAutospacing="1"/>
      <w:outlineLvl w:val="1"/>
    </w:pPr>
    <w:rPr>
      <w:rFonts w:ascii="宋体" w:hAnsi="宋体"/>
      <w:b/>
      <w:bCs/>
      <w:kern w:val="0"/>
      <w:sz w:val="36"/>
      <w:szCs w:val="36"/>
    </w:rPr>
  </w:style>
  <w:style w:type="paragraph" w:styleId="2">
    <w:name w:val="heading 3"/>
    <w:basedOn w:val="3"/>
    <w:next w:val="1"/>
    <w:link w:val="229"/>
    <w:semiHidden/>
    <w:unhideWhenUsed/>
    <w:qFormat/>
    <w:uiPriority w:val="9"/>
    <w:pPr>
      <w:keepNext/>
      <w:keepLines/>
      <w:spacing w:before="260" w:after="260" w:line="416" w:lineRule="atLeast"/>
      <w:outlineLvl w:val="2"/>
    </w:pPr>
    <w:rPr>
      <w:sz w:val="32"/>
      <w:szCs w:val="32"/>
    </w:rPr>
  </w:style>
  <w:style w:type="paragraph" w:styleId="5">
    <w:name w:val="heading 4"/>
    <w:basedOn w:val="1"/>
    <w:next w:val="1"/>
    <w:link w:val="183"/>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38">
    <w:name w:val="Default Paragraph Font"/>
    <w:semiHidden/>
    <w:unhideWhenUsed/>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ind w:left="1680" w:hanging="210"/>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pPr>
    <w:rPr>
      <w:rFonts w:ascii="Calibri" w:hAnsi="Calibri"/>
      <w:sz w:val="20"/>
      <w:szCs w:val="20"/>
    </w:rPr>
  </w:style>
  <w:style w:type="paragraph" w:styleId="9">
    <w:name w:val="Document Map"/>
    <w:basedOn w:val="1"/>
    <w:link w:val="167"/>
    <w:semiHidden/>
    <w:qFormat/>
    <w:uiPriority w:val="0"/>
    <w:pPr>
      <w:shd w:val="clear" w:color="auto" w:fill="000080"/>
    </w:pPr>
    <w:rPr>
      <w:rFonts w:asciiTheme="minorHAnsi" w:hAnsiTheme="minorHAnsi" w:eastAsiaTheme="minorEastAsia" w:cstheme="minorBidi"/>
    </w:rPr>
  </w:style>
  <w:style w:type="paragraph" w:styleId="10">
    <w:name w:val="annotation text"/>
    <w:basedOn w:val="1"/>
    <w:link w:val="164"/>
    <w:semiHidden/>
    <w:qFormat/>
    <w:uiPriority w:val="0"/>
    <w:rPr>
      <w:rFonts w:asciiTheme="minorHAnsi" w:hAnsiTheme="minorHAnsi" w:eastAsiaTheme="minorEastAsia" w:cstheme="minorBidi"/>
    </w:rPr>
  </w:style>
  <w:style w:type="paragraph" w:styleId="11">
    <w:name w:val="index 6"/>
    <w:basedOn w:val="1"/>
    <w:next w:val="1"/>
    <w:qFormat/>
    <w:uiPriority w:val="0"/>
    <w:pPr>
      <w:ind w:left="1260" w:hanging="210"/>
    </w:pPr>
    <w:rPr>
      <w:rFonts w:ascii="Calibri" w:hAnsi="Calibri"/>
      <w:sz w:val="20"/>
      <w:szCs w:val="20"/>
    </w:rPr>
  </w:style>
  <w:style w:type="paragraph" w:styleId="12">
    <w:name w:val="Body Text 3"/>
    <w:basedOn w:val="1"/>
    <w:link w:val="175"/>
    <w:semiHidden/>
    <w:unhideWhenUsed/>
    <w:qFormat/>
    <w:uiPriority w:val="99"/>
    <w:pPr>
      <w:spacing w:after="120"/>
    </w:pPr>
    <w:rPr>
      <w:sz w:val="16"/>
      <w:szCs w:val="16"/>
    </w:rPr>
  </w:style>
  <w:style w:type="paragraph" w:styleId="13">
    <w:name w:val="Body Text"/>
    <w:basedOn w:val="1"/>
    <w:link w:val="181"/>
    <w:semiHidden/>
    <w:unhideWhenUsed/>
    <w:qFormat/>
    <w:uiPriority w:val="99"/>
    <w:pPr>
      <w:spacing w:after="120"/>
    </w:pPr>
  </w:style>
  <w:style w:type="paragraph" w:styleId="14">
    <w:name w:val="index 4"/>
    <w:basedOn w:val="1"/>
    <w:next w:val="1"/>
    <w:qFormat/>
    <w:uiPriority w:val="0"/>
    <w:pPr>
      <w:ind w:left="840" w:hanging="210"/>
    </w:pPr>
    <w:rPr>
      <w:rFonts w:ascii="Calibri" w:hAnsi="Calibri"/>
      <w:sz w:val="20"/>
      <w:szCs w:val="20"/>
    </w:rPr>
  </w:style>
  <w:style w:type="paragraph" w:styleId="15">
    <w:name w:val="Plain Text"/>
    <w:basedOn w:val="1"/>
    <w:link w:val="178"/>
    <w:unhideWhenUsed/>
    <w:qFormat/>
    <w:uiPriority w:val="99"/>
    <w:pPr>
      <w:widowControl w:val="0"/>
      <w:spacing w:line="240" w:lineRule="auto"/>
      <w:jc w:val="both"/>
    </w:pPr>
    <w:rPr>
      <w:rFonts w:ascii="宋体" w:hAnsi="Courier New" w:cs="Courier New"/>
      <w:szCs w:val="21"/>
    </w:rPr>
  </w:style>
  <w:style w:type="paragraph" w:styleId="16">
    <w:name w:val="index 3"/>
    <w:basedOn w:val="1"/>
    <w:next w:val="1"/>
    <w:qFormat/>
    <w:uiPriority w:val="0"/>
    <w:pPr>
      <w:ind w:left="630" w:hanging="210"/>
    </w:pPr>
    <w:rPr>
      <w:rFonts w:ascii="Calibri" w:hAnsi="Calibri"/>
      <w:sz w:val="20"/>
      <w:szCs w:val="20"/>
    </w:rPr>
  </w:style>
  <w:style w:type="paragraph" w:styleId="17">
    <w:name w:val="Date"/>
    <w:basedOn w:val="1"/>
    <w:next w:val="1"/>
    <w:link w:val="166"/>
    <w:qFormat/>
    <w:uiPriority w:val="99"/>
    <w:pPr>
      <w:ind w:left="100" w:leftChars="2500"/>
    </w:pPr>
    <w:rPr>
      <w:rFonts w:asciiTheme="minorHAnsi" w:hAnsiTheme="minorHAnsi" w:eastAsiaTheme="minorEastAsia" w:cstheme="minorBidi"/>
    </w:rPr>
  </w:style>
  <w:style w:type="paragraph" w:styleId="18">
    <w:name w:val="Body Text Indent 2"/>
    <w:basedOn w:val="1"/>
    <w:link w:val="156"/>
    <w:qFormat/>
    <w:uiPriority w:val="99"/>
    <w:pPr>
      <w:spacing w:after="120" w:line="480" w:lineRule="auto"/>
      <w:ind w:left="420" w:leftChars="200"/>
    </w:pPr>
    <w:rPr>
      <w:rFonts w:asciiTheme="minorHAnsi" w:hAnsiTheme="minorHAnsi" w:eastAsiaTheme="minorEastAsia" w:cstheme="minorBidi"/>
    </w:rPr>
  </w:style>
  <w:style w:type="paragraph" w:styleId="19">
    <w:name w:val="endnote text"/>
    <w:basedOn w:val="1"/>
    <w:link w:val="173"/>
    <w:semiHidden/>
    <w:qFormat/>
    <w:uiPriority w:val="0"/>
    <w:pPr>
      <w:snapToGrid w:val="0"/>
    </w:pPr>
    <w:rPr>
      <w:rFonts w:asciiTheme="minorHAnsi" w:hAnsiTheme="minorHAnsi" w:eastAsiaTheme="minorEastAsia" w:cstheme="minorBidi"/>
    </w:rPr>
  </w:style>
  <w:style w:type="paragraph" w:styleId="20">
    <w:name w:val="Balloon Text"/>
    <w:basedOn w:val="1"/>
    <w:link w:val="142"/>
    <w:qFormat/>
    <w:uiPriority w:val="99"/>
    <w:rPr>
      <w:rFonts w:asciiTheme="minorHAnsi" w:hAnsiTheme="minorHAnsi" w:eastAsiaTheme="minorEastAsia" w:cstheme="minorBidi"/>
      <w:sz w:val="18"/>
      <w:szCs w:val="18"/>
    </w:rPr>
  </w:style>
  <w:style w:type="paragraph" w:styleId="21">
    <w:name w:val="footer"/>
    <w:basedOn w:val="1"/>
    <w:link w:val="163"/>
    <w:qFormat/>
    <w:uiPriority w:val="99"/>
    <w:pPr>
      <w:snapToGrid w:val="0"/>
      <w:ind w:right="210" w:rightChars="100"/>
      <w:jc w:val="right"/>
    </w:pPr>
    <w:rPr>
      <w:rFonts w:asciiTheme="minorHAnsi" w:hAnsiTheme="minorHAnsi" w:eastAsiaTheme="minorEastAsia" w:cstheme="minorBidi"/>
      <w:sz w:val="18"/>
      <w:szCs w:val="18"/>
    </w:rPr>
  </w:style>
  <w:style w:type="paragraph" w:styleId="22">
    <w:name w:val="header"/>
    <w:basedOn w:val="1"/>
    <w:link w:val="145"/>
    <w:qFormat/>
    <w:uiPriority w:val="99"/>
    <w:pPr>
      <w:snapToGrid w:val="0"/>
    </w:pPr>
    <w:rPr>
      <w:rFonts w:asciiTheme="minorHAnsi" w:hAnsiTheme="minorHAnsi" w:eastAsiaTheme="minorEastAsia" w:cstheme="minorBidi"/>
      <w:sz w:val="18"/>
      <w:szCs w:val="18"/>
    </w:rPr>
  </w:style>
  <w:style w:type="paragraph" w:styleId="23">
    <w:name w:val="toc 1"/>
    <w:basedOn w:val="1"/>
    <w:next w:val="1"/>
    <w:semiHidden/>
    <w:qFormat/>
    <w:uiPriority w:val="0"/>
    <w:pPr>
      <w:tabs>
        <w:tab w:val="right" w:leader="dot" w:pos="9242"/>
      </w:tabs>
      <w:spacing w:beforeLines="25" w:afterLines="25"/>
    </w:pPr>
    <w:rPr>
      <w:rFonts w:ascii="宋体"/>
      <w:szCs w:val="21"/>
    </w:rPr>
  </w:style>
  <w:style w:type="paragraph" w:styleId="24">
    <w:name w:val="index heading"/>
    <w:basedOn w:val="1"/>
    <w:next w:val="25"/>
    <w:qFormat/>
    <w:uiPriority w:val="0"/>
    <w:pPr>
      <w:spacing w:before="120" w:after="120"/>
      <w:jc w:val="center"/>
    </w:pPr>
    <w:rPr>
      <w:rFonts w:ascii="Calibri" w:hAnsi="Calibri"/>
      <w:b/>
      <w:bCs/>
      <w:iCs/>
      <w:szCs w:val="20"/>
    </w:rPr>
  </w:style>
  <w:style w:type="paragraph" w:styleId="25">
    <w:name w:val="index 1"/>
    <w:basedOn w:val="1"/>
    <w:next w:val="1"/>
    <w:unhideWhenUsed/>
    <w:qFormat/>
    <w:uiPriority w:val="0"/>
  </w:style>
  <w:style w:type="paragraph" w:styleId="26">
    <w:name w:val="footnote text"/>
    <w:basedOn w:val="1"/>
    <w:link w:val="152"/>
    <w:qFormat/>
    <w:uiPriority w:val="0"/>
    <w:pPr>
      <w:tabs>
        <w:tab w:val="left" w:pos="0"/>
      </w:tabs>
      <w:snapToGrid w:val="0"/>
      <w:ind w:left="720" w:hanging="357"/>
    </w:pPr>
    <w:rPr>
      <w:rFonts w:ascii="宋体" w:hAnsiTheme="minorHAnsi" w:eastAsiaTheme="minorEastAsia" w:cstheme="minorBidi"/>
      <w:sz w:val="18"/>
      <w:szCs w:val="18"/>
    </w:rPr>
  </w:style>
  <w:style w:type="paragraph" w:styleId="27">
    <w:name w:val="index 7"/>
    <w:basedOn w:val="1"/>
    <w:next w:val="1"/>
    <w:qFormat/>
    <w:uiPriority w:val="0"/>
    <w:pPr>
      <w:ind w:left="1470" w:hanging="210"/>
    </w:pPr>
    <w:rPr>
      <w:rFonts w:ascii="Calibri" w:hAnsi="Calibri"/>
      <w:sz w:val="20"/>
      <w:szCs w:val="20"/>
    </w:rPr>
  </w:style>
  <w:style w:type="paragraph" w:styleId="28">
    <w:name w:val="index 9"/>
    <w:basedOn w:val="1"/>
    <w:next w:val="1"/>
    <w:qFormat/>
    <w:uiPriority w:val="0"/>
    <w:pPr>
      <w:ind w:left="1890" w:hanging="210"/>
    </w:pPr>
    <w:rPr>
      <w:rFonts w:ascii="Calibri" w:hAnsi="Calibri"/>
      <w:sz w:val="20"/>
      <w:szCs w:val="20"/>
    </w:rPr>
  </w:style>
  <w:style w:type="paragraph" w:styleId="29">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0">
    <w:name w:val="HTML Preformatted"/>
    <w:basedOn w:val="1"/>
    <w:link w:val="150"/>
    <w:qFormat/>
    <w:uiPriority w:val="0"/>
    <w:rPr>
      <w:rFonts w:ascii="Courier New" w:hAnsi="Courier New" w:cs="Courier New" w:eastAsiaTheme="minorEastAsia"/>
      <w:szCs w:val="22"/>
    </w:rPr>
  </w:style>
  <w:style w:type="paragraph" w:styleId="31">
    <w:name w:val="Normal (Web)"/>
    <w:basedOn w:val="1"/>
    <w:unhideWhenUsed/>
    <w:qFormat/>
    <w:uiPriority w:val="99"/>
    <w:pPr>
      <w:spacing w:before="100" w:beforeAutospacing="1" w:after="100" w:afterAutospacing="1"/>
    </w:pPr>
    <w:rPr>
      <w:rFonts w:ascii="宋体" w:hAnsi="宋体" w:cs="宋体"/>
      <w:kern w:val="0"/>
      <w:sz w:val="24"/>
    </w:rPr>
  </w:style>
  <w:style w:type="paragraph" w:styleId="32">
    <w:name w:val="index 2"/>
    <w:basedOn w:val="1"/>
    <w:next w:val="1"/>
    <w:qFormat/>
    <w:uiPriority w:val="0"/>
    <w:pPr>
      <w:ind w:left="420" w:hanging="210"/>
    </w:pPr>
    <w:rPr>
      <w:rFonts w:ascii="Calibri" w:hAnsi="Calibri"/>
      <w:sz w:val="20"/>
      <w:szCs w:val="20"/>
    </w:rPr>
  </w:style>
  <w:style w:type="paragraph" w:styleId="33">
    <w:name w:val="Title"/>
    <w:basedOn w:val="1"/>
    <w:link w:val="176"/>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4">
    <w:name w:val="annotation subject"/>
    <w:basedOn w:val="10"/>
    <w:next w:val="10"/>
    <w:link w:val="172"/>
    <w:semiHidden/>
    <w:qFormat/>
    <w:uiPriority w:val="0"/>
    <w:rPr>
      <w:b/>
      <w:bCs/>
    </w:rPr>
  </w:style>
  <w:style w:type="paragraph" w:styleId="35">
    <w:name w:val="Body Text First Indent"/>
    <w:basedOn w:val="13"/>
    <w:link w:val="231"/>
    <w:unhideWhenUsed/>
    <w:qFormat/>
    <w:uiPriority w:val="99"/>
    <w:pPr>
      <w:ind w:firstLine="420" w:firstLineChars="100"/>
    </w:pPr>
  </w:style>
  <w:style w:type="table" w:styleId="37">
    <w:name w:val="Table Grid"/>
    <w:basedOn w:val="3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22"/>
    <w:rPr>
      <w:b/>
      <w:bCs/>
    </w:rPr>
  </w:style>
  <w:style w:type="character" w:styleId="40">
    <w:name w:val="page number"/>
    <w:qFormat/>
    <w:uiPriority w:val="99"/>
    <w:rPr>
      <w:rFonts w:ascii="Times New Roman" w:hAnsi="Times New Roman" w:eastAsia="宋体"/>
      <w:sz w:val="18"/>
    </w:rPr>
  </w:style>
  <w:style w:type="character" w:styleId="41">
    <w:name w:val="FollowedHyperlink"/>
    <w:qFormat/>
    <w:uiPriority w:val="99"/>
    <w:rPr>
      <w:color w:val="800080"/>
      <w:u w:val="single"/>
    </w:rPr>
  </w:style>
  <w:style w:type="character" w:styleId="42">
    <w:name w:val="Emphasis"/>
    <w:qFormat/>
    <w:uiPriority w:val="20"/>
    <w:rPr>
      <w:color w:val="CC0000"/>
    </w:rPr>
  </w:style>
  <w:style w:type="character" w:styleId="43">
    <w:name w:val="Hyperlink"/>
    <w:qFormat/>
    <w:uiPriority w:val="99"/>
    <w:rPr>
      <w:color w:val="0000FF"/>
      <w:spacing w:val="0"/>
      <w:w w:val="100"/>
      <w:szCs w:val="21"/>
      <w:u w:val="single"/>
      <w:lang w:val="en-US" w:eastAsia="zh-CN"/>
    </w:rPr>
  </w:style>
  <w:style w:type="character" w:styleId="44">
    <w:name w:val="annotation reference"/>
    <w:basedOn w:val="38"/>
    <w:semiHidden/>
    <w:unhideWhenUsed/>
    <w:uiPriority w:val="0"/>
    <w:rPr>
      <w:sz w:val="21"/>
      <w:szCs w:val="21"/>
    </w:rPr>
  </w:style>
  <w:style w:type="character" w:styleId="45">
    <w:name w:val="footnote reference"/>
    <w:qFormat/>
    <w:uiPriority w:val="0"/>
    <w:rPr>
      <w:vertAlign w:val="superscript"/>
    </w:rPr>
  </w:style>
  <w:style w:type="character" w:customStyle="1" w:styleId="46">
    <w:name w:val="标题 1 字符"/>
    <w:basedOn w:val="38"/>
    <w:link w:val="4"/>
    <w:qFormat/>
    <w:uiPriority w:val="0"/>
    <w:rPr>
      <w:rFonts w:ascii="Times New Roman" w:hAnsi="Times New Roman" w:eastAsia="宋体" w:cs="Times New Roman"/>
      <w:b/>
      <w:bCs/>
      <w:kern w:val="44"/>
      <w:sz w:val="44"/>
      <w:szCs w:val="44"/>
    </w:rPr>
  </w:style>
  <w:style w:type="character" w:customStyle="1" w:styleId="47">
    <w:name w:val="标题 2 字符"/>
    <w:basedOn w:val="38"/>
    <w:link w:val="3"/>
    <w:qFormat/>
    <w:uiPriority w:val="0"/>
    <w:rPr>
      <w:rFonts w:ascii="宋体" w:hAnsi="宋体" w:eastAsia="宋体" w:cs="Times New Roman"/>
      <w:b/>
      <w:bCs/>
      <w:kern w:val="0"/>
      <w:sz w:val="36"/>
      <w:szCs w:val="36"/>
    </w:rPr>
  </w:style>
  <w:style w:type="character" w:customStyle="1" w:styleId="48">
    <w:name w:val="批注文字 Char"/>
    <w:semiHidden/>
    <w:qFormat/>
    <w:uiPriority w:val="0"/>
    <w:rPr>
      <w:szCs w:val="24"/>
    </w:rPr>
  </w:style>
  <w:style w:type="character" w:customStyle="1" w:styleId="49">
    <w:name w:val="批注主题 Char"/>
    <w:semiHidden/>
    <w:qFormat/>
    <w:uiPriority w:val="0"/>
    <w:rPr>
      <w:b/>
      <w:bCs/>
      <w:szCs w:val="24"/>
    </w:rPr>
  </w:style>
  <w:style w:type="character" w:customStyle="1" w:styleId="50">
    <w:name w:val="文档结构图 Char"/>
    <w:semiHidden/>
    <w:qFormat/>
    <w:uiPriority w:val="0"/>
    <w:rPr>
      <w:szCs w:val="24"/>
      <w:shd w:val="clear" w:color="auto" w:fill="000080"/>
    </w:rPr>
  </w:style>
  <w:style w:type="character" w:customStyle="1" w:styleId="51">
    <w:name w:val="脚注文本 Char"/>
    <w:qFormat/>
    <w:uiPriority w:val="0"/>
    <w:rPr>
      <w:rFonts w:ascii="宋体"/>
      <w:sz w:val="18"/>
      <w:szCs w:val="18"/>
    </w:rPr>
  </w:style>
  <w:style w:type="character" w:customStyle="1" w:styleId="52">
    <w:name w:val="con"/>
    <w:qFormat/>
    <w:uiPriority w:val="0"/>
  </w:style>
  <w:style w:type="character" w:customStyle="1" w:styleId="53">
    <w:name w:val="bar-label2"/>
    <w:qFormat/>
    <w:uiPriority w:val="99"/>
  </w:style>
  <w:style w:type="character" w:customStyle="1" w:styleId="54">
    <w:name w:val="正文文本缩进 2 Char"/>
    <w:qFormat/>
    <w:uiPriority w:val="99"/>
    <w:rPr>
      <w:szCs w:val="24"/>
    </w:rPr>
  </w:style>
  <w:style w:type="character" w:customStyle="1" w:styleId="55">
    <w:name w:val="日期 Char"/>
    <w:qFormat/>
    <w:uiPriority w:val="99"/>
    <w:rPr>
      <w:szCs w:val="24"/>
    </w:rPr>
  </w:style>
  <w:style w:type="character" w:customStyle="1" w:styleId="56">
    <w:name w:val="页脚 Char"/>
    <w:qFormat/>
    <w:locked/>
    <w:uiPriority w:val="99"/>
    <w:rPr>
      <w:sz w:val="18"/>
      <w:szCs w:val="18"/>
    </w:rPr>
  </w:style>
  <w:style w:type="character" w:customStyle="1" w:styleId="57">
    <w:name w:val="apple-converted-space"/>
    <w:basedOn w:val="38"/>
    <w:qFormat/>
    <w:uiPriority w:val="0"/>
  </w:style>
  <w:style w:type="character" w:customStyle="1" w:styleId="58">
    <w:name w:val="批注框文本 Char"/>
    <w:qFormat/>
    <w:uiPriority w:val="99"/>
    <w:rPr>
      <w:sz w:val="18"/>
      <w:szCs w:val="18"/>
    </w:rPr>
  </w:style>
  <w:style w:type="character" w:customStyle="1" w:styleId="59">
    <w:name w:val="页眉 Char"/>
    <w:qFormat/>
    <w:locked/>
    <w:uiPriority w:val="99"/>
    <w:rPr>
      <w:sz w:val="18"/>
      <w:szCs w:val="18"/>
    </w:rPr>
  </w:style>
  <w:style w:type="character" w:customStyle="1" w:styleId="60">
    <w:name w:val="首示例 Char"/>
    <w:link w:val="61"/>
    <w:qFormat/>
    <w:uiPriority w:val="0"/>
    <w:rPr>
      <w:rFonts w:ascii="宋体" w:hAnsi="宋体"/>
      <w:sz w:val="18"/>
      <w:szCs w:val="18"/>
    </w:rPr>
  </w:style>
  <w:style w:type="paragraph" w:customStyle="1" w:styleId="61">
    <w:name w:val="首示例"/>
    <w:next w:val="62"/>
    <w:link w:val="60"/>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2">
    <w:name w:val="段"/>
    <w:link w:val="63"/>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3">
    <w:name w:val="段 Char"/>
    <w:link w:val="62"/>
    <w:qFormat/>
    <w:uiPriority w:val="0"/>
    <w:rPr>
      <w:rFonts w:ascii="宋体"/>
    </w:rPr>
  </w:style>
  <w:style w:type="character" w:customStyle="1" w:styleId="64">
    <w:name w:val="附录公式 Char"/>
    <w:basedOn w:val="63"/>
    <w:link w:val="65"/>
    <w:qFormat/>
    <w:uiPriority w:val="0"/>
    <w:rPr>
      <w:rFonts w:ascii="宋体"/>
    </w:rPr>
  </w:style>
  <w:style w:type="paragraph" w:customStyle="1" w:styleId="65">
    <w:name w:val="附录公式"/>
    <w:basedOn w:val="62"/>
    <w:next w:val="62"/>
    <w:link w:val="64"/>
    <w:qFormat/>
    <w:uiPriority w:val="0"/>
  </w:style>
  <w:style w:type="character" w:customStyle="1" w:styleId="66">
    <w:name w:val="发布"/>
    <w:qFormat/>
    <w:uiPriority w:val="0"/>
    <w:rPr>
      <w:rFonts w:ascii="黑体" w:eastAsia="黑体"/>
      <w:spacing w:val="85"/>
      <w:w w:val="100"/>
      <w:position w:val="3"/>
      <w:sz w:val="28"/>
      <w:szCs w:val="28"/>
    </w:rPr>
  </w:style>
  <w:style w:type="character" w:customStyle="1" w:styleId="67">
    <w:name w:val="一级条标题 Char"/>
    <w:link w:val="68"/>
    <w:qFormat/>
    <w:uiPriority w:val="0"/>
    <w:rPr>
      <w:rFonts w:ascii="黑体" w:eastAsia="黑体"/>
      <w:szCs w:val="21"/>
    </w:rPr>
  </w:style>
  <w:style w:type="paragraph" w:customStyle="1" w:styleId="68">
    <w:name w:val="一级条标题"/>
    <w:next w:val="62"/>
    <w:link w:val="67"/>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69">
    <w:name w:val="HTML 预设格式 Char"/>
    <w:qFormat/>
    <w:uiPriority w:val="0"/>
    <w:rPr>
      <w:rFonts w:ascii="Courier New" w:hAnsi="Courier New" w:cs="Courier New"/>
    </w:rPr>
  </w:style>
  <w:style w:type="character" w:customStyle="1" w:styleId="70">
    <w:name w:val="尾注文本 Char"/>
    <w:semiHidden/>
    <w:qFormat/>
    <w:uiPriority w:val="0"/>
    <w:rPr>
      <w:szCs w:val="24"/>
    </w:rPr>
  </w:style>
  <w:style w:type="paragraph" w:customStyle="1" w:styleId="71">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2">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73">
    <w:name w:val="List Paragraph"/>
    <w:basedOn w:val="1"/>
    <w:qFormat/>
    <w:uiPriority w:val="34"/>
    <w:pPr>
      <w:ind w:firstLine="420" w:firstLineChars="200"/>
    </w:pPr>
    <w:rPr>
      <w:rFonts w:ascii="宋体" w:hAnsi="宋体" w:cs="宋体"/>
      <w:kern w:val="0"/>
      <w:sz w:val="24"/>
    </w:rPr>
  </w:style>
  <w:style w:type="paragraph" w:customStyle="1" w:styleId="74">
    <w:name w:val="封面一致性程度标识2"/>
    <w:basedOn w:val="75"/>
    <w:qFormat/>
    <w:uiPriority w:val="0"/>
    <w:pPr>
      <w:framePr w:wrap="around" w:y="4469"/>
    </w:pPr>
  </w:style>
  <w:style w:type="paragraph" w:customStyle="1" w:styleId="75">
    <w:name w:val="封面一致性程度标识"/>
    <w:basedOn w:val="76"/>
    <w:qFormat/>
    <w:uiPriority w:val="0"/>
    <w:pPr>
      <w:framePr w:wrap="around"/>
      <w:spacing w:before="440"/>
    </w:pPr>
    <w:rPr>
      <w:rFonts w:ascii="宋体" w:eastAsia="宋体"/>
    </w:rPr>
  </w:style>
  <w:style w:type="paragraph" w:customStyle="1" w:styleId="76">
    <w:name w:val="封面标准英文名称"/>
    <w:basedOn w:val="77"/>
    <w:qFormat/>
    <w:uiPriority w:val="0"/>
    <w:pPr>
      <w:framePr w:wrap="around"/>
      <w:spacing w:before="370" w:line="400" w:lineRule="exact"/>
    </w:pPr>
    <w:rPr>
      <w:rFonts w:ascii="Times New Roman"/>
      <w:sz w:val="28"/>
      <w:szCs w:val="28"/>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2"/>
    <w:basedOn w:val="76"/>
    <w:qFormat/>
    <w:uiPriority w:val="0"/>
    <w:pPr>
      <w:framePr w:wrap="around" w:y="4469"/>
    </w:pPr>
  </w:style>
  <w:style w:type="paragraph" w:customStyle="1" w:styleId="79">
    <w:name w:val="其他发布日期"/>
    <w:basedOn w:val="80"/>
    <w:qFormat/>
    <w:uiPriority w:val="0"/>
    <w:pPr>
      <w:framePr w:wrap="around" w:vAnchor="page" w:hAnchor="text" w:x="1419"/>
    </w:pPr>
  </w:style>
  <w:style w:type="paragraph" w:customStyle="1" w:styleId="80">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1">
    <w:name w:val="正文公式编号制表符"/>
    <w:basedOn w:val="62"/>
    <w:next w:val="62"/>
    <w:qFormat/>
    <w:uiPriority w:val="0"/>
    <w:pPr>
      <w:ind w:firstLine="0" w:firstLineChars="0"/>
    </w:pPr>
  </w:style>
  <w:style w:type="paragraph" w:customStyle="1" w:styleId="82">
    <w:name w:val="正文表标题"/>
    <w:next w:val="62"/>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3">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4">
    <w:name w:val="一级无"/>
    <w:basedOn w:val="68"/>
    <w:qFormat/>
    <w:uiPriority w:val="0"/>
  </w:style>
  <w:style w:type="paragraph" w:customStyle="1" w:styleId="85">
    <w:name w:val="图的脚注"/>
    <w:next w:val="62"/>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86">
    <w:name w:val="图标脚注说明"/>
    <w:basedOn w:val="62"/>
    <w:qFormat/>
    <w:uiPriority w:val="0"/>
    <w:pPr>
      <w:ind w:left="840" w:hanging="420" w:firstLineChars="0"/>
    </w:pPr>
    <w:rPr>
      <w:sz w:val="18"/>
      <w:szCs w:val="18"/>
    </w:rPr>
  </w:style>
  <w:style w:type="paragraph" w:customStyle="1" w:styleId="87">
    <w:name w:val="示例后文字"/>
    <w:basedOn w:val="62"/>
    <w:next w:val="62"/>
    <w:qFormat/>
    <w:uiPriority w:val="0"/>
    <w:pPr>
      <w:ind w:firstLine="360"/>
    </w:pPr>
    <w:rPr>
      <w:sz w:val="18"/>
    </w:rPr>
  </w:style>
  <w:style w:type="paragraph" w:customStyle="1" w:styleId="88">
    <w:name w:val="实施日期"/>
    <w:basedOn w:val="80"/>
    <w:qFormat/>
    <w:uiPriority w:val="0"/>
    <w:pPr>
      <w:framePr w:wrap="around" w:vAnchor="page" w:hAnchor="text"/>
      <w:jc w:val="right"/>
    </w:pPr>
  </w:style>
  <w:style w:type="paragraph" w:customStyle="1" w:styleId="89">
    <w:name w:val="前言、引言标题"/>
    <w:next w:val="62"/>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93">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4">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95">
    <w:name w:val="条文脚注"/>
    <w:basedOn w:val="26"/>
    <w:qFormat/>
    <w:uiPriority w:val="0"/>
    <w:pPr>
      <w:ind w:left="0" w:firstLine="0"/>
      <w:jc w:val="both"/>
    </w:pPr>
  </w:style>
  <w:style w:type="paragraph" w:customStyle="1" w:styleId="96">
    <w:name w:val="附录一级无"/>
    <w:basedOn w:val="97"/>
    <w:qFormat/>
    <w:uiPriority w:val="0"/>
    <w:pPr>
      <w:tabs>
        <w:tab w:val="left" w:pos="360"/>
      </w:tabs>
      <w:spacing w:beforeLines="0" w:afterLines="0"/>
    </w:pPr>
    <w:rPr>
      <w:rFonts w:ascii="宋体" w:eastAsia="宋体"/>
      <w:szCs w:val="21"/>
    </w:rPr>
  </w:style>
  <w:style w:type="paragraph" w:customStyle="1" w:styleId="97">
    <w:name w:val="附录一级条标题"/>
    <w:basedOn w:val="98"/>
    <w:next w:val="62"/>
    <w:qFormat/>
    <w:uiPriority w:val="0"/>
    <w:pPr>
      <w:tabs>
        <w:tab w:val="left" w:pos="360"/>
      </w:tabs>
      <w:autoSpaceDN w:val="0"/>
      <w:spacing w:beforeLines="50" w:afterLines="50"/>
      <w:outlineLvl w:val="2"/>
    </w:pPr>
  </w:style>
  <w:style w:type="paragraph" w:customStyle="1" w:styleId="98">
    <w:name w:val="附录章标题"/>
    <w:next w:val="62"/>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99">
    <w:name w:val="附录五级无"/>
    <w:basedOn w:val="100"/>
    <w:qFormat/>
    <w:uiPriority w:val="0"/>
    <w:pPr>
      <w:tabs>
        <w:tab w:val="left" w:pos="360"/>
      </w:tabs>
      <w:spacing w:beforeLines="0" w:afterLines="0"/>
    </w:pPr>
    <w:rPr>
      <w:rFonts w:ascii="宋体" w:eastAsia="宋体"/>
      <w:szCs w:val="21"/>
    </w:rPr>
  </w:style>
  <w:style w:type="paragraph" w:customStyle="1" w:styleId="100">
    <w:name w:val="附录五级条标题"/>
    <w:basedOn w:val="101"/>
    <w:next w:val="62"/>
    <w:qFormat/>
    <w:uiPriority w:val="0"/>
    <w:pPr>
      <w:tabs>
        <w:tab w:val="left" w:pos="360"/>
      </w:tabs>
      <w:outlineLvl w:val="6"/>
    </w:pPr>
  </w:style>
  <w:style w:type="paragraph" w:customStyle="1" w:styleId="101">
    <w:name w:val="附录四级条标题"/>
    <w:basedOn w:val="102"/>
    <w:next w:val="62"/>
    <w:qFormat/>
    <w:uiPriority w:val="0"/>
    <w:pPr>
      <w:tabs>
        <w:tab w:val="left" w:pos="360"/>
      </w:tabs>
    </w:pPr>
  </w:style>
  <w:style w:type="paragraph" w:customStyle="1" w:styleId="102">
    <w:name w:val="附录三级条标题"/>
    <w:basedOn w:val="103"/>
    <w:next w:val="62"/>
    <w:qFormat/>
    <w:uiPriority w:val="0"/>
    <w:pPr>
      <w:tabs>
        <w:tab w:val="left" w:pos="360"/>
      </w:tabs>
    </w:pPr>
  </w:style>
  <w:style w:type="paragraph" w:customStyle="1" w:styleId="103">
    <w:name w:val="附录二级条标题"/>
    <w:basedOn w:val="1"/>
    <w:next w:val="62"/>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4">
    <w:name w:val="附录图标题"/>
    <w:basedOn w:val="1"/>
    <w:next w:val="62"/>
    <w:qFormat/>
    <w:uiPriority w:val="0"/>
    <w:pPr>
      <w:tabs>
        <w:tab w:val="left" w:pos="363"/>
      </w:tabs>
      <w:spacing w:beforeLines="50" w:afterLines="50"/>
      <w:jc w:val="center"/>
    </w:pPr>
    <w:rPr>
      <w:rFonts w:ascii="黑体" w:eastAsia="黑体"/>
      <w:szCs w:val="21"/>
    </w:rPr>
  </w:style>
  <w:style w:type="paragraph" w:customStyle="1" w:styleId="105">
    <w:name w:val="附录图标号"/>
    <w:basedOn w:val="1"/>
    <w:qFormat/>
    <w:uiPriority w:val="0"/>
    <w:pPr>
      <w:keepNext/>
      <w:pageBreakBefore/>
      <w:spacing w:line="14" w:lineRule="exact"/>
      <w:ind w:firstLine="363"/>
      <w:jc w:val="center"/>
      <w:outlineLvl w:val="0"/>
    </w:pPr>
    <w:rPr>
      <w:color w:val="FFFFFF"/>
    </w:rPr>
  </w:style>
  <w:style w:type="paragraph" w:customStyle="1" w:styleId="106">
    <w:name w:val="附录四级无"/>
    <w:basedOn w:val="101"/>
    <w:qFormat/>
    <w:uiPriority w:val="0"/>
    <w:pPr>
      <w:tabs>
        <w:tab w:val="clear" w:pos="360"/>
      </w:tabs>
      <w:spacing w:beforeLines="0" w:afterLines="0"/>
      <w:outlineLvl w:val="5"/>
    </w:pPr>
    <w:rPr>
      <w:rFonts w:ascii="宋体" w:eastAsia="宋体"/>
      <w:szCs w:val="21"/>
    </w:rPr>
  </w:style>
  <w:style w:type="paragraph" w:customStyle="1" w:styleId="107">
    <w:name w:val="附录三级无"/>
    <w:basedOn w:val="102"/>
    <w:qFormat/>
    <w:uiPriority w:val="0"/>
  </w:style>
  <w:style w:type="paragraph" w:customStyle="1" w:styleId="108">
    <w:name w:val="注："/>
    <w:next w:val="62"/>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09">
    <w:name w:val="附录公式编号制表符"/>
    <w:basedOn w:val="1"/>
    <w:next w:val="62"/>
    <w:qFormat/>
    <w:uiPriority w:val="0"/>
    <w:pPr>
      <w:tabs>
        <w:tab w:val="center" w:pos="4201"/>
        <w:tab w:val="right" w:leader="dot" w:pos="9298"/>
      </w:tabs>
      <w:autoSpaceDE w:val="0"/>
      <w:autoSpaceDN w:val="0"/>
    </w:pPr>
    <w:rPr>
      <w:rFonts w:ascii="宋体"/>
      <w:kern w:val="0"/>
      <w:szCs w:val="20"/>
    </w:rPr>
  </w:style>
  <w:style w:type="paragraph" w:customStyle="1" w:styleId="110">
    <w:name w:val="附录二级无"/>
    <w:basedOn w:val="103"/>
    <w:qFormat/>
    <w:uiPriority w:val="0"/>
  </w:style>
  <w:style w:type="paragraph" w:customStyle="1" w:styleId="111">
    <w:name w:val="附录标题"/>
    <w:basedOn w:val="62"/>
    <w:next w:val="62"/>
    <w:qFormat/>
    <w:uiPriority w:val="0"/>
    <w:pPr>
      <w:ind w:firstLine="0" w:firstLineChars="0"/>
      <w:jc w:val="center"/>
    </w:pPr>
    <w:rPr>
      <w:rFonts w:ascii="黑体" w:eastAsia="黑体"/>
    </w:rPr>
  </w:style>
  <w:style w:type="paragraph" w:customStyle="1" w:styleId="112">
    <w:name w:val="参考文献"/>
    <w:basedOn w:val="1"/>
    <w:next w:val="62"/>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3">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14">
    <w:name w:val="封面标准文稿类别"/>
    <w:basedOn w:val="75"/>
    <w:qFormat/>
    <w:uiPriority w:val="0"/>
    <w:pPr>
      <w:framePr w:wrap="around"/>
      <w:spacing w:after="160" w:line="240" w:lineRule="auto"/>
    </w:pPr>
    <w:rPr>
      <w:sz w:val="24"/>
    </w:rPr>
  </w:style>
  <w:style w:type="paragraph" w:customStyle="1" w:styleId="115">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16">
    <w:name w:val="其他实施日期"/>
    <w:basedOn w:val="88"/>
    <w:qFormat/>
    <w:uiPriority w:val="0"/>
    <w:pPr>
      <w:framePr w:wrap="around" w:vAnchor="margin" w:hAnchor="page"/>
    </w:pPr>
  </w:style>
  <w:style w:type="paragraph" w:customStyle="1" w:styleId="11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8">
    <w:name w:val="发布部门"/>
    <w:next w:val="62"/>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19">
    <w:name w:val="注：（正文）"/>
    <w:basedOn w:val="108"/>
    <w:next w:val="62"/>
    <w:qFormat/>
    <w:uiPriority w:val="0"/>
  </w:style>
  <w:style w:type="paragraph" w:customStyle="1" w:styleId="120">
    <w:name w:val="参考文献、索引标题"/>
    <w:basedOn w:val="1"/>
    <w:next w:val="62"/>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3">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4">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25">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26">
    <w:name w:val="示例×："/>
    <w:basedOn w:val="127"/>
    <w:qFormat/>
    <w:uiPriority w:val="0"/>
    <w:pPr>
      <w:spacing w:beforeLines="0" w:afterLines="0"/>
      <w:ind w:firstLine="363"/>
      <w:outlineLvl w:val="9"/>
    </w:pPr>
    <w:rPr>
      <w:rFonts w:ascii="宋体" w:eastAsia="宋体"/>
      <w:sz w:val="18"/>
      <w:szCs w:val="18"/>
    </w:rPr>
  </w:style>
  <w:style w:type="paragraph" w:customStyle="1" w:styleId="127">
    <w:name w:val="章标题"/>
    <w:next w:val="62"/>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28">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29">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0">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1">
    <w:name w:val="五级无"/>
    <w:basedOn w:val="132"/>
    <w:qFormat/>
    <w:uiPriority w:val="0"/>
    <w:pPr>
      <w:spacing w:beforeLines="0" w:afterLines="0"/>
      <w:outlineLvl w:val="6"/>
    </w:pPr>
    <w:rPr>
      <w:rFonts w:ascii="宋体" w:eastAsia="宋体"/>
    </w:rPr>
  </w:style>
  <w:style w:type="paragraph" w:customStyle="1" w:styleId="132">
    <w:name w:val="五级条标题"/>
    <w:basedOn w:val="133"/>
    <w:next w:val="62"/>
    <w:qFormat/>
    <w:uiPriority w:val="0"/>
  </w:style>
  <w:style w:type="paragraph" w:customStyle="1" w:styleId="133">
    <w:name w:val="四级条标题"/>
    <w:basedOn w:val="134"/>
    <w:next w:val="62"/>
    <w:qFormat/>
    <w:uiPriority w:val="0"/>
  </w:style>
  <w:style w:type="paragraph" w:customStyle="1" w:styleId="134">
    <w:name w:val="三级条标题"/>
    <w:basedOn w:val="135"/>
    <w:next w:val="62"/>
    <w:qFormat/>
    <w:uiPriority w:val="0"/>
  </w:style>
  <w:style w:type="paragraph" w:customStyle="1" w:styleId="135">
    <w:name w:val="二级条标题"/>
    <w:basedOn w:val="68"/>
    <w:next w:val="62"/>
    <w:qFormat/>
    <w:uiPriority w:val="0"/>
  </w:style>
  <w:style w:type="paragraph" w:customStyle="1" w:styleId="136">
    <w:name w:val="四级无"/>
    <w:basedOn w:val="133"/>
    <w:qFormat/>
    <w:uiPriority w:val="0"/>
  </w:style>
  <w:style w:type="paragraph" w:customStyle="1" w:styleId="137">
    <w:name w:val="三级无"/>
    <w:basedOn w:val="134"/>
    <w:qFormat/>
    <w:uiPriority w:val="0"/>
  </w:style>
  <w:style w:type="paragraph" w:customStyle="1" w:styleId="138">
    <w:name w:val="其他标准标志"/>
    <w:basedOn w:val="122"/>
    <w:qFormat/>
    <w:uiPriority w:val="0"/>
    <w:pPr>
      <w:framePr w:w="6101" w:wrap="around" w:vAnchor="page" w:hAnchor="page" w:x="4673" w:y="942"/>
    </w:pPr>
    <w:rPr>
      <w:w w:val="130"/>
    </w:rPr>
  </w:style>
  <w:style w:type="paragraph" w:customStyle="1" w:styleId="139">
    <w:name w:val="目次、标准名称标题"/>
    <w:basedOn w:val="1"/>
    <w:next w:val="62"/>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1">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2">
    <w:name w:val="批注框文本 字符"/>
    <w:basedOn w:val="38"/>
    <w:link w:val="20"/>
    <w:semiHidden/>
    <w:qFormat/>
    <w:uiPriority w:val="99"/>
    <w:rPr>
      <w:rFonts w:ascii="Times New Roman" w:hAnsi="Times New Roman" w:eastAsia="宋体" w:cs="Times New Roman"/>
      <w:sz w:val="18"/>
      <w:szCs w:val="18"/>
    </w:rPr>
  </w:style>
  <w:style w:type="paragraph" w:customStyle="1" w:styleId="143">
    <w:name w:val="列项◆（三级）"/>
    <w:basedOn w:val="1"/>
    <w:qFormat/>
    <w:uiPriority w:val="99"/>
    <w:pPr>
      <w:tabs>
        <w:tab w:val="left" w:pos="969"/>
      </w:tabs>
      <w:ind w:left="969" w:hanging="414"/>
    </w:pPr>
    <w:rPr>
      <w:rFonts w:ascii="宋体"/>
      <w:szCs w:val="21"/>
    </w:rPr>
  </w:style>
  <w:style w:type="paragraph" w:customStyle="1" w:styleId="144">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45">
    <w:name w:val="页眉 字符"/>
    <w:basedOn w:val="38"/>
    <w:link w:val="22"/>
    <w:semiHidden/>
    <w:qFormat/>
    <w:uiPriority w:val="99"/>
    <w:rPr>
      <w:rFonts w:ascii="Times New Roman" w:hAnsi="Times New Roman" w:eastAsia="宋体" w:cs="Times New Roman"/>
      <w:sz w:val="18"/>
      <w:szCs w:val="18"/>
    </w:rPr>
  </w:style>
  <w:style w:type="paragraph" w:customStyle="1" w:styleId="146">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47">
    <w:name w:val="其他发布部门"/>
    <w:basedOn w:val="118"/>
    <w:qFormat/>
    <w:uiPriority w:val="0"/>
    <w:pPr>
      <w:framePr w:wrap="around" w:y="15310"/>
      <w:spacing w:line="0" w:lineRule="atLeast"/>
    </w:pPr>
    <w:rPr>
      <w:rFonts w:ascii="黑体" w:eastAsia="黑体"/>
      <w:b w:val="0"/>
    </w:rPr>
  </w:style>
  <w:style w:type="paragraph" w:customStyle="1" w:styleId="148">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49">
    <w:name w:val="正文图标题"/>
    <w:next w:val="62"/>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0">
    <w:name w:val="HTML 预设格式 字符"/>
    <w:basedOn w:val="38"/>
    <w:link w:val="30"/>
    <w:semiHidden/>
    <w:qFormat/>
    <w:uiPriority w:val="99"/>
    <w:rPr>
      <w:rFonts w:ascii="Courier New" w:hAnsi="Courier New" w:eastAsia="宋体" w:cs="Courier New"/>
      <w:sz w:val="20"/>
      <w:szCs w:val="20"/>
    </w:rPr>
  </w:style>
  <w:style w:type="paragraph" w:customStyle="1" w:styleId="151">
    <w:name w:val="附录标识"/>
    <w:basedOn w:val="1"/>
    <w:next w:val="62"/>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2">
    <w:name w:val="脚注文本 字符"/>
    <w:basedOn w:val="38"/>
    <w:link w:val="26"/>
    <w:semiHidden/>
    <w:qFormat/>
    <w:uiPriority w:val="99"/>
    <w:rPr>
      <w:rFonts w:ascii="Times New Roman" w:hAnsi="Times New Roman" w:eastAsia="宋体" w:cs="Times New Roman"/>
      <w:sz w:val="18"/>
      <w:szCs w:val="18"/>
    </w:rPr>
  </w:style>
  <w:style w:type="paragraph" w:customStyle="1" w:styleId="153">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4">
    <w:name w:val="二级无"/>
    <w:basedOn w:val="135"/>
    <w:qFormat/>
    <w:uiPriority w:val="0"/>
  </w:style>
  <w:style w:type="paragraph" w:customStyle="1" w:styleId="155">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56">
    <w:name w:val="正文文本缩进 2 字符"/>
    <w:basedOn w:val="38"/>
    <w:link w:val="18"/>
    <w:semiHidden/>
    <w:qFormat/>
    <w:uiPriority w:val="99"/>
    <w:rPr>
      <w:rFonts w:ascii="Times New Roman" w:hAnsi="Times New Roman" w:eastAsia="宋体" w:cs="Times New Roman"/>
      <w:szCs w:val="24"/>
    </w:rPr>
  </w:style>
  <w:style w:type="paragraph" w:customStyle="1" w:styleId="157">
    <w:name w:val="封面标准文稿编辑信息2"/>
    <w:basedOn w:val="158"/>
    <w:qFormat/>
    <w:uiPriority w:val="0"/>
    <w:pPr>
      <w:framePr w:wrap="around" w:y="4469"/>
    </w:pPr>
  </w:style>
  <w:style w:type="paragraph" w:customStyle="1" w:styleId="158">
    <w:name w:val="封面标准文稿编辑信息"/>
    <w:basedOn w:val="114"/>
    <w:qFormat/>
    <w:uiPriority w:val="0"/>
    <w:pPr>
      <w:framePr w:wrap="around"/>
      <w:spacing w:before="180" w:line="180" w:lineRule="exact"/>
    </w:pPr>
    <w:rPr>
      <w:sz w:val="21"/>
    </w:rPr>
  </w:style>
  <w:style w:type="paragraph" w:customStyle="1" w:styleId="159">
    <w:name w:val="附录表标题"/>
    <w:basedOn w:val="1"/>
    <w:next w:val="62"/>
    <w:qFormat/>
    <w:uiPriority w:val="0"/>
    <w:pPr>
      <w:tabs>
        <w:tab w:val="left" w:pos="180"/>
      </w:tabs>
      <w:spacing w:beforeLines="50" w:afterLines="50"/>
      <w:jc w:val="center"/>
    </w:pPr>
    <w:rPr>
      <w:rFonts w:ascii="黑体" w:eastAsia="黑体"/>
      <w:szCs w:val="21"/>
    </w:rPr>
  </w:style>
  <w:style w:type="paragraph" w:customStyle="1" w:styleId="160">
    <w:name w:val="标准书眉_偶数页"/>
    <w:basedOn w:val="144"/>
    <w:next w:val="1"/>
    <w:qFormat/>
    <w:uiPriority w:val="0"/>
    <w:pPr>
      <w:jc w:val="left"/>
    </w:pPr>
  </w:style>
  <w:style w:type="paragraph" w:customStyle="1" w:styleId="161">
    <w:name w:val="附录表标号"/>
    <w:basedOn w:val="1"/>
    <w:next w:val="62"/>
    <w:qFormat/>
    <w:uiPriority w:val="0"/>
    <w:pPr>
      <w:spacing w:line="14" w:lineRule="exact"/>
      <w:ind w:left="811" w:hanging="448"/>
      <w:jc w:val="center"/>
      <w:outlineLvl w:val="0"/>
    </w:pPr>
    <w:rPr>
      <w:color w:val="FFFFFF"/>
    </w:rPr>
  </w:style>
  <w:style w:type="paragraph" w:customStyle="1" w:styleId="162">
    <w:name w:val="图表脚注说明"/>
    <w:basedOn w:val="1"/>
    <w:qFormat/>
    <w:uiPriority w:val="0"/>
    <w:pPr>
      <w:ind w:left="544" w:hanging="181"/>
    </w:pPr>
    <w:rPr>
      <w:rFonts w:ascii="宋体"/>
      <w:sz w:val="18"/>
      <w:szCs w:val="18"/>
    </w:rPr>
  </w:style>
  <w:style w:type="character" w:customStyle="1" w:styleId="163">
    <w:name w:val="页脚 字符"/>
    <w:basedOn w:val="38"/>
    <w:link w:val="21"/>
    <w:semiHidden/>
    <w:qFormat/>
    <w:uiPriority w:val="99"/>
    <w:rPr>
      <w:rFonts w:ascii="Times New Roman" w:hAnsi="Times New Roman" w:eastAsia="宋体" w:cs="Times New Roman"/>
      <w:sz w:val="18"/>
      <w:szCs w:val="18"/>
    </w:rPr>
  </w:style>
  <w:style w:type="character" w:customStyle="1" w:styleId="164">
    <w:name w:val="批注文字 字符"/>
    <w:basedOn w:val="38"/>
    <w:link w:val="10"/>
    <w:semiHidden/>
    <w:qFormat/>
    <w:uiPriority w:val="99"/>
    <w:rPr>
      <w:rFonts w:ascii="Times New Roman" w:hAnsi="Times New Roman" w:eastAsia="宋体" w:cs="Times New Roman"/>
      <w:szCs w:val="24"/>
    </w:rPr>
  </w:style>
  <w:style w:type="paragraph" w:customStyle="1" w:styleId="165">
    <w:name w:val="封面标准名称2"/>
    <w:basedOn w:val="77"/>
    <w:qFormat/>
    <w:uiPriority w:val="0"/>
    <w:pPr>
      <w:framePr w:wrap="around" w:y="4469"/>
      <w:spacing w:beforeLines="630"/>
    </w:pPr>
  </w:style>
  <w:style w:type="character" w:customStyle="1" w:styleId="166">
    <w:name w:val="日期 字符"/>
    <w:basedOn w:val="38"/>
    <w:link w:val="17"/>
    <w:semiHidden/>
    <w:qFormat/>
    <w:uiPriority w:val="99"/>
    <w:rPr>
      <w:rFonts w:ascii="Times New Roman" w:hAnsi="Times New Roman" w:eastAsia="宋体" w:cs="Times New Roman"/>
      <w:szCs w:val="24"/>
    </w:rPr>
  </w:style>
  <w:style w:type="character" w:customStyle="1" w:styleId="167">
    <w:name w:val="文档结构图 字符"/>
    <w:basedOn w:val="38"/>
    <w:link w:val="9"/>
    <w:semiHidden/>
    <w:qFormat/>
    <w:uiPriority w:val="99"/>
    <w:rPr>
      <w:rFonts w:ascii="宋体" w:hAnsi="Times New Roman" w:eastAsia="宋体" w:cs="Times New Roman"/>
      <w:sz w:val="18"/>
      <w:szCs w:val="18"/>
    </w:rPr>
  </w:style>
  <w:style w:type="paragraph" w:customStyle="1" w:styleId="168">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69">
    <w:name w:val="封面标准文稿类别2"/>
    <w:basedOn w:val="114"/>
    <w:qFormat/>
    <w:uiPriority w:val="0"/>
    <w:pPr>
      <w:framePr w:wrap="around" w:y="4469"/>
    </w:pPr>
  </w:style>
  <w:style w:type="paragraph" w:customStyle="1" w:styleId="170">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1">
    <w:name w:val="终结线"/>
    <w:basedOn w:val="1"/>
    <w:qFormat/>
    <w:uiPriority w:val="0"/>
    <w:pPr>
      <w:framePr w:hSpace="181" w:vSpace="181" w:wrap="around" w:vAnchor="text" w:hAnchor="margin" w:xAlign="center" w:y="285"/>
    </w:pPr>
  </w:style>
  <w:style w:type="character" w:customStyle="1" w:styleId="172">
    <w:name w:val="批注主题 字符"/>
    <w:basedOn w:val="164"/>
    <w:link w:val="34"/>
    <w:semiHidden/>
    <w:qFormat/>
    <w:uiPriority w:val="99"/>
    <w:rPr>
      <w:rFonts w:ascii="Times New Roman" w:hAnsi="Times New Roman" w:eastAsia="宋体" w:cs="Times New Roman"/>
      <w:b/>
      <w:bCs/>
      <w:szCs w:val="24"/>
    </w:rPr>
  </w:style>
  <w:style w:type="character" w:customStyle="1" w:styleId="173">
    <w:name w:val="尾注文本 字符"/>
    <w:basedOn w:val="38"/>
    <w:link w:val="19"/>
    <w:semiHidden/>
    <w:qFormat/>
    <w:uiPriority w:val="99"/>
    <w:rPr>
      <w:rFonts w:ascii="Times New Roman" w:hAnsi="Times New Roman" w:eastAsia="宋体" w:cs="Times New Roman"/>
      <w:szCs w:val="24"/>
    </w:rPr>
  </w:style>
  <w:style w:type="paragraph" w:customStyle="1" w:styleId="174">
    <w:name w:val="示例"/>
    <w:next w:val="125"/>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75">
    <w:name w:val="正文文本 3 字符"/>
    <w:basedOn w:val="38"/>
    <w:link w:val="12"/>
    <w:semiHidden/>
    <w:qFormat/>
    <w:uiPriority w:val="99"/>
    <w:rPr>
      <w:rFonts w:ascii="Times New Roman" w:hAnsi="Times New Roman" w:eastAsia="宋体" w:cs="Times New Roman"/>
      <w:sz w:val="16"/>
      <w:szCs w:val="16"/>
    </w:rPr>
  </w:style>
  <w:style w:type="character" w:customStyle="1" w:styleId="176">
    <w:name w:val="标题 字符"/>
    <w:basedOn w:val="38"/>
    <w:link w:val="33"/>
    <w:qFormat/>
    <w:uiPriority w:val="0"/>
    <w:rPr>
      <w:rFonts w:ascii="Arial" w:hAnsi="Arial" w:eastAsia="宋体" w:cs="Times New Roman"/>
      <w:b/>
      <w:kern w:val="0"/>
      <w:sz w:val="32"/>
      <w:szCs w:val="20"/>
    </w:rPr>
  </w:style>
  <w:style w:type="paragraph" w:customStyle="1" w:styleId="177">
    <w:name w:val="p0"/>
    <w:basedOn w:val="1"/>
    <w:qFormat/>
    <w:uiPriority w:val="0"/>
    <w:pPr>
      <w:spacing w:line="240" w:lineRule="auto"/>
      <w:jc w:val="both"/>
    </w:pPr>
    <w:rPr>
      <w:kern w:val="0"/>
      <w:szCs w:val="21"/>
    </w:rPr>
  </w:style>
  <w:style w:type="character" w:customStyle="1" w:styleId="178">
    <w:name w:val="纯文本 字符"/>
    <w:basedOn w:val="38"/>
    <w:link w:val="15"/>
    <w:qFormat/>
    <w:uiPriority w:val="99"/>
    <w:rPr>
      <w:rFonts w:ascii="宋体" w:hAnsi="Courier New" w:eastAsia="宋体" w:cs="Courier New"/>
      <w:szCs w:val="21"/>
    </w:rPr>
  </w:style>
  <w:style w:type="paragraph" w:customStyle="1" w:styleId="179">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customStyle="1" w:styleId="18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1">
    <w:name w:val="正文文本 字符"/>
    <w:basedOn w:val="38"/>
    <w:link w:val="13"/>
    <w:semiHidden/>
    <w:qFormat/>
    <w:uiPriority w:val="99"/>
    <w:rPr>
      <w:kern w:val="2"/>
      <w:sz w:val="21"/>
      <w:szCs w:val="24"/>
    </w:rPr>
  </w:style>
  <w:style w:type="paragraph" w:customStyle="1" w:styleId="182">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3">
    <w:name w:val="标题 4 字符"/>
    <w:basedOn w:val="38"/>
    <w:link w:val="5"/>
    <w:qFormat/>
    <w:uiPriority w:val="9"/>
    <w:rPr>
      <w:rFonts w:asciiTheme="majorHAnsi" w:hAnsiTheme="majorHAnsi" w:eastAsiaTheme="majorEastAsia" w:cstheme="majorBidi"/>
      <w:b/>
      <w:bCs/>
      <w:kern w:val="2"/>
      <w:sz w:val="28"/>
      <w:szCs w:val="28"/>
    </w:rPr>
  </w:style>
  <w:style w:type="paragraph" w:customStyle="1" w:styleId="184">
    <w:name w:val="_Style 2"/>
    <w:basedOn w:val="4"/>
    <w:next w:val="1"/>
    <w:qFormat/>
    <w:uiPriority w:val="0"/>
    <w:pPr>
      <w:spacing w:before="480" w:after="0" w:line="276" w:lineRule="auto"/>
      <w:outlineLvl w:val="9"/>
    </w:pPr>
    <w:rPr>
      <w:rFonts w:ascii="Cambria" w:hAnsi="Cambria"/>
      <w:color w:val="365F91"/>
      <w:kern w:val="0"/>
      <w:sz w:val="28"/>
      <w:szCs w:val="28"/>
    </w:rPr>
  </w:style>
  <w:style w:type="paragraph" w:customStyle="1" w:styleId="185">
    <w:name w:val="修订1"/>
    <w:hidden/>
    <w:semiHidden/>
    <w:uiPriority w:val="99"/>
    <w:rPr>
      <w:rFonts w:ascii="Times New Roman" w:hAnsi="Times New Roman" w:eastAsia="宋体" w:cs="Times New Roman"/>
      <w:kern w:val="2"/>
      <w:sz w:val="21"/>
      <w:szCs w:val="24"/>
      <w:lang w:val="en-US" w:eastAsia="zh-CN" w:bidi="ar-SA"/>
    </w:rPr>
  </w:style>
  <w:style w:type="paragraph" w:customStyle="1" w:styleId="186">
    <w:name w:val="msonormal"/>
    <w:basedOn w:val="1"/>
    <w:uiPriority w:val="0"/>
    <w:pPr>
      <w:spacing w:before="100" w:beforeAutospacing="1" w:after="100" w:afterAutospacing="1" w:line="240" w:lineRule="auto"/>
    </w:pPr>
    <w:rPr>
      <w:rFonts w:ascii="宋体" w:hAnsi="宋体" w:cs="宋体"/>
      <w:kern w:val="0"/>
      <w:sz w:val="24"/>
    </w:rPr>
  </w:style>
  <w:style w:type="paragraph" w:customStyle="1" w:styleId="187">
    <w:name w:val="font0"/>
    <w:basedOn w:val="1"/>
    <w:uiPriority w:val="0"/>
    <w:pPr>
      <w:spacing w:before="100" w:beforeAutospacing="1" w:after="100" w:afterAutospacing="1" w:line="240" w:lineRule="auto"/>
    </w:pPr>
    <w:rPr>
      <w:rFonts w:ascii="宋体" w:hAnsi="宋体" w:cs="宋体"/>
      <w:kern w:val="0"/>
      <w:sz w:val="24"/>
    </w:rPr>
  </w:style>
  <w:style w:type="paragraph" w:customStyle="1" w:styleId="188">
    <w:name w:val="font5"/>
    <w:basedOn w:val="1"/>
    <w:uiPriority w:val="0"/>
    <w:pPr>
      <w:spacing w:before="100" w:beforeAutospacing="1" w:after="100" w:afterAutospacing="1" w:line="240" w:lineRule="auto"/>
    </w:pPr>
    <w:rPr>
      <w:rFonts w:ascii="宋体" w:hAnsi="宋体" w:cs="宋体"/>
      <w:kern w:val="0"/>
      <w:sz w:val="24"/>
    </w:rPr>
  </w:style>
  <w:style w:type="paragraph" w:customStyle="1" w:styleId="189">
    <w:name w:val="font6"/>
    <w:basedOn w:val="1"/>
    <w:uiPriority w:val="0"/>
    <w:pPr>
      <w:spacing w:before="100" w:beforeAutospacing="1" w:after="100" w:afterAutospacing="1" w:line="240" w:lineRule="auto"/>
    </w:pPr>
    <w:rPr>
      <w:rFonts w:ascii="宋体" w:hAnsi="宋体" w:cs="宋体"/>
      <w:kern w:val="0"/>
      <w:sz w:val="18"/>
      <w:szCs w:val="18"/>
    </w:rPr>
  </w:style>
  <w:style w:type="paragraph" w:customStyle="1" w:styleId="190">
    <w:name w:val="xl65"/>
    <w:basedOn w:val="1"/>
    <w:uiPriority w:val="0"/>
    <w:pPr>
      <w:spacing w:before="100" w:beforeAutospacing="1" w:after="100" w:afterAutospacing="1" w:line="240" w:lineRule="auto"/>
      <w:jc w:val="center"/>
    </w:pPr>
    <w:rPr>
      <w:rFonts w:ascii="宋体" w:hAnsi="宋体" w:cs="宋体"/>
      <w:kern w:val="0"/>
      <w:sz w:val="24"/>
    </w:rPr>
  </w:style>
  <w:style w:type="paragraph" w:customStyle="1" w:styleId="191">
    <w:name w:val="xl66"/>
    <w:basedOn w:val="1"/>
    <w:uiPriority w:val="0"/>
    <w:pPr>
      <w:spacing w:before="100" w:beforeAutospacing="1" w:after="100" w:afterAutospacing="1" w:line="240" w:lineRule="auto"/>
      <w:jc w:val="center"/>
    </w:pPr>
    <w:rPr>
      <w:rFonts w:ascii="宋体" w:hAnsi="宋体" w:cs="宋体"/>
      <w:kern w:val="0"/>
      <w:sz w:val="24"/>
    </w:rPr>
  </w:style>
  <w:style w:type="paragraph" w:customStyle="1" w:styleId="192">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93">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4"/>
    </w:rPr>
  </w:style>
  <w:style w:type="paragraph" w:customStyle="1" w:styleId="194">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95">
    <w:name w:val="xl70"/>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96">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97">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98">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99">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4"/>
    </w:rPr>
  </w:style>
  <w:style w:type="paragraph" w:customStyle="1" w:styleId="200">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b/>
      <w:bCs/>
      <w:kern w:val="0"/>
      <w:sz w:val="24"/>
    </w:rPr>
  </w:style>
  <w:style w:type="paragraph" w:customStyle="1" w:styleId="201">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4"/>
    </w:rPr>
  </w:style>
  <w:style w:type="paragraph" w:customStyle="1" w:styleId="202">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4"/>
    </w:rPr>
  </w:style>
  <w:style w:type="paragraph" w:customStyle="1" w:styleId="203">
    <w:name w:val="xl78"/>
    <w:basedOn w:val="1"/>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204">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05">
    <w:name w:val="xl80"/>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4"/>
    </w:rPr>
  </w:style>
  <w:style w:type="paragraph" w:customStyle="1" w:styleId="206">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4"/>
    </w:rPr>
  </w:style>
  <w:style w:type="paragraph" w:customStyle="1" w:styleId="207">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4"/>
    </w:rPr>
  </w:style>
  <w:style w:type="paragraph" w:customStyle="1" w:styleId="208">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209">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b/>
      <w:bCs/>
      <w:kern w:val="0"/>
      <w:sz w:val="24"/>
    </w:rPr>
  </w:style>
  <w:style w:type="paragraph" w:customStyle="1" w:styleId="210">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b/>
      <w:bCs/>
      <w:kern w:val="0"/>
      <w:sz w:val="24"/>
    </w:rPr>
  </w:style>
  <w:style w:type="paragraph" w:customStyle="1" w:styleId="211">
    <w:name w:val="xl86"/>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212">
    <w:name w:val="xl87"/>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213">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4"/>
    </w:rPr>
  </w:style>
  <w:style w:type="paragraph" w:customStyle="1" w:styleId="214">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215">
    <w:name w:val="xl90"/>
    <w:basedOn w:val="1"/>
    <w:uiPriority w:val="0"/>
    <w:pPr>
      <w:pBdr>
        <w:top w:val="single" w:color="auto" w:sz="4" w:space="0"/>
        <w:left w:val="single" w:color="auto" w:sz="4" w:space="0"/>
        <w:right w:val="single" w:color="auto" w:sz="4" w:space="0"/>
      </w:pBdr>
      <w:spacing w:before="100" w:beforeAutospacing="1" w:after="100" w:afterAutospacing="1" w:line="240" w:lineRule="auto"/>
    </w:pPr>
    <w:rPr>
      <w:rFonts w:ascii="宋体" w:hAnsi="宋体" w:cs="宋体"/>
      <w:kern w:val="0"/>
      <w:sz w:val="24"/>
    </w:rPr>
  </w:style>
  <w:style w:type="paragraph" w:customStyle="1" w:styleId="216">
    <w:name w:val="xl91"/>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217">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4"/>
    </w:rPr>
  </w:style>
  <w:style w:type="paragraph" w:customStyle="1" w:styleId="218">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4"/>
    </w:rPr>
  </w:style>
  <w:style w:type="paragraph" w:customStyle="1" w:styleId="219">
    <w:name w:val="xl94"/>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4"/>
    </w:rPr>
  </w:style>
  <w:style w:type="paragraph" w:customStyle="1" w:styleId="220">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8"/>
      <w:szCs w:val="28"/>
    </w:rPr>
  </w:style>
  <w:style w:type="paragraph" w:customStyle="1" w:styleId="221">
    <w:name w:val="xl96"/>
    <w:basedOn w:val="1"/>
    <w:uiPriority w:val="0"/>
    <w:pPr>
      <w:spacing w:before="100" w:beforeAutospacing="1" w:after="100" w:afterAutospacing="1" w:line="240" w:lineRule="auto"/>
      <w:jc w:val="center"/>
    </w:pPr>
    <w:rPr>
      <w:rFonts w:ascii="宋体" w:hAnsi="宋体" w:cs="宋体"/>
      <w:b/>
      <w:bCs/>
      <w:kern w:val="0"/>
      <w:sz w:val="28"/>
      <w:szCs w:val="28"/>
    </w:rPr>
  </w:style>
  <w:style w:type="paragraph" w:customStyle="1" w:styleId="222">
    <w:name w:val="xl97"/>
    <w:basedOn w:val="1"/>
    <w:uiPriority w:val="0"/>
    <w:pPr>
      <w:spacing w:before="100" w:beforeAutospacing="1" w:after="100" w:afterAutospacing="1" w:line="240" w:lineRule="auto"/>
      <w:jc w:val="center"/>
    </w:pPr>
    <w:rPr>
      <w:rFonts w:ascii="宋体" w:hAnsi="宋体" w:cs="宋体"/>
      <w:b/>
      <w:bCs/>
      <w:kern w:val="0"/>
      <w:sz w:val="36"/>
      <w:szCs w:val="36"/>
    </w:rPr>
  </w:style>
  <w:style w:type="paragraph" w:customStyle="1" w:styleId="223">
    <w:name w:val="xl98"/>
    <w:basedOn w:val="1"/>
    <w:uiPriority w:val="0"/>
    <w:pPr>
      <w:spacing w:before="100" w:beforeAutospacing="1" w:after="100" w:afterAutospacing="1" w:line="240" w:lineRule="auto"/>
    </w:pPr>
    <w:rPr>
      <w:rFonts w:ascii="宋体" w:hAnsi="宋体" w:cs="宋体"/>
      <w:kern w:val="0"/>
      <w:sz w:val="24"/>
    </w:rPr>
  </w:style>
  <w:style w:type="paragraph" w:customStyle="1" w:styleId="224">
    <w:name w:val="xl99"/>
    <w:basedOn w:val="1"/>
    <w:uiPriority w:val="0"/>
    <w:pPr>
      <w:spacing w:before="100" w:beforeAutospacing="1" w:after="100" w:afterAutospacing="1" w:line="240" w:lineRule="auto"/>
      <w:jc w:val="center"/>
    </w:pPr>
    <w:rPr>
      <w:rFonts w:ascii="宋体" w:hAnsi="宋体" w:cs="宋体"/>
      <w:kern w:val="0"/>
      <w:sz w:val="24"/>
    </w:rPr>
  </w:style>
  <w:style w:type="paragraph" w:customStyle="1" w:styleId="225">
    <w:name w:val="xl100"/>
    <w:basedOn w:val="1"/>
    <w:uiPriority w:val="0"/>
    <w:pPr>
      <w:spacing w:before="100" w:beforeAutospacing="1" w:after="100" w:afterAutospacing="1" w:line="240" w:lineRule="auto"/>
      <w:jc w:val="center"/>
    </w:pPr>
    <w:rPr>
      <w:rFonts w:ascii="宋体" w:hAnsi="宋体" w:cs="宋体"/>
      <w:b/>
      <w:bCs/>
      <w:kern w:val="0"/>
      <w:sz w:val="28"/>
      <w:szCs w:val="28"/>
    </w:rPr>
  </w:style>
  <w:style w:type="paragraph" w:customStyle="1" w:styleId="226">
    <w:name w:val="xl101"/>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227">
    <w:name w:val="WPSOffice手动目录 1"/>
    <w:uiPriority w:val="0"/>
    <w:rPr>
      <w:rFonts w:ascii="Times New Roman" w:hAnsi="Times New Roman" w:eastAsia="宋体" w:cs="Times New Roman"/>
      <w:lang w:val="en-US" w:eastAsia="zh-CN" w:bidi="ar-SA"/>
    </w:rPr>
  </w:style>
  <w:style w:type="paragraph" w:customStyle="1" w:styleId="228">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229">
    <w:name w:val="标题 3 字符"/>
    <w:basedOn w:val="38"/>
    <w:link w:val="2"/>
    <w:semiHidden/>
    <w:uiPriority w:val="9"/>
    <w:rPr>
      <w:b/>
      <w:bCs/>
      <w:kern w:val="2"/>
      <w:sz w:val="32"/>
      <w:szCs w:val="32"/>
    </w:rPr>
  </w:style>
  <w:style w:type="paragraph" w:customStyle="1" w:styleId="230">
    <w:name w:val="CM91"/>
    <w:basedOn w:val="179"/>
    <w:next w:val="179"/>
    <w:uiPriority w:val="0"/>
    <w:rPr>
      <w:rFonts w:ascii="宋体" w:hAnsi="Times New Roman" w:eastAsia="宋体"/>
    </w:rPr>
  </w:style>
  <w:style w:type="character" w:customStyle="1" w:styleId="231">
    <w:name w:val="正文文本首行缩进 字符"/>
    <w:basedOn w:val="181"/>
    <w:link w:val="35"/>
    <w:uiPriority w:val="99"/>
    <w:rPr>
      <w:kern w:val="2"/>
      <w:sz w:val="21"/>
      <w:szCs w:val="24"/>
    </w:rPr>
  </w:style>
  <w:style w:type="paragraph" w:customStyle="1" w:styleId="232">
    <w:name w:val="_Style 231"/>
    <w:basedOn w:val="1"/>
    <w:next w:val="73"/>
    <w:qFormat/>
    <w:uiPriority w:val="99"/>
    <w:pPr>
      <w:widowControl w:val="0"/>
      <w:spacing w:line="240" w:lineRule="auto"/>
      <w:ind w:firstLine="420" w:firstLineChars="200"/>
      <w:jc w:val="both"/>
    </w:pPr>
    <w:rPr>
      <w:rFonts w:ascii="Calibri" w:hAnsi="Calibri"/>
      <w:szCs w:val="22"/>
    </w:rPr>
  </w:style>
  <w:style w:type="paragraph" w:customStyle="1" w:styleId="233">
    <w:name w:val="Body Text First Indent 21"/>
    <w:basedOn w:val="1"/>
    <w:qFormat/>
    <w:uiPriority w:val="0"/>
    <w:pPr>
      <w:widowControl w:val="0"/>
      <w:spacing w:line="500" w:lineRule="exact"/>
      <w:ind w:firstLine="420" w:firstLineChars="200"/>
      <w:jc w:val="both"/>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CCD6C-217F-40B0-82C1-42DA7BA2403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40</Pages>
  <Words>17845</Words>
  <Characters>19336</Characters>
  <Lines>179</Lines>
  <Paragraphs>50</Paragraphs>
  <TotalTime>26</TotalTime>
  <ScaleCrop>false</ScaleCrop>
  <LinksUpToDate>false</LinksUpToDate>
  <CharactersWithSpaces>20843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2021-09-07T07:24:00Z</dcterms:created>
  <dc:creator>杨玲</dc:creator>
  <cp:lastModifiedBy>蔡艳</cp:lastModifiedBy>
  <cp:lastPrinted>2022-07-21T03:06:00Z</cp:lastPrinted>
  <dcterms:modified xsi:type="dcterms:W3CDTF">2022-09-05T08:02:15Z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20187E4216284010B8E0511CEEBBDBFD</vt:lpwstr>
  </property>
</Properties>
</file>