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snapToGrid w:val="0"/>
        <w:spacing w:line="900" w:lineRule="exact"/>
        <w:jc w:val="center"/>
        <w:rPr>
          <w:rFonts w:ascii="黑体" w:hAnsi="黑体" w:eastAsia="黑体"/>
          <w:b/>
          <w:bCs/>
          <w:sz w:val="52"/>
          <w:szCs w:val="52"/>
        </w:rPr>
      </w:pPr>
      <w:r>
        <w:rPr>
          <w:rFonts w:hint="eastAsia" w:ascii="黑体" w:hAnsi="黑体" w:eastAsia="黑体"/>
          <w:b/>
          <w:bCs/>
          <w:sz w:val="52"/>
          <w:szCs w:val="52"/>
        </w:rPr>
        <w:t>岳阳</w:t>
      </w:r>
      <w:r>
        <w:rPr>
          <w:rFonts w:ascii="黑体" w:hAnsi="黑体" w:eastAsia="黑体"/>
          <w:b/>
          <w:bCs/>
          <w:sz w:val="52"/>
          <w:szCs w:val="52"/>
        </w:rPr>
        <w:t>城陵矶新港有限</w:t>
      </w:r>
      <w:r>
        <w:rPr>
          <w:rFonts w:hint="eastAsia" w:ascii="黑体" w:hAnsi="黑体" w:eastAsia="黑体"/>
          <w:b/>
          <w:bCs/>
          <w:sz w:val="52"/>
          <w:szCs w:val="52"/>
        </w:rPr>
        <w:t>公司</w:t>
      </w:r>
    </w:p>
    <w:p>
      <w:pPr>
        <w:pStyle w:val="2"/>
        <w:rPr>
          <w:rFonts w:ascii="黑体" w:hAnsi="黑体" w:eastAsia="黑体"/>
          <w:b/>
          <w:bCs/>
          <w:sz w:val="52"/>
          <w:szCs w:val="52"/>
        </w:rPr>
      </w:pPr>
    </w:p>
    <w:p>
      <w:pPr>
        <w:pStyle w:val="2"/>
        <w:ind w:firstLine="0"/>
        <w:rPr>
          <w:rFonts w:ascii="黑体" w:hAnsi="黑体" w:eastAsia="黑体"/>
          <w:b/>
          <w:bCs/>
          <w:sz w:val="52"/>
          <w:szCs w:val="52"/>
        </w:rPr>
      </w:pPr>
    </w:p>
    <w:p>
      <w:pPr>
        <w:pStyle w:val="2"/>
        <w:ind w:firstLine="0"/>
        <w:rPr>
          <w:rFonts w:ascii="黑体" w:hAnsi="黑体" w:eastAsia="黑体"/>
          <w:b/>
          <w:bCs/>
          <w:sz w:val="52"/>
          <w:szCs w:val="52"/>
        </w:rPr>
      </w:pPr>
    </w:p>
    <w:p>
      <w:pPr>
        <w:pStyle w:val="2"/>
        <w:rPr>
          <w:rFonts w:ascii="黑体" w:hAnsi="黑体" w:eastAsia="黑体"/>
          <w:b/>
          <w:bCs/>
          <w:sz w:val="52"/>
          <w:szCs w:val="52"/>
        </w:rPr>
      </w:pPr>
    </w:p>
    <w:p>
      <w:pPr>
        <w:pStyle w:val="2"/>
        <w:rPr>
          <w:rFonts w:ascii="黑体" w:hAnsi="黑体" w:eastAsia="黑体"/>
          <w:b/>
          <w:bCs/>
          <w:sz w:val="52"/>
          <w:szCs w:val="52"/>
        </w:rPr>
      </w:pPr>
    </w:p>
    <w:p>
      <w:pPr>
        <w:pStyle w:val="2"/>
        <w:rPr>
          <w:rFonts w:ascii="黑体" w:hAnsi="黑体" w:eastAsia="黑体"/>
          <w:b/>
          <w:bCs/>
          <w:sz w:val="52"/>
          <w:szCs w:val="52"/>
        </w:rPr>
      </w:pPr>
    </w:p>
    <w:p>
      <w:pPr>
        <w:pStyle w:val="2"/>
        <w:rPr>
          <w:rFonts w:ascii="黑体" w:hAnsi="黑体" w:eastAsia="黑体"/>
          <w:b/>
          <w:bCs/>
          <w:sz w:val="52"/>
          <w:szCs w:val="52"/>
        </w:rPr>
      </w:pPr>
    </w:p>
    <w:p>
      <w:pPr>
        <w:spacing w:line="240" w:lineRule="auto"/>
        <w:jc w:val="center"/>
        <w:rPr>
          <w:rFonts w:ascii="黑体" w:hAnsi="黑体" w:eastAsia="黑体"/>
          <w:b/>
          <w:bCs/>
          <w:sz w:val="52"/>
          <w:szCs w:val="52"/>
        </w:rPr>
      </w:pPr>
      <w:r>
        <w:rPr>
          <w:rFonts w:hint="eastAsia" w:ascii="黑体" w:hAnsi="黑体" w:eastAsia="黑体"/>
          <w:b/>
          <w:bCs/>
          <w:sz w:val="52"/>
          <w:szCs w:val="52"/>
        </w:rPr>
        <w:t>远控系统网安设备采购项目</w:t>
      </w:r>
    </w:p>
    <w:p>
      <w:pPr>
        <w:spacing w:line="240" w:lineRule="auto"/>
        <w:jc w:val="center"/>
        <w:rPr>
          <w:rFonts w:ascii="黑体" w:hAnsi="黑体" w:eastAsia="黑体"/>
          <w:b/>
          <w:bCs/>
          <w:sz w:val="52"/>
          <w:szCs w:val="52"/>
        </w:rPr>
      </w:pPr>
      <w:r>
        <w:rPr>
          <w:rFonts w:hint="eastAsia" w:ascii="黑体" w:hAnsi="黑体" w:eastAsia="黑体"/>
          <w:b/>
          <w:bCs/>
          <w:sz w:val="52"/>
          <w:szCs w:val="52"/>
        </w:rPr>
        <w:t>询价文件</w:t>
      </w:r>
    </w:p>
    <w:p>
      <w:pPr>
        <w:pStyle w:val="2"/>
        <w:rPr>
          <w:rFonts w:ascii="黑体" w:hAnsi="黑体" w:eastAsia="黑体" w:cs="黑体"/>
          <w:b/>
          <w:bCs/>
          <w:sz w:val="30"/>
          <w:szCs w:val="30"/>
        </w:rPr>
      </w:pPr>
      <w:r>
        <w:rPr>
          <w:rFonts w:hint="eastAsia" w:ascii="黑体" w:hAnsi="黑体" w:eastAsia="黑体"/>
          <w:b/>
          <w:bCs/>
          <w:sz w:val="2"/>
          <w:szCs w:val="2"/>
        </w:rPr>
        <w:t>I</w:t>
      </w:r>
    </w:p>
    <w:p>
      <w:pPr>
        <w:spacing w:line="600" w:lineRule="exact"/>
      </w:pPr>
    </w:p>
    <w:p>
      <w:pPr>
        <w:spacing w:line="600" w:lineRule="exact"/>
      </w:pPr>
    </w:p>
    <w:p>
      <w:pPr>
        <w:pStyle w:val="38"/>
        <w:ind w:left="0" w:firstLine="0"/>
      </w:pPr>
    </w:p>
    <w:p>
      <w:pPr>
        <w:pStyle w:val="38"/>
      </w:pPr>
    </w:p>
    <w:p>
      <w:pPr>
        <w:pStyle w:val="38"/>
      </w:pPr>
    </w:p>
    <w:p>
      <w:pPr>
        <w:pStyle w:val="38"/>
      </w:pPr>
    </w:p>
    <w:p>
      <w:pPr>
        <w:pStyle w:val="38"/>
      </w:pPr>
    </w:p>
    <w:p>
      <w:pPr>
        <w:pStyle w:val="38"/>
      </w:pPr>
    </w:p>
    <w:p>
      <w:pPr>
        <w:pStyle w:val="38"/>
      </w:pPr>
    </w:p>
    <w:p>
      <w:pPr>
        <w:spacing w:line="600" w:lineRule="exact"/>
      </w:pPr>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岳阳</w:t>
      </w:r>
      <w:r>
        <w:rPr>
          <w:rFonts w:ascii="黑体" w:hAnsi="黑体" w:eastAsia="黑体"/>
          <w:bCs/>
          <w:sz w:val="44"/>
          <w:szCs w:val="44"/>
        </w:rPr>
        <w:t>城陵矶新港有限</w:t>
      </w:r>
      <w:r>
        <w:rPr>
          <w:rFonts w:hint="eastAsia" w:ascii="黑体" w:hAnsi="黑体" w:eastAsia="黑体"/>
          <w:bCs/>
          <w:sz w:val="44"/>
          <w:szCs w:val="44"/>
        </w:rPr>
        <w:t>公司</w:t>
      </w:r>
    </w:p>
    <w:p>
      <w:pPr>
        <w:tabs>
          <w:tab w:val="left" w:pos="0"/>
          <w:tab w:val="left" w:pos="4185"/>
        </w:tabs>
        <w:spacing w:line="288" w:lineRule="auto"/>
        <w:ind w:right="-6"/>
        <w:jc w:val="center"/>
        <w:rPr>
          <w:rFonts w:ascii="黑体" w:hAnsi="黑体" w:eastAsia="黑体"/>
          <w:bCs/>
          <w:sz w:val="44"/>
          <w:szCs w:val="44"/>
        </w:rPr>
      </w:pPr>
      <w:r>
        <w:rPr>
          <w:rFonts w:hint="eastAsia" w:ascii="黑体" w:hAnsi="黑体" w:eastAsia="黑体"/>
          <w:bCs/>
          <w:sz w:val="44"/>
          <w:szCs w:val="44"/>
        </w:rPr>
        <w:t>二О二二年八月</w:t>
      </w:r>
    </w:p>
    <w:p>
      <w:pPr>
        <w:rPr>
          <w:rFonts w:ascii="黑体" w:hAnsi="黑体" w:eastAsia="黑体"/>
          <w:sz w:val="44"/>
          <w:szCs w:val="44"/>
          <w:lang w:val="zh-CN"/>
        </w:rPr>
      </w:pPr>
      <w:r>
        <w:rPr>
          <w:rFonts w:ascii="黑体" w:hAnsi="黑体" w:eastAsia="黑体"/>
          <w:sz w:val="44"/>
          <w:szCs w:val="44"/>
          <w:lang w:val="zh-CN"/>
        </w:rPr>
        <w:br w:type="page"/>
      </w:r>
    </w:p>
    <w:p>
      <w:pPr>
        <w:pStyle w:val="187"/>
        <w:keepNext w:val="0"/>
        <w:keepLines w:val="0"/>
        <w:widowControl w:val="0"/>
        <w:spacing w:before="0" w:line="600" w:lineRule="exact"/>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pStyle w:val="26"/>
        <w:widowControl w:val="0"/>
        <w:tabs>
          <w:tab w:val="right" w:leader="dot" w:pos="8948"/>
          <w:tab w:val="clear" w:pos="9242"/>
        </w:tabs>
        <w:adjustRightInd w:val="0"/>
        <w:snapToGrid w:val="0"/>
        <w:spacing w:beforeLines="0" w:afterLines="0" w:line="360" w:lineRule="auto"/>
        <w:ind w:firstLine="480" w:firstLineChars="200"/>
        <w:jc w:val="both"/>
        <w:rPr>
          <w:rFonts w:hAnsi="宋体" w:cs="宋体"/>
          <w:sz w:val="24"/>
          <w:szCs w:val="24"/>
        </w:rPr>
      </w:pPr>
    </w:p>
    <w:sdt>
      <w:sdtPr>
        <w:rPr>
          <w:rFonts w:hint="eastAsia" w:ascii="宋体" w:hAnsi="宋体" w:cs="宋体"/>
          <w:sz w:val="24"/>
        </w:rPr>
        <w:id w:val="147478620"/>
        <w15:color w:val="DBDBDB"/>
        <w:docPartObj>
          <w:docPartGallery w:val="Table of Contents"/>
          <w:docPartUnique/>
        </w:docPartObj>
      </w:sdtPr>
      <w:sdtEndPr>
        <w:rPr>
          <w:rFonts w:hint="eastAsia" w:ascii="Times New Roman" w:hAnsi="Times New Roman" w:cs="Times New Roman"/>
          <w:sz w:val="21"/>
        </w:rPr>
      </w:sdtEndPr>
      <w:sdtContent>
        <w:p>
          <w:pPr>
            <w:spacing w:line="360" w:lineRule="auto"/>
            <w:jc w:val="center"/>
            <w:rPr>
              <w:rFonts w:ascii="宋体" w:hAnsi="宋体" w:cs="宋体"/>
              <w:sz w:val="24"/>
            </w:rPr>
          </w:pPr>
        </w:p>
        <w:p>
          <w:pPr>
            <w:pStyle w:val="188"/>
            <w:tabs>
              <w:tab w:val="right" w:leader="dot" w:pos="8300"/>
            </w:tabs>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TOC \o "1-1" \h \u </w:instrText>
          </w:r>
          <w:r>
            <w:rPr>
              <w:rFonts w:hint="eastAsia" w:ascii="微软雅黑" w:hAnsi="微软雅黑" w:eastAsia="微软雅黑" w:cs="微软雅黑"/>
              <w:sz w:val="24"/>
              <w:szCs w:val="24"/>
            </w:rPr>
            <w:fldChar w:fldCharType="separate"/>
          </w:r>
          <w:r>
            <w:fldChar w:fldCharType="begin"/>
          </w:r>
          <w:r>
            <w:instrText xml:space="preserve"> HYPERLINK \l "_Toc25723" </w:instrText>
          </w:r>
          <w:r>
            <w:fldChar w:fldCharType="separate"/>
          </w:r>
          <w:r>
            <w:rPr>
              <w:rFonts w:hint="eastAsia" w:ascii="微软雅黑" w:hAnsi="微软雅黑" w:eastAsia="微软雅黑" w:cs="微软雅黑"/>
              <w:sz w:val="24"/>
              <w:szCs w:val="24"/>
            </w:rPr>
            <w:t>第一章 采购公告</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_Toc25723 \h </w:instrText>
          </w:r>
          <w:r>
            <w:rPr>
              <w:rFonts w:hint="eastAsia" w:ascii="微软雅黑" w:hAnsi="微软雅黑" w:eastAsia="微软雅黑" w:cs="微软雅黑"/>
              <w:sz w:val="24"/>
              <w:szCs w:val="24"/>
            </w:rPr>
            <w:fldChar w:fldCharType="separate"/>
          </w:r>
          <w:r>
            <w:rPr>
              <w:rFonts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88"/>
            <w:tabs>
              <w:tab w:val="right" w:leader="dot" w:pos="8300"/>
            </w:tabs>
            <w:spacing w:line="360" w:lineRule="auto"/>
            <w:rPr>
              <w:rFonts w:ascii="微软雅黑" w:hAnsi="微软雅黑" w:eastAsia="微软雅黑" w:cs="微软雅黑"/>
              <w:sz w:val="24"/>
              <w:szCs w:val="24"/>
            </w:rPr>
          </w:pPr>
          <w:r>
            <w:fldChar w:fldCharType="begin"/>
          </w:r>
          <w:r>
            <w:instrText xml:space="preserve"> HYPERLINK \l "_Toc4462" </w:instrText>
          </w:r>
          <w:r>
            <w:fldChar w:fldCharType="separate"/>
          </w:r>
          <w:r>
            <w:rPr>
              <w:rFonts w:hint="eastAsia" w:ascii="微软雅黑" w:hAnsi="微软雅黑" w:eastAsia="微软雅黑" w:cs="微软雅黑"/>
              <w:sz w:val="24"/>
              <w:szCs w:val="24"/>
            </w:rPr>
            <w:t>第二章 供应商须知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_Toc4462 \h </w:instrText>
          </w:r>
          <w:r>
            <w:rPr>
              <w:rFonts w:hint="eastAsia" w:ascii="微软雅黑" w:hAnsi="微软雅黑" w:eastAsia="微软雅黑" w:cs="微软雅黑"/>
              <w:sz w:val="24"/>
              <w:szCs w:val="24"/>
            </w:rPr>
            <w:fldChar w:fldCharType="separate"/>
          </w:r>
          <w:r>
            <w:rPr>
              <w:rFonts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88"/>
            <w:tabs>
              <w:tab w:val="right" w:leader="dot" w:pos="8300"/>
            </w:tabs>
            <w:spacing w:line="360" w:lineRule="auto"/>
            <w:rPr>
              <w:rFonts w:ascii="微软雅黑" w:hAnsi="微软雅黑" w:eastAsia="微软雅黑" w:cs="微软雅黑"/>
              <w:sz w:val="24"/>
              <w:szCs w:val="24"/>
            </w:rPr>
          </w:pPr>
          <w:r>
            <w:fldChar w:fldCharType="begin"/>
          </w:r>
          <w:r>
            <w:instrText xml:space="preserve"> HYPERLINK \l "_Toc2458" </w:instrText>
          </w:r>
          <w:r>
            <w:fldChar w:fldCharType="separate"/>
          </w:r>
          <w:r>
            <w:rPr>
              <w:rFonts w:hint="eastAsia" w:ascii="微软雅黑" w:hAnsi="微软雅黑" w:eastAsia="微软雅黑" w:cs="微软雅黑"/>
              <w:sz w:val="24"/>
              <w:szCs w:val="24"/>
            </w:rPr>
            <w:t>第三章 评审办法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_Toc2458 \h </w:instrText>
          </w:r>
          <w:r>
            <w:rPr>
              <w:rFonts w:hint="eastAsia" w:ascii="微软雅黑" w:hAnsi="微软雅黑" w:eastAsia="微软雅黑" w:cs="微软雅黑"/>
              <w:sz w:val="24"/>
              <w:szCs w:val="24"/>
            </w:rPr>
            <w:fldChar w:fldCharType="separate"/>
          </w:r>
          <w:r>
            <w:rPr>
              <w:rFonts w:ascii="微软雅黑" w:hAnsi="微软雅黑" w:eastAsia="微软雅黑" w:cs="微软雅黑"/>
              <w:sz w:val="24"/>
              <w:szCs w:val="24"/>
            </w:rPr>
            <w:t>24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88"/>
            <w:tabs>
              <w:tab w:val="right" w:leader="dot" w:pos="8300"/>
            </w:tabs>
            <w:spacing w:line="360" w:lineRule="auto"/>
            <w:rPr>
              <w:rFonts w:ascii="微软雅黑" w:hAnsi="微软雅黑" w:eastAsia="微软雅黑" w:cs="微软雅黑"/>
              <w:sz w:val="24"/>
              <w:szCs w:val="24"/>
            </w:rPr>
          </w:pPr>
          <w:r>
            <w:fldChar w:fldCharType="begin"/>
          </w:r>
          <w:r>
            <w:instrText xml:space="preserve"> HYPERLINK \l "_Toc9329" </w:instrText>
          </w:r>
          <w:r>
            <w:fldChar w:fldCharType="separate"/>
          </w:r>
          <w:r>
            <w:rPr>
              <w:rFonts w:hint="eastAsia" w:ascii="微软雅黑" w:hAnsi="微软雅黑" w:eastAsia="微软雅黑" w:cs="微软雅黑"/>
              <w:sz w:val="24"/>
              <w:szCs w:val="24"/>
            </w:rPr>
            <w:t>第四章 合同条款及格式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7</w:t>
          </w:r>
        </w:p>
        <w:p>
          <w:pPr>
            <w:pStyle w:val="188"/>
            <w:tabs>
              <w:tab w:val="right" w:leader="dot" w:pos="8300"/>
            </w:tabs>
            <w:spacing w:line="360" w:lineRule="auto"/>
            <w:rPr>
              <w:rFonts w:ascii="微软雅黑" w:hAnsi="微软雅黑" w:eastAsia="微软雅黑" w:cs="微软雅黑"/>
              <w:sz w:val="24"/>
              <w:szCs w:val="24"/>
            </w:rPr>
          </w:pPr>
          <w:r>
            <w:fldChar w:fldCharType="begin"/>
          </w:r>
          <w:r>
            <w:instrText xml:space="preserve"> HYPERLINK \l "_Toc25367" </w:instrText>
          </w:r>
          <w:r>
            <w:fldChar w:fldCharType="separate"/>
          </w:r>
          <w:r>
            <w:rPr>
              <w:rFonts w:hint="eastAsia" w:ascii="微软雅黑" w:hAnsi="微软雅黑" w:eastAsia="微软雅黑" w:cs="微软雅黑"/>
              <w:sz w:val="24"/>
              <w:szCs w:val="24"/>
            </w:rPr>
            <w:t>第五章 采购需求</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40</w:t>
          </w:r>
        </w:p>
        <w:p>
          <w:pPr>
            <w:pStyle w:val="188"/>
            <w:tabs>
              <w:tab w:val="right" w:leader="dot" w:pos="8300"/>
            </w:tabs>
            <w:spacing w:line="360" w:lineRule="auto"/>
            <w:rPr>
              <w:rFonts w:ascii="微软雅黑" w:hAnsi="微软雅黑" w:eastAsia="微软雅黑" w:cs="微软雅黑"/>
              <w:sz w:val="24"/>
              <w:szCs w:val="24"/>
            </w:rPr>
          </w:pPr>
          <w:r>
            <w:fldChar w:fldCharType="begin"/>
          </w:r>
          <w:r>
            <w:instrText xml:space="preserve"> HYPERLINK \l "_Toc3928" </w:instrText>
          </w:r>
          <w:r>
            <w:fldChar w:fldCharType="separate"/>
          </w:r>
          <w:r>
            <w:rPr>
              <w:rFonts w:hint="eastAsia" w:ascii="微软雅黑" w:hAnsi="微软雅黑" w:eastAsia="微软雅黑" w:cs="微软雅黑"/>
              <w:sz w:val="24"/>
              <w:szCs w:val="24"/>
            </w:rPr>
            <w:t>第六章 响应文件格式</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43</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"_Toc23934" </w:instrText>
          </w:r>
          <w:r>
            <w:fldChar w:fldCharType="separate"/>
          </w:r>
          <w:r>
            <w:rPr>
              <w:rFonts w:hint="eastAsia" w:ascii="微软雅黑" w:hAnsi="微软雅黑" w:eastAsia="微软雅黑" w:cs="微软雅黑"/>
              <w:sz w:val="24"/>
              <w:szCs w:val="24"/>
            </w:rPr>
            <w:t>一、响应函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45</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"_Toc23996" </w:instrText>
          </w:r>
          <w:r>
            <w:fldChar w:fldCharType="separate"/>
          </w:r>
          <w:r>
            <w:rPr>
              <w:rFonts w:hint="eastAsia" w:ascii="微软雅黑" w:hAnsi="微软雅黑" w:eastAsia="微软雅黑" w:cs="微软雅黑"/>
              <w:sz w:val="24"/>
              <w:szCs w:val="24"/>
            </w:rPr>
            <w:t>二、授权委托书(适用于有委托代理人的情况)</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48</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"_Toc16749" </w:instrText>
          </w:r>
          <w:r>
            <w:fldChar w:fldCharType="separate"/>
          </w:r>
          <w:r>
            <w:rPr>
              <w:rFonts w:hint="eastAsia" w:ascii="微软雅黑" w:hAnsi="微软雅黑" w:eastAsia="微软雅黑" w:cs="微软雅黑"/>
              <w:sz w:val="24"/>
              <w:szCs w:val="24"/>
            </w:rPr>
            <w:t>三、商务和技术偏差表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49</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"_Toc23116" </w:instrText>
          </w:r>
          <w:r>
            <w:fldChar w:fldCharType="separate"/>
          </w:r>
          <w:r>
            <w:rPr>
              <w:rFonts w:hint="eastAsia" w:ascii="微软雅黑" w:hAnsi="微软雅黑" w:eastAsia="微软雅黑" w:cs="微软雅黑"/>
              <w:sz w:val="24"/>
              <w:szCs w:val="24"/>
            </w:rPr>
            <w:t>四、报价表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50</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"_Toc12364" </w:instrText>
          </w:r>
          <w:r>
            <w:fldChar w:fldCharType="separate"/>
          </w:r>
          <w:r>
            <w:rPr>
              <w:rFonts w:hint="eastAsia" w:ascii="微软雅黑" w:hAnsi="微软雅黑" w:eastAsia="微软雅黑" w:cs="微软雅黑"/>
              <w:sz w:val="24"/>
              <w:szCs w:val="24"/>
            </w:rPr>
            <w:t>五、资格审查资料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51</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"_Toc18209" </w:instrText>
          </w:r>
          <w:r>
            <w:fldChar w:fldCharType="separate"/>
          </w:r>
          <w:r>
            <w:rPr>
              <w:rFonts w:hint="eastAsia" w:ascii="微软雅黑" w:hAnsi="微软雅黑" w:eastAsia="微软雅黑" w:cs="微软雅黑"/>
              <w:sz w:val="24"/>
              <w:szCs w:val="24"/>
            </w:rPr>
            <w:t>六、响应方案</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53</w:t>
          </w:r>
        </w:p>
        <w:p>
          <w:pPr>
            <w:pStyle w:val="188"/>
            <w:tabs>
              <w:tab w:val="right" w:leader="dot" w:pos="8300"/>
            </w:tabs>
            <w:spacing w:line="360" w:lineRule="auto"/>
            <w:ind w:left="210" w:leftChars="100"/>
            <w:rPr>
              <w:rFonts w:ascii="微软雅黑" w:hAnsi="微软雅黑" w:eastAsia="微软雅黑" w:cs="微软雅黑"/>
              <w:sz w:val="24"/>
              <w:szCs w:val="24"/>
            </w:rPr>
          </w:pPr>
          <w:r>
            <w:fldChar w:fldCharType="begin"/>
          </w:r>
          <w:r>
            <w:instrText xml:space="preserve"> HYPERLINK \l "_Toc2071" </w:instrText>
          </w:r>
          <w:r>
            <w:fldChar w:fldCharType="separate"/>
          </w:r>
          <w:r>
            <w:rPr>
              <w:rFonts w:hint="eastAsia" w:ascii="微软雅黑" w:hAnsi="微软雅黑" w:eastAsia="微软雅黑" w:cs="微软雅黑"/>
              <w:sz w:val="24"/>
              <w:szCs w:val="24"/>
            </w:rPr>
            <w:t>七、其他资料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54</w:t>
          </w:r>
        </w:p>
        <w:p>
          <w:pPr>
            <w:spacing w:line="360" w:lineRule="auto"/>
          </w:pPr>
          <w:r>
            <w:rPr>
              <w:rFonts w:hint="eastAsia" w:ascii="微软雅黑" w:hAnsi="微软雅黑" w:eastAsia="微软雅黑" w:cs="微软雅黑"/>
              <w:sz w:val="24"/>
            </w:rPr>
            <w:fldChar w:fldCharType="end"/>
          </w:r>
        </w:p>
      </w:sdtContent>
    </w:sdt>
    <w:p>
      <w:pPr>
        <w:numPr>
          <w:ilvl w:val="0"/>
          <w:numId w:val="1"/>
        </w:numPr>
        <w:spacing w:line="600" w:lineRule="exact"/>
        <w:jc w:val="center"/>
        <w:outlineLvl w:val="0"/>
        <w:rPr>
          <w:rFonts w:ascii="黑体" w:hAnsi="黑体" w:eastAsia="黑体" w:cs="仿宋"/>
          <w:b/>
          <w:color w:val="000000"/>
          <w:sz w:val="44"/>
          <w:szCs w:val="44"/>
        </w:rPr>
      </w:pPr>
      <w:bookmarkStart w:id="0" w:name="_Toc25723"/>
      <w:r>
        <w:rPr>
          <w:rFonts w:hint="eastAsia" w:ascii="黑体" w:hAnsi="黑体" w:eastAsia="黑体" w:cs="仿宋"/>
          <w:b/>
          <w:color w:val="000000"/>
          <w:sz w:val="44"/>
          <w:szCs w:val="44"/>
        </w:rPr>
        <w:br w:type="page"/>
      </w:r>
    </w:p>
    <w:p>
      <w:pPr>
        <w:pStyle w:val="77"/>
        <w:numPr>
          <w:ilvl w:val="255"/>
          <w:numId w:val="0"/>
        </w:numPr>
        <w:spacing w:line="600" w:lineRule="exact"/>
        <w:jc w:val="center"/>
        <w:outlineLvl w:val="0"/>
        <w:rPr>
          <w:rFonts w:ascii="黑体" w:hAnsi="黑体" w:eastAsia="黑体" w:cs="仿宋"/>
          <w:b/>
          <w:color w:val="000000"/>
          <w:sz w:val="44"/>
          <w:szCs w:val="44"/>
        </w:rPr>
      </w:pPr>
      <w:r>
        <w:rPr>
          <w:rFonts w:hint="eastAsia" w:ascii="黑体" w:hAnsi="黑体" w:eastAsia="黑体" w:cs="仿宋"/>
          <w:b/>
          <w:color w:val="000000"/>
          <w:sz w:val="44"/>
          <w:szCs w:val="44"/>
        </w:rPr>
        <w:t>第一章 采购公告</w:t>
      </w:r>
      <w:bookmarkEnd w:id="0"/>
    </w:p>
    <w:p>
      <w:pPr>
        <w:rPr>
          <w:sz w:val="32"/>
          <w:szCs w:val="32"/>
        </w:rPr>
      </w:pPr>
    </w:p>
    <w:p>
      <w:pPr>
        <w:widowControl w:val="0"/>
        <w:adjustRightInd w:val="0"/>
        <w:snapToGrid w:val="0"/>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岳阳</w:t>
      </w:r>
      <w:r>
        <w:rPr>
          <w:rFonts w:ascii="黑体" w:hAnsi="黑体" w:eastAsia="黑体" w:cs="黑体"/>
          <w:color w:val="000000"/>
          <w:sz w:val="32"/>
          <w:szCs w:val="32"/>
        </w:rPr>
        <w:t>城陵矶新港</w:t>
      </w:r>
      <w:r>
        <w:rPr>
          <w:rFonts w:hint="eastAsia" w:ascii="黑体" w:hAnsi="黑体" w:eastAsia="黑体" w:cs="黑体"/>
          <w:color w:val="000000"/>
          <w:sz w:val="32"/>
          <w:szCs w:val="32"/>
        </w:rPr>
        <w:t>有限公司</w:t>
      </w:r>
    </w:p>
    <w:p>
      <w:pPr>
        <w:widowControl w:val="0"/>
        <w:adjustRightInd w:val="0"/>
        <w:snapToGrid w:val="0"/>
        <w:spacing w:line="360" w:lineRule="auto"/>
        <w:jc w:val="center"/>
      </w:pPr>
      <w:r>
        <w:rPr>
          <w:rFonts w:hint="eastAsia" w:ascii="黑体" w:hAnsi="黑体" w:eastAsia="黑体" w:cs="黑体"/>
          <w:color w:val="000000"/>
          <w:sz w:val="32"/>
          <w:szCs w:val="32"/>
        </w:rPr>
        <w:t>远控系统网安设备采购项目</w:t>
      </w:r>
      <w:r>
        <w:rPr>
          <w:rFonts w:hint="eastAsia" w:ascii="黑体" w:hAnsi="黑体" w:eastAsia="黑体" w:cs="黑体"/>
          <w:sz w:val="32"/>
          <w:szCs w:val="32"/>
        </w:rPr>
        <w:t>采购公告</w:t>
      </w:r>
      <w:r>
        <w:rPr>
          <w:rFonts w:hint="eastAsia"/>
        </w:rPr>
        <w:t xml:space="preserve"> </w:t>
      </w:r>
    </w:p>
    <w:p>
      <w:pPr>
        <w:autoSpaceDE w:val="0"/>
        <w:spacing w:line="360" w:lineRule="auto"/>
        <w:jc w:val="both"/>
        <w:rPr>
          <w:rFonts w:ascii="宋体" w:hAnsi="宋体"/>
          <w:sz w:val="24"/>
        </w:rPr>
      </w:pPr>
      <w:r>
        <w:rPr>
          <w:rFonts w:hint="eastAsia" w:ascii="宋体" w:hAnsi="宋体"/>
          <w:sz w:val="24"/>
        </w:rPr>
        <w:t xml:space="preserve">   岳阳</w:t>
      </w:r>
      <w:r>
        <w:rPr>
          <w:rFonts w:ascii="宋体" w:hAnsi="宋体"/>
          <w:sz w:val="24"/>
        </w:rPr>
        <w:t>城陵矶新港</w:t>
      </w:r>
      <w:r>
        <w:rPr>
          <w:rFonts w:hint="eastAsia" w:ascii="宋体" w:hAnsi="宋体"/>
          <w:sz w:val="24"/>
        </w:rPr>
        <w:t xml:space="preserve">有限公司远控系统网安设备采购项目已具备采购条件，现公开邀请具备实施能力的供应商参加采购活动。 </w:t>
      </w:r>
    </w:p>
    <w:p>
      <w:pPr>
        <w:pStyle w:val="9"/>
        <w:spacing w:line="360" w:lineRule="auto"/>
        <w:jc w:val="both"/>
        <w:rPr>
          <w:rFonts w:ascii="Arial" w:hAnsi="Arial"/>
        </w:rPr>
      </w:pPr>
      <w:r>
        <w:rPr>
          <w:rFonts w:hint="eastAsia"/>
        </w:rPr>
        <w:t xml:space="preserve">1 </w:t>
      </w:r>
      <w:r>
        <w:rPr>
          <w:rFonts w:hint="eastAsia" w:ascii="黑体" w:hAnsi="黑体"/>
        </w:rPr>
        <w:t xml:space="preserve">采购项目简介 </w:t>
      </w:r>
    </w:p>
    <w:p>
      <w:pPr>
        <w:autoSpaceDE w:val="0"/>
        <w:spacing w:line="360" w:lineRule="auto"/>
        <w:jc w:val="both"/>
        <w:rPr>
          <w:rFonts w:ascii="宋体" w:hAnsi="宋体" w:cs="宋体"/>
          <w:sz w:val="24"/>
        </w:rPr>
      </w:pPr>
      <w:r>
        <w:rPr>
          <w:rFonts w:hint="eastAsia" w:ascii="宋体" w:hAnsi="宋体"/>
          <w:b/>
          <w:bCs/>
          <w:sz w:val="24"/>
        </w:rPr>
        <w:t>1.1</w:t>
      </w:r>
      <w:r>
        <w:rPr>
          <w:rFonts w:hint="eastAsia" w:ascii="宋体" w:hAnsi="宋体"/>
          <w:sz w:val="24"/>
        </w:rPr>
        <w:t xml:space="preserve"> 采购项目名</w:t>
      </w:r>
      <w:r>
        <w:rPr>
          <w:rFonts w:hint="eastAsia" w:ascii="宋体" w:hAnsi="宋体" w:cs="宋体"/>
          <w:sz w:val="24"/>
        </w:rPr>
        <w:t>称:</w:t>
      </w:r>
      <w:r>
        <w:rPr>
          <w:rFonts w:hint="eastAsia" w:ascii="宋体" w:hAnsi="宋体" w:cs="宋体"/>
          <w:color w:val="000000"/>
          <w:sz w:val="24"/>
        </w:rPr>
        <w:t>岳阳</w:t>
      </w:r>
      <w:r>
        <w:rPr>
          <w:rFonts w:ascii="宋体" w:hAnsi="宋体" w:cs="宋体"/>
          <w:color w:val="000000"/>
          <w:sz w:val="24"/>
        </w:rPr>
        <w:t>城陵矶新港</w:t>
      </w:r>
      <w:r>
        <w:rPr>
          <w:rFonts w:hint="eastAsia" w:ascii="宋体" w:hAnsi="宋体" w:cs="宋体"/>
          <w:color w:val="000000"/>
          <w:sz w:val="24"/>
        </w:rPr>
        <w:t>有限公司远控系统网安设备采购项目</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w:t>
      </w:r>
      <w:r>
        <w:rPr>
          <w:rFonts w:hint="eastAsia" w:ascii="宋体" w:hAnsi="宋体" w:cs="宋体"/>
          <w:color w:val="000000"/>
          <w:sz w:val="24"/>
        </w:rPr>
        <w:t xml:space="preserve"> 岳阳</w:t>
      </w:r>
      <w:r>
        <w:rPr>
          <w:rFonts w:ascii="宋体" w:hAnsi="宋体" w:cs="宋体"/>
          <w:color w:val="000000"/>
          <w:sz w:val="24"/>
        </w:rPr>
        <w:t>城陵矶新港</w:t>
      </w:r>
      <w:r>
        <w:rPr>
          <w:rFonts w:hint="eastAsia" w:ascii="宋体" w:hAnsi="宋体" w:cs="宋体"/>
          <w:color w:val="000000"/>
          <w:sz w:val="24"/>
        </w:rPr>
        <w:t>有限</w:t>
      </w:r>
      <w:r>
        <w:rPr>
          <w:rFonts w:hint="eastAsia" w:ascii="宋体" w:hAnsi="宋体"/>
          <w:sz w:val="24"/>
        </w:rPr>
        <w:t>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ascii="宋体" w:hAnsi="宋体"/>
          <w:sz w:val="24"/>
          <w:highlight w:val="yellow"/>
        </w:rPr>
      </w:pPr>
      <w:r>
        <w:rPr>
          <w:rFonts w:hint="eastAsia" w:ascii="宋体" w:hAnsi="宋体"/>
          <w:b/>
          <w:bCs/>
          <w:sz w:val="24"/>
        </w:rPr>
        <w:t xml:space="preserve">1.5 </w:t>
      </w:r>
      <w:r>
        <w:rPr>
          <w:rFonts w:hint="eastAsia" w:ascii="宋体" w:hAnsi="宋体"/>
          <w:sz w:val="24"/>
        </w:rPr>
        <w:t>采购项目概况:保障远程控制系统网络安全，完善远控系统的边界和操作主机终端的安全防护，实现终端、边界一体化防御体系，采购</w:t>
      </w:r>
      <w:r>
        <w:rPr>
          <w:rFonts w:hint="eastAsia"/>
        </w:rPr>
        <w:t xml:space="preserve"> </w:t>
      </w:r>
      <w:r>
        <w:rPr>
          <w:rFonts w:hint="eastAsia" w:ascii="宋体" w:hAnsi="宋体"/>
          <w:sz w:val="24"/>
        </w:rPr>
        <w:t>30台工业主机防护系统和1台工业网闸，以及终端</w:t>
      </w:r>
      <w:r>
        <w:rPr>
          <w:rFonts w:ascii="宋体" w:hAnsi="宋体"/>
          <w:sz w:val="24"/>
        </w:rPr>
        <w:t>安全管理系统</w:t>
      </w:r>
      <w:r>
        <w:rPr>
          <w:rFonts w:hint="eastAsia" w:ascii="宋体" w:hAnsi="宋体"/>
          <w:sz w:val="24"/>
        </w:rPr>
        <w:t>扩展100个终端移动存储管理</w:t>
      </w:r>
      <w:r>
        <w:rPr>
          <w:rFonts w:ascii="宋体" w:hAnsi="宋体"/>
          <w:sz w:val="24"/>
        </w:rPr>
        <w:t>模块</w:t>
      </w:r>
      <w:r>
        <w:rPr>
          <w:rFonts w:hint="eastAsia" w:ascii="宋体" w:hAnsi="宋体" w:cs="宋体"/>
          <w:color w:val="000000"/>
          <w:sz w:val="24"/>
        </w:rPr>
        <w:t>。</w:t>
      </w:r>
    </w:p>
    <w:p>
      <w:pPr>
        <w:pStyle w:val="9"/>
        <w:spacing w:line="360" w:lineRule="auto"/>
        <w:jc w:val="both"/>
        <w:rPr>
          <w:rFonts w:ascii="Arial" w:hAnsi="Arial"/>
        </w:rPr>
      </w:pPr>
      <w:r>
        <w:rPr>
          <w:rFonts w:hint="eastAsia"/>
        </w:rPr>
        <w:t>2．</w:t>
      </w:r>
      <w:r>
        <w:rPr>
          <w:rFonts w:hint="eastAsia" w:ascii="黑体" w:hAnsi="黑体"/>
        </w:rPr>
        <w:t>采购范围及相关要求</w:t>
      </w:r>
    </w:p>
    <w:p>
      <w:pPr>
        <w:autoSpaceDE w:val="0"/>
        <w:spacing w:line="360" w:lineRule="auto"/>
        <w:jc w:val="both"/>
        <w:rPr>
          <w:rFonts w:ascii="宋体" w:hAnsi="宋体"/>
          <w:sz w:val="24"/>
        </w:rPr>
      </w:pPr>
      <w:r>
        <w:rPr>
          <w:rFonts w:hint="eastAsia" w:ascii="宋体" w:hAnsi="宋体"/>
          <w:b/>
          <w:bCs/>
          <w:sz w:val="24"/>
        </w:rPr>
        <w:t xml:space="preserve">2.1 </w:t>
      </w:r>
      <w:r>
        <w:rPr>
          <w:rFonts w:hint="eastAsia" w:ascii="宋体" w:hAnsi="宋体"/>
          <w:sz w:val="24"/>
        </w:rPr>
        <w:t xml:space="preserve">采购范围: </w:t>
      </w:r>
    </w:p>
    <w:p>
      <w:pPr>
        <w:autoSpaceDE w:val="0"/>
        <w:spacing w:line="360" w:lineRule="auto"/>
        <w:jc w:val="both"/>
        <w:rPr>
          <w:rFonts w:ascii="宋体" w:hAnsi="宋体"/>
          <w:sz w:val="24"/>
        </w:rPr>
      </w:pPr>
      <w:r>
        <w:rPr>
          <w:rFonts w:hint="eastAsia" w:ascii="宋体" w:hAnsi="宋体"/>
          <w:sz w:val="24"/>
        </w:rPr>
        <w:t>（1）30台工业主机防护系统和1台工业网闸，以及终端</w:t>
      </w:r>
      <w:r>
        <w:rPr>
          <w:rFonts w:ascii="宋体" w:hAnsi="宋体"/>
          <w:sz w:val="24"/>
        </w:rPr>
        <w:t>安全管理系统</w:t>
      </w:r>
      <w:r>
        <w:rPr>
          <w:rFonts w:hint="eastAsia" w:ascii="宋体" w:hAnsi="宋体"/>
          <w:sz w:val="24"/>
        </w:rPr>
        <w:t>扩展10</w:t>
      </w:r>
      <w:r>
        <w:rPr>
          <w:rFonts w:ascii="宋体" w:hAnsi="宋体"/>
          <w:sz w:val="24"/>
        </w:rPr>
        <w:t>0</w:t>
      </w:r>
      <w:r>
        <w:rPr>
          <w:rFonts w:hint="eastAsia" w:ascii="宋体" w:hAnsi="宋体"/>
          <w:sz w:val="24"/>
        </w:rPr>
        <w:t>个终端移动存储管理</w:t>
      </w:r>
      <w:r>
        <w:rPr>
          <w:rFonts w:ascii="宋体" w:hAnsi="宋体"/>
          <w:sz w:val="24"/>
        </w:rPr>
        <w:t>模块</w:t>
      </w:r>
      <w:r>
        <w:rPr>
          <w:rFonts w:hint="eastAsia" w:ascii="宋体" w:hAnsi="宋体" w:cs="宋体"/>
          <w:color w:val="000000"/>
          <w:sz w:val="24"/>
        </w:rPr>
        <w:t>。</w:t>
      </w:r>
    </w:p>
    <w:p>
      <w:pPr>
        <w:numPr>
          <w:ilvl w:val="255"/>
          <w:numId w:val="0"/>
        </w:numPr>
        <w:autoSpaceDE w:val="0"/>
        <w:spacing w:line="360" w:lineRule="auto"/>
        <w:ind w:firstLine="240" w:firstLineChars="100"/>
        <w:jc w:val="both"/>
        <w:rPr>
          <w:rFonts w:ascii="宋体" w:hAnsi="宋体"/>
          <w:sz w:val="24"/>
        </w:rPr>
      </w:pPr>
      <w:r>
        <w:rPr>
          <w:rFonts w:hint="eastAsia" w:ascii="宋体" w:hAnsi="宋体"/>
          <w:sz w:val="24"/>
        </w:rPr>
        <w:t>（2）</w:t>
      </w:r>
      <w:r>
        <w:rPr>
          <w:rFonts w:hint="eastAsia" w:ascii="宋体" w:hAnsi="宋体" w:cs="宋体"/>
          <w:sz w:val="24"/>
        </w:rPr>
        <w:t>本次采购含新设备采购及后期安装调试、培训服务</w:t>
      </w:r>
      <w:r>
        <w:rPr>
          <w:rFonts w:hint="eastAsia" w:ascii="宋体" w:hAnsi="宋体"/>
          <w:sz w:val="24"/>
        </w:rPr>
        <w:t>。</w:t>
      </w:r>
    </w:p>
    <w:p>
      <w:pPr>
        <w:autoSpaceDE w:val="0"/>
        <w:spacing w:line="360" w:lineRule="auto"/>
        <w:jc w:val="both"/>
        <w:rPr>
          <w:rFonts w:ascii="宋体" w:hAnsi="宋体"/>
          <w:sz w:val="24"/>
        </w:rPr>
      </w:pPr>
      <w:r>
        <w:rPr>
          <w:rFonts w:hint="eastAsia" w:ascii="宋体" w:hAnsi="宋体"/>
          <w:b/>
          <w:bCs/>
          <w:sz w:val="24"/>
        </w:rPr>
        <w:t xml:space="preserve">2.2 </w:t>
      </w:r>
      <w:r>
        <w:rPr>
          <w:rFonts w:hint="eastAsia" w:ascii="宋体" w:hAnsi="宋体"/>
          <w:sz w:val="24"/>
        </w:rPr>
        <w:t xml:space="preserve">交货期限: </w:t>
      </w:r>
      <w:r>
        <w:rPr>
          <w:rFonts w:hint="eastAsia" w:ascii="宋体" w:hAnsi="宋体" w:cs="宋体"/>
          <w:sz w:val="24"/>
        </w:rPr>
        <w:t>合同签订后设备交货</w:t>
      </w:r>
      <w:r>
        <w:rPr>
          <w:rFonts w:ascii="宋体" w:hAnsi="宋体" w:cs="宋体"/>
          <w:sz w:val="24"/>
        </w:rPr>
        <w:t>日期不超过</w:t>
      </w:r>
      <w:r>
        <w:rPr>
          <w:rFonts w:hint="eastAsia" w:ascii="宋体" w:hAnsi="宋体" w:cs="宋体"/>
          <w:sz w:val="24"/>
          <w:u w:val="single"/>
        </w:rPr>
        <w:t>15</w:t>
      </w:r>
      <w:r>
        <w:rPr>
          <w:rFonts w:hint="eastAsia" w:ascii="宋体" w:hAnsi="宋体" w:cs="宋体"/>
          <w:sz w:val="24"/>
        </w:rPr>
        <w:t>日历</w:t>
      </w:r>
      <w:r>
        <w:rPr>
          <w:rFonts w:ascii="宋体" w:hAnsi="宋体" w:cs="宋体"/>
          <w:sz w:val="24"/>
        </w:rPr>
        <w:t>日，</w:t>
      </w:r>
      <w:r>
        <w:rPr>
          <w:rFonts w:hint="eastAsia" w:ascii="宋体" w:hAnsi="宋体" w:cs="宋体"/>
          <w:sz w:val="24"/>
        </w:rPr>
        <w:t>按照采购人的要求进行实施，改造时间不大于</w:t>
      </w:r>
      <w:r>
        <w:rPr>
          <w:rFonts w:ascii="宋体" w:hAnsi="宋体" w:cs="宋体"/>
          <w:sz w:val="24"/>
          <w:u w:val="single"/>
        </w:rPr>
        <w:t>20</w:t>
      </w:r>
      <w:r>
        <w:rPr>
          <w:rFonts w:hint="eastAsia" w:ascii="宋体" w:hAnsi="宋体" w:cs="宋体"/>
          <w:sz w:val="24"/>
        </w:rPr>
        <w:t>个日历日。</w:t>
      </w:r>
    </w:p>
    <w:p>
      <w:pPr>
        <w:autoSpaceDE w:val="0"/>
        <w:spacing w:line="360" w:lineRule="auto"/>
        <w:jc w:val="both"/>
        <w:rPr>
          <w:rFonts w:ascii="宋体" w:hAnsi="宋体" w:cs="宋体"/>
          <w:sz w:val="24"/>
        </w:rPr>
      </w:pPr>
      <w:r>
        <w:rPr>
          <w:rFonts w:hint="eastAsia" w:ascii="宋体" w:hAnsi="宋体"/>
          <w:b/>
          <w:bCs/>
          <w:sz w:val="24"/>
        </w:rPr>
        <w:t xml:space="preserve">2.3 </w:t>
      </w:r>
      <w:r>
        <w:rPr>
          <w:rFonts w:hint="eastAsia" w:ascii="宋体" w:hAnsi="宋体"/>
          <w:sz w:val="24"/>
        </w:rPr>
        <w:t>交货地点: 由供应商负责运输至</w:t>
      </w:r>
      <w:r>
        <w:rPr>
          <w:rFonts w:hint="eastAsia" w:ascii="宋体" w:hAnsi="宋体" w:cs="宋体"/>
          <w:sz w:val="24"/>
        </w:rPr>
        <w:t>岳阳城陵矶新港有限公司</w:t>
      </w:r>
    </w:p>
    <w:p>
      <w:pPr>
        <w:pStyle w:val="2"/>
        <w:ind w:firstLine="0"/>
      </w:pPr>
      <w:r>
        <w:rPr>
          <w:rFonts w:hint="eastAsia" w:hAnsi="宋体"/>
          <w:b/>
          <w:bCs/>
          <w:snapToGrid/>
          <w:kern w:val="2"/>
          <w:szCs w:val="24"/>
        </w:rPr>
        <w:t xml:space="preserve">2.4 </w:t>
      </w:r>
      <w:r>
        <w:rPr>
          <w:rFonts w:hint="eastAsia" w:hAnsi="宋体"/>
          <w:snapToGrid/>
          <w:kern w:val="2"/>
          <w:szCs w:val="24"/>
        </w:rPr>
        <w:t>产品性能及相关要求</w:t>
      </w:r>
      <w:r>
        <w:rPr>
          <w:rFonts w:hint="eastAsia" w:hAnsi="宋体" w:cs="宋体"/>
        </w:rPr>
        <w:t>：</w:t>
      </w:r>
      <w:r>
        <w:rPr>
          <w:rFonts w:hint="eastAsia" w:hAnsi="宋体" w:cs="宋体"/>
          <w:b/>
          <w:bCs/>
        </w:rPr>
        <w:t>见采购文件第五章“采购需求”</w:t>
      </w:r>
    </w:p>
    <w:p>
      <w:pPr>
        <w:pStyle w:val="9"/>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rPr>
          <w:sz w:val="24"/>
        </w:rPr>
      </w:pPr>
      <w:r>
        <w:rPr>
          <w:rFonts w:hint="eastAsia" w:ascii="宋体" w:hAnsi="宋体"/>
          <w:sz w:val="24"/>
        </w:rPr>
        <w:t>（4）</w:t>
      </w:r>
      <w:r>
        <w:rPr>
          <w:rFonts w:hint="eastAsia"/>
          <w:sz w:val="24"/>
        </w:rPr>
        <w:t>为投资参股本项目的法人单位；</w:t>
      </w:r>
    </w:p>
    <w:p>
      <w:pPr>
        <w:autoSpaceDE w:val="0"/>
        <w:spacing w:line="360" w:lineRule="auto"/>
        <w:jc w:val="both"/>
        <w:rPr>
          <w:rFonts w:ascii="宋体" w:hAnsi="宋体"/>
          <w:sz w:val="24"/>
        </w:rPr>
      </w:pPr>
      <w:r>
        <w:rPr>
          <w:rFonts w:hint="eastAsia" w:ascii="宋体" w:hAnsi="宋体"/>
          <w:b/>
          <w:bCs/>
          <w:sz w:val="24"/>
        </w:rPr>
        <w:t>3.2</w:t>
      </w:r>
      <w:r>
        <w:rPr>
          <w:rFonts w:hint="eastAsia" w:ascii="宋体" w:hAnsi="宋体"/>
          <w:sz w:val="24"/>
        </w:rPr>
        <w:t>供应商应满足如下要求:</w:t>
      </w:r>
    </w:p>
    <w:tbl>
      <w:tblPr>
        <w:tblStyle w:val="40"/>
        <w:tblW w:w="8810"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814"/>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58" w:type="dxa"/>
            <w:vAlign w:val="center"/>
          </w:tcPr>
          <w:p>
            <w:pPr>
              <w:widowControl w:val="0"/>
              <w:spacing w:line="360" w:lineRule="auto"/>
              <w:jc w:val="center"/>
              <w:rPr>
                <w:rFonts w:ascii="宋体" w:hAnsi="宋体"/>
                <w:b/>
                <w:bCs/>
                <w:sz w:val="24"/>
              </w:rPr>
            </w:pPr>
            <w:r>
              <w:rPr>
                <w:rFonts w:hint="eastAsia" w:ascii="宋体" w:hAnsi="宋体"/>
                <w:b/>
                <w:bCs/>
                <w:sz w:val="24"/>
              </w:rPr>
              <w:t>资格条件</w:t>
            </w:r>
          </w:p>
        </w:tc>
        <w:tc>
          <w:tcPr>
            <w:tcW w:w="1814" w:type="dxa"/>
            <w:vAlign w:val="center"/>
          </w:tcPr>
          <w:p>
            <w:pPr>
              <w:widowControl w:val="0"/>
              <w:spacing w:line="360" w:lineRule="auto"/>
              <w:jc w:val="center"/>
              <w:rPr>
                <w:rFonts w:ascii="宋体" w:hAnsi="宋体"/>
                <w:b/>
                <w:bCs/>
                <w:sz w:val="24"/>
              </w:rPr>
            </w:pPr>
            <w:r>
              <w:rPr>
                <w:rFonts w:hint="eastAsia" w:ascii="宋体" w:hAnsi="宋体"/>
                <w:b/>
                <w:bCs/>
                <w:sz w:val="24"/>
              </w:rPr>
              <w:t>对供应商要求</w:t>
            </w:r>
          </w:p>
        </w:tc>
        <w:tc>
          <w:tcPr>
            <w:tcW w:w="4638" w:type="dxa"/>
            <w:vAlign w:val="center"/>
          </w:tcPr>
          <w:p>
            <w:pPr>
              <w:widowControl w:val="0"/>
              <w:spacing w:line="360" w:lineRule="auto"/>
              <w:jc w:val="center"/>
              <w:rPr>
                <w:rFonts w:ascii="宋体" w:hAnsi="宋体"/>
                <w:b/>
                <w:bCs/>
                <w:sz w:val="24"/>
              </w:rPr>
            </w:pPr>
            <w:r>
              <w:rPr>
                <w:rFonts w:hint="eastAsia" w:ascii="宋体" w:hAnsi="宋体"/>
                <w:b/>
                <w:bCs/>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（1）依法设立</w:t>
            </w:r>
          </w:p>
        </w:tc>
        <w:tc>
          <w:tcPr>
            <w:tcW w:w="1814" w:type="dxa"/>
            <w:vAlign w:val="center"/>
          </w:tcPr>
          <w:p>
            <w:pPr>
              <w:widowControl w:val="0"/>
              <w:spacing w:line="360" w:lineRule="auto"/>
              <w:jc w:val="center"/>
              <w:rPr>
                <w:rFonts w:ascii="宋体" w:hAnsi="宋体"/>
                <w:b/>
                <w:bCs/>
                <w:sz w:val="24"/>
              </w:rPr>
            </w:pPr>
            <w:r>
              <w:rPr>
                <w:rStyle w:val="42"/>
                <w:rFonts w:hint="eastAsia"/>
                <w:u w:val="single"/>
              </w:rPr>
              <w:sym w:font="Wingdings 2" w:char="0052"/>
            </w:r>
            <w:r>
              <w:rPr>
                <w:rStyle w:val="42"/>
                <w:rFonts w:hint="eastAsia"/>
                <w:u w:val="single"/>
              </w:rPr>
              <w:t>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（2）资质要求</w:t>
            </w:r>
          </w:p>
        </w:tc>
        <w:tc>
          <w:tcPr>
            <w:tcW w:w="1814" w:type="dxa"/>
            <w:vAlign w:val="center"/>
          </w:tcPr>
          <w:p>
            <w:pPr>
              <w:widowControl w:val="0"/>
              <w:spacing w:line="360" w:lineRule="auto"/>
              <w:jc w:val="center"/>
              <w:rPr>
                <w:rFonts w:ascii="宋体" w:hAnsi="宋体"/>
                <w:b/>
                <w:bCs/>
                <w:sz w:val="24"/>
              </w:rPr>
            </w:pPr>
            <w:r>
              <w:rPr>
                <w:rStyle w:val="42"/>
                <w:rFonts w:hint="eastAsia"/>
                <w:u w:val="single"/>
              </w:rPr>
              <w:sym w:font="Wingdings 2" w:char="0052"/>
            </w:r>
            <w:r>
              <w:rPr>
                <w:rStyle w:val="42"/>
                <w:rFonts w:hint="eastAsia"/>
                <w:u w:val="single"/>
              </w:rPr>
              <w:t>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（3）财务要求</w:t>
            </w:r>
          </w:p>
        </w:tc>
        <w:tc>
          <w:tcPr>
            <w:tcW w:w="1814" w:type="dxa"/>
            <w:vAlign w:val="center"/>
          </w:tcPr>
          <w:p>
            <w:pPr>
              <w:widowControl w:val="0"/>
              <w:spacing w:line="360" w:lineRule="auto"/>
              <w:jc w:val="center"/>
              <w:rPr>
                <w:rFonts w:ascii="宋体" w:hAnsi="宋体"/>
                <w:b/>
                <w:bCs/>
                <w:sz w:val="24"/>
              </w:rPr>
            </w:pPr>
            <w:r>
              <w:rPr>
                <w:rStyle w:val="42"/>
                <w:rFonts w:hint="eastAsia"/>
                <w:u w:val="single"/>
              </w:rPr>
              <w:sym w:font="Wingdings 2" w:char="0052"/>
            </w:r>
            <w:r>
              <w:rPr>
                <w:rStyle w:val="42"/>
                <w:rFonts w:hint="eastAsia"/>
                <w:u w:val="single"/>
              </w:rPr>
              <w:t>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（4）业绩要求</w:t>
            </w:r>
          </w:p>
        </w:tc>
        <w:tc>
          <w:tcPr>
            <w:tcW w:w="1814" w:type="dxa"/>
            <w:vAlign w:val="center"/>
          </w:tcPr>
          <w:p>
            <w:pPr>
              <w:widowControl w:val="0"/>
              <w:spacing w:line="360" w:lineRule="auto"/>
              <w:jc w:val="center"/>
              <w:rPr>
                <w:rFonts w:ascii="宋体" w:hAnsi="宋体"/>
                <w:b/>
                <w:bCs/>
                <w:sz w:val="24"/>
              </w:rPr>
            </w:pPr>
            <w:r>
              <w:rPr>
                <w:rStyle w:val="42"/>
                <w:rFonts w:hint="eastAsia"/>
                <w:u w:val="single"/>
              </w:rPr>
              <w:sym w:font="Wingdings 2" w:char="0052"/>
            </w:r>
            <w:r>
              <w:rPr>
                <w:rStyle w:val="42"/>
                <w:rFonts w:hint="eastAsia"/>
                <w:u w:val="single"/>
              </w:rPr>
              <w:t>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（5）信誉要求</w:t>
            </w:r>
          </w:p>
        </w:tc>
        <w:tc>
          <w:tcPr>
            <w:tcW w:w="1814"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不适用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（6）承担本项目的主要人员要求</w:t>
            </w:r>
          </w:p>
        </w:tc>
        <w:tc>
          <w:tcPr>
            <w:tcW w:w="1814" w:type="dxa"/>
            <w:vAlign w:val="center"/>
          </w:tcPr>
          <w:p>
            <w:pPr>
              <w:widowControl w:val="0"/>
              <w:spacing w:line="360" w:lineRule="auto"/>
              <w:jc w:val="center"/>
              <w:rPr>
                <w:rFonts w:ascii="宋体" w:hAnsi="宋体"/>
                <w:sz w:val="24"/>
              </w:rPr>
            </w:pPr>
            <w:r>
              <w:rPr>
                <w:rStyle w:val="42"/>
                <w:rFonts w:hint="eastAsia"/>
                <w:u w:val="single"/>
              </w:rPr>
              <w:sym w:font="Wingdings 2" w:char="0052"/>
            </w:r>
            <w:r>
              <w:rPr>
                <w:rStyle w:val="42"/>
                <w:rFonts w:hint="eastAsia"/>
                <w:u w:val="single"/>
              </w:rPr>
              <w:t>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（7）其他要求</w:t>
            </w:r>
          </w:p>
        </w:tc>
        <w:tc>
          <w:tcPr>
            <w:tcW w:w="1814"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不适用</w:t>
            </w:r>
          </w:p>
        </w:tc>
        <w:tc>
          <w:tcPr>
            <w:tcW w:w="4638" w:type="dxa"/>
            <w:vAlign w:val="center"/>
          </w:tcPr>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358" w:type="dxa"/>
            <w:vAlign w:val="center"/>
          </w:tcPr>
          <w:p>
            <w:pPr>
              <w:widowControl w:val="0"/>
              <w:spacing w:line="360" w:lineRule="auto"/>
              <w:jc w:val="left"/>
              <w:rPr>
                <w:rFonts w:ascii="宋体" w:hAnsi="宋体"/>
                <w:sz w:val="24"/>
              </w:rPr>
            </w:pPr>
            <w:r>
              <w:rPr>
                <w:rFonts w:hint="eastAsia" w:ascii="宋体" w:hAnsi="宋体"/>
                <w:sz w:val="24"/>
              </w:rPr>
              <w:t>（8）供应商不存在第一章3.1款情形的证明材料</w:t>
            </w:r>
          </w:p>
        </w:tc>
        <w:tc>
          <w:tcPr>
            <w:tcW w:w="1814" w:type="dxa"/>
            <w:vAlign w:val="center"/>
          </w:tcPr>
          <w:p>
            <w:pPr>
              <w:widowControl w:val="0"/>
              <w:spacing w:line="360" w:lineRule="auto"/>
              <w:jc w:val="center"/>
              <w:rPr>
                <w:rStyle w:val="42"/>
                <w:b w:val="0"/>
                <w:bCs w:val="0"/>
                <w:u w:val="single"/>
              </w:rPr>
            </w:pPr>
          </w:p>
          <w:p>
            <w:pPr>
              <w:widowControl w:val="0"/>
              <w:spacing w:line="360" w:lineRule="auto"/>
              <w:jc w:val="center"/>
              <w:rPr>
                <w:rFonts w:ascii="宋体" w:hAnsi="宋体"/>
                <w:sz w:val="24"/>
              </w:rPr>
            </w:pPr>
            <w:r>
              <w:rPr>
                <w:rStyle w:val="42"/>
                <w:rFonts w:hint="eastAsia"/>
                <w:u w:val="single"/>
              </w:rPr>
              <w:sym w:font="Wingdings 2" w:char="0052"/>
            </w:r>
            <w:r>
              <w:rPr>
                <w:rStyle w:val="42"/>
                <w:rFonts w:hint="eastAsia"/>
                <w:u w:val="single"/>
              </w:rPr>
              <w:t>适用</w:t>
            </w:r>
          </w:p>
        </w:tc>
        <w:tc>
          <w:tcPr>
            <w:tcW w:w="4638" w:type="dxa"/>
            <w:vAlign w:val="center"/>
          </w:tcPr>
          <w:p>
            <w:pPr>
              <w:widowControl w:val="0"/>
              <w:spacing w:line="360" w:lineRule="auto"/>
              <w:jc w:val="center"/>
              <w:rPr>
                <w:rStyle w:val="42"/>
                <w:b w:val="0"/>
                <w:bCs w:val="0"/>
                <w:u w:val="single"/>
              </w:rPr>
            </w:pPr>
          </w:p>
          <w:p>
            <w:pPr>
              <w:widowControl w:val="0"/>
              <w:spacing w:line="360" w:lineRule="auto"/>
              <w:jc w:val="center"/>
              <w:rPr>
                <w:rFonts w:ascii="宋体" w:hAnsi="宋体"/>
                <w:sz w:val="24"/>
              </w:rPr>
            </w:pPr>
            <w:r>
              <w:rPr>
                <w:rStyle w:val="42"/>
                <w:rFonts w:hint="eastAsia"/>
                <w:b w:val="0"/>
                <w:bCs w:val="0"/>
                <w:u w:val="single"/>
              </w:rPr>
              <w:sym w:font="Wingdings 2" w:char="0052"/>
            </w:r>
            <w:r>
              <w:rPr>
                <w:rStyle w:val="42"/>
                <w:rFonts w:hint="eastAsia"/>
                <w:b w:val="0"/>
                <w:bCs w:val="0"/>
                <w:u w:val="single"/>
              </w:rPr>
              <w:t>适用,见采购文件供应商须知前附表3.5（8）。</w:t>
            </w:r>
          </w:p>
        </w:tc>
      </w:tr>
    </w:tbl>
    <w:p>
      <w:pPr>
        <w:pStyle w:val="9"/>
        <w:spacing w:line="360" w:lineRule="auto"/>
        <w:jc w:val="both"/>
        <w:rPr>
          <w:rFonts w:ascii="Arial" w:hAnsi="Arial"/>
        </w:rPr>
      </w:pPr>
      <w:r>
        <w:rPr>
          <w:rFonts w:hint="eastAsia"/>
        </w:rPr>
        <w:t xml:space="preserve">4 </w:t>
      </w:r>
      <w:r>
        <w:rPr>
          <w:rFonts w:hint="eastAsia" w:ascii="黑体" w:hAnsi="黑体"/>
        </w:rPr>
        <w:t>响应保证金</w:t>
      </w:r>
    </w:p>
    <w:tbl>
      <w:tblPr>
        <w:tblStyle w:val="40"/>
        <w:tblW w:w="8824"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64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71" w:type="dxa"/>
            <w:vAlign w:val="center"/>
          </w:tcPr>
          <w:p>
            <w:pPr>
              <w:widowControl w:val="0"/>
              <w:autoSpaceDE w:val="0"/>
              <w:spacing w:line="360" w:lineRule="auto"/>
              <w:jc w:val="center"/>
              <w:rPr>
                <w:rFonts w:ascii="宋体" w:hAnsi="宋体"/>
                <w:b/>
                <w:bCs/>
                <w:sz w:val="24"/>
              </w:rPr>
            </w:pPr>
            <w:r>
              <w:rPr>
                <w:rFonts w:hint="eastAsia" w:ascii="宋体" w:hAnsi="宋体"/>
                <w:b/>
                <w:bCs/>
                <w:sz w:val="24"/>
              </w:rPr>
              <w:t>响应保证金的递交</w:t>
            </w:r>
          </w:p>
        </w:tc>
        <w:tc>
          <w:tcPr>
            <w:tcW w:w="3649" w:type="dxa"/>
            <w:vAlign w:val="center"/>
          </w:tcPr>
          <w:p>
            <w:pPr>
              <w:widowControl w:val="0"/>
              <w:autoSpaceDE w:val="0"/>
              <w:spacing w:line="360" w:lineRule="auto"/>
              <w:jc w:val="center"/>
              <w:rPr>
                <w:rFonts w:ascii="黑体" w:hAnsi="黑体"/>
                <w:b/>
                <w:bCs/>
              </w:rPr>
            </w:pPr>
            <w:r>
              <w:rPr>
                <w:rFonts w:hint="eastAsia" w:ascii="宋体" w:hAnsi="宋体"/>
                <w:b/>
                <w:bCs/>
                <w:sz w:val="24"/>
              </w:rPr>
              <w:t>不退还响应保证金的其他情形</w:t>
            </w:r>
          </w:p>
        </w:tc>
        <w:tc>
          <w:tcPr>
            <w:tcW w:w="2704" w:type="dxa"/>
            <w:vAlign w:val="center"/>
          </w:tcPr>
          <w:p>
            <w:pPr>
              <w:widowControl w:val="0"/>
              <w:autoSpaceDE w:val="0"/>
              <w:spacing w:line="360" w:lineRule="auto"/>
              <w:jc w:val="center"/>
              <w:rPr>
                <w:rFonts w:ascii="黑体" w:hAnsi="黑体"/>
                <w:b/>
                <w:bCs/>
              </w:rPr>
            </w:pPr>
            <w:r>
              <w:rPr>
                <w:rFonts w:hint="eastAsia" w:ascii="宋体" w:hAnsi="宋体"/>
                <w:b/>
                <w:bCs/>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471" w:type="dxa"/>
            <w:vAlign w:val="center"/>
          </w:tcPr>
          <w:p>
            <w:pPr>
              <w:widowControl w:val="0"/>
              <w:autoSpaceDE w:val="0"/>
              <w:spacing w:line="360" w:lineRule="auto"/>
              <w:jc w:val="center"/>
              <w:rPr>
                <w:rFonts w:ascii="宋体" w:hAnsi="宋体"/>
                <w:sz w:val="24"/>
              </w:rPr>
            </w:pPr>
            <w:r>
              <w:rPr>
                <w:rStyle w:val="42"/>
                <w:rFonts w:hint="eastAsia"/>
              </w:rPr>
              <w:t>☑</w:t>
            </w:r>
            <w:r>
              <w:rPr>
                <w:rFonts w:hint="eastAsia" w:ascii="宋体" w:hAnsi="宋体"/>
                <w:sz w:val="24"/>
              </w:rPr>
              <w:t>不要求递交</w:t>
            </w:r>
          </w:p>
        </w:tc>
        <w:tc>
          <w:tcPr>
            <w:tcW w:w="3649" w:type="dxa"/>
            <w:vAlign w:val="center"/>
          </w:tcPr>
          <w:p>
            <w:pPr>
              <w:widowControl w:val="0"/>
              <w:autoSpaceDE w:val="0"/>
              <w:spacing w:line="360" w:lineRule="auto"/>
              <w:jc w:val="center"/>
              <w:rPr>
                <w:rFonts w:ascii="黑体" w:hAnsi="黑体"/>
              </w:rPr>
            </w:pPr>
            <w:r>
              <w:rPr>
                <w:rStyle w:val="42"/>
                <w:rFonts w:hint="eastAsia"/>
              </w:rPr>
              <w:t>☑不</w:t>
            </w:r>
            <w:r>
              <w:rPr>
                <w:rFonts w:hint="eastAsia" w:ascii="宋体" w:hAnsi="宋体"/>
                <w:sz w:val="24"/>
              </w:rPr>
              <w:t>适用</w:t>
            </w:r>
          </w:p>
        </w:tc>
        <w:tc>
          <w:tcPr>
            <w:tcW w:w="2704" w:type="dxa"/>
            <w:vAlign w:val="center"/>
          </w:tcPr>
          <w:p>
            <w:pPr>
              <w:widowControl w:val="0"/>
              <w:autoSpaceDE w:val="0"/>
              <w:spacing w:line="360" w:lineRule="auto"/>
              <w:jc w:val="center"/>
              <w:rPr>
                <w:rFonts w:ascii="黑体" w:hAnsi="黑体"/>
              </w:rPr>
            </w:pPr>
            <w:r>
              <w:rPr>
                <w:rStyle w:val="42"/>
                <w:rFonts w:hint="eastAsia"/>
              </w:rPr>
              <w:t>☑</w:t>
            </w:r>
            <w:r>
              <w:rPr>
                <w:rFonts w:hint="eastAsia" w:ascii="宋体" w:hAnsi="宋体"/>
                <w:sz w:val="24"/>
              </w:rPr>
              <w:t>不适用</w:t>
            </w:r>
          </w:p>
        </w:tc>
      </w:tr>
    </w:tbl>
    <w:p>
      <w:pPr>
        <w:pStyle w:val="9"/>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2"/>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9"/>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rPr>
          <w:rFonts w:ascii="宋体" w:hAnsi="宋体"/>
          <w:sz w:val="24"/>
        </w:rPr>
      </w:pPr>
      <w:r>
        <w:rPr>
          <w:rFonts w:hint="eastAsia" w:ascii="宋体" w:hAnsi="宋体"/>
          <w:b/>
          <w:bCs/>
          <w:sz w:val="24"/>
        </w:rPr>
        <w:t xml:space="preserve">6.1 </w:t>
      </w:r>
      <w:r>
        <w:rPr>
          <w:rFonts w:hint="eastAsia" w:ascii="宋体" w:hAnsi="宋体"/>
          <w:sz w:val="24"/>
        </w:rPr>
        <w:t>供应商应当于2022年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17</w:t>
      </w:r>
      <w:r>
        <w:rPr>
          <w:rFonts w:hint="eastAsia" w:ascii="宋体" w:hAnsi="宋体"/>
          <w:sz w:val="24"/>
        </w:rPr>
        <w:t>日至2022年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日，在湖南省湘水集团有限公司网站（http：//www.hnsxsjt.com）、湖南省港务集团有限公司网站（http://www.hnsgwjt.com）网站上获取采购文件:</w:t>
      </w:r>
    </w:p>
    <w:p>
      <w:pPr>
        <w:autoSpaceDE w:val="0"/>
        <w:spacing w:line="360" w:lineRule="auto"/>
        <w:rPr>
          <w:rFonts w:ascii="宋体" w:hAnsi="宋体"/>
          <w:sz w:val="24"/>
        </w:rPr>
      </w:pPr>
      <w:r>
        <w:rPr>
          <w:rFonts w:hint="eastAsia" w:ascii="宋体" w:hAnsi="宋体"/>
          <w:sz w:val="24"/>
        </w:rPr>
        <w:t>6.2 响应文件递交截止时间：2022年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23</w:t>
      </w:r>
      <w:r>
        <w:rPr>
          <w:rFonts w:hint="eastAsia" w:ascii="宋体" w:hAnsi="宋体"/>
          <w:sz w:val="24"/>
        </w:rPr>
        <w:t>日17时30分；</w:t>
      </w:r>
    </w:p>
    <w:p>
      <w:pPr>
        <w:autoSpaceDE w:val="0"/>
        <w:spacing w:line="360" w:lineRule="auto"/>
        <w:jc w:val="both"/>
        <w:rPr>
          <w:rFonts w:ascii="宋体" w:hAnsi="宋体"/>
          <w:b/>
          <w:bCs/>
          <w:sz w:val="24"/>
        </w:rPr>
      </w:pPr>
      <w:r>
        <w:rPr>
          <w:rFonts w:hint="eastAsia" w:ascii="宋体" w:hAnsi="宋体" w:cs="宋体"/>
          <w:color w:val="000000"/>
          <w:sz w:val="24"/>
        </w:rPr>
        <w:t>递交响应文件的地点：</w:t>
      </w:r>
      <w:r>
        <w:rPr>
          <w:rFonts w:hint="eastAsia" w:ascii="宋体" w:hAnsi="宋体"/>
          <w:sz w:val="24"/>
          <w:u w:val="single"/>
        </w:rPr>
        <w:t>湖南省岳阳市云溪区永济乡松阳湖岳阳城陵矶新港有限公司办公楼三楼314室</w:t>
      </w:r>
      <w:r>
        <w:rPr>
          <w:rFonts w:hint="eastAsia" w:cs="宋体" w:asciiTheme="minorEastAsia" w:hAnsiTheme="minorEastAsia" w:eastAsiaTheme="minorEastAsia"/>
          <w:color w:val="000000"/>
          <w:sz w:val="24"/>
        </w:rPr>
        <w:t xml:space="preserve"> </w:t>
      </w:r>
      <w:r>
        <w:rPr>
          <w:rFonts w:hint="eastAsia" w:ascii="宋体" w:hAnsi="宋体" w:cs="宋体"/>
          <w:color w:val="000000"/>
          <w:sz w:val="24"/>
        </w:rPr>
        <w:t xml:space="preserve"> </w:t>
      </w:r>
    </w:p>
    <w:p>
      <w:pPr>
        <w:autoSpaceDE w:val="0"/>
        <w:spacing w:line="360" w:lineRule="auto"/>
        <w:jc w:val="both"/>
        <w:rPr>
          <w:rFonts w:ascii="宋体" w:hAnsi="宋体"/>
          <w:sz w:val="24"/>
        </w:rPr>
      </w:pPr>
      <w:r>
        <w:rPr>
          <w:rFonts w:hint="eastAsia" w:ascii="宋体" w:hAnsi="宋体"/>
          <w:b/>
          <w:bCs/>
          <w:sz w:val="24"/>
        </w:rPr>
        <w:t xml:space="preserve">6.3 </w:t>
      </w:r>
      <w:r>
        <w:rPr>
          <w:rFonts w:hint="eastAsia" w:ascii="宋体" w:hAnsi="宋体"/>
          <w:sz w:val="24"/>
        </w:rPr>
        <w:t>供应商若对本项目采购需求、资格要求等有疑问的，应当于2022年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 xml:space="preserve"> 日17时30分前向采购人提出澄清要求。</w:t>
      </w:r>
    </w:p>
    <w:p>
      <w:pPr>
        <w:spacing w:line="360" w:lineRule="auto"/>
      </w:pPr>
    </w:p>
    <w:p>
      <w:pPr>
        <w:pStyle w:val="9"/>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480" w:firstLineChars="200"/>
        <w:rPr>
          <w:rFonts w:ascii="宋体" w:hAnsi="宋体"/>
          <w:bCs/>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w:t>
      </w:r>
      <w:r>
        <w:rPr>
          <w:rFonts w:hint="eastAsia" w:ascii="宋体" w:hAnsi="宋体"/>
          <w:bCs/>
          <w:sz w:val="24"/>
        </w:rPr>
        <w:t>中国招标投标公共服务平台（http：//www.cebpubservice.com）、湖南省湘水集团有限公司网站（http：//www.hnsxsjt.com）、湖南省港务集团有限公司门户网站（http://www.hnsgwjt.com/）上发布。</w:t>
      </w:r>
    </w:p>
    <w:p>
      <w:pPr>
        <w:pStyle w:val="9"/>
        <w:spacing w:line="360" w:lineRule="auto"/>
        <w:jc w:val="both"/>
      </w:pPr>
      <w:r>
        <w:rPr>
          <w:rFonts w:hint="eastAsia"/>
        </w:rPr>
        <w:t>8</w:t>
      </w:r>
      <w:bookmarkStart w:id="1" w:name="_Toc76635692"/>
      <w:bookmarkStart w:id="2" w:name="_Toc512257471"/>
      <w:bookmarkStart w:id="3" w:name="_Toc77254104"/>
      <w:bookmarkStart w:id="4" w:name="_Toc79596547"/>
      <w:r>
        <w:t xml:space="preserve"> 监督</w:t>
      </w:r>
      <w:bookmarkEnd w:id="1"/>
      <w:bookmarkEnd w:id="2"/>
      <w:bookmarkEnd w:id="3"/>
      <w:r>
        <w:rPr>
          <w:rFonts w:hint="eastAsia"/>
        </w:rPr>
        <w:t>部门</w:t>
      </w:r>
      <w:bookmarkEnd w:id="4"/>
    </w:p>
    <w:p>
      <w:pPr>
        <w:rPr>
          <w:rFonts w:ascii="宋体" w:hAnsi="宋体" w:cs="宋体"/>
          <w:sz w:val="24"/>
          <w:szCs w:val="32"/>
        </w:rPr>
      </w:pPr>
      <w:r>
        <w:rPr>
          <w:rFonts w:hint="eastAsia" w:ascii="宋体" w:hAnsi="宋体"/>
          <w:bCs/>
          <w:sz w:val="24"/>
        </w:rPr>
        <w:t>本次采购监督部门为</w:t>
      </w:r>
      <w:r>
        <w:rPr>
          <w:rFonts w:hint="eastAsia" w:ascii="宋体" w:hAnsi="宋体" w:cs="宋体"/>
          <w:sz w:val="24"/>
          <w:szCs w:val="32"/>
          <w:u w:val="single"/>
        </w:rPr>
        <w:t>岳阳城陵矶新港有限公司综合管理部</w:t>
      </w:r>
      <w:r>
        <w:t>，</w:t>
      </w:r>
      <w:r>
        <w:rPr>
          <w:rFonts w:hint="eastAsia" w:ascii="宋体" w:hAnsi="宋体"/>
          <w:bCs/>
          <w:sz w:val="24"/>
        </w:rPr>
        <w:t>电话：</w:t>
      </w:r>
      <w:r>
        <w:rPr>
          <w:rFonts w:hint="eastAsia" w:ascii="宋体" w:hAnsi="宋体" w:cs="宋体"/>
          <w:sz w:val="24"/>
          <w:szCs w:val="32"/>
          <w:u w:val="single"/>
        </w:rPr>
        <w:t>13873049118</w:t>
      </w:r>
    </w:p>
    <w:p>
      <w:pPr>
        <w:pStyle w:val="34"/>
        <w:widowControl w:val="0"/>
        <w:adjustRightInd w:val="0"/>
        <w:snapToGrid w:val="0"/>
        <w:spacing w:before="0" w:beforeAutospacing="0" w:after="0" w:afterAutospacing="0" w:line="360" w:lineRule="auto"/>
        <w:ind w:firstLine="480" w:firstLineChars="200"/>
        <w:jc w:val="both"/>
        <w:rPr>
          <w:rFonts w:cs="Times New Roman"/>
          <w:u w:val="single"/>
        </w:rPr>
      </w:pPr>
    </w:p>
    <w:p>
      <w:pPr>
        <w:pStyle w:val="9"/>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ascii="宋体" w:hAnsi="宋体"/>
          <w:sz w:val="24"/>
        </w:rPr>
      </w:pPr>
      <w:r>
        <w:rPr>
          <w:rFonts w:hint="eastAsia" w:ascii="宋体" w:hAnsi="宋体"/>
          <w:b/>
          <w:bCs/>
          <w:sz w:val="24"/>
        </w:rPr>
        <w:t>9.2</w:t>
      </w:r>
      <w:r>
        <w:rPr>
          <w:rFonts w:hint="eastAsia" w:ascii="宋体" w:hAnsi="宋体"/>
          <w:sz w:val="24"/>
        </w:rPr>
        <w:t xml:space="preserve"> 项</w:t>
      </w:r>
      <w:r>
        <w:rPr>
          <w:rFonts w:hint="eastAsia" w:ascii="宋体" w:hAnsi="宋体" w:cs="宋体"/>
          <w:sz w:val="24"/>
        </w:rPr>
        <w:t>目控制价：本项目最高限价为人民币肆拾贰万元整（小写：¥420000.00元）。提供13%的增值税专用发票，</w:t>
      </w:r>
      <w:r>
        <w:rPr>
          <w:rFonts w:hint="eastAsia" w:ascii="宋体" w:hAnsi="宋体"/>
          <w:sz w:val="24"/>
        </w:rPr>
        <w:t>如果供应商提供其他税率的增值税专用发票，采购人将按13%的税率调整报价后参与排序，</w:t>
      </w:r>
      <w:r>
        <w:rPr>
          <w:rFonts w:hint="eastAsia" w:ascii="宋体" w:hAnsi="宋体" w:cs="宋体"/>
          <w:sz w:val="24"/>
        </w:rPr>
        <w:t>超过最高限价的作废。</w:t>
      </w:r>
    </w:p>
    <w:p>
      <w:pPr>
        <w:pStyle w:val="9"/>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采 购 人: 岳阳城陵矶新港有限公司</w:t>
      </w:r>
      <w:r>
        <w:rPr>
          <w:rFonts w:hint="eastAsia" w:ascii="宋体" w:hAnsi="宋体"/>
          <w:sz w:val="24"/>
        </w:rPr>
        <w:tab/>
      </w:r>
      <w:r>
        <w:rPr>
          <w:rFonts w:hint="eastAsia" w:ascii="宋体" w:hAnsi="宋体"/>
          <w:sz w:val="24"/>
        </w:rPr>
        <w:t xml:space="preserve">         </w:t>
      </w:r>
    </w:p>
    <w:p>
      <w:pPr>
        <w:autoSpaceDE w:val="0"/>
        <w:spacing w:line="360" w:lineRule="auto"/>
        <w:ind w:firstLine="240" w:firstLineChars="100"/>
        <w:jc w:val="both"/>
        <w:rPr>
          <w:rFonts w:ascii="宋体" w:hAnsi="宋体"/>
          <w:sz w:val="24"/>
        </w:rPr>
      </w:pPr>
      <w:r>
        <w:rPr>
          <w:rFonts w:hint="eastAsia" w:ascii="宋体" w:hAnsi="宋体"/>
          <w:sz w:val="24"/>
        </w:rPr>
        <w:t>地    址: 湖南省岳阳城陵矶新港有限公司办公楼314室</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 xml:space="preserve">联 系 人: 孙先生                         </w:t>
      </w:r>
    </w:p>
    <w:p>
      <w:pPr>
        <w:autoSpaceDE w:val="0"/>
        <w:spacing w:line="360" w:lineRule="auto"/>
        <w:ind w:firstLine="240" w:firstLineChars="100"/>
        <w:jc w:val="both"/>
        <w:rPr>
          <w:rFonts w:ascii="宋体" w:hAnsi="宋体"/>
          <w:sz w:val="24"/>
        </w:rPr>
      </w:pPr>
      <w:r>
        <w:rPr>
          <w:rFonts w:hint="eastAsia" w:ascii="宋体" w:hAnsi="宋体"/>
          <w:sz w:val="24"/>
        </w:rPr>
        <w:t xml:space="preserve">电    话:  0730-8422009                                      </w:t>
      </w:r>
    </w:p>
    <w:p>
      <w:pPr>
        <w:autoSpaceDE w:val="0"/>
        <w:spacing w:line="360" w:lineRule="auto"/>
        <w:ind w:firstLine="240" w:firstLineChars="100"/>
        <w:jc w:val="both"/>
        <w:rPr>
          <w:rFonts w:ascii="宋体" w:hAnsi="宋体"/>
          <w:sz w:val="24"/>
        </w:rPr>
      </w:pPr>
      <w:r>
        <w:rPr>
          <w:rFonts w:hint="eastAsia" w:ascii="宋体" w:hAnsi="宋体"/>
          <w:sz w:val="24"/>
        </w:rPr>
        <w:t xml:space="preserve">  </w:t>
      </w:r>
    </w:p>
    <w:p>
      <w:pPr>
        <w:autoSpaceDE w:val="0"/>
        <w:spacing w:line="360" w:lineRule="auto"/>
        <w:jc w:val="both"/>
        <w:rPr>
          <w:rFonts w:ascii="宋体" w:hAnsi="宋体"/>
          <w:sz w:val="24"/>
        </w:rPr>
      </w:pPr>
      <w:r>
        <w:rPr>
          <w:rFonts w:hint="eastAsia" w:ascii="宋体" w:hAnsi="宋体"/>
          <w:sz w:val="24"/>
        </w:rPr>
        <w:t xml:space="preserve"> </w:t>
      </w:r>
    </w:p>
    <w:p>
      <w:pPr>
        <w:autoSpaceDE w:val="0"/>
        <w:spacing w:line="360" w:lineRule="auto"/>
        <w:jc w:val="both"/>
        <w:rPr>
          <w:rFonts w:ascii="黑体" w:hAnsi="黑体" w:eastAsia="黑体"/>
          <w:sz w:val="32"/>
          <w:szCs w:val="32"/>
        </w:rPr>
      </w:pPr>
      <w:r>
        <w:rPr>
          <w:rFonts w:hint="eastAsia" w:ascii="宋体" w:hAnsi="宋体"/>
          <w:sz w:val="24"/>
        </w:rPr>
        <w:t xml:space="preserve"> </w:t>
      </w:r>
      <w:bookmarkStart w:id="5" w:name="_Toc234832861"/>
      <w:bookmarkStart w:id="6" w:name="_Toc517787494"/>
    </w:p>
    <w:p>
      <w:pPr>
        <w:spacing w:line="360" w:lineRule="auto"/>
        <w:jc w:val="center"/>
        <w:rPr>
          <w:rFonts w:ascii="黑体" w:hAnsi="黑体" w:eastAsia="黑体"/>
          <w:sz w:val="32"/>
          <w:szCs w:val="32"/>
        </w:rPr>
      </w:pPr>
    </w:p>
    <w:p>
      <w:pPr>
        <w:pStyle w:val="2"/>
        <w:spacing w:line="360" w:lineRule="auto"/>
        <w:rPr>
          <w:rFonts w:ascii="黑体" w:hAnsi="黑体" w:eastAsia="黑体"/>
          <w:sz w:val="32"/>
          <w:szCs w:val="32"/>
        </w:rPr>
      </w:pPr>
    </w:p>
    <w:p>
      <w:pPr>
        <w:pStyle w:val="2"/>
        <w:spacing w:line="360" w:lineRule="auto"/>
        <w:rPr>
          <w:rFonts w:ascii="黑体" w:hAnsi="黑体" w:eastAsia="黑体"/>
          <w:sz w:val="32"/>
          <w:szCs w:val="32"/>
        </w:rPr>
      </w:pPr>
    </w:p>
    <w:p>
      <w:pPr>
        <w:pStyle w:val="2"/>
        <w:spacing w:line="360" w:lineRule="auto"/>
        <w:rPr>
          <w:rFonts w:ascii="黑体" w:hAnsi="黑体" w:eastAsia="黑体"/>
          <w:sz w:val="32"/>
          <w:szCs w:val="32"/>
        </w:rPr>
      </w:pPr>
    </w:p>
    <w:p>
      <w:pPr>
        <w:pStyle w:val="2"/>
        <w:rPr>
          <w:rFonts w:ascii="黑体" w:hAnsi="黑体" w:eastAsia="黑体"/>
          <w:sz w:val="32"/>
          <w:szCs w:val="32"/>
        </w:rPr>
      </w:pPr>
    </w:p>
    <w:p>
      <w:pPr>
        <w:pStyle w:val="49"/>
        <w:rPr>
          <w:sz w:val="32"/>
          <w:szCs w:val="32"/>
        </w:rPr>
      </w:pPr>
    </w:p>
    <w:p>
      <w:pPr>
        <w:pStyle w:val="49"/>
        <w:rPr>
          <w:sz w:val="32"/>
          <w:szCs w:val="32"/>
        </w:rPr>
      </w:pPr>
    </w:p>
    <w:p>
      <w:pPr>
        <w:spacing w:line="240" w:lineRule="auto"/>
        <w:rPr>
          <w:rFonts w:ascii="黑体" w:hAnsi="黑体" w:eastAsia="黑体"/>
          <w:sz w:val="32"/>
          <w:szCs w:val="32"/>
        </w:rPr>
      </w:pPr>
      <w:r>
        <w:rPr>
          <w:rFonts w:hint="eastAsia" w:ascii="黑体" w:hAnsi="黑体" w:eastAsia="黑体"/>
          <w:sz w:val="32"/>
          <w:szCs w:val="32"/>
        </w:rPr>
        <w:br w:type="page"/>
      </w:r>
    </w:p>
    <w:p>
      <w:pPr>
        <w:spacing w:line="600" w:lineRule="exact"/>
        <w:jc w:val="center"/>
        <w:outlineLvl w:val="0"/>
        <w:rPr>
          <w:rFonts w:ascii="微软雅黑" w:hAnsi="微软雅黑" w:eastAsia="微软雅黑" w:cs="微软雅黑"/>
          <w:sz w:val="32"/>
          <w:szCs w:val="32"/>
        </w:rPr>
      </w:pPr>
      <w:bookmarkStart w:id="7" w:name="_Toc4462"/>
      <w:r>
        <w:rPr>
          <w:rFonts w:hint="eastAsia" w:ascii="微软雅黑" w:hAnsi="微软雅黑" w:eastAsia="微软雅黑" w:cs="微软雅黑"/>
          <w:sz w:val="32"/>
          <w:szCs w:val="32"/>
        </w:rPr>
        <w:t>第二章  供应商须知</w:t>
      </w:r>
      <w:bookmarkEnd w:id="5"/>
      <w:bookmarkEnd w:id="6"/>
      <w:bookmarkEnd w:id="7"/>
    </w:p>
    <w:p>
      <w:pPr>
        <w:pStyle w:val="6"/>
        <w:spacing w:before="240" w:after="240" w:line="600" w:lineRule="exact"/>
        <w:jc w:val="center"/>
        <w:rPr>
          <w:rFonts w:ascii="仿宋" w:hAnsi="仿宋" w:eastAsia="仿宋" w:cs="仿宋"/>
          <w:sz w:val="30"/>
          <w:szCs w:val="30"/>
        </w:rPr>
      </w:pPr>
      <w:bookmarkStart w:id="8" w:name="_Toc517787495"/>
      <w:bookmarkStart w:id="9" w:name="_Toc2308"/>
      <w:bookmarkStart w:id="10" w:name="_Toc234832862"/>
      <w:r>
        <w:rPr>
          <w:rFonts w:hint="eastAsia" w:ascii="仿宋" w:hAnsi="仿宋" w:eastAsia="仿宋" w:cs="仿宋"/>
          <w:sz w:val="30"/>
          <w:szCs w:val="30"/>
        </w:rPr>
        <w:t>供应商须知前附表</w:t>
      </w:r>
      <w:bookmarkEnd w:id="8"/>
      <w:bookmarkEnd w:id="9"/>
      <w:bookmarkEnd w:id="10"/>
    </w:p>
    <w:tbl>
      <w:tblPr>
        <w:tblStyle w:val="39"/>
        <w:tblW w:w="9018" w:type="dxa"/>
        <w:tblInd w:w="-278" w:type="dxa"/>
        <w:tblLayout w:type="fixed"/>
        <w:tblCellMar>
          <w:top w:w="0" w:type="dxa"/>
          <w:left w:w="108" w:type="dxa"/>
          <w:bottom w:w="0" w:type="dxa"/>
          <w:right w:w="108" w:type="dxa"/>
        </w:tblCellMar>
      </w:tblPr>
      <w:tblGrid>
        <w:gridCol w:w="1297"/>
        <w:gridCol w:w="2972"/>
        <w:gridCol w:w="4749"/>
      </w:tblGrid>
      <w:tr>
        <w:tblPrEx>
          <w:tblCellMar>
            <w:top w:w="0" w:type="dxa"/>
            <w:left w:w="108" w:type="dxa"/>
            <w:bottom w:w="0" w:type="dxa"/>
            <w:right w:w="108" w:type="dxa"/>
          </w:tblCellMar>
        </w:tblPrEx>
        <w:trPr>
          <w:trHeight w:val="387" w:hRule="atLeast"/>
          <w:tblHeader/>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条款号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编  列  内  容</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1.1.1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询价</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1.1.2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最低价法</w:t>
            </w:r>
          </w:p>
        </w:tc>
      </w:tr>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bookmarkStart w:id="51" w:name="_GoBack" w:colFirst="1" w:colLast="2"/>
            <w:r>
              <w:rPr>
                <w:rFonts w:hint="eastAsia" w:ascii="宋体" w:hAnsi="宋体" w:cs="宋体"/>
                <w:szCs w:val="21"/>
              </w:rPr>
              <w:t>1.7.1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组织     </w:t>
            </w:r>
          </w:p>
          <w:p>
            <w:pPr>
              <w:spacing w:line="288" w:lineRule="auto"/>
              <w:jc w:val="both"/>
              <w:rPr>
                <w:rFonts w:hint="eastAsia" w:ascii="宋体" w:hAnsi="宋体" w:cs="宋体"/>
                <w:szCs w:val="21"/>
                <w:lang w:val="en-US" w:eastAsia="zh-CN"/>
              </w:rPr>
            </w:pPr>
            <w:r>
              <w:rPr>
                <w:rFonts w:hint="eastAsia" w:ascii="宋体" w:hAnsi="宋体" w:cs="宋体"/>
                <w:szCs w:val="21"/>
                <w:lang w:val="en-US" w:eastAsia="zh-CN"/>
              </w:rPr>
              <w:t>8月18日-8月22日，每天8:00-17:30</w:t>
            </w:r>
          </w:p>
          <w:p>
            <w:pPr>
              <w:spacing w:line="288" w:lineRule="auto"/>
              <w:jc w:val="both"/>
              <w:rPr>
                <w:rFonts w:hint="eastAsia" w:ascii="宋体" w:hAnsi="宋体" w:cs="宋体"/>
                <w:szCs w:val="21"/>
                <w:lang w:val="en-US" w:eastAsia="zh-CN"/>
              </w:rPr>
            </w:pPr>
            <w:r>
              <w:rPr>
                <w:rFonts w:hint="eastAsia" w:ascii="宋体" w:hAnsi="宋体" w:cs="宋体"/>
                <w:szCs w:val="21"/>
                <w:lang w:val="en-US" w:eastAsia="zh-CN"/>
              </w:rPr>
              <w:t xml:space="preserve">联 系 人: 孙先生                         </w:t>
            </w:r>
          </w:p>
          <w:p>
            <w:pPr>
              <w:spacing w:line="288" w:lineRule="auto"/>
              <w:jc w:val="both"/>
              <w:rPr>
                <w:rFonts w:ascii="宋体" w:hAnsi="宋体" w:cs="宋体"/>
                <w:szCs w:val="21"/>
              </w:rPr>
            </w:pPr>
            <w:r>
              <w:rPr>
                <w:rFonts w:hint="eastAsia" w:ascii="宋体" w:hAnsi="宋体" w:cs="宋体"/>
                <w:szCs w:val="21"/>
                <w:lang w:val="en-US" w:eastAsia="zh-CN"/>
              </w:rPr>
              <w:t xml:space="preserve">电    话:  0730-8422009 </w:t>
            </w:r>
            <w:r>
              <w:rPr>
                <w:rFonts w:hint="eastAsia" w:ascii="宋体" w:hAnsi="宋体"/>
                <w:sz w:val="24"/>
              </w:rPr>
              <w:t xml:space="preserve">  </w:t>
            </w:r>
            <w:r>
              <w:rPr>
                <w:rFonts w:hint="eastAsia" w:ascii="宋体" w:hAnsi="宋体" w:cs="宋体"/>
                <w:szCs w:val="21"/>
              </w:rPr>
              <w:t xml:space="preserve">                                     </w:t>
            </w:r>
          </w:p>
        </w:tc>
      </w:tr>
      <w:bookmarkEnd w:id="51"/>
      <w:tr>
        <w:tblPrEx>
          <w:tblCellMar>
            <w:top w:w="0" w:type="dxa"/>
            <w:left w:w="108" w:type="dxa"/>
            <w:bottom w:w="0" w:type="dxa"/>
            <w:right w:w="108" w:type="dxa"/>
          </w:tblCellMar>
        </w:tblPrEx>
        <w:trPr>
          <w:trHeight w:val="52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1.8</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不召开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1.9</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不得分包的内容：不允许分包</w:t>
            </w:r>
          </w:p>
          <w:p>
            <w:pPr>
              <w:spacing w:line="288" w:lineRule="auto"/>
              <w:jc w:val="both"/>
              <w:rPr>
                <w:rFonts w:ascii="宋体" w:hAnsi="宋体" w:cs="宋体"/>
                <w:szCs w:val="21"/>
              </w:rPr>
            </w:pPr>
            <w:r>
              <w:rPr>
                <w:rFonts w:hint="eastAsia" w:ascii="宋体" w:hAnsi="宋体" w:cs="宋体"/>
                <w:szCs w:val="21"/>
              </w:rPr>
              <w:t xml:space="preserve">对分包供应商的要求：不允许分包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1.10.2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允许偏差的范围：仅允许细微偏差。</w:t>
            </w:r>
          </w:p>
          <w:p>
            <w:pPr>
              <w:spacing w:line="288" w:lineRule="auto"/>
              <w:jc w:val="both"/>
              <w:rPr>
                <w:rFonts w:ascii="宋体" w:hAnsi="宋体" w:cs="宋体"/>
                <w:szCs w:val="21"/>
              </w:rPr>
            </w:pPr>
            <w:r>
              <w:rPr>
                <w:rFonts w:hint="eastAsia" w:ascii="宋体" w:hAnsi="宋体" w:cs="宋体"/>
                <w:szCs w:val="21"/>
              </w:rPr>
              <w:t>允许偏差的项数：</w:t>
            </w:r>
            <w:r>
              <w:rPr>
                <w:rFonts w:hint="eastAsia" w:ascii="宋体" w:hAnsi="宋体" w:cs="宋体"/>
                <w:szCs w:val="21"/>
                <w:u w:val="single"/>
              </w:rPr>
              <w:t>2项</w:t>
            </w:r>
            <w:r>
              <w:rPr>
                <w:rFonts w:hint="eastAsia" w:ascii="宋体" w:hAnsi="宋体" w:cs="宋体"/>
                <w:szCs w:val="21"/>
              </w:rPr>
              <w:t xml:space="preserve">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2.1(7)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ascii="宋体" w:hAnsi="宋体" w:cs="宋体"/>
                <w:szCs w:val="21"/>
              </w:rPr>
            </w:pPr>
            <w:r>
              <w:rPr>
                <w:rFonts w:hint="eastAsia" w:ascii="宋体" w:hAnsi="宋体" w:cs="宋体"/>
                <w:szCs w:val="21"/>
              </w:rPr>
              <w:t xml:space="preserve">资料名称：采购人对采购文件的澄清、通知等文件（如有）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3.1.1（9）</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 xml:space="preserve">资料名称：无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3.2.3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有，最高限价：人民币肆拾贰万元整（小写：¥420000.00元）          </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1" w:firstLineChars="100"/>
              <w:jc w:val="both"/>
              <w:rPr>
                <w:rFonts w:ascii="宋体" w:hAnsi="宋体" w:cs="宋体"/>
                <w:szCs w:val="21"/>
              </w:rPr>
            </w:pPr>
            <w:r>
              <w:rPr>
                <w:rFonts w:hint="eastAsia" w:ascii="宋体" w:hAnsi="宋体" w:cs="宋体"/>
                <w:b/>
                <w:bCs/>
                <w:szCs w:val="21"/>
              </w:rPr>
              <w:t>此报价应包含但不限于产品费、运费、税金、配件、安装调试、培训等应由供应商承担的一切费用。</w:t>
            </w:r>
            <w:r>
              <w:rPr>
                <w:rFonts w:hint="eastAsia" w:ascii="宋体" w:hAnsi="宋体" w:cs="宋体"/>
                <w:szCs w:val="21"/>
              </w:rPr>
              <w:t xml:space="preserve">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3.3.1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 xml:space="preserve">递交响应文件截止之日起90日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3.4.1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不要求递交                           </w:t>
            </w:r>
          </w:p>
        </w:tc>
      </w:tr>
      <w:tr>
        <w:tblPrEx>
          <w:tblCellMar>
            <w:top w:w="0" w:type="dxa"/>
            <w:left w:w="108" w:type="dxa"/>
            <w:bottom w:w="0" w:type="dxa"/>
            <w:right w:w="108" w:type="dxa"/>
          </w:tblCellMar>
        </w:tblPrEx>
        <w:trPr>
          <w:trHeight w:val="46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3.4.2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 xml:space="preserve">  无                                                              </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3.4.3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 xml:space="preserve">  无                                                             </w:t>
            </w:r>
          </w:p>
        </w:tc>
      </w:tr>
      <w:tr>
        <w:tblPrEx>
          <w:tblCellMar>
            <w:top w:w="0" w:type="dxa"/>
            <w:left w:w="108" w:type="dxa"/>
            <w:bottom w:w="0" w:type="dxa"/>
            <w:right w:w="108" w:type="dxa"/>
          </w:tblCellMar>
        </w:tblPrEx>
        <w:trPr>
          <w:trHeight w:val="111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宋体" w:hAnsi="宋体" w:cs="宋体"/>
                <w:b w:val="0"/>
                <w:color w:val="000000"/>
                <w:szCs w:val="21"/>
              </w:rPr>
            </w:pPr>
            <w:r>
              <w:rPr>
                <w:rStyle w:val="42"/>
                <w:rFonts w:hint="eastAsia" w:ascii="宋体" w:hAnsi="宋体" w:cs="宋体"/>
                <w:b w:val="0"/>
                <w:color w:val="000000"/>
                <w:szCs w:val="21"/>
              </w:rPr>
              <w:t>依法设立的证明材料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288" w:lineRule="auto"/>
              <w:ind w:firstLine="210" w:firstLineChars="100"/>
              <w:jc w:val="both"/>
              <w:rPr>
                <w:rFonts w:ascii="宋体" w:hAnsi="宋体" w:cs="宋体"/>
                <w:color w:val="000000"/>
                <w:szCs w:val="21"/>
              </w:rPr>
            </w:pPr>
            <w:r>
              <w:rPr>
                <w:rFonts w:hint="eastAsia" w:ascii="宋体" w:hAnsi="宋体" w:cs="宋体"/>
                <w:color w:val="000000"/>
                <w:szCs w:val="21"/>
              </w:rPr>
              <w:t>供应商应提供市场监管部门或其他行政机关颁发的可以合法开展业务并适用于本项目的执照或证书。</w:t>
            </w:r>
          </w:p>
        </w:tc>
      </w:tr>
      <w:tr>
        <w:tblPrEx>
          <w:tblCellMar>
            <w:top w:w="0" w:type="dxa"/>
            <w:left w:w="108" w:type="dxa"/>
            <w:bottom w:w="0" w:type="dxa"/>
            <w:right w:w="108" w:type="dxa"/>
          </w:tblCellMar>
        </w:tblPrEx>
        <w:trPr>
          <w:trHeight w:val="481"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3.5（2）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Style w:val="42"/>
                <w:rFonts w:hint="eastAsia" w:ascii="宋体" w:hAnsi="宋体" w:cs="宋体"/>
                <w:b w:val="0"/>
                <w:color w:val="000000"/>
                <w:szCs w:val="21"/>
              </w:rPr>
              <w:t>资质要求证明材料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ascii="宋体" w:hAnsi="宋体" w:cs="宋体"/>
                <w:b/>
                <w:bCs/>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适用。</w:t>
            </w:r>
          </w:p>
          <w:p>
            <w:pPr>
              <w:spacing w:line="288" w:lineRule="auto"/>
              <w:ind w:firstLine="210" w:firstLineChars="100"/>
              <w:jc w:val="both"/>
              <w:rPr>
                <w:rFonts w:ascii="宋体" w:hAnsi="宋体" w:cs="宋体"/>
                <w:color w:val="000000"/>
                <w:szCs w:val="21"/>
              </w:rPr>
            </w:pPr>
            <w:r>
              <w:rPr>
                <w:rFonts w:hint="eastAsia" w:ascii="宋体" w:hAnsi="宋体" w:cs="宋体"/>
                <w:szCs w:val="21"/>
              </w:rPr>
              <w:t>供应商为代理商时需提供：</w:t>
            </w:r>
            <w:r>
              <w:rPr>
                <w:rFonts w:hint="eastAsia" w:ascii="宋体" w:hAnsi="宋体" w:cs="宋体"/>
                <w:szCs w:val="21"/>
                <w:u w:val="single"/>
              </w:rPr>
              <w:t>所供产品的原厂商授权证明文件</w:t>
            </w:r>
          </w:p>
        </w:tc>
      </w:tr>
      <w:tr>
        <w:tblPrEx>
          <w:tblCellMar>
            <w:top w:w="0" w:type="dxa"/>
            <w:left w:w="108" w:type="dxa"/>
            <w:bottom w:w="0" w:type="dxa"/>
            <w:right w:w="108" w:type="dxa"/>
          </w:tblCellMar>
        </w:tblPrEx>
        <w:trPr>
          <w:trHeight w:val="172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3.5（3）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2"/>
                <w:rFonts w:ascii="宋体" w:hAnsi="宋体" w:cs="宋体"/>
                <w:b w:val="0"/>
                <w:color w:val="000000"/>
                <w:szCs w:val="21"/>
              </w:rPr>
            </w:pPr>
            <w:r>
              <w:rPr>
                <w:rStyle w:val="42"/>
                <w:rFonts w:hint="eastAsia" w:ascii="宋体" w:hAnsi="宋体" w:cs="宋体"/>
                <w:b w:val="0"/>
                <w:color w:val="000000"/>
                <w:szCs w:val="21"/>
              </w:rPr>
              <w:t>财务要求证明材料</w:t>
            </w:r>
          </w:p>
        </w:tc>
        <w:tc>
          <w:tcPr>
            <w:tcW w:w="4749" w:type="dxa"/>
            <w:tcBorders>
              <w:top w:val="single" w:color="auto" w:sz="4" w:space="0"/>
              <w:left w:val="single" w:color="auto" w:sz="4" w:space="0"/>
              <w:bottom w:val="single" w:color="auto" w:sz="4" w:space="0"/>
              <w:right w:val="single" w:color="auto" w:sz="4" w:space="0"/>
            </w:tcBorders>
          </w:tcPr>
          <w:p>
            <w:pPr>
              <w:spacing w:line="288"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288" w:lineRule="auto"/>
              <w:ind w:firstLine="210" w:firstLineChars="100"/>
              <w:jc w:val="both"/>
              <w:rPr>
                <w:rFonts w:ascii="宋体" w:hAnsi="宋体" w:cs="宋体"/>
                <w:color w:val="000000"/>
                <w:szCs w:val="21"/>
              </w:rPr>
            </w:pPr>
            <w:r>
              <w:rPr>
                <w:rFonts w:hint="eastAsia" w:ascii="宋体" w:hAnsi="宋体" w:cs="宋体"/>
                <w:color w:val="000000"/>
                <w:szCs w:val="21"/>
              </w:rPr>
              <w:t>供应商应提供近年财务会计报表复印件，包括资产负债表，利润表。近年财务会计报表年份是指：</w:t>
            </w:r>
            <w:r>
              <w:rPr>
                <w:rFonts w:hint="eastAsia" w:ascii="宋体" w:hAnsi="宋体" w:cs="宋体"/>
                <w:color w:val="000000"/>
                <w:szCs w:val="21"/>
                <w:u w:val="single"/>
              </w:rPr>
              <w:t>2021</w:t>
            </w:r>
            <w:r>
              <w:rPr>
                <w:rFonts w:hint="eastAsia" w:ascii="宋体" w:hAnsi="宋体" w:cs="宋体"/>
                <w:color w:val="000000"/>
                <w:szCs w:val="21"/>
              </w:rPr>
              <w:t>年的财务会计报表（供应商的成立时间少于该规定年份的，应提供成立以来的财务会计报表）</w:t>
            </w:r>
          </w:p>
        </w:tc>
      </w:tr>
      <w:tr>
        <w:tblPrEx>
          <w:tblCellMar>
            <w:top w:w="0" w:type="dxa"/>
            <w:left w:w="108" w:type="dxa"/>
            <w:bottom w:w="0" w:type="dxa"/>
            <w:right w:w="108" w:type="dxa"/>
          </w:tblCellMar>
        </w:tblPrEx>
        <w:trPr>
          <w:trHeight w:val="373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3.5（4）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b/>
                <w:bCs/>
                <w:szCs w:val="21"/>
              </w:rPr>
            </w:pPr>
            <w:r>
              <w:rPr>
                <w:rFonts w:hint="eastAsia" w:ascii="宋体" w:hAnsi="宋体" w:cs="宋体"/>
                <w:b/>
                <w:bCs/>
                <w:szCs w:val="21"/>
              </w:rPr>
              <w:sym w:font="Wingdings 2" w:char="0052"/>
            </w:r>
            <w:r>
              <w:rPr>
                <w:rFonts w:hint="eastAsia" w:ascii="宋体" w:hAnsi="宋体" w:cs="宋体"/>
                <w:b/>
                <w:bCs/>
                <w:szCs w:val="21"/>
              </w:rPr>
              <w:t>适用。</w:t>
            </w:r>
          </w:p>
          <w:p>
            <w:pPr>
              <w:spacing w:line="288" w:lineRule="auto"/>
              <w:ind w:firstLine="210" w:firstLineChars="100"/>
              <w:jc w:val="both"/>
              <w:rPr>
                <w:rFonts w:ascii="宋体" w:hAnsi="宋体" w:cs="宋体"/>
                <w:szCs w:val="21"/>
                <w:u w:val="single"/>
              </w:rPr>
            </w:pPr>
            <w:r>
              <w:rPr>
                <w:rFonts w:hint="eastAsia" w:ascii="宋体" w:hAnsi="宋体" w:cs="宋体"/>
                <w:szCs w:val="21"/>
              </w:rPr>
              <w:t>供应商应提供近年的类似项目情况表（格式见第六章“响应文件格式”七、资格审查资料（三）近年的类似项目情况表），以证明供应商具有承担本项目要求的业绩。近年是指</w:t>
            </w:r>
            <w:r>
              <w:rPr>
                <w:rFonts w:hint="eastAsia" w:ascii="宋体" w:hAnsi="宋体" w:cs="宋体"/>
                <w:szCs w:val="21"/>
                <w:u w:val="single"/>
              </w:rPr>
              <w:t>2019年7月</w:t>
            </w:r>
            <w:r>
              <w:rPr>
                <w:rFonts w:hint="eastAsia" w:ascii="宋体" w:hAnsi="宋体" w:cs="宋体"/>
                <w:szCs w:val="21"/>
              </w:rPr>
              <w:t>至</w:t>
            </w:r>
            <w:r>
              <w:rPr>
                <w:rFonts w:hint="eastAsia" w:ascii="宋体" w:hAnsi="宋体" w:cs="宋体"/>
                <w:szCs w:val="21"/>
                <w:u w:val="single"/>
              </w:rPr>
              <w:t>2022年7月</w:t>
            </w:r>
            <w:r>
              <w:rPr>
                <w:rFonts w:hint="eastAsia" w:ascii="宋体" w:hAnsi="宋体" w:cs="宋体"/>
                <w:szCs w:val="21"/>
              </w:rPr>
              <w:t>业绩证明材料：</w:t>
            </w:r>
          </w:p>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合同/订单</w:t>
            </w:r>
          </w:p>
          <w:p>
            <w:pPr>
              <w:spacing w:line="288" w:lineRule="auto"/>
              <w:jc w:val="both"/>
              <w:rPr>
                <w:rFonts w:ascii="宋体" w:hAnsi="宋体" w:cs="宋体"/>
                <w:szCs w:val="21"/>
              </w:rPr>
            </w:pPr>
            <w:r>
              <w:rPr>
                <w:rFonts w:hint="eastAsia" w:ascii="宋体" w:hAnsi="宋体" w:cs="宋体"/>
                <w:szCs w:val="21"/>
              </w:rPr>
              <w:t>业绩证明材料种类要求：</w:t>
            </w:r>
          </w:p>
          <w:p>
            <w:pPr>
              <w:spacing w:line="288" w:lineRule="auto"/>
              <w:jc w:val="both"/>
              <w:rPr>
                <w:rFonts w:ascii="宋体" w:hAnsi="宋体" w:cs="宋体"/>
                <w:szCs w:val="21"/>
              </w:rPr>
            </w:pPr>
            <w:r>
              <w:rPr>
                <w:rFonts w:hint="eastAsia" w:ascii="宋体" w:hAnsi="宋体" w:cs="宋体"/>
                <w:szCs w:val="21"/>
              </w:rPr>
              <w:t>☑其他要求：</w:t>
            </w:r>
            <w:r>
              <w:rPr>
                <w:rFonts w:hint="eastAsia" w:ascii="宋体" w:hAnsi="宋体" w:cs="宋体"/>
                <w:color w:val="000000"/>
                <w:szCs w:val="21"/>
              </w:rPr>
              <w:t>至少提供</w:t>
            </w:r>
            <w:r>
              <w:rPr>
                <w:rFonts w:hint="eastAsia" w:ascii="宋体" w:hAnsi="宋体" w:cs="宋体"/>
                <w:color w:val="000000"/>
                <w:szCs w:val="21"/>
                <w:u w:val="single"/>
              </w:rPr>
              <w:t>3</w:t>
            </w:r>
            <w:r>
              <w:rPr>
                <w:rFonts w:hint="eastAsia" w:ascii="宋体" w:hAnsi="宋体" w:cs="宋体"/>
                <w:color w:val="000000"/>
                <w:szCs w:val="21"/>
              </w:rPr>
              <w:t xml:space="preserve">个近年类似项目业绩，证明材料若为复印件需加盖单位公章。 </w:t>
            </w:r>
            <w:r>
              <w:rPr>
                <w:rFonts w:hint="eastAsia" w:ascii="宋体" w:hAnsi="宋体" w:cs="宋体"/>
                <w:szCs w:val="21"/>
              </w:rPr>
              <w:t xml:space="preserve">                 </w:t>
            </w:r>
          </w:p>
        </w:tc>
      </w:tr>
      <w:tr>
        <w:tblPrEx>
          <w:tblCellMar>
            <w:top w:w="0" w:type="dxa"/>
            <w:left w:w="108" w:type="dxa"/>
            <w:bottom w:w="0" w:type="dxa"/>
            <w:right w:w="108" w:type="dxa"/>
          </w:tblCellMar>
        </w:tblPrEx>
        <w:trPr>
          <w:trHeight w:val="64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3.5（5）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88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3.5（6）</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szCs w:val="21"/>
              </w:rPr>
            </w:pPr>
            <w:r>
              <w:rPr>
                <w:rFonts w:hint="eastAsia" w:ascii="宋体" w:hAnsi="宋体" w:cs="宋体"/>
                <w:b/>
                <w:bCs/>
                <w:szCs w:val="21"/>
              </w:rPr>
              <w:sym w:font="Wingdings 2" w:char="0052"/>
            </w:r>
            <w:r>
              <w:rPr>
                <w:rFonts w:hint="eastAsia" w:ascii="宋体" w:hAnsi="宋体" w:cs="宋体"/>
                <w:b/>
                <w:bCs/>
                <w:szCs w:val="21"/>
              </w:rPr>
              <w:t>适用</w:t>
            </w:r>
            <w:r>
              <w:rPr>
                <w:rFonts w:hint="eastAsia" w:ascii="宋体" w:hAnsi="宋体" w:cs="宋体"/>
                <w:color w:val="000000"/>
                <w:szCs w:val="21"/>
              </w:rPr>
              <w:t xml:space="preserve">   </w:t>
            </w:r>
          </w:p>
          <w:p>
            <w:pPr>
              <w:spacing w:line="288" w:lineRule="auto"/>
              <w:ind w:firstLine="210" w:firstLineChars="100"/>
              <w:jc w:val="both"/>
              <w:rPr>
                <w:rFonts w:ascii="宋体" w:hAnsi="宋体" w:cs="宋体"/>
                <w:szCs w:val="21"/>
              </w:rPr>
            </w:pPr>
            <w:r>
              <w:rPr>
                <w:rFonts w:hint="eastAsia" w:ascii="宋体" w:hAnsi="宋体" w:cs="宋体"/>
                <w:szCs w:val="21"/>
              </w:rPr>
              <w:t>供应商应提供拟委任的主要人员汇总表和主要人员简历表（格式见第六章“响应文件格式”七、资格审查资料（四）拟委任的主要人员汇总表和（五）主要人员简历表）。</w:t>
            </w:r>
          </w:p>
          <w:p>
            <w:pPr>
              <w:spacing w:line="288" w:lineRule="auto"/>
              <w:ind w:firstLine="210" w:firstLineChars="100"/>
              <w:jc w:val="both"/>
              <w:rPr>
                <w:rFonts w:hint="eastAsia" w:ascii="宋体" w:hAnsi="宋体" w:cs="宋体"/>
                <w:szCs w:val="21"/>
              </w:rPr>
            </w:pPr>
            <w:r>
              <w:rPr>
                <w:rFonts w:hint="eastAsia" w:ascii="宋体" w:hAnsi="宋体" w:cs="宋体"/>
                <w:szCs w:val="21"/>
              </w:rPr>
              <w:t>注：提供1位项目负责人及1位技术人员的相关信息。</w:t>
            </w:r>
          </w:p>
          <w:p>
            <w:pPr>
              <w:spacing w:line="288" w:lineRule="auto"/>
              <w:ind w:firstLine="210" w:firstLineChars="100"/>
              <w:jc w:val="both"/>
              <w:rPr>
                <w:rFonts w:ascii="宋体" w:hAnsi="宋体" w:cs="宋体"/>
                <w:color w:val="000000"/>
                <w:szCs w:val="21"/>
              </w:rPr>
            </w:pPr>
            <w:r>
              <w:rPr>
                <w:rFonts w:hint="eastAsia" w:ascii="宋体" w:hAnsi="宋体" w:cs="宋体"/>
                <w:szCs w:val="21"/>
              </w:rPr>
              <w:t>要求项目负责人或者技术人员具备CISP证书，要求提供证书复印件。</w:t>
            </w:r>
          </w:p>
        </w:tc>
      </w:tr>
      <w:tr>
        <w:tblPrEx>
          <w:tblCellMar>
            <w:top w:w="0" w:type="dxa"/>
            <w:left w:w="108" w:type="dxa"/>
            <w:bottom w:w="0" w:type="dxa"/>
            <w:right w:w="108" w:type="dxa"/>
          </w:tblCellMar>
        </w:tblPrEx>
        <w:trPr>
          <w:trHeight w:val="49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3.5（7）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szCs w:val="21"/>
              </w:rPr>
              <w:sym w:font="Wingdings 2" w:char="0052"/>
            </w:r>
            <w:r>
              <w:rPr>
                <w:rFonts w:hint="eastAsia" w:ascii="宋体" w:hAnsi="宋体" w:cs="宋体"/>
                <w:szCs w:val="21"/>
              </w:rPr>
              <w:t>不适用</w:t>
            </w:r>
          </w:p>
        </w:tc>
      </w:tr>
      <w:tr>
        <w:tblPrEx>
          <w:tblCellMar>
            <w:top w:w="0" w:type="dxa"/>
            <w:left w:w="108" w:type="dxa"/>
            <w:bottom w:w="0" w:type="dxa"/>
            <w:right w:w="108" w:type="dxa"/>
          </w:tblCellMar>
        </w:tblPrEx>
        <w:trPr>
          <w:trHeight w:val="262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3.5（8）</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需要提供证明材料。</w:t>
            </w:r>
          </w:p>
          <w:p>
            <w:pPr>
              <w:spacing w:line="288" w:lineRule="auto"/>
              <w:ind w:firstLine="210" w:firstLineChars="100"/>
              <w:rPr>
                <w:rFonts w:ascii="宋体" w:hAnsi="宋体" w:cs="宋体"/>
                <w:color w:val="000000"/>
                <w:szCs w:val="21"/>
              </w:rPr>
            </w:pPr>
            <w:r>
              <w:rPr>
                <w:rFonts w:hint="eastAsia" w:ascii="宋体" w:hAnsi="宋体" w:cs="宋体"/>
                <w:szCs w:val="21"/>
              </w:rPr>
              <w:t>包括：采购文件发出之日起，至响应文件递交截止日期间，“信用中国”网站(www.creditchina.gov.cn)、中国政府采购网(www.ccgp.gov.cn)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3.6.1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ascii="宋体" w:hAnsi="宋体" w:cs="宋体"/>
                <w:color w:val="000000"/>
                <w:szCs w:val="21"/>
              </w:rPr>
            </w:pPr>
            <w:r>
              <w:rPr>
                <w:rFonts w:hint="eastAsia" w:ascii="宋体" w:hAnsi="宋体" w:cs="宋体"/>
                <w:color w:val="000000"/>
                <w:szCs w:val="21"/>
              </w:rPr>
              <w:t>提供证据或证明材料复印件，并加盖单位公章。</w:t>
            </w:r>
          </w:p>
        </w:tc>
      </w:tr>
      <w:tr>
        <w:tblPrEx>
          <w:tblCellMar>
            <w:top w:w="0" w:type="dxa"/>
            <w:left w:w="108" w:type="dxa"/>
            <w:bottom w:w="0" w:type="dxa"/>
            <w:right w:w="108" w:type="dxa"/>
          </w:tblCellMar>
        </w:tblPrEx>
        <w:trPr>
          <w:trHeight w:val="677"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3.6.2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Cs w:val="21"/>
              </w:rPr>
            </w:pPr>
            <w:r>
              <w:rPr>
                <w:rFonts w:hint="eastAsia" w:ascii="宋体" w:hAnsi="宋体" w:cs="宋体"/>
                <w:b/>
                <w:bCs/>
                <w:szCs w:val="21"/>
              </w:rPr>
              <w:sym w:font="Wingdings 2" w:char="0052"/>
            </w:r>
            <w:r>
              <w:rPr>
                <w:rFonts w:hint="eastAsia" w:ascii="宋体" w:hAnsi="宋体" w:cs="宋体"/>
                <w:b/>
                <w:bCs/>
                <w:szCs w:val="21"/>
              </w:rPr>
              <w:t>供应商只能提出唯一响应方案</w:t>
            </w:r>
          </w:p>
        </w:tc>
      </w:tr>
      <w:tr>
        <w:tblPrEx>
          <w:tblCellMar>
            <w:top w:w="0" w:type="dxa"/>
            <w:left w:w="108" w:type="dxa"/>
            <w:bottom w:w="0" w:type="dxa"/>
            <w:right w:w="108" w:type="dxa"/>
          </w:tblCellMar>
        </w:tblPrEx>
        <w:trPr>
          <w:trHeight w:val="90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3.7.5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是否要求提供电子版响应文件：</w:t>
            </w:r>
            <w:r>
              <w:rPr>
                <w:rFonts w:hint="eastAsia" w:ascii="宋体" w:hAnsi="宋体" w:cs="宋体"/>
                <w:color w:val="000000"/>
                <w:szCs w:val="21"/>
              </w:rPr>
              <w:sym w:font="Wingdings 2" w:char="0052"/>
            </w:r>
            <w:r>
              <w:rPr>
                <w:rFonts w:hint="eastAsia" w:ascii="宋体" w:hAnsi="宋体" w:cs="宋体"/>
                <w:color w:val="000000"/>
                <w:szCs w:val="21"/>
              </w:rPr>
              <w:t>不要求</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4.1.1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210" w:firstLineChars="100"/>
              <w:jc w:val="both"/>
              <w:rPr>
                <w:rFonts w:ascii="宋体" w:hAnsi="宋体" w:cs="宋体"/>
                <w:color w:val="000000"/>
                <w:szCs w:val="21"/>
              </w:rPr>
            </w:pPr>
            <w:r>
              <w:rPr>
                <w:rFonts w:hint="eastAsia" w:ascii="宋体" w:hAnsi="宋体" w:cs="宋体"/>
                <w:color w:val="000000"/>
                <w:szCs w:val="21"/>
              </w:rPr>
              <w:t>响应文件须密封包装，并在封套的封口处加盖供应商单位章。</w:t>
            </w:r>
          </w:p>
        </w:tc>
      </w:tr>
      <w:tr>
        <w:tblPrEx>
          <w:tblCellMar>
            <w:top w:w="0" w:type="dxa"/>
            <w:left w:w="108" w:type="dxa"/>
            <w:bottom w:w="0" w:type="dxa"/>
            <w:right w:w="108" w:type="dxa"/>
          </w:tblCellMar>
        </w:tblPrEx>
        <w:trPr>
          <w:trHeight w:val="121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4.1.2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适用</w:t>
            </w:r>
            <w:r>
              <w:rPr>
                <w:rFonts w:hint="eastAsia" w:ascii="宋体" w:hAnsi="宋体" w:cs="宋体"/>
                <w:color w:val="000000"/>
                <w:szCs w:val="21"/>
              </w:rPr>
              <w:t>：</w:t>
            </w:r>
            <w:r>
              <w:rPr>
                <w:rFonts w:hint="eastAsia" w:ascii="宋体" w:hAnsi="宋体" w:cs="宋体"/>
                <w:color w:val="000000"/>
                <w:szCs w:val="21"/>
                <w:u w:val="single"/>
              </w:rPr>
              <w:t>XXXX公司XXXX项目响应文件</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4.2.1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截止时间：</w:t>
            </w:r>
            <w:r>
              <w:rPr>
                <w:rFonts w:hint="eastAsia" w:ascii="宋体" w:hAnsi="宋体" w:cs="宋体"/>
                <w:color w:val="000000"/>
                <w:szCs w:val="21"/>
                <w:u w:val="single"/>
              </w:rPr>
              <w:t>2022年</w:t>
            </w:r>
            <w:r>
              <w:rPr>
                <w:rFonts w:hint="eastAsia" w:ascii="宋体" w:hAnsi="宋体" w:cs="宋体"/>
                <w:color w:val="000000"/>
                <w:szCs w:val="21"/>
                <w:u w:val="single"/>
                <w:lang w:val="en-US" w:eastAsia="zh-CN"/>
              </w:rPr>
              <w:t>8</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23</w:t>
            </w:r>
            <w:r>
              <w:rPr>
                <w:rFonts w:hint="eastAsia" w:ascii="宋体" w:hAnsi="宋体" w:cs="宋体"/>
                <w:color w:val="000000"/>
                <w:szCs w:val="21"/>
                <w:u w:val="single"/>
              </w:rPr>
              <w:t>日17时30分</w:t>
            </w:r>
          </w:p>
          <w:p>
            <w:pPr>
              <w:spacing w:line="288" w:lineRule="auto"/>
              <w:jc w:val="both"/>
              <w:rPr>
                <w:rFonts w:ascii="宋体" w:hAnsi="宋体" w:cs="宋体"/>
                <w:color w:val="000000"/>
                <w:szCs w:val="21"/>
              </w:rPr>
            </w:pPr>
            <w:r>
              <w:rPr>
                <w:rFonts w:hint="eastAsia" w:ascii="宋体" w:hAnsi="宋体" w:cs="宋体"/>
                <w:color w:val="000000"/>
                <w:szCs w:val="21"/>
              </w:rPr>
              <w:t>递交响应文件的地点：</w:t>
            </w:r>
            <w:r>
              <w:rPr>
                <w:rFonts w:hint="eastAsia" w:ascii="宋体" w:hAnsi="宋体" w:cs="宋体"/>
                <w:color w:val="000000"/>
                <w:szCs w:val="21"/>
                <w:u w:val="single"/>
              </w:rPr>
              <w:t xml:space="preserve">岳阳城陵矶新港有限公司办公楼314室 </w:t>
            </w: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606"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4.2.2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否</w:t>
            </w:r>
          </w:p>
        </w:tc>
      </w:tr>
      <w:tr>
        <w:tblPrEx>
          <w:tblCellMar>
            <w:top w:w="0" w:type="dxa"/>
            <w:left w:w="108" w:type="dxa"/>
            <w:bottom w:w="0" w:type="dxa"/>
            <w:right w:w="108" w:type="dxa"/>
          </w:tblCellMar>
        </w:tblPrEx>
        <w:trPr>
          <w:trHeight w:val="748"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4.3.3</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无</w:t>
            </w:r>
          </w:p>
        </w:tc>
      </w:tr>
      <w:tr>
        <w:tblPrEx>
          <w:tblCellMar>
            <w:top w:w="0" w:type="dxa"/>
            <w:left w:w="108" w:type="dxa"/>
            <w:bottom w:w="0" w:type="dxa"/>
            <w:right w:w="108" w:type="dxa"/>
          </w:tblCellMar>
        </w:tblPrEx>
        <w:trPr>
          <w:trHeight w:val="6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5</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Cs w:val="21"/>
              </w:rPr>
            </w:pPr>
            <w:r>
              <w:rPr>
                <w:rFonts w:hint="eastAsia" w:ascii="宋体" w:hAnsi="宋体" w:cs="宋体"/>
                <w:szCs w:val="21"/>
              </w:rPr>
              <w:sym w:font="Wingdings 2" w:char="0052"/>
            </w:r>
            <w:r>
              <w:rPr>
                <w:rFonts w:hint="eastAsia" w:ascii="宋体" w:hAnsi="宋体" w:cs="宋体"/>
                <w:szCs w:val="21"/>
              </w:rPr>
              <w:t>否</w:t>
            </w:r>
          </w:p>
        </w:tc>
      </w:tr>
      <w:tr>
        <w:tblPrEx>
          <w:tblCellMar>
            <w:top w:w="0" w:type="dxa"/>
            <w:left w:w="108" w:type="dxa"/>
            <w:bottom w:w="0" w:type="dxa"/>
            <w:right w:w="108" w:type="dxa"/>
          </w:tblCellMar>
        </w:tblPrEx>
        <w:trPr>
          <w:trHeight w:val="5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5.1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highlight w:val="yellow"/>
              </w:rPr>
            </w:pPr>
            <w:r>
              <w:rPr>
                <w:rFonts w:hint="eastAsia" w:ascii="宋体" w:hAnsi="宋体" w:cs="宋体"/>
                <w:color w:val="000000"/>
                <w:szCs w:val="21"/>
              </w:rPr>
              <w:t>湖南省港务集团有限公司六楼602开标室</w:t>
            </w:r>
          </w:p>
        </w:tc>
      </w:tr>
      <w:tr>
        <w:tblPrEx>
          <w:tblCellMar>
            <w:top w:w="0" w:type="dxa"/>
            <w:left w:w="108" w:type="dxa"/>
            <w:bottom w:w="0" w:type="dxa"/>
            <w:right w:w="108" w:type="dxa"/>
          </w:tblCellMar>
        </w:tblPrEx>
        <w:trPr>
          <w:trHeight w:val="60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5.2（4）</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开启顺序：</w:t>
            </w:r>
            <w:r>
              <w:rPr>
                <w:rFonts w:hint="eastAsia" w:ascii="宋体" w:hAnsi="宋体" w:cs="宋体"/>
                <w:color w:val="000000"/>
                <w:szCs w:val="21"/>
                <w:u w:val="single"/>
              </w:rPr>
              <w:t xml:space="preserve"> 随机 </w:t>
            </w:r>
          </w:p>
        </w:tc>
      </w:tr>
      <w:tr>
        <w:tblPrEx>
          <w:tblCellMar>
            <w:top w:w="0" w:type="dxa"/>
            <w:left w:w="108" w:type="dxa"/>
            <w:bottom w:w="0" w:type="dxa"/>
            <w:right w:w="108" w:type="dxa"/>
          </w:tblCellMar>
        </w:tblPrEx>
        <w:trPr>
          <w:trHeight w:val="1125"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6.1.1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评审小组的组建</w:t>
            </w:r>
            <w:r>
              <w:rPr>
                <w:rStyle w:val="48"/>
                <w:rFonts w:hint="eastAsia" w:ascii="宋体" w:hAnsi="宋体" w:cs="宋体"/>
                <w:color w:val="000000"/>
                <w:szCs w:val="21"/>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评标小组构成：</w:t>
            </w:r>
            <w:r>
              <w:rPr>
                <w:rFonts w:hint="eastAsia" w:ascii="宋体" w:hAnsi="宋体" w:cs="宋体"/>
                <w:color w:val="000000"/>
                <w:szCs w:val="21"/>
                <w:u w:val="single"/>
              </w:rPr>
              <w:t>3</w:t>
            </w:r>
            <w:r>
              <w:rPr>
                <w:rFonts w:hint="eastAsia" w:ascii="宋体" w:hAnsi="宋体" w:cs="宋体"/>
                <w:color w:val="000000"/>
                <w:szCs w:val="21"/>
              </w:rPr>
              <w:t>人。</w:t>
            </w:r>
          </w:p>
          <w:p>
            <w:pPr>
              <w:spacing w:line="288" w:lineRule="auto"/>
              <w:jc w:val="both"/>
              <w:rPr>
                <w:rFonts w:ascii="宋体" w:hAnsi="宋体" w:cs="宋体"/>
                <w:color w:val="000000"/>
                <w:szCs w:val="21"/>
              </w:rPr>
            </w:pPr>
            <w:r>
              <w:rPr>
                <w:rFonts w:hint="eastAsia" w:ascii="宋体" w:hAnsi="宋体" w:cs="宋体"/>
                <w:color w:val="000000"/>
                <w:szCs w:val="21"/>
              </w:rPr>
              <w:t>评审专家确定方式：在湖南省湘水集团有限公司综合评标专家库中随机抽取。</w:t>
            </w:r>
          </w:p>
        </w:tc>
      </w:tr>
      <w:tr>
        <w:tblPrEx>
          <w:tblCellMar>
            <w:top w:w="0" w:type="dxa"/>
            <w:left w:w="108" w:type="dxa"/>
            <w:bottom w:w="0" w:type="dxa"/>
            <w:right w:w="108" w:type="dxa"/>
          </w:tblCellMar>
        </w:tblPrEx>
        <w:trPr>
          <w:trHeight w:val="754"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6.2.2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评审小组推荐成交候选供应商的数量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b/>
                <w:bCs/>
                <w:color w:val="000000"/>
                <w:szCs w:val="21"/>
              </w:rPr>
              <w:t xml:space="preserve"> 2-3 </w:t>
            </w:r>
            <w:r>
              <w:rPr>
                <w:rFonts w:hint="eastAsia" w:ascii="宋体" w:hAnsi="宋体" w:cs="宋体"/>
                <w:color w:val="000000"/>
                <w:szCs w:val="21"/>
              </w:rPr>
              <w:t>个，并标明推荐顺序。</w:t>
            </w:r>
          </w:p>
        </w:tc>
      </w:tr>
      <w:tr>
        <w:tblPrEx>
          <w:tblCellMar>
            <w:top w:w="0" w:type="dxa"/>
            <w:left w:w="108" w:type="dxa"/>
            <w:bottom w:w="0" w:type="dxa"/>
            <w:right w:w="108" w:type="dxa"/>
          </w:tblCellMar>
        </w:tblPrEx>
        <w:trPr>
          <w:trHeight w:val="2132"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7.2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公示媒介：中国招标投标公共服务平台（http：//www.cebpubservice.com）、湖南省湘水集团有限公司网站（http：//www.hnsxsjt.com）、湖南省港务集团有限公司网站（http://www.hnsgwjt.com/）上发布。</w:t>
            </w:r>
          </w:p>
          <w:p>
            <w:pPr>
              <w:spacing w:line="288" w:lineRule="auto"/>
              <w:jc w:val="both"/>
              <w:rPr>
                <w:rFonts w:ascii="宋体" w:hAnsi="宋体" w:cs="宋体"/>
                <w:color w:val="000000"/>
                <w:szCs w:val="21"/>
              </w:rPr>
            </w:pPr>
            <w:r>
              <w:rPr>
                <w:rFonts w:hint="eastAsia" w:ascii="宋体" w:hAnsi="宋体" w:cs="宋体"/>
                <w:color w:val="000000"/>
                <w:szCs w:val="21"/>
              </w:rPr>
              <w:t>公示期限：</w:t>
            </w:r>
            <w:r>
              <w:rPr>
                <w:rFonts w:hint="eastAsia" w:ascii="宋体" w:hAnsi="宋体" w:cs="宋体"/>
                <w:color w:val="000000"/>
                <w:szCs w:val="21"/>
                <w:u w:val="single"/>
              </w:rPr>
              <w:t>3个工作日</w:t>
            </w:r>
          </w:p>
        </w:tc>
      </w:tr>
      <w:tr>
        <w:tblPrEx>
          <w:tblCellMar>
            <w:top w:w="0" w:type="dxa"/>
            <w:left w:w="108" w:type="dxa"/>
            <w:bottom w:w="0" w:type="dxa"/>
            <w:right w:w="108" w:type="dxa"/>
          </w:tblCellMar>
        </w:tblPrEx>
        <w:trPr>
          <w:trHeight w:val="70"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7.7</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不要求提交</w:t>
            </w:r>
          </w:p>
        </w:tc>
      </w:tr>
      <w:tr>
        <w:tblPrEx>
          <w:tblCellMar>
            <w:top w:w="0" w:type="dxa"/>
            <w:left w:w="108" w:type="dxa"/>
            <w:bottom w:w="0" w:type="dxa"/>
            <w:right w:w="108" w:type="dxa"/>
          </w:tblCellMar>
        </w:tblPrEx>
        <w:trPr>
          <w:trHeight w:val="15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8.1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highlight w:val="yellow"/>
                <w:u w:val="single"/>
              </w:rPr>
            </w:pPr>
            <w:r>
              <w:rPr>
                <w:rFonts w:hint="eastAsia" w:ascii="宋体" w:hAnsi="宋体" w:cs="宋体"/>
                <w:color w:val="000000"/>
                <w:szCs w:val="21"/>
              </w:rPr>
              <w:t>联系人：</w:t>
            </w:r>
            <w:r>
              <w:rPr>
                <w:rFonts w:hint="eastAsia" w:ascii="宋体" w:hAnsi="宋体" w:cs="宋体"/>
                <w:color w:val="000000"/>
                <w:szCs w:val="21"/>
                <w:u w:val="single"/>
              </w:rPr>
              <w:t>岳阳城陵矶新港有限公司综合管理部</w:t>
            </w:r>
          </w:p>
          <w:p>
            <w:pPr>
              <w:spacing w:line="288" w:lineRule="auto"/>
              <w:jc w:val="both"/>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color w:val="000000"/>
                <w:szCs w:val="21"/>
                <w:u w:val="single"/>
              </w:rPr>
              <w:t>13873049118</w:t>
            </w:r>
            <w:r>
              <w:rPr>
                <w:rFonts w:hint="eastAsia" w:ascii="宋体" w:hAnsi="宋体" w:cs="宋体"/>
                <w:color w:val="000000"/>
                <w:szCs w:val="21"/>
              </w:rPr>
              <w:t xml:space="preserve">               </w:t>
            </w:r>
          </w:p>
          <w:p>
            <w:pPr>
              <w:spacing w:line="288" w:lineRule="auto"/>
              <w:jc w:val="both"/>
              <w:rPr>
                <w:rFonts w:ascii="宋体" w:hAnsi="宋体" w:cs="宋体"/>
                <w:color w:val="000000"/>
                <w:szCs w:val="21"/>
              </w:rPr>
            </w:pPr>
            <w:r>
              <w:rPr>
                <w:rFonts w:hint="eastAsia" w:ascii="宋体" w:hAnsi="宋体" w:cs="宋体"/>
                <w:color w:val="000000"/>
                <w:szCs w:val="21"/>
              </w:rPr>
              <w:t>通信地址：</w:t>
            </w:r>
            <w:r>
              <w:rPr>
                <w:rFonts w:hint="eastAsia" w:ascii="宋体" w:hAnsi="宋体" w:cs="宋体"/>
                <w:color w:val="000000"/>
                <w:szCs w:val="21"/>
                <w:u w:val="single"/>
              </w:rPr>
              <w:t>湖南省岳阳市云溪区沿江西路50米</w:t>
            </w: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593"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10.1</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不要求承担</w:t>
            </w:r>
          </w:p>
        </w:tc>
      </w:tr>
      <w:tr>
        <w:tblPrEx>
          <w:tblCellMar>
            <w:top w:w="0" w:type="dxa"/>
            <w:left w:w="108" w:type="dxa"/>
            <w:bottom w:w="0" w:type="dxa"/>
            <w:right w:w="108" w:type="dxa"/>
          </w:tblCellMar>
        </w:tblPrEx>
        <w:trPr>
          <w:trHeight w:val="1819" w:hRule="atLeast"/>
        </w:trPr>
        <w:tc>
          <w:tcPr>
            <w:tcW w:w="1297"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10.2</w:t>
            </w:r>
          </w:p>
        </w:tc>
        <w:tc>
          <w:tcPr>
            <w:tcW w:w="2972"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ascii="宋体" w:hAnsi="宋体" w:cs="宋体"/>
                <w:color w:val="000000"/>
                <w:szCs w:val="21"/>
              </w:rPr>
            </w:pPr>
            <w:r>
              <w:rPr>
                <w:rFonts w:hint="eastAsia" w:ascii="宋体" w:hAnsi="宋体" w:cs="宋体"/>
                <w:color w:val="000000"/>
                <w:szCs w:val="21"/>
              </w:rPr>
              <w:t>1.供应商提供的相关证明文件若为复印件，必须加盖单位公章。</w:t>
            </w:r>
          </w:p>
          <w:p>
            <w:pPr>
              <w:spacing w:line="288" w:lineRule="auto"/>
              <w:jc w:val="both"/>
              <w:rPr>
                <w:rFonts w:ascii="宋体" w:hAnsi="宋体" w:cs="宋体"/>
                <w:color w:val="000000"/>
                <w:szCs w:val="21"/>
              </w:rPr>
            </w:pPr>
            <w:r>
              <w:rPr>
                <w:rFonts w:hint="eastAsia" w:ascii="宋体" w:hAnsi="宋体" w:cs="宋体"/>
                <w:color w:val="000000"/>
                <w:szCs w:val="21"/>
              </w:rPr>
              <w:t>2.本项目</w:t>
            </w:r>
            <w:r>
              <w:rPr>
                <w:rFonts w:hint="eastAsia" w:ascii="宋体" w:hAnsi="宋体" w:cs="宋体"/>
                <w:b/>
                <w:bCs/>
                <w:color w:val="000000"/>
                <w:szCs w:val="21"/>
              </w:rPr>
              <w:t>不接受</w:t>
            </w:r>
            <w:r>
              <w:rPr>
                <w:rFonts w:hint="eastAsia" w:ascii="宋体" w:hAnsi="宋体" w:cs="宋体"/>
                <w:color w:val="000000"/>
                <w:szCs w:val="21"/>
              </w:rPr>
              <w:t>联合体投标。</w:t>
            </w:r>
          </w:p>
          <w:p>
            <w:pPr>
              <w:spacing w:line="288" w:lineRule="auto"/>
              <w:jc w:val="both"/>
              <w:rPr>
                <w:rFonts w:ascii="宋体" w:hAnsi="宋体" w:cs="宋体"/>
                <w:color w:val="000000"/>
                <w:szCs w:val="21"/>
              </w:rPr>
            </w:pPr>
            <w:r>
              <w:rPr>
                <w:rFonts w:hint="eastAsia" w:ascii="宋体" w:hAnsi="宋体" w:cs="宋体"/>
                <w:color w:val="000000"/>
                <w:szCs w:val="21"/>
              </w:rPr>
              <w:t>3.响应文件份数：</w:t>
            </w:r>
            <w:r>
              <w:rPr>
                <w:rFonts w:hint="eastAsia" w:ascii="宋体" w:hAnsi="宋体" w:cs="宋体"/>
                <w:color w:val="000000"/>
                <w:szCs w:val="21"/>
                <w:u w:val="single"/>
              </w:rPr>
              <w:t>正本1份</w:t>
            </w:r>
            <w:r>
              <w:rPr>
                <w:rFonts w:hint="eastAsia" w:ascii="宋体" w:hAnsi="宋体" w:cs="宋体"/>
                <w:color w:val="000000"/>
                <w:szCs w:val="21"/>
              </w:rPr>
              <w:t>，</w:t>
            </w:r>
            <w:r>
              <w:rPr>
                <w:rFonts w:hint="eastAsia" w:ascii="宋体" w:hAnsi="宋体" w:cs="宋体"/>
                <w:color w:val="000000"/>
                <w:szCs w:val="21"/>
                <w:u w:val="single"/>
              </w:rPr>
              <w:t>副本 2 份</w:t>
            </w:r>
            <w:r>
              <w:rPr>
                <w:rFonts w:hint="eastAsia" w:ascii="宋体" w:hAnsi="宋体" w:cs="宋体"/>
                <w:color w:val="000000"/>
                <w:szCs w:val="21"/>
              </w:rPr>
              <w:t>。</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1" w:name="_Toc9633"/>
      <w:r>
        <w:rPr>
          <w:rFonts w:hint="eastAsia" w:ascii="华文中宋" w:hAnsi="华文中宋" w:eastAsia="华文中宋" w:cs="仿宋"/>
          <w:b/>
          <w:bCs/>
          <w:sz w:val="30"/>
          <w:szCs w:val="30"/>
        </w:rPr>
        <w:t>第二章 供应商须知正文</w:t>
      </w:r>
      <w:bookmarkEnd w:id="11"/>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2"/>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6"/>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同质比价法，遵循最低价法评审原则，在资质、业绩、信誉等条件均满足询价文件要求的前提下，按价格最低原则确定成交供应商。</w:t>
      </w:r>
    </w:p>
    <w:p>
      <w:pPr>
        <w:pStyle w:val="66"/>
        <w:spacing w:line="312" w:lineRule="auto"/>
        <w:ind w:firstLine="453" w:firstLineChars="189"/>
        <w:rPr>
          <w:rFonts w:hAnsi="宋体" w:eastAsia="宋体" w:cs="仿宋"/>
          <w:sz w:val="24"/>
          <w:szCs w:val="24"/>
        </w:rPr>
      </w:pPr>
      <w:r>
        <w:rPr>
          <w:rFonts w:hint="eastAsia" w:hAnsi="宋体" w:eastAsia="宋体" w:cs="仿宋"/>
          <w:sz w:val="24"/>
          <w:szCs w:val="24"/>
        </w:rPr>
        <w:t>同价比质法，遵循最低价法评审原则，若报价相同，应选择质量、服务承诺及优惠条件较优的供应商。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hint="eastAsia" w:ascii="宋体" w:hAnsi="宋体" w:cs="仿宋"/>
          <w:b/>
          <w:bCs/>
          <w:sz w:val="24"/>
        </w:rPr>
      </w:pPr>
      <w:r>
        <w:rPr>
          <w:rFonts w:hint="eastAsia" w:ascii="宋体" w:hAnsi="宋体" w:cs="仿宋"/>
          <w:b/>
          <w:bCs/>
          <w:sz w:val="24"/>
        </w:rPr>
        <w:t>1.7踏勘现场（本项目组织踏勘现场）</w:t>
      </w:r>
    </w:p>
    <w:p>
      <w:pPr>
        <w:pStyle w:val="2"/>
        <w:rPr>
          <w:rFonts w:hint="eastAsia" w:ascii="宋体" w:hAnsi="宋体" w:eastAsia="宋体" w:cs="仿宋"/>
          <w:snapToGrid/>
          <w:kern w:val="2"/>
          <w:sz w:val="24"/>
          <w:szCs w:val="24"/>
          <w:lang w:val="en-US" w:eastAsia="zh-CN" w:bidi="ar-SA"/>
        </w:rPr>
      </w:pPr>
      <w:r>
        <w:rPr>
          <w:rFonts w:hint="eastAsia" w:ascii="宋体" w:hAnsi="宋体" w:eastAsia="宋体" w:cs="仿宋"/>
          <w:snapToGrid/>
          <w:kern w:val="2"/>
          <w:sz w:val="24"/>
          <w:szCs w:val="24"/>
          <w:lang w:val="en-US" w:eastAsia="zh-CN" w:bidi="ar-SA"/>
        </w:rPr>
        <w:t>要求所有潜在供应商在截止开标前三天，安排技术人员到岳阳城陵矶新港有限公司现场踏勘，并由采购方出具相关踏勘证明文件，供应商须在响应文件中提交踏勘证明文件并加盖公章。</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1.9分包(本项目不允许分包)</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spacing w:line="312" w:lineRule="auto"/>
        <w:ind w:left="716" w:leftChars="284" w:hanging="120" w:hangingChars="50"/>
        <w:jc w:val="both"/>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2" w:name="_Toc24135"/>
      <w:r>
        <w:rPr>
          <w:rFonts w:hint="eastAsia" w:ascii="宋体" w:hAnsi="宋体" w:cs="宋体"/>
          <w:b/>
          <w:bCs/>
          <w:sz w:val="24"/>
        </w:rPr>
        <w:t>7.3成交结果异议</w:t>
      </w:r>
      <w:bookmarkEnd w:id="12"/>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7.6履约保证金（本项目不提交履约保证金）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0"/>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right"/>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jc w:val="right"/>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2"/>
        <w:ind w:firstLine="0"/>
        <w:rPr>
          <w:rFonts w:hAnsi="宋体" w:cs="仿宋"/>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7"/>
        <w:adjustRightInd w:val="0"/>
        <w:snapToGrid w:val="0"/>
        <w:spacing w:line="600" w:lineRule="exact"/>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600" w:lineRule="exact"/>
        <w:jc w:val="center"/>
        <w:outlineLvl w:val="0"/>
        <w:rPr>
          <w:rFonts w:ascii="黑体" w:hAnsi="黑体" w:eastAsia="黑体" w:cs="仿宋"/>
          <w:bCs/>
          <w:sz w:val="36"/>
          <w:szCs w:val="36"/>
        </w:rPr>
      </w:pPr>
      <w:bookmarkStart w:id="13" w:name="_Toc2458"/>
      <w:r>
        <w:rPr>
          <w:rFonts w:hint="eastAsia" w:ascii="黑体" w:hAnsi="黑体" w:eastAsia="黑体" w:cs="仿宋"/>
          <w:bCs/>
          <w:sz w:val="36"/>
          <w:szCs w:val="36"/>
        </w:rPr>
        <w:t>第三章 评审办法</w:t>
      </w:r>
      <w:bookmarkEnd w:id="13"/>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0"/>
        <w:tblW w:w="9190"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25"/>
        <w:gridCol w:w="1380"/>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911" w:type="dxa"/>
            <w:vAlign w:val="center"/>
          </w:tcPr>
          <w:p>
            <w:pPr>
              <w:widowControl w:val="0"/>
              <w:adjustRightInd w:val="0"/>
              <w:spacing w:line="288" w:lineRule="auto"/>
              <w:ind w:firstLine="210" w:firstLineChars="1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911" w:type="dxa"/>
            <w:vAlign w:val="center"/>
          </w:tcPr>
          <w:p>
            <w:pPr>
              <w:widowControl/>
              <w:adjustRightInd w:val="0"/>
              <w:snapToGrid w:val="0"/>
              <w:spacing w:line="288"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911" w:type="dxa"/>
            <w:vAlign w:val="center"/>
          </w:tcPr>
          <w:p>
            <w:pPr>
              <w:pStyle w:val="2"/>
              <w:widowControl w:val="0"/>
              <w:ind w:firstLine="0"/>
              <w:jc w:val="both"/>
            </w:pPr>
            <w:r>
              <w:rPr>
                <w:rFonts w:hint="eastAsia" w:cs="仿宋" w:asciiTheme="minorEastAsia" w:hAnsiTheme="minorEastAsia" w:eastAsiaTheme="minorEastAsia"/>
                <w:sz w:val="21"/>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5911" w:type="dxa"/>
            <w:vAlign w:val="center"/>
          </w:tcPr>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125" w:type="dxa"/>
            <w:vMerge w:val="restart"/>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cs="宋体"/>
                <w:szCs w:val="21"/>
              </w:rPr>
              <w:t>合同签订后设备交货</w:t>
            </w:r>
            <w:r>
              <w:rPr>
                <w:rFonts w:ascii="宋体" w:hAnsi="宋体" w:cs="宋体"/>
                <w:szCs w:val="21"/>
              </w:rPr>
              <w:t>日期不超过</w:t>
            </w:r>
            <w:r>
              <w:rPr>
                <w:rFonts w:hint="eastAsia" w:ascii="宋体" w:hAnsi="宋体" w:cs="宋体"/>
                <w:szCs w:val="21"/>
                <w:u w:val="single"/>
              </w:rPr>
              <w:t>15</w:t>
            </w:r>
            <w:r>
              <w:rPr>
                <w:rFonts w:hint="eastAsia" w:ascii="宋体" w:hAnsi="宋体" w:cs="宋体"/>
                <w:szCs w:val="21"/>
              </w:rPr>
              <w:t>日历</w:t>
            </w:r>
            <w:r>
              <w:rPr>
                <w:rFonts w:ascii="宋体" w:hAnsi="宋体" w:cs="宋体"/>
                <w:szCs w:val="21"/>
              </w:rPr>
              <w:t>日，</w:t>
            </w:r>
            <w:r>
              <w:rPr>
                <w:rFonts w:hint="eastAsia" w:ascii="宋体" w:hAnsi="宋体" w:cs="宋体"/>
                <w:szCs w:val="21"/>
              </w:rPr>
              <w:t>按照采购人的要求进行实施，改造时间不大于</w:t>
            </w:r>
            <w:r>
              <w:rPr>
                <w:rFonts w:ascii="宋体" w:hAnsi="宋体" w:cs="宋体"/>
                <w:szCs w:val="21"/>
                <w:u w:val="single"/>
              </w:rPr>
              <w:t>20</w:t>
            </w:r>
            <w:r>
              <w:rPr>
                <w:rFonts w:hint="eastAsia" w:ascii="宋体" w:hAnsi="宋体" w:cs="宋体"/>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74"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125" w:type="dxa"/>
            <w:vMerge w:val="continue"/>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911" w:type="dxa"/>
            <w:vAlign w:val="center"/>
          </w:tcPr>
          <w:p>
            <w:pPr>
              <w:widowControl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允许偏差的范围：</w:t>
            </w:r>
            <w:r>
              <w:rPr>
                <w:rFonts w:hint="eastAsia" w:cs="仿宋" w:asciiTheme="minorEastAsia" w:hAnsiTheme="minorEastAsia" w:eastAsiaTheme="minorEastAsia"/>
                <w:szCs w:val="21"/>
                <w:u w:val="single"/>
              </w:rPr>
              <w:t>细微偏差</w:t>
            </w:r>
          </w:p>
          <w:p>
            <w:pPr>
              <w:widowControl/>
              <w:adjustRightInd w:val="0"/>
              <w:snapToGrid w:val="0"/>
              <w:spacing w:line="288" w:lineRule="auto"/>
              <w:ind w:firstLine="210" w:firstLineChars="100"/>
              <w:jc w:val="left"/>
              <w:rPr>
                <w:rFonts w:cs="仿宋" w:asciiTheme="minorEastAsia" w:hAnsiTheme="minorEastAsia" w:eastAsiaTheme="minorEastAsia"/>
                <w:szCs w:val="21"/>
              </w:rPr>
            </w:pPr>
            <w:r>
              <w:rPr>
                <w:rFonts w:hint="eastAsia" w:cs="仿宋" w:asciiTheme="minorEastAsia" w:hAnsiTheme="minorEastAsia" w:eastAsiaTheme="minorEastAsia"/>
                <w:szCs w:val="21"/>
              </w:rPr>
              <w:t>允许偏差的项数：</w:t>
            </w:r>
            <w:r>
              <w:rPr>
                <w:rFonts w:hint="eastAsia" w:cs="仿宋" w:asciiTheme="minorEastAsia" w:hAnsiTheme="minorEastAsia" w:eastAsiaTheme="minorEastAsia"/>
                <w:szCs w:val="21"/>
                <w:u w:val="single"/>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74"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125" w:type="dxa"/>
            <w:vAlign w:val="center"/>
          </w:tcPr>
          <w:p>
            <w:pPr>
              <w:widowControl/>
              <w:adjustRightInd w:val="0"/>
              <w:snapToGrid w:val="0"/>
              <w:spacing w:line="288" w:lineRule="auto"/>
              <w:jc w:val="center"/>
              <w:rPr>
                <w:rFonts w:cs="仿宋" w:asciiTheme="minorEastAsia" w:hAnsiTheme="minorEastAsia" w:eastAsiaTheme="minorEastAsia"/>
                <w:szCs w:val="21"/>
              </w:rPr>
            </w:pP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190" w:type="dxa"/>
            <w:gridSpan w:val="4"/>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380"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5911"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899"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0" w:type="dxa"/>
            <w:vAlign w:val="center"/>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911" w:type="dxa"/>
            <w:vAlign w:val="center"/>
          </w:tcPr>
          <w:p>
            <w:pPr>
              <w:widowControl w:val="0"/>
              <w:adjustRightInd w:val="0"/>
              <w:snapToGrid w:val="0"/>
              <w:spacing w:line="288" w:lineRule="auto"/>
              <w:jc w:val="center"/>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按照评审综合得分由高到低的顺序推荐成交候选供应商。</w:t>
            </w:r>
          </w:p>
        </w:tc>
      </w:tr>
    </w:tbl>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ascii="宋体" w:hAnsi="宋体"/>
          <w:b/>
          <w:kern w:val="0"/>
          <w:szCs w:val="21"/>
        </w:rPr>
      </w:pPr>
    </w:p>
    <w:p>
      <w:pPr>
        <w:pStyle w:val="77"/>
        <w:spacing w:line="600" w:lineRule="exact"/>
        <w:ind w:left="420" w:firstLine="0" w:firstLineChars="0"/>
        <w:jc w:val="center"/>
        <w:rPr>
          <w:rFonts w:ascii="黑体" w:hAnsi="黑体" w:eastAsia="黑体" w:cs="仿宋"/>
          <w:b/>
          <w:color w:val="000000"/>
          <w:sz w:val="36"/>
          <w:szCs w:val="36"/>
        </w:rPr>
      </w:pPr>
    </w:p>
    <w:p>
      <w:pPr>
        <w:pStyle w:val="77"/>
        <w:spacing w:line="600" w:lineRule="exact"/>
        <w:ind w:left="420" w:firstLine="0" w:firstLineChars="0"/>
        <w:jc w:val="center"/>
        <w:rPr>
          <w:rFonts w:ascii="黑体" w:hAnsi="黑体" w:eastAsia="黑体" w:cs="仿宋"/>
          <w:b/>
          <w:color w:val="000000"/>
          <w:sz w:val="36"/>
          <w:szCs w:val="36"/>
        </w:rPr>
      </w:pPr>
    </w:p>
    <w:p>
      <w:pPr>
        <w:pStyle w:val="77"/>
        <w:spacing w:line="600" w:lineRule="exact"/>
        <w:ind w:left="420" w:firstLine="0" w:firstLineChars="0"/>
        <w:jc w:val="center"/>
        <w:rPr>
          <w:rFonts w:ascii="黑体" w:hAnsi="黑体" w:eastAsia="黑体" w:cs="仿宋"/>
          <w:b/>
          <w:color w:val="000000"/>
          <w:sz w:val="36"/>
          <w:szCs w:val="36"/>
        </w:rPr>
      </w:pPr>
    </w:p>
    <w:p>
      <w:pPr>
        <w:pStyle w:val="77"/>
        <w:spacing w:line="600" w:lineRule="exact"/>
        <w:ind w:left="420" w:firstLine="0" w:firstLineChars="0"/>
        <w:jc w:val="center"/>
        <w:rPr>
          <w:rFonts w:ascii="黑体" w:hAnsi="黑体" w:eastAsia="黑体" w:cs="仿宋"/>
          <w:b/>
          <w:color w:val="000000"/>
          <w:sz w:val="36"/>
          <w:szCs w:val="36"/>
        </w:rPr>
      </w:pPr>
    </w:p>
    <w:p>
      <w:pPr>
        <w:pStyle w:val="77"/>
        <w:spacing w:line="600" w:lineRule="exact"/>
        <w:ind w:firstLine="0" w:firstLineChars="0"/>
        <w:jc w:val="center"/>
        <w:rPr>
          <w:rFonts w:ascii="黑体" w:hAnsi="黑体" w:eastAsia="黑体" w:cs="仿宋"/>
          <w:b/>
          <w:color w:val="000000"/>
          <w:sz w:val="36"/>
          <w:szCs w:val="36"/>
        </w:rPr>
      </w:pPr>
    </w:p>
    <w:p>
      <w:pPr>
        <w:pStyle w:val="77"/>
        <w:spacing w:line="600" w:lineRule="exact"/>
        <w:ind w:firstLine="0" w:firstLineChars="0"/>
        <w:jc w:val="center"/>
        <w:rPr>
          <w:rFonts w:ascii="黑体" w:hAnsi="黑体" w:eastAsia="黑体" w:cs="仿宋"/>
          <w:b/>
          <w:color w:val="000000"/>
          <w:sz w:val="36"/>
          <w:szCs w:val="36"/>
        </w:rPr>
      </w:pPr>
    </w:p>
    <w:p>
      <w:pPr>
        <w:pStyle w:val="77"/>
        <w:spacing w:line="600" w:lineRule="exact"/>
        <w:ind w:firstLine="0" w:firstLineChars="0"/>
        <w:jc w:val="center"/>
        <w:rPr>
          <w:rFonts w:ascii="黑体" w:hAnsi="黑体" w:eastAsia="黑体" w:cs="仿宋"/>
          <w:b/>
          <w:color w:val="000000"/>
          <w:sz w:val="36"/>
          <w:szCs w:val="36"/>
        </w:rPr>
      </w:pPr>
    </w:p>
    <w:p>
      <w:pPr>
        <w:spacing w:line="240" w:lineRule="auto"/>
        <w:rPr>
          <w:rFonts w:ascii="黑体" w:hAnsi="黑体" w:eastAsia="黑体" w:cs="仿宋"/>
          <w:b/>
          <w:color w:val="000000"/>
          <w:kern w:val="0"/>
          <w:sz w:val="36"/>
          <w:szCs w:val="36"/>
        </w:rPr>
      </w:pPr>
      <w:bookmarkStart w:id="14" w:name="_Toc9329"/>
      <w:r>
        <w:rPr>
          <w:rFonts w:ascii="黑体" w:hAnsi="黑体" w:eastAsia="黑体" w:cs="仿宋"/>
          <w:b/>
          <w:color w:val="000000"/>
          <w:sz w:val="36"/>
          <w:szCs w:val="36"/>
        </w:rPr>
        <w:br w:type="page"/>
      </w:r>
    </w:p>
    <w:p>
      <w:pPr>
        <w:pStyle w:val="77"/>
        <w:spacing w:line="360" w:lineRule="auto"/>
        <w:ind w:firstLine="0" w:firstLineChars="0"/>
        <w:jc w:val="center"/>
        <w:outlineLvl w:val="0"/>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bookmarkEnd w:id="14"/>
    </w:p>
    <w:p>
      <w:pPr>
        <w:spacing w:line="360" w:lineRule="auto"/>
      </w:pPr>
    </w:p>
    <w:p>
      <w:pPr>
        <w:spacing w:line="360" w:lineRule="auto"/>
        <w:jc w:val="center"/>
        <w:rPr>
          <w:u w:val="single"/>
        </w:rPr>
      </w:pPr>
      <w:r>
        <w:rPr>
          <w:rFonts w:hint="eastAsia"/>
        </w:rPr>
        <w:t xml:space="preserve">                                               </w:t>
      </w:r>
    </w:p>
    <w:p>
      <w:pPr>
        <w:spacing w:line="360" w:lineRule="auto"/>
        <w:jc w:val="both"/>
        <w:rPr>
          <w:u w:val="single"/>
        </w:rPr>
      </w:pPr>
    </w:p>
    <w:p>
      <w:pPr>
        <w:spacing w:line="360" w:lineRule="auto"/>
        <w:jc w:val="both"/>
        <w:rPr>
          <w:u w:val="single"/>
        </w:rPr>
      </w:pPr>
    </w:p>
    <w:p>
      <w:pPr>
        <w:spacing w:line="360" w:lineRule="auto"/>
        <w:jc w:val="both"/>
        <w:rPr>
          <w:u w:val="single"/>
        </w:rPr>
      </w:pPr>
    </w:p>
    <w:p>
      <w:pPr>
        <w:spacing w:line="360" w:lineRule="auto"/>
        <w:jc w:val="right"/>
        <w:rPr>
          <w:u w:val="single"/>
        </w:rPr>
      </w:pPr>
    </w:p>
    <w:p>
      <w:pPr>
        <w:pStyle w:val="77"/>
        <w:spacing w:line="360" w:lineRule="auto"/>
        <w:ind w:right="979" w:rightChars="466" w:firstLine="0" w:firstLineChars="0"/>
        <w:jc w:val="center"/>
        <w:rPr>
          <w:rFonts w:ascii="黑体" w:hAnsi="黑体" w:eastAsia="黑体" w:cs="仿宋"/>
          <w:b/>
          <w:bCs/>
          <w:color w:val="000000"/>
          <w:sz w:val="36"/>
          <w:szCs w:val="36"/>
        </w:rPr>
      </w:pPr>
      <w:r>
        <w:rPr>
          <w:rFonts w:hint="eastAsia" w:ascii="黑体" w:hAnsi="黑体" w:eastAsia="黑体" w:cs="仿宋"/>
          <w:b/>
          <w:bCs/>
          <w:color w:val="000000"/>
          <w:sz w:val="36"/>
          <w:szCs w:val="36"/>
        </w:rPr>
        <w:t>岳阳</w:t>
      </w:r>
      <w:r>
        <w:rPr>
          <w:rFonts w:ascii="黑体" w:hAnsi="黑体" w:eastAsia="黑体" w:cs="仿宋"/>
          <w:b/>
          <w:bCs/>
          <w:color w:val="000000"/>
          <w:sz w:val="36"/>
          <w:szCs w:val="36"/>
        </w:rPr>
        <w:t>城陵矶新港有限</w:t>
      </w:r>
      <w:r>
        <w:rPr>
          <w:rFonts w:hint="eastAsia" w:ascii="黑体" w:hAnsi="黑体" w:eastAsia="黑体" w:cs="仿宋"/>
          <w:b/>
          <w:bCs/>
          <w:color w:val="000000"/>
          <w:sz w:val="36"/>
          <w:szCs w:val="36"/>
        </w:rPr>
        <w:t>公司</w:t>
      </w:r>
    </w:p>
    <w:p>
      <w:pPr>
        <w:pStyle w:val="77"/>
        <w:spacing w:line="360" w:lineRule="auto"/>
        <w:ind w:right="979" w:rightChars="466" w:firstLine="0" w:firstLineChars="0"/>
        <w:jc w:val="center"/>
        <w:rPr>
          <w:rFonts w:ascii="黑体" w:hAnsi="黑体" w:eastAsia="黑体" w:cs="仿宋"/>
          <w:b/>
          <w:bCs/>
          <w:color w:val="000000"/>
          <w:sz w:val="36"/>
          <w:szCs w:val="36"/>
        </w:rPr>
      </w:pPr>
      <w:r>
        <w:rPr>
          <w:rFonts w:hint="eastAsia" w:ascii="黑体" w:hAnsi="黑体" w:eastAsia="黑体" w:cs="仿宋"/>
          <w:b/>
          <w:color w:val="000000"/>
          <w:sz w:val="36"/>
          <w:szCs w:val="36"/>
        </w:rPr>
        <w:t>远控系统网安设备采购采购合同</w:t>
      </w:r>
    </w:p>
    <w:p>
      <w:pPr>
        <w:spacing w:line="360" w:lineRule="auto"/>
        <w:jc w:val="both"/>
        <w:rPr>
          <w:b/>
          <w:bCs/>
          <w:sz w:val="44"/>
          <w:szCs w:val="44"/>
        </w:rPr>
      </w:pPr>
    </w:p>
    <w:p>
      <w:pPr>
        <w:pStyle w:val="2"/>
        <w:spacing w:line="360" w:lineRule="auto"/>
        <w:ind w:firstLine="0"/>
        <w:rPr>
          <w:b/>
          <w:bCs/>
          <w:sz w:val="44"/>
          <w:szCs w:val="44"/>
        </w:rPr>
      </w:pPr>
    </w:p>
    <w:p>
      <w:pPr>
        <w:spacing w:line="360" w:lineRule="auto"/>
        <w:rPr>
          <w:b/>
          <w:bCs/>
          <w:sz w:val="44"/>
          <w:szCs w:val="44"/>
        </w:rPr>
      </w:pPr>
    </w:p>
    <w:p>
      <w:pPr>
        <w:pStyle w:val="2"/>
        <w:spacing w:line="360" w:lineRule="auto"/>
        <w:ind w:firstLine="0"/>
        <w:rPr>
          <w:b/>
          <w:bCs/>
          <w:sz w:val="44"/>
          <w:szCs w:val="44"/>
        </w:rPr>
      </w:pP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项目名称：</w:t>
      </w:r>
      <w:r>
        <w:rPr>
          <w:rFonts w:hint="eastAsia" w:ascii="黑体" w:hAnsi="黑体" w:eastAsia="黑体" w:cs="仿宋"/>
          <w:color w:val="000000"/>
          <w:sz w:val="32"/>
          <w:szCs w:val="32"/>
        </w:rPr>
        <w:t>远控系统网安设备采购合同</w:t>
      </w:r>
    </w:p>
    <w:p>
      <w:pPr>
        <w:widowControl w:val="0"/>
        <w:snapToGrid w:val="0"/>
        <w:spacing w:line="360" w:lineRule="auto"/>
        <w:outlineLvl w:val="2"/>
        <w:rPr>
          <w:rFonts w:ascii="黑体" w:hAnsi="黑体" w:eastAsia="黑体"/>
          <w:sz w:val="32"/>
          <w:szCs w:val="32"/>
        </w:rPr>
      </w:pPr>
      <w:r>
        <w:rPr>
          <w:rFonts w:hint="eastAsia" w:ascii="黑体" w:hAnsi="黑体" w:eastAsia="黑体"/>
          <w:sz w:val="32"/>
          <w:szCs w:val="32"/>
        </w:rPr>
        <w:t>甲    方：岳阳</w:t>
      </w:r>
      <w:r>
        <w:rPr>
          <w:rFonts w:ascii="黑体" w:hAnsi="黑体" w:eastAsia="黑体"/>
          <w:sz w:val="32"/>
          <w:szCs w:val="32"/>
        </w:rPr>
        <w:t>城陵矶新港有限</w:t>
      </w:r>
      <w:r>
        <w:rPr>
          <w:rFonts w:hint="eastAsia" w:ascii="黑体" w:hAnsi="黑体" w:eastAsia="黑体"/>
          <w:sz w:val="32"/>
          <w:szCs w:val="32"/>
        </w:rPr>
        <w:t>公司</w:t>
      </w:r>
    </w:p>
    <w:p>
      <w:pPr>
        <w:widowControl w:val="0"/>
        <w:snapToGrid w:val="0"/>
        <w:spacing w:line="360" w:lineRule="auto"/>
        <w:rPr>
          <w:rFonts w:ascii="黑体" w:hAnsi="黑体" w:eastAsia="黑体"/>
          <w:sz w:val="32"/>
          <w:szCs w:val="32"/>
        </w:rPr>
      </w:pPr>
      <w:r>
        <w:rPr>
          <w:rFonts w:hint="eastAsia" w:ascii="黑体" w:hAnsi="黑体" w:eastAsia="黑体"/>
          <w:sz w:val="32"/>
          <w:szCs w:val="32"/>
        </w:rPr>
        <w:t>乙    方：</w:t>
      </w:r>
    </w:p>
    <w:p>
      <w:pPr>
        <w:pStyle w:val="8"/>
      </w:pPr>
    </w:p>
    <w:p>
      <w:pPr>
        <w:pStyle w:val="8"/>
      </w:pPr>
    </w:p>
    <w:p/>
    <w:p>
      <w:pPr>
        <w:widowControl w:val="0"/>
        <w:snapToGrid w:val="0"/>
        <w:spacing w:line="360" w:lineRule="auto"/>
        <w:jc w:val="center"/>
        <w:outlineLvl w:val="2"/>
        <w:rPr>
          <w:rFonts w:ascii="黑体" w:hAnsi="黑体" w:eastAsia="黑体"/>
          <w:sz w:val="32"/>
          <w:szCs w:val="32"/>
        </w:r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rPr>
        <w:t>2年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snapToGrid w:val="0"/>
        <w:spacing w:line="360" w:lineRule="auto"/>
        <w:rPr>
          <w:rFonts w:ascii="黑体" w:hAnsi="黑体" w:eastAsia="黑体"/>
          <w:sz w:val="32"/>
          <w:szCs w:val="32"/>
          <w:u w:val="single"/>
        </w:rPr>
        <w:sectPr>
          <w:headerReference r:id="rId5" w:type="default"/>
          <w:footerReference r:id="rId6" w:type="default"/>
          <w:pgSz w:w="11900" w:h="16840"/>
          <w:pgMar w:top="1440" w:right="1800" w:bottom="1440" w:left="1800" w:header="720" w:footer="720" w:gutter="0"/>
          <w:cols w:space="720" w:num="1"/>
          <w:docGrid w:linePitch="286" w:charSpace="0"/>
        </w:sectPr>
      </w:pPr>
    </w:p>
    <w:p>
      <w:pPr>
        <w:spacing w:line="312" w:lineRule="auto"/>
        <w:ind w:firstLine="820" w:firstLineChars="227"/>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第一部分</w:t>
      </w:r>
    </w:p>
    <w:p>
      <w:pPr>
        <w:pStyle w:val="2"/>
      </w:pPr>
    </w:p>
    <w:p>
      <w:pPr>
        <w:spacing w:line="312" w:lineRule="auto"/>
        <w:jc w:val="both"/>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甲方：</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 xml:space="preserve">                    </w:t>
      </w:r>
    </w:p>
    <w:p>
      <w:pPr>
        <w:spacing w:line="312" w:lineRule="auto"/>
        <w:jc w:val="both"/>
        <w:rPr>
          <w:rFonts w:cs="仿宋" w:asciiTheme="minorEastAsia" w:hAnsiTheme="minorEastAsia" w:eastAsiaTheme="minorEastAsia"/>
          <w:sz w:val="32"/>
          <w:szCs w:val="32"/>
          <w:u w:val="thick"/>
        </w:rPr>
      </w:pPr>
      <w:r>
        <w:rPr>
          <w:rFonts w:hint="eastAsia" w:cs="仿宋" w:asciiTheme="minorEastAsia" w:hAnsiTheme="minorEastAsia" w:eastAsiaTheme="minorEastAsia"/>
          <w:sz w:val="32"/>
          <w:szCs w:val="32"/>
        </w:rPr>
        <w:t>乙方：</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 xml:space="preserve">          </w:t>
      </w:r>
    </w:p>
    <w:p>
      <w:pPr>
        <w:spacing w:line="312" w:lineRule="auto"/>
        <w:ind w:firstLine="544" w:firstLineChars="227"/>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依照《中华人民共和国民法典》以及其他有关法律、行政法规，遵循平等、自愿、公平和诚实信用的原则，经双方共同协商，双方签订本合同协议书，双方共同遵照执行。 </w:t>
      </w:r>
    </w:p>
    <w:p>
      <w:pPr>
        <w:pStyle w:val="2"/>
        <w:numPr>
          <w:ilvl w:val="0"/>
          <w:numId w:val="2"/>
        </w:numPr>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项目概况</w:t>
      </w:r>
    </w:p>
    <w:p>
      <w:pPr>
        <w:pStyle w:val="77"/>
        <w:spacing w:line="360" w:lineRule="auto"/>
        <w:ind w:right="979" w:rightChars="466" w:firstLine="480"/>
        <w:jc w:val="both"/>
        <w:rPr>
          <w:rFonts w:cs="仿宋" w:asciiTheme="minorEastAsia" w:hAnsiTheme="minorEastAsia" w:eastAsiaTheme="minorEastAsia"/>
          <w:kern w:val="2"/>
          <w:u w:val="single"/>
        </w:rPr>
      </w:pPr>
      <w:r>
        <w:rPr>
          <w:rFonts w:hint="eastAsia" w:cs="仿宋" w:asciiTheme="minorEastAsia" w:hAnsiTheme="minorEastAsia" w:eastAsiaTheme="minorEastAsia"/>
        </w:rPr>
        <w:t>1.采购项目名称：</w:t>
      </w:r>
      <w:r>
        <w:rPr>
          <w:rFonts w:hint="eastAsia" w:cs="仿宋" w:asciiTheme="minorEastAsia" w:hAnsiTheme="minorEastAsia" w:eastAsiaTheme="minorEastAsia"/>
          <w:kern w:val="2"/>
          <w:u w:val="single"/>
        </w:rPr>
        <w:t>岳阳城陵矶新港有限公司远控系统网安设备采购采购合同</w:t>
      </w:r>
    </w:p>
    <w:p>
      <w:pPr>
        <w:pStyle w:val="2"/>
        <w:ind w:left="420" w:firstLine="0"/>
        <w:rPr>
          <w:rFonts w:cs="仿宋" w:asciiTheme="minorEastAsia" w:hAnsiTheme="minorEastAsia" w:eastAsiaTheme="minorEastAsia"/>
          <w:snapToGrid/>
          <w:kern w:val="2"/>
          <w:szCs w:val="24"/>
        </w:rPr>
      </w:pPr>
      <w:r>
        <w:rPr>
          <w:rFonts w:hint="eastAsia" w:cs="仿宋" w:asciiTheme="minorEastAsia" w:hAnsiTheme="minorEastAsia" w:eastAsiaTheme="minorEastAsia"/>
          <w:snapToGrid/>
          <w:kern w:val="2"/>
          <w:szCs w:val="24"/>
        </w:rPr>
        <w:t>2.项目地点：</w:t>
      </w:r>
      <w:r>
        <w:rPr>
          <w:rFonts w:hint="eastAsia" w:cs="仿宋" w:asciiTheme="minorEastAsia" w:hAnsiTheme="minorEastAsia" w:eastAsiaTheme="minorEastAsia"/>
          <w:snapToGrid/>
          <w:kern w:val="2"/>
          <w:szCs w:val="24"/>
          <w:u w:val="single"/>
        </w:rPr>
        <w:t>岳阳城陵矶新港有限公司</w:t>
      </w:r>
    </w:p>
    <w:p>
      <w:pPr>
        <w:pStyle w:val="2"/>
        <w:rPr>
          <w:rFonts w:cs="仿宋" w:asciiTheme="minorEastAsia" w:hAnsiTheme="minorEastAsia" w:eastAsiaTheme="minorEastAsia"/>
          <w:snapToGrid/>
          <w:kern w:val="2"/>
          <w:szCs w:val="24"/>
          <w:u w:val="single"/>
        </w:rPr>
      </w:pPr>
      <w:r>
        <w:rPr>
          <w:rFonts w:hint="eastAsia" w:cs="仿宋" w:asciiTheme="minorEastAsia" w:hAnsiTheme="minorEastAsia" w:eastAsiaTheme="minorEastAsia"/>
        </w:rPr>
        <w:t>3.项目内容：</w:t>
      </w:r>
      <w:r>
        <w:rPr>
          <w:rFonts w:hint="eastAsia" w:cs="仿宋" w:asciiTheme="minorEastAsia" w:hAnsiTheme="minorEastAsia" w:eastAsiaTheme="minorEastAsia"/>
          <w:snapToGrid/>
          <w:kern w:val="2"/>
          <w:szCs w:val="24"/>
          <w:u w:val="single"/>
        </w:rPr>
        <w:t>设备及软件供应、安装及调试等</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二、项目期限</w:t>
      </w:r>
    </w:p>
    <w:p>
      <w:pPr>
        <w:snapToGrid w:val="0"/>
        <w:spacing w:line="360" w:lineRule="auto"/>
        <w:ind w:firstLine="480" w:firstLineChars="200"/>
        <w:rPr>
          <w:rFonts w:ascii="宋体" w:hAnsi="宋体" w:cs="宋体"/>
          <w:sz w:val="24"/>
        </w:rPr>
      </w:pPr>
      <w:r>
        <w:rPr>
          <w:rFonts w:hint="eastAsia" w:cs="仿宋" w:asciiTheme="minorEastAsia" w:hAnsiTheme="minorEastAsia" w:eastAsiaTheme="minorEastAsia"/>
          <w:sz w:val="24"/>
        </w:rPr>
        <w:t>本合同总工期7个工作日，</w:t>
      </w:r>
      <w:r>
        <w:rPr>
          <w:rFonts w:hint="eastAsia" w:ascii="宋体" w:hAnsi="宋体" w:cs="宋体"/>
          <w:sz w:val="24"/>
        </w:rPr>
        <w:t>具体开工日期以甲方通知为准，在施工过程中，如遇下列情况，可顺延工期,顺延期限，应由双方协商。</w:t>
      </w:r>
    </w:p>
    <w:p>
      <w:pPr>
        <w:numPr>
          <w:ilvl w:val="0"/>
          <w:numId w:val="3"/>
        </w:numPr>
        <w:snapToGrid w:val="0"/>
        <w:spacing w:line="360" w:lineRule="auto"/>
        <w:ind w:firstLine="480" w:firstLineChars="200"/>
        <w:rPr>
          <w:rFonts w:ascii="宋体" w:hAnsi="宋体" w:cs="宋体"/>
          <w:sz w:val="24"/>
        </w:rPr>
      </w:pPr>
      <w:r>
        <w:rPr>
          <w:rFonts w:hint="eastAsia" w:ascii="宋体" w:hAnsi="宋体" w:cs="宋体"/>
          <w:sz w:val="24"/>
        </w:rPr>
        <w:t>由于人力不可抗拒的灾害，而被迫停工。</w:t>
      </w:r>
    </w:p>
    <w:p>
      <w:pPr>
        <w:pStyle w:val="3"/>
        <w:numPr>
          <w:ilvl w:val="0"/>
          <w:numId w:val="3"/>
        </w:numPr>
        <w:spacing w:line="360" w:lineRule="auto"/>
        <w:ind w:firstLine="480" w:firstLineChars="200"/>
        <w:rPr>
          <w:rFonts w:ascii="宋体" w:hAnsi="宋体" w:cs="宋体"/>
          <w:sz w:val="24"/>
        </w:rPr>
      </w:pPr>
      <w:r>
        <w:rPr>
          <w:rFonts w:hint="eastAsia" w:ascii="宋体" w:hAnsi="宋体" w:cs="宋体"/>
          <w:sz w:val="24"/>
        </w:rPr>
        <w:t>因甲方变更计划或变更施工图，或因特殊外来因素干扰，而不能继续施工。</w:t>
      </w:r>
    </w:p>
    <w:p>
      <w:pPr>
        <w:pStyle w:val="3"/>
        <w:spacing w:after="0" w:line="360" w:lineRule="auto"/>
        <w:ind w:firstLine="480" w:firstLineChars="200"/>
        <w:rPr>
          <w:rFonts w:cs="仿宋" w:asciiTheme="minorEastAsia" w:hAnsiTheme="minorEastAsia" w:eastAsiaTheme="minorEastAsia"/>
          <w:b/>
          <w:bCs/>
          <w:sz w:val="32"/>
          <w:szCs w:val="32"/>
        </w:rPr>
      </w:pPr>
      <w:r>
        <w:rPr>
          <w:rFonts w:hint="eastAsia" w:ascii="宋体" w:hAnsi="宋体" w:cs="宋体"/>
          <w:bCs/>
          <w:sz w:val="24"/>
        </w:rPr>
        <w:t>3、其他非乙方原因（如停电停水、雨水天气等）影响乙方施工进度。</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三、合同金额</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本工程合同暂定总价人民币为   元（大写：   ），税率为   ，合同总价是指双方认可的《询价响应书》中“工作量清单”所含材料以及安装、安全、搬运等乙方履行本合同义务的所有费用。由于可能涉及一些隐蔽工程，非清单上的材料以及相关费用，以现场签证的形式双方认可，签证费用以甲方聘请第三方结算评审机构评审费用为准。否则，乙方不得要求甲方支付非经甲方认可的其他费用。</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四、付款方式</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按项目进度支付采购货款，合同签订后预付合同总价的30%（在乙方开具收款收据的5天之内），项目经甲方竣工验收合格后，乙方开具增值税全额发票后甲方在一个月内支付67%验收款，余3%质保金质保期满后十天内无息支付。质保期</w:t>
      </w:r>
      <w:r>
        <w:rPr>
          <w:rFonts w:hint="eastAsia" w:ascii="宋体" w:hAnsi="宋体" w:cs="宋体"/>
          <w:color w:val="000000" w:themeColor="text1"/>
          <w:kern w:val="0"/>
          <w:sz w:val="24"/>
          <w14:textFill>
            <w14:solidFill>
              <w14:schemeClr w14:val="tx1"/>
            </w14:solidFill>
          </w14:textFill>
        </w:rPr>
        <w:t>硬件叄年，软件壹年</w:t>
      </w:r>
      <w:r>
        <w:rPr>
          <w:rFonts w:hint="eastAsia" w:cs="仿宋" w:asciiTheme="minorEastAsia" w:hAnsiTheme="minorEastAsia" w:eastAsiaTheme="minorEastAsia"/>
          <w:sz w:val="24"/>
        </w:rPr>
        <w:t>，从甲方验收合格之日起算。</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2、付款方式含承兑汇票（承兑汇票金额不超过50%）。</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3、甲方付款前，乙方应当开具相应金额的增值税专用发票（工程预付款除外），否则，甲方有权顺延付款。</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五、物资试验与检验</w:t>
      </w:r>
    </w:p>
    <w:p>
      <w:pPr>
        <w:snapToGrid w:val="0"/>
        <w:spacing w:line="360" w:lineRule="auto"/>
        <w:ind w:firstLine="600"/>
        <w:rPr>
          <w:rFonts w:ascii="宋体" w:hAnsi="宋体" w:cs="宋体"/>
          <w:sz w:val="24"/>
        </w:rPr>
      </w:pPr>
      <w:r>
        <w:rPr>
          <w:rFonts w:hint="eastAsia" w:ascii="宋体" w:hAnsi="宋体" w:cs="宋体"/>
          <w:sz w:val="24"/>
        </w:rPr>
        <w:t>本次采购为包工包料工程，全部施工材料及设备均由乙方采购供应到现场或指定施工地点。乙方采购施工材料应符合国家标准，有合格证明的材料，在进场时必须由甲方负责验证。如无合格证明，必须经甲方试验检验合格后方准使用，其试验检验费用，应由乙方负担。</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六、工程质量</w:t>
      </w:r>
    </w:p>
    <w:p>
      <w:pPr>
        <w:spacing w:line="360" w:lineRule="auto"/>
        <w:ind w:firstLine="600"/>
        <w:rPr>
          <w:rFonts w:ascii="宋体" w:hAnsi="宋体" w:cs="宋体"/>
          <w:kern w:val="0"/>
          <w:sz w:val="24"/>
        </w:rPr>
      </w:pPr>
      <w:r>
        <w:rPr>
          <w:rFonts w:hint="eastAsia" w:ascii="宋体" w:hAnsi="宋体" w:cs="宋体"/>
          <w:kern w:val="0"/>
          <w:sz w:val="24"/>
        </w:rPr>
        <w:t>本工程质量标准为:必须达到响应文件及国家相关规定的标准，未规定标准的，按国家地方或行业的标准执行。</w:t>
      </w:r>
    </w:p>
    <w:p>
      <w:pPr>
        <w:spacing w:line="360" w:lineRule="auto"/>
        <w:ind w:firstLine="6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竣工后，乙方需向甲方提交完整的工程资料并提交《验收通知单》，并在五个工作日内进行验收。验收过程中发现不符合要求的，需要返工的，甲方向乙方提交《工程验收意见书》。乙方按意见书的整改意见负责无偿修理或返工，并在双方议定的措施和期限内完成。</w:t>
      </w:r>
    </w:p>
    <w:p>
      <w:pPr>
        <w:pStyle w:val="3"/>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本工程质保期硬件叄年，软件壹年，自工程经甲方验收合格之日起。</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七、安全文明施工</w:t>
      </w:r>
    </w:p>
    <w:p>
      <w:pPr>
        <w:pStyle w:val="3"/>
        <w:spacing w:line="360" w:lineRule="auto"/>
        <w:ind w:firstLine="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1、甲方负责提供乙方施工必须的且符合安全要求的场所，对施工人员进行入场前的安全规章制度教育及现场安全技术交底。</w:t>
      </w:r>
    </w:p>
    <w:p>
      <w:pPr>
        <w:tabs>
          <w:tab w:val="left" w:pos="1830"/>
        </w:tabs>
        <w:spacing w:line="360" w:lineRule="auto"/>
        <w:ind w:firstLine="480" w:firstLineChars="200"/>
        <w:rPr>
          <w:rFonts w:ascii="宋体" w:hAnsi="宋体" w:cs="宋体"/>
          <w:sz w:val="24"/>
        </w:rPr>
      </w:pPr>
      <w:r>
        <w:rPr>
          <w:rFonts w:hint="eastAsia" w:ascii="宋体" w:hAnsi="宋体" w:cs="宋体"/>
          <w:sz w:val="24"/>
        </w:rPr>
        <w:t>2、乙方施工作业期间，服从甲方工程技术部门、安全监督管理部门安全生产监管，如发现存在安全隐患时，施工现场甲方管理人员有权对施工中存在施工质量以及安全隐患提出停工整改意见，乙方要及时进行处理，直至消除安全隐患为止。</w:t>
      </w:r>
    </w:p>
    <w:p>
      <w:pPr>
        <w:tabs>
          <w:tab w:val="left" w:pos="1830"/>
        </w:tabs>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3、乙方施工人员施工过程中</w:t>
      </w:r>
      <w:r>
        <w:rPr>
          <w:rFonts w:hint="eastAsia" w:ascii="宋体" w:hAnsi="宋体" w:cs="宋体"/>
          <w:color w:val="000000" w:themeColor="text1"/>
          <w:sz w:val="24"/>
          <w14:textFill>
            <w14:solidFill>
              <w14:schemeClr w14:val="tx1"/>
            </w14:solidFill>
          </w14:textFill>
        </w:rPr>
        <w:t>由于自身或非</w:t>
      </w:r>
      <w:r>
        <w:rPr>
          <w:rFonts w:hint="eastAsia" w:ascii="宋体" w:hAnsi="宋体" w:cs="宋体"/>
          <w:color w:val="000000" w:themeColor="text1"/>
          <w:sz w:val="24"/>
          <w:lang w:val="en-US" w:eastAsia="zh-CN"/>
          <w14:textFill>
            <w14:solidFill>
              <w14:schemeClr w14:val="tx1"/>
            </w14:solidFill>
          </w14:textFill>
        </w:rPr>
        <w:t>甲</w:t>
      </w:r>
      <w:r>
        <w:rPr>
          <w:rFonts w:hint="eastAsia" w:ascii="宋体" w:hAnsi="宋体" w:cs="宋体"/>
          <w:color w:val="000000" w:themeColor="text1"/>
          <w:sz w:val="24"/>
          <w14:textFill>
            <w14:solidFill>
              <w14:schemeClr w14:val="tx1"/>
            </w14:solidFill>
          </w14:textFill>
        </w:rPr>
        <w:t>方原因</w:t>
      </w:r>
      <w:r>
        <w:rPr>
          <w:rFonts w:hint="eastAsia" w:ascii="宋体" w:hAnsi="宋体" w:cs="宋体"/>
          <w:sz w:val="24"/>
        </w:rPr>
        <w:t>发生的安全事故（包括人身伤亡事故</w:t>
      </w:r>
      <w:r>
        <w:rPr>
          <w:rFonts w:hint="eastAsia" w:ascii="宋体" w:hAnsi="宋体" w:cs="宋体"/>
          <w:sz w:val="24"/>
          <w:lang w:eastAsia="zh-CN"/>
        </w:rPr>
        <w:t>、</w:t>
      </w:r>
      <w:r>
        <w:rPr>
          <w:rFonts w:hint="eastAsia" w:ascii="宋体" w:hAnsi="宋体" w:cs="宋体"/>
          <w:sz w:val="24"/>
          <w:lang w:val="en-US" w:eastAsia="zh-CN"/>
        </w:rPr>
        <w:t>财产损失事故</w:t>
      </w:r>
      <w:r>
        <w:rPr>
          <w:rFonts w:hint="eastAsia" w:ascii="宋体" w:hAnsi="宋体" w:cs="宋体"/>
          <w:sz w:val="24"/>
        </w:rPr>
        <w:t>），一切责任及经济损失均由乙方承担，甲方不承担责任及经济损失</w:t>
      </w:r>
      <w:r>
        <w:rPr>
          <w:rFonts w:hint="eastAsia" w:ascii="宋体" w:hAnsi="宋体" w:cs="宋体"/>
          <w:sz w:val="24"/>
          <w:lang w:eastAsia="zh-CN"/>
        </w:rPr>
        <w:t>；</w:t>
      </w:r>
      <w:r>
        <w:rPr>
          <w:rFonts w:hint="eastAsia" w:ascii="宋体" w:hAnsi="宋体" w:cs="宋体"/>
          <w:sz w:val="24"/>
          <w:lang w:val="en-US" w:eastAsia="zh-CN"/>
        </w:rPr>
        <w:t>若因此导致甲方代为垫付或需面临诉讼等的，甲方垫付费用及解决纠纷（包含律师费、差旅费等）所需费用概由乙方承担。</w:t>
      </w:r>
    </w:p>
    <w:p>
      <w:pPr>
        <w:tabs>
          <w:tab w:val="left" w:pos="1830"/>
        </w:tabs>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color w:val="000000" w:themeColor="text1"/>
          <w:sz w:val="24"/>
          <w14:textFill>
            <w14:solidFill>
              <w14:schemeClr w14:val="tx1"/>
            </w14:solidFill>
          </w14:textFill>
        </w:rPr>
        <w:t>乙方应负责为施工场地内其人员、办理工伤保险或人身意外伤害保险，相关保险凭证应提交甲方审核。无论乙方是否办理保险，施工场地内施工人员生命财产（包括乙方雇员突发疾病、伤亡等意外事件导致的责任）和施工设备（包括场地内乙方施工设备和材料等）安全责任由乙方承担。由于乙方原因或乙方雇佣的员工原因导致的任何第三方对甲方提出的正常合理诉讼、索赔、或政府有关部门对甲方进行行政处罚的，甲方由此遭受的直接</w:t>
      </w:r>
      <w:r>
        <w:rPr>
          <w:rFonts w:hint="eastAsia" w:ascii="宋体" w:hAnsi="宋体" w:cs="宋体"/>
          <w:sz w:val="24"/>
        </w:rPr>
        <w:t>损失由乙方承担，乙方并应向甲方支付相当于合同总价的5%作为违约金。</w:t>
      </w:r>
    </w:p>
    <w:p>
      <w:pPr>
        <w:pStyle w:val="3"/>
        <w:spacing w:line="360" w:lineRule="auto"/>
        <w:ind w:firstLine="600"/>
        <w:rPr>
          <w:rFonts w:ascii="宋体" w:hAnsi="宋体" w:cs="宋体"/>
          <w:sz w:val="24"/>
        </w:rPr>
      </w:pPr>
      <w:r>
        <w:rPr>
          <w:rFonts w:hint="eastAsia" w:ascii="宋体" w:hAnsi="宋体" w:cs="宋体"/>
          <w:sz w:val="24"/>
        </w:rPr>
        <w:t>5、乙方如需动火必须经过甲方出具的动火令。</w:t>
      </w:r>
    </w:p>
    <w:p>
      <w:pPr>
        <w:pStyle w:val="3"/>
        <w:spacing w:line="360" w:lineRule="auto"/>
        <w:ind w:firstLine="600"/>
        <w:rPr>
          <w:rFonts w:ascii="宋体" w:hAnsi="宋体" w:cs="宋体"/>
          <w:sz w:val="24"/>
        </w:rPr>
      </w:pPr>
      <w:r>
        <w:rPr>
          <w:rFonts w:hint="eastAsia" w:ascii="宋体" w:hAnsi="宋体" w:cs="宋体"/>
          <w:sz w:val="24"/>
        </w:rPr>
        <w:t>6、乙方签订本协议的同时需与甲方签订安全责任书。</w:t>
      </w:r>
    </w:p>
    <w:p>
      <w:pPr>
        <w:pStyle w:val="3"/>
        <w:spacing w:line="360" w:lineRule="auto"/>
        <w:ind w:firstLine="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7、乙方负责施工场所的文明卫生和施工所产生的废旧物资的处理，甲方负责配合并开具物资出门条。</w:t>
      </w:r>
    </w:p>
    <w:p>
      <w:pPr>
        <w:pStyle w:val="2"/>
        <w:ind w:firstLine="0"/>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八、违约责任</w:t>
      </w:r>
    </w:p>
    <w:p>
      <w:pPr>
        <w:pStyle w:val="3"/>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甲方未按本合同约定支付乙方工程款，应按欠款部分日万分之五承担违约金、且以及由此造成工期延误的情况不计入工程逾期。</w:t>
      </w:r>
    </w:p>
    <w:p>
      <w:pPr>
        <w:spacing w:line="360" w:lineRule="auto"/>
        <w:ind w:firstLine="480" w:firstLineChars="200"/>
        <w:rPr>
          <w:rFonts w:ascii="宋体" w:hAnsi="宋体" w:cs="宋体"/>
          <w:sz w:val="24"/>
        </w:rPr>
      </w:pPr>
      <w:r>
        <w:rPr>
          <w:rFonts w:hint="eastAsia" w:ascii="宋体" w:hAnsi="宋体" w:cs="宋体"/>
          <w:kern w:val="0"/>
          <w:sz w:val="24"/>
        </w:rPr>
        <w:t>2、乙方因自身原因不能按合同约定时间履行完毕工程竣工等合同约定义务的，每逾期一天，</w:t>
      </w:r>
      <w:r>
        <w:rPr>
          <w:rFonts w:hint="eastAsia" w:ascii="宋体" w:hAnsi="宋体" w:cs="宋体"/>
          <w:sz w:val="24"/>
        </w:rPr>
        <w:t>按合同总额的万分之五计日支付违约金，依次类推。由甲方直接从乙方工程价款中扣除。逾期超过二十天的，甲方有权解除本合同，且有权要求乙方按本合同总价的10%支付违约金。</w:t>
      </w:r>
    </w:p>
    <w:p>
      <w:pPr>
        <w:spacing w:line="360" w:lineRule="auto"/>
        <w:ind w:firstLine="480" w:firstLineChars="200"/>
        <w:rPr>
          <w:rFonts w:ascii="宋体" w:hAnsi="宋体" w:cs="宋体"/>
          <w:kern w:val="0"/>
          <w:sz w:val="24"/>
        </w:rPr>
      </w:pPr>
      <w:r>
        <w:rPr>
          <w:rFonts w:hint="eastAsia" w:ascii="宋体" w:hAnsi="宋体" w:cs="宋体"/>
          <w:kern w:val="0"/>
          <w:sz w:val="24"/>
        </w:rPr>
        <w:t>3、未经甲方书面同意，乙方不得将本合同转包或分包，否则，甲方有权单方解除合同，乙方须向甲方支付相当于合同总价的5%作为违约金，因此造成甲方损失的，乙方还应承担全部赔偿责任。</w:t>
      </w:r>
    </w:p>
    <w:p>
      <w:pPr>
        <w:pStyle w:val="3"/>
        <w:spacing w:line="360" w:lineRule="auto"/>
        <w:ind w:firstLine="480" w:firstLineChars="200"/>
        <w:rPr>
          <w:rFonts w:ascii="宋体" w:hAnsi="宋体" w:cs="宋体"/>
          <w:sz w:val="24"/>
        </w:rPr>
      </w:pPr>
      <w:r>
        <w:rPr>
          <w:rFonts w:hint="eastAsia" w:ascii="宋体" w:hAnsi="宋体" w:cs="宋体"/>
          <w:sz w:val="24"/>
        </w:rPr>
        <w:t>4、乙方必须</w:t>
      </w:r>
      <w:r>
        <w:rPr>
          <w:rFonts w:hint="eastAsia" w:ascii="宋体" w:hAnsi="宋体" w:cs="宋体"/>
          <w:color w:val="000000" w:themeColor="text1"/>
          <w:sz w:val="24"/>
          <w14:textFill>
            <w14:solidFill>
              <w14:schemeClr w14:val="tx1"/>
            </w14:solidFill>
          </w14:textFill>
        </w:rPr>
        <w:t>积极配合</w:t>
      </w:r>
      <w:r>
        <w:rPr>
          <w:rFonts w:hint="eastAsia" w:ascii="宋体" w:hAnsi="宋体" w:cs="宋体"/>
          <w:sz w:val="24"/>
        </w:rPr>
        <w:t>甲方第三方施工，如遇与第三方责任划分不清，互相推诿，经甲方协调无果，甲方有权要求乙方支付相当于合同总价的5%作为违约金。</w:t>
      </w:r>
    </w:p>
    <w:p>
      <w:pPr>
        <w:pStyle w:val="3"/>
        <w:spacing w:line="360" w:lineRule="auto"/>
        <w:ind w:firstLine="480" w:firstLineChars="200"/>
        <w:rPr>
          <w:rFonts w:ascii="宋体" w:hAnsi="宋体" w:cs="宋体"/>
          <w:sz w:val="24"/>
        </w:rPr>
      </w:pPr>
      <w:r>
        <w:rPr>
          <w:rFonts w:hint="eastAsia" w:ascii="宋体" w:hAnsi="宋体" w:cs="宋体"/>
          <w:sz w:val="24"/>
        </w:rPr>
        <w:t>5、质保期内乙方未及时响应(48小时内)甲方的通知对产品进行维修的，甲方有权另行委托第三方进行维修，因此产生的费用由乙方承担；若造成甲方其他损失，乙方还应承担甲方因此遭受的一切损失。</w:t>
      </w:r>
    </w:p>
    <w:p>
      <w:pPr>
        <w:pStyle w:val="3"/>
        <w:spacing w:line="360" w:lineRule="auto"/>
        <w:ind w:firstLine="480" w:firstLineChars="200"/>
        <w:rPr>
          <w:rFonts w:ascii="宋体" w:hAnsi="宋体" w:cs="宋体"/>
          <w:sz w:val="24"/>
        </w:rPr>
      </w:pPr>
      <w:r>
        <w:rPr>
          <w:rFonts w:hint="eastAsia" w:ascii="宋体" w:hAnsi="宋体" w:cs="宋体"/>
          <w:sz w:val="24"/>
        </w:rPr>
        <w:t>6、乙方未经甲方书面同意擅自解除本合同的，乙方应按本合同货款总额10%向甲方支付违约金，并承担甲方因此遭受的一切损失。</w:t>
      </w:r>
    </w:p>
    <w:p>
      <w:pPr>
        <w:pStyle w:val="3"/>
        <w:spacing w:line="360" w:lineRule="auto"/>
        <w:ind w:firstLine="480" w:firstLineChars="200"/>
        <w:rPr>
          <w:rFonts w:ascii="宋体" w:hAnsi="宋体" w:cs="宋体"/>
          <w:sz w:val="24"/>
        </w:rPr>
      </w:pPr>
      <w:r>
        <w:rPr>
          <w:rFonts w:hint="eastAsia" w:ascii="宋体" w:hAnsi="宋体" w:cs="宋体"/>
          <w:sz w:val="24"/>
        </w:rPr>
        <w:t>7、乙方应保证甲方用乙方提供的产品时免受第三方提出侵犯其专利权、商标权或工业设计权等知识产权的起诉；因知识产权瑕疵或权利争议所导致的所有法律责任，均由乙方全部承担；由此给甲方造成损失的，乙方应予赔偿。</w:t>
      </w:r>
    </w:p>
    <w:p>
      <w:pPr>
        <w:pStyle w:val="3"/>
        <w:spacing w:line="360" w:lineRule="auto"/>
        <w:ind w:firstLine="480" w:firstLineChars="200"/>
        <w:rPr>
          <w:rFonts w:hint="eastAsia" w:ascii="宋体" w:hAnsi="宋体" w:cs="宋体"/>
          <w:sz w:val="24"/>
        </w:rPr>
      </w:pPr>
      <w:r>
        <w:rPr>
          <w:rFonts w:hint="eastAsia" w:ascii="宋体" w:hAnsi="宋体" w:cs="宋体"/>
          <w:sz w:val="24"/>
        </w:rPr>
        <w:t>8、因乙方所提供的产品出现质量问题而引起纠纷，则由甲方指定具有资质的相关质检机构进行检测，由此而发生的费用由乙方负责。</w:t>
      </w:r>
    </w:p>
    <w:p>
      <w:pPr>
        <w:pStyle w:val="4"/>
        <w:ind w:left="0" w:leftChars="0" w:firstLine="0" w:firstLineChars="0"/>
        <w:rPr>
          <w:rFonts w:hint="default" w:eastAsia="宋体"/>
          <w:lang w:val="en-US" w:eastAsia="zh-CN"/>
        </w:rPr>
      </w:pPr>
      <w:r>
        <w:rPr>
          <w:rFonts w:hint="eastAsia"/>
          <w:lang w:val="en-US" w:eastAsia="zh-CN"/>
        </w:rPr>
        <w:t xml:space="preserve">   9、乙方违约的，还应承担甲方为维权所支出的合理费用（包含但不限于诉讼费、公告费、保全费、保全保险费、鉴定费、律师费）。</w:t>
      </w:r>
    </w:p>
    <w:p>
      <w:pPr>
        <w:spacing w:line="360" w:lineRule="auto"/>
        <w:rPr>
          <w:rFonts w:ascii="宋体" w:hAnsi="宋体" w:cs="宋体"/>
          <w:kern w:val="0"/>
          <w:sz w:val="24"/>
        </w:rPr>
      </w:pPr>
      <w:r>
        <w:rPr>
          <w:rFonts w:hint="eastAsia" w:ascii="宋体" w:hAnsi="宋体" w:cs="宋体"/>
          <w:kern w:val="0"/>
          <w:sz w:val="24"/>
        </w:rPr>
        <w:t>九、合同的变更、中止与终止</w:t>
      </w:r>
    </w:p>
    <w:p>
      <w:pPr>
        <w:pStyle w:val="2"/>
        <w:rPr>
          <w:rFonts w:hAnsi="宋体" w:cs="宋体"/>
          <w:kern w:val="0"/>
          <w:szCs w:val="24"/>
        </w:rPr>
      </w:pPr>
      <w:r>
        <w:rPr>
          <w:rFonts w:hint="eastAsia" w:hAnsi="宋体" w:cs="宋体"/>
          <w:snapToGrid/>
          <w:kern w:val="2"/>
          <w:szCs w:val="24"/>
        </w:rPr>
        <w:t>1、对合同条款作任何改动或偏离，增加补充条款，均须由甲、乙双方签订书面的补充合同。补充合同与本合同具有同等效力。</w:t>
      </w:r>
    </w:p>
    <w:p>
      <w:pPr>
        <w:pStyle w:val="2"/>
        <w:rPr>
          <w:rFonts w:hAnsi="宋体" w:cs="宋体"/>
          <w:kern w:val="0"/>
          <w:szCs w:val="24"/>
        </w:rPr>
      </w:pPr>
      <w:r>
        <w:rPr>
          <w:rFonts w:hint="eastAsia" w:hAnsi="宋体" w:cs="宋体"/>
          <w:kern w:val="0"/>
          <w:szCs w:val="24"/>
        </w:rPr>
        <w:t>2、合同在履行过程中，因采购计划调整，甲方可以要求中止履行，待计划确定后继续履行。</w:t>
      </w:r>
    </w:p>
    <w:p>
      <w:pPr>
        <w:spacing w:line="360" w:lineRule="auto"/>
        <w:rPr>
          <w:rFonts w:ascii="宋体" w:hAnsi="宋体" w:cs="宋体"/>
          <w:kern w:val="0"/>
          <w:sz w:val="24"/>
        </w:rPr>
      </w:pPr>
      <w:r>
        <w:rPr>
          <w:rFonts w:hint="eastAsia" w:ascii="宋体" w:hAnsi="宋体" w:cs="宋体"/>
          <w:kern w:val="0"/>
          <w:sz w:val="24"/>
        </w:rPr>
        <w:t>十、不可抗力</w:t>
      </w:r>
    </w:p>
    <w:p>
      <w:pPr>
        <w:spacing w:line="360" w:lineRule="auto"/>
        <w:ind w:firstLine="420"/>
        <w:rPr>
          <w:rFonts w:ascii="宋体" w:hAnsi="宋体" w:cs="宋体"/>
          <w:sz w:val="24"/>
        </w:rPr>
      </w:pPr>
      <w:r>
        <w:rPr>
          <w:rFonts w:hint="eastAsia" w:ascii="宋体" w:hAnsi="宋体" w:cs="宋体"/>
          <w:sz w:val="24"/>
        </w:rPr>
        <w:t>由于不可抗力的原因不能履行合同时，应在十日内向对方书面通报不能履行或不能完全履行的理由，在取得有关权威部门的证明以后，方可允许延期履行、部分履行或者不履行合同，并按照公平原则根据情况可部分或全部免予承担违约责任。遭遇不可抗力的一方因未及时通知另一方面给其造成损失的，应予赔偿。一方违约 后才发生不可抗力的，不免除违约的违约责任。</w:t>
      </w:r>
    </w:p>
    <w:p>
      <w:pPr>
        <w:pStyle w:val="2"/>
        <w:numPr>
          <w:ilvl w:val="0"/>
          <w:numId w:val="4"/>
        </w:numPr>
        <w:ind w:firstLine="0"/>
        <w:rPr>
          <w:rFonts w:hAnsi="宋体" w:cs="宋体"/>
          <w:kern w:val="0"/>
          <w:szCs w:val="24"/>
        </w:rPr>
      </w:pPr>
      <w:r>
        <w:rPr>
          <w:rFonts w:hint="eastAsia" w:hAnsi="宋体" w:cs="宋体"/>
          <w:kern w:val="0"/>
          <w:szCs w:val="24"/>
        </w:rPr>
        <w:t>通知</w:t>
      </w:r>
    </w:p>
    <w:p>
      <w:pPr>
        <w:pStyle w:val="2"/>
        <w:numPr>
          <w:ilvl w:val="0"/>
          <w:numId w:val="5"/>
        </w:numPr>
        <w:rPr>
          <w:rFonts w:hAnsi="宋体" w:cs="宋体"/>
          <w:kern w:val="0"/>
          <w:szCs w:val="24"/>
        </w:rPr>
      </w:pPr>
      <w:r>
        <w:rPr>
          <w:rFonts w:hint="eastAsia" w:hAnsi="宋体" w:cs="宋体"/>
          <w:kern w:val="0"/>
          <w:szCs w:val="24"/>
        </w:rPr>
        <w:t>本合同一方给另一方的通知均应采用书面形式，传真或快递送到本合同中规定的对方的地址和办理签收手续。</w:t>
      </w:r>
    </w:p>
    <w:p>
      <w:pPr>
        <w:pStyle w:val="2"/>
        <w:numPr>
          <w:ilvl w:val="0"/>
          <w:numId w:val="5"/>
        </w:numPr>
        <w:rPr>
          <w:rFonts w:hAnsi="宋体" w:cs="宋体"/>
          <w:kern w:val="0"/>
          <w:szCs w:val="24"/>
        </w:rPr>
      </w:pPr>
      <w:r>
        <w:rPr>
          <w:rFonts w:hint="eastAsia" w:hAnsi="宋体" w:cs="宋体"/>
          <w:kern w:val="0"/>
          <w:szCs w:val="24"/>
        </w:rPr>
        <w:t>通知以送到之日或通知书中规定的生效之日起生效，两者中以较迟之日为准。</w:t>
      </w:r>
    </w:p>
    <w:p>
      <w:pPr>
        <w:pStyle w:val="2"/>
        <w:numPr>
          <w:ilvl w:val="0"/>
          <w:numId w:val="4"/>
        </w:numPr>
        <w:ind w:firstLine="0"/>
        <w:rPr>
          <w:rFonts w:hAnsi="宋体" w:cs="宋体"/>
          <w:kern w:val="0"/>
          <w:szCs w:val="24"/>
        </w:rPr>
      </w:pPr>
      <w:r>
        <w:rPr>
          <w:rFonts w:hint="eastAsia" w:hAnsi="宋体" w:cs="宋体"/>
          <w:kern w:val="0"/>
          <w:szCs w:val="24"/>
        </w:rPr>
        <w:t>争议解决方式</w:t>
      </w:r>
    </w:p>
    <w:p>
      <w:pPr>
        <w:spacing w:line="360" w:lineRule="auto"/>
        <w:ind w:firstLine="480" w:firstLineChars="200"/>
        <w:rPr>
          <w:rFonts w:ascii="宋体" w:hAnsi="宋体" w:cs="宋体"/>
          <w:kern w:val="0"/>
          <w:sz w:val="24"/>
        </w:rPr>
      </w:pPr>
      <w:r>
        <w:rPr>
          <w:rFonts w:hint="eastAsia" w:ascii="宋体" w:hAnsi="宋体" w:cs="宋体"/>
          <w:sz w:val="24"/>
        </w:rPr>
        <w:t>因履行本合同发生争议，双方友好协商解决，必要时签订补充协议或合同。如果协商不成，不能签订补充协议</w:t>
      </w:r>
      <w:r>
        <w:rPr>
          <w:rFonts w:hint="eastAsia" w:ascii="宋体" w:hAnsi="宋体" w:cs="宋体"/>
          <w:kern w:val="0"/>
          <w:sz w:val="24"/>
        </w:rPr>
        <w:t>或合同的，任何一方均可向甲方所在地人民法院起诉。</w:t>
      </w:r>
    </w:p>
    <w:p>
      <w:pPr>
        <w:spacing w:line="360" w:lineRule="auto"/>
      </w:pPr>
      <w:r>
        <w:rPr>
          <w:rFonts w:hint="eastAsia"/>
        </w:rPr>
        <w:t>十三、其它</w:t>
      </w:r>
    </w:p>
    <w:p>
      <w:pPr>
        <w:spacing w:line="360" w:lineRule="auto"/>
        <w:ind w:firstLine="420"/>
        <w:rPr>
          <w:rFonts w:ascii="宋体" w:hAnsi="宋体" w:cs="宋体"/>
          <w:sz w:val="24"/>
        </w:rPr>
      </w:pPr>
      <w:r>
        <w:rPr>
          <w:rFonts w:hint="eastAsia" w:ascii="宋体" w:hAnsi="宋体" w:cs="宋体"/>
          <w:sz w:val="24"/>
        </w:rPr>
        <w:t>本合同纸质版一式肆份，甲方执贰份，乙方执贰份，甲乙双方签字盖章后生效。</w:t>
      </w:r>
    </w:p>
    <w:p>
      <w:pPr>
        <w:pStyle w:val="2"/>
        <w:spacing w:line="360" w:lineRule="auto"/>
      </w:pPr>
    </w:p>
    <w:p>
      <w:pPr>
        <w:pStyle w:val="2"/>
        <w:spacing w:line="360" w:lineRule="auto"/>
        <w:ind w:firstLine="0"/>
      </w:pPr>
    </w:p>
    <w:p>
      <w:pPr>
        <w:pStyle w:val="2"/>
        <w:spacing w:line="360" w:lineRule="auto"/>
        <w:ind w:firstLine="0"/>
      </w:pPr>
    </w:p>
    <w:p>
      <w:pPr>
        <w:pStyle w:val="2"/>
        <w:spacing w:line="360" w:lineRule="auto"/>
        <w:ind w:firstLine="0"/>
      </w:pPr>
    </w:p>
    <w:p>
      <w:pPr>
        <w:pStyle w:val="2"/>
        <w:spacing w:line="360" w:lineRule="auto"/>
        <w:ind w:firstLine="0"/>
      </w:pPr>
    </w:p>
    <w:p>
      <w:pPr>
        <w:pStyle w:val="2"/>
        <w:spacing w:line="360" w:lineRule="auto"/>
        <w:ind w:firstLine="0"/>
      </w:pPr>
    </w:p>
    <w:p>
      <w:pPr>
        <w:pStyle w:val="2"/>
        <w:spacing w:line="360" w:lineRule="auto"/>
        <w:ind w:firstLine="0"/>
      </w:pPr>
    </w:p>
    <w:p>
      <w:pPr>
        <w:pStyle w:val="2"/>
        <w:spacing w:line="360" w:lineRule="auto"/>
        <w:ind w:firstLine="0"/>
      </w:pPr>
    </w:p>
    <w:p>
      <w:pPr>
        <w:pStyle w:val="2"/>
        <w:ind w:firstLine="0"/>
        <w:rPr>
          <w:szCs w:val="24"/>
        </w:rPr>
      </w:pPr>
      <w:r>
        <w:rPr>
          <w:rFonts w:hint="eastAsia"/>
          <w:szCs w:val="24"/>
        </w:rPr>
        <w:t>甲方：                                                乙方：</w:t>
      </w:r>
    </w:p>
    <w:p>
      <w:pPr>
        <w:pStyle w:val="2"/>
        <w:ind w:firstLine="0"/>
        <w:rPr>
          <w:szCs w:val="24"/>
        </w:rPr>
      </w:pPr>
    </w:p>
    <w:p>
      <w:pPr>
        <w:pStyle w:val="2"/>
        <w:ind w:firstLine="0"/>
        <w:rPr>
          <w:szCs w:val="24"/>
        </w:rPr>
      </w:pPr>
      <w:r>
        <w:rPr>
          <w:rFonts w:hint="eastAsia"/>
          <w:szCs w:val="24"/>
        </w:rPr>
        <w:t>法定代表人签字：                                      法定代表人签字：</w:t>
      </w:r>
    </w:p>
    <w:p>
      <w:pPr>
        <w:pStyle w:val="2"/>
        <w:ind w:firstLine="0"/>
        <w:rPr>
          <w:szCs w:val="24"/>
        </w:rPr>
      </w:pPr>
    </w:p>
    <w:p>
      <w:pPr>
        <w:pStyle w:val="2"/>
        <w:ind w:firstLine="0"/>
        <w:rPr>
          <w:szCs w:val="24"/>
        </w:rPr>
      </w:pPr>
      <w:r>
        <w:rPr>
          <w:rFonts w:hint="eastAsia"/>
          <w:szCs w:val="24"/>
        </w:rPr>
        <w:t>日期：                                                日期：</w:t>
      </w:r>
    </w:p>
    <w:p>
      <w:pPr>
        <w:widowControl w:val="0"/>
        <w:adjustRightInd w:val="0"/>
        <w:snapToGrid w:val="0"/>
        <w:spacing w:line="360" w:lineRule="auto"/>
        <w:ind w:firstLine="480"/>
        <w:rPr>
          <w:rFonts w:ascii="宋体" w:hAnsi="宋体"/>
          <w:sz w:val="24"/>
        </w:rPr>
      </w:pPr>
    </w:p>
    <w:p>
      <w:pPr>
        <w:widowControl w:val="0"/>
        <w:adjustRightInd w:val="0"/>
        <w:snapToGrid w:val="0"/>
        <w:spacing w:line="360" w:lineRule="auto"/>
        <w:ind w:firstLine="480"/>
        <w:jc w:val="both"/>
        <w:rPr>
          <w:rFonts w:ascii="宋体" w:hAnsi="宋体"/>
          <w:sz w:val="24"/>
        </w:rPr>
      </w:pPr>
    </w:p>
    <w:p>
      <w:pPr>
        <w:widowControl w:val="0"/>
        <w:adjustRightInd w:val="0"/>
        <w:snapToGrid w:val="0"/>
        <w:spacing w:line="360" w:lineRule="auto"/>
        <w:ind w:firstLine="480"/>
        <w:jc w:val="both"/>
        <w:rPr>
          <w:rFonts w:ascii="宋体" w:hAnsi="宋体"/>
          <w:sz w:val="24"/>
        </w:rPr>
      </w:pPr>
    </w:p>
    <w:p>
      <w:pPr>
        <w:pStyle w:val="8"/>
      </w:pPr>
    </w:p>
    <w:p/>
    <w:p>
      <w:pPr>
        <w:numPr>
          <w:ilvl w:val="0"/>
          <w:numId w:val="6"/>
        </w:numPr>
        <w:spacing w:line="360" w:lineRule="auto"/>
        <w:jc w:val="center"/>
        <w:rPr>
          <w:rFonts w:ascii="微软雅黑" w:hAnsi="微软雅黑" w:eastAsia="微软雅黑" w:cs="微软雅黑"/>
          <w:color w:val="110F0F"/>
          <w:w w:val="110"/>
          <w:sz w:val="32"/>
          <w:szCs w:val="32"/>
        </w:rPr>
      </w:pPr>
      <w:r>
        <w:rPr>
          <w:rFonts w:hint="eastAsia" w:ascii="微软雅黑" w:hAnsi="微软雅黑" w:eastAsia="微软雅黑" w:cs="微软雅黑"/>
          <w:color w:val="110F0F"/>
          <w:w w:val="110"/>
          <w:sz w:val="32"/>
          <w:szCs w:val="32"/>
        </w:rPr>
        <w:t>安全协议</w:t>
      </w:r>
    </w:p>
    <w:p>
      <w:pPr>
        <w:numPr>
          <w:ilvl w:val="255"/>
          <w:numId w:val="0"/>
        </w:numPr>
        <w:spacing w:line="360" w:lineRule="auto"/>
        <w:jc w:val="both"/>
        <w:rPr>
          <w:rFonts w:ascii="黑体" w:hAnsi="黑体" w:eastAsia="黑体"/>
          <w:color w:val="110F0F"/>
          <w:w w:val="110"/>
          <w:sz w:val="10"/>
          <w:szCs w:val="10"/>
        </w:rPr>
      </w:pPr>
    </w:p>
    <w:p>
      <w:pPr>
        <w:widowControl w:val="0"/>
        <w:adjustRightInd w:val="0"/>
        <w:snapToGrid w:val="0"/>
        <w:spacing w:line="360" w:lineRule="auto"/>
        <w:ind w:firstLine="482"/>
        <w:jc w:val="both"/>
        <w:rPr>
          <w:rFonts w:ascii="宋体" w:hAnsi="宋体"/>
          <w:sz w:val="24"/>
        </w:rPr>
      </w:pPr>
      <w:r>
        <w:rPr>
          <w:rFonts w:hint="eastAsia" w:ascii="宋体" w:hAnsi="宋体"/>
          <w:sz w:val="24"/>
        </w:rPr>
        <w:t>为了切实做好安全生产工作，依据《中华人民共和国安全生产法》、《中华人民共和国合同法》以及国家有关安全生产管理的法律、法规、标准，按照“安全第一、预防为主、综合治理”的原则，明确甲乙双方责任，就甲乙双方在本项目中的安全生产事项，经协商一致，签订本协议。</w:t>
      </w:r>
    </w:p>
    <w:p>
      <w:pPr>
        <w:spacing w:line="360" w:lineRule="auto"/>
        <w:ind w:firstLine="480" w:firstLineChars="200"/>
        <w:jc w:val="both"/>
        <w:rPr>
          <w:rFonts w:ascii="宋体" w:hAnsi="宋体"/>
          <w:sz w:val="24"/>
        </w:rPr>
      </w:pPr>
      <w:r>
        <w:rPr>
          <w:rFonts w:hint="eastAsia" w:ascii="宋体" w:hAnsi="宋体"/>
          <w:sz w:val="24"/>
        </w:rPr>
        <w:t>第一条：项目名称：岳阳城陵矶新港有限公司远控系统网安设备采购项目</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第二条：本协议内容只涉及甲乙双方在本项目中关于安全生产的权利和责任。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第三条：甲方的权利：</w:t>
      </w:r>
    </w:p>
    <w:p>
      <w:pPr>
        <w:widowControl w:val="0"/>
        <w:adjustRightInd w:val="0"/>
        <w:snapToGrid w:val="0"/>
        <w:spacing w:line="360" w:lineRule="auto"/>
        <w:ind w:firstLine="482"/>
        <w:jc w:val="both"/>
        <w:rPr>
          <w:rFonts w:ascii="宋体" w:hAnsi="宋体"/>
          <w:sz w:val="24"/>
        </w:rPr>
      </w:pPr>
      <w:r>
        <w:rPr>
          <w:rFonts w:hint="eastAsia" w:ascii="宋体" w:hAnsi="宋体"/>
          <w:sz w:val="24"/>
        </w:rPr>
        <w:t>（一）有权要求乙方建立安全组织机构或指定专人负责作业现场安全监督检查。严格执行安全生产法律、法规、条例、标准，遵守甲方的安全生产规章制度等。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（二）有权按规定对乙方安全业绩、资质进行审查，对乙方针对作业项目制定的职业健康安全、环境项目进行审查并备案。</w:t>
      </w:r>
    </w:p>
    <w:p>
      <w:pPr>
        <w:widowControl w:val="0"/>
        <w:adjustRightInd w:val="0"/>
        <w:snapToGrid w:val="0"/>
        <w:spacing w:line="360" w:lineRule="auto"/>
        <w:ind w:firstLine="482"/>
        <w:jc w:val="both"/>
        <w:rPr>
          <w:rFonts w:ascii="宋体" w:hAnsi="宋体"/>
          <w:sz w:val="24"/>
        </w:rPr>
      </w:pPr>
      <w:r>
        <w:rPr>
          <w:rFonts w:hint="eastAsia" w:ascii="宋体" w:hAnsi="宋体"/>
          <w:sz w:val="24"/>
        </w:rPr>
        <w:t>（三）有权要求乙方在项目施工过程中保护好施工区域内甲方的安全生产设施、设备和器材。</w:t>
      </w:r>
    </w:p>
    <w:p>
      <w:pPr>
        <w:widowControl w:val="0"/>
        <w:adjustRightInd w:val="0"/>
        <w:snapToGrid w:val="0"/>
        <w:spacing w:line="360" w:lineRule="auto"/>
        <w:ind w:firstLine="482"/>
        <w:jc w:val="both"/>
        <w:rPr>
          <w:rFonts w:ascii="宋体" w:hAnsi="宋体"/>
          <w:sz w:val="24"/>
        </w:rPr>
      </w:pPr>
      <w:r>
        <w:rPr>
          <w:rFonts w:hint="eastAsia" w:ascii="宋体" w:hAnsi="宋体"/>
          <w:sz w:val="24"/>
        </w:rPr>
        <w:t>（四）有权要求乙方在进入甲方现场作业前所有作业人员接受甲方的安全培训与教育。</w:t>
      </w:r>
    </w:p>
    <w:p>
      <w:pPr>
        <w:widowControl w:val="0"/>
        <w:adjustRightInd w:val="0"/>
        <w:snapToGrid w:val="0"/>
        <w:spacing w:line="360" w:lineRule="auto"/>
        <w:ind w:firstLine="482"/>
        <w:jc w:val="both"/>
        <w:rPr>
          <w:rFonts w:ascii="宋体" w:hAnsi="宋体"/>
          <w:sz w:val="24"/>
        </w:rPr>
      </w:pPr>
      <w:r>
        <w:rPr>
          <w:rFonts w:hint="eastAsia" w:ascii="宋体" w:hAnsi="宋体"/>
          <w:sz w:val="24"/>
        </w:rPr>
        <w:t>（五）有权对乙方的作业现场的安全作业情况进行监督检查，有权对乙方不符合安全生产要求的行为进行制止、纠正、处罚、停止作业、直至清退出场。</w:t>
      </w:r>
    </w:p>
    <w:p>
      <w:pPr>
        <w:widowControl w:val="0"/>
        <w:adjustRightInd w:val="0"/>
        <w:snapToGrid w:val="0"/>
        <w:spacing w:line="360" w:lineRule="auto"/>
        <w:ind w:firstLine="482"/>
        <w:jc w:val="both"/>
        <w:rPr>
          <w:rFonts w:ascii="宋体" w:hAnsi="宋体"/>
          <w:sz w:val="24"/>
        </w:rPr>
      </w:pPr>
      <w:r>
        <w:rPr>
          <w:rFonts w:hint="eastAsia" w:ascii="宋体" w:hAnsi="宋体"/>
          <w:sz w:val="24"/>
        </w:rPr>
        <w:t>（六）有权要求乙方所有作业人员必须交纳工伤保险和意外伤害保险。</w:t>
      </w:r>
    </w:p>
    <w:p>
      <w:pPr>
        <w:widowControl w:val="0"/>
        <w:adjustRightInd w:val="0"/>
        <w:snapToGrid w:val="0"/>
        <w:spacing w:line="360" w:lineRule="auto"/>
        <w:ind w:firstLine="482"/>
        <w:jc w:val="both"/>
        <w:rPr>
          <w:rFonts w:ascii="宋体" w:hAnsi="宋体"/>
          <w:sz w:val="24"/>
        </w:rPr>
      </w:pPr>
      <w:r>
        <w:rPr>
          <w:rFonts w:hint="eastAsia" w:ascii="宋体" w:hAnsi="宋体"/>
          <w:sz w:val="24"/>
        </w:rPr>
        <w:t>（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的调查。</w:t>
      </w:r>
    </w:p>
    <w:p>
      <w:pPr>
        <w:widowControl w:val="0"/>
        <w:adjustRightInd w:val="0"/>
        <w:snapToGrid w:val="0"/>
        <w:spacing w:line="360" w:lineRule="auto"/>
        <w:ind w:firstLine="482"/>
        <w:jc w:val="both"/>
        <w:rPr>
          <w:rFonts w:ascii="宋体" w:hAnsi="宋体"/>
          <w:sz w:val="24"/>
        </w:rPr>
      </w:pPr>
      <w:r>
        <w:rPr>
          <w:rFonts w:hint="eastAsia" w:ascii="宋体" w:hAnsi="宋体"/>
          <w:sz w:val="24"/>
        </w:rPr>
        <w:t>第四条　甲方的责任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（一）认真贯彻落实国家有关法律、法规、标准及甲方公司安全生产规章制度。</w:t>
      </w:r>
    </w:p>
    <w:p>
      <w:pPr>
        <w:widowControl w:val="0"/>
        <w:adjustRightInd w:val="0"/>
        <w:snapToGrid w:val="0"/>
        <w:spacing w:line="360" w:lineRule="auto"/>
        <w:ind w:firstLine="482"/>
        <w:jc w:val="both"/>
        <w:rPr>
          <w:rFonts w:ascii="宋体" w:hAnsi="宋体"/>
          <w:sz w:val="24"/>
        </w:rPr>
      </w:pPr>
      <w:r>
        <w:rPr>
          <w:rFonts w:hint="eastAsia" w:ascii="宋体" w:hAnsi="宋体"/>
          <w:sz w:val="24"/>
        </w:rPr>
        <w:t>（二）向乙方明确作业区（甲方港内）的范围、危险源及安全技术交底，并要有书面记录。</w:t>
      </w:r>
    </w:p>
    <w:p>
      <w:pPr>
        <w:widowControl w:val="0"/>
        <w:adjustRightInd w:val="0"/>
        <w:snapToGrid w:val="0"/>
        <w:spacing w:line="360" w:lineRule="auto"/>
        <w:ind w:firstLine="482"/>
        <w:jc w:val="both"/>
        <w:rPr>
          <w:rFonts w:ascii="宋体" w:hAnsi="宋体"/>
          <w:sz w:val="24"/>
        </w:rPr>
      </w:pPr>
      <w:r>
        <w:rPr>
          <w:rFonts w:hint="eastAsia" w:ascii="宋体" w:hAnsi="宋体"/>
          <w:sz w:val="24"/>
        </w:rPr>
        <w:t>（三）在甲方港内为乙方提供项目合同中规定的安全作业条件。</w:t>
      </w:r>
    </w:p>
    <w:p>
      <w:pPr>
        <w:widowControl w:val="0"/>
        <w:adjustRightInd w:val="0"/>
        <w:snapToGrid w:val="0"/>
        <w:spacing w:line="360" w:lineRule="auto"/>
        <w:ind w:firstLine="482"/>
        <w:jc w:val="both"/>
        <w:rPr>
          <w:rFonts w:ascii="宋体" w:hAnsi="宋体"/>
          <w:sz w:val="24"/>
        </w:rPr>
      </w:pPr>
      <w:r>
        <w:rPr>
          <w:rFonts w:hint="eastAsia" w:ascii="宋体" w:hAnsi="宋体"/>
          <w:sz w:val="24"/>
        </w:rPr>
        <w:t>（四）在甲方港内发生事故时，积极协助抢险，防止事故扩大，并按照甲方公司有关规定进行报告。</w:t>
      </w:r>
    </w:p>
    <w:p>
      <w:pPr>
        <w:widowControl w:val="0"/>
        <w:adjustRightInd w:val="0"/>
        <w:snapToGrid w:val="0"/>
        <w:spacing w:line="360" w:lineRule="auto"/>
        <w:ind w:firstLine="482"/>
        <w:jc w:val="both"/>
        <w:rPr>
          <w:rFonts w:ascii="宋体" w:hAnsi="宋体"/>
          <w:sz w:val="24"/>
        </w:rPr>
      </w:pPr>
      <w:r>
        <w:rPr>
          <w:rFonts w:hint="eastAsia" w:ascii="宋体" w:hAnsi="宋体"/>
          <w:sz w:val="24"/>
        </w:rPr>
        <w:t>第五条　乙方的权利</w:t>
      </w:r>
    </w:p>
    <w:p>
      <w:pPr>
        <w:widowControl w:val="0"/>
        <w:adjustRightInd w:val="0"/>
        <w:snapToGrid w:val="0"/>
        <w:spacing w:line="360" w:lineRule="auto"/>
        <w:ind w:firstLine="482"/>
        <w:jc w:val="both"/>
        <w:rPr>
          <w:rFonts w:ascii="宋体" w:hAnsi="宋体"/>
          <w:sz w:val="24"/>
        </w:rPr>
      </w:pPr>
      <w:r>
        <w:rPr>
          <w:rFonts w:hint="eastAsia" w:ascii="宋体" w:hAnsi="宋体"/>
          <w:sz w:val="24"/>
        </w:rPr>
        <w:t>（一）有权对甲方的安全工作提出合理化建议和改进意见。</w:t>
      </w:r>
    </w:p>
    <w:p>
      <w:pPr>
        <w:widowControl w:val="0"/>
        <w:adjustRightInd w:val="0"/>
        <w:snapToGrid w:val="0"/>
        <w:spacing w:line="360" w:lineRule="auto"/>
        <w:ind w:firstLine="482"/>
        <w:jc w:val="both"/>
        <w:rPr>
          <w:rFonts w:ascii="宋体" w:hAnsi="宋体"/>
          <w:sz w:val="24"/>
        </w:rPr>
      </w:pPr>
      <w:r>
        <w:rPr>
          <w:rFonts w:hint="eastAsia" w:ascii="宋体" w:hAnsi="宋体"/>
          <w:sz w:val="24"/>
        </w:rPr>
        <w:t>（二）日常作业中，若甲方违章指挥、强令乙方冒险作业，有权拒绝执行。</w:t>
      </w:r>
    </w:p>
    <w:p>
      <w:pPr>
        <w:widowControl w:val="0"/>
        <w:adjustRightInd w:val="0"/>
        <w:snapToGrid w:val="0"/>
        <w:spacing w:line="360" w:lineRule="auto"/>
        <w:ind w:firstLine="482"/>
        <w:jc w:val="both"/>
        <w:rPr>
          <w:rFonts w:ascii="宋体" w:hAnsi="宋体"/>
          <w:sz w:val="24"/>
        </w:rPr>
      </w:pPr>
      <w:r>
        <w:rPr>
          <w:rFonts w:hint="eastAsia" w:ascii="宋体" w:hAnsi="宋体"/>
          <w:sz w:val="24"/>
        </w:rPr>
        <w:t>（三）有权要求在甲方港内提供符合安全作业的工艺条件和环境。</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（四）发生严重危及乙方生命安全的紧急情况时，乙方有权采取必要的避险措施。</w:t>
      </w:r>
    </w:p>
    <w:p>
      <w:pPr>
        <w:widowControl w:val="0"/>
        <w:adjustRightInd w:val="0"/>
        <w:snapToGrid w:val="0"/>
        <w:spacing w:line="360" w:lineRule="auto"/>
        <w:ind w:firstLine="482"/>
        <w:jc w:val="both"/>
        <w:rPr>
          <w:rFonts w:ascii="宋体" w:hAnsi="宋体"/>
          <w:sz w:val="24"/>
        </w:rPr>
      </w:pPr>
      <w:r>
        <w:rPr>
          <w:rFonts w:hint="eastAsia" w:ascii="宋体" w:hAnsi="宋体"/>
          <w:sz w:val="24"/>
        </w:rPr>
        <w:t>第六条　乙方的责任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（一）乙方是本项目的安全生产责任主体，对本项目的安全生产工作全面负责。</w:t>
      </w:r>
    </w:p>
    <w:p>
      <w:pPr>
        <w:widowControl w:val="0"/>
        <w:adjustRightInd w:val="0"/>
        <w:snapToGrid w:val="0"/>
        <w:spacing w:line="360" w:lineRule="auto"/>
        <w:ind w:firstLine="482"/>
        <w:jc w:val="both"/>
        <w:rPr>
          <w:rFonts w:ascii="宋体" w:hAnsi="宋体"/>
          <w:sz w:val="24"/>
        </w:rPr>
      </w:pPr>
      <w:r>
        <w:rPr>
          <w:rFonts w:hint="eastAsia" w:ascii="宋体" w:hAnsi="宋体"/>
          <w:sz w:val="24"/>
        </w:rPr>
        <w:t>（二）健全安全组织机构，建立安全生产责任制，制定健全的安全生产规章制度，制定生产安全事故应急求援预案，配备必要的安全生产管理人员和劳动保护用品，严格执行甲方相关的规章制度。</w:t>
      </w:r>
    </w:p>
    <w:p>
      <w:pPr>
        <w:widowControl w:val="0"/>
        <w:adjustRightInd w:val="0"/>
        <w:snapToGrid w:val="0"/>
        <w:spacing w:line="360" w:lineRule="auto"/>
        <w:ind w:firstLine="482"/>
        <w:jc w:val="both"/>
        <w:rPr>
          <w:rFonts w:ascii="宋体" w:hAnsi="宋体"/>
          <w:sz w:val="24"/>
        </w:rPr>
      </w:pPr>
      <w:r>
        <w:rPr>
          <w:rFonts w:hint="eastAsia" w:ascii="宋体" w:hAnsi="宋体"/>
          <w:sz w:val="24"/>
        </w:rPr>
        <w:t>（三）应对作业人员进行作业前安全教育培训，使其具备相应的安全意识和安全技能；特种作业人员应具有相应的资格证书。</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（四）不得使用不符合国家、行业标准和甲方规定的原材料、设备、装置、防护用品、器材、安全检测仪器等。所使用的特种设备，必须经具有专业资质的检验检测机构检测。经检测不合格的，不得继续使用。</w:t>
      </w:r>
    </w:p>
    <w:p>
      <w:pPr>
        <w:widowControl w:val="0"/>
        <w:adjustRightInd w:val="0"/>
        <w:snapToGrid w:val="0"/>
        <w:spacing w:line="360" w:lineRule="auto"/>
        <w:ind w:firstLine="482"/>
        <w:jc w:val="both"/>
        <w:rPr>
          <w:rFonts w:ascii="宋体" w:hAnsi="宋体"/>
          <w:sz w:val="24"/>
        </w:rPr>
      </w:pPr>
      <w:r>
        <w:rPr>
          <w:rFonts w:hint="eastAsia" w:ascii="宋体" w:hAnsi="宋体"/>
          <w:sz w:val="24"/>
        </w:rPr>
        <w:t>（五）指定专人负责现场安全监督检查工作，认真开展安全检查，发现作业过程中人的不安全行为及事故安全隐患，应采取有效措施积极处理。</w:t>
      </w:r>
    </w:p>
    <w:p>
      <w:pPr>
        <w:widowControl w:val="0"/>
        <w:adjustRightInd w:val="0"/>
        <w:snapToGrid w:val="0"/>
        <w:spacing w:line="360" w:lineRule="auto"/>
        <w:ind w:firstLine="482"/>
        <w:jc w:val="both"/>
        <w:rPr>
          <w:rFonts w:ascii="宋体" w:hAnsi="宋体"/>
          <w:sz w:val="24"/>
        </w:rPr>
      </w:pPr>
      <w:r>
        <w:rPr>
          <w:rFonts w:hint="eastAsia" w:ascii="宋体" w:hAnsi="宋体"/>
          <w:sz w:val="24"/>
        </w:rPr>
        <w:t>（六）乙方有责任对作业区域的安全生产条件进行详细了解。</w:t>
      </w:r>
    </w:p>
    <w:p>
      <w:pPr>
        <w:widowControl w:val="0"/>
        <w:adjustRightInd w:val="0"/>
        <w:snapToGrid w:val="0"/>
        <w:spacing w:line="360" w:lineRule="auto"/>
        <w:ind w:firstLine="482"/>
        <w:jc w:val="both"/>
        <w:rPr>
          <w:rFonts w:ascii="宋体" w:hAnsi="宋体"/>
          <w:sz w:val="24"/>
        </w:rPr>
      </w:pPr>
      <w:r>
        <w:rPr>
          <w:rFonts w:hint="eastAsia" w:ascii="宋体" w:hAnsi="宋体"/>
          <w:sz w:val="24"/>
        </w:rPr>
        <w:t>（七）乙方在作业过程中有属于危及安全生产的关键作业时，应提出切实可行的方案，经甲方同意后，方可实施。</w:t>
      </w:r>
    </w:p>
    <w:p>
      <w:pPr>
        <w:widowControl w:val="0"/>
        <w:adjustRightInd w:val="0"/>
        <w:snapToGrid w:val="0"/>
        <w:spacing w:line="360" w:lineRule="auto"/>
        <w:ind w:firstLine="482"/>
        <w:jc w:val="both"/>
        <w:rPr>
          <w:rFonts w:ascii="宋体" w:hAnsi="宋体"/>
          <w:sz w:val="24"/>
        </w:rPr>
      </w:pPr>
      <w:r>
        <w:rPr>
          <w:rFonts w:hint="eastAsia" w:ascii="宋体" w:hAnsi="宋体"/>
          <w:sz w:val="24"/>
        </w:rPr>
        <w:t>（八）乙方不能将项目转包给第三方。</w:t>
      </w:r>
    </w:p>
    <w:p>
      <w:pPr>
        <w:widowControl w:val="0"/>
        <w:adjustRightInd w:val="0"/>
        <w:snapToGrid w:val="0"/>
        <w:spacing w:line="360" w:lineRule="auto"/>
        <w:ind w:firstLine="482"/>
        <w:jc w:val="both"/>
        <w:rPr>
          <w:rFonts w:ascii="宋体" w:hAnsi="宋体"/>
          <w:sz w:val="24"/>
        </w:rPr>
      </w:pPr>
      <w:r>
        <w:rPr>
          <w:rFonts w:hint="eastAsia" w:ascii="宋体" w:hAnsi="宋体"/>
          <w:sz w:val="24"/>
        </w:rPr>
        <w:t>（九）乙方在甲方港内作业期间只能在甲方规定的路线进出公司，只能在规定的区域内作业，禁止私自进入甲方其它生产区域。</w:t>
      </w:r>
    </w:p>
    <w:p>
      <w:pPr>
        <w:widowControl w:val="0"/>
        <w:adjustRightInd w:val="0"/>
        <w:snapToGrid w:val="0"/>
        <w:spacing w:line="360" w:lineRule="auto"/>
        <w:ind w:firstLine="482"/>
        <w:jc w:val="both"/>
        <w:rPr>
          <w:rFonts w:ascii="宋体" w:hAnsi="宋体"/>
          <w:sz w:val="24"/>
        </w:rPr>
      </w:pPr>
      <w:r>
        <w:rPr>
          <w:rFonts w:hint="eastAsia" w:ascii="宋体" w:hAnsi="宋体"/>
          <w:sz w:val="24"/>
        </w:rPr>
        <w:t>（十）乙方应服从甲方单位的安全管理。</w:t>
      </w:r>
    </w:p>
    <w:p>
      <w:pPr>
        <w:widowControl w:val="0"/>
        <w:adjustRightInd w:val="0"/>
        <w:snapToGrid w:val="0"/>
        <w:spacing w:line="360" w:lineRule="auto"/>
        <w:ind w:firstLine="482"/>
        <w:jc w:val="both"/>
        <w:rPr>
          <w:rFonts w:ascii="宋体" w:hAnsi="宋体"/>
          <w:sz w:val="24"/>
        </w:rPr>
      </w:pPr>
      <w:r>
        <w:rPr>
          <w:rFonts w:hint="eastAsia" w:ascii="宋体" w:hAnsi="宋体"/>
          <w:sz w:val="24"/>
        </w:rPr>
        <w:t>（十一）发生事故时，乙方应积极抢险，避免事故的进一步扩大，并按照国家相关要求报告事故。</w:t>
      </w:r>
    </w:p>
    <w:p>
      <w:pPr>
        <w:widowControl w:val="0"/>
        <w:adjustRightInd w:val="0"/>
        <w:snapToGrid w:val="0"/>
        <w:spacing w:line="360" w:lineRule="auto"/>
        <w:ind w:firstLine="482"/>
        <w:jc w:val="both"/>
        <w:rPr>
          <w:rFonts w:ascii="宋体" w:hAnsi="宋体"/>
          <w:sz w:val="24"/>
        </w:rPr>
      </w:pPr>
      <w:r>
        <w:rPr>
          <w:rFonts w:hint="eastAsia" w:ascii="宋体" w:hAnsi="宋体"/>
          <w:sz w:val="24"/>
        </w:rPr>
        <w:t>（十二）当乙方在甲方港内作业过程中发生安全责任事故时，乙方作为项目的承包单位，对发生的人身伤害、设备损坏等事故承担相应安全责任。由乙方向自己的主管上级部门及当地政府的安全生产监督管理部门、公安部门报告，并自行承担相应的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第七条</w:t>
      </w:r>
      <w:r>
        <w:rPr>
          <w:rFonts w:ascii="宋体" w:hAnsi="宋体"/>
          <w:sz w:val="24"/>
        </w:rPr>
        <w:t xml:space="preserve">  </w:t>
      </w:r>
      <w:r>
        <w:rPr>
          <w:rFonts w:hint="eastAsia" w:ascii="宋体" w:hAnsi="宋体"/>
          <w:sz w:val="24"/>
        </w:rPr>
        <w:t>违约责任及处理</w:t>
      </w:r>
    </w:p>
    <w:p>
      <w:pPr>
        <w:widowControl w:val="0"/>
        <w:adjustRightInd w:val="0"/>
        <w:snapToGrid w:val="0"/>
        <w:spacing w:line="360" w:lineRule="auto"/>
        <w:ind w:firstLine="482"/>
        <w:jc w:val="both"/>
        <w:rPr>
          <w:rFonts w:ascii="宋体" w:hAnsi="宋体"/>
          <w:sz w:val="24"/>
        </w:rPr>
      </w:pPr>
      <w:r>
        <w:rPr>
          <w:rFonts w:hint="eastAsia" w:ascii="宋体" w:hAnsi="宋体"/>
          <w:sz w:val="24"/>
        </w:rPr>
        <w:t>（一）甲乙双方违反本合同要求，未造成事故时，依据相关合同对违约者进行处理（包括但不限于支付违约金、赔偿损失等）。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（二）在甲方港内发生事故时，甲、乙双方有抢险、救灾的责任，所发生的费用由责任方承担。</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（三）发生的事故，应经事故调查确认责任；事故报告和调查应按照国家和甲方有关规定进行。</w:t>
      </w:r>
      <w:r>
        <w:rPr>
          <w:rFonts w:ascii="宋体" w:hAnsi="宋体"/>
          <w:sz w:val="24"/>
        </w:rPr>
        <w:t xml:space="preserve">           </w:t>
      </w:r>
    </w:p>
    <w:p>
      <w:pPr>
        <w:widowControl w:val="0"/>
        <w:adjustRightInd w:val="0"/>
        <w:snapToGrid w:val="0"/>
        <w:spacing w:line="360" w:lineRule="auto"/>
        <w:ind w:firstLine="482"/>
        <w:jc w:val="both"/>
        <w:rPr>
          <w:rFonts w:ascii="宋体" w:hAnsi="宋体"/>
          <w:sz w:val="24"/>
        </w:rPr>
      </w:pPr>
      <w:r>
        <w:rPr>
          <w:rFonts w:hint="eastAsia" w:ascii="宋体" w:hAnsi="宋体"/>
          <w:sz w:val="24"/>
        </w:rPr>
        <w:t>（四）甲方违约造成的事故，甲方承担全部责任，并按规定追究有关人员责任及上报。</w:t>
      </w:r>
    </w:p>
    <w:p>
      <w:pPr>
        <w:widowControl w:val="0"/>
        <w:adjustRightInd w:val="0"/>
        <w:snapToGrid w:val="0"/>
        <w:spacing w:line="360" w:lineRule="auto"/>
        <w:ind w:firstLine="482"/>
        <w:jc w:val="both"/>
        <w:rPr>
          <w:rFonts w:ascii="宋体" w:hAnsi="宋体"/>
          <w:sz w:val="24"/>
        </w:rPr>
      </w:pPr>
      <w:r>
        <w:rPr>
          <w:rFonts w:hint="eastAsia" w:ascii="宋体" w:hAnsi="宋体"/>
          <w:sz w:val="24"/>
        </w:rPr>
        <w:t>（五）乙方违约造成的事故，乙方承担全部责任，并按规定追究有关人员责任并报告甲方。</w:t>
      </w:r>
    </w:p>
    <w:p>
      <w:pPr>
        <w:widowControl w:val="0"/>
        <w:adjustRightInd w:val="0"/>
        <w:snapToGrid w:val="0"/>
        <w:spacing w:line="360" w:lineRule="auto"/>
        <w:ind w:firstLine="482"/>
        <w:jc w:val="both"/>
        <w:rPr>
          <w:rFonts w:ascii="宋体" w:hAnsi="宋体"/>
          <w:sz w:val="24"/>
        </w:rPr>
      </w:pPr>
      <w:r>
        <w:rPr>
          <w:rFonts w:hint="eastAsia" w:ascii="宋体" w:hAnsi="宋体"/>
          <w:sz w:val="24"/>
        </w:rPr>
        <w:t>（六）甲、乙双方共同造成的事故，按双方责任大小承担相应责任，并按规定追究有关人员责任。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（七）对乙方发生事故后弄虚作假、隐瞒不报、迟报或谎报，一经查出，按有关规定从重处罚，情节严重的，甲方有权向当地政府安全生产监督管理部门报告，并取消其进入甲方市场资格。</w:t>
      </w:r>
    </w:p>
    <w:p>
      <w:pPr>
        <w:widowControl w:val="0"/>
        <w:adjustRightInd w:val="0"/>
        <w:snapToGrid w:val="0"/>
        <w:spacing w:line="360" w:lineRule="auto"/>
        <w:ind w:firstLine="482"/>
        <w:jc w:val="both"/>
        <w:rPr>
          <w:rFonts w:ascii="宋体" w:hAnsi="宋体"/>
          <w:sz w:val="24"/>
        </w:rPr>
      </w:pPr>
      <w:r>
        <w:rPr>
          <w:rFonts w:hint="eastAsia" w:ascii="宋体" w:hAnsi="宋体"/>
          <w:sz w:val="24"/>
        </w:rPr>
        <w:t>（八）作业期间，需要办理的有关安全的批文或其它手续，乙方必须办理齐全，否则发生安全事故由乙方承担全部责任。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第八条　由于不可抗力造成合同项目作业事故及生产的损失，当事人双方各自承担相应的损失。</w:t>
      </w:r>
    </w:p>
    <w:p>
      <w:pPr>
        <w:widowControl w:val="0"/>
        <w:adjustRightInd w:val="0"/>
        <w:snapToGrid w:val="0"/>
        <w:spacing w:line="360" w:lineRule="auto"/>
        <w:ind w:firstLine="482"/>
        <w:jc w:val="both"/>
        <w:rPr>
          <w:rFonts w:ascii="宋体" w:hAnsi="宋体"/>
          <w:sz w:val="24"/>
        </w:rPr>
      </w:pPr>
      <w:r>
        <w:rPr>
          <w:rFonts w:hint="eastAsia" w:ascii="宋体" w:hAnsi="宋体"/>
          <w:sz w:val="24"/>
        </w:rPr>
        <w:t>第九条　甲乙双方的作业人员和机具设备的保险，由甲乙双方依据国家相关规定或约定各自承担。</w:t>
      </w:r>
    </w:p>
    <w:p>
      <w:pPr>
        <w:widowControl w:val="0"/>
        <w:adjustRightInd w:val="0"/>
        <w:snapToGrid w:val="0"/>
        <w:spacing w:line="360" w:lineRule="auto"/>
        <w:ind w:firstLine="482"/>
        <w:jc w:val="both"/>
        <w:rPr>
          <w:rFonts w:ascii="宋体" w:hAnsi="宋体"/>
          <w:sz w:val="24"/>
        </w:rPr>
      </w:pPr>
      <w:r>
        <w:rPr>
          <w:rFonts w:hint="eastAsia" w:ascii="宋体" w:hAnsi="宋体"/>
          <w:sz w:val="24"/>
        </w:rPr>
        <w:t>第十条</w:t>
      </w:r>
      <w:r>
        <w:rPr>
          <w:rFonts w:ascii="宋体" w:hAnsi="宋体"/>
          <w:sz w:val="24"/>
        </w:rPr>
        <w:t xml:space="preserve">  本协议履行过程中发生争议纠纷，应通过友好协商方式解决，如协商不成，按双方在项目经济合同中约定的管辖地和纠纷解决的方式执行。</w:t>
      </w:r>
    </w:p>
    <w:p>
      <w:pPr>
        <w:widowControl w:val="0"/>
        <w:adjustRightInd w:val="0"/>
        <w:snapToGrid w:val="0"/>
        <w:spacing w:line="360" w:lineRule="auto"/>
        <w:ind w:firstLine="482"/>
        <w:jc w:val="both"/>
        <w:rPr>
          <w:rFonts w:ascii="宋体" w:hAnsi="宋体"/>
          <w:sz w:val="24"/>
        </w:rPr>
      </w:pPr>
      <w:r>
        <w:rPr>
          <w:rFonts w:hint="eastAsia" w:ascii="宋体" w:hAnsi="宋体"/>
          <w:sz w:val="24"/>
        </w:rPr>
        <w:t>第十一条　本协议是项目经济合同的附件，与项目经济合同具有同等法律效力。本协议与项目经济合同同时生效、终止。</w:t>
      </w:r>
    </w:p>
    <w:p>
      <w:pPr>
        <w:widowControl w:val="0"/>
        <w:adjustRightInd w:val="0"/>
        <w:snapToGrid w:val="0"/>
        <w:spacing w:line="360" w:lineRule="auto"/>
        <w:ind w:firstLine="482"/>
        <w:jc w:val="both"/>
        <w:rPr>
          <w:rFonts w:ascii="宋体" w:hAnsi="宋体"/>
          <w:sz w:val="24"/>
        </w:rPr>
      </w:pPr>
      <w:r>
        <w:rPr>
          <w:rFonts w:hint="eastAsia" w:ascii="宋体" w:hAnsi="宋体"/>
          <w:sz w:val="24"/>
        </w:rPr>
        <w:t>第十二条</w:t>
      </w:r>
      <w:r>
        <w:rPr>
          <w:rFonts w:ascii="宋体" w:hAnsi="宋体"/>
          <w:sz w:val="24"/>
        </w:rPr>
        <w:t xml:space="preserve">  乙方人员进场前安全教育培训人员；乙方作业期间指定现场安全监护人员</w:t>
      </w:r>
      <w:r>
        <w:rPr>
          <w:rFonts w:hint="eastAsia" w:ascii="宋体" w:hAnsi="宋体"/>
          <w:sz w:val="24"/>
        </w:rPr>
        <w:t>。</w:t>
      </w:r>
    </w:p>
    <w:p>
      <w:pPr>
        <w:widowControl w:val="0"/>
        <w:adjustRightInd w:val="0"/>
        <w:snapToGrid w:val="0"/>
        <w:spacing w:line="360" w:lineRule="auto"/>
        <w:ind w:firstLine="482"/>
        <w:jc w:val="both"/>
        <w:rPr>
          <w:rFonts w:ascii="宋体" w:hAnsi="宋体"/>
          <w:sz w:val="24"/>
        </w:rPr>
      </w:pPr>
    </w:p>
    <w:p>
      <w:pPr>
        <w:widowControl w:val="0"/>
        <w:adjustRightInd w:val="0"/>
        <w:snapToGrid w:val="0"/>
        <w:spacing w:line="360" w:lineRule="auto"/>
        <w:ind w:firstLine="482"/>
        <w:jc w:val="both"/>
        <w:rPr>
          <w:rFonts w:ascii="宋体" w:hAnsi="宋体"/>
          <w:sz w:val="24"/>
        </w:rPr>
      </w:pPr>
    </w:p>
    <w:p>
      <w:pPr>
        <w:spacing w:line="360" w:lineRule="auto"/>
        <w:rPr>
          <w:rFonts w:ascii="黑体" w:hAnsi="黑体" w:eastAsia="黑体"/>
          <w:color w:val="110F0F"/>
          <w:w w:val="110"/>
          <w:sz w:val="32"/>
          <w:szCs w:val="32"/>
        </w:rPr>
      </w:pPr>
    </w:p>
    <w:p>
      <w:pPr>
        <w:numPr>
          <w:ilvl w:val="255"/>
          <w:numId w:val="0"/>
        </w:numPr>
        <w:spacing w:line="240" w:lineRule="auto"/>
        <w:rPr>
          <w:rFonts w:ascii="黑体" w:hAnsi="黑体" w:eastAsia="黑体"/>
          <w:color w:val="110F0F"/>
          <w:w w:val="110"/>
          <w:sz w:val="32"/>
          <w:szCs w:val="32"/>
        </w:rPr>
      </w:pPr>
      <w:r>
        <w:rPr>
          <w:rFonts w:hint="eastAsia" w:ascii="黑体" w:hAnsi="黑体" w:eastAsia="黑体"/>
          <w:color w:val="110F0F"/>
          <w:w w:val="110"/>
          <w:sz w:val="32"/>
          <w:szCs w:val="32"/>
        </w:rPr>
        <w:br w:type="page"/>
      </w:r>
    </w:p>
    <w:p>
      <w:pPr>
        <w:widowControl w:val="0"/>
        <w:numPr>
          <w:ilvl w:val="255"/>
          <w:numId w:val="0"/>
        </w:numPr>
        <w:snapToGrid w:val="0"/>
        <w:spacing w:line="360" w:lineRule="auto"/>
        <w:jc w:val="center"/>
        <w:outlineLvl w:val="2"/>
        <w:rPr>
          <w:rFonts w:ascii="微软雅黑" w:hAnsi="微软雅黑" w:eastAsia="微软雅黑" w:cs="微软雅黑"/>
          <w:color w:val="110F0F"/>
          <w:w w:val="110"/>
          <w:sz w:val="32"/>
          <w:szCs w:val="32"/>
        </w:rPr>
      </w:pPr>
      <w:r>
        <w:rPr>
          <w:rFonts w:hint="eastAsia" w:ascii="微软雅黑" w:hAnsi="微软雅黑" w:eastAsia="微软雅黑" w:cs="微软雅黑"/>
          <w:color w:val="110F0F"/>
          <w:w w:val="110"/>
          <w:sz w:val="32"/>
          <w:szCs w:val="32"/>
        </w:rPr>
        <w:t>第三部分 廉政协议</w:t>
      </w:r>
    </w:p>
    <w:p>
      <w:pPr>
        <w:widowControl w:val="0"/>
        <w:numPr>
          <w:ilvl w:val="255"/>
          <w:numId w:val="0"/>
        </w:numPr>
        <w:snapToGrid w:val="0"/>
        <w:spacing w:line="360" w:lineRule="auto"/>
        <w:rPr>
          <w:rFonts w:ascii="黑体" w:hAnsi="黑体" w:eastAsia="黑体"/>
          <w:color w:val="110F0F"/>
          <w:w w:val="110"/>
          <w:sz w:val="4"/>
          <w:szCs w:val="4"/>
        </w:rPr>
      </w:pPr>
    </w:p>
    <w:p>
      <w:pPr>
        <w:widowControl w:val="0"/>
        <w:adjustRightInd w:val="0"/>
        <w:snapToGrid w:val="0"/>
        <w:spacing w:line="360" w:lineRule="auto"/>
        <w:ind w:firstLine="482"/>
        <w:jc w:val="both"/>
        <w:rPr>
          <w:rFonts w:ascii="宋体" w:hAnsi="宋体"/>
          <w:sz w:val="24"/>
        </w:rPr>
      </w:pPr>
      <w:r>
        <w:rPr>
          <w:rFonts w:hint="eastAsia" w:ascii="宋体" w:hAnsi="宋体"/>
          <w:sz w:val="24"/>
        </w:rPr>
        <w:t>根据政府采购相关规定以及有关工程建设、廉政建设的规定，为做好工程建设中的党风廉政建设，保证工程建设高效优质、建设资金的安全和投资效益，以及双方合作的公平和公正，预防甲方利益受到双方经济合同之外各种不正当行为的损害，甲、乙双方经过共同协商，签订本廉政协议，以资共同遵守。</w:t>
      </w:r>
    </w:p>
    <w:p>
      <w:pPr>
        <w:widowControl w:val="0"/>
        <w:adjustRightInd w:val="0"/>
        <w:snapToGrid w:val="0"/>
        <w:spacing w:line="360" w:lineRule="auto"/>
        <w:ind w:firstLine="482"/>
        <w:jc w:val="both"/>
        <w:rPr>
          <w:rFonts w:ascii="宋体" w:hAnsi="宋体"/>
          <w:sz w:val="24"/>
        </w:rPr>
      </w:pPr>
      <w:bookmarkStart w:id="15" w:name="_Toc21390"/>
      <w:bookmarkStart w:id="16" w:name="_Toc30686"/>
      <w:bookmarkStart w:id="17" w:name="_Toc282076315"/>
      <w:r>
        <w:rPr>
          <w:rFonts w:hint="eastAsia" w:ascii="宋体" w:hAnsi="宋体"/>
          <w:sz w:val="24"/>
        </w:rPr>
        <w:t>第一条  甲乙双方的责任</w:t>
      </w:r>
      <w:bookmarkEnd w:id="15"/>
      <w:bookmarkEnd w:id="16"/>
      <w:bookmarkEnd w:id="17"/>
    </w:p>
    <w:p>
      <w:pPr>
        <w:widowControl w:val="0"/>
        <w:adjustRightInd w:val="0"/>
        <w:snapToGrid w:val="0"/>
        <w:spacing w:line="360"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60"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60" w:lineRule="auto"/>
        <w:ind w:firstLine="482"/>
        <w:jc w:val="both"/>
        <w:rPr>
          <w:rFonts w:ascii="宋体" w:hAnsi="宋体"/>
          <w:sz w:val="24"/>
        </w:rPr>
      </w:pPr>
      <w:bookmarkStart w:id="18" w:name="_Toc22406"/>
      <w:bookmarkStart w:id="19" w:name="_Toc25742"/>
      <w:bookmarkStart w:id="20" w:name="_Toc282076316"/>
      <w:r>
        <w:rPr>
          <w:rFonts w:hint="eastAsia" w:ascii="宋体" w:hAnsi="宋体"/>
          <w:sz w:val="24"/>
        </w:rPr>
        <w:t>第二条  甲方的责任</w:t>
      </w:r>
      <w:bookmarkEnd w:id="18"/>
      <w:bookmarkEnd w:id="19"/>
      <w:bookmarkEnd w:id="20"/>
    </w:p>
    <w:p>
      <w:pPr>
        <w:widowControl w:val="0"/>
        <w:adjustRightInd w:val="0"/>
        <w:snapToGrid w:val="0"/>
        <w:spacing w:line="360" w:lineRule="auto"/>
        <w:ind w:firstLine="482"/>
        <w:jc w:val="both"/>
        <w:rPr>
          <w:rFonts w:ascii="宋体" w:hAnsi="宋体"/>
          <w:sz w:val="24"/>
        </w:rPr>
      </w:pPr>
      <w:r>
        <w:rPr>
          <w:rFonts w:hint="eastAsia" w:ascii="宋体" w:hAnsi="宋体"/>
          <w:sz w:val="24"/>
        </w:rPr>
        <w:t>甲方工作人员，在工程建设的事前、事中、事后应遵守以下规定：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（一）不得向乙方索要或接受回扣、礼金、有价证券、贵重物品和好处费、感谢费等。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（二）不得在乙方报销任何应由个人支付的费用。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（三）不得要求或接受乙方为其个人装修住房或为其配偶、子女的工作安排以及出国（境）、旅游等提供方便。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（四）不得参加有可能影响公正执行公务的乙方的宴请、健身和娱乐等活动。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（五）不得向乙方介绍或推荐其配偶、子女及其他亲属参与乙方同甲方建设项目有关的经济活动。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（六）不得以任何理由向乙方推荐分包单位或要求乙方购买项目合同规定以外的材料、设备和服务等。</w:t>
      </w:r>
    </w:p>
    <w:p>
      <w:pPr>
        <w:widowControl w:val="0"/>
        <w:adjustRightInd w:val="0"/>
        <w:snapToGrid w:val="0"/>
        <w:spacing w:line="360"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60" w:lineRule="auto"/>
        <w:ind w:firstLine="482"/>
        <w:jc w:val="both"/>
        <w:rPr>
          <w:rFonts w:ascii="宋体" w:hAnsi="宋体"/>
          <w:sz w:val="24"/>
        </w:rPr>
      </w:pPr>
      <w:bookmarkStart w:id="21" w:name="_Toc11848"/>
      <w:bookmarkStart w:id="22" w:name="_Toc14483"/>
      <w:bookmarkStart w:id="23" w:name="_Toc282076317"/>
      <w:r>
        <w:rPr>
          <w:rFonts w:hint="eastAsia" w:ascii="宋体" w:hAnsi="宋体"/>
          <w:sz w:val="24"/>
        </w:rPr>
        <w:t>第三条  乙方的责任</w:t>
      </w:r>
      <w:bookmarkEnd w:id="21"/>
      <w:bookmarkEnd w:id="22"/>
      <w:bookmarkEnd w:id="23"/>
    </w:p>
    <w:p>
      <w:pPr>
        <w:widowControl w:val="0"/>
        <w:adjustRightInd w:val="0"/>
        <w:snapToGrid w:val="0"/>
        <w:spacing w:line="360" w:lineRule="auto"/>
        <w:ind w:firstLine="482"/>
        <w:jc w:val="both"/>
        <w:rPr>
          <w:rFonts w:ascii="宋体" w:hAnsi="宋体"/>
          <w:sz w:val="24"/>
        </w:rPr>
      </w:pPr>
      <w:r>
        <w:rPr>
          <w:rFonts w:hint="eastAsia" w:ascii="宋体" w:hAnsi="宋体"/>
          <w:sz w:val="24"/>
        </w:rPr>
        <w:t>应与甲方保持正常的业务交往，按照有关法律法规和程序开展业务工作，严格执行工程建设的有关方针、政策，并遵守以下规定：</w:t>
      </w:r>
    </w:p>
    <w:p>
      <w:pPr>
        <w:widowControl w:val="0"/>
        <w:adjustRightInd w:val="0"/>
        <w:snapToGrid w:val="0"/>
        <w:spacing w:line="360" w:lineRule="auto"/>
        <w:ind w:firstLine="482"/>
        <w:jc w:val="both"/>
        <w:rPr>
          <w:rFonts w:ascii="宋体" w:hAnsi="宋体"/>
          <w:sz w:val="24"/>
        </w:rPr>
      </w:pPr>
      <w:r>
        <w:rPr>
          <w:rFonts w:hint="eastAsia" w:ascii="宋体" w:hAnsi="宋体"/>
          <w:sz w:val="24"/>
        </w:rPr>
        <w:t>（一）不得以任何理由向甲方工作人员赠送礼金、有价证券、贵重物品和回扣、好处费、感谢费等。</w:t>
      </w:r>
    </w:p>
    <w:p>
      <w:pPr>
        <w:widowControl w:val="0"/>
        <w:adjustRightInd w:val="0"/>
        <w:snapToGrid w:val="0"/>
        <w:spacing w:line="360" w:lineRule="auto"/>
        <w:ind w:firstLine="482"/>
        <w:jc w:val="both"/>
        <w:rPr>
          <w:rFonts w:ascii="宋体" w:hAnsi="宋体"/>
          <w:sz w:val="24"/>
        </w:rPr>
      </w:pPr>
      <w:r>
        <w:rPr>
          <w:rFonts w:hint="eastAsia" w:ascii="宋体" w:hAnsi="宋体"/>
          <w:sz w:val="24"/>
        </w:rPr>
        <w:t>（二）不得以任何理由为甲方工作人员报销应由其个人支付的费用。</w:t>
      </w:r>
    </w:p>
    <w:p>
      <w:pPr>
        <w:widowControl w:val="0"/>
        <w:adjustRightInd w:val="0"/>
        <w:snapToGrid w:val="0"/>
        <w:spacing w:line="360" w:lineRule="auto"/>
        <w:ind w:firstLine="482"/>
        <w:jc w:val="both"/>
        <w:rPr>
          <w:rFonts w:ascii="宋体" w:hAnsi="宋体"/>
          <w:sz w:val="24"/>
        </w:rPr>
      </w:pPr>
      <w:r>
        <w:rPr>
          <w:rFonts w:hint="eastAsia" w:ascii="宋体" w:hAnsi="宋体"/>
          <w:sz w:val="24"/>
        </w:rPr>
        <w:t>（三）不得为甲方工作人员装修住房或为其配偶、子女的工作安排以及出国（境）、旅游等提供方便。</w:t>
      </w:r>
    </w:p>
    <w:p>
      <w:pPr>
        <w:widowControl w:val="0"/>
        <w:adjustRightInd w:val="0"/>
        <w:snapToGrid w:val="0"/>
        <w:spacing w:line="360" w:lineRule="auto"/>
        <w:ind w:firstLine="482"/>
        <w:jc w:val="both"/>
        <w:rPr>
          <w:rFonts w:ascii="宋体" w:hAnsi="宋体"/>
          <w:sz w:val="24"/>
        </w:rPr>
      </w:pPr>
      <w:r>
        <w:rPr>
          <w:rFonts w:hint="eastAsia" w:ascii="宋体" w:hAnsi="宋体"/>
          <w:sz w:val="24"/>
        </w:rPr>
        <w:t>（四）不得以任何理由邀请甲方工作人员参加有可能影响公正执行公务的宴请、健身、娱乐等活动。</w:t>
      </w:r>
    </w:p>
    <w:p>
      <w:pPr>
        <w:widowControl w:val="0"/>
        <w:adjustRightInd w:val="0"/>
        <w:snapToGrid w:val="0"/>
        <w:spacing w:line="360"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60" w:lineRule="auto"/>
        <w:ind w:firstLine="482"/>
        <w:jc w:val="both"/>
        <w:rPr>
          <w:rFonts w:ascii="宋体" w:hAnsi="宋体"/>
          <w:sz w:val="24"/>
        </w:rPr>
      </w:pPr>
      <w:bookmarkStart w:id="24" w:name="_Toc9799"/>
      <w:bookmarkStart w:id="25" w:name="_Toc32291"/>
      <w:bookmarkStart w:id="26" w:name="OLE_LINK2"/>
      <w:r>
        <w:rPr>
          <w:rFonts w:hint="eastAsia" w:ascii="宋体" w:hAnsi="宋体"/>
          <w:sz w:val="24"/>
        </w:rPr>
        <w:t>第四条  违约责任</w:t>
      </w:r>
      <w:bookmarkEnd w:id="24"/>
      <w:bookmarkEnd w:id="25"/>
    </w:p>
    <w:bookmarkEnd w:id="26"/>
    <w:p>
      <w:pPr>
        <w:widowControl w:val="0"/>
        <w:adjustRightInd w:val="0"/>
        <w:snapToGrid w:val="0"/>
        <w:spacing w:line="360" w:lineRule="auto"/>
        <w:ind w:firstLine="482"/>
        <w:jc w:val="both"/>
        <w:rPr>
          <w:rFonts w:ascii="宋体" w:hAnsi="宋体"/>
          <w:sz w:val="24"/>
        </w:rPr>
      </w:pPr>
      <w:r>
        <w:rPr>
          <w:rFonts w:hint="eastAsia" w:ascii="宋体" w:hAnsi="宋体"/>
          <w:sz w:val="24"/>
        </w:rPr>
        <w:t>（一）甲方工作人员有违反本合同第一、二条行为的，经调查属实，依据有关法律法规和规定给予党纪、政纪处分或组织处理；涉嫌犯罪的，移交司法机关追究刑事责任；给乙方造成经济损失的，甲方应予以赔偿。</w:t>
      </w:r>
    </w:p>
    <w:p>
      <w:pPr>
        <w:widowControl w:val="0"/>
        <w:adjustRightInd w:val="0"/>
        <w:snapToGrid w:val="0"/>
        <w:spacing w:line="360" w:lineRule="auto"/>
        <w:ind w:firstLine="482"/>
        <w:jc w:val="both"/>
        <w:rPr>
          <w:rFonts w:ascii="宋体" w:hAnsi="宋体"/>
          <w:sz w:val="24"/>
        </w:rPr>
      </w:pPr>
      <w:r>
        <w:rPr>
          <w:rFonts w:hint="eastAsia" w:ascii="宋体" w:hAnsi="宋体"/>
          <w:sz w:val="24"/>
        </w:rPr>
        <w:t>（二）乙方工作人员有违反本合同第一、三条行为的，经调查属实，依据有关法律法规和规定给予以下相应处理；给甲方造成经济损失的，乙方应予以赔偿；情节严重的，甲方政府采购主管部门给予一至三年不得进入政府市场的处罚；涉嫌犯罪的，移交司法机关追究刑事责任。</w:t>
      </w:r>
    </w:p>
    <w:p>
      <w:pPr>
        <w:widowControl w:val="0"/>
        <w:adjustRightInd w:val="0"/>
        <w:snapToGrid w:val="0"/>
        <w:spacing w:line="360" w:lineRule="auto"/>
        <w:ind w:firstLine="482"/>
        <w:jc w:val="both"/>
        <w:rPr>
          <w:rFonts w:ascii="宋体" w:hAnsi="宋体"/>
          <w:sz w:val="24"/>
        </w:rPr>
      </w:pPr>
      <w:r>
        <w:rPr>
          <w:rFonts w:hint="eastAsia" w:ascii="宋体" w:hAnsi="宋体"/>
          <w:sz w:val="24"/>
        </w:rPr>
        <w:t>（三）双方约定：本合同由甲方或甲方上级单位的纪检监察机关负责监督执行。由甲方或甲方上级单位的纪检监察机关约请乙方行业主管部门的纪检监察机关对本合同执行情况进行检查，提出在本合同规定范围内的裁定意见。</w:t>
      </w:r>
    </w:p>
    <w:p>
      <w:pPr>
        <w:widowControl w:val="0"/>
        <w:adjustRightInd w:val="0"/>
        <w:snapToGrid w:val="0"/>
        <w:spacing w:line="360" w:lineRule="auto"/>
        <w:ind w:firstLine="482"/>
        <w:jc w:val="both"/>
        <w:rPr>
          <w:rFonts w:ascii="宋体" w:hAnsi="宋体"/>
          <w:sz w:val="24"/>
        </w:rPr>
      </w:pPr>
      <w:bookmarkStart w:id="27" w:name="_Toc9354"/>
      <w:bookmarkStart w:id="28" w:name="_Toc28966"/>
      <w:r>
        <w:rPr>
          <w:rFonts w:hint="eastAsia" w:ascii="宋体" w:hAnsi="宋体"/>
          <w:sz w:val="24"/>
        </w:rPr>
        <w:t>第五条　本合同作为甲、乙双方主合同的附件，与主合同具有同等法律效力。经双方签署后立即生效，项目决算审计后合同效力终止</w:t>
      </w:r>
      <w:bookmarkEnd w:id="27"/>
      <w:bookmarkEnd w:id="28"/>
      <w:r>
        <w:rPr>
          <w:rFonts w:hint="eastAsia" w:ascii="宋体" w:hAnsi="宋体"/>
          <w:sz w:val="24"/>
        </w:rPr>
        <w:t>。</w:t>
      </w:r>
    </w:p>
    <w:p>
      <w:pPr>
        <w:widowControl w:val="0"/>
        <w:adjustRightInd w:val="0"/>
        <w:snapToGrid w:val="0"/>
        <w:spacing w:line="360" w:lineRule="auto"/>
        <w:ind w:firstLine="482"/>
        <w:jc w:val="both"/>
        <w:rPr>
          <w:rFonts w:ascii="宋体" w:hAnsi="宋体"/>
          <w:sz w:val="24"/>
        </w:rPr>
      </w:pPr>
    </w:p>
    <w:p>
      <w:pPr>
        <w:pStyle w:val="2"/>
        <w:rPr>
          <w:rFonts w:hAnsi="宋体" w:cs="宋体"/>
          <w:szCs w:val="24"/>
        </w:rPr>
      </w:pPr>
    </w:p>
    <w:p>
      <w:pPr>
        <w:pStyle w:val="2"/>
        <w:rPr>
          <w:rFonts w:hAnsi="宋体" w:cs="宋体"/>
          <w:szCs w:val="24"/>
        </w:rPr>
      </w:pPr>
    </w:p>
    <w:p>
      <w:pPr>
        <w:pStyle w:val="2"/>
        <w:rPr>
          <w:rFonts w:hAnsi="宋体" w:cs="宋体"/>
          <w:szCs w:val="24"/>
        </w:rPr>
      </w:pPr>
    </w:p>
    <w:p>
      <w:pPr>
        <w:pStyle w:val="2"/>
        <w:rPr>
          <w:rFonts w:hAnsi="宋体"/>
          <w:szCs w:val="24"/>
        </w:rPr>
      </w:pPr>
    </w:p>
    <w:p>
      <w:pPr>
        <w:pStyle w:val="2"/>
        <w:rPr>
          <w:rFonts w:hAnsi="宋体"/>
          <w:szCs w:val="24"/>
        </w:rPr>
      </w:pPr>
    </w:p>
    <w:tbl>
      <w:tblPr>
        <w:tblStyle w:val="39"/>
        <w:tblW w:w="94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821"/>
        <w:gridCol w:w="1880"/>
        <w:gridCol w:w="29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    方</w:t>
            </w:r>
          </w:p>
        </w:tc>
        <w:tc>
          <w:tcPr>
            <w:tcW w:w="48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     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单位名称：（章）</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岳阳城陵矶新港有限公司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单位名称：（章）</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岳阳市城陵矶临港新区新港办公楼</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法定代理人</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法定代理人</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0730-8</w:t>
            </w:r>
            <w:r>
              <w:rPr>
                <w:rFonts w:ascii="宋体" w:hAnsi="宋体" w:cs="宋体"/>
                <w:color w:val="000000" w:themeColor="text1"/>
                <w:sz w:val="24"/>
                <w14:textFill>
                  <w14:solidFill>
                    <w14:schemeClr w14:val="tx1"/>
                  </w14:solidFill>
                </w14:textFill>
              </w:rPr>
              <w:t>422012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交通银行云溪支行</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436600720018010006451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税号</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91430600661668630D</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税号</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yellow"/>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tc>
        <w:tc>
          <w:tcPr>
            <w:tcW w:w="2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bl>
    <w:p>
      <w:pPr>
        <w:spacing w:line="240" w:lineRule="auto"/>
        <w:rPr>
          <w:rFonts w:ascii="黑体" w:hAnsi="黑体" w:eastAsia="黑体" w:cs="仿宋"/>
          <w:b/>
          <w:color w:val="000000"/>
          <w:sz w:val="36"/>
          <w:szCs w:val="36"/>
        </w:rPr>
      </w:pPr>
      <w:r>
        <w:rPr>
          <w:rFonts w:hint="eastAsia" w:ascii="黑体" w:hAnsi="黑体" w:eastAsia="黑体" w:cs="仿宋"/>
          <w:b/>
          <w:color w:val="000000"/>
          <w:sz w:val="36"/>
          <w:szCs w:val="36"/>
        </w:rPr>
        <w:br w:type="page"/>
      </w:r>
    </w:p>
    <w:p>
      <w:pPr>
        <w:spacing w:line="360" w:lineRule="auto"/>
        <w:jc w:val="center"/>
        <w:outlineLvl w:val="0"/>
        <w:rPr>
          <w:rFonts w:ascii="黑体" w:hAnsi="黑体" w:eastAsia="黑体" w:cs="仿宋"/>
          <w:b/>
          <w:color w:val="000000"/>
          <w:sz w:val="36"/>
          <w:szCs w:val="36"/>
        </w:rPr>
      </w:pPr>
      <w:bookmarkStart w:id="29" w:name="_Toc25367"/>
      <w:r>
        <w:rPr>
          <w:rFonts w:hint="eastAsia" w:ascii="黑体" w:hAnsi="黑体" w:eastAsia="黑体" w:cs="仿宋"/>
          <w:b/>
          <w:color w:val="000000"/>
          <w:sz w:val="36"/>
          <w:szCs w:val="36"/>
        </w:rPr>
        <w:t>第五章  采购需求</w:t>
      </w:r>
      <w:bookmarkEnd w:id="29"/>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（一）采购项目名称:</w:t>
      </w:r>
      <w:r>
        <w:rPr>
          <w:rFonts w:hint="eastAsia" w:ascii="宋体" w:hAnsi="宋体" w:cs="宋体"/>
          <w:sz w:val="24"/>
        </w:rPr>
        <w:t>岳阳</w:t>
      </w:r>
      <w:r>
        <w:rPr>
          <w:rFonts w:ascii="宋体" w:hAnsi="宋体" w:cs="宋体"/>
          <w:sz w:val="24"/>
        </w:rPr>
        <w:t>城陵矶新港有限</w:t>
      </w:r>
      <w:r>
        <w:rPr>
          <w:rFonts w:hint="eastAsia" w:ascii="宋体" w:hAnsi="宋体" w:cs="宋体"/>
          <w:sz w:val="24"/>
        </w:rPr>
        <w:t>公司</w:t>
      </w:r>
      <w:r>
        <w:rPr>
          <w:rFonts w:hint="eastAsia" w:ascii="宋体" w:hAnsi="宋体"/>
          <w:sz w:val="24"/>
        </w:rPr>
        <w:t>远控系统网安设备</w:t>
      </w:r>
      <w:r>
        <w:rPr>
          <w:rFonts w:hint="eastAsia" w:ascii="宋体" w:hAnsi="宋体" w:cs="宋体"/>
          <w:sz w:val="24"/>
        </w:rPr>
        <w:t>采购项目</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（二）数量：</w:t>
      </w:r>
      <w:r>
        <w:rPr>
          <w:rFonts w:hint="eastAsia" w:ascii="宋体" w:hAnsi="宋体"/>
          <w:sz w:val="24"/>
        </w:rPr>
        <w:t>30台工业主机防护系统和1台工业网闸，以及终端</w:t>
      </w:r>
      <w:r>
        <w:rPr>
          <w:rFonts w:ascii="宋体" w:hAnsi="宋体"/>
          <w:sz w:val="24"/>
        </w:rPr>
        <w:t>安全管理系统</w:t>
      </w:r>
      <w:r>
        <w:rPr>
          <w:rFonts w:hint="eastAsia" w:ascii="宋体" w:hAnsi="宋体"/>
          <w:sz w:val="24"/>
        </w:rPr>
        <w:t>扩展100个终端移动存储管理</w:t>
      </w:r>
      <w:r>
        <w:rPr>
          <w:rFonts w:ascii="宋体" w:hAnsi="宋体"/>
          <w:sz w:val="24"/>
        </w:rPr>
        <w:t>模块</w:t>
      </w:r>
      <w:r>
        <w:rPr>
          <w:rFonts w:hint="eastAsia" w:ascii="宋体" w:hAnsi="宋体"/>
          <w:sz w:val="24"/>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（三）用途的简要说明：对工业主机进行</w:t>
      </w:r>
      <w:r>
        <w:rPr>
          <w:rFonts w:ascii="宋体" w:hAnsi="宋体" w:cs="宋体"/>
          <w:color w:val="000000" w:themeColor="text1"/>
          <w:sz w:val="24"/>
          <w14:textFill>
            <w14:solidFill>
              <w14:schemeClr w14:val="tx1"/>
            </w14:solidFill>
          </w14:textFill>
        </w:rPr>
        <w:t>安全</w:t>
      </w:r>
      <w:r>
        <w:rPr>
          <w:rFonts w:hint="eastAsia" w:ascii="宋体" w:hAnsi="宋体" w:cs="宋体"/>
          <w:color w:val="000000" w:themeColor="text1"/>
          <w:sz w:val="24"/>
          <w14:textFill>
            <w14:solidFill>
              <w14:schemeClr w14:val="tx1"/>
            </w14:solidFill>
          </w14:textFill>
        </w:rPr>
        <w:t>加固以及网络边界物理隔离，同时</w:t>
      </w:r>
      <w:r>
        <w:rPr>
          <w:rFonts w:ascii="宋体" w:hAnsi="宋体" w:cs="宋体"/>
          <w:color w:val="000000" w:themeColor="text1"/>
          <w:sz w:val="24"/>
          <w14:textFill>
            <w14:solidFill>
              <w14:schemeClr w14:val="tx1"/>
            </w14:solidFill>
          </w14:textFill>
        </w:rPr>
        <w:t>对原PC</w:t>
      </w:r>
      <w:r>
        <w:rPr>
          <w:rFonts w:hint="eastAsia" w:ascii="宋体" w:hAnsi="宋体" w:cs="宋体"/>
          <w:color w:val="000000" w:themeColor="text1"/>
          <w:sz w:val="24"/>
          <w14:textFill>
            <w14:solidFill>
              <w14:schemeClr w14:val="tx1"/>
            </w14:solidFill>
          </w14:textFill>
        </w:rPr>
        <w:t>终端</w:t>
      </w:r>
      <w:r>
        <w:rPr>
          <w:rFonts w:ascii="宋体" w:hAnsi="宋体" w:cs="宋体"/>
          <w:color w:val="000000" w:themeColor="text1"/>
          <w:sz w:val="24"/>
          <w14:textFill>
            <w14:solidFill>
              <w14:schemeClr w14:val="tx1"/>
            </w14:solidFill>
          </w14:textFill>
        </w:rPr>
        <w:t>使用移动</w:t>
      </w:r>
      <w:r>
        <w:rPr>
          <w:rFonts w:hint="eastAsia" w:ascii="宋体" w:hAnsi="宋体" w:cs="宋体"/>
          <w:color w:val="000000" w:themeColor="text1"/>
          <w:sz w:val="24"/>
          <w14:textFill>
            <w14:solidFill>
              <w14:schemeClr w14:val="tx1"/>
            </w14:solidFill>
          </w14:textFill>
        </w:rPr>
        <w:t>介质</w:t>
      </w:r>
      <w:r>
        <w:rPr>
          <w:rFonts w:ascii="宋体" w:hAnsi="宋体" w:cs="宋体"/>
          <w:color w:val="000000" w:themeColor="text1"/>
          <w:sz w:val="24"/>
          <w14:textFill>
            <w14:solidFill>
              <w14:schemeClr w14:val="tx1"/>
            </w14:solidFill>
          </w14:textFill>
        </w:rPr>
        <w:t>进行管理</w:t>
      </w:r>
      <w:r>
        <w:rPr>
          <w:rFonts w:hint="eastAsia" w:ascii="宋体" w:hAnsi="宋体" w:cs="宋体"/>
          <w:color w:val="000000" w:themeColor="text1"/>
          <w:sz w:val="24"/>
          <w14:textFill>
            <w14:solidFill>
              <w14:schemeClr w14:val="tx1"/>
            </w14:solidFill>
          </w14:textFill>
        </w:rPr>
        <w:t>。</w:t>
      </w:r>
    </w:p>
    <w:p>
      <w:pPr>
        <w:spacing w:after="120" w:afterLines="50"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（四）技术规格、参数与要求：</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218"/>
        <w:gridCol w:w="5124"/>
        <w:gridCol w:w="691"/>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rPr>
                <w:rFonts w:ascii="Calibri" w:hAnsi="Calibri"/>
                <w:b/>
                <w:kern w:val="0"/>
                <w:sz w:val="24"/>
              </w:rPr>
            </w:pPr>
            <w:r>
              <w:rPr>
                <w:rFonts w:hint="eastAsia" w:ascii="Calibri" w:hAnsi="Calibri"/>
                <w:b/>
                <w:kern w:val="0"/>
                <w:sz w:val="24"/>
              </w:rPr>
              <w:t>序号</w:t>
            </w:r>
          </w:p>
        </w:tc>
        <w:tc>
          <w:tcPr>
            <w:tcW w:w="1276" w:type="dxa"/>
            <w:vAlign w:val="center"/>
          </w:tcPr>
          <w:p>
            <w:pPr>
              <w:widowControl w:val="0"/>
              <w:jc w:val="center"/>
              <w:rPr>
                <w:rFonts w:ascii="Calibri" w:hAnsi="Calibri"/>
                <w:b/>
                <w:kern w:val="0"/>
                <w:sz w:val="24"/>
              </w:rPr>
            </w:pPr>
            <w:r>
              <w:rPr>
                <w:rFonts w:hint="eastAsia" w:ascii="Calibri" w:hAnsi="Calibri"/>
                <w:b/>
                <w:kern w:val="0"/>
                <w:sz w:val="24"/>
              </w:rPr>
              <w:t>产品类型</w:t>
            </w:r>
          </w:p>
        </w:tc>
        <w:tc>
          <w:tcPr>
            <w:tcW w:w="5386" w:type="dxa"/>
            <w:vAlign w:val="center"/>
          </w:tcPr>
          <w:p>
            <w:pPr>
              <w:widowControl w:val="0"/>
              <w:jc w:val="center"/>
              <w:rPr>
                <w:rFonts w:ascii="Calibri" w:hAnsi="Calibri"/>
                <w:b/>
                <w:kern w:val="0"/>
                <w:sz w:val="24"/>
              </w:rPr>
            </w:pPr>
            <w:r>
              <w:rPr>
                <w:rFonts w:hint="eastAsia" w:ascii="Calibri" w:hAnsi="Calibri"/>
                <w:b/>
                <w:kern w:val="0"/>
                <w:sz w:val="24"/>
              </w:rPr>
              <w:t>参数要求</w:t>
            </w:r>
          </w:p>
        </w:tc>
        <w:tc>
          <w:tcPr>
            <w:tcW w:w="709" w:type="dxa"/>
            <w:vAlign w:val="center"/>
          </w:tcPr>
          <w:p>
            <w:pPr>
              <w:widowControl w:val="0"/>
              <w:jc w:val="center"/>
              <w:rPr>
                <w:rFonts w:ascii="Calibri" w:hAnsi="Calibri"/>
                <w:b/>
                <w:kern w:val="0"/>
                <w:sz w:val="24"/>
              </w:rPr>
            </w:pPr>
            <w:r>
              <w:rPr>
                <w:rFonts w:hint="eastAsia" w:ascii="Calibri" w:hAnsi="Calibri"/>
                <w:b/>
                <w:kern w:val="0"/>
                <w:sz w:val="24"/>
              </w:rPr>
              <w:t>单位</w:t>
            </w:r>
          </w:p>
        </w:tc>
        <w:tc>
          <w:tcPr>
            <w:tcW w:w="709" w:type="dxa"/>
            <w:vAlign w:val="center"/>
          </w:tcPr>
          <w:p>
            <w:pPr>
              <w:widowControl w:val="0"/>
              <w:jc w:val="center"/>
              <w:rPr>
                <w:rFonts w:ascii="Calibri" w:hAnsi="Calibri"/>
                <w:b/>
                <w:kern w:val="0"/>
                <w:sz w:val="24"/>
              </w:rPr>
            </w:pPr>
            <w:r>
              <w:rPr>
                <w:rFonts w:hint="eastAsia" w:ascii="Calibri" w:hAnsi="Calibri"/>
                <w:b/>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rPr>
                <w:rFonts w:ascii="Calibri" w:hAnsi="Calibri"/>
                <w:kern w:val="0"/>
                <w:szCs w:val="21"/>
              </w:rPr>
            </w:pPr>
            <w:r>
              <w:rPr>
                <w:rFonts w:ascii="Calibri" w:hAnsi="Calibri"/>
                <w:kern w:val="0"/>
                <w:szCs w:val="21"/>
              </w:rPr>
              <w:t>1</w:t>
            </w:r>
          </w:p>
        </w:tc>
        <w:tc>
          <w:tcPr>
            <w:tcW w:w="1276" w:type="dxa"/>
            <w:vAlign w:val="center"/>
          </w:tcPr>
          <w:p>
            <w:pPr>
              <w:widowControl w:val="0"/>
              <w:jc w:val="center"/>
              <w:rPr>
                <w:rFonts w:ascii="Calibri" w:hAnsi="Calibri"/>
                <w:kern w:val="0"/>
                <w:szCs w:val="21"/>
              </w:rPr>
            </w:pPr>
            <w:r>
              <w:rPr>
                <w:rFonts w:hint="eastAsia" w:ascii="Calibri" w:hAnsi="Calibri"/>
                <w:kern w:val="0"/>
                <w:szCs w:val="21"/>
              </w:rPr>
              <w:t>工业主机防护系统</w:t>
            </w:r>
          </w:p>
        </w:tc>
        <w:tc>
          <w:tcPr>
            <w:tcW w:w="5386" w:type="dxa"/>
          </w:tcPr>
          <w:p>
            <w:pPr>
              <w:widowControl w:val="0"/>
              <w:jc w:val="both"/>
              <w:rPr>
                <w:rFonts w:ascii="Calibri" w:hAnsi="Calibri"/>
                <w:kern w:val="0"/>
                <w:szCs w:val="21"/>
              </w:rPr>
            </w:pPr>
            <w:r>
              <w:rPr>
                <w:rFonts w:hint="eastAsia" w:ascii="Calibri" w:hAnsi="Calibri"/>
                <w:kern w:val="0"/>
                <w:szCs w:val="21"/>
              </w:rPr>
              <w:t>★1、工业主机安全防护系统单机版：工业主机白名单防护、外设管控、漏洞防御、网络防护、告警与日志审计;支持微软32位/64位 Windows2000、Windows XP SP2及以上等系统;工业主机安全防护系统单机版主机加固模块功能授权：注册表保护、文件保护、数据执行保护;工业主机安全防护系统单机版病毒库离线1年升级服务;</w:t>
            </w:r>
          </w:p>
          <w:p>
            <w:pPr>
              <w:widowControl w:val="0"/>
              <w:jc w:val="both"/>
              <w:rPr>
                <w:rFonts w:ascii="Calibri" w:hAnsi="Calibri"/>
                <w:kern w:val="0"/>
                <w:szCs w:val="21"/>
              </w:rPr>
            </w:pPr>
            <w:r>
              <w:rPr>
                <w:rFonts w:hint="eastAsia" w:ascii="Calibri" w:hAnsi="Calibri"/>
                <w:kern w:val="0"/>
                <w:szCs w:val="21"/>
              </w:rPr>
              <w:t>2、支持病毒扫描功能，支持全盘扫描和自定义扫描，支持永恒之蓝勒索病毒专杀工具进行查杀，支持设置文件及目录信任区；</w:t>
            </w:r>
          </w:p>
          <w:p>
            <w:pPr>
              <w:widowControl w:val="0"/>
              <w:jc w:val="both"/>
              <w:rPr>
                <w:rFonts w:ascii="Calibri" w:hAnsi="Calibri"/>
                <w:kern w:val="0"/>
                <w:szCs w:val="21"/>
              </w:rPr>
            </w:pPr>
            <w:r>
              <w:rPr>
                <w:rFonts w:hint="eastAsia" w:ascii="Calibri" w:hAnsi="Calibri"/>
                <w:kern w:val="0"/>
                <w:szCs w:val="21"/>
              </w:rPr>
              <w:t xml:space="preserve"> 3、支持外设管理，支持USB移动存储权限管理，支持针对单个USB移动存储设备的注册和只读、读写、禁用授权；支持光驱、无线网卡、存储卡、串口、并口、蓝牙、手机、平板禁用和启用；</w:t>
            </w:r>
          </w:p>
          <w:p>
            <w:pPr>
              <w:widowControl w:val="0"/>
              <w:jc w:val="both"/>
              <w:rPr>
                <w:rFonts w:ascii="Calibri" w:hAnsi="Calibri"/>
                <w:kern w:val="0"/>
                <w:szCs w:val="21"/>
              </w:rPr>
            </w:pPr>
            <w:r>
              <w:rPr>
                <w:rFonts w:hint="eastAsia" w:ascii="Calibri" w:hAnsi="Calibri"/>
                <w:kern w:val="0"/>
                <w:szCs w:val="21"/>
              </w:rPr>
              <w:t>4、支持注册表保护，支持注册表项、值防护，支持设置例外进程名、进程路径；</w:t>
            </w:r>
          </w:p>
          <w:p>
            <w:pPr>
              <w:widowControl w:val="0"/>
              <w:jc w:val="both"/>
              <w:rPr>
                <w:rFonts w:ascii="Calibri" w:hAnsi="Calibri"/>
                <w:kern w:val="0"/>
                <w:szCs w:val="21"/>
              </w:rPr>
            </w:pPr>
            <w:r>
              <w:rPr>
                <w:rFonts w:hint="eastAsia" w:ascii="Calibri" w:hAnsi="Calibri"/>
                <w:kern w:val="0"/>
                <w:szCs w:val="21"/>
              </w:rPr>
              <w:t>5、支持对白名单日志、用户操作日志、外设报警日志、漏洞防御日志、网络防护日志、主机加固日志、病毒扫描日志进行审计；</w:t>
            </w:r>
          </w:p>
          <w:p>
            <w:pPr>
              <w:widowControl w:val="0"/>
              <w:jc w:val="both"/>
              <w:rPr>
                <w:rFonts w:ascii="Calibri" w:hAnsi="Calibri"/>
                <w:kern w:val="0"/>
                <w:szCs w:val="21"/>
              </w:rPr>
            </w:pPr>
            <w:r>
              <w:rPr>
                <w:rFonts w:hint="eastAsia" w:ascii="Calibri" w:hAnsi="Calibri"/>
                <w:kern w:val="0"/>
                <w:szCs w:val="21"/>
              </w:rPr>
              <w:t>6、支持TCP、UDP协议网络防护，支持黑白名单网络防护；</w:t>
            </w:r>
          </w:p>
          <w:p>
            <w:pPr>
              <w:widowControl w:val="0"/>
              <w:jc w:val="both"/>
              <w:rPr>
                <w:rFonts w:ascii="Calibri" w:hAnsi="Calibri"/>
                <w:kern w:val="0"/>
                <w:szCs w:val="21"/>
              </w:rPr>
            </w:pPr>
            <w:r>
              <w:rPr>
                <w:rFonts w:hint="eastAsia" w:ascii="Calibri" w:hAnsi="Calibri"/>
                <w:kern w:val="0"/>
                <w:szCs w:val="21"/>
              </w:rPr>
              <w:t>7、支持exe、com、bat、vbs、vbe、hta、js、wsh、msi、wsf、cmd等可执行程序或脚本文件防护；</w:t>
            </w:r>
          </w:p>
        </w:tc>
        <w:tc>
          <w:tcPr>
            <w:tcW w:w="709" w:type="dxa"/>
            <w:vAlign w:val="center"/>
          </w:tcPr>
          <w:p>
            <w:pPr>
              <w:widowControl w:val="0"/>
              <w:jc w:val="center"/>
              <w:rPr>
                <w:rFonts w:ascii="宋体" w:hAnsi="宋体"/>
                <w:bCs/>
                <w:kern w:val="0"/>
                <w:sz w:val="20"/>
                <w:szCs w:val="20"/>
              </w:rPr>
            </w:pPr>
            <w:r>
              <w:rPr>
                <w:rFonts w:hint="eastAsia" w:ascii="Calibri" w:hAnsi="Calibri"/>
                <w:kern w:val="0"/>
                <w:szCs w:val="21"/>
              </w:rPr>
              <w:t>台</w:t>
            </w:r>
          </w:p>
        </w:tc>
        <w:tc>
          <w:tcPr>
            <w:tcW w:w="709" w:type="dxa"/>
            <w:vAlign w:val="center"/>
          </w:tcPr>
          <w:p>
            <w:pPr>
              <w:widowControl w:val="0"/>
              <w:jc w:val="center"/>
              <w:rPr>
                <w:rFonts w:ascii="宋体" w:hAnsi="宋体"/>
                <w:bCs/>
                <w:kern w:val="0"/>
                <w:sz w:val="20"/>
                <w:szCs w:val="20"/>
              </w:rPr>
            </w:pPr>
            <w:r>
              <w:rPr>
                <w:rFonts w:ascii="宋体" w:hAnsi="宋体"/>
                <w:bCs/>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rPr>
                <w:rFonts w:ascii="Calibri" w:hAnsi="Calibri"/>
                <w:kern w:val="0"/>
                <w:szCs w:val="21"/>
              </w:rPr>
            </w:pPr>
            <w:r>
              <w:rPr>
                <w:rFonts w:ascii="Calibri" w:hAnsi="Calibri"/>
                <w:kern w:val="0"/>
                <w:szCs w:val="21"/>
              </w:rPr>
              <w:t>2</w:t>
            </w:r>
          </w:p>
        </w:tc>
        <w:tc>
          <w:tcPr>
            <w:tcW w:w="1276" w:type="dxa"/>
            <w:vAlign w:val="center"/>
          </w:tcPr>
          <w:p>
            <w:pPr>
              <w:widowControl w:val="0"/>
              <w:jc w:val="center"/>
              <w:rPr>
                <w:rFonts w:ascii="Calibri" w:hAnsi="Calibri"/>
                <w:kern w:val="0"/>
                <w:szCs w:val="21"/>
              </w:rPr>
            </w:pPr>
            <w:r>
              <w:rPr>
                <w:rFonts w:hint="eastAsia" w:ascii="Calibri" w:hAnsi="Calibri"/>
                <w:kern w:val="0"/>
                <w:szCs w:val="21"/>
              </w:rPr>
              <w:t>工业网闸</w:t>
            </w:r>
          </w:p>
        </w:tc>
        <w:tc>
          <w:tcPr>
            <w:tcW w:w="5386" w:type="dxa"/>
          </w:tcPr>
          <w:p>
            <w:pPr>
              <w:widowControl w:val="0"/>
              <w:jc w:val="both"/>
              <w:rPr>
                <w:rFonts w:ascii="宋体" w:hAnsi="宋体" w:cs="宋体"/>
                <w:color w:val="000000"/>
                <w:kern w:val="0"/>
                <w:szCs w:val="21"/>
              </w:rPr>
            </w:pPr>
            <w:r>
              <w:rPr>
                <w:rFonts w:hint="eastAsia" w:ascii="Calibri" w:hAnsi="Calibri"/>
                <w:kern w:val="0"/>
                <w:szCs w:val="21"/>
              </w:rPr>
              <w:t>★</w:t>
            </w:r>
            <w:r>
              <w:rPr>
                <w:rFonts w:hint="eastAsia" w:ascii="宋体" w:hAnsi="宋体" w:cs="宋体"/>
                <w:color w:val="000000"/>
                <w:kern w:val="0"/>
                <w:szCs w:val="21"/>
              </w:rPr>
              <w:t>1、2U机箱;冗余电源；支持液晶面板 内网接口：6个千兆电口;2个千兆光口;1个Console口;2个USB口； 外网接口：6个千兆电口;2个千兆光口;1个Console口;2个USB口；</w:t>
            </w:r>
          </w:p>
          <w:p>
            <w:pPr>
              <w:widowControl w:val="0"/>
              <w:jc w:val="both"/>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、内、外网分别具有独立的HA口，实现双机热备及负载均衡；</w:t>
            </w:r>
            <w:r>
              <w:rPr>
                <w:rFonts w:ascii="宋体" w:hAnsi="宋体" w:cs="宋体"/>
                <w:color w:val="000000"/>
                <w:kern w:val="0"/>
                <w:szCs w:val="21"/>
              </w:rPr>
              <w:t xml:space="preserve"> </w:t>
            </w:r>
          </w:p>
          <w:p>
            <w:pPr>
              <w:widowControl w:val="0"/>
              <w:jc w:val="both"/>
              <w:rPr>
                <w:rFonts w:ascii="宋体" w:hAnsi="宋体" w:cs="宋体"/>
                <w:color w:val="000000"/>
                <w:kern w:val="0"/>
                <w:szCs w:val="21"/>
              </w:rPr>
            </w:pPr>
            <w:r>
              <w:rPr>
                <w:rFonts w:hint="eastAsia" w:ascii="宋体" w:hAnsi="宋体" w:cs="宋体"/>
                <w:color w:val="000000"/>
                <w:kern w:val="0"/>
                <w:szCs w:val="21"/>
              </w:rPr>
              <w:t>3、采用“2+1”模块结构设计，即包括外网主机模块、内网主机模块和隔离交换模块，内外端机为网络协议终点，彻底阻断各种网络协议；</w:t>
            </w:r>
          </w:p>
          <w:p>
            <w:pPr>
              <w:widowControl w:val="0"/>
              <w:jc w:val="both"/>
              <w:rPr>
                <w:rFonts w:ascii="Calibri" w:hAnsi="Calibri"/>
                <w:kern w:val="0"/>
                <w:szCs w:val="21"/>
              </w:rPr>
            </w:pPr>
            <w:r>
              <w:rPr>
                <w:rFonts w:hint="eastAsia" w:ascii="宋体" w:hAnsi="宋体" w:cs="宋体"/>
                <w:color w:val="000000"/>
                <w:kern w:val="0"/>
                <w:szCs w:val="21"/>
              </w:rPr>
              <w:t>4、支持带内管理，具备web、SSH方式，同时可直接在系统选择带内管理IP地址以及端口；</w:t>
            </w:r>
          </w:p>
          <w:p>
            <w:pPr>
              <w:widowControl w:val="0"/>
              <w:jc w:val="both"/>
              <w:rPr>
                <w:rFonts w:ascii="宋体" w:hAnsi="宋体" w:cs="宋体"/>
                <w:color w:val="000000"/>
                <w:kern w:val="0"/>
                <w:szCs w:val="21"/>
              </w:rPr>
            </w:pPr>
            <w:r>
              <w:rPr>
                <w:rFonts w:hint="eastAsia" w:ascii="宋体" w:hAnsi="宋体" w:cs="宋体"/>
                <w:color w:val="000000"/>
                <w:kern w:val="0"/>
                <w:szCs w:val="21"/>
              </w:rPr>
              <w:t xml:space="preserve"> 5、文件同步支持FTP、SFTP、SMB、NFS等协议，同时可设置服务器加密方式，服务器编码方式等；</w:t>
            </w:r>
          </w:p>
          <w:p>
            <w:pPr>
              <w:widowControl w:val="0"/>
              <w:jc w:val="both"/>
              <w:rPr>
                <w:rFonts w:ascii="宋体" w:hAnsi="宋体" w:cs="宋体"/>
                <w:color w:val="000000"/>
                <w:kern w:val="0"/>
                <w:szCs w:val="21"/>
              </w:rPr>
            </w:pPr>
            <w:r>
              <w:rPr>
                <w:rFonts w:hint="eastAsia" w:ascii="宋体" w:hAnsi="宋体" w:cs="宋体"/>
                <w:color w:val="000000"/>
                <w:kern w:val="0"/>
                <w:szCs w:val="21"/>
              </w:rPr>
              <w:t>6、文件传输具备文件名过滤、文件类型过滤、文件内容过滤、文档重建、病毒过滤；支持文件重构技术，可自动剔除文件中夹带的危险程序，可执行代码等</w:t>
            </w:r>
            <w:r>
              <w:rPr>
                <w:rFonts w:hint="eastAsia" w:ascii="Calibri" w:hAnsi="Calibri"/>
                <w:kern w:val="0"/>
                <w:szCs w:val="21"/>
              </w:rPr>
              <w:t>；</w:t>
            </w:r>
          </w:p>
          <w:p>
            <w:pPr>
              <w:widowControl w:val="0"/>
              <w:jc w:val="both"/>
              <w:rPr>
                <w:rFonts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 xml:space="preserve"> </w:t>
            </w:r>
            <w:r>
              <w:rPr>
                <w:rFonts w:hint="eastAsia" w:ascii="宋体" w:hAnsi="宋体" w:cs="宋体"/>
                <w:color w:val="000000"/>
                <w:kern w:val="0"/>
                <w:szCs w:val="21"/>
              </w:rPr>
              <w:t>数据库同步支持有客户端、无客户端方式同步；</w:t>
            </w:r>
          </w:p>
          <w:p>
            <w:pPr>
              <w:widowControl w:val="0"/>
              <w:jc w:val="both"/>
              <w:rPr>
                <w:rFonts w:ascii="Calibri" w:hAnsi="Calibri"/>
                <w:kern w:val="0"/>
                <w:szCs w:val="21"/>
              </w:rPr>
            </w:pPr>
            <w:r>
              <w:rPr>
                <w:rFonts w:hint="eastAsia" w:ascii="宋体" w:hAnsi="宋体" w:cs="宋体"/>
                <w:color w:val="000000"/>
                <w:kern w:val="0"/>
                <w:szCs w:val="21"/>
              </w:rPr>
              <w:t>8、支持数据库中表字段过滤，可在策略中心进行策略设置，然后在表字段直接进行引用；</w:t>
            </w:r>
          </w:p>
          <w:p>
            <w:pPr>
              <w:widowControl w:val="0"/>
              <w:jc w:val="both"/>
              <w:rPr>
                <w:rFonts w:ascii="Calibri" w:hAnsi="Calibri"/>
                <w:kern w:val="0"/>
                <w:szCs w:val="21"/>
              </w:rPr>
            </w:pPr>
            <w:r>
              <w:rPr>
                <w:rFonts w:hint="eastAsia" w:ascii="Calibri" w:hAnsi="Calibri"/>
                <w:kern w:val="0"/>
                <w:szCs w:val="21"/>
              </w:rPr>
              <w:t xml:space="preserve"> 9、支持异构双引擎病毒模块，可根据用户需求选择需要的病毒引擎；支持云查杀模式，可联动云端文件查杀防止恶意文件通过网闸进入内网；（要求提供产品功能截图并加盖原厂公章）</w:t>
            </w:r>
          </w:p>
        </w:tc>
        <w:tc>
          <w:tcPr>
            <w:tcW w:w="709" w:type="dxa"/>
            <w:vAlign w:val="center"/>
          </w:tcPr>
          <w:p>
            <w:pPr>
              <w:widowControl w:val="0"/>
              <w:jc w:val="center"/>
              <w:rPr>
                <w:rFonts w:ascii="Calibri" w:hAnsi="Calibri"/>
                <w:kern w:val="0"/>
                <w:szCs w:val="21"/>
              </w:rPr>
            </w:pPr>
            <w:r>
              <w:rPr>
                <w:rFonts w:hint="eastAsia" w:ascii="Calibri" w:hAnsi="Calibri"/>
                <w:kern w:val="0"/>
                <w:szCs w:val="21"/>
              </w:rPr>
              <w:t>台</w:t>
            </w:r>
          </w:p>
        </w:tc>
        <w:tc>
          <w:tcPr>
            <w:tcW w:w="709" w:type="dxa"/>
            <w:vAlign w:val="center"/>
          </w:tcPr>
          <w:p>
            <w:pPr>
              <w:widowControl w:val="0"/>
              <w:jc w:val="center"/>
              <w:rPr>
                <w:rFonts w:ascii="Calibri" w:hAnsi="Calibri"/>
                <w:kern w:val="0"/>
                <w:szCs w:val="21"/>
              </w:rPr>
            </w:pPr>
            <w:r>
              <w:rPr>
                <w:rFonts w:hint="eastAsia" w:ascii="Calibri" w:hAnsi="Calibri"/>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rPr>
                <w:rFonts w:ascii="Calibri" w:hAnsi="Calibri"/>
                <w:kern w:val="0"/>
                <w:szCs w:val="21"/>
              </w:rPr>
            </w:pPr>
            <w:r>
              <w:rPr>
                <w:rFonts w:hint="eastAsia" w:ascii="Calibri" w:hAnsi="Calibri"/>
                <w:kern w:val="0"/>
                <w:szCs w:val="21"/>
              </w:rPr>
              <w:t>3</w:t>
            </w:r>
          </w:p>
        </w:tc>
        <w:tc>
          <w:tcPr>
            <w:tcW w:w="1276" w:type="dxa"/>
            <w:vAlign w:val="center"/>
          </w:tcPr>
          <w:p>
            <w:pPr>
              <w:widowControl w:val="0"/>
              <w:jc w:val="center"/>
              <w:rPr>
                <w:rFonts w:ascii="Calibri" w:hAnsi="Calibri"/>
                <w:kern w:val="0"/>
                <w:szCs w:val="21"/>
              </w:rPr>
            </w:pPr>
            <w:r>
              <w:rPr>
                <w:rFonts w:hint="eastAsia" w:ascii="Calibri" w:hAnsi="Calibri"/>
                <w:kern w:val="0"/>
                <w:szCs w:val="21"/>
              </w:rPr>
              <w:t>终端移动存储管理授权</w:t>
            </w:r>
          </w:p>
        </w:tc>
        <w:tc>
          <w:tcPr>
            <w:tcW w:w="5386" w:type="dxa"/>
          </w:tcPr>
          <w:p>
            <w:pPr>
              <w:widowControl w:val="0"/>
              <w:spacing w:line="240" w:lineRule="auto"/>
              <w:jc w:val="both"/>
              <w:rPr>
                <w:rFonts w:ascii="Calibri" w:hAnsi="Calibri"/>
                <w:kern w:val="0"/>
                <w:szCs w:val="21"/>
              </w:rPr>
            </w:pPr>
            <w:r>
              <w:rPr>
                <w:rFonts w:hint="eastAsia" w:ascii="Calibri" w:hAnsi="Calibri"/>
                <w:kern w:val="0"/>
                <w:szCs w:val="21"/>
              </w:rPr>
              <w:t>1、移动存储管理，支持对移动存储介质的身份注册、适用范围和读写权限管理、移动介质挂失管理、外出管理、终端设备例外、移动存储介质行为审计等功能。</w:t>
            </w:r>
          </w:p>
          <w:p>
            <w:pPr>
              <w:widowControl w:val="0"/>
              <w:spacing w:line="240" w:lineRule="auto"/>
              <w:jc w:val="both"/>
              <w:rPr>
                <w:rFonts w:ascii="Calibri" w:hAnsi="Calibri"/>
                <w:kern w:val="0"/>
                <w:szCs w:val="21"/>
              </w:rPr>
            </w:pPr>
            <w:r>
              <w:rPr>
                <w:rFonts w:hint="eastAsia" w:ascii="Calibri" w:hAnsi="Calibri"/>
                <w:kern w:val="0"/>
                <w:szCs w:val="21"/>
              </w:rPr>
              <w:t>支持主流Windows PC客户端操作系统，默认包含一年更新服务。</w:t>
            </w:r>
          </w:p>
        </w:tc>
        <w:tc>
          <w:tcPr>
            <w:tcW w:w="709" w:type="dxa"/>
            <w:vAlign w:val="center"/>
          </w:tcPr>
          <w:p>
            <w:pPr>
              <w:widowControl w:val="0"/>
              <w:jc w:val="center"/>
              <w:rPr>
                <w:rFonts w:ascii="Calibri" w:hAnsi="Calibri"/>
                <w:kern w:val="0"/>
                <w:szCs w:val="21"/>
              </w:rPr>
            </w:pPr>
            <w:r>
              <w:rPr>
                <w:rFonts w:hint="eastAsia" w:ascii="Calibri" w:hAnsi="Calibri"/>
                <w:kern w:val="0"/>
                <w:szCs w:val="21"/>
              </w:rPr>
              <w:t>套</w:t>
            </w:r>
          </w:p>
        </w:tc>
        <w:tc>
          <w:tcPr>
            <w:tcW w:w="709" w:type="dxa"/>
            <w:vAlign w:val="center"/>
          </w:tcPr>
          <w:p>
            <w:pPr>
              <w:widowControl w:val="0"/>
              <w:jc w:val="center"/>
              <w:rPr>
                <w:rFonts w:ascii="Calibri" w:hAnsi="Calibri"/>
                <w:kern w:val="0"/>
                <w:szCs w:val="21"/>
              </w:rPr>
            </w:pPr>
            <w:r>
              <w:rPr>
                <w:rFonts w:hint="eastAsia" w:ascii="Calibri" w:hAnsi="Calibri"/>
                <w:kern w:val="0"/>
                <w:szCs w:val="21"/>
              </w:rPr>
              <w:t>100</w:t>
            </w:r>
          </w:p>
        </w:tc>
      </w:tr>
    </w:tbl>
    <w:p>
      <w:pPr>
        <w:pStyle w:val="3"/>
      </w:pPr>
    </w:p>
    <w:p>
      <w:pPr>
        <w:spacing w:line="240" w:lineRule="auto"/>
        <w:rPr>
          <w:rFonts w:ascii="宋体" w:hAnsi="宋体" w:cs="宋体"/>
          <w:sz w:val="24"/>
        </w:rPr>
      </w:pPr>
      <w:r>
        <w:rPr>
          <w:rFonts w:hint="eastAsia" w:ascii="宋体" w:hAnsi="宋体" w:cs="宋体"/>
          <w:sz w:val="24"/>
        </w:rPr>
        <w:br w:type="page"/>
      </w:r>
    </w:p>
    <w:p>
      <w:pPr>
        <w:spacing w:line="360" w:lineRule="auto"/>
        <w:rPr>
          <w:rFonts w:ascii="宋体" w:hAnsi="宋体" w:cs="宋体"/>
          <w:sz w:val="24"/>
        </w:rPr>
      </w:pPr>
      <w:r>
        <w:rPr>
          <w:rFonts w:hint="eastAsia" w:ascii="宋体" w:hAnsi="宋体" w:cs="宋体"/>
          <w:sz w:val="24"/>
        </w:rPr>
        <w:t>（五）供货范围:本次采购含新设备采购及后期安装调试、培训服务。</w:t>
      </w:r>
    </w:p>
    <w:p>
      <w:pPr>
        <w:spacing w:line="360" w:lineRule="auto"/>
        <w:rPr>
          <w:rFonts w:ascii="宋体" w:hAnsi="宋体" w:cs="宋体"/>
          <w:sz w:val="24"/>
        </w:rPr>
      </w:pPr>
      <w:r>
        <w:rPr>
          <w:rFonts w:hint="eastAsia" w:ascii="宋体" w:hAnsi="宋体" w:cs="宋体"/>
          <w:sz w:val="24"/>
        </w:rPr>
        <w:t>（六）附件及零配件、备品备件的要求：按采购数量配置设备电源线等附件。</w:t>
      </w:r>
    </w:p>
    <w:p>
      <w:pPr>
        <w:spacing w:line="360" w:lineRule="auto"/>
        <w:rPr>
          <w:rFonts w:ascii="宋体" w:hAnsi="宋体" w:cs="宋体"/>
          <w:sz w:val="24"/>
        </w:rPr>
      </w:pPr>
      <w:r>
        <w:rPr>
          <w:rFonts w:hint="eastAsia" w:ascii="宋体" w:hAnsi="宋体" w:cs="宋体"/>
          <w:sz w:val="24"/>
        </w:rPr>
        <w:t>（七）验收标准和方法：</w:t>
      </w:r>
    </w:p>
    <w:p>
      <w:pPr>
        <w:adjustRightInd w:val="0"/>
        <w:snapToGrid w:val="0"/>
        <w:spacing w:line="360" w:lineRule="auto"/>
        <w:ind w:left="357" w:leftChars="170"/>
        <w:rPr>
          <w:rFonts w:ascii="宋体" w:hAnsi="宋体"/>
          <w:sz w:val="24"/>
        </w:rPr>
      </w:pPr>
      <w:r>
        <w:rPr>
          <w:rFonts w:hint="eastAsia" w:ascii="宋体" w:hAnsi="宋体"/>
          <w:sz w:val="24"/>
        </w:rPr>
        <w:t>1.供应商所提供的产品须满足国家相关规范要求；</w:t>
      </w:r>
    </w:p>
    <w:p>
      <w:pPr>
        <w:adjustRightInd w:val="0"/>
        <w:snapToGrid w:val="0"/>
        <w:spacing w:line="360" w:lineRule="auto"/>
        <w:ind w:left="357" w:leftChars="170"/>
        <w:rPr>
          <w:rFonts w:ascii="宋体" w:hAnsi="宋体"/>
          <w:sz w:val="24"/>
        </w:rPr>
      </w:pPr>
      <w:r>
        <w:rPr>
          <w:rFonts w:hint="eastAsia" w:ascii="宋体" w:hAnsi="宋体"/>
          <w:sz w:val="24"/>
        </w:rPr>
        <w:t>2.供应商所提供的产品的出厂日期不超过6个月；</w:t>
      </w:r>
    </w:p>
    <w:p>
      <w:pPr>
        <w:adjustRightInd w:val="0"/>
        <w:snapToGrid w:val="0"/>
        <w:spacing w:line="360" w:lineRule="auto"/>
        <w:ind w:left="357" w:leftChars="170"/>
        <w:rPr>
          <w:rFonts w:ascii="宋体" w:hAnsi="宋体" w:cs="宋体"/>
          <w:sz w:val="24"/>
        </w:rPr>
      </w:pPr>
      <w:r>
        <w:rPr>
          <w:rFonts w:hint="eastAsia" w:ascii="宋体" w:hAnsi="宋体"/>
          <w:sz w:val="24"/>
        </w:rPr>
        <w:t>3.供应商须提供完整的技术资料及质量保证书。</w:t>
      </w:r>
    </w:p>
    <w:p>
      <w:pPr>
        <w:spacing w:line="360" w:lineRule="auto"/>
        <w:rPr>
          <w:rFonts w:ascii="宋体" w:hAnsi="宋体" w:cs="宋体"/>
          <w:sz w:val="24"/>
        </w:rPr>
      </w:pPr>
      <w:r>
        <w:rPr>
          <w:rFonts w:hint="eastAsia" w:ascii="宋体" w:hAnsi="宋体" w:cs="宋体"/>
          <w:sz w:val="24"/>
        </w:rPr>
        <w:t>（八）安装调试及技术服务要求：卖家应提供产品设备的免费安装、调试及教学培训等服务。</w:t>
      </w:r>
    </w:p>
    <w:p>
      <w:pPr>
        <w:numPr>
          <w:ilvl w:val="255"/>
          <w:numId w:val="0"/>
        </w:numPr>
        <w:spacing w:line="360" w:lineRule="auto"/>
        <w:rPr>
          <w:rFonts w:ascii="宋体" w:hAnsi="宋体" w:cs="宋体"/>
          <w:sz w:val="24"/>
        </w:rPr>
      </w:pPr>
      <w:r>
        <w:rPr>
          <w:rFonts w:hint="eastAsia" w:ascii="宋体" w:hAnsi="宋体" w:cs="宋体"/>
          <w:sz w:val="24"/>
        </w:rPr>
        <w:t>（九）售后服务的要求：</w:t>
      </w:r>
    </w:p>
    <w:p>
      <w:pPr>
        <w:spacing w:line="360" w:lineRule="auto"/>
        <w:rPr>
          <w:rFonts w:hint="default" w:ascii="宋体" w:hAnsi="宋体" w:eastAsia="宋体" w:cs="宋体"/>
          <w:sz w:val="24"/>
          <w:u w:val="none"/>
          <w:lang w:val="en-US" w:eastAsia="zh-CN"/>
        </w:rPr>
      </w:pPr>
      <w:r>
        <w:rPr>
          <w:rFonts w:hint="eastAsia" w:ascii="宋体" w:hAnsi="宋体" w:cs="宋体"/>
          <w:sz w:val="24"/>
        </w:rPr>
        <w:t xml:space="preserve">    1.项目整体硬件质保期为</w:t>
      </w:r>
      <w:r>
        <w:rPr>
          <w:rFonts w:ascii="宋体" w:hAnsi="宋体" w:cs="宋体"/>
          <w:sz w:val="24"/>
          <w:u w:val="single"/>
        </w:rPr>
        <w:t>3</w:t>
      </w:r>
      <w:r>
        <w:rPr>
          <w:rFonts w:hint="eastAsia" w:ascii="宋体" w:hAnsi="宋体" w:cs="宋体"/>
          <w:sz w:val="24"/>
        </w:rPr>
        <w:t>年</w:t>
      </w:r>
      <w:r>
        <w:rPr>
          <w:rFonts w:hint="eastAsia" w:ascii="宋体" w:hAnsi="宋体" w:cs="宋体"/>
          <w:sz w:val="24"/>
          <w:lang w:eastAsia="zh-CN"/>
        </w:rPr>
        <w:t>，</w:t>
      </w:r>
      <w:r>
        <w:rPr>
          <w:rFonts w:hint="eastAsia" w:ascii="宋体" w:hAnsi="宋体" w:cs="宋体"/>
          <w:sz w:val="24"/>
          <w:lang w:val="en-US" w:eastAsia="zh-CN"/>
        </w:rPr>
        <w:t>软件质保期为</w:t>
      </w:r>
      <w:r>
        <w:rPr>
          <w:rFonts w:hint="eastAsia" w:ascii="宋体" w:hAnsi="宋体" w:cs="宋体"/>
          <w:sz w:val="24"/>
          <w:u w:val="single"/>
          <w:lang w:val="en-US" w:eastAsia="zh-CN"/>
        </w:rPr>
        <w:t>1</w:t>
      </w:r>
      <w:r>
        <w:rPr>
          <w:rFonts w:hint="eastAsia" w:ascii="宋体" w:hAnsi="宋体" w:cs="宋体"/>
          <w:sz w:val="24"/>
          <w:u w:val="none"/>
          <w:lang w:val="en-US" w:eastAsia="zh-CN"/>
        </w:rPr>
        <w:t>年。</w:t>
      </w:r>
    </w:p>
    <w:p>
      <w:pPr>
        <w:pStyle w:val="3"/>
        <w:spacing w:line="360" w:lineRule="auto"/>
        <w:ind w:firstLine="480"/>
        <w:rPr>
          <w:rFonts w:ascii="宋体" w:hAnsi="宋体" w:cs="宋体"/>
          <w:sz w:val="24"/>
        </w:rPr>
      </w:pPr>
      <w:r>
        <w:rPr>
          <w:rFonts w:hint="eastAsia" w:ascii="宋体" w:hAnsi="宋体" w:cs="宋体"/>
          <w:sz w:val="24"/>
        </w:rPr>
        <w:t>2.自买方验收产品合格后的</w:t>
      </w:r>
      <w:r>
        <w:rPr>
          <w:rFonts w:hint="eastAsia" w:ascii="宋体" w:hAnsi="宋体" w:cs="宋体"/>
          <w:sz w:val="24"/>
          <w:u w:val="single"/>
        </w:rPr>
        <w:t>1</w:t>
      </w:r>
      <w:r>
        <w:rPr>
          <w:rFonts w:hint="eastAsia" w:ascii="宋体" w:hAnsi="宋体" w:cs="宋体"/>
          <w:sz w:val="24"/>
        </w:rPr>
        <w:t>年内，除使用不当所造成的损坏以外的影响产品正常使用的质量问题，卖方应在收到买方通知后</w:t>
      </w:r>
      <w:r>
        <w:rPr>
          <w:rFonts w:hint="eastAsia" w:ascii="宋体" w:hAnsi="宋体" w:cs="宋体"/>
          <w:sz w:val="24"/>
          <w:u w:val="single"/>
        </w:rPr>
        <w:t>8</w:t>
      </w:r>
      <w:r>
        <w:rPr>
          <w:rFonts w:hint="eastAsia" w:ascii="宋体" w:hAnsi="宋体" w:cs="宋体"/>
          <w:sz w:val="24"/>
        </w:rPr>
        <w:t>小时之内进行响应并提出解决方案，问题严重时，卖方应在</w:t>
      </w:r>
      <w:r>
        <w:rPr>
          <w:rFonts w:hint="eastAsia" w:ascii="宋体" w:hAnsi="宋体" w:cs="宋体"/>
          <w:sz w:val="24"/>
          <w:u w:val="single"/>
        </w:rPr>
        <w:t>24</w:t>
      </w:r>
      <w:r>
        <w:rPr>
          <w:rFonts w:hint="eastAsia" w:ascii="宋体" w:hAnsi="宋体" w:cs="宋体"/>
          <w:sz w:val="24"/>
        </w:rPr>
        <w:t>小时内委派专业技术人员到达现场查看，</w:t>
      </w:r>
      <w:r>
        <w:rPr>
          <w:rFonts w:hint="eastAsia" w:ascii="宋体" w:hAnsi="宋体" w:cs="宋体"/>
          <w:sz w:val="24"/>
          <w:u w:val="single"/>
        </w:rPr>
        <w:t>48</w:t>
      </w:r>
      <w:r>
        <w:rPr>
          <w:rFonts w:hint="eastAsia" w:ascii="宋体" w:hAnsi="宋体" w:cs="宋体"/>
          <w:sz w:val="24"/>
        </w:rPr>
        <w:t>小时内免费负责修复或更换。</w:t>
      </w:r>
    </w:p>
    <w:p>
      <w:pPr>
        <w:pStyle w:val="4"/>
        <w:ind w:firstLine="480"/>
      </w:pPr>
      <w:r>
        <w:rPr>
          <w:rFonts w:hint="eastAsia" w:ascii="宋体" w:hAnsi="宋体" w:eastAsia="宋体" w:cs="宋体"/>
          <w:spacing w:val="0"/>
          <w:kern w:val="2"/>
          <w:sz w:val="24"/>
          <w:szCs w:val="24"/>
          <w:lang w:val="en-US" w:eastAsia="zh-CN" w:bidi="ar-SA"/>
        </w:rPr>
        <w:t>3.服务要求：要求投标人为本项目供应的所有产品提供原厂三年硬件和一年软件免费质保服务，并由所有产品原厂商针对本项目出具的售后服务承诺函原件并加盖原厂公章。</w:t>
      </w:r>
    </w:p>
    <w:p>
      <w:pPr>
        <w:spacing w:line="240" w:lineRule="auto"/>
        <w:rPr>
          <w:rFonts w:ascii="仿宋" w:hAnsi="仿宋" w:eastAsia="仿宋" w:cs="仿宋"/>
          <w:sz w:val="30"/>
          <w:szCs w:val="30"/>
        </w:rPr>
      </w:pPr>
      <w:r>
        <w:rPr>
          <w:rFonts w:ascii="仿宋" w:hAnsi="仿宋" w:eastAsia="仿宋" w:cs="仿宋"/>
          <w:sz w:val="30"/>
          <w:szCs w:val="30"/>
        </w:rPr>
        <w:br w:type="page"/>
      </w:r>
    </w:p>
    <w:p>
      <w:pPr>
        <w:spacing w:line="312" w:lineRule="auto"/>
        <w:jc w:val="center"/>
        <w:outlineLvl w:val="0"/>
        <w:rPr>
          <w:rFonts w:ascii="黑体" w:hAnsi="黑体" w:eastAsia="黑体" w:cs="仿宋"/>
          <w:b/>
          <w:color w:val="000000"/>
          <w:sz w:val="36"/>
          <w:szCs w:val="36"/>
        </w:rPr>
      </w:pPr>
      <w:bookmarkStart w:id="30" w:name="_Toc3928"/>
      <w:r>
        <w:rPr>
          <w:rFonts w:hint="eastAsia" w:ascii="黑体" w:hAnsi="黑体" w:eastAsia="黑体" w:cs="仿宋"/>
          <w:b/>
          <w:color w:val="000000"/>
          <w:sz w:val="36"/>
          <w:szCs w:val="36"/>
        </w:rPr>
        <w:t>第六章  响应文件格式</w:t>
      </w:r>
      <w:bookmarkEnd w:id="30"/>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31" w:name="_Toc20716"/>
      <w:r>
        <w:rPr>
          <w:rFonts w:hint="eastAsia" w:eastAsia="方正小标宋_GBK"/>
          <w:b/>
          <w:bCs/>
          <w:sz w:val="40"/>
          <w:szCs w:val="36"/>
        </w:rPr>
        <w:t>项目</w:t>
      </w:r>
      <w:bookmarkEnd w:id="31"/>
    </w:p>
    <w:p>
      <w:pPr>
        <w:widowControl w:val="0"/>
        <w:spacing w:before="240" w:beforeLines="100" w:after="240" w:afterLines="100" w:line="240" w:lineRule="auto"/>
        <w:jc w:val="center"/>
        <w:outlineLvl w:val="0"/>
        <w:rPr>
          <w:rFonts w:eastAsia="楷体_GB2312"/>
          <w:b/>
          <w:bCs/>
          <w:sz w:val="28"/>
          <w:szCs w:val="28"/>
        </w:rPr>
      </w:pPr>
      <w:bookmarkStart w:id="32" w:name="_Toc31832"/>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2"/>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3" w:name="_Toc8196"/>
      <w:r>
        <w:rPr>
          <w:rFonts w:hint="eastAsia" w:eastAsia="方正小标宋_GBK"/>
          <w:b/>
          <w:bCs/>
          <w:spacing w:val="160"/>
          <w:sz w:val="72"/>
          <w:szCs w:val="72"/>
        </w:rPr>
        <w:t>响应</w:t>
      </w:r>
      <w:r>
        <w:rPr>
          <w:rFonts w:eastAsia="方正小标宋_GBK"/>
          <w:b/>
          <w:bCs/>
          <w:spacing w:val="160"/>
          <w:sz w:val="72"/>
          <w:szCs w:val="72"/>
        </w:rPr>
        <w:t>文件</w:t>
      </w:r>
      <w:bookmarkEnd w:id="33"/>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4" w:name="_Toc8163"/>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4"/>
      <w:r>
        <w:rPr>
          <w:rFonts w:eastAsia="黑体"/>
          <w:bCs/>
          <w:sz w:val="30"/>
          <w:szCs w:val="30"/>
          <w:u w:val="single"/>
        </w:rPr>
        <w:t xml:space="preserve"> </w:t>
      </w:r>
    </w:p>
    <w:p>
      <w:pPr>
        <w:spacing w:line="900" w:lineRule="exact"/>
        <w:jc w:val="center"/>
        <w:outlineLvl w:val="0"/>
        <w:rPr>
          <w:rFonts w:eastAsia="黑体"/>
          <w:sz w:val="30"/>
          <w:szCs w:val="30"/>
        </w:rPr>
      </w:pPr>
      <w:bookmarkStart w:id="35" w:name="_Toc2448"/>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5"/>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40"/>
          <w:szCs w:val="40"/>
        </w:rPr>
      </w:pPr>
      <w:bookmarkStart w:id="36" w:name="_Toc21209"/>
      <w:r>
        <w:rPr>
          <w:rFonts w:hint="eastAsia" w:ascii="黑体" w:hAnsi="黑体" w:eastAsia="黑体" w:cs="仿宋"/>
          <w:sz w:val="40"/>
          <w:szCs w:val="40"/>
        </w:rPr>
        <w:t xml:space="preserve">目 </w:t>
      </w:r>
      <w:r>
        <w:rPr>
          <w:rFonts w:ascii="黑体" w:hAnsi="黑体" w:eastAsia="黑体" w:cs="仿宋"/>
          <w:sz w:val="40"/>
          <w:szCs w:val="40"/>
        </w:rPr>
        <w:t xml:space="preserve"> </w:t>
      </w:r>
      <w:r>
        <w:rPr>
          <w:rFonts w:hint="eastAsia" w:ascii="黑体" w:hAnsi="黑体" w:eastAsia="黑体" w:cs="仿宋"/>
          <w:sz w:val="40"/>
          <w:szCs w:val="40"/>
        </w:rPr>
        <w:t>录</w:t>
      </w:r>
      <w:bookmarkEnd w:id="36"/>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7" w:name="_Toc23934"/>
      <w:r>
        <w:rPr>
          <w:rFonts w:hint="eastAsia" w:ascii="宋体" w:hAnsi="宋体" w:cs="仿宋"/>
          <w:sz w:val="24"/>
        </w:rPr>
        <w:t>一、响应函</w:t>
      </w:r>
      <w:bookmarkEnd w:id="37"/>
    </w:p>
    <w:p>
      <w:pPr>
        <w:adjustRightInd w:val="0"/>
        <w:snapToGrid w:val="0"/>
        <w:spacing w:line="600" w:lineRule="exact"/>
        <w:jc w:val="both"/>
        <w:outlineLvl w:val="0"/>
      </w:pPr>
      <w:bookmarkStart w:id="38" w:name="_Toc23996"/>
      <w:r>
        <w:rPr>
          <w:rFonts w:hint="eastAsia" w:ascii="宋体" w:hAnsi="宋体" w:cs="仿宋"/>
          <w:sz w:val="24"/>
        </w:rPr>
        <w:t>二、授权委托书(适用于有委托代理人的情况)</w:t>
      </w:r>
      <w:bookmarkEnd w:id="38"/>
    </w:p>
    <w:p>
      <w:pPr>
        <w:adjustRightInd w:val="0"/>
        <w:snapToGrid w:val="0"/>
        <w:spacing w:line="600" w:lineRule="exact"/>
        <w:jc w:val="both"/>
        <w:outlineLvl w:val="0"/>
        <w:rPr>
          <w:rFonts w:ascii="宋体" w:hAnsi="宋体" w:cs="仿宋"/>
          <w:sz w:val="24"/>
        </w:rPr>
      </w:pPr>
      <w:bookmarkStart w:id="39" w:name="_Toc16749"/>
      <w:r>
        <w:rPr>
          <w:rFonts w:hint="eastAsia" w:ascii="宋体" w:hAnsi="宋体" w:cs="仿宋"/>
          <w:sz w:val="24"/>
        </w:rPr>
        <w:t>三、商务和技术偏差表</w:t>
      </w:r>
      <w:bookmarkEnd w:id="39"/>
    </w:p>
    <w:p>
      <w:pPr>
        <w:adjustRightInd w:val="0"/>
        <w:snapToGrid w:val="0"/>
        <w:spacing w:line="600" w:lineRule="exact"/>
        <w:jc w:val="both"/>
        <w:outlineLvl w:val="0"/>
        <w:rPr>
          <w:rFonts w:ascii="宋体" w:hAnsi="宋体" w:cs="仿宋"/>
          <w:sz w:val="24"/>
        </w:rPr>
      </w:pPr>
      <w:bookmarkStart w:id="40" w:name="_Toc23116"/>
      <w:r>
        <w:rPr>
          <w:rFonts w:hint="eastAsia" w:ascii="宋体" w:hAnsi="宋体" w:cs="仿宋"/>
          <w:sz w:val="24"/>
        </w:rPr>
        <w:t>四、报价表</w:t>
      </w:r>
      <w:bookmarkEnd w:id="40"/>
    </w:p>
    <w:p>
      <w:pPr>
        <w:adjustRightInd w:val="0"/>
        <w:snapToGrid w:val="0"/>
        <w:spacing w:line="600" w:lineRule="exact"/>
        <w:jc w:val="both"/>
        <w:outlineLvl w:val="0"/>
        <w:rPr>
          <w:rFonts w:ascii="宋体" w:hAnsi="宋体" w:cs="仿宋"/>
          <w:sz w:val="24"/>
        </w:rPr>
      </w:pPr>
      <w:bookmarkStart w:id="41" w:name="_Toc12364"/>
      <w:r>
        <w:rPr>
          <w:rFonts w:hint="eastAsia" w:ascii="宋体" w:hAnsi="宋体" w:cs="仿宋"/>
          <w:sz w:val="24"/>
        </w:rPr>
        <w:t>五、资格审查资料</w:t>
      </w:r>
      <w:bookmarkEnd w:id="41"/>
    </w:p>
    <w:p>
      <w:pPr>
        <w:adjustRightInd w:val="0"/>
        <w:snapToGrid w:val="0"/>
        <w:spacing w:line="600" w:lineRule="exact"/>
        <w:jc w:val="both"/>
        <w:outlineLvl w:val="0"/>
        <w:rPr>
          <w:rFonts w:ascii="宋体" w:hAnsi="宋体" w:cs="仿宋"/>
          <w:sz w:val="24"/>
        </w:rPr>
      </w:pPr>
      <w:bookmarkStart w:id="42" w:name="_Toc18209"/>
      <w:r>
        <w:rPr>
          <w:rFonts w:hint="eastAsia" w:ascii="宋体" w:hAnsi="宋体" w:cs="仿宋"/>
          <w:sz w:val="24"/>
        </w:rPr>
        <w:t>六、响应方案</w:t>
      </w:r>
      <w:bookmarkEnd w:id="42"/>
    </w:p>
    <w:p>
      <w:pPr>
        <w:adjustRightInd w:val="0"/>
        <w:snapToGrid w:val="0"/>
        <w:spacing w:line="600" w:lineRule="exact"/>
        <w:jc w:val="both"/>
        <w:outlineLvl w:val="0"/>
        <w:rPr>
          <w:rFonts w:ascii="宋体" w:hAnsi="宋体" w:cs="仿宋"/>
          <w:sz w:val="24"/>
        </w:rPr>
      </w:pPr>
      <w:bookmarkStart w:id="43" w:name="_Toc2071"/>
      <w:r>
        <w:rPr>
          <w:rFonts w:hint="eastAsia" w:ascii="宋体" w:hAnsi="宋体" w:cs="仿宋"/>
          <w:sz w:val="24"/>
        </w:rPr>
        <w:t>七、其他资料</w:t>
      </w:r>
      <w:bookmarkEnd w:id="43"/>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7"/>
        </w:numPr>
        <w:adjustRightInd w:val="0"/>
        <w:snapToGrid w:val="0"/>
        <w:spacing w:line="600" w:lineRule="exact"/>
        <w:jc w:val="center"/>
        <w:outlineLvl w:val="0"/>
        <w:rPr>
          <w:rFonts w:ascii="黑体" w:hAnsi="黑体" w:eastAsia="黑体" w:cs="仿宋"/>
          <w:sz w:val="36"/>
          <w:szCs w:val="36"/>
        </w:rPr>
      </w:pPr>
      <w:bookmarkStart w:id="44" w:name="_Toc1282"/>
      <w:r>
        <w:rPr>
          <w:rFonts w:hint="eastAsia" w:ascii="黑体" w:hAnsi="黑体" w:eastAsia="黑体" w:cs="仿宋"/>
          <w:sz w:val="36"/>
          <w:szCs w:val="36"/>
        </w:rPr>
        <w:t>响应函</w:t>
      </w:r>
      <w:bookmarkEnd w:id="44"/>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)完成提供本项目货物，并按合同约定履行义务。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pPr>
      <w:r>
        <w:rPr>
          <w:rFonts w:hint="eastAsia" w:cs="仿宋" w:asciiTheme="minorEastAsia" w:hAnsiTheme="minorEastAsia" w:eastAsiaTheme="minorEastAsia"/>
          <w:sz w:val="24"/>
        </w:rPr>
        <w:t>(7)其他资料（如有）；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响应文件的上述组成部分如存在内容不一致的，以响应函为准。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8"/>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8"/>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不存在第一章“采购公告”中规定的供应商不得存在的情形</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5" w:name="_Toc7753"/>
      <w:r>
        <w:rPr>
          <w:rFonts w:hint="eastAsia" w:ascii="黑体" w:hAnsi="黑体" w:eastAsia="黑体" w:cs="仿宋"/>
          <w:sz w:val="36"/>
          <w:szCs w:val="36"/>
        </w:rPr>
        <w:t>二、授权委托书</w:t>
      </w:r>
      <w:bookmarkEnd w:id="45"/>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center"/>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6" w:name="_Toc29706"/>
      <w:r>
        <w:rPr>
          <w:rFonts w:hint="eastAsia" w:ascii="黑体" w:hAnsi="黑体" w:eastAsia="黑体" w:cs="仿宋"/>
          <w:sz w:val="36"/>
          <w:szCs w:val="36"/>
        </w:rPr>
        <w:t>三、商务和技术偏差表</w:t>
      </w:r>
      <w:bookmarkEnd w:id="46"/>
    </w:p>
    <w:p>
      <w:pPr>
        <w:spacing w:line="600" w:lineRule="exact"/>
        <w:jc w:val="center"/>
        <w:rPr>
          <w:rFonts w:cs="仿宋" w:asciiTheme="minorEastAsia" w:hAnsiTheme="minorEastAsia" w:eastAsiaTheme="minorEastAsia"/>
          <w:sz w:val="24"/>
        </w:rPr>
      </w:pPr>
    </w:p>
    <w:tbl>
      <w:tblPr>
        <w:tblStyle w:val="40"/>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vAlign w:val="center"/>
          </w:tcPr>
          <w:p>
            <w:pPr>
              <w:widowControl/>
              <w:spacing w:line="600" w:lineRule="exact"/>
              <w:jc w:val="center"/>
              <w:rPr>
                <w:rFonts w:cs="仿宋" w:asciiTheme="minorEastAsia" w:hAnsiTheme="minorEastAsia" w:eastAsiaTheme="minorEastAsia"/>
                <w:sz w:val="24"/>
              </w:rPr>
            </w:pPr>
          </w:p>
        </w:tc>
        <w:tc>
          <w:tcPr>
            <w:tcW w:w="2809" w:type="dxa"/>
            <w:vAlign w:val="center"/>
          </w:tcPr>
          <w:p>
            <w:pPr>
              <w:widowControl/>
              <w:spacing w:line="600" w:lineRule="exact"/>
              <w:jc w:val="center"/>
              <w:rPr>
                <w:rFonts w:cs="仿宋" w:asciiTheme="minorEastAsia" w:hAnsiTheme="minorEastAsia" w:eastAsiaTheme="minorEastAsia"/>
                <w:sz w:val="24"/>
              </w:rPr>
            </w:pPr>
          </w:p>
        </w:tc>
        <w:tc>
          <w:tcPr>
            <w:tcW w:w="2656" w:type="dxa"/>
            <w:vAlign w:val="center"/>
          </w:tcPr>
          <w:p>
            <w:pPr>
              <w:widowControl/>
              <w:spacing w:line="600" w:lineRule="exact"/>
              <w:jc w:val="center"/>
              <w:rPr>
                <w:rFonts w:cs="仿宋" w:asciiTheme="minorEastAsia" w:hAnsiTheme="minorEastAsia" w:eastAsiaTheme="minorEastAsia"/>
                <w:sz w:val="24"/>
              </w:rPr>
            </w:pPr>
          </w:p>
        </w:tc>
        <w:tc>
          <w:tcPr>
            <w:tcW w:w="2175"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vAlign w:val="center"/>
          </w:tcPr>
          <w:p>
            <w:pPr>
              <w:widowControl/>
              <w:spacing w:line="600" w:lineRule="exact"/>
              <w:jc w:val="center"/>
              <w:rPr>
                <w:rFonts w:cs="仿宋" w:asciiTheme="minorEastAsia" w:hAnsiTheme="minorEastAsia" w:eastAsiaTheme="minorEastAsia"/>
                <w:sz w:val="24"/>
              </w:rPr>
            </w:pPr>
          </w:p>
        </w:tc>
        <w:tc>
          <w:tcPr>
            <w:tcW w:w="2809" w:type="dxa"/>
            <w:vAlign w:val="center"/>
          </w:tcPr>
          <w:p>
            <w:pPr>
              <w:widowControl/>
              <w:spacing w:line="600" w:lineRule="exact"/>
              <w:jc w:val="center"/>
              <w:rPr>
                <w:rFonts w:cs="仿宋" w:asciiTheme="minorEastAsia" w:hAnsiTheme="minorEastAsia" w:eastAsiaTheme="minorEastAsia"/>
                <w:sz w:val="24"/>
              </w:rPr>
            </w:pPr>
          </w:p>
        </w:tc>
        <w:tc>
          <w:tcPr>
            <w:tcW w:w="2656" w:type="dxa"/>
            <w:vAlign w:val="center"/>
          </w:tcPr>
          <w:p>
            <w:pPr>
              <w:widowControl/>
              <w:spacing w:line="600" w:lineRule="exact"/>
              <w:jc w:val="center"/>
              <w:rPr>
                <w:rFonts w:cs="仿宋" w:asciiTheme="minorEastAsia" w:hAnsiTheme="minorEastAsia" w:eastAsiaTheme="minorEastAsia"/>
                <w:sz w:val="24"/>
              </w:rPr>
            </w:pPr>
          </w:p>
        </w:tc>
        <w:tc>
          <w:tcPr>
            <w:tcW w:w="2175" w:type="dxa"/>
            <w:vAlign w:val="center"/>
          </w:tcPr>
          <w:p>
            <w:pPr>
              <w:widowControl/>
              <w:spacing w:line="600" w:lineRule="exact"/>
              <w:jc w:val="center"/>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rPr>
          <w:rFonts w:ascii="黑体" w:hAnsi="黑体" w:eastAsia="黑体" w:cs="仿宋"/>
          <w:color w:val="FF0000"/>
          <w:sz w:val="36"/>
          <w:szCs w:val="36"/>
        </w:rPr>
      </w:pPr>
      <w:r>
        <w:rPr>
          <w:rFonts w:hint="eastAsia" w:ascii="黑体" w:hAnsi="黑体" w:eastAsia="黑体" w:cs="仿宋"/>
          <w:sz w:val="36"/>
          <w:szCs w:val="36"/>
        </w:rPr>
        <w:br w:type="page"/>
      </w:r>
    </w:p>
    <w:p>
      <w:pPr>
        <w:spacing w:line="600" w:lineRule="exact"/>
        <w:ind w:left="420"/>
        <w:jc w:val="center"/>
        <w:outlineLvl w:val="0"/>
        <w:rPr>
          <w:rFonts w:ascii="黑体" w:hAnsi="黑体" w:eastAsia="黑体" w:cs="仿宋"/>
          <w:sz w:val="36"/>
          <w:szCs w:val="36"/>
        </w:rPr>
      </w:pPr>
      <w:bookmarkStart w:id="47" w:name="_Toc22774"/>
      <w:r>
        <w:rPr>
          <w:rFonts w:hint="eastAsia" w:ascii="黑体" w:hAnsi="黑体" w:eastAsia="黑体" w:cs="仿宋"/>
          <w:sz w:val="36"/>
          <w:szCs w:val="36"/>
        </w:rPr>
        <w:t>四、报价表</w:t>
      </w:r>
      <w:bookmarkEnd w:id="47"/>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2.报价表</w:t>
      </w:r>
    </w:p>
    <w:tbl>
      <w:tblPr>
        <w:tblStyle w:val="40"/>
        <w:tblW w:w="9073"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02"/>
        <w:gridCol w:w="1769"/>
        <w:gridCol w:w="633"/>
        <w:gridCol w:w="744"/>
        <w:gridCol w:w="803"/>
        <w:gridCol w:w="1170"/>
        <w:gridCol w:w="117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531"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302"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产品</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名称</w:t>
            </w:r>
          </w:p>
        </w:tc>
        <w:tc>
          <w:tcPr>
            <w:tcW w:w="1769"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规格</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型号</w:t>
            </w:r>
          </w:p>
        </w:tc>
        <w:tc>
          <w:tcPr>
            <w:tcW w:w="633"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单位</w:t>
            </w:r>
          </w:p>
        </w:tc>
        <w:tc>
          <w:tcPr>
            <w:tcW w:w="74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数量</w:t>
            </w:r>
          </w:p>
        </w:tc>
        <w:tc>
          <w:tcPr>
            <w:tcW w:w="803"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税率</w:t>
            </w:r>
          </w:p>
        </w:tc>
        <w:tc>
          <w:tcPr>
            <w:tcW w:w="11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含税</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单价</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（元）</w:t>
            </w:r>
          </w:p>
          <w:p>
            <w:pPr>
              <w:widowControl/>
              <w:spacing w:line="288" w:lineRule="auto"/>
              <w:jc w:val="center"/>
              <w:rPr>
                <w:rFonts w:cs="仿宋" w:asciiTheme="minorEastAsia" w:hAnsiTheme="minorEastAsia" w:eastAsiaTheme="minorEastAsia"/>
                <w:sz w:val="24"/>
              </w:rPr>
            </w:pPr>
          </w:p>
        </w:tc>
        <w:tc>
          <w:tcPr>
            <w:tcW w:w="1170"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含税</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合价</w:t>
            </w:r>
          </w:p>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（元）</w:t>
            </w:r>
          </w:p>
          <w:p>
            <w:pPr>
              <w:widowControl/>
              <w:spacing w:line="288" w:lineRule="auto"/>
              <w:jc w:val="center"/>
              <w:rPr>
                <w:rFonts w:cs="仿宋" w:asciiTheme="minorEastAsia" w:hAnsiTheme="minorEastAsia" w:eastAsiaTheme="minorEastAsia"/>
                <w:sz w:val="24"/>
              </w:rPr>
            </w:pPr>
          </w:p>
        </w:tc>
        <w:tc>
          <w:tcPr>
            <w:tcW w:w="951"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531"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1302" w:type="dxa"/>
            <w:vAlign w:val="center"/>
          </w:tcPr>
          <w:p>
            <w:pPr>
              <w:widowControl w:val="0"/>
              <w:jc w:val="center"/>
              <w:rPr>
                <w:rFonts w:ascii="Calibri" w:hAnsi="Calibri"/>
                <w:kern w:val="0"/>
                <w:szCs w:val="21"/>
              </w:rPr>
            </w:pPr>
            <w:r>
              <w:rPr>
                <w:rFonts w:hint="eastAsia" w:ascii="Calibri" w:hAnsi="Calibri"/>
                <w:kern w:val="0"/>
                <w:szCs w:val="21"/>
              </w:rPr>
              <w:t>工业主机防护系统</w:t>
            </w:r>
          </w:p>
        </w:tc>
        <w:tc>
          <w:tcPr>
            <w:tcW w:w="1769" w:type="dxa"/>
            <w:vAlign w:val="center"/>
          </w:tcPr>
          <w:p>
            <w:pPr>
              <w:widowControl/>
              <w:spacing w:line="600" w:lineRule="exact"/>
              <w:jc w:val="center"/>
              <w:rPr>
                <w:rFonts w:cs="仿宋" w:asciiTheme="minorEastAsia" w:hAnsiTheme="minorEastAsia" w:eastAsiaTheme="minorEastAsia"/>
                <w:sz w:val="24"/>
              </w:rPr>
            </w:pPr>
          </w:p>
        </w:tc>
        <w:tc>
          <w:tcPr>
            <w:tcW w:w="633" w:type="dxa"/>
            <w:vAlign w:val="center"/>
          </w:tcPr>
          <w:p>
            <w:pPr>
              <w:widowControl w:val="0"/>
              <w:jc w:val="center"/>
              <w:rPr>
                <w:rFonts w:ascii="宋体" w:hAnsi="宋体"/>
                <w:bCs/>
                <w:kern w:val="0"/>
                <w:sz w:val="20"/>
                <w:szCs w:val="20"/>
              </w:rPr>
            </w:pPr>
            <w:r>
              <w:rPr>
                <w:rFonts w:hint="eastAsia" w:ascii="Calibri" w:hAnsi="Calibri"/>
                <w:kern w:val="0"/>
                <w:szCs w:val="21"/>
              </w:rPr>
              <w:t>台</w:t>
            </w:r>
          </w:p>
        </w:tc>
        <w:tc>
          <w:tcPr>
            <w:tcW w:w="744" w:type="dxa"/>
            <w:vAlign w:val="center"/>
          </w:tcPr>
          <w:p>
            <w:pPr>
              <w:widowControl w:val="0"/>
              <w:jc w:val="center"/>
              <w:rPr>
                <w:rFonts w:ascii="宋体" w:hAnsi="宋体"/>
                <w:bCs/>
                <w:kern w:val="0"/>
                <w:sz w:val="20"/>
                <w:szCs w:val="20"/>
              </w:rPr>
            </w:pPr>
            <w:r>
              <w:rPr>
                <w:rFonts w:ascii="宋体" w:hAnsi="宋体"/>
                <w:bCs/>
                <w:kern w:val="0"/>
                <w:sz w:val="20"/>
                <w:szCs w:val="20"/>
              </w:rPr>
              <w:t>30</w:t>
            </w:r>
          </w:p>
        </w:tc>
        <w:tc>
          <w:tcPr>
            <w:tcW w:w="803" w:type="dxa"/>
            <w:vAlign w:val="center"/>
          </w:tcPr>
          <w:p>
            <w:pPr>
              <w:widowControl/>
              <w:spacing w:line="288" w:lineRule="auto"/>
              <w:jc w:val="center"/>
              <w:rPr>
                <w:rFonts w:cs="仿宋" w:asciiTheme="minorEastAsia" w:hAnsiTheme="minorEastAsia" w:eastAsiaTheme="minorEastAsia"/>
                <w:sz w:val="24"/>
              </w:rPr>
            </w:pPr>
          </w:p>
        </w:tc>
        <w:tc>
          <w:tcPr>
            <w:tcW w:w="1170" w:type="dxa"/>
            <w:vAlign w:val="center"/>
          </w:tcPr>
          <w:p>
            <w:pPr>
              <w:widowControl/>
              <w:spacing w:line="288" w:lineRule="auto"/>
              <w:jc w:val="center"/>
              <w:rPr>
                <w:rFonts w:cs="仿宋" w:asciiTheme="minorEastAsia" w:hAnsiTheme="minorEastAsia" w:eastAsiaTheme="minorEastAsia"/>
                <w:sz w:val="24"/>
              </w:rPr>
            </w:pPr>
          </w:p>
        </w:tc>
        <w:tc>
          <w:tcPr>
            <w:tcW w:w="1170" w:type="dxa"/>
            <w:vAlign w:val="center"/>
          </w:tcPr>
          <w:p>
            <w:pPr>
              <w:widowControl/>
              <w:spacing w:line="288" w:lineRule="auto"/>
              <w:jc w:val="center"/>
              <w:rPr>
                <w:rFonts w:cs="仿宋" w:asciiTheme="minorEastAsia" w:hAnsiTheme="minorEastAsia" w:eastAsiaTheme="minorEastAsia"/>
                <w:sz w:val="24"/>
              </w:rPr>
            </w:pPr>
          </w:p>
        </w:tc>
        <w:tc>
          <w:tcPr>
            <w:tcW w:w="951"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31"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1302" w:type="dxa"/>
            <w:vAlign w:val="center"/>
          </w:tcPr>
          <w:p>
            <w:pPr>
              <w:widowControl w:val="0"/>
              <w:jc w:val="center"/>
              <w:rPr>
                <w:rFonts w:ascii="Calibri" w:hAnsi="Calibri"/>
                <w:kern w:val="0"/>
                <w:szCs w:val="21"/>
              </w:rPr>
            </w:pPr>
            <w:r>
              <w:rPr>
                <w:rFonts w:hint="eastAsia" w:ascii="Calibri" w:hAnsi="Calibri"/>
                <w:kern w:val="0"/>
                <w:szCs w:val="21"/>
              </w:rPr>
              <w:t>工业网闸</w:t>
            </w:r>
          </w:p>
        </w:tc>
        <w:tc>
          <w:tcPr>
            <w:tcW w:w="1769" w:type="dxa"/>
            <w:vAlign w:val="center"/>
          </w:tcPr>
          <w:p>
            <w:pPr>
              <w:widowControl/>
              <w:spacing w:line="600" w:lineRule="exact"/>
              <w:jc w:val="center"/>
              <w:rPr>
                <w:rFonts w:cs="仿宋" w:asciiTheme="minorEastAsia" w:hAnsiTheme="minorEastAsia" w:eastAsiaTheme="minorEastAsia"/>
                <w:sz w:val="24"/>
              </w:rPr>
            </w:pPr>
          </w:p>
        </w:tc>
        <w:tc>
          <w:tcPr>
            <w:tcW w:w="633" w:type="dxa"/>
            <w:vAlign w:val="center"/>
          </w:tcPr>
          <w:p>
            <w:pPr>
              <w:widowControl w:val="0"/>
              <w:jc w:val="center"/>
              <w:rPr>
                <w:rFonts w:ascii="Calibri" w:hAnsi="Calibri"/>
                <w:kern w:val="0"/>
                <w:szCs w:val="21"/>
              </w:rPr>
            </w:pPr>
            <w:r>
              <w:rPr>
                <w:rFonts w:hint="eastAsia" w:ascii="Calibri" w:hAnsi="Calibri"/>
                <w:kern w:val="0"/>
                <w:szCs w:val="21"/>
              </w:rPr>
              <w:t>台</w:t>
            </w:r>
          </w:p>
        </w:tc>
        <w:tc>
          <w:tcPr>
            <w:tcW w:w="744" w:type="dxa"/>
            <w:vAlign w:val="center"/>
          </w:tcPr>
          <w:p>
            <w:pPr>
              <w:widowControl w:val="0"/>
              <w:jc w:val="center"/>
              <w:rPr>
                <w:rFonts w:ascii="Calibri" w:hAnsi="Calibri"/>
                <w:kern w:val="0"/>
                <w:szCs w:val="21"/>
              </w:rPr>
            </w:pPr>
            <w:r>
              <w:rPr>
                <w:rFonts w:hint="eastAsia" w:ascii="Calibri" w:hAnsi="Calibri"/>
                <w:kern w:val="0"/>
                <w:szCs w:val="21"/>
              </w:rPr>
              <w:t>1</w:t>
            </w:r>
          </w:p>
        </w:tc>
        <w:tc>
          <w:tcPr>
            <w:tcW w:w="803" w:type="dxa"/>
            <w:vAlign w:val="center"/>
          </w:tcPr>
          <w:p>
            <w:pPr>
              <w:widowControl/>
              <w:spacing w:line="600" w:lineRule="exact"/>
              <w:jc w:val="center"/>
              <w:rPr>
                <w:rFonts w:cs="仿宋" w:asciiTheme="minorEastAsia" w:hAnsiTheme="minorEastAsia" w:eastAsiaTheme="minorEastAsia"/>
                <w:sz w:val="24"/>
              </w:rPr>
            </w:pPr>
          </w:p>
        </w:tc>
        <w:tc>
          <w:tcPr>
            <w:tcW w:w="1170" w:type="dxa"/>
            <w:vAlign w:val="center"/>
          </w:tcPr>
          <w:p>
            <w:pPr>
              <w:widowControl/>
              <w:spacing w:line="600" w:lineRule="exact"/>
              <w:jc w:val="center"/>
              <w:rPr>
                <w:rFonts w:cs="仿宋" w:asciiTheme="minorEastAsia" w:hAnsiTheme="minorEastAsia" w:eastAsiaTheme="minorEastAsia"/>
                <w:sz w:val="24"/>
              </w:rPr>
            </w:pPr>
          </w:p>
        </w:tc>
        <w:tc>
          <w:tcPr>
            <w:tcW w:w="1170" w:type="dxa"/>
            <w:vAlign w:val="center"/>
          </w:tcPr>
          <w:p>
            <w:pPr>
              <w:widowControl/>
              <w:spacing w:line="600" w:lineRule="exact"/>
              <w:jc w:val="center"/>
              <w:rPr>
                <w:rFonts w:cs="仿宋" w:asciiTheme="minorEastAsia" w:hAnsiTheme="minorEastAsia" w:eastAsiaTheme="minorEastAsia"/>
                <w:sz w:val="24"/>
              </w:rPr>
            </w:pPr>
          </w:p>
        </w:tc>
        <w:tc>
          <w:tcPr>
            <w:tcW w:w="951"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31"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1302" w:type="dxa"/>
            <w:vAlign w:val="center"/>
          </w:tcPr>
          <w:p>
            <w:pPr>
              <w:widowControl w:val="0"/>
              <w:jc w:val="center"/>
              <w:rPr>
                <w:rFonts w:ascii="Calibri" w:hAnsi="Calibri"/>
                <w:kern w:val="0"/>
                <w:szCs w:val="21"/>
              </w:rPr>
            </w:pPr>
            <w:r>
              <w:rPr>
                <w:rFonts w:hint="eastAsia" w:ascii="Calibri" w:hAnsi="Calibri"/>
                <w:kern w:val="0"/>
                <w:szCs w:val="21"/>
              </w:rPr>
              <w:t>终端移动存储管理授权</w:t>
            </w:r>
          </w:p>
        </w:tc>
        <w:tc>
          <w:tcPr>
            <w:tcW w:w="1769" w:type="dxa"/>
            <w:vAlign w:val="center"/>
          </w:tcPr>
          <w:p>
            <w:pPr>
              <w:widowControl/>
              <w:spacing w:line="600" w:lineRule="exact"/>
              <w:jc w:val="center"/>
              <w:rPr>
                <w:rFonts w:cs="仿宋" w:asciiTheme="minorEastAsia" w:hAnsiTheme="minorEastAsia" w:eastAsiaTheme="minorEastAsia"/>
                <w:sz w:val="24"/>
              </w:rPr>
            </w:pPr>
          </w:p>
        </w:tc>
        <w:tc>
          <w:tcPr>
            <w:tcW w:w="633" w:type="dxa"/>
            <w:vAlign w:val="center"/>
          </w:tcPr>
          <w:p>
            <w:pPr>
              <w:widowControl w:val="0"/>
              <w:jc w:val="center"/>
              <w:rPr>
                <w:rFonts w:ascii="Calibri" w:hAnsi="Calibri"/>
                <w:kern w:val="0"/>
                <w:szCs w:val="21"/>
              </w:rPr>
            </w:pPr>
            <w:r>
              <w:rPr>
                <w:rFonts w:hint="eastAsia" w:ascii="Calibri" w:hAnsi="Calibri"/>
                <w:kern w:val="0"/>
                <w:szCs w:val="21"/>
              </w:rPr>
              <w:t>套</w:t>
            </w:r>
          </w:p>
        </w:tc>
        <w:tc>
          <w:tcPr>
            <w:tcW w:w="744" w:type="dxa"/>
            <w:vAlign w:val="center"/>
          </w:tcPr>
          <w:p>
            <w:pPr>
              <w:widowControl w:val="0"/>
              <w:jc w:val="center"/>
              <w:rPr>
                <w:rFonts w:ascii="Calibri" w:hAnsi="Calibri"/>
                <w:kern w:val="0"/>
                <w:szCs w:val="21"/>
              </w:rPr>
            </w:pPr>
            <w:r>
              <w:rPr>
                <w:rFonts w:hint="eastAsia" w:ascii="Calibri" w:hAnsi="Calibri"/>
                <w:kern w:val="0"/>
                <w:szCs w:val="21"/>
              </w:rPr>
              <w:t>100</w:t>
            </w:r>
          </w:p>
        </w:tc>
        <w:tc>
          <w:tcPr>
            <w:tcW w:w="803" w:type="dxa"/>
            <w:vAlign w:val="center"/>
          </w:tcPr>
          <w:p>
            <w:pPr>
              <w:widowControl/>
              <w:spacing w:line="600" w:lineRule="exact"/>
              <w:jc w:val="center"/>
              <w:rPr>
                <w:rFonts w:cs="仿宋" w:asciiTheme="minorEastAsia" w:hAnsiTheme="minorEastAsia" w:eastAsiaTheme="minorEastAsia"/>
                <w:sz w:val="24"/>
              </w:rPr>
            </w:pPr>
          </w:p>
        </w:tc>
        <w:tc>
          <w:tcPr>
            <w:tcW w:w="1170" w:type="dxa"/>
            <w:vAlign w:val="center"/>
          </w:tcPr>
          <w:p>
            <w:pPr>
              <w:widowControl/>
              <w:spacing w:line="600" w:lineRule="exact"/>
              <w:jc w:val="center"/>
              <w:rPr>
                <w:rFonts w:cs="仿宋" w:asciiTheme="minorEastAsia" w:hAnsiTheme="minorEastAsia" w:eastAsiaTheme="minorEastAsia"/>
                <w:sz w:val="24"/>
              </w:rPr>
            </w:pPr>
          </w:p>
        </w:tc>
        <w:tc>
          <w:tcPr>
            <w:tcW w:w="1170" w:type="dxa"/>
            <w:vAlign w:val="center"/>
          </w:tcPr>
          <w:p>
            <w:pPr>
              <w:widowControl/>
              <w:spacing w:line="600" w:lineRule="exact"/>
              <w:jc w:val="center"/>
              <w:rPr>
                <w:rFonts w:cs="仿宋" w:asciiTheme="minorEastAsia" w:hAnsiTheme="minorEastAsia" w:eastAsiaTheme="minorEastAsia"/>
                <w:sz w:val="24"/>
              </w:rPr>
            </w:pPr>
          </w:p>
        </w:tc>
        <w:tc>
          <w:tcPr>
            <w:tcW w:w="951" w:type="dxa"/>
            <w:vAlign w:val="center"/>
          </w:tcPr>
          <w:p>
            <w:pPr>
              <w:widowControl/>
              <w:spacing w:line="60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782" w:type="dxa"/>
            <w:gridSpan w:val="6"/>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总报价（含税）</w:t>
            </w:r>
          </w:p>
        </w:tc>
        <w:tc>
          <w:tcPr>
            <w:tcW w:w="3291" w:type="dxa"/>
            <w:gridSpan w:val="3"/>
            <w:vAlign w:val="center"/>
          </w:tcPr>
          <w:p>
            <w:pPr>
              <w:widowControl/>
              <w:spacing w:line="600" w:lineRule="exact"/>
              <w:jc w:val="center"/>
              <w:rPr>
                <w:rFonts w:cs="仿宋" w:asciiTheme="minorEastAsia" w:hAnsiTheme="minorEastAsia" w:eastAsiaTheme="minorEastAsia"/>
                <w:sz w:val="24"/>
              </w:rPr>
            </w:pPr>
            <w:r>
              <w:rPr>
                <w:rFonts w:hint="eastAsia"/>
                <w:bCs/>
                <w:sz w:val="24"/>
              </w:rPr>
              <w:t>大写：     （小写：      元）</w:t>
            </w: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注：1、本页需加盖公章。</w:t>
      </w: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2、有抵税需求的采购项目，按照附录原则比价，采购人应在采购文件中注明。</w:t>
      </w:r>
    </w:p>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8" w:name="_Toc22232"/>
      <w:r>
        <w:rPr>
          <w:rFonts w:hint="eastAsia" w:ascii="黑体" w:hAnsi="黑体" w:eastAsia="黑体" w:cs="仿宋"/>
          <w:sz w:val="36"/>
          <w:szCs w:val="36"/>
        </w:rPr>
        <w:t>五、资格审查资料</w:t>
      </w:r>
      <w:bookmarkEnd w:id="48"/>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（三）近年的类似项目情况表（至少提供3个）</w:t>
      </w:r>
    </w:p>
    <w:tbl>
      <w:tblPr>
        <w:tblStyle w:val="40"/>
        <w:tblW w:w="8697"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2040"/>
        <w:gridCol w:w="2100"/>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买方名称</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买方联系人及电话</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84" w:type="dxa"/>
            <w:vAlign w:val="center"/>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2040" w:type="dxa"/>
            <w:vAlign w:val="center"/>
          </w:tcPr>
          <w:p>
            <w:pPr>
              <w:widowControl/>
              <w:spacing w:line="288" w:lineRule="auto"/>
              <w:jc w:val="center"/>
              <w:rPr>
                <w:rFonts w:cs="仿宋" w:asciiTheme="minorEastAsia" w:hAnsiTheme="minorEastAsia" w:eastAsiaTheme="minorEastAsia"/>
                <w:sz w:val="24"/>
              </w:rPr>
            </w:pPr>
          </w:p>
        </w:tc>
        <w:tc>
          <w:tcPr>
            <w:tcW w:w="2100" w:type="dxa"/>
            <w:vAlign w:val="center"/>
          </w:tcPr>
          <w:p>
            <w:pPr>
              <w:widowControl/>
              <w:spacing w:line="288" w:lineRule="auto"/>
              <w:jc w:val="center"/>
              <w:rPr>
                <w:rFonts w:cs="仿宋" w:asciiTheme="minorEastAsia" w:hAnsiTheme="minorEastAsia" w:eastAsiaTheme="minorEastAsia"/>
                <w:sz w:val="24"/>
              </w:rPr>
            </w:pPr>
          </w:p>
        </w:tc>
        <w:tc>
          <w:tcPr>
            <w:tcW w:w="1973" w:type="dxa"/>
            <w:vAlign w:val="center"/>
          </w:tcPr>
          <w:p>
            <w:pPr>
              <w:widowControl/>
              <w:spacing w:line="288" w:lineRule="auto"/>
              <w:jc w:val="center"/>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numPr>
          <w:ilvl w:val="255"/>
          <w:numId w:val="0"/>
        </w:numPr>
        <w:spacing w:line="600" w:lineRule="exact"/>
        <w:jc w:val="both"/>
        <w:rPr>
          <w:rFonts w:ascii="宋体" w:hAnsi="宋体" w:cs="宋体"/>
          <w:sz w:val="24"/>
        </w:rPr>
      </w:pPr>
      <w:r>
        <w:rPr>
          <w:rFonts w:hint="eastAsia" w:cs="仿宋" w:asciiTheme="minorEastAsia" w:hAnsiTheme="minorEastAsia" w:eastAsiaTheme="minorEastAsia"/>
          <w:sz w:val="24"/>
        </w:rPr>
        <w:br w:type="page"/>
      </w:r>
      <w:r>
        <w:rPr>
          <w:rFonts w:hint="eastAsia" w:cs="仿宋" w:asciiTheme="minorEastAsia" w:hAnsiTheme="minorEastAsia" w:eastAsiaTheme="minorEastAsia"/>
          <w:sz w:val="24"/>
        </w:rPr>
        <w:t>(四)</w:t>
      </w:r>
      <w:r>
        <w:rPr>
          <w:rFonts w:hint="eastAsia" w:ascii="宋体" w:hAnsi="宋体" w:cs="宋体"/>
          <w:sz w:val="24"/>
        </w:rPr>
        <w:t>拟委任的主要人员汇总表</w:t>
      </w:r>
    </w:p>
    <w:tbl>
      <w:tblPr>
        <w:tblStyle w:val="40"/>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91"/>
        <w:gridCol w:w="1006"/>
        <w:gridCol w:w="1006"/>
        <w:gridCol w:w="1006"/>
        <w:gridCol w:w="1006"/>
        <w:gridCol w:w="1006"/>
        <w:gridCol w:w="100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20" w:type="dxa"/>
            <w:vMerge w:val="restart"/>
            <w:vAlign w:val="center"/>
          </w:tcPr>
          <w:p>
            <w:pPr>
              <w:widowControl/>
              <w:spacing w:line="288" w:lineRule="auto"/>
              <w:jc w:val="center"/>
              <w:rPr>
                <w:rFonts w:ascii="宋体" w:hAnsi="宋体" w:cs="宋体"/>
                <w:sz w:val="24"/>
              </w:rPr>
            </w:pPr>
            <w:r>
              <w:rPr>
                <w:rFonts w:hint="eastAsia" w:ascii="宋体" w:hAnsi="宋体" w:cs="宋体"/>
                <w:sz w:val="24"/>
              </w:rPr>
              <w:t>序号</w:t>
            </w:r>
          </w:p>
        </w:tc>
        <w:tc>
          <w:tcPr>
            <w:tcW w:w="1391" w:type="dxa"/>
            <w:vMerge w:val="restart"/>
            <w:vAlign w:val="center"/>
          </w:tcPr>
          <w:p>
            <w:pPr>
              <w:widowControl/>
              <w:spacing w:line="288" w:lineRule="auto"/>
              <w:jc w:val="center"/>
              <w:rPr>
                <w:rFonts w:ascii="宋体" w:hAnsi="宋体" w:cs="宋体"/>
                <w:sz w:val="24"/>
              </w:rPr>
            </w:pPr>
            <w:r>
              <w:rPr>
                <w:rFonts w:hint="eastAsia" w:ascii="宋体" w:hAnsi="宋体" w:cs="宋体"/>
                <w:sz w:val="24"/>
              </w:rPr>
              <w:t>本项目任职</w:t>
            </w:r>
          </w:p>
        </w:tc>
        <w:tc>
          <w:tcPr>
            <w:tcW w:w="1006" w:type="dxa"/>
            <w:vMerge w:val="restart"/>
            <w:vAlign w:val="center"/>
          </w:tcPr>
          <w:p>
            <w:pPr>
              <w:widowControl/>
              <w:spacing w:line="288" w:lineRule="auto"/>
              <w:jc w:val="center"/>
              <w:rPr>
                <w:rFonts w:ascii="宋体" w:hAnsi="宋体" w:cs="宋体"/>
                <w:sz w:val="24"/>
              </w:rPr>
            </w:pPr>
            <w:r>
              <w:rPr>
                <w:rFonts w:hint="eastAsia" w:ascii="宋体" w:hAnsi="宋体" w:cs="宋体"/>
                <w:sz w:val="24"/>
              </w:rPr>
              <w:t>姓名</w:t>
            </w:r>
          </w:p>
        </w:tc>
        <w:tc>
          <w:tcPr>
            <w:tcW w:w="1006" w:type="dxa"/>
            <w:vMerge w:val="restart"/>
            <w:vAlign w:val="center"/>
          </w:tcPr>
          <w:p>
            <w:pPr>
              <w:widowControl/>
              <w:spacing w:line="288" w:lineRule="auto"/>
              <w:jc w:val="center"/>
              <w:rPr>
                <w:rFonts w:ascii="宋体" w:hAnsi="宋体" w:cs="宋体"/>
                <w:sz w:val="24"/>
              </w:rPr>
            </w:pPr>
            <w:r>
              <w:rPr>
                <w:rFonts w:hint="eastAsia" w:ascii="宋体" w:hAnsi="宋体" w:cs="宋体"/>
                <w:sz w:val="24"/>
              </w:rPr>
              <w:t>职称</w:t>
            </w:r>
          </w:p>
        </w:tc>
        <w:tc>
          <w:tcPr>
            <w:tcW w:w="1006" w:type="dxa"/>
            <w:vMerge w:val="restart"/>
            <w:vAlign w:val="center"/>
          </w:tcPr>
          <w:p>
            <w:pPr>
              <w:widowControl/>
              <w:spacing w:line="288" w:lineRule="auto"/>
              <w:jc w:val="center"/>
              <w:rPr>
                <w:rFonts w:ascii="宋体" w:hAnsi="宋体" w:cs="宋体"/>
                <w:sz w:val="24"/>
              </w:rPr>
            </w:pPr>
            <w:r>
              <w:rPr>
                <w:rFonts w:hint="eastAsia" w:ascii="宋体" w:hAnsi="宋体" w:cs="宋体"/>
                <w:sz w:val="24"/>
              </w:rPr>
              <w:t>专业</w:t>
            </w:r>
          </w:p>
        </w:tc>
        <w:tc>
          <w:tcPr>
            <w:tcW w:w="3021" w:type="dxa"/>
            <w:gridSpan w:val="3"/>
            <w:vAlign w:val="center"/>
          </w:tcPr>
          <w:p>
            <w:pPr>
              <w:widowControl/>
              <w:spacing w:line="288" w:lineRule="auto"/>
              <w:jc w:val="center"/>
              <w:rPr>
                <w:rFonts w:ascii="宋体" w:hAnsi="宋体" w:cs="宋体"/>
                <w:sz w:val="24"/>
              </w:rPr>
            </w:pPr>
            <w:r>
              <w:rPr>
                <w:rFonts w:hint="eastAsia" w:ascii="宋体" w:hAnsi="宋体" w:cs="宋体"/>
                <w:sz w:val="24"/>
              </w:rPr>
              <w:t>执业或职业资格证明</w:t>
            </w:r>
          </w:p>
        </w:tc>
        <w:tc>
          <w:tcPr>
            <w:tcW w:w="1006" w:type="dxa"/>
            <w:vAlign w:val="center"/>
          </w:tcPr>
          <w:p>
            <w:pPr>
              <w:widowControl/>
              <w:spacing w:line="288"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20" w:type="dxa"/>
            <w:vMerge w:val="continue"/>
            <w:vAlign w:val="center"/>
          </w:tcPr>
          <w:p>
            <w:pPr>
              <w:widowControl/>
              <w:spacing w:line="288" w:lineRule="auto"/>
              <w:jc w:val="center"/>
              <w:rPr>
                <w:rFonts w:ascii="宋体" w:hAnsi="宋体" w:cs="宋体"/>
                <w:sz w:val="24"/>
              </w:rPr>
            </w:pPr>
          </w:p>
        </w:tc>
        <w:tc>
          <w:tcPr>
            <w:tcW w:w="1391" w:type="dxa"/>
            <w:vMerge w:val="continue"/>
            <w:vAlign w:val="center"/>
          </w:tcPr>
          <w:p>
            <w:pPr>
              <w:widowControl/>
              <w:spacing w:line="288" w:lineRule="auto"/>
              <w:jc w:val="center"/>
              <w:rPr>
                <w:rFonts w:ascii="宋体" w:hAnsi="宋体" w:cs="宋体"/>
                <w:sz w:val="24"/>
              </w:rPr>
            </w:pPr>
          </w:p>
        </w:tc>
        <w:tc>
          <w:tcPr>
            <w:tcW w:w="1006" w:type="dxa"/>
            <w:vMerge w:val="continue"/>
            <w:vAlign w:val="center"/>
          </w:tcPr>
          <w:p>
            <w:pPr>
              <w:widowControl/>
              <w:spacing w:line="288" w:lineRule="auto"/>
              <w:jc w:val="center"/>
              <w:rPr>
                <w:rFonts w:ascii="宋体" w:hAnsi="宋体" w:cs="宋体"/>
                <w:sz w:val="24"/>
              </w:rPr>
            </w:pPr>
          </w:p>
        </w:tc>
        <w:tc>
          <w:tcPr>
            <w:tcW w:w="1006" w:type="dxa"/>
            <w:vMerge w:val="continue"/>
            <w:vAlign w:val="center"/>
          </w:tcPr>
          <w:p>
            <w:pPr>
              <w:widowControl/>
              <w:spacing w:line="288" w:lineRule="auto"/>
              <w:jc w:val="center"/>
              <w:rPr>
                <w:rFonts w:ascii="宋体" w:hAnsi="宋体" w:cs="宋体"/>
                <w:sz w:val="24"/>
              </w:rPr>
            </w:pPr>
          </w:p>
        </w:tc>
        <w:tc>
          <w:tcPr>
            <w:tcW w:w="1006" w:type="dxa"/>
            <w:vMerge w:val="continue"/>
            <w:vAlign w:val="center"/>
          </w:tcPr>
          <w:p>
            <w:pPr>
              <w:widowControl/>
              <w:spacing w:line="288" w:lineRule="auto"/>
              <w:jc w:val="center"/>
              <w:rPr>
                <w:rFonts w:ascii="宋体" w:hAnsi="宋体" w:cs="宋体"/>
                <w:sz w:val="24"/>
              </w:rPr>
            </w:pPr>
          </w:p>
        </w:tc>
        <w:tc>
          <w:tcPr>
            <w:tcW w:w="1006" w:type="dxa"/>
            <w:vAlign w:val="center"/>
          </w:tcPr>
          <w:p>
            <w:pPr>
              <w:widowControl/>
              <w:spacing w:line="288" w:lineRule="auto"/>
              <w:jc w:val="center"/>
              <w:rPr>
                <w:rFonts w:ascii="宋体" w:hAnsi="宋体" w:cs="宋体"/>
                <w:sz w:val="24"/>
              </w:rPr>
            </w:pPr>
            <w:r>
              <w:rPr>
                <w:rFonts w:hint="eastAsia" w:ascii="宋体" w:hAnsi="宋体" w:cs="宋体"/>
                <w:sz w:val="24"/>
              </w:rPr>
              <w:t>证书名称</w:t>
            </w:r>
          </w:p>
        </w:tc>
        <w:tc>
          <w:tcPr>
            <w:tcW w:w="1006" w:type="dxa"/>
            <w:vAlign w:val="center"/>
          </w:tcPr>
          <w:p>
            <w:pPr>
              <w:widowControl/>
              <w:spacing w:line="288" w:lineRule="auto"/>
              <w:jc w:val="center"/>
              <w:rPr>
                <w:rFonts w:ascii="宋体" w:hAnsi="宋体" w:cs="宋体"/>
                <w:sz w:val="24"/>
              </w:rPr>
            </w:pPr>
            <w:r>
              <w:rPr>
                <w:rFonts w:hint="eastAsia" w:ascii="宋体" w:hAnsi="宋体" w:cs="宋体"/>
                <w:sz w:val="24"/>
              </w:rPr>
              <w:t>级别</w:t>
            </w:r>
          </w:p>
        </w:tc>
        <w:tc>
          <w:tcPr>
            <w:tcW w:w="1009" w:type="dxa"/>
            <w:vAlign w:val="center"/>
          </w:tcPr>
          <w:p>
            <w:pPr>
              <w:widowControl/>
              <w:spacing w:line="288" w:lineRule="auto"/>
              <w:jc w:val="center"/>
              <w:rPr>
                <w:rFonts w:ascii="宋体" w:hAnsi="宋体" w:cs="宋体"/>
                <w:sz w:val="24"/>
              </w:rPr>
            </w:pPr>
            <w:r>
              <w:rPr>
                <w:rFonts w:hint="eastAsia" w:ascii="宋体" w:hAnsi="宋体" w:cs="宋体"/>
                <w:sz w:val="24"/>
              </w:rPr>
              <w:t>证号</w:t>
            </w:r>
          </w:p>
        </w:tc>
        <w:tc>
          <w:tcPr>
            <w:tcW w:w="1006" w:type="dxa"/>
            <w:vAlign w:val="center"/>
          </w:tcPr>
          <w:p>
            <w:pPr>
              <w:widowControl/>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20" w:type="dxa"/>
          </w:tcPr>
          <w:p>
            <w:pPr>
              <w:widowControl/>
              <w:spacing w:line="600" w:lineRule="exact"/>
              <w:jc w:val="center"/>
              <w:rPr>
                <w:rFonts w:ascii="宋体" w:hAnsi="宋体" w:cs="宋体"/>
                <w:szCs w:val="21"/>
              </w:rPr>
            </w:pPr>
            <w:r>
              <w:rPr>
                <w:rFonts w:hint="eastAsia" w:ascii="宋体" w:hAnsi="宋体" w:cs="宋体"/>
                <w:szCs w:val="21"/>
              </w:rPr>
              <w:t>1</w:t>
            </w:r>
          </w:p>
        </w:tc>
        <w:tc>
          <w:tcPr>
            <w:tcW w:w="1391" w:type="dxa"/>
          </w:tcPr>
          <w:p>
            <w:pPr>
              <w:widowControl/>
              <w:spacing w:line="600" w:lineRule="exact"/>
              <w:jc w:val="center"/>
              <w:rPr>
                <w:rFonts w:ascii="宋体" w:hAnsi="宋体" w:cs="宋体"/>
                <w:szCs w:val="21"/>
              </w:rPr>
            </w:pPr>
            <w:r>
              <w:rPr>
                <w:rFonts w:hint="eastAsia" w:ascii="宋体" w:hAnsi="宋体" w:cs="宋体"/>
                <w:szCs w:val="21"/>
              </w:rPr>
              <w:t>项目负责人</w:t>
            </w: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9"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20" w:type="dxa"/>
          </w:tcPr>
          <w:p>
            <w:pPr>
              <w:widowControl/>
              <w:spacing w:line="600" w:lineRule="exact"/>
              <w:jc w:val="center"/>
              <w:rPr>
                <w:rFonts w:ascii="宋体" w:hAnsi="宋体" w:cs="宋体"/>
                <w:szCs w:val="21"/>
              </w:rPr>
            </w:pPr>
            <w:r>
              <w:rPr>
                <w:rFonts w:hint="eastAsia" w:ascii="宋体" w:hAnsi="宋体" w:cs="宋体"/>
                <w:szCs w:val="21"/>
              </w:rPr>
              <w:t>2</w:t>
            </w:r>
          </w:p>
        </w:tc>
        <w:tc>
          <w:tcPr>
            <w:tcW w:w="1391" w:type="dxa"/>
          </w:tcPr>
          <w:p>
            <w:pPr>
              <w:widowControl/>
              <w:spacing w:line="600" w:lineRule="exact"/>
              <w:jc w:val="center"/>
              <w:rPr>
                <w:rFonts w:ascii="宋体" w:hAnsi="宋体" w:cs="宋体"/>
                <w:szCs w:val="21"/>
              </w:rPr>
            </w:pPr>
            <w:r>
              <w:rPr>
                <w:rFonts w:hint="eastAsia" w:ascii="宋体" w:hAnsi="宋体" w:cs="宋体"/>
                <w:szCs w:val="21"/>
              </w:rPr>
              <w:t>技术人员</w:t>
            </w: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9"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20" w:type="dxa"/>
          </w:tcPr>
          <w:p>
            <w:pPr>
              <w:widowControl/>
              <w:spacing w:line="600" w:lineRule="exact"/>
              <w:jc w:val="both"/>
              <w:rPr>
                <w:rFonts w:ascii="宋体" w:hAnsi="宋体" w:cs="宋体"/>
                <w:szCs w:val="21"/>
              </w:rPr>
            </w:pPr>
            <w:r>
              <w:rPr>
                <w:rFonts w:hint="eastAsia" w:ascii="宋体" w:hAnsi="宋体" w:cs="宋体"/>
                <w:szCs w:val="21"/>
              </w:rPr>
              <w:t>..</w:t>
            </w:r>
          </w:p>
        </w:tc>
        <w:tc>
          <w:tcPr>
            <w:tcW w:w="1391"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c>
          <w:tcPr>
            <w:tcW w:w="1009" w:type="dxa"/>
          </w:tcPr>
          <w:p>
            <w:pPr>
              <w:widowControl/>
              <w:spacing w:line="600" w:lineRule="exact"/>
              <w:jc w:val="both"/>
              <w:rPr>
                <w:rFonts w:ascii="宋体" w:hAnsi="宋体" w:cs="宋体"/>
                <w:szCs w:val="21"/>
              </w:rPr>
            </w:pPr>
          </w:p>
        </w:tc>
        <w:tc>
          <w:tcPr>
            <w:tcW w:w="1006" w:type="dxa"/>
          </w:tcPr>
          <w:p>
            <w:pPr>
              <w:widowControl/>
              <w:spacing w:line="600" w:lineRule="exact"/>
              <w:jc w:val="both"/>
              <w:rPr>
                <w:rFonts w:ascii="宋体" w:hAnsi="宋体" w:cs="宋体"/>
                <w:szCs w:val="21"/>
              </w:rPr>
            </w:pPr>
          </w:p>
        </w:tc>
      </w:tr>
    </w:tbl>
    <w:p>
      <w:pPr>
        <w:numPr>
          <w:ilvl w:val="255"/>
          <w:numId w:val="0"/>
        </w:numPr>
        <w:spacing w:line="600" w:lineRule="exact"/>
        <w:jc w:val="both"/>
        <w:rPr>
          <w:rFonts w:ascii="宋体" w:hAnsi="宋体" w:cs="宋体"/>
          <w:sz w:val="24"/>
        </w:rPr>
      </w:pPr>
      <w:r>
        <w:rPr>
          <w:rFonts w:hint="eastAsia" w:ascii="宋体" w:hAnsi="宋体" w:cs="宋体"/>
          <w:sz w:val="24"/>
        </w:rPr>
        <w:t>（五）主要人员简历表）</w:t>
      </w:r>
    </w:p>
    <w:tbl>
      <w:tblPr>
        <w:tblStyle w:val="39"/>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1"/>
        <w:gridCol w:w="51"/>
        <w:gridCol w:w="1462"/>
        <w:gridCol w:w="1066"/>
        <w:gridCol w:w="1389"/>
        <w:gridCol w:w="339"/>
        <w:gridCol w:w="1552"/>
        <w:gridCol w:w="38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8" w:hRule="atLeast"/>
        </w:trPr>
        <w:tc>
          <w:tcPr>
            <w:tcW w:w="1241" w:type="dxa"/>
            <w:vAlign w:val="center"/>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姓    名</w:t>
            </w:r>
          </w:p>
        </w:tc>
        <w:tc>
          <w:tcPr>
            <w:tcW w:w="1513" w:type="dxa"/>
            <w:gridSpan w:val="2"/>
            <w:vAlign w:val="center"/>
          </w:tcPr>
          <w:p>
            <w:pPr>
              <w:autoSpaceDE w:val="0"/>
              <w:autoSpaceDN w:val="0"/>
              <w:spacing w:before="60" w:beforeLines="25" w:after="60" w:afterLines="25" w:line="400" w:lineRule="atLeast"/>
              <w:jc w:val="center"/>
              <w:textAlignment w:val="bottom"/>
              <w:rPr>
                <w:rFonts w:ascii="宋体" w:hAnsi="宋体" w:cs="宋体"/>
                <w:sz w:val="24"/>
              </w:rPr>
            </w:pPr>
          </w:p>
        </w:tc>
        <w:tc>
          <w:tcPr>
            <w:tcW w:w="1066" w:type="dxa"/>
            <w:vAlign w:val="center"/>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年    龄</w:t>
            </w:r>
          </w:p>
        </w:tc>
        <w:tc>
          <w:tcPr>
            <w:tcW w:w="1389" w:type="dxa"/>
          </w:tcPr>
          <w:p>
            <w:pPr>
              <w:autoSpaceDE w:val="0"/>
              <w:autoSpaceDN w:val="0"/>
              <w:spacing w:before="60" w:beforeLines="25" w:after="60" w:afterLines="25" w:line="400" w:lineRule="atLeast"/>
              <w:jc w:val="center"/>
              <w:textAlignment w:val="bottom"/>
              <w:rPr>
                <w:rFonts w:ascii="宋体" w:hAnsi="宋体" w:cs="宋体"/>
                <w:sz w:val="24"/>
              </w:rPr>
            </w:pPr>
          </w:p>
        </w:tc>
        <w:tc>
          <w:tcPr>
            <w:tcW w:w="1891" w:type="dxa"/>
            <w:gridSpan w:val="2"/>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执业或职业资格证书名称</w:t>
            </w:r>
          </w:p>
        </w:tc>
        <w:tc>
          <w:tcPr>
            <w:tcW w:w="1678" w:type="dxa"/>
            <w:gridSpan w:val="2"/>
          </w:tcPr>
          <w:p>
            <w:pPr>
              <w:autoSpaceDE w:val="0"/>
              <w:autoSpaceDN w:val="0"/>
              <w:spacing w:before="60" w:beforeLines="25" w:after="60" w:afterLines="25" w:line="400" w:lineRule="atLeast"/>
              <w:jc w:val="center"/>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41" w:type="dxa"/>
            <w:vAlign w:val="center"/>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职称</w:t>
            </w:r>
          </w:p>
        </w:tc>
        <w:tc>
          <w:tcPr>
            <w:tcW w:w="1513" w:type="dxa"/>
            <w:gridSpan w:val="2"/>
            <w:vAlign w:val="center"/>
          </w:tcPr>
          <w:p>
            <w:pPr>
              <w:autoSpaceDE w:val="0"/>
              <w:autoSpaceDN w:val="0"/>
              <w:spacing w:before="60" w:beforeLines="25" w:after="60" w:afterLines="25" w:line="400" w:lineRule="atLeast"/>
              <w:jc w:val="center"/>
              <w:textAlignment w:val="bottom"/>
              <w:rPr>
                <w:rFonts w:ascii="宋体" w:hAnsi="宋体" w:cs="宋体"/>
                <w:sz w:val="24"/>
              </w:rPr>
            </w:pPr>
          </w:p>
        </w:tc>
        <w:tc>
          <w:tcPr>
            <w:tcW w:w="1066" w:type="dxa"/>
            <w:vAlign w:val="center"/>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学    历</w:t>
            </w:r>
          </w:p>
        </w:tc>
        <w:tc>
          <w:tcPr>
            <w:tcW w:w="1389" w:type="dxa"/>
          </w:tcPr>
          <w:p>
            <w:pPr>
              <w:autoSpaceDE w:val="0"/>
              <w:autoSpaceDN w:val="0"/>
              <w:spacing w:before="60" w:beforeLines="25" w:after="60" w:afterLines="25" w:line="400" w:lineRule="atLeast"/>
              <w:jc w:val="center"/>
              <w:textAlignment w:val="bottom"/>
              <w:rPr>
                <w:rFonts w:ascii="宋体" w:hAnsi="宋体" w:cs="宋体"/>
                <w:sz w:val="24"/>
              </w:rPr>
            </w:pPr>
          </w:p>
        </w:tc>
        <w:tc>
          <w:tcPr>
            <w:tcW w:w="1891" w:type="dxa"/>
            <w:gridSpan w:val="2"/>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拟在本项目任职</w:t>
            </w:r>
          </w:p>
        </w:tc>
        <w:tc>
          <w:tcPr>
            <w:tcW w:w="1678" w:type="dxa"/>
            <w:gridSpan w:val="2"/>
          </w:tcPr>
          <w:p>
            <w:pPr>
              <w:autoSpaceDE w:val="0"/>
              <w:autoSpaceDN w:val="0"/>
              <w:spacing w:before="60" w:beforeLines="25" w:after="60" w:afterLines="25" w:line="400" w:lineRule="atLeast"/>
              <w:jc w:val="center"/>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41" w:type="dxa"/>
            <w:vAlign w:val="center"/>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工作年限</w:t>
            </w:r>
          </w:p>
        </w:tc>
        <w:tc>
          <w:tcPr>
            <w:tcW w:w="3968" w:type="dxa"/>
            <w:gridSpan w:val="4"/>
            <w:vAlign w:val="center"/>
          </w:tcPr>
          <w:p>
            <w:pPr>
              <w:autoSpaceDE w:val="0"/>
              <w:autoSpaceDN w:val="0"/>
              <w:spacing w:before="60" w:beforeLines="25" w:after="60" w:afterLines="25" w:line="400" w:lineRule="atLeast"/>
              <w:jc w:val="center"/>
              <w:textAlignment w:val="bottom"/>
              <w:rPr>
                <w:rFonts w:ascii="宋体" w:hAnsi="宋体" w:cs="宋体"/>
                <w:sz w:val="24"/>
              </w:rPr>
            </w:pPr>
          </w:p>
        </w:tc>
        <w:tc>
          <w:tcPr>
            <w:tcW w:w="1891" w:type="dxa"/>
            <w:gridSpan w:val="2"/>
            <w:vAlign w:val="center"/>
          </w:tcPr>
          <w:p>
            <w:pPr>
              <w:autoSpaceDE w:val="0"/>
              <w:autoSpaceDN w:val="0"/>
              <w:spacing w:before="60" w:beforeLines="25" w:after="60" w:afterLines="25" w:line="400" w:lineRule="atLeast"/>
              <w:jc w:val="center"/>
              <w:textAlignment w:val="bottom"/>
              <w:rPr>
                <w:rFonts w:ascii="宋体" w:hAnsi="宋体" w:cs="宋体"/>
                <w:sz w:val="24"/>
              </w:rPr>
            </w:pPr>
            <w:r>
              <w:rPr>
                <w:rFonts w:hint="eastAsia" w:ascii="宋体" w:hAnsi="宋体" w:cs="宋体"/>
                <w:sz w:val="24"/>
              </w:rPr>
              <w:t>从事类似工作年限</w:t>
            </w:r>
          </w:p>
        </w:tc>
        <w:tc>
          <w:tcPr>
            <w:tcW w:w="1678" w:type="dxa"/>
            <w:gridSpan w:val="2"/>
          </w:tcPr>
          <w:p>
            <w:pPr>
              <w:autoSpaceDE w:val="0"/>
              <w:autoSpaceDN w:val="0"/>
              <w:spacing w:before="60" w:beforeLines="25" w:after="60" w:afterLines="25" w:line="400" w:lineRule="atLeast"/>
              <w:jc w:val="center"/>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8" w:hRule="atLeast"/>
        </w:trPr>
        <w:tc>
          <w:tcPr>
            <w:tcW w:w="1241" w:type="dxa"/>
            <w:vAlign w:val="center"/>
          </w:tcPr>
          <w:p>
            <w:pPr>
              <w:autoSpaceDE w:val="0"/>
              <w:autoSpaceDN w:val="0"/>
              <w:spacing w:before="60" w:beforeLines="25" w:after="60" w:afterLines="25" w:line="400" w:lineRule="atLeast"/>
              <w:jc w:val="both"/>
              <w:textAlignment w:val="bottom"/>
              <w:rPr>
                <w:rFonts w:ascii="宋体" w:hAnsi="宋体" w:cs="宋体"/>
                <w:sz w:val="24"/>
              </w:rPr>
            </w:pPr>
            <w:r>
              <w:rPr>
                <w:rFonts w:hint="eastAsia" w:ascii="宋体" w:hAnsi="宋体" w:cs="宋体"/>
                <w:sz w:val="24"/>
              </w:rPr>
              <w:t>毕业学校</w:t>
            </w:r>
          </w:p>
        </w:tc>
        <w:tc>
          <w:tcPr>
            <w:tcW w:w="7537" w:type="dxa"/>
            <w:gridSpan w:val="8"/>
            <w:vAlign w:val="center"/>
          </w:tcPr>
          <w:p>
            <w:pPr>
              <w:autoSpaceDE w:val="0"/>
              <w:autoSpaceDN w:val="0"/>
              <w:spacing w:before="60" w:beforeLines="25" w:after="60" w:afterLines="25" w:line="400" w:lineRule="atLeast"/>
              <w:ind w:left="-187" w:leftChars="-89"/>
              <w:jc w:val="both"/>
              <w:textAlignment w:val="bottom"/>
              <w:rPr>
                <w:rFonts w:ascii="宋体" w:hAnsi="宋体" w:cs="宋体"/>
                <w:sz w:val="24"/>
              </w:rPr>
            </w:pPr>
            <w:r>
              <w:rPr>
                <w:rFonts w:hint="eastAsia" w:ascii="宋体" w:hAnsi="宋体" w:cs="宋体"/>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8778" w:type="dxa"/>
            <w:gridSpan w:val="9"/>
            <w:vAlign w:val="center"/>
          </w:tcPr>
          <w:p>
            <w:pPr>
              <w:autoSpaceDE w:val="0"/>
              <w:autoSpaceDN w:val="0"/>
              <w:spacing w:before="60" w:beforeLines="25" w:after="60" w:afterLines="25" w:line="400" w:lineRule="atLeast"/>
              <w:jc w:val="both"/>
              <w:textAlignment w:val="bottom"/>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8" w:hRule="atLeast"/>
        </w:trPr>
        <w:tc>
          <w:tcPr>
            <w:tcW w:w="1292" w:type="dxa"/>
            <w:gridSpan w:val="2"/>
            <w:vAlign w:val="center"/>
          </w:tcPr>
          <w:p>
            <w:pPr>
              <w:autoSpaceDE w:val="0"/>
              <w:autoSpaceDN w:val="0"/>
              <w:spacing w:before="60" w:beforeLines="25" w:after="60" w:afterLines="25" w:line="400" w:lineRule="atLeast"/>
              <w:jc w:val="both"/>
              <w:textAlignment w:val="bottom"/>
              <w:rPr>
                <w:rFonts w:ascii="宋体" w:hAnsi="宋体" w:cs="宋体"/>
                <w:sz w:val="24"/>
              </w:rPr>
            </w:pPr>
            <w:r>
              <w:rPr>
                <w:rFonts w:hint="eastAsia" w:ascii="宋体" w:hAnsi="宋体" w:cs="宋体"/>
                <w:sz w:val="24"/>
              </w:rPr>
              <w:t>时  间</w:t>
            </w:r>
          </w:p>
        </w:tc>
        <w:tc>
          <w:tcPr>
            <w:tcW w:w="4256" w:type="dxa"/>
            <w:gridSpan w:val="4"/>
            <w:vAlign w:val="center"/>
          </w:tcPr>
          <w:p>
            <w:pPr>
              <w:pStyle w:val="183"/>
              <w:adjustRightInd/>
              <w:snapToGrid/>
              <w:spacing w:before="60" w:beforeLines="25" w:after="60" w:afterLines="25" w:line="400" w:lineRule="atLeast"/>
              <w:jc w:val="both"/>
              <w:textAlignment w:val="bottom"/>
              <w:rPr>
                <w:rFonts w:ascii="宋体" w:hAnsi="宋体" w:cs="宋体"/>
                <w:spacing w:val="0"/>
                <w:kern w:val="2"/>
                <w:sz w:val="24"/>
                <w:szCs w:val="24"/>
              </w:rPr>
            </w:pPr>
            <w:r>
              <w:rPr>
                <w:rFonts w:hint="eastAsia" w:ascii="宋体" w:hAnsi="宋体" w:cs="宋体"/>
                <w:spacing w:val="0"/>
                <w:kern w:val="2"/>
                <w:sz w:val="24"/>
                <w:szCs w:val="24"/>
              </w:rPr>
              <w:t>参加过的类似项目</w:t>
            </w:r>
          </w:p>
        </w:tc>
        <w:tc>
          <w:tcPr>
            <w:tcW w:w="1940" w:type="dxa"/>
            <w:gridSpan w:val="2"/>
            <w:vAlign w:val="center"/>
          </w:tcPr>
          <w:p>
            <w:pPr>
              <w:pStyle w:val="183"/>
              <w:adjustRightInd/>
              <w:snapToGrid/>
              <w:spacing w:before="60" w:beforeLines="25" w:after="60" w:afterLines="25" w:line="400" w:lineRule="atLeast"/>
              <w:jc w:val="both"/>
              <w:textAlignment w:val="bottom"/>
              <w:rPr>
                <w:rFonts w:ascii="宋体" w:hAnsi="宋体" w:cs="宋体"/>
                <w:spacing w:val="0"/>
                <w:kern w:val="2"/>
                <w:sz w:val="24"/>
                <w:szCs w:val="24"/>
              </w:rPr>
            </w:pPr>
            <w:r>
              <w:rPr>
                <w:rFonts w:hint="eastAsia" w:ascii="宋体" w:hAnsi="宋体" w:cs="宋体"/>
                <w:spacing w:val="0"/>
                <w:kern w:val="2"/>
                <w:sz w:val="24"/>
                <w:szCs w:val="24"/>
              </w:rPr>
              <w:t>担任职务</w:t>
            </w:r>
          </w:p>
        </w:tc>
        <w:tc>
          <w:tcPr>
            <w:tcW w:w="1290" w:type="dxa"/>
            <w:vAlign w:val="center"/>
          </w:tcPr>
          <w:p>
            <w:pPr>
              <w:autoSpaceDE w:val="0"/>
              <w:autoSpaceDN w:val="0"/>
              <w:spacing w:before="60" w:beforeLines="25" w:after="60" w:afterLines="25" w:line="400" w:lineRule="atLeast"/>
              <w:jc w:val="both"/>
              <w:textAlignment w:val="bottom"/>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92" w:type="dxa"/>
            <w:gridSpan w:val="2"/>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4256" w:type="dxa"/>
            <w:gridSpan w:val="4"/>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1940" w:type="dxa"/>
            <w:gridSpan w:val="2"/>
          </w:tcPr>
          <w:p>
            <w:pPr>
              <w:autoSpaceDE w:val="0"/>
              <w:autoSpaceDN w:val="0"/>
              <w:spacing w:before="60" w:beforeLines="25" w:after="60" w:afterLines="25" w:line="400" w:lineRule="atLeast"/>
              <w:jc w:val="both"/>
              <w:textAlignment w:val="bottom"/>
              <w:rPr>
                <w:rFonts w:ascii="宋体" w:hAnsi="宋体" w:cs="宋体"/>
                <w:sz w:val="24"/>
              </w:rPr>
            </w:pPr>
          </w:p>
        </w:tc>
        <w:tc>
          <w:tcPr>
            <w:tcW w:w="1290" w:type="dxa"/>
          </w:tcPr>
          <w:p>
            <w:pPr>
              <w:autoSpaceDE w:val="0"/>
              <w:autoSpaceDN w:val="0"/>
              <w:spacing w:before="60" w:beforeLines="25" w:after="60" w:afterLines="25" w:line="400" w:lineRule="atLeast"/>
              <w:jc w:val="both"/>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92" w:type="dxa"/>
            <w:gridSpan w:val="2"/>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4256" w:type="dxa"/>
            <w:gridSpan w:val="4"/>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1940" w:type="dxa"/>
            <w:gridSpan w:val="2"/>
          </w:tcPr>
          <w:p>
            <w:pPr>
              <w:autoSpaceDE w:val="0"/>
              <w:autoSpaceDN w:val="0"/>
              <w:spacing w:before="60" w:beforeLines="25" w:after="60" w:afterLines="25" w:line="400" w:lineRule="atLeast"/>
              <w:jc w:val="both"/>
              <w:textAlignment w:val="bottom"/>
              <w:rPr>
                <w:rFonts w:ascii="宋体" w:hAnsi="宋体" w:cs="宋体"/>
                <w:sz w:val="24"/>
              </w:rPr>
            </w:pPr>
          </w:p>
        </w:tc>
        <w:tc>
          <w:tcPr>
            <w:tcW w:w="1290" w:type="dxa"/>
          </w:tcPr>
          <w:p>
            <w:pPr>
              <w:autoSpaceDE w:val="0"/>
              <w:autoSpaceDN w:val="0"/>
              <w:spacing w:before="60" w:beforeLines="25" w:after="60" w:afterLines="25" w:line="400" w:lineRule="atLeast"/>
              <w:jc w:val="both"/>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92" w:type="dxa"/>
            <w:gridSpan w:val="2"/>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4256" w:type="dxa"/>
            <w:gridSpan w:val="4"/>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1940" w:type="dxa"/>
            <w:gridSpan w:val="2"/>
          </w:tcPr>
          <w:p>
            <w:pPr>
              <w:autoSpaceDE w:val="0"/>
              <w:autoSpaceDN w:val="0"/>
              <w:spacing w:before="60" w:beforeLines="25" w:after="60" w:afterLines="25" w:line="400" w:lineRule="atLeast"/>
              <w:jc w:val="both"/>
              <w:textAlignment w:val="bottom"/>
              <w:rPr>
                <w:rFonts w:ascii="宋体" w:hAnsi="宋体" w:cs="宋体"/>
                <w:sz w:val="24"/>
              </w:rPr>
            </w:pPr>
          </w:p>
        </w:tc>
        <w:tc>
          <w:tcPr>
            <w:tcW w:w="1290" w:type="dxa"/>
          </w:tcPr>
          <w:p>
            <w:pPr>
              <w:autoSpaceDE w:val="0"/>
              <w:autoSpaceDN w:val="0"/>
              <w:spacing w:before="60" w:beforeLines="25" w:after="60" w:afterLines="25" w:line="400" w:lineRule="atLeast"/>
              <w:jc w:val="both"/>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92" w:type="dxa"/>
            <w:gridSpan w:val="2"/>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4256" w:type="dxa"/>
            <w:gridSpan w:val="4"/>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1940" w:type="dxa"/>
            <w:gridSpan w:val="2"/>
          </w:tcPr>
          <w:p>
            <w:pPr>
              <w:autoSpaceDE w:val="0"/>
              <w:autoSpaceDN w:val="0"/>
              <w:spacing w:before="60" w:beforeLines="25" w:after="60" w:afterLines="25" w:line="400" w:lineRule="atLeast"/>
              <w:jc w:val="both"/>
              <w:textAlignment w:val="bottom"/>
              <w:rPr>
                <w:rFonts w:ascii="宋体" w:hAnsi="宋体" w:cs="宋体"/>
                <w:sz w:val="24"/>
              </w:rPr>
            </w:pPr>
          </w:p>
        </w:tc>
        <w:tc>
          <w:tcPr>
            <w:tcW w:w="1290" w:type="dxa"/>
          </w:tcPr>
          <w:p>
            <w:pPr>
              <w:autoSpaceDE w:val="0"/>
              <w:autoSpaceDN w:val="0"/>
              <w:spacing w:before="60" w:beforeLines="25" w:after="60" w:afterLines="25" w:line="400" w:lineRule="atLeast"/>
              <w:jc w:val="both"/>
              <w:textAlignment w:val="bottom"/>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1292" w:type="dxa"/>
            <w:gridSpan w:val="2"/>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4256" w:type="dxa"/>
            <w:gridSpan w:val="4"/>
            <w:vAlign w:val="center"/>
          </w:tcPr>
          <w:p>
            <w:pPr>
              <w:autoSpaceDE w:val="0"/>
              <w:autoSpaceDN w:val="0"/>
              <w:spacing w:before="60" w:beforeLines="25" w:after="60" w:afterLines="25" w:line="400" w:lineRule="atLeast"/>
              <w:jc w:val="both"/>
              <w:textAlignment w:val="bottom"/>
              <w:rPr>
                <w:rFonts w:ascii="宋体" w:hAnsi="宋体" w:cs="宋体"/>
                <w:sz w:val="24"/>
              </w:rPr>
            </w:pPr>
          </w:p>
        </w:tc>
        <w:tc>
          <w:tcPr>
            <w:tcW w:w="1940" w:type="dxa"/>
            <w:gridSpan w:val="2"/>
          </w:tcPr>
          <w:p>
            <w:pPr>
              <w:autoSpaceDE w:val="0"/>
              <w:autoSpaceDN w:val="0"/>
              <w:spacing w:before="60" w:beforeLines="25" w:after="60" w:afterLines="25" w:line="400" w:lineRule="atLeast"/>
              <w:jc w:val="both"/>
              <w:textAlignment w:val="bottom"/>
              <w:rPr>
                <w:rFonts w:ascii="宋体" w:hAnsi="宋体" w:cs="宋体"/>
                <w:sz w:val="24"/>
              </w:rPr>
            </w:pPr>
          </w:p>
        </w:tc>
        <w:tc>
          <w:tcPr>
            <w:tcW w:w="1290" w:type="dxa"/>
          </w:tcPr>
          <w:p>
            <w:pPr>
              <w:autoSpaceDE w:val="0"/>
              <w:autoSpaceDN w:val="0"/>
              <w:spacing w:before="60" w:beforeLines="25" w:after="60" w:afterLines="25" w:line="400" w:lineRule="atLeast"/>
              <w:jc w:val="both"/>
              <w:textAlignment w:val="bottom"/>
              <w:rPr>
                <w:rFonts w:ascii="宋体" w:hAnsi="宋体" w:cs="宋体"/>
                <w:sz w:val="24"/>
              </w:rPr>
            </w:pPr>
          </w:p>
        </w:tc>
      </w:tr>
    </w:tbl>
    <w:p>
      <w:pPr>
        <w:numPr>
          <w:ilvl w:val="0"/>
          <w:numId w:val="9"/>
        </w:numPr>
        <w:spacing w:line="600" w:lineRule="exact"/>
        <w:jc w:val="both"/>
      </w:pPr>
      <w:r>
        <w:rPr>
          <w:rFonts w:hint="eastAsia" w:cs="仿宋" w:asciiTheme="minorEastAsia" w:hAnsiTheme="minorEastAsia" w:eastAsiaTheme="minorEastAsia"/>
          <w:sz w:val="24"/>
        </w:rPr>
        <w:t>注：供应商应根据供应商须知前附表第3.5（6）项的要求在本表后附相关证明材料。</w:t>
      </w:r>
    </w:p>
    <w:p>
      <w:pPr>
        <w:adjustRightInd w:val="0"/>
        <w:snapToGrid w:val="0"/>
        <w:spacing w:line="600" w:lineRule="exact"/>
        <w:jc w:val="center"/>
        <w:outlineLvl w:val="0"/>
        <w:rPr>
          <w:rFonts w:ascii="黑体" w:hAnsi="黑体" w:eastAsia="黑体" w:cs="仿宋"/>
          <w:sz w:val="36"/>
          <w:szCs w:val="36"/>
        </w:rPr>
      </w:pPr>
      <w:bookmarkStart w:id="49" w:name="_Toc31152"/>
      <w:r>
        <w:rPr>
          <w:rFonts w:hint="eastAsia" w:ascii="黑体" w:hAnsi="黑体" w:eastAsia="黑体" w:cs="仿宋"/>
          <w:sz w:val="36"/>
          <w:szCs w:val="36"/>
        </w:rPr>
        <w:t>六、响应方案</w:t>
      </w:r>
      <w:bookmarkEnd w:id="49"/>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(一)货物质量标准或技术性能指标的详细描述</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注：主要材料和关键部件有外购的，应在此部分详细说明外购的主要材料和关键部件名称、型号规格或主要技术性能参数、制造商名称、制造商地址等信息。可结合第三章“评审办法”和第五章“采购需求”中的要求进行响应）</w:t>
      </w:r>
    </w:p>
    <w:p>
      <w:pPr>
        <w:numPr>
          <w:ilvl w:val="0"/>
          <w:numId w:val="10"/>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技术支持资料（可结合第三章“评审办法”和第五章“采购需求”中的要求进行响应）</w:t>
      </w:r>
    </w:p>
    <w:p>
      <w:pPr>
        <w:numPr>
          <w:ilvl w:val="0"/>
          <w:numId w:val="10"/>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相关服务计划（可结合第三章“评审办法”和第五章“采购需求”中的要求进行响应）</w:t>
      </w:r>
    </w:p>
    <w:p>
      <w:pPr>
        <w:spacing w:line="240" w:lineRule="auto"/>
        <w:rPr>
          <w:rFonts w:ascii="黑体" w:hAnsi="黑体" w:eastAsia="黑体" w:cs="仿宋"/>
          <w:sz w:val="36"/>
          <w:szCs w:val="36"/>
        </w:rPr>
      </w:pPr>
      <w:bookmarkStart w:id="50" w:name="_Toc5214"/>
      <w:r>
        <w:rPr>
          <w:rFonts w:hint="eastAsia" w:ascii="黑体" w:hAnsi="黑体" w:eastAsia="黑体" w:cs="仿宋"/>
          <w:sz w:val="36"/>
          <w:szCs w:val="36"/>
        </w:rPr>
        <w:br w:type="page"/>
      </w:r>
    </w:p>
    <w:p>
      <w:pPr>
        <w:adjustRightInd w:val="0"/>
        <w:snapToGrid w:val="0"/>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七、其他资料</w:t>
      </w:r>
      <w:bookmarkEnd w:id="5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pPr>
    </w:p>
    <w:sectPr>
      <w:footerReference r:id="rId7" w:type="default"/>
      <w:pgSz w:w="11906" w:h="16838"/>
      <w:pgMar w:top="1440" w:right="1800" w:bottom="1440" w:left="180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tabs>
                              <w:tab w:val="center" w:pos="4153"/>
                              <w:tab w:val="right" w:pos="8306"/>
                            </w:tabs>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tabs>
                        <w:tab w:val="center" w:pos="4153"/>
                        <w:tab w:val="right" w:pos="8306"/>
                      </w:tabs>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9"/>
        <w:suppressLineNumbers/>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4F155"/>
    <w:multiLevelType w:val="singleLevel"/>
    <w:tmpl w:val="9234F155"/>
    <w:lvl w:ilvl="0" w:tentative="0">
      <w:start w:val="2"/>
      <w:numFmt w:val="chineseCounting"/>
      <w:suff w:val="space"/>
      <w:lvlText w:val="第%1部分"/>
      <w:lvlJc w:val="left"/>
      <w:rPr>
        <w:rFonts w:hint="eastAsia"/>
      </w:rPr>
    </w:lvl>
  </w:abstractNum>
  <w:abstractNum w:abstractNumId="1">
    <w:nsid w:val="A2894C12"/>
    <w:multiLevelType w:val="singleLevel"/>
    <w:tmpl w:val="A2894C12"/>
    <w:lvl w:ilvl="0" w:tentative="0">
      <w:start w:val="4"/>
      <w:numFmt w:val="chineseCounting"/>
      <w:suff w:val="nothing"/>
      <w:lvlText w:val="（%1）"/>
      <w:lvlJc w:val="left"/>
      <w:rPr>
        <w:rFonts w:hint="eastAsia"/>
      </w:rPr>
    </w:lvl>
  </w:abstractNum>
  <w:abstractNum w:abstractNumId="2">
    <w:nsid w:val="AD7C748C"/>
    <w:multiLevelType w:val="singleLevel"/>
    <w:tmpl w:val="AD7C748C"/>
    <w:lvl w:ilvl="0" w:tentative="0">
      <w:start w:val="1"/>
      <w:numFmt w:val="decimal"/>
      <w:suff w:val="nothing"/>
      <w:lvlText w:val="%1、"/>
      <w:lvlJc w:val="left"/>
    </w:lvl>
  </w:abstractNum>
  <w:abstractNum w:abstractNumId="3">
    <w:nsid w:val="BE15A2A9"/>
    <w:multiLevelType w:val="singleLevel"/>
    <w:tmpl w:val="BE15A2A9"/>
    <w:lvl w:ilvl="0" w:tentative="0">
      <w:start w:val="2"/>
      <w:numFmt w:val="chineseCounting"/>
      <w:suff w:val="nothing"/>
      <w:lvlText w:val="（%1）"/>
      <w:lvlJc w:val="left"/>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3601A173"/>
    <w:multiLevelType w:val="singleLevel"/>
    <w:tmpl w:val="3601A173"/>
    <w:lvl w:ilvl="0" w:tentative="0">
      <w:start w:val="1"/>
      <w:numFmt w:val="chineseCounting"/>
      <w:suff w:val="nothing"/>
      <w:lvlText w:val="%1、"/>
      <w:lvlJc w:val="left"/>
      <w:rPr>
        <w:rFonts w:hint="eastAsia"/>
      </w:rPr>
    </w:lvl>
  </w:abstractNum>
  <w:abstractNum w:abstractNumId="6">
    <w:nsid w:val="382F7687"/>
    <w:multiLevelType w:val="singleLevel"/>
    <w:tmpl w:val="382F7687"/>
    <w:lvl w:ilvl="0" w:tentative="0">
      <w:start w:val="11"/>
      <w:numFmt w:val="chineseCounting"/>
      <w:suff w:val="nothing"/>
      <w:lvlText w:val="%1、"/>
      <w:lvlJc w:val="left"/>
      <w:rPr>
        <w:rFonts w:hint="eastAsia"/>
      </w:rPr>
    </w:lvl>
  </w:abstractNum>
  <w:abstractNum w:abstractNumId="7">
    <w:nsid w:val="40AC5C69"/>
    <w:multiLevelType w:val="singleLevel"/>
    <w:tmpl w:val="40AC5C69"/>
    <w:lvl w:ilvl="0" w:tentative="0">
      <w:start w:val="1"/>
      <w:numFmt w:val="chineseCounting"/>
      <w:suff w:val="nothing"/>
      <w:lvlText w:val="%1、"/>
      <w:lvlJc w:val="left"/>
      <w:rPr>
        <w:rFonts w:hint="eastAsia"/>
      </w:rPr>
    </w:lvl>
  </w:abstractNum>
  <w:abstractNum w:abstractNumId="8">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8D6733"/>
    <w:multiLevelType w:val="singleLevel"/>
    <w:tmpl w:val="7D8D6733"/>
    <w:lvl w:ilvl="0" w:tentative="0">
      <w:start w:val="1"/>
      <w:numFmt w:val="decimal"/>
      <w:suff w:val="nothing"/>
      <w:lvlText w:val="%1、"/>
      <w:lvlJc w:val="left"/>
    </w:lvl>
  </w:abstractNum>
  <w:num w:numId="1">
    <w:abstractNumId w:val="8"/>
  </w:num>
  <w:num w:numId="2">
    <w:abstractNumId w:val="7"/>
  </w:num>
  <w:num w:numId="3">
    <w:abstractNumId w:val="2"/>
  </w:num>
  <w:num w:numId="4">
    <w:abstractNumId w:val="6"/>
  </w:num>
  <w:num w:numId="5">
    <w:abstractNumId w:val="9"/>
  </w:num>
  <w:num w:numId="6">
    <w:abstractNumId w:val="0"/>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dit="trackedChanges" w:formatting="1" w:enforcement="0"/>
  <w:defaultTabStop w:val="420"/>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30DDC"/>
    <w:rsid w:val="00044051"/>
    <w:rsid w:val="00045372"/>
    <w:rsid w:val="00045996"/>
    <w:rsid w:val="00047744"/>
    <w:rsid w:val="00053E1B"/>
    <w:rsid w:val="00072ECA"/>
    <w:rsid w:val="00077817"/>
    <w:rsid w:val="00080B47"/>
    <w:rsid w:val="000A0047"/>
    <w:rsid w:val="000A7926"/>
    <w:rsid w:val="000B4936"/>
    <w:rsid w:val="000C4E44"/>
    <w:rsid w:val="000C5689"/>
    <w:rsid w:val="000D1EAB"/>
    <w:rsid w:val="000D3831"/>
    <w:rsid w:val="000D3A07"/>
    <w:rsid w:val="000E5829"/>
    <w:rsid w:val="000F2F60"/>
    <w:rsid w:val="000F3D59"/>
    <w:rsid w:val="000F65C5"/>
    <w:rsid w:val="00101210"/>
    <w:rsid w:val="00124EA9"/>
    <w:rsid w:val="00133753"/>
    <w:rsid w:val="00141109"/>
    <w:rsid w:val="00141200"/>
    <w:rsid w:val="001421A1"/>
    <w:rsid w:val="0014231F"/>
    <w:rsid w:val="001429F5"/>
    <w:rsid w:val="00144A0B"/>
    <w:rsid w:val="00155F5F"/>
    <w:rsid w:val="0016577A"/>
    <w:rsid w:val="00172E5F"/>
    <w:rsid w:val="00175066"/>
    <w:rsid w:val="00186D78"/>
    <w:rsid w:val="00191835"/>
    <w:rsid w:val="001A1831"/>
    <w:rsid w:val="001A77A4"/>
    <w:rsid w:val="001B2C90"/>
    <w:rsid w:val="001B336A"/>
    <w:rsid w:val="001D03F9"/>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95840"/>
    <w:rsid w:val="002A13A6"/>
    <w:rsid w:val="002A3283"/>
    <w:rsid w:val="002A3646"/>
    <w:rsid w:val="002A69B8"/>
    <w:rsid w:val="002B10BE"/>
    <w:rsid w:val="002B225E"/>
    <w:rsid w:val="002B7B11"/>
    <w:rsid w:val="002D3DCC"/>
    <w:rsid w:val="002D460A"/>
    <w:rsid w:val="002E1D5F"/>
    <w:rsid w:val="002F4C12"/>
    <w:rsid w:val="003010D2"/>
    <w:rsid w:val="0031048F"/>
    <w:rsid w:val="00314E9E"/>
    <w:rsid w:val="00320A6F"/>
    <w:rsid w:val="003220EE"/>
    <w:rsid w:val="003276E9"/>
    <w:rsid w:val="00331CB4"/>
    <w:rsid w:val="00333AC7"/>
    <w:rsid w:val="003346E3"/>
    <w:rsid w:val="00335C6C"/>
    <w:rsid w:val="00340982"/>
    <w:rsid w:val="00341BE1"/>
    <w:rsid w:val="00343219"/>
    <w:rsid w:val="003536C1"/>
    <w:rsid w:val="00363E54"/>
    <w:rsid w:val="00371495"/>
    <w:rsid w:val="00386390"/>
    <w:rsid w:val="003921D5"/>
    <w:rsid w:val="00392340"/>
    <w:rsid w:val="003A008A"/>
    <w:rsid w:val="003A21A4"/>
    <w:rsid w:val="003A35E6"/>
    <w:rsid w:val="003A47A2"/>
    <w:rsid w:val="003A7BE3"/>
    <w:rsid w:val="003B1B7D"/>
    <w:rsid w:val="003C0E8A"/>
    <w:rsid w:val="003C71AC"/>
    <w:rsid w:val="003E7A6F"/>
    <w:rsid w:val="003F3ADB"/>
    <w:rsid w:val="003F5510"/>
    <w:rsid w:val="00417182"/>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39A6"/>
    <w:rsid w:val="004F746A"/>
    <w:rsid w:val="004F7BD5"/>
    <w:rsid w:val="004F7F0C"/>
    <w:rsid w:val="0050258D"/>
    <w:rsid w:val="0051116B"/>
    <w:rsid w:val="00514DA0"/>
    <w:rsid w:val="00527EEC"/>
    <w:rsid w:val="005307B3"/>
    <w:rsid w:val="005458F8"/>
    <w:rsid w:val="0054718F"/>
    <w:rsid w:val="0055203E"/>
    <w:rsid w:val="00557CC1"/>
    <w:rsid w:val="00562EC2"/>
    <w:rsid w:val="0057297F"/>
    <w:rsid w:val="0057563C"/>
    <w:rsid w:val="00580488"/>
    <w:rsid w:val="0058176A"/>
    <w:rsid w:val="005864F4"/>
    <w:rsid w:val="005932FF"/>
    <w:rsid w:val="005A24DF"/>
    <w:rsid w:val="005A41D3"/>
    <w:rsid w:val="005A70E0"/>
    <w:rsid w:val="005B251E"/>
    <w:rsid w:val="005B4C3F"/>
    <w:rsid w:val="005C4BCE"/>
    <w:rsid w:val="005D3E16"/>
    <w:rsid w:val="005E5529"/>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6BDB"/>
    <w:rsid w:val="00686532"/>
    <w:rsid w:val="00690B7C"/>
    <w:rsid w:val="0069324C"/>
    <w:rsid w:val="006A12CE"/>
    <w:rsid w:val="006A499F"/>
    <w:rsid w:val="006B1EC2"/>
    <w:rsid w:val="006B3F31"/>
    <w:rsid w:val="006C58A5"/>
    <w:rsid w:val="006C735F"/>
    <w:rsid w:val="006D3E72"/>
    <w:rsid w:val="006E037A"/>
    <w:rsid w:val="006E0909"/>
    <w:rsid w:val="006E37CB"/>
    <w:rsid w:val="006E4993"/>
    <w:rsid w:val="006E5C39"/>
    <w:rsid w:val="00702A69"/>
    <w:rsid w:val="007265BE"/>
    <w:rsid w:val="00734D60"/>
    <w:rsid w:val="00747724"/>
    <w:rsid w:val="007555FC"/>
    <w:rsid w:val="007623DE"/>
    <w:rsid w:val="00762B33"/>
    <w:rsid w:val="00767FCD"/>
    <w:rsid w:val="00770FF3"/>
    <w:rsid w:val="00771629"/>
    <w:rsid w:val="00772C0C"/>
    <w:rsid w:val="00773441"/>
    <w:rsid w:val="00773E3D"/>
    <w:rsid w:val="00784672"/>
    <w:rsid w:val="00784F8A"/>
    <w:rsid w:val="00785C21"/>
    <w:rsid w:val="007875F9"/>
    <w:rsid w:val="007942F7"/>
    <w:rsid w:val="007964EF"/>
    <w:rsid w:val="007C2355"/>
    <w:rsid w:val="007C74E8"/>
    <w:rsid w:val="007D0497"/>
    <w:rsid w:val="007D29D4"/>
    <w:rsid w:val="007D3081"/>
    <w:rsid w:val="007E1F23"/>
    <w:rsid w:val="007F19CD"/>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42C5"/>
    <w:rsid w:val="008B78B9"/>
    <w:rsid w:val="008C623B"/>
    <w:rsid w:val="008F5A39"/>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12741"/>
    <w:rsid w:val="00A15750"/>
    <w:rsid w:val="00A2148B"/>
    <w:rsid w:val="00A2462C"/>
    <w:rsid w:val="00A27204"/>
    <w:rsid w:val="00A33D67"/>
    <w:rsid w:val="00A3767B"/>
    <w:rsid w:val="00A41388"/>
    <w:rsid w:val="00A477C0"/>
    <w:rsid w:val="00A507DC"/>
    <w:rsid w:val="00A54E02"/>
    <w:rsid w:val="00A60003"/>
    <w:rsid w:val="00A67EC8"/>
    <w:rsid w:val="00A74225"/>
    <w:rsid w:val="00A81F80"/>
    <w:rsid w:val="00A828F1"/>
    <w:rsid w:val="00A85998"/>
    <w:rsid w:val="00A868EF"/>
    <w:rsid w:val="00A906E2"/>
    <w:rsid w:val="00AA0F15"/>
    <w:rsid w:val="00AD2A48"/>
    <w:rsid w:val="00AD2C8A"/>
    <w:rsid w:val="00AD6819"/>
    <w:rsid w:val="00AE15F3"/>
    <w:rsid w:val="00AF4CC2"/>
    <w:rsid w:val="00B01BCC"/>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63AEE"/>
    <w:rsid w:val="00C7182C"/>
    <w:rsid w:val="00C80A31"/>
    <w:rsid w:val="00C938B5"/>
    <w:rsid w:val="00C94DBF"/>
    <w:rsid w:val="00CB2271"/>
    <w:rsid w:val="00CB35D3"/>
    <w:rsid w:val="00CB4A8E"/>
    <w:rsid w:val="00CC5CBC"/>
    <w:rsid w:val="00CE020B"/>
    <w:rsid w:val="00CE71D2"/>
    <w:rsid w:val="00CE7226"/>
    <w:rsid w:val="00CE7D8E"/>
    <w:rsid w:val="00CF36EE"/>
    <w:rsid w:val="00D05E32"/>
    <w:rsid w:val="00D11238"/>
    <w:rsid w:val="00D1160E"/>
    <w:rsid w:val="00D1328D"/>
    <w:rsid w:val="00D224C6"/>
    <w:rsid w:val="00D22617"/>
    <w:rsid w:val="00D26E74"/>
    <w:rsid w:val="00D27461"/>
    <w:rsid w:val="00D30D7D"/>
    <w:rsid w:val="00D32AD3"/>
    <w:rsid w:val="00D35B47"/>
    <w:rsid w:val="00D44DE9"/>
    <w:rsid w:val="00D4514A"/>
    <w:rsid w:val="00D50CFA"/>
    <w:rsid w:val="00D52D42"/>
    <w:rsid w:val="00D5313A"/>
    <w:rsid w:val="00D56D4E"/>
    <w:rsid w:val="00D812B2"/>
    <w:rsid w:val="00D841AD"/>
    <w:rsid w:val="00D86B1B"/>
    <w:rsid w:val="00D87D62"/>
    <w:rsid w:val="00D90F37"/>
    <w:rsid w:val="00D92EB2"/>
    <w:rsid w:val="00D962D6"/>
    <w:rsid w:val="00DA2E85"/>
    <w:rsid w:val="00DA3A70"/>
    <w:rsid w:val="00DA6572"/>
    <w:rsid w:val="00DB2007"/>
    <w:rsid w:val="00DC2A18"/>
    <w:rsid w:val="00DC3790"/>
    <w:rsid w:val="00DC5E6F"/>
    <w:rsid w:val="00DC758D"/>
    <w:rsid w:val="00DD02EC"/>
    <w:rsid w:val="00DD03AC"/>
    <w:rsid w:val="00DD081E"/>
    <w:rsid w:val="00DD3E1E"/>
    <w:rsid w:val="00DD63AD"/>
    <w:rsid w:val="00DD7197"/>
    <w:rsid w:val="00DE7913"/>
    <w:rsid w:val="00DF2B35"/>
    <w:rsid w:val="00E006FA"/>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0861"/>
    <w:rsid w:val="00EB3032"/>
    <w:rsid w:val="00EB36F8"/>
    <w:rsid w:val="00EB3D32"/>
    <w:rsid w:val="00EC1A38"/>
    <w:rsid w:val="00EC394D"/>
    <w:rsid w:val="00EC5AF3"/>
    <w:rsid w:val="00EE6D49"/>
    <w:rsid w:val="00EE75AA"/>
    <w:rsid w:val="00F014DF"/>
    <w:rsid w:val="00F056D4"/>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9A8"/>
    <w:rsid w:val="00FC0CDA"/>
    <w:rsid w:val="00FC2557"/>
    <w:rsid w:val="00FC3155"/>
    <w:rsid w:val="00FD0360"/>
    <w:rsid w:val="00FD4D0F"/>
    <w:rsid w:val="00FD6D6C"/>
    <w:rsid w:val="00FD78D6"/>
    <w:rsid w:val="00FE3439"/>
    <w:rsid w:val="00FE5003"/>
    <w:rsid w:val="00FF43B1"/>
    <w:rsid w:val="015107B6"/>
    <w:rsid w:val="01553922"/>
    <w:rsid w:val="01AC7279"/>
    <w:rsid w:val="01BA37EB"/>
    <w:rsid w:val="020A1730"/>
    <w:rsid w:val="020B5B51"/>
    <w:rsid w:val="022003B8"/>
    <w:rsid w:val="02322291"/>
    <w:rsid w:val="024E1E15"/>
    <w:rsid w:val="025B2DC4"/>
    <w:rsid w:val="02640B4A"/>
    <w:rsid w:val="02A81EED"/>
    <w:rsid w:val="02E5725D"/>
    <w:rsid w:val="033518D8"/>
    <w:rsid w:val="03697E71"/>
    <w:rsid w:val="03797287"/>
    <w:rsid w:val="03881A38"/>
    <w:rsid w:val="03980E10"/>
    <w:rsid w:val="03E11420"/>
    <w:rsid w:val="04063B90"/>
    <w:rsid w:val="040F4F9C"/>
    <w:rsid w:val="04292817"/>
    <w:rsid w:val="044B16B1"/>
    <w:rsid w:val="046E6139"/>
    <w:rsid w:val="04850B44"/>
    <w:rsid w:val="0506170D"/>
    <w:rsid w:val="051C04D1"/>
    <w:rsid w:val="0558793A"/>
    <w:rsid w:val="05725EBF"/>
    <w:rsid w:val="05A6798C"/>
    <w:rsid w:val="05B71608"/>
    <w:rsid w:val="05D05281"/>
    <w:rsid w:val="05DA407F"/>
    <w:rsid w:val="05EF1FFE"/>
    <w:rsid w:val="067C2282"/>
    <w:rsid w:val="06B22DB6"/>
    <w:rsid w:val="06C76C7A"/>
    <w:rsid w:val="071012E4"/>
    <w:rsid w:val="071C2DD7"/>
    <w:rsid w:val="07E259C2"/>
    <w:rsid w:val="07E41516"/>
    <w:rsid w:val="0850039D"/>
    <w:rsid w:val="086C51A8"/>
    <w:rsid w:val="09971285"/>
    <w:rsid w:val="09AA5530"/>
    <w:rsid w:val="09BB5D90"/>
    <w:rsid w:val="09C6304D"/>
    <w:rsid w:val="09F425C7"/>
    <w:rsid w:val="0A770FAA"/>
    <w:rsid w:val="0ABB3DA7"/>
    <w:rsid w:val="0AEC411A"/>
    <w:rsid w:val="0AED2D32"/>
    <w:rsid w:val="0B0D6829"/>
    <w:rsid w:val="0B1D56A8"/>
    <w:rsid w:val="0B2B5A29"/>
    <w:rsid w:val="0B333027"/>
    <w:rsid w:val="0B617B3C"/>
    <w:rsid w:val="0BDD0694"/>
    <w:rsid w:val="0BE149C2"/>
    <w:rsid w:val="0BEB03C0"/>
    <w:rsid w:val="0BFF0C6A"/>
    <w:rsid w:val="0C0E7438"/>
    <w:rsid w:val="0C601702"/>
    <w:rsid w:val="0C905B62"/>
    <w:rsid w:val="0CD30A08"/>
    <w:rsid w:val="0CEC4A6F"/>
    <w:rsid w:val="0D363F33"/>
    <w:rsid w:val="0D6D12C3"/>
    <w:rsid w:val="0D7002CE"/>
    <w:rsid w:val="0DB551AF"/>
    <w:rsid w:val="0DB62EC1"/>
    <w:rsid w:val="0DB759FC"/>
    <w:rsid w:val="0DBA62E5"/>
    <w:rsid w:val="0E891CDE"/>
    <w:rsid w:val="0E95436C"/>
    <w:rsid w:val="0E954898"/>
    <w:rsid w:val="0EBF37BD"/>
    <w:rsid w:val="0FB642EF"/>
    <w:rsid w:val="100018D4"/>
    <w:rsid w:val="107460DE"/>
    <w:rsid w:val="10861954"/>
    <w:rsid w:val="109436E3"/>
    <w:rsid w:val="11153001"/>
    <w:rsid w:val="111D59EE"/>
    <w:rsid w:val="119E5E08"/>
    <w:rsid w:val="127D63F6"/>
    <w:rsid w:val="12BF1BB0"/>
    <w:rsid w:val="132B6CCC"/>
    <w:rsid w:val="13873911"/>
    <w:rsid w:val="13E2689C"/>
    <w:rsid w:val="13E91557"/>
    <w:rsid w:val="140D42EE"/>
    <w:rsid w:val="14674E98"/>
    <w:rsid w:val="1467696B"/>
    <w:rsid w:val="14792502"/>
    <w:rsid w:val="14887A48"/>
    <w:rsid w:val="14931A8C"/>
    <w:rsid w:val="14BB1F70"/>
    <w:rsid w:val="14E876C0"/>
    <w:rsid w:val="15037690"/>
    <w:rsid w:val="15B036A9"/>
    <w:rsid w:val="160E21CF"/>
    <w:rsid w:val="16226AB7"/>
    <w:rsid w:val="16314BAD"/>
    <w:rsid w:val="16887ED2"/>
    <w:rsid w:val="168B0D18"/>
    <w:rsid w:val="16914FDA"/>
    <w:rsid w:val="16933BB8"/>
    <w:rsid w:val="16BB6B96"/>
    <w:rsid w:val="16FE0D1C"/>
    <w:rsid w:val="16FE2D4C"/>
    <w:rsid w:val="172976C5"/>
    <w:rsid w:val="17594306"/>
    <w:rsid w:val="17B514CE"/>
    <w:rsid w:val="17D539F2"/>
    <w:rsid w:val="18337877"/>
    <w:rsid w:val="18357105"/>
    <w:rsid w:val="183D7650"/>
    <w:rsid w:val="185356B4"/>
    <w:rsid w:val="18862EA8"/>
    <w:rsid w:val="18930CCB"/>
    <w:rsid w:val="18AB0DDC"/>
    <w:rsid w:val="18C25071"/>
    <w:rsid w:val="18C82ECF"/>
    <w:rsid w:val="19097045"/>
    <w:rsid w:val="191915B7"/>
    <w:rsid w:val="19501C9A"/>
    <w:rsid w:val="19BB26CE"/>
    <w:rsid w:val="19D62055"/>
    <w:rsid w:val="1A007CEA"/>
    <w:rsid w:val="1A416FBC"/>
    <w:rsid w:val="1A4762B7"/>
    <w:rsid w:val="1A5F0C30"/>
    <w:rsid w:val="1A603A3D"/>
    <w:rsid w:val="1A740B6A"/>
    <w:rsid w:val="1A9E4C2A"/>
    <w:rsid w:val="1B7E560D"/>
    <w:rsid w:val="1BC70D30"/>
    <w:rsid w:val="1C2115AE"/>
    <w:rsid w:val="1C3D79B6"/>
    <w:rsid w:val="1C44694B"/>
    <w:rsid w:val="1C5642F5"/>
    <w:rsid w:val="1C836B36"/>
    <w:rsid w:val="1D6B35BE"/>
    <w:rsid w:val="1D9D42B0"/>
    <w:rsid w:val="1DC54E4A"/>
    <w:rsid w:val="1DDA6E3B"/>
    <w:rsid w:val="1DE278AD"/>
    <w:rsid w:val="1E1329CF"/>
    <w:rsid w:val="1E1A64B4"/>
    <w:rsid w:val="1E1F3B60"/>
    <w:rsid w:val="1E403142"/>
    <w:rsid w:val="1E6908EA"/>
    <w:rsid w:val="1E87379D"/>
    <w:rsid w:val="1E97356A"/>
    <w:rsid w:val="1ED21AD5"/>
    <w:rsid w:val="1F2E0BFF"/>
    <w:rsid w:val="1F34385C"/>
    <w:rsid w:val="1F655106"/>
    <w:rsid w:val="1F6C3BF2"/>
    <w:rsid w:val="1FA529D6"/>
    <w:rsid w:val="1FBA0AEA"/>
    <w:rsid w:val="1FBF76D7"/>
    <w:rsid w:val="1FC82DFF"/>
    <w:rsid w:val="1FC90591"/>
    <w:rsid w:val="20990A8B"/>
    <w:rsid w:val="212E078A"/>
    <w:rsid w:val="21F90DD2"/>
    <w:rsid w:val="226E5DE0"/>
    <w:rsid w:val="22E43B90"/>
    <w:rsid w:val="23DD074B"/>
    <w:rsid w:val="24080534"/>
    <w:rsid w:val="24553D40"/>
    <w:rsid w:val="24645616"/>
    <w:rsid w:val="247A4058"/>
    <w:rsid w:val="24ED23CE"/>
    <w:rsid w:val="255502E5"/>
    <w:rsid w:val="25574DCE"/>
    <w:rsid w:val="25A80E90"/>
    <w:rsid w:val="260862A8"/>
    <w:rsid w:val="264E6DB9"/>
    <w:rsid w:val="264F3855"/>
    <w:rsid w:val="26A05072"/>
    <w:rsid w:val="271C144D"/>
    <w:rsid w:val="27D2747C"/>
    <w:rsid w:val="2872440F"/>
    <w:rsid w:val="28807844"/>
    <w:rsid w:val="295760F8"/>
    <w:rsid w:val="29AF2158"/>
    <w:rsid w:val="29B87BB1"/>
    <w:rsid w:val="29E52C48"/>
    <w:rsid w:val="2A2E4796"/>
    <w:rsid w:val="2A4F3E17"/>
    <w:rsid w:val="2A7A2535"/>
    <w:rsid w:val="2AE20DED"/>
    <w:rsid w:val="2AF33719"/>
    <w:rsid w:val="2B204A27"/>
    <w:rsid w:val="2B297614"/>
    <w:rsid w:val="2B3B53BD"/>
    <w:rsid w:val="2BD20F64"/>
    <w:rsid w:val="2BF10955"/>
    <w:rsid w:val="2C1005F7"/>
    <w:rsid w:val="2C2302BB"/>
    <w:rsid w:val="2C553324"/>
    <w:rsid w:val="2C6615DF"/>
    <w:rsid w:val="2CA02C35"/>
    <w:rsid w:val="2CAC416A"/>
    <w:rsid w:val="2CB16E87"/>
    <w:rsid w:val="2CE751CC"/>
    <w:rsid w:val="2CF60F41"/>
    <w:rsid w:val="2D300825"/>
    <w:rsid w:val="2D412A32"/>
    <w:rsid w:val="2D4E4FC1"/>
    <w:rsid w:val="2D507AFC"/>
    <w:rsid w:val="2DA660A6"/>
    <w:rsid w:val="2DD90333"/>
    <w:rsid w:val="2DE418E1"/>
    <w:rsid w:val="2DF611C9"/>
    <w:rsid w:val="2E2170F9"/>
    <w:rsid w:val="2E41641E"/>
    <w:rsid w:val="2E440F8F"/>
    <w:rsid w:val="2E8C5F2F"/>
    <w:rsid w:val="2E937CE4"/>
    <w:rsid w:val="2E944985"/>
    <w:rsid w:val="2EB35269"/>
    <w:rsid w:val="2F2A4967"/>
    <w:rsid w:val="2F485BEA"/>
    <w:rsid w:val="2FD26F55"/>
    <w:rsid w:val="2FFE4609"/>
    <w:rsid w:val="30096558"/>
    <w:rsid w:val="30412803"/>
    <w:rsid w:val="305201A9"/>
    <w:rsid w:val="30DE2DAE"/>
    <w:rsid w:val="311157F3"/>
    <w:rsid w:val="312A2458"/>
    <w:rsid w:val="317A6542"/>
    <w:rsid w:val="31B73FC1"/>
    <w:rsid w:val="321A7484"/>
    <w:rsid w:val="32517E19"/>
    <w:rsid w:val="32756EB2"/>
    <w:rsid w:val="327F0285"/>
    <w:rsid w:val="328378A7"/>
    <w:rsid w:val="32985818"/>
    <w:rsid w:val="329F4483"/>
    <w:rsid w:val="32CD13D8"/>
    <w:rsid w:val="32D12295"/>
    <w:rsid w:val="32D46F77"/>
    <w:rsid w:val="330C2A93"/>
    <w:rsid w:val="330D5DEB"/>
    <w:rsid w:val="333F27D7"/>
    <w:rsid w:val="339248A7"/>
    <w:rsid w:val="33A07744"/>
    <w:rsid w:val="33B65E11"/>
    <w:rsid w:val="33B865E8"/>
    <w:rsid w:val="33E7797B"/>
    <w:rsid w:val="347E4E06"/>
    <w:rsid w:val="34874156"/>
    <w:rsid w:val="34961D84"/>
    <w:rsid w:val="35032B89"/>
    <w:rsid w:val="351E4EE1"/>
    <w:rsid w:val="355F4C75"/>
    <w:rsid w:val="35905F2B"/>
    <w:rsid w:val="35C04D42"/>
    <w:rsid w:val="35D22503"/>
    <w:rsid w:val="362E5440"/>
    <w:rsid w:val="3637096F"/>
    <w:rsid w:val="363E0457"/>
    <w:rsid w:val="36511F38"/>
    <w:rsid w:val="36CC1C9D"/>
    <w:rsid w:val="373177CE"/>
    <w:rsid w:val="37785ECF"/>
    <w:rsid w:val="379B30ED"/>
    <w:rsid w:val="37E36BED"/>
    <w:rsid w:val="38D540B9"/>
    <w:rsid w:val="38EB3001"/>
    <w:rsid w:val="3A1D6E40"/>
    <w:rsid w:val="3A210788"/>
    <w:rsid w:val="3A6F6091"/>
    <w:rsid w:val="3B2B40CB"/>
    <w:rsid w:val="3B495E65"/>
    <w:rsid w:val="3B4C7172"/>
    <w:rsid w:val="3B636BC1"/>
    <w:rsid w:val="3B7A3CDF"/>
    <w:rsid w:val="3B7F300C"/>
    <w:rsid w:val="3BE03C40"/>
    <w:rsid w:val="3BE43358"/>
    <w:rsid w:val="3BFE0D0E"/>
    <w:rsid w:val="3C1E6B96"/>
    <w:rsid w:val="3C633E13"/>
    <w:rsid w:val="3C7A4561"/>
    <w:rsid w:val="3C806ECF"/>
    <w:rsid w:val="3CC60FDA"/>
    <w:rsid w:val="3CD2096C"/>
    <w:rsid w:val="3D345790"/>
    <w:rsid w:val="3D712EC0"/>
    <w:rsid w:val="3DBA091D"/>
    <w:rsid w:val="3DE511B8"/>
    <w:rsid w:val="3DF82460"/>
    <w:rsid w:val="3E9443E8"/>
    <w:rsid w:val="3EFC61A0"/>
    <w:rsid w:val="3F176741"/>
    <w:rsid w:val="3F3923EB"/>
    <w:rsid w:val="3F5C6702"/>
    <w:rsid w:val="3F981C15"/>
    <w:rsid w:val="3FB93C81"/>
    <w:rsid w:val="3FBF43B6"/>
    <w:rsid w:val="3FE5227A"/>
    <w:rsid w:val="400C0AB8"/>
    <w:rsid w:val="407D4E5F"/>
    <w:rsid w:val="41100B42"/>
    <w:rsid w:val="41401FAA"/>
    <w:rsid w:val="4185015E"/>
    <w:rsid w:val="41970CA5"/>
    <w:rsid w:val="423E54C5"/>
    <w:rsid w:val="425F07A9"/>
    <w:rsid w:val="42902722"/>
    <w:rsid w:val="42982E45"/>
    <w:rsid w:val="42DD62AF"/>
    <w:rsid w:val="43093AB2"/>
    <w:rsid w:val="43611BE9"/>
    <w:rsid w:val="43A23DD3"/>
    <w:rsid w:val="43C529F5"/>
    <w:rsid w:val="43CB1AB8"/>
    <w:rsid w:val="443309C4"/>
    <w:rsid w:val="444D609D"/>
    <w:rsid w:val="446A4013"/>
    <w:rsid w:val="44991ED1"/>
    <w:rsid w:val="44D14A1F"/>
    <w:rsid w:val="4503099B"/>
    <w:rsid w:val="451A1B5E"/>
    <w:rsid w:val="452B429C"/>
    <w:rsid w:val="453D7EFA"/>
    <w:rsid w:val="45FA5FD9"/>
    <w:rsid w:val="463131AB"/>
    <w:rsid w:val="46480423"/>
    <w:rsid w:val="466C33BB"/>
    <w:rsid w:val="46C44BD5"/>
    <w:rsid w:val="46FD0ED7"/>
    <w:rsid w:val="47173E6F"/>
    <w:rsid w:val="47392981"/>
    <w:rsid w:val="476F67B0"/>
    <w:rsid w:val="478B491D"/>
    <w:rsid w:val="47A22F2A"/>
    <w:rsid w:val="47C259CB"/>
    <w:rsid w:val="47D44A52"/>
    <w:rsid w:val="47E7681C"/>
    <w:rsid w:val="480C3F11"/>
    <w:rsid w:val="48117779"/>
    <w:rsid w:val="48253444"/>
    <w:rsid w:val="491C7F1B"/>
    <w:rsid w:val="492F4059"/>
    <w:rsid w:val="49375276"/>
    <w:rsid w:val="4977360C"/>
    <w:rsid w:val="49FD45C2"/>
    <w:rsid w:val="4A236C6F"/>
    <w:rsid w:val="4A3A7F0E"/>
    <w:rsid w:val="4A713F14"/>
    <w:rsid w:val="4AC92197"/>
    <w:rsid w:val="4B5D1DE1"/>
    <w:rsid w:val="4B8F5831"/>
    <w:rsid w:val="4BB73BE9"/>
    <w:rsid w:val="4BD63C4C"/>
    <w:rsid w:val="4BEB2031"/>
    <w:rsid w:val="4CCB5EE4"/>
    <w:rsid w:val="4CCF1A74"/>
    <w:rsid w:val="4CE85D4A"/>
    <w:rsid w:val="4D066995"/>
    <w:rsid w:val="4D3E16CF"/>
    <w:rsid w:val="4D6B74E0"/>
    <w:rsid w:val="4DC80591"/>
    <w:rsid w:val="4DE46155"/>
    <w:rsid w:val="4DE61D04"/>
    <w:rsid w:val="4DEE7323"/>
    <w:rsid w:val="4E5F0909"/>
    <w:rsid w:val="4E6200BB"/>
    <w:rsid w:val="4E766125"/>
    <w:rsid w:val="4EB80F4C"/>
    <w:rsid w:val="4EEB5288"/>
    <w:rsid w:val="4F0973FC"/>
    <w:rsid w:val="4F1B4159"/>
    <w:rsid w:val="4F6F41B5"/>
    <w:rsid w:val="4F700335"/>
    <w:rsid w:val="4FA63C9A"/>
    <w:rsid w:val="50131BB5"/>
    <w:rsid w:val="50203001"/>
    <w:rsid w:val="504C0D48"/>
    <w:rsid w:val="50B51B02"/>
    <w:rsid w:val="51121E6C"/>
    <w:rsid w:val="516A1CA8"/>
    <w:rsid w:val="516B122E"/>
    <w:rsid w:val="52445835"/>
    <w:rsid w:val="528334FD"/>
    <w:rsid w:val="52D63993"/>
    <w:rsid w:val="532753A2"/>
    <w:rsid w:val="5364371A"/>
    <w:rsid w:val="536776AE"/>
    <w:rsid w:val="537D2167"/>
    <w:rsid w:val="53E53AC9"/>
    <w:rsid w:val="546A00CA"/>
    <w:rsid w:val="54C530D9"/>
    <w:rsid w:val="5504047D"/>
    <w:rsid w:val="55253301"/>
    <w:rsid w:val="55674E7D"/>
    <w:rsid w:val="55C74889"/>
    <w:rsid w:val="5607739B"/>
    <w:rsid w:val="563C54D9"/>
    <w:rsid w:val="565A7935"/>
    <w:rsid w:val="565E6694"/>
    <w:rsid w:val="56820D5B"/>
    <w:rsid w:val="57023B70"/>
    <w:rsid w:val="57096D7C"/>
    <w:rsid w:val="572C6388"/>
    <w:rsid w:val="57AD3C15"/>
    <w:rsid w:val="57FB7AFE"/>
    <w:rsid w:val="58311149"/>
    <w:rsid w:val="585119A0"/>
    <w:rsid w:val="58607715"/>
    <w:rsid w:val="587B7171"/>
    <w:rsid w:val="58A46E54"/>
    <w:rsid w:val="58BA71B3"/>
    <w:rsid w:val="58BF1D1B"/>
    <w:rsid w:val="594B6471"/>
    <w:rsid w:val="59520AA5"/>
    <w:rsid w:val="5A184106"/>
    <w:rsid w:val="5A3D0E18"/>
    <w:rsid w:val="5A540FE6"/>
    <w:rsid w:val="5B024CA5"/>
    <w:rsid w:val="5B1C2265"/>
    <w:rsid w:val="5BA113F4"/>
    <w:rsid w:val="5BA947F9"/>
    <w:rsid w:val="5BBF65E0"/>
    <w:rsid w:val="5C0F5926"/>
    <w:rsid w:val="5C656174"/>
    <w:rsid w:val="5CA954B5"/>
    <w:rsid w:val="5D2673CB"/>
    <w:rsid w:val="5D3A70EE"/>
    <w:rsid w:val="5D740D4B"/>
    <w:rsid w:val="5D837CB4"/>
    <w:rsid w:val="5D901B99"/>
    <w:rsid w:val="5D9424C4"/>
    <w:rsid w:val="5DAD36A2"/>
    <w:rsid w:val="5DBF187A"/>
    <w:rsid w:val="5DC97FC9"/>
    <w:rsid w:val="5DE85A58"/>
    <w:rsid w:val="5E007081"/>
    <w:rsid w:val="5EF05EE3"/>
    <w:rsid w:val="5F5A15AE"/>
    <w:rsid w:val="5FA0715F"/>
    <w:rsid w:val="5FAB6FD5"/>
    <w:rsid w:val="5FC5301A"/>
    <w:rsid w:val="606A78B9"/>
    <w:rsid w:val="60D84E80"/>
    <w:rsid w:val="614A3DAA"/>
    <w:rsid w:val="61842912"/>
    <w:rsid w:val="618F0A37"/>
    <w:rsid w:val="61C34B59"/>
    <w:rsid w:val="61CF20DD"/>
    <w:rsid w:val="62055299"/>
    <w:rsid w:val="624136EF"/>
    <w:rsid w:val="62441860"/>
    <w:rsid w:val="62525166"/>
    <w:rsid w:val="6265316E"/>
    <w:rsid w:val="62937A29"/>
    <w:rsid w:val="62A70077"/>
    <w:rsid w:val="62E23D94"/>
    <w:rsid w:val="63310F09"/>
    <w:rsid w:val="63694DB5"/>
    <w:rsid w:val="638915D0"/>
    <w:rsid w:val="638D1F52"/>
    <w:rsid w:val="63A45BF9"/>
    <w:rsid w:val="63B84F56"/>
    <w:rsid w:val="64074006"/>
    <w:rsid w:val="64307272"/>
    <w:rsid w:val="64847D37"/>
    <w:rsid w:val="64D140C0"/>
    <w:rsid w:val="653603C7"/>
    <w:rsid w:val="655C146A"/>
    <w:rsid w:val="65863D1B"/>
    <w:rsid w:val="6587477F"/>
    <w:rsid w:val="65B55F9D"/>
    <w:rsid w:val="65B95957"/>
    <w:rsid w:val="65F81266"/>
    <w:rsid w:val="66073F4A"/>
    <w:rsid w:val="66167BA9"/>
    <w:rsid w:val="663E10C6"/>
    <w:rsid w:val="6684682F"/>
    <w:rsid w:val="669E0047"/>
    <w:rsid w:val="66FF5D80"/>
    <w:rsid w:val="67283DE8"/>
    <w:rsid w:val="67582877"/>
    <w:rsid w:val="67852C74"/>
    <w:rsid w:val="67BA7B20"/>
    <w:rsid w:val="67DB2C51"/>
    <w:rsid w:val="67F765E0"/>
    <w:rsid w:val="681F7264"/>
    <w:rsid w:val="684639C8"/>
    <w:rsid w:val="68562B5B"/>
    <w:rsid w:val="68671BC6"/>
    <w:rsid w:val="686B311E"/>
    <w:rsid w:val="68AB69D7"/>
    <w:rsid w:val="68CA1641"/>
    <w:rsid w:val="68CB3B83"/>
    <w:rsid w:val="68FA376A"/>
    <w:rsid w:val="69053B30"/>
    <w:rsid w:val="692A1FF1"/>
    <w:rsid w:val="69D27EA0"/>
    <w:rsid w:val="69FD7559"/>
    <w:rsid w:val="6A33233D"/>
    <w:rsid w:val="6B0276EE"/>
    <w:rsid w:val="6B5017A0"/>
    <w:rsid w:val="6B52525A"/>
    <w:rsid w:val="6B533C17"/>
    <w:rsid w:val="6B7569B5"/>
    <w:rsid w:val="6C096D1B"/>
    <w:rsid w:val="6C3B62C3"/>
    <w:rsid w:val="6C5B7CEC"/>
    <w:rsid w:val="6C7F57FD"/>
    <w:rsid w:val="6CF240C6"/>
    <w:rsid w:val="6D013BED"/>
    <w:rsid w:val="6D834779"/>
    <w:rsid w:val="6D842581"/>
    <w:rsid w:val="6DB34F5A"/>
    <w:rsid w:val="6DEE7787"/>
    <w:rsid w:val="6E03652B"/>
    <w:rsid w:val="6E1E0599"/>
    <w:rsid w:val="6E967D6B"/>
    <w:rsid w:val="6FBF0220"/>
    <w:rsid w:val="6FC54864"/>
    <w:rsid w:val="6FD45398"/>
    <w:rsid w:val="70A33D21"/>
    <w:rsid w:val="70C525FF"/>
    <w:rsid w:val="70ED09B0"/>
    <w:rsid w:val="70F047E8"/>
    <w:rsid w:val="71136EAD"/>
    <w:rsid w:val="71137C65"/>
    <w:rsid w:val="7129306F"/>
    <w:rsid w:val="712F6687"/>
    <w:rsid w:val="7158645C"/>
    <w:rsid w:val="716E2908"/>
    <w:rsid w:val="717600B2"/>
    <w:rsid w:val="71904F0E"/>
    <w:rsid w:val="71B82140"/>
    <w:rsid w:val="72207151"/>
    <w:rsid w:val="72FD4A11"/>
    <w:rsid w:val="72FF1303"/>
    <w:rsid w:val="73383E6B"/>
    <w:rsid w:val="73396DB5"/>
    <w:rsid w:val="73BC5AD9"/>
    <w:rsid w:val="742C51F2"/>
    <w:rsid w:val="74505C0B"/>
    <w:rsid w:val="74E03A67"/>
    <w:rsid w:val="75FE3C40"/>
    <w:rsid w:val="764D1C01"/>
    <w:rsid w:val="77936D8F"/>
    <w:rsid w:val="77DA33DD"/>
    <w:rsid w:val="78AB2B78"/>
    <w:rsid w:val="78AD22F7"/>
    <w:rsid w:val="78EB6E8C"/>
    <w:rsid w:val="78F148D9"/>
    <w:rsid w:val="78F83BED"/>
    <w:rsid w:val="79257587"/>
    <w:rsid w:val="79AB7CAA"/>
    <w:rsid w:val="79FF25A5"/>
    <w:rsid w:val="7A4C2094"/>
    <w:rsid w:val="7AD640D2"/>
    <w:rsid w:val="7AFD57B8"/>
    <w:rsid w:val="7B46553C"/>
    <w:rsid w:val="7B477A1B"/>
    <w:rsid w:val="7B5467C4"/>
    <w:rsid w:val="7B615D46"/>
    <w:rsid w:val="7B6C3DB3"/>
    <w:rsid w:val="7BA84B1C"/>
    <w:rsid w:val="7BC10F02"/>
    <w:rsid w:val="7BD64053"/>
    <w:rsid w:val="7C1A7721"/>
    <w:rsid w:val="7C47503C"/>
    <w:rsid w:val="7CA32E53"/>
    <w:rsid w:val="7CE111F7"/>
    <w:rsid w:val="7CFD241F"/>
    <w:rsid w:val="7D3F1FE1"/>
    <w:rsid w:val="7D40463C"/>
    <w:rsid w:val="7D5139EA"/>
    <w:rsid w:val="7D9F4904"/>
    <w:rsid w:val="7DB1356C"/>
    <w:rsid w:val="7DDD367E"/>
    <w:rsid w:val="7E077651"/>
    <w:rsid w:val="7F0D64C2"/>
    <w:rsid w:val="7F5247C5"/>
    <w:rsid w:val="7FAE3EBF"/>
    <w:rsid w:val="7FFF5A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7">
    <w:name w:val="heading 2"/>
    <w:basedOn w:val="1"/>
    <w:next w:val="8"/>
    <w:link w:val="51"/>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7"/>
    <w:next w:val="1"/>
    <w:qFormat/>
    <w:uiPriority w:val="0"/>
    <w:pPr>
      <w:keepNext/>
      <w:keepLines/>
      <w:spacing w:before="260" w:after="260" w:line="415" w:lineRule="auto"/>
      <w:outlineLvl w:val="2"/>
    </w:pPr>
    <w:rPr>
      <w:sz w:val="32"/>
      <w:szCs w:val="32"/>
    </w:rPr>
  </w:style>
  <w:style w:type="paragraph" w:styleId="9">
    <w:name w:val="heading 4"/>
    <w:basedOn w:val="1"/>
    <w:next w:val="1"/>
    <w:link w:val="186"/>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4"/>
    <w:semiHidden/>
    <w:unhideWhenUsed/>
    <w:qFormat/>
    <w:uiPriority w:val="99"/>
    <w:pPr>
      <w:spacing w:after="120"/>
    </w:pPr>
  </w:style>
  <w:style w:type="paragraph" w:customStyle="1" w:styleId="4">
    <w:name w:val="Body Text Indent 21"/>
    <w:basedOn w:val="1"/>
    <w:next w:val="5"/>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link w:val="149"/>
    <w:qFormat/>
    <w:uiPriority w:val="99"/>
    <w:pPr>
      <w:snapToGrid w:val="0"/>
    </w:pPr>
    <w:rPr>
      <w:rFonts w:asciiTheme="minorHAnsi" w:hAnsiTheme="minorHAnsi" w:eastAsiaTheme="minorEastAsia" w:cstheme="minorBidi"/>
      <w:sz w:val="18"/>
      <w:szCs w:val="18"/>
    </w:rPr>
  </w:style>
  <w:style w:type="paragraph" w:styleId="10">
    <w:name w:val="index 8"/>
    <w:basedOn w:val="1"/>
    <w:next w:val="1"/>
    <w:qFormat/>
    <w:uiPriority w:val="0"/>
    <w:pPr>
      <w:ind w:left="1680" w:hanging="210"/>
    </w:pPr>
    <w:rPr>
      <w:rFonts w:ascii="Calibri" w:hAnsi="Calibri"/>
      <w:sz w:val="20"/>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pPr>
    <w:rPr>
      <w:rFonts w:ascii="Calibri" w:hAnsi="Calibri"/>
      <w:sz w:val="20"/>
      <w:szCs w:val="20"/>
    </w:rPr>
  </w:style>
  <w:style w:type="paragraph" w:styleId="13">
    <w:name w:val="Document Map"/>
    <w:basedOn w:val="1"/>
    <w:link w:val="171"/>
    <w:semiHidden/>
    <w:qFormat/>
    <w:uiPriority w:val="0"/>
    <w:pPr>
      <w:shd w:val="clear" w:color="auto" w:fill="000080"/>
    </w:pPr>
    <w:rPr>
      <w:rFonts w:asciiTheme="minorHAnsi" w:hAnsiTheme="minorHAnsi" w:eastAsiaTheme="minorEastAsia" w:cstheme="minorBidi"/>
    </w:rPr>
  </w:style>
  <w:style w:type="paragraph" w:styleId="14">
    <w:name w:val="annotation text"/>
    <w:basedOn w:val="1"/>
    <w:link w:val="168"/>
    <w:semiHidden/>
    <w:qFormat/>
    <w:uiPriority w:val="0"/>
    <w:rPr>
      <w:rFonts w:asciiTheme="minorHAnsi" w:hAnsiTheme="minorHAnsi" w:eastAsiaTheme="minorEastAsia" w:cstheme="minorBidi"/>
    </w:rPr>
  </w:style>
  <w:style w:type="paragraph" w:styleId="15">
    <w:name w:val="index 6"/>
    <w:basedOn w:val="1"/>
    <w:next w:val="1"/>
    <w:qFormat/>
    <w:uiPriority w:val="0"/>
    <w:pPr>
      <w:ind w:left="1260" w:hanging="210"/>
    </w:pPr>
    <w:rPr>
      <w:rFonts w:ascii="Calibri" w:hAnsi="Calibri"/>
      <w:sz w:val="20"/>
      <w:szCs w:val="20"/>
    </w:rPr>
  </w:style>
  <w:style w:type="paragraph" w:styleId="16">
    <w:name w:val="Body Text 3"/>
    <w:basedOn w:val="1"/>
    <w:link w:val="179"/>
    <w:semiHidden/>
    <w:unhideWhenUsed/>
    <w:qFormat/>
    <w:uiPriority w:val="99"/>
    <w:pPr>
      <w:spacing w:after="120"/>
    </w:pPr>
    <w:rPr>
      <w:sz w:val="16"/>
      <w:szCs w:val="16"/>
    </w:rPr>
  </w:style>
  <w:style w:type="paragraph" w:styleId="17">
    <w:name w:val="Body Text Indent"/>
    <w:basedOn w:val="1"/>
    <w:qFormat/>
    <w:uiPriority w:val="0"/>
    <w:pPr>
      <w:spacing w:line="400" w:lineRule="exact"/>
      <w:ind w:firstLine="435"/>
    </w:pPr>
  </w:style>
  <w:style w:type="paragraph" w:styleId="18">
    <w:name w:val="index 4"/>
    <w:basedOn w:val="1"/>
    <w:next w:val="1"/>
    <w:qFormat/>
    <w:uiPriority w:val="0"/>
    <w:pPr>
      <w:ind w:left="840" w:hanging="210"/>
    </w:pPr>
    <w:rPr>
      <w:rFonts w:ascii="Calibri" w:hAnsi="Calibri"/>
      <w:sz w:val="20"/>
      <w:szCs w:val="20"/>
    </w:rPr>
  </w:style>
  <w:style w:type="paragraph" w:styleId="19">
    <w:name w:val="Plain Text"/>
    <w:basedOn w:val="1"/>
    <w:link w:val="182"/>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qFormat/>
    <w:uiPriority w:val="0"/>
    <w:pPr>
      <w:ind w:left="630" w:hanging="210"/>
    </w:pPr>
    <w:rPr>
      <w:rFonts w:ascii="Calibri" w:hAnsi="Calibri"/>
      <w:sz w:val="20"/>
      <w:szCs w:val="20"/>
    </w:rPr>
  </w:style>
  <w:style w:type="paragraph" w:styleId="21">
    <w:name w:val="Date"/>
    <w:basedOn w:val="1"/>
    <w:next w:val="1"/>
    <w:link w:val="170"/>
    <w:qFormat/>
    <w:uiPriority w:val="99"/>
    <w:pPr>
      <w:ind w:left="100" w:leftChars="2500"/>
    </w:pPr>
    <w:rPr>
      <w:rFonts w:asciiTheme="minorHAnsi" w:hAnsiTheme="minorHAnsi" w:eastAsiaTheme="minorEastAsia" w:cstheme="minorBidi"/>
    </w:rPr>
  </w:style>
  <w:style w:type="paragraph" w:styleId="22">
    <w:name w:val="Body Text Indent 2"/>
    <w:basedOn w:val="1"/>
    <w:link w:val="160"/>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7"/>
    <w:semiHidden/>
    <w:qFormat/>
    <w:uiPriority w:val="0"/>
    <w:pPr>
      <w:snapToGrid w:val="0"/>
    </w:pPr>
    <w:rPr>
      <w:rFonts w:asciiTheme="minorHAnsi" w:hAnsiTheme="minorHAnsi" w:eastAsiaTheme="minorEastAsia" w:cstheme="minorBidi"/>
    </w:rPr>
  </w:style>
  <w:style w:type="paragraph" w:styleId="24">
    <w:name w:val="Balloon Text"/>
    <w:basedOn w:val="1"/>
    <w:link w:val="146"/>
    <w:qFormat/>
    <w:uiPriority w:val="99"/>
    <w:rPr>
      <w:rFonts w:asciiTheme="minorHAnsi" w:hAnsiTheme="minorHAnsi" w:eastAsiaTheme="minorEastAsia" w:cstheme="minorBidi"/>
      <w:sz w:val="18"/>
      <w:szCs w:val="18"/>
    </w:rPr>
  </w:style>
  <w:style w:type="paragraph" w:styleId="25">
    <w:name w:val="footer"/>
    <w:basedOn w:val="1"/>
    <w:link w:val="167"/>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toc 1"/>
    <w:basedOn w:val="1"/>
    <w:next w:val="1"/>
    <w:semiHidden/>
    <w:qFormat/>
    <w:uiPriority w:val="0"/>
    <w:pPr>
      <w:tabs>
        <w:tab w:val="right" w:leader="dot" w:pos="9242"/>
      </w:tabs>
      <w:spacing w:beforeLines="25" w:afterLines="25"/>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1"/>
    <w:unhideWhenUsed/>
    <w:qFormat/>
    <w:uiPriority w:val="0"/>
  </w:style>
  <w:style w:type="paragraph" w:styleId="29">
    <w:name w:val="footnote text"/>
    <w:basedOn w:val="1"/>
    <w:link w:val="156"/>
    <w:qFormat/>
    <w:uiPriority w:val="0"/>
    <w:pPr>
      <w:tabs>
        <w:tab w:val="left" w:pos="0"/>
      </w:tabs>
      <w:snapToGrid w:val="0"/>
      <w:ind w:left="720" w:hanging="357"/>
    </w:pPr>
    <w:rPr>
      <w:rFonts w:ascii="宋体" w:hAnsiTheme="minorHAnsi" w:eastAsiaTheme="minorEastAsia" w:cstheme="minorBidi"/>
      <w:sz w:val="18"/>
      <w:szCs w:val="18"/>
    </w:rPr>
  </w:style>
  <w:style w:type="paragraph" w:styleId="30">
    <w:name w:val="index 7"/>
    <w:basedOn w:val="1"/>
    <w:next w:val="1"/>
    <w:qFormat/>
    <w:uiPriority w:val="0"/>
    <w:pPr>
      <w:ind w:left="1470" w:hanging="210"/>
    </w:pPr>
    <w:rPr>
      <w:rFonts w:ascii="Calibri" w:hAnsi="Calibri"/>
      <w:sz w:val="20"/>
      <w:szCs w:val="20"/>
    </w:rPr>
  </w:style>
  <w:style w:type="paragraph" w:styleId="31">
    <w:name w:val="index 9"/>
    <w:basedOn w:val="1"/>
    <w:next w:val="1"/>
    <w:qFormat/>
    <w:uiPriority w:val="0"/>
    <w:pPr>
      <w:ind w:left="1890" w:hanging="210"/>
    </w:pPr>
    <w:rPr>
      <w:rFonts w:ascii="Calibri" w:hAnsi="Calibri"/>
      <w:sz w:val="20"/>
      <w:szCs w:val="20"/>
    </w:rPr>
  </w:style>
  <w:style w:type="paragraph" w:styleId="32">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3">
    <w:name w:val="HTML Preformatted"/>
    <w:basedOn w:val="1"/>
    <w:link w:val="154"/>
    <w:qFormat/>
    <w:uiPriority w:val="0"/>
    <w:rPr>
      <w:rFonts w:ascii="Courier New" w:hAnsi="Courier New" w:cs="Courier New" w:eastAsiaTheme="minorEastAsia"/>
      <w:szCs w:val="22"/>
    </w:rPr>
  </w:style>
  <w:style w:type="paragraph" w:styleId="34">
    <w:name w:val="Normal (Web)"/>
    <w:basedOn w:val="1"/>
    <w:unhideWhenUsed/>
    <w:qFormat/>
    <w:uiPriority w:val="99"/>
    <w:pPr>
      <w:spacing w:before="100" w:beforeAutospacing="1" w:after="100" w:afterAutospacing="1"/>
    </w:pPr>
    <w:rPr>
      <w:rFonts w:ascii="宋体" w:hAnsi="宋体" w:cs="宋体"/>
      <w:kern w:val="0"/>
      <w:sz w:val="24"/>
    </w:rPr>
  </w:style>
  <w:style w:type="paragraph" w:styleId="35">
    <w:name w:val="index 2"/>
    <w:basedOn w:val="1"/>
    <w:next w:val="1"/>
    <w:qFormat/>
    <w:uiPriority w:val="0"/>
    <w:pPr>
      <w:ind w:left="420" w:hanging="210"/>
    </w:pPr>
    <w:rPr>
      <w:rFonts w:ascii="Calibri" w:hAnsi="Calibri"/>
      <w:sz w:val="20"/>
      <w:szCs w:val="20"/>
    </w:rPr>
  </w:style>
  <w:style w:type="paragraph" w:styleId="36">
    <w:name w:val="Title"/>
    <w:basedOn w:val="1"/>
    <w:link w:val="18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176"/>
    <w:semiHidden/>
    <w:qFormat/>
    <w:uiPriority w:val="0"/>
    <w:rPr>
      <w:b/>
      <w:bCs/>
    </w:rPr>
  </w:style>
  <w:style w:type="paragraph" w:styleId="38">
    <w:name w:val="Body Text First Indent 2"/>
    <w:basedOn w:val="17"/>
    <w:qFormat/>
    <w:uiPriority w:val="0"/>
    <w:pPr>
      <w:spacing w:after="120" w:line="240" w:lineRule="auto"/>
      <w:ind w:left="420" w:firstLine="210"/>
    </w:pPr>
    <w:rPr>
      <w:szCs w:val="20"/>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bCs/>
    </w:rPr>
  </w:style>
  <w:style w:type="character" w:styleId="43">
    <w:name w:val="page number"/>
    <w:qFormat/>
    <w:uiPriority w:val="99"/>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20"/>
    <w:rPr>
      <w:color w:val="CC0000"/>
    </w:rPr>
  </w:style>
  <w:style w:type="character" w:styleId="46">
    <w:name w:val="Hyperlink"/>
    <w:qFormat/>
    <w:uiPriority w:val="99"/>
    <w:rPr>
      <w:color w:val="0000FF"/>
      <w:spacing w:val="0"/>
      <w:w w:val="100"/>
      <w:szCs w:val="21"/>
      <w:u w:val="single"/>
      <w:lang w:val="en-US" w:eastAsia="zh-CN"/>
    </w:rPr>
  </w:style>
  <w:style w:type="character" w:styleId="47">
    <w:name w:val="annotation reference"/>
    <w:basedOn w:val="41"/>
    <w:semiHidden/>
    <w:unhideWhenUsed/>
    <w:qFormat/>
    <w:uiPriority w:val="0"/>
    <w:rPr>
      <w:sz w:val="21"/>
      <w:szCs w:val="21"/>
    </w:rPr>
  </w:style>
  <w:style w:type="character" w:styleId="48">
    <w:name w:val="footnote reference"/>
    <w:qFormat/>
    <w:uiPriority w:val="0"/>
    <w:rPr>
      <w:vertAlign w:val="superscript"/>
    </w:rPr>
  </w:style>
  <w:style w:type="paragraph" w:customStyle="1" w:styleId="49">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0">
    <w:name w:val="标题 1 字符"/>
    <w:basedOn w:val="41"/>
    <w:link w:val="6"/>
    <w:qFormat/>
    <w:uiPriority w:val="0"/>
    <w:rPr>
      <w:rFonts w:ascii="Times New Roman" w:hAnsi="Times New Roman" w:eastAsia="宋体" w:cs="Times New Roman"/>
      <w:b/>
      <w:bCs/>
      <w:kern w:val="44"/>
      <w:sz w:val="44"/>
      <w:szCs w:val="44"/>
    </w:rPr>
  </w:style>
  <w:style w:type="character" w:customStyle="1" w:styleId="51">
    <w:name w:val="标题 2 字符"/>
    <w:basedOn w:val="41"/>
    <w:link w:val="7"/>
    <w:qFormat/>
    <w:uiPriority w:val="0"/>
    <w:rPr>
      <w:rFonts w:ascii="宋体" w:hAnsi="宋体" w:eastAsia="宋体" w:cs="Times New Roman"/>
      <w:b/>
      <w:bCs/>
      <w:kern w:val="0"/>
      <w:sz w:val="36"/>
      <w:szCs w:val="36"/>
    </w:rPr>
  </w:style>
  <w:style w:type="character" w:customStyle="1" w:styleId="52">
    <w:name w:val="批注文字 Char"/>
    <w:semiHidden/>
    <w:qFormat/>
    <w:uiPriority w:val="0"/>
    <w:rPr>
      <w:szCs w:val="24"/>
    </w:rPr>
  </w:style>
  <w:style w:type="character" w:customStyle="1" w:styleId="53">
    <w:name w:val="批注主题 Char"/>
    <w:semiHidden/>
    <w:qFormat/>
    <w:uiPriority w:val="0"/>
    <w:rPr>
      <w:b/>
      <w:bCs/>
      <w:szCs w:val="24"/>
    </w:rPr>
  </w:style>
  <w:style w:type="character" w:customStyle="1" w:styleId="54">
    <w:name w:val="文档结构图 Char"/>
    <w:semiHidden/>
    <w:qFormat/>
    <w:uiPriority w:val="0"/>
    <w:rPr>
      <w:szCs w:val="24"/>
      <w:shd w:val="clear" w:color="auto" w:fill="000080"/>
    </w:rPr>
  </w:style>
  <w:style w:type="character" w:customStyle="1" w:styleId="55">
    <w:name w:val="脚注文本 Char"/>
    <w:qFormat/>
    <w:uiPriority w:val="0"/>
    <w:rPr>
      <w:rFonts w:ascii="宋体"/>
      <w:sz w:val="18"/>
      <w:szCs w:val="18"/>
    </w:rPr>
  </w:style>
  <w:style w:type="character" w:customStyle="1" w:styleId="56">
    <w:name w:val="con"/>
    <w:qFormat/>
    <w:uiPriority w:val="0"/>
  </w:style>
  <w:style w:type="character" w:customStyle="1" w:styleId="57">
    <w:name w:val="bar-label2"/>
    <w:qFormat/>
    <w:uiPriority w:val="99"/>
  </w:style>
  <w:style w:type="character" w:customStyle="1" w:styleId="58">
    <w:name w:val="正文文本缩进 2 Char"/>
    <w:qFormat/>
    <w:uiPriority w:val="99"/>
    <w:rPr>
      <w:szCs w:val="24"/>
    </w:rPr>
  </w:style>
  <w:style w:type="character" w:customStyle="1" w:styleId="59">
    <w:name w:val="日期 Char"/>
    <w:qFormat/>
    <w:uiPriority w:val="99"/>
    <w:rPr>
      <w:szCs w:val="24"/>
    </w:rPr>
  </w:style>
  <w:style w:type="character" w:customStyle="1" w:styleId="60">
    <w:name w:val="页脚 Char"/>
    <w:qFormat/>
    <w:locked/>
    <w:uiPriority w:val="99"/>
    <w:rPr>
      <w:sz w:val="18"/>
      <w:szCs w:val="18"/>
    </w:rPr>
  </w:style>
  <w:style w:type="character" w:customStyle="1" w:styleId="61">
    <w:name w:val="apple-converted-space"/>
    <w:basedOn w:val="41"/>
    <w:qFormat/>
    <w:uiPriority w:val="0"/>
  </w:style>
  <w:style w:type="character" w:customStyle="1" w:styleId="62">
    <w:name w:val="批注框文本 Char"/>
    <w:qFormat/>
    <w:uiPriority w:val="99"/>
    <w:rPr>
      <w:sz w:val="18"/>
      <w:szCs w:val="18"/>
    </w:rPr>
  </w:style>
  <w:style w:type="character" w:customStyle="1" w:styleId="63">
    <w:name w:val="页眉 Char"/>
    <w:qFormat/>
    <w:locked/>
    <w:uiPriority w:val="99"/>
    <w:rPr>
      <w:sz w:val="18"/>
      <w:szCs w:val="18"/>
    </w:rPr>
  </w:style>
  <w:style w:type="character" w:customStyle="1" w:styleId="64">
    <w:name w:val="首示例 Char"/>
    <w:link w:val="65"/>
    <w:qFormat/>
    <w:uiPriority w:val="0"/>
    <w:rPr>
      <w:rFonts w:ascii="宋体" w:hAnsi="宋体"/>
      <w:sz w:val="18"/>
      <w:szCs w:val="18"/>
    </w:rPr>
  </w:style>
  <w:style w:type="paragraph" w:customStyle="1" w:styleId="65">
    <w:name w:val="首示例"/>
    <w:next w:val="66"/>
    <w:link w:val="64"/>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6">
    <w:name w:val="段"/>
    <w:link w:val="67"/>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段 Char"/>
    <w:link w:val="66"/>
    <w:qFormat/>
    <w:uiPriority w:val="0"/>
    <w:rPr>
      <w:rFonts w:ascii="宋体"/>
    </w:rPr>
  </w:style>
  <w:style w:type="character" w:customStyle="1" w:styleId="68">
    <w:name w:val="附录公式 Char"/>
    <w:basedOn w:val="67"/>
    <w:link w:val="69"/>
    <w:qFormat/>
    <w:uiPriority w:val="0"/>
    <w:rPr>
      <w:rFonts w:ascii="宋体"/>
    </w:rPr>
  </w:style>
  <w:style w:type="paragraph" w:customStyle="1" w:styleId="69">
    <w:name w:val="附录公式"/>
    <w:basedOn w:val="66"/>
    <w:next w:val="66"/>
    <w:link w:val="68"/>
    <w:qFormat/>
    <w:uiPriority w:val="0"/>
  </w:style>
  <w:style w:type="character" w:customStyle="1" w:styleId="70">
    <w:name w:val="发布"/>
    <w:qFormat/>
    <w:uiPriority w:val="0"/>
    <w:rPr>
      <w:rFonts w:ascii="黑体" w:eastAsia="黑体"/>
      <w:spacing w:val="85"/>
      <w:w w:val="100"/>
      <w:position w:val="3"/>
      <w:sz w:val="28"/>
      <w:szCs w:val="28"/>
    </w:rPr>
  </w:style>
  <w:style w:type="character" w:customStyle="1" w:styleId="71">
    <w:name w:val="一级条标题 Char"/>
    <w:link w:val="72"/>
    <w:qFormat/>
    <w:uiPriority w:val="0"/>
    <w:rPr>
      <w:rFonts w:ascii="黑体" w:eastAsia="黑体"/>
      <w:szCs w:val="21"/>
    </w:rPr>
  </w:style>
  <w:style w:type="paragraph" w:customStyle="1" w:styleId="72">
    <w:name w:val="一级条标题"/>
    <w:next w:val="66"/>
    <w:link w:val="71"/>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3">
    <w:name w:val="HTML 预设格式 Char"/>
    <w:qFormat/>
    <w:uiPriority w:val="0"/>
    <w:rPr>
      <w:rFonts w:ascii="Courier New" w:hAnsi="Courier New" w:cs="Courier New"/>
    </w:rPr>
  </w:style>
  <w:style w:type="character" w:customStyle="1" w:styleId="74">
    <w:name w:val="尾注文本 Char"/>
    <w:semiHidden/>
    <w:qFormat/>
    <w:uiPriority w:val="0"/>
    <w:rPr>
      <w:szCs w:val="24"/>
    </w:rPr>
  </w:style>
  <w:style w:type="paragraph" w:customStyle="1" w:styleId="75">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6">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7">
    <w:name w:val="List Paragraph"/>
    <w:basedOn w:val="1"/>
    <w:qFormat/>
    <w:uiPriority w:val="34"/>
    <w:pPr>
      <w:ind w:firstLine="420" w:firstLineChars="200"/>
    </w:pPr>
    <w:rPr>
      <w:rFonts w:ascii="宋体" w:hAnsi="宋体" w:cs="宋体"/>
      <w:kern w:val="0"/>
      <w:sz w:val="24"/>
    </w:rPr>
  </w:style>
  <w:style w:type="paragraph" w:customStyle="1" w:styleId="78">
    <w:name w:val="封面一致性程度标识2"/>
    <w:basedOn w:val="79"/>
    <w:qFormat/>
    <w:uiPriority w:val="0"/>
    <w:pPr>
      <w:framePr w:wrap="around" w:y="4469"/>
    </w:pPr>
  </w:style>
  <w:style w:type="paragraph" w:customStyle="1" w:styleId="79">
    <w:name w:val="封面一致性程度标识"/>
    <w:basedOn w:val="80"/>
    <w:qFormat/>
    <w:uiPriority w:val="0"/>
    <w:pPr>
      <w:framePr w:wrap="around"/>
      <w:spacing w:before="440"/>
    </w:pPr>
    <w:rPr>
      <w:rFonts w:ascii="宋体" w:eastAsia="宋体"/>
    </w:rPr>
  </w:style>
  <w:style w:type="paragraph" w:customStyle="1" w:styleId="80">
    <w:name w:val="封面标准英文名称"/>
    <w:basedOn w:val="81"/>
    <w:qFormat/>
    <w:uiPriority w:val="0"/>
    <w:pPr>
      <w:framePr w:wrap="around"/>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2"/>
    <w:basedOn w:val="80"/>
    <w:qFormat/>
    <w:uiPriority w:val="0"/>
    <w:pPr>
      <w:framePr w:wrap="around" w:y="4469"/>
    </w:pPr>
  </w:style>
  <w:style w:type="paragraph" w:customStyle="1" w:styleId="83">
    <w:name w:val="其他发布日期"/>
    <w:basedOn w:val="84"/>
    <w:qFormat/>
    <w:uiPriority w:val="0"/>
    <w:pPr>
      <w:framePr w:wrap="around" w:vAnchor="page" w:hAnchor="text" w:x="1419"/>
    </w:pPr>
  </w:style>
  <w:style w:type="paragraph" w:customStyle="1" w:styleId="84">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5">
    <w:name w:val="正文公式编号制表符"/>
    <w:basedOn w:val="66"/>
    <w:next w:val="66"/>
    <w:qFormat/>
    <w:uiPriority w:val="0"/>
    <w:pPr>
      <w:ind w:firstLine="0" w:firstLineChars="0"/>
    </w:pPr>
  </w:style>
  <w:style w:type="paragraph" w:customStyle="1" w:styleId="86">
    <w:name w:val="正文表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7">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8">
    <w:name w:val="一级无"/>
    <w:basedOn w:val="72"/>
    <w:qFormat/>
    <w:uiPriority w:val="0"/>
  </w:style>
  <w:style w:type="paragraph" w:customStyle="1" w:styleId="89">
    <w:name w:val="图的脚注"/>
    <w:next w:val="66"/>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0">
    <w:name w:val="图标脚注说明"/>
    <w:basedOn w:val="66"/>
    <w:qFormat/>
    <w:uiPriority w:val="0"/>
    <w:pPr>
      <w:ind w:left="840" w:hanging="420" w:firstLineChars="0"/>
    </w:pPr>
    <w:rPr>
      <w:sz w:val="18"/>
      <w:szCs w:val="18"/>
    </w:rPr>
  </w:style>
  <w:style w:type="paragraph" w:customStyle="1" w:styleId="91">
    <w:name w:val="示例后文字"/>
    <w:basedOn w:val="66"/>
    <w:next w:val="66"/>
    <w:qFormat/>
    <w:uiPriority w:val="0"/>
    <w:pPr>
      <w:ind w:firstLine="360"/>
    </w:pPr>
    <w:rPr>
      <w:sz w:val="18"/>
    </w:rPr>
  </w:style>
  <w:style w:type="paragraph" w:customStyle="1" w:styleId="92">
    <w:name w:val="实施日期"/>
    <w:basedOn w:val="84"/>
    <w:qFormat/>
    <w:uiPriority w:val="0"/>
    <w:pPr>
      <w:framePr w:wrap="around" w:vAnchor="page" w:hAnchor="text"/>
      <w:jc w:val="right"/>
    </w:pPr>
  </w:style>
  <w:style w:type="paragraph" w:customStyle="1" w:styleId="93">
    <w:name w:val="前言、引言标题"/>
    <w:next w:val="66"/>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7">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8">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9">
    <w:name w:val="条文脚注"/>
    <w:basedOn w:val="29"/>
    <w:qFormat/>
    <w:uiPriority w:val="0"/>
    <w:pPr>
      <w:ind w:left="0" w:firstLine="0"/>
      <w:jc w:val="both"/>
    </w:pPr>
  </w:style>
  <w:style w:type="paragraph" w:customStyle="1" w:styleId="100">
    <w:name w:val="附录一级无"/>
    <w:basedOn w:val="101"/>
    <w:qFormat/>
    <w:uiPriority w:val="0"/>
    <w:pPr>
      <w:tabs>
        <w:tab w:val="left" w:pos="360"/>
      </w:tabs>
      <w:spacing w:beforeLines="0" w:afterLines="0"/>
    </w:pPr>
    <w:rPr>
      <w:rFonts w:ascii="宋体" w:eastAsia="宋体"/>
      <w:szCs w:val="21"/>
    </w:rPr>
  </w:style>
  <w:style w:type="paragraph" w:customStyle="1" w:styleId="101">
    <w:name w:val="附录一级条标题"/>
    <w:basedOn w:val="102"/>
    <w:next w:val="66"/>
    <w:qFormat/>
    <w:uiPriority w:val="0"/>
    <w:pPr>
      <w:tabs>
        <w:tab w:val="left" w:pos="360"/>
      </w:tabs>
      <w:autoSpaceDN w:val="0"/>
      <w:spacing w:beforeLines="50" w:afterLines="50"/>
      <w:outlineLvl w:val="2"/>
    </w:pPr>
  </w:style>
  <w:style w:type="paragraph" w:customStyle="1" w:styleId="102">
    <w:name w:val="附录章标题"/>
    <w:next w:val="66"/>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五级无"/>
    <w:basedOn w:val="104"/>
    <w:qFormat/>
    <w:uiPriority w:val="0"/>
    <w:pPr>
      <w:tabs>
        <w:tab w:val="left" w:pos="360"/>
      </w:tabs>
      <w:spacing w:beforeLines="0" w:afterLines="0"/>
    </w:pPr>
    <w:rPr>
      <w:rFonts w:ascii="宋体" w:eastAsia="宋体"/>
      <w:szCs w:val="21"/>
    </w:rPr>
  </w:style>
  <w:style w:type="paragraph" w:customStyle="1" w:styleId="104">
    <w:name w:val="附录五级条标题"/>
    <w:basedOn w:val="105"/>
    <w:next w:val="66"/>
    <w:qFormat/>
    <w:uiPriority w:val="0"/>
    <w:pPr>
      <w:tabs>
        <w:tab w:val="left" w:pos="360"/>
      </w:tabs>
      <w:outlineLvl w:val="6"/>
    </w:pPr>
  </w:style>
  <w:style w:type="paragraph" w:customStyle="1" w:styleId="105">
    <w:name w:val="附录四级条标题"/>
    <w:basedOn w:val="106"/>
    <w:next w:val="66"/>
    <w:qFormat/>
    <w:uiPriority w:val="0"/>
    <w:pPr>
      <w:tabs>
        <w:tab w:val="left" w:pos="360"/>
      </w:tabs>
    </w:pPr>
  </w:style>
  <w:style w:type="paragraph" w:customStyle="1" w:styleId="106">
    <w:name w:val="附录三级条标题"/>
    <w:basedOn w:val="107"/>
    <w:next w:val="66"/>
    <w:qFormat/>
    <w:uiPriority w:val="0"/>
    <w:pPr>
      <w:tabs>
        <w:tab w:val="left" w:pos="360"/>
      </w:tabs>
    </w:pPr>
  </w:style>
  <w:style w:type="paragraph" w:customStyle="1" w:styleId="107">
    <w:name w:val="附录二级条标题"/>
    <w:basedOn w:val="1"/>
    <w:next w:val="66"/>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图标题"/>
    <w:basedOn w:val="1"/>
    <w:next w:val="66"/>
    <w:qFormat/>
    <w:uiPriority w:val="0"/>
    <w:pPr>
      <w:tabs>
        <w:tab w:val="left" w:pos="363"/>
      </w:tabs>
      <w:spacing w:beforeLines="50" w:afterLines="50"/>
      <w:jc w:val="center"/>
    </w:pPr>
    <w:rPr>
      <w:rFonts w:ascii="黑体" w:eastAsia="黑体"/>
      <w:szCs w:val="21"/>
    </w:rPr>
  </w:style>
  <w:style w:type="paragraph" w:customStyle="1" w:styleId="109">
    <w:name w:val="附录图标号"/>
    <w:basedOn w:val="1"/>
    <w:qFormat/>
    <w:uiPriority w:val="0"/>
    <w:pPr>
      <w:keepNext/>
      <w:pageBreakBefore/>
      <w:spacing w:line="14" w:lineRule="exact"/>
      <w:ind w:firstLine="363"/>
      <w:jc w:val="center"/>
      <w:outlineLvl w:val="0"/>
    </w:pPr>
    <w:rPr>
      <w:color w:val="FFFFFF"/>
    </w:rPr>
  </w:style>
  <w:style w:type="paragraph" w:customStyle="1" w:styleId="110">
    <w:name w:val="附录四级无"/>
    <w:basedOn w:val="105"/>
    <w:qFormat/>
    <w:uiPriority w:val="0"/>
    <w:pPr>
      <w:tabs>
        <w:tab w:val="clear" w:pos="360"/>
      </w:tabs>
      <w:spacing w:beforeLines="0" w:afterLines="0"/>
      <w:outlineLvl w:val="5"/>
    </w:pPr>
    <w:rPr>
      <w:rFonts w:ascii="宋体" w:eastAsia="宋体"/>
      <w:szCs w:val="21"/>
    </w:rPr>
  </w:style>
  <w:style w:type="paragraph" w:customStyle="1" w:styleId="111">
    <w:name w:val="附录三级无"/>
    <w:basedOn w:val="106"/>
    <w:qFormat/>
    <w:uiPriority w:val="0"/>
  </w:style>
  <w:style w:type="paragraph" w:customStyle="1" w:styleId="112">
    <w:name w:val="注："/>
    <w:next w:val="66"/>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3">
    <w:name w:val="附录公式编号制表符"/>
    <w:basedOn w:val="1"/>
    <w:next w:val="66"/>
    <w:qFormat/>
    <w:uiPriority w:val="0"/>
    <w:pPr>
      <w:tabs>
        <w:tab w:val="center" w:pos="4201"/>
        <w:tab w:val="right" w:leader="dot" w:pos="9298"/>
      </w:tabs>
      <w:autoSpaceDE w:val="0"/>
      <w:autoSpaceDN w:val="0"/>
    </w:pPr>
    <w:rPr>
      <w:rFonts w:ascii="宋体"/>
      <w:kern w:val="0"/>
      <w:szCs w:val="20"/>
    </w:rPr>
  </w:style>
  <w:style w:type="paragraph" w:customStyle="1" w:styleId="114">
    <w:name w:val="附录二级无"/>
    <w:basedOn w:val="107"/>
    <w:qFormat/>
    <w:uiPriority w:val="0"/>
  </w:style>
  <w:style w:type="paragraph" w:customStyle="1" w:styleId="115">
    <w:name w:val="附录标题"/>
    <w:basedOn w:val="66"/>
    <w:next w:val="66"/>
    <w:qFormat/>
    <w:uiPriority w:val="0"/>
    <w:pPr>
      <w:ind w:firstLine="0" w:firstLineChars="0"/>
      <w:jc w:val="center"/>
    </w:pPr>
    <w:rPr>
      <w:rFonts w:ascii="黑体" w:eastAsia="黑体"/>
    </w:rPr>
  </w:style>
  <w:style w:type="paragraph" w:customStyle="1" w:styleId="116">
    <w:name w:val="参考文献"/>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7">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8">
    <w:name w:val="封面标准文稿类别"/>
    <w:basedOn w:val="79"/>
    <w:qFormat/>
    <w:uiPriority w:val="0"/>
    <w:pPr>
      <w:framePr w:wrap="around"/>
      <w:spacing w:after="160" w:line="240" w:lineRule="auto"/>
    </w:pPr>
    <w:rPr>
      <w:sz w:val="24"/>
    </w:rPr>
  </w:style>
  <w:style w:type="paragraph" w:customStyle="1" w:styleId="119">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0">
    <w:name w:val="其他实施日期"/>
    <w:basedOn w:val="92"/>
    <w:qFormat/>
    <w:uiPriority w:val="0"/>
    <w:pPr>
      <w:framePr w:wrap="around" w:vAnchor="margin" w:hAnchor="page"/>
    </w:pPr>
  </w:style>
  <w:style w:type="paragraph" w:customStyle="1" w:styleId="12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2">
    <w:name w:val="发布部门"/>
    <w:next w:val="66"/>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3">
    <w:name w:val="注：（正文）"/>
    <w:basedOn w:val="112"/>
    <w:next w:val="66"/>
    <w:qFormat/>
    <w:uiPriority w:val="0"/>
  </w:style>
  <w:style w:type="paragraph" w:customStyle="1" w:styleId="124">
    <w:name w:val="参考文献、索引标题"/>
    <w:basedOn w:val="1"/>
    <w:next w:val="66"/>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7">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8">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9">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0">
    <w:name w:val="示例×："/>
    <w:basedOn w:val="131"/>
    <w:qFormat/>
    <w:uiPriority w:val="0"/>
    <w:pPr>
      <w:spacing w:beforeLines="0" w:afterLines="0"/>
      <w:ind w:firstLine="363"/>
      <w:outlineLvl w:val="9"/>
    </w:pPr>
    <w:rPr>
      <w:rFonts w:ascii="宋体" w:eastAsia="宋体"/>
      <w:sz w:val="18"/>
      <w:szCs w:val="18"/>
    </w:rPr>
  </w:style>
  <w:style w:type="paragraph" w:customStyle="1" w:styleId="131">
    <w:name w:val="章标题"/>
    <w:next w:val="66"/>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2">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3">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4">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5">
    <w:name w:val="五级无"/>
    <w:basedOn w:val="136"/>
    <w:qFormat/>
    <w:uiPriority w:val="0"/>
    <w:pPr>
      <w:spacing w:beforeLines="0" w:afterLines="0"/>
      <w:outlineLvl w:val="6"/>
    </w:pPr>
    <w:rPr>
      <w:rFonts w:ascii="宋体" w:eastAsia="宋体"/>
    </w:rPr>
  </w:style>
  <w:style w:type="paragraph" w:customStyle="1" w:styleId="136">
    <w:name w:val="五级条标题"/>
    <w:basedOn w:val="137"/>
    <w:next w:val="66"/>
    <w:qFormat/>
    <w:uiPriority w:val="0"/>
  </w:style>
  <w:style w:type="paragraph" w:customStyle="1" w:styleId="137">
    <w:name w:val="四级条标题"/>
    <w:basedOn w:val="138"/>
    <w:next w:val="66"/>
    <w:qFormat/>
    <w:uiPriority w:val="0"/>
  </w:style>
  <w:style w:type="paragraph" w:customStyle="1" w:styleId="138">
    <w:name w:val="三级条标题"/>
    <w:basedOn w:val="139"/>
    <w:next w:val="66"/>
    <w:qFormat/>
    <w:uiPriority w:val="0"/>
  </w:style>
  <w:style w:type="paragraph" w:customStyle="1" w:styleId="139">
    <w:name w:val="二级条标题"/>
    <w:basedOn w:val="72"/>
    <w:next w:val="66"/>
    <w:qFormat/>
    <w:uiPriority w:val="0"/>
  </w:style>
  <w:style w:type="paragraph" w:customStyle="1" w:styleId="140">
    <w:name w:val="四级无"/>
    <w:basedOn w:val="137"/>
    <w:qFormat/>
    <w:uiPriority w:val="0"/>
  </w:style>
  <w:style w:type="paragraph" w:customStyle="1" w:styleId="141">
    <w:name w:val="三级无"/>
    <w:basedOn w:val="138"/>
    <w:qFormat/>
    <w:uiPriority w:val="0"/>
  </w:style>
  <w:style w:type="paragraph" w:customStyle="1" w:styleId="142">
    <w:name w:val="其他标准标志"/>
    <w:basedOn w:val="126"/>
    <w:qFormat/>
    <w:uiPriority w:val="0"/>
    <w:pPr>
      <w:framePr w:w="6101" w:wrap="around" w:vAnchor="page" w:hAnchor="page" w:x="4673" w:y="942"/>
    </w:pPr>
    <w:rPr>
      <w:w w:val="130"/>
    </w:rPr>
  </w:style>
  <w:style w:type="paragraph" w:customStyle="1" w:styleId="143">
    <w:name w:val="目次、标准名称标题"/>
    <w:basedOn w:val="1"/>
    <w:next w:val="66"/>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5">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6">
    <w:name w:val="批注框文本 字符"/>
    <w:basedOn w:val="41"/>
    <w:link w:val="24"/>
    <w:semiHidden/>
    <w:qFormat/>
    <w:uiPriority w:val="99"/>
    <w:rPr>
      <w:rFonts w:ascii="Times New Roman" w:hAnsi="Times New Roman" w:eastAsia="宋体" w:cs="Times New Roman"/>
      <w:sz w:val="18"/>
      <w:szCs w:val="18"/>
    </w:rPr>
  </w:style>
  <w:style w:type="paragraph" w:customStyle="1" w:styleId="147">
    <w:name w:val="列项◆（三级）"/>
    <w:basedOn w:val="1"/>
    <w:qFormat/>
    <w:uiPriority w:val="99"/>
    <w:pPr>
      <w:tabs>
        <w:tab w:val="left" w:pos="969"/>
      </w:tabs>
      <w:ind w:left="969" w:hanging="414"/>
    </w:pPr>
    <w:rPr>
      <w:rFonts w:ascii="宋体"/>
      <w:szCs w:val="21"/>
    </w:rPr>
  </w:style>
  <w:style w:type="paragraph" w:customStyle="1" w:styleId="148">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9">
    <w:name w:val="页眉 字符"/>
    <w:basedOn w:val="41"/>
    <w:link w:val="5"/>
    <w:semiHidden/>
    <w:qFormat/>
    <w:uiPriority w:val="99"/>
    <w:rPr>
      <w:rFonts w:ascii="Times New Roman" w:hAnsi="Times New Roman" w:eastAsia="宋体" w:cs="Times New Roman"/>
      <w:sz w:val="18"/>
      <w:szCs w:val="18"/>
    </w:rPr>
  </w:style>
  <w:style w:type="paragraph" w:customStyle="1" w:styleId="150">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1">
    <w:name w:val="其他发布部门"/>
    <w:basedOn w:val="122"/>
    <w:qFormat/>
    <w:uiPriority w:val="0"/>
    <w:pPr>
      <w:framePr w:wrap="around" w:y="15310"/>
      <w:spacing w:line="0" w:lineRule="atLeast"/>
    </w:pPr>
    <w:rPr>
      <w:rFonts w:ascii="黑体" w:eastAsia="黑体"/>
      <w:b w:val="0"/>
    </w:rPr>
  </w:style>
  <w:style w:type="paragraph" w:customStyle="1" w:styleId="152">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3">
    <w:name w:val="正文图标题"/>
    <w:next w:val="66"/>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4">
    <w:name w:val="HTML 预设格式 字符"/>
    <w:basedOn w:val="41"/>
    <w:link w:val="33"/>
    <w:semiHidden/>
    <w:qFormat/>
    <w:uiPriority w:val="99"/>
    <w:rPr>
      <w:rFonts w:ascii="Courier New" w:hAnsi="Courier New" w:eastAsia="宋体" w:cs="Courier New"/>
      <w:sz w:val="20"/>
      <w:szCs w:val="20"/>
    </w:rPr>
  </w:style>
  <w:style w:type="paragraph" w:customStyle="1" w:styleId="155">
    <w:name w:val="附录标识"/>
    <w:basedOn w:val="1"/>
    <w:next w:val="66"/>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6">
    <w:name w:val="脚注文本 字符"/>
    <w:basedOn w:val="41"/>
    <w:link w:val="29"/>
    <w:semiHidden/>
    <w:qFormat/>
    <w:uiPriority w:val="99"/>
    <w:rPr>
      <w:rFonts w:ascii="Times New Roman" w:hAnsi="Times New Roman" w:eastAsia="宋体" w:cs="Times New Roman"/>
      <w:sz w:val="18"/>
      <w:szCs w:val="18"/>
    </w:rPr>
  </w:style>
  <w:style w:type="paragraph" w:customStyle="1" w:styleId="157">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8">
    <w:name w:val="二级无"/>
    <w:basedOn w:val="139"/>
    <w:qFormat/>
    <w:uiPriority w:val="0"/>
  </w:style>
  <w:style w:type="paragraph" w:customStyle="1" w:styleId="159">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0">
    <w:name w:val="正文文本缩进 2 字符"/>
    <w:basedOn w:val="41"/>
    <w:link w:val="22"/>
    <w:semiHidden/>
    <w:qFormat/>
    <w:uiPriority w:val="99"/>
    <w:rPr>
      <w:rFonts w:ascii="Times New Roman" w:hAnsi="Times New Roman" w:eastAsia="宋体" w:cs="Times New Roman"/>
      <w:szCs w:val="24"/>
    </w:rPr>
  </w:style>
  <w:style w:type="paragraph" w:customStyle="1" w:styleId="161">
    <w:name w:val="封面标准文稿编辑信息2"/>
    <w:basedOn w:val="162"/>
    <w:qFormat/>
    <w:uiPriority w:val="0"/>
    <w:pPr>
      <w:framePr w:wrap="around" w:y="4469"/>
    </w:pPr>
  </w:style>
  <w:style w:type="paragraph" w:customStyle="1" w:styleId="162">
    <w:name w:val="封面标准文稿编辑信息"/>
    <w:basedOn w:val="118"/>
    <w:qFormat/>
    <w:uiPriority w:val="0"/>
    <w:pPr>
      <w:framePr w:wrap="around"/>
      <w:spacing w:before="180" w:line="180" w:lineRule="exact"/>
    </w:pPr>
    <w:rPr>
      <w:sz w:val="21"/>
    </w:rPr>
  </w:style>
  <w:style w:type="paragraph" w:customStyle="1" w:styleId="163">
    <w:name w:val="附录表标题"/>
    <w:basedOn w:val="1"/>
    <w:next w:val="66"/>
    <w:qFormat/>
    <w:uiPriority w:val="0"/>
    <w:pPr>
      <w:tabs>
        <w:tab w:val="left" w:pos="180"/>
      </w:tabs>
      <w:spacing w:beforeLines="50" w:afterLines="50"/>
      <w:jc w:val="center"/>
    </w:pPr>
    <w:rPr>
      <w:rFonts w:ascii="黑体" w:eastAsia="黑体"/>
      <w:szCs w:val="21"/>
    </w:rPr>
  </w:style>
  <w:style w:type="paragraph" w:customStyle="1" w:styleId="164">
    <w:name w:val="标准书眉_偶数页"/>
    <w:basedOn w:val="148"/>
    <w:next w:val="1"/>
    <w:qFormat/>
    <w:uiPriority w:val="0"/>
    <w:pPr>
      <w:jc w:val="left"/>
    </w:pPr>
  </w:style>
  <w:style w:type="paragraph" w:customStyle="1" w:styleId="165">
    <w:name w:val="附录表标号"/>
    <w:basedOn w:val="1"/>
    <w:next w:val="66"/>
    <w:qFormat/>
    <w:uiPriority w:val="0"/>
    <w:pPr>
      <w:spacing w:line="14" w:lineRule="exact"/>
      <w:ind w:left="811" w:hanging="448"/>
      <w:jc w:val="center"/>
      <w:outlineLvl w:val="0"/>
    </w:pPr>
    <w:rPr>
      <w:color w:val="FFFFFF"/>
    </w:rPr>
  </w:style>
  <w:style w:type="paragraph" w:customStyle="1" w:styleId="166">
    <w:name w:val="图表脚注说明"/>
    <w:basedOn w:val="1"/>
    <w:qFormat/>
    <w:uiPriority w:val="0"/>
    <w:pPr>
      <w:ind w:left="544" w:hanging="181"/>
    </w:pPr>
    <w:rPr>
      <w:rFonts w:ascii="宋体"/>
      <w:sz w:val="18"/>
      <w:szCs w:val="18"/>
    </w:rPr>
  </w:style>
  <w:style w:type="character" w:customStyle="1" w:styleId="167">
    <w:name w:val="页脚 字符"/>
    <w:basedOn w:val="41"/>
    <w:link w:val="25"/>
    <w:semiHidden/>
    <w:qFormat/>
    <w:uiPriority w:val="99"/>
    <w:rPr>
      <w:rFonts w:ascii="Times New Roman" w:hAnsi="Times New Roman" w:eastAsia="宋体" w:cs="Times New Roman"/>
      <w:sz w:val="18"/>
      <w:szCs w:val="18"/>
    </w:rPr>
  </w:style>
  <w:style w:type="character" w:customStyle="1" w:styleId="168">
    <w:name w:val="批注文字 字符"/>
    <w:basedOn w:val="41"/>
    <w:link w:val="14"/>
    <w:semiHidden/>
    <w:qFormat/>
    <w:uiPriority w:val="99"/>
    <w:rPr>
      <w:rFonts w:ascii="Times New Roman" w:hAnsi="Times New Roman" w:eastAsia="宋体" w:cs="Times New Roman"/>
      <w:szCs w:val="24"/>
    </w:rPr>
  </w:style>
  <w:style w:type="paragraph" w:customStyle="1" w:styleId="169">
    <w:name w:val="封面标准名称2"/>
    <w:basedOn w:val="81"/>
    <w:qFormat/>
    <w:uiPriority w:val="0"/>
    <w:pPr>
      <w:framePr w:wrap="around" w:y="4469"/>
      <w:spacing w:beforeLines="630"/>
    </w:pPr>
  </w:style>
  <w:style w:type="character" w:customStyle="1" w:styleId="170">
    <w:name w:val="日期 字符"/>
    <w:basedOn w:val="41"/>
    <w:link w:val="21"/>
    <w:semiHidden/>
    <w:qFormat/>
    <w:uiPriority w:val="99"/>
    <w:rPr>
      <w:rFonts w:ascii="Times New Roman" w:hAnsi="Times New Roman" w:eastAsia="宋体" w:cs="Times New Roman"/>
      <w:szCs w:val="24"/>
    </w:rPr>
  </w:style>
  <w:style w:type="character" w:customStyle="1" w:styleId="171">
    <w:name w:val="文档结构图 字符"/>
    <w:basedOn w:val="41"/>
    <w:link w:val="13"/>
    <w:semiHidden/>
    <w:qFormat/>
    <w:uiPriority w:val="99"/>
    <w:rPr>
      <w:rFonts w:ascii="宋体" w:hAnsi="Times New Roman" w:eastAsia="宋体" w:cs="Times New Roman"/>
      <w:sz w:val="18"/>
      <w:szCs w:val="18"/>
    </w:rPr>
  </w:style>
  <w:style w:type="paragraph" w:customStyle="1" w:styleId="172">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3">
    <w:name w:val="封面标准文稿类别2"/>
    <w:basedOn w:val="118"/>
    <w:qFormat/>
    <w:uiPriority w:val="0"/>
    <w:pPr>
      <w:framePr w:wrap="around" w:y="4469"/>
    </w:pPr>
  </w:style>
  <w:style w:type="paragraph" w:customStyle="1" w:styleId="174">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5">
    <w:name w:val="终结线"/>
    <w:basedOn w:val="1"/>
    <w:qFormat/>
    <w:uiPriority w:val="0"/>
    <w:pPr>
      <w:framePr w:hSpace="181" w:vSpace="181" w:wrap="around" w:vAnchor="text" w:hAnchor="margin" w:xAlign="center" w:y="285"/>
    </w:pPr>
  </w:style>
  <w:style w:type="character" w:customStyle="1" w:styleId="176">
    <w:name w:val="批注主题 字符"/>
    <w:basedOn w:val="168"/>
    <w:link w:val="37"/>
    <w:semiHidden/>
    <w:qFormat/>
    <w:uiPriority w:val="99"/>
    <w:rPr>
      <w:rFonts w:ascii="Times New Roman" w:hAnsi="Times New Roman" w:eastAsia="宋体" w:cs="Times New Roman"/>
      <w:b/>
      <w:bCs/>
      <w:szCs w:val="24"/>
    </w:rPr>
  </w:style>
  <w:style w:type="character" w:customStyle="1" w:styleId="177">
    <w:name w:val="尾注文本 字符"/>
    <w:basedOn w:val="41"/>
    <w:link w:val="23"/>
    <w:semiHidden/>
    <w:qFormat/>
    <w:uiPriority w:val="99"/>
    <w:rPr>
      <w:rFonts w:ascii="Times New Roman" w:hAnsi="Times New Roman" w:eastAsia="宋体" w:cs="Times New Roman"/>
      <w:szCs w:val="24"/>
    </w:rPr>
  </w:style>
  <w:style w:type="paragraph" w:customStyle="1" w:styleId="178">
    <w:name w:val="示例"/>
    <w:next w:val="129"/>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9">
    <w:name w:val="正文文本 3 字符"/>
    <w:basedOn w:val="41"/>
    <w:link w:val="16"/>
    <w:semiHidden/>
    <w:qFormat/>
    <w:uiPriority w:val="99"/>
    <w:rPr>
      <w:rFonts w:ascii="Times New Roman" w:hAnsi="Times New Roman" w:eastAsia="宋体" w:cs="Times New Roman"/>
      <w:sz w:val="16"/>
      <w:szCs w:val="16"/>
    </w:rPr>
  </w:style>
  <w:style w:type="character" w:customStyle="1" w:styleId="180">
    <w:name w:val="标题 字符"/>
    <w:basedOn w:val="41"/>
    <w:link w:val="36"/>
    <w:qFormat/>
    <w:uiPriority w:val="0"/>
    <w:rPr>
      <w:rFonts w:ascii="Arial" w:hAnsi="Arial" w:eastAsia="宋体" w:cs="Times New Roman"/>
      <w:b/>
      <w:kern w:val="0"/>
      <w:sz w:val="32"/>
      <w:szCs w:val="20"/>
    </w:rPr>
  </w:style>
  <w:style w:type="paragraph" w:customStyle="1" w:styleId="181">
    <w:name w:val="p0"/>
    <w:basedOn w:val="1"/>
    <w:qFormat/>
    <w:uiPriority w:val="0"/>
    <w:pPr>
      <w:spacing w:line="240" w:lineRule="auto"/>
      <w:jc w:val="both"/>
    </w:pPr>
    <w:rPr>
      <w:kern w:val="0"/>
      <w:szCs w:val="21"/>
    </w:rPr>
  </w:style>
  <w:style w:type="character" w:customStyle="1" w:styleId="182">
    <w:name w:val="纯文本 字符"/>
    <w:basedOn w:val="41"/>
    <w:link w:val="19"/>
    <w:qFormat/>
    <w:uiPriority w:val="99"/>
    <w:rPr>
      <w:rFonts w:ascii="宋体" w:hAnsi="Courier New" w:eastAsia="宋体" w:cs="Courier New"/>
      <w:szCs w:val="21"/>
    </w:rPr>
  </w:style>
  <w:style w:type="paragraph" w:customStyle="1" w:styleId="1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4">
    <w:name w:val="正文文本 字符"/>
    <w:basedOn w:val="41"/>
    <w:link w:val="3"/>
    <w:semiHidden/>
    <w:qFormat/>
    <w:uiPriority w:val="99"/>
    <w:rPr>
      <w:kern w:val="2"/>
      <w:sz w:val="21"/>
      <w:szCs w:val="24"/>
    </w:rPr>
  </w:style>
  <w:style w:type="paragraph" w:customStyle="1" w:styleId="185">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6">
    <w:name w:val="标题 4 字符"/>
    <w:basedOn w:val="41"/>
    <w:link w:val="9"/>
    <w:semiHidden/>
    <w:qFormat/>
    <w:uiPriority w:val="9"/>
    <w:rPr>
      <w:rFonts w:asciiTheme="majorHAnsi" w:hAnsiTheme="majorHAnsi" w:eastAsiaTheme="majorEastAsia" w:cstheme="majorBidi"/>
      <w:b/>
      <w:bCs/>
      <w:kern w:val="2"/>
      <w:sz w:val="28"/>
      <w:szCs w:val="28"/>
    </w:rPr>
  </w:style>
  <w:style w:type="paragraph" w:customStyle="1" w:styleId="187">
    <w:name w:val="_Style 2"/>
    <w:basedOn w:val="6"/>
    <w:next w:val="1"/>
    <w:qFormat/>
    <w:uiPriority w:val="0"/>
    <w:pPr>
      <w:spacing w:before="480" w:after="0" w:line="276" w:lineRule="auto"/>
      <w:outlineLvl w:val="9"/>
    </w:pPr>
    <w:rPr>
      <w:rFonts w:ascii="Cambria" w:hAnsi="Cambria"/>
      <w:color w:val="365F91"/>
      <w:kern w:val="0"/>
      <w:sz w:val="28"/>
      <w:szCs w:val="28"/>
    </w:rPr>
  </w:style>
  <w:style w:type="paragraph" w:customStyle="1" w:styleId="18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AC508-49B0-4551-A16B-427D48F03F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21913</Words>
  <Characters>23436</Characters>
  <Lines>189</Lines>
  <Paragraphs>53</Paragraphs>
  <TotalTime>0</TotalTime>
  <ScaleCrop>false</ScaleCrop>
  <LinksUpToDate>false</LinksUpToDate>
  <CharactersWithSpaces>25076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2022-08-05T04:06:00Z</dcterms:created>
  <dc:creator>杨玲</dc:creator>
  <cp:lastModifiedBy>勒哩</cp:lastModifiedBy>
  <cp:lastPrinted>2021-10-08T08:35:00Z</cp:lastPrinted>
  <dcterms:modified xsi:type="dcterms:W3CDTF">2022-08-17T07:30:07Z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3D153DEE1A8941F6AD97EC758EC5708E</vt:lpwstr>
  </property>
</Properties>
</file>