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sz w:val="36"/>
          <w:szCs w:val="36"/>
        </w:rPr>
      </w:pPr>
      <w:r>
        <w:rPr>
          <w:rFonts w:hint="eastAsia" w:ascii="黑体" w:hAnsi="黑体" w:eastAsia="黑体"/>
          <w:sz w:val="36"/>
          <w:szCs w:val="36"/>
        </w:rPr>
        <w:t xml:space="preserve">                     </w:t>
      </w:r>
    </w:p>
    <w:p>
      <w:pPr>
        <w:snapToGrid w:val="0"/>
        <w:spacing w:line="900" w:lineRule="exact"/>
        <w:jc w:val="center"/>
        <w:rPr>
          <w:rFonts w:ascii="黑体" w:hAnsi="黑体" w:eastAsia="黑体"/>
          <w:sz w:val="40"/>
          <w:szCs w:val="40"/>
        </w:rPr>
      </w:pPr>
      <w:r>
        <w:rPr>
          <w:rFonts w:hint="eastAsia" w:ascii="黑体" w:hAnsi="黑体" w:eastAsia="黑体"/>
          <w:sz w:val="40"/>
          <w:szCs w:val="40"/>
        </w:rPr>
        <w:t>长沙集星集装箱码头有限公司</w:t>
      </w:r>
    </w:p>
    <w:p>
      <w:pPr>
        <w:snapToGrid w:val="0"/>
        <w:spacing w:line="900" w:lineRule="exact"/>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H986区域内贸空车智能卡口系统</w:t>
      </w:r>
      <w:r>
        <w:rPr>
          <w:rFonts w:hint="eastAsia" w:ascii="黑体" w:hAnsi="黑体" w:eastAsia="黑体"/>
          <w:sz w:val="40"/>
          <w:szCs w:val="40"/>
        </w:rPr>
        <w:t>采购</w:t>
      </w:r>
      <w:r>
        <w:rPr>
          <w:rFonts w:hint="eastAsia" w:ascii="黑体" w:hAnsi="黑体" w:eastAsia="黑体"/>
          <w:sz w:val="40"/>
          <w:szCs w:val="40"/>
          <w:lang w:eastAsia="zh-CN"/>
        </w:rPr>
        <w:t>项目</w:t>
      </w:r>
    </w:p>
    <w:p>
      <w:pPr>
        <w:snapToGrid w:val="0"/>
        <w:spacing w:line="900" w:lineRule="exact"/>
        <w:jc w:val="both"/>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pStyle w:val="41"/>
        <w:rPr>
          <w:rFonts w:ascii="黑体" w:hAnsi="黑体" w:eastAsia="黑体"/>
          <w:sz w:val="36"/>
          <w:szCs w:val="36"/>
        </w:rPr>
      </w:pPr>
    </w:p>
    <w:p>
      <w:pPr>
        <w:snapToGrid w:val="0"/>
        <w:spacing w:line="360" w:lineRule="auto"/>
        <w:jc w:val="center"/>
        <w:rPr>
          <w:sz w:val="72"/>
          <w:szCs w:val="72"/>
        </w:rPr>
      </w:pPr>
      <w:r>
        <w:rPr>
          <w:rFonts w:hint="eastAsia" w:ascii="黑体" w:hAnsi="黑体" w:eastAsia="黑体" w:cs="宋体"/>
          <w:b/>
          <w:color w:val="000000"/>
          <w:kern w:val="0"/>
          <w:sz w:val="72"/>
          <w:szCs w:val="72"/>
        </w:rPr>
        <w:t>询价文件</w:t>
      </w:r>
    </w:p>
    <w:p>
      <w:pPr>
        <w:spacing w:line="360" w:lineRule="auto"/>
        <w:jc w:val="center"/>
        <w:rPr>
          <w:rFonts w:ascii="宋体" w:hAnsi="宋体" w:cs="宋体"/>
          <w:b/>
          <w:color w:val="000000"/>
          <w:kern w:val="0"/>
          <w:sz w:val="28"/>
          <w:szCs w:val="28"/>
        </w:rPr>
      </w:pPr>
      <w:r>
        <w:rPr>
          <w:rFonts w:hint="eastAsia"/>
          <w:lang w:val="en-US" w:eastAsia="zh-CN"/>
        </w:rPr>
        <w:t xml:space="preserve"> </w:t>
      </w:r>
      <w:r>
        <w:rPr>
          <w:rFonts w:hint="eastAsia" w:ascii="宋体" w:hAnsi="宋体" w:cs="宋体"/>
          <w:b/>
          <w:color w:val="000000"/>
          <w:kern w:val="0"/>
          <w:sz w:val="28"/>
          <w:szCs w:val="28"/>
        </w:rPr>
        <w:t>省港货（2022）年询</w:t>
      </w:r>
      <w:r>
        <w:rPr>
          <w:rFonts w:hint="eastAsia" w:ascii="宋体" w:hAnsi="宋体" w:cs="宋体"/>
          <w:b/>
          <w:color w:val="000000"/>
          <w:kern w:val="0"/>
          <w:sz w:val="28"/>
          <w:szCs w:val="28"/>
          <w:highlight w:val="none"/>
        </w:rPr>
        <w:t>第</w:t>
      </w:r>
      <w:r>
        <w:rPr>
          <w:rFonts w:hint="eastAsia" w:ascii="宋体" w:hAnsi="宋体" w:cs="宋体"/>
          <w:b/>
          <w:color w:val="000000"/>
          <w:kern w:val="0"/>
          <w:sz w:val="28"/>
          <w:szCs w:val="28"/>
          <w:highlight w:val="none"/>
          <w:lang w:val="en-US" w:eastAsia="zh-CN"/>
        </w:rPr>
        <w:t>26</w:t>
      </w:r>
      <w:r>
        <w:rPr>
          <w:rFonts w:hint="eastAsia" w:ascii="宋体" w:hAnsi="宋体" w:cs="宋体"/>
          <w:b/>
          <w:color w:val="000000"/>
          <w:kern w:val="0"/>
          <w:sz w:val="28"/>
          <w:szCs w:val="28"/>
          <w:highlight w:val="none"/>
        </w:rPr>
        <w:t>号[</w:t>
      </w:r>
      <w:r>
        <w:rPr>
          <w:rFonts w:hint="eastAsia" w:ascii="宋体" w:hAnsi="宋体" w:cs="宋体"/>
          <w:b/>
          <w:color w:val="000000"/>
          <w:kern w:val="0"/>
          <w:sz w:val="28"/>
          <w:szCs w:val="28"/>
          <w:highlight w:val="none"/>
          <w:lang w:eastAsia="zh-CN"/>
        </w:rPr>
        <w:t>集星</w:t>
      </w:r>
      <w:r>
        <w:rPr>
          <w:rFonts w:hint="eastAsia" w:ascii="宋体" w:hAnsi="宋体" w:cs="宋体"/>
          <w:b/>
          <w:color w:val="000000"/>
          <w:kern w:val="0"/>
          <w:sz w:val="28"/>
          <w:szCs w:val="28"/>
          <w:highlight w:val="none"/>
        </w:rPr>
        <w:t>]</w:t>
      </w:r>
    </w:p>
    <w:p>
      <w:pPr>
        <w:spacing w:line="600" w:lineRule="exact"/>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rPr>
          <w:rFonts w:hint="eastAsia" w:eastAsia="宋体"/>
          <w:lang w:val="en-US" w:eastAsia="zh-CN"/>
        </w:rPr>
      </w:pPr>
    </w:p>
    <w:p>
      <w:pPr>
        <w:pStyle w:val="41"/>
        <w:ind w:left="0" w:leftChars="0" w:firstLine="0" w:firstLineChars="0"/>
        <w:rPr>
          <w:rFonts w:hint="eastAsia" w:eastAsia="宋体"/>
          <w:lang w:val="en-US" w:eastAsia="zh-CN"/>
        </w:rPr>
      </w:pPr>
    </w:p>
    <w:p>
      <w:pPr>
        <w:pStyle w:val="41"/>
        <w:ind w:left="0" w:leftChars="0" w:firstLine="0" w:firstLineChars="0"/>
        <w:rPr>
          <w:rFonts w:hint="eastAsia" w:eastAsia="宋体"/>
          <w:lang w:val="en-US" w:eastAsia="zh-CN"/>
        </w:rPr>
      </w:pPr>
    </w:p>
    <w:p>
      <w:pPr>
        <w:snapToGrid w:val="0"/>
        <w:spacing w:line="900" w:lineRule="exact"/>
        <w:jc w:val="center"/>
        <w:rPr>
          <w:rFonts w:ascii="黑体" w:hAnsi="黑体" w:eastAsia="黑体"/>
          <w:bCs/>
          <w:sz w:val="40"/>
          <w:szCs w:val="40"/>
        </w:rPr>
      </w:pPr>
      <w:r>
        <w:rPr>
          <w:rFonts w:hint="eastAsia" w:ascii="黑体" w:hAnsi="黑体" w:eastAsia="黑体"/>
          <w:bCs/>
          <w:sz w:val="40"/>
          <w:szCs w:val="40"/>
        </w:rPr>
        <w:t>长沙集星集装箱码头有限公司</w:t>
      </w:r>
    </w:p>
    <w:p>
      <w:pPr>
        <w:tabs>
          <w:tab w:val="left" w:pos="0"/>
          <w:tab w:val="left" w:pos="4185"/>
        </w:tabs>
        <w:spacing w:line="288" w:lineRule="auto"/>
        <w:ind w:right="-6"/>
        <w:jc w:val="center"/>
        <w:rPr>
          <w:rFonts w:ascii="方正小标宋简体" w:hAnsi="黑体" w:eastAsia="方正小标宋简体"/>
          <w:sz w:val="28"/>
          <w:szCs w:val="28"/>
        </w:rPr>
      </w:pPr>
      <w:r>
        <w:rPr>
          <w:rFonts w:hint="eastAsia" w:ascii="黑体" w:hAnsi="黑体" w:eastAsia="黑体"/>
          <w:bCs/>
          <w:sz w:val="40"/>
          <w:szCs w:val="40"/>
        </w:rPr>
        <w:t>二О二二年</w:t>
      </w:r>
      <w:r>
        <w:rPr>
          <w:rFonts w:hint="eastAsia" w:ascii="黑体" w:hAnsi="黑体" w:eastAsia="黑体"/>
          <w:bCs/>
          <w:sz w:val="40"/>
          <w:szCs w:val="40"/>
          <w:lang w:eastAsia="zh-CN"/>
        </w:rPr>
        <w:t>八</w:t>
      </w:r>
      <w:r>
        <w:rPr>
          <w:rFonts w:hint="eastAsia" w:ascii="黑体" w:hAnsi="黑体" w:eastAsia="黑体"/>
          <w:bCs/>
          <w:sz w:val="40"/>
          <w:szCs w:val="40"/>
        </w:rPr>
        <w:t>月</w:t>
      </w:r>
    </w:p>
    <w:p>
      <w:pPr>
        <w:rPr>
          <w:rFonts w:ascii="黑体" w:hAnsi="黑体" w:eastAsia="黑体"/>
          <w:b w:val="0"/>
          <w:color w:val="auto"/>
          <w:sz w:val="44"/>
          <w:szCs w:val="44"/>
          <w:lang w:val="zh-CN"/>
        </w:rPr>
      </w:pP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pStyle w:val="192"/>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8"/>
        <w:tabs>
          <w:tab w:val="left" w:pos="1050"/>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"_Toc106039321"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第一章</w:t>
      </w:r>
      <w:r>
        <w:rPr>
          <w:rFonts w:hint="eastAsia" w:ascii="宋体" w:hAnsi="宋体" w:eastAsia="宋体" w:cs="宋体"/>
          <w:b w:val="0"/>
          <w:bCs w:val="0"/>
          <w:sz w:val="24"/>
          <w:szCs w:val="24"/>
        </w:rPr>
        <w:tab/>
      </w:r>
      <w:r>
        <w:rPr>
          <w:rStyle w:val="50"/>
          <w:rFonts w:hint="eastAsia" w:ascii="宋体" w:hAnsi="宋体" w:eastAsia="宋体" w:cs="宋体"/>
          <w:b w:val="0"/>
          <w:bCs w:val="0"/>
          <w:sz w:val="24"/>
          <w:szCs w:val="24"/>
        </w:rPr>
        <w:t>采购公告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"_Toc106039332"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第二章  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"_Toc106039350"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第三章 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"_Toc106039357"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"_Toc106039362"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第五章  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"_Toc106039363"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第六章  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"_Toc106039364"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一、响应函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"_Toc106039365"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二、授权委托书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"_Toc106039366"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三、商务和技术偏差表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"_Toc106039367"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四、报价表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"_Toc106039369"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五、资格审查资料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"_Toc106039375"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六、响应方案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4"/>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"_Toc106039376" </w:instrText>
      </w:r>
      <w:r>
        <w:rPr>
          <w:rFonts w:hint="eastAsia" w:ascii="宋体" w:hAnsi="宋体" w:eastAsia="宋体" w:cs="宋体"/>
          <w:b w:val="0"/>
          <w:bCs w:val="0"/>
          <w:sz w:val="24"/>
          <w:szCs w:val="24"/>
        </w:rPr>
        <w:fldChar w:fldCharType="separate"/>
      </w:r>
      <w:r>
        <w:rPr>
          <w:rStyle w:val="50"/>
          <w:rFonts w:hint="eastAsia" w:ascii="宋体" w:hAnsi="宋体" w:eastAsia="宋体" w:cs="宋体"/>
          <w:b w:val="0"/>
          <w:bCs w:val="0"/>
          <w:sz w:val="24"/>
          <w:szCs w:val="24"/>
        </w:rPr>
        <w:t>七、其他资料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8"/>
        <w:widowControl w:val="0"/>
        <w:tabs>
          <w:tab w:val="right" w:leader="dot" w:pos="8948"/>
          <w:tab w:val="clear" w:pos="9242"/>
        </w:tabs>
        <w:adjustRightInd w:val="0"/>
        <w:snapToGrid w:val="0"/>
        <w:spacing w:before="60" w:after="60" w:line="36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fldChar w:fldCharType="end"/>
      </w:r>
    </w:p>
    <w:p>
      <w:pPr>
        <w:pStyle w:val="4"/>
        <w:rPr>
          <w:lang w:val="zh-CN"/>
        </w:rPr>
      </w:pPr>
      <w:r>
        <w:rPr>
          <w:lang w:val="zh-CN"/>
        </w:rPr>
        <w:br w:type="page"/>
      </w:r>
    </w:p>
    <w:p>
      <w:pPr>
        <w:pStyle w:val="82"/>
        <w:numPr>
          <w:ilvl w:val="0"/>
          <w:numId w:val="1"/>
        </w:numPr>
        <w:spacing w:line="360" w:lineRule="auto"/>
        <w:ind w:left="0" w:firstLine="0" w:firstLineChars="0"/>
        <w:jc w:val="center"/>
        <w:outlineLvl w:val="0"/>
        <w:rPr>
          <w:rFonts w:ascii="黑体" w:hAnsi="黑体" w:eastAsia="黑体" w:cs="仿宋"/>
          <w:b/>
          <w:color w:val="000000"/>
          <w:sz w:val="44"/>
          <w:szCs w:val="44"/>
        </w:rPr>
      </w:pPr>
      <w:bookmarkStart w:id="0" w:name="_Toc106039321"/>
      <w:r>
        <w:rPr>
          <w:rFonts w:hint="eastAsia" w:ascii="黑体" w:hAnsi="黑体" w:eastAsia="黑体" w:cs="仿宋"/>
          <w:b/>
          <w:color w:val="000000"/>
          <w:sz w:val="44"/>
          <w:szCs w:val="44"/>
        </w:rPr>
        <w:t>采购公告</w:t>
      </w:r>
      <w:bookmarkEnd w:id="0"/>
    </w:p>
    <w:p>
      <w:pPr>
        <w:pStyle w:val="37"/>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rPr>
        <w:t>长沙集星集装箱码头有限公司</w:t>
      </w:r>
      <w:r>
        <w:rPr>
          <w:rFonts w:hint="eastAsia" w:ascii="黑体" w:hAnsi="黑体" w:eastAsia="黑体"/>
          <w:sz w:val="32"/>
          <w:szCs w:val="32"/>
          <w:lang w:eastAsia="zh-CN"/>
        </w:rPr>
        <w:t>H986区域内贸空车智能卡口系统</w:t>
      </w:r>
      <w:r>
        <w:rPr>
          <w:rFonts w:hint="eastAsia" w:ascii="黑体" w:hAnsi="黑体" w:eastAsia="黑体"/>
          <w:sz w:val="32"/>
          <w:szCs w:val="32"/>
        </w:rPr>
        <w:t>采购公告</w:t>
      </w:r>
    </w:p>
    <w:p>
      <w:pPr>
        <w:pStyle w:val="37"/>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pStyle w:val="37"/>
        <w:spacing w:before="0" w:beforeAutospacing="0" w:after="0" w:afterAutospacing="0" w:line="360" w:lineRule="auto"/>
        <w:ind w:firstLine="480" w:firstLineChars="200"/>
        <w:jc w:val="both"/>
        <w:rPr>
          <w:rFonts w:cs="Times New Roman"/>
          <w:kern w:val="2"/>
        </w:rPr>
      </w:pPr>
      <w:r>
        <w:rPr>
          <w:rFonts w:hint="eastAsia" w:cs="Times New Roman"/>
          <w:kern w:val="2"/>
        </w:rPr>
        <w:t>长沙集星集装箱码头有限公司</w:t>
      </w:r>
      <w:r>
        <w:rPr>
          <w:rFonts w:hint="eastAsia" w:cs="Times New Roman"/>
          <w:kern w:val="2"/>
          <w:lang w:eastAsia="zh-CN"/>
        </w:rPr>
        <w:t>H986区域内贸空车智能卡口系统</w:t>
      </w:r>
      <w:r>
        <w:rPr>
          <w:rFonts w:hint="eastAsia" w:cs="Times New Roman"/>
          <w:kern w:val="2"/>
        </w:rPr>
        <w:t xml:space="preserve">采购已具备采购条件，现公开邀请供应商参加采购活动。 </w:t>
      </w:r>
    </w:p>
    <w:p>
      <w:pPr>
        <w:pStyle w:val="3"/>
        <w:spacing w:line="360" w:lineRule="auto"/>
        <w:rPr>
          <w:rFonts w:ascii="Arial" w:hAnsi="Arial"/>
        </w:rPr>
      </w:pPr>
      <w:bookmarkStart w:id="1" w:name="_Toc106039322"/>
      <w:r>
        <w:rPr>
          <w:rFonts w:hint="eastAsia"/>
        </w:rPr>
        <w:t xml:space="preserve">1 </w:t>
      </w:r>
      <w:r>
        <w:rPr>
          <w:rFonts w:hint="eastAsia" w:ascii="黑体" w:hAnsi="黑体"/>
        </w:rPr>
        <w:t>采购项目简介</w:t>
      </w:r>
      <w:bookmarkEnd w:id="1"/>
      <w:r>
        <w:rPr>
          <w:rFonts w:hint="eastAsia" w:ascii="黑体" w:hAnsi="黑体"/>
        </w:rPr>
        <w:t xml:space="preserve"> </w:t>
      </w:r>
    </w:p>
    <w:p>
      <w:pPr>
        <w:autoSpaceDE w:val="0"/>
        <w:spacing w:line="360" w:lineRule="auto"/>
        <w:jc w:val="both"/>
        <w:rPr>
          <w:rFonts w:ascii="宋体" w:hAnsi="宋体"/>
          <w:sz w:val="24"/>
        </w:rPr>
      </w:pPr>
      <w:r>
        <w:rPr>
          <w:rFonts w:hint="eastAsia" w:ascii="宋体" w:hAnsi="宋体"/>
          <w:b/>
          <w:bCs/>
          <w:sz w:val="24"/>
        </w:rPr>
        <w:t>1.1</w:t>
      </w:r>
      <w:r>
        <w:rPr>
          <w:rFonts w:hint="eastAsia" w:ascii="宋体" w:hAnsi="宋体"/>
          <w:sz w:val="24"/>
        </w:rPr>
        <w:t xml:space="preserve"> 采购项目名称:长沙集星集装箱码头有限公司</w:t>
      </w:r>
      <w:r>
        <w:rPr>
          <w:rFonts w:hint="eastAsia" w:ascii="宋体" w:hAnsi="宋体"/>
          <w:sz w:val="24"/>
          <w:lang w:eastAsia="zh-CN"/>
        </w:rPr>
        <w:t>H986区域内贸空车智能卡口系统</w:t>
      </w:r>
      <w:r>
        <w:rPr>
          <w:rFonts w:hint="eastAsia" w:ascii="宋体" w:hAnsi="宋体"/>
          <w:sz w:val="24"/>
        </w:rPr>
        <w:t>采购</w:t>
      </w:r>
    </w:p>
    <w:p>
      <w:pPr>
        <w:autoSpaceDE w:val="0"/>
        <w:spacing w:line="360" w:lineRule="auto"/>
        <w:rPr>
          <w:rFonts w:ascii="宋体" w:hAnsi="宋体"/>
          <w:sz w:val="24"/>
        </w:rPr>
      </w:pPr>
      <w:r>
        <w:rPr>
          <w:rFonts w:hint="eastAsia" w:ascii="宋体" w:hAnsi="宋体"/>
          <w:b/>
          <w:bCs/>
          <w:sz w:val="24"/>
        </w:rPr>
        <w:t>1.2</w:t>
      </w:r>
      <w:r>
        <w:rPr>
          <w:rFonts w:hint="eastAsia" w:ascii="宋体" w:hAnsi="宋体"/>
          <w:sz w:val="24"/>
        </w:rPr>
        <w:t xml:space="preserve"> 采购人: 长沙集星集装箱码头有限公司</w:t>
      </w:r>
    </w:p>
    <w:p>
      <w:pPr>
        <w:autoSpaceDE w:val="0"/>
        <w:spacing w:line="360" w:lineRule="auto"/>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rPr>
          <w:rFonts w:ascii="宋体" w:hAnsi="宋体"/>
          <w:sz w:val="24"/>
        </w:rPr>
      </w:pPr>
      <w:r>
        <w:rPr>
          <w:rFonts w:hint="eastAsia" w:ascii="宋体" w:hAnsi="宋体"/>
          <w:b/>
          <w:bCs/>
          <w:sz w:val="24"/>
        </w:rPr>
        <w:t xml:space="preserve">1.4 </w:t>
      </w:r>
      <w:r>
        <w:rPr>
          <w:rFonts w:hint="eastAsia" w:ascii="宋体" w:hAnsi="宋体"/>
          <w:sz w:val="24"/>
        </w:rPr>
        <w:t>采购项目资金落实情况:已落实</w:t>
      </w:r>
    </w:p>
    <w:p>
      <w:pPr>
        <w:autoSpaceDE w:val="0"/>
        <w:spacing w:line="360" w:lineRule="auto"/>
        <w:rPr>
          <w:rFonts w:hint="eastAsia" w:ascii="宋体" w:hAnsi="宋体" w:eastAsiaTheme="minorEastAsia"/>
          <w:sz w:val="24"/>
          <w:lang w:eastAsia="zh-CN"/>
        </w:rPr>
      </w:pPr>
      <w:r>
        <w:rPr>
          <w:rFonts w:hint="eastAsia" w:ascii="宋体" w:hAnsi="宋体"/>
          <w:b/>
          <w:bCs/>
          <w:sz w:val="24"/>
        </w:rPr>
        <w:t xml:space="preserve">1.5 </w:t>
      </w:r>
      <w:r>
        <w:rPr>
          <w:rFonts w:hint="eastAsia" w:ascii="宋体" w:hAnsi="宋体"/>
          <w:sz w:val="24"/>
        </w:rPr>
        <w:t>采购项目概况:</w:t>
      </w:r>
      <w:r>
        <w:rPr>
          <w:rFonts w:hint="eastAsia" w:eastAsiaTheme="minorEastAsia"/>
          <w:sz w:val="24"/>
        </w:rPr>
        <w:t>本项目需采购用于</w:t>
      </w:r>
      <w:r>
        <w:rPr>
          <w:rFonts w:hint="eastAsia" w:ascii="宋体" w:hAnsi="宋体" w:eastAsiaTheme="minorEastAsia"/>
          <w:sz w:val="24"/>
        </w:rPr>
        <w:t>长沙集星集装箱码头有限公司</w:t>
      </w:r>
      <w:r>
        <w:rPr>
          <w:rFonts w:hint="eastAsia" w:ascii="宋体" w:hAnsi="宋体" w:eastAsiaTheme="minorEastAsia"/>
          <w:sz w:val="24"/>
          <w:lang w:val="en-US" w:eastAsia="zh-CN"/>
        </w:rPr>
        <w:t>H986区域</w:t>
      </w:r>
      <w:r>
        <w:rPr>
          <w:rFonts w:hint="eastAsia" w:ascii="宋体" w:hAnsi="宋体" w:eastAsiaTheme="minorEastAsia"/>
          <w:sz w:val="24"/>
          <w:lang w:eastAsia="zh-CN"/>
        </w:rPr>
        <w:t>内贸空车智能卡口系统，含</w:t>
      </w:r>
      <w:r>
        <w:rPr>
          <w:rFonts w:hint="eastAsia" w:ascii="宋体" w:hAnsi="宋体" w:eastAsia="宋体" w:cs="宋体"/>
          <w:b w:val="0"/>
          <w:bCs w:val="0"/>
          <w:i w:val="0"/>
          <w:iCs w:val="0"/>
          <w:color w:val="000000"/>
          <w:kern w:val="0"/>
          <w:sz w:val="24"/>
          <w:szCs w:val="24"/>
          <w:u w:val="none"/>
          <w:lang w:val="en-US" w:eastAsia="zh-CN" w:bidi="ar"/>
        </w:rPr>
        <w:t>监管场所视频监控、机房设备、网络工程、卡口系统等</w:t>
      </w:r>
      <w:r>
        <w:rPr>
          <w:rFonts w:hint="eastAsia" w:ascii="宋体" w:hAnsi="宋体" w:cs="宋体"/>
          <w:b w:val="0"/>
          <w:bCs w:val="0"/>
          <w:i w:val="0"/>
          <w:iCs w:val="0"/>
          <w:color w:val="000000"/>
          <w:kern w:val="0"/>
          <w:sz w:val="24"/>
          <w:szCs w:val="24"/>
          <w:u w:val="none"/>
          <w:lang w:val="en-US" w:eastAsia="zh-CN" w:bidi="ar"/>
        </w:rPr>
        <w:t>采购、</w:t>
      </w:r>
      <w:r>
        <w:rPr>
          <w:rFonts w:hint="eastAsia" w:ascii="宋体" w:hAnsi="宋体"/>
          <w:sz w:val="24"/>
          <w:lang w:val="en-US" w:eastAsia="zh-CN"/>
        </w:rPr>
        <w:t>现有智能卡口辅助系统升级、</w:t>
      </w:r>
      <w:r>
        <w:rPr>
          <w:rFonts w:hint="eastAsia" w:ascii="宋体" w:hAnsi="宋体" w:cs="宋体"/>
          <w:b w:val="0"/>
          <w:bCs w:val="0"/>
          <w:i w:val="0"/>
          <w:iCs w:val="0"/>
          <w:color w:val="000000"/>
          <w:kern w:val="0"/>
          <w:sz w:val="24"/>
          <w:szCs w:val="24"/>
          <w:u w:val="none"/>
          <w:lang w:val="en-US" w:eastAsia="zh-CN" w:bidi="ar"/>
        </w:rPr>
        <w:t>安装调试及相应的售后服务。</w:t>
      </w:r>
    </w:p>
    <w:p>
      <w:pPr>
        <w:pStyle w:val="3"/>
        <w:spacing w:line="360" w:lineRule="auto"/>
        <w:rPr>
          <w:rFonts w:ascii="Arial" w:hAnsi="Arial"/>
        </w:rPr>
      </w:pPr>
      <w:bookmarkStart w:id="2" w:name="_Toc106039323"/>
      <w:r>
        <w:rPr>
          <w:rFonts w:hint="eastAsia"/>
        </w:rPr>
        <w:t>2．</w:t>
      </w:r>
      <w:r>
        <w:rPr>
          <w:rFonts w:hint="eastAsia" w:ascii="黑体" w:hAnsi="黑体"/>
        </w:rPr>
        <w:t>采购范围及相关要求</w:t>
      </w:r>
      <w:bookmarkEnd w:id="2"/>
    </w:p>
    <w:p>
      <w:pPr>
        <w:spacing w:line="360" w:lineRule="auto"/>
        <w:jc w:val="both"/>
        <w:rPr>
          <w:rFonts w:hint="eastAsia" w:ascii="宋体" w:hAnsi="宋体" w:eastAsia="宋体"/>
          <w:sz w:val="24"/>
          <w:lang w:eastAsia="zh-CN"/>
        </w:rPr>
      </w:pPr>
      <w:r>
        <w:rPr>
          <w:rFonts w:hint="eastAsia" w:ascii="宋体" w:hAnsi="宋体"/>
          <w:b/>
          <w:bCs/>
          <w:sz w:val="24"/>
        </w:rPr>
        <w:t xml:space="preserve">2.1 </w:t>
      </w:r>
      <w:r>
        <w:rPr>
          <w:rFonts w:hint="eastAsia" w:ascii="宋体" w:hAnsi="宋体"/>
          <w:sz w:val="24"/>
        </w:rPr>
        <w:t>采购范围: 长沙集星集装箱码头有限公司</w:t>
      </w:r>
      <w:r>
        <w:rPr>
          <w:rFonts w:hint="eastAsia" w:ascii="宋体" w:hAnsi="宋体"/>
          <w:sz w:val="24"/>
          <w:lang w:eastAsia="zh-CN"/>
        </w:rPr>
        <w:t>H986区域内贸空车智能卡口系统，含监管场所视频监控、机房设备、网络工程、卡口系统等采购、</w:t>
      </w:r>
      <w:r>
        <w:rPr>
          <w:rFonts w:hint="eastAsia" w:ascii="宋体" w:hAnsi="宋体"/>
          <w:sz w:val="24"/>
          <w:lang w:val="en-US" w:eastAsia="zh-CN"/>
        </w:rPr>
        <w:t>现有智能卡口辅助系统升级、</w:t>
      </w:r>
      <w:r>
        <w:rPr>
          <w:rFonts w:hint="eastAsia" w:ascii="宋体" w:hAnsi="宋体"/>
          <w:sz w:val="24"/>
          <w:lang w:eastAsia="zh-CN"/>
        </w:rPr>
        <w:t>安装调试及相应的售后服务。</w:t>
      </w:r>
    </w:p>
    <w:p>
      <w:pPr>
        <w:spacing w:line="360" w:lineRule="auto"/>
        <w:jc w:val="both"/>
        <w:rPr>
          <w:color w:val="000000" w:themeColor="text1"/>
          <w:sz w:val="24"/>
          <w14:textFill>
            <w14:solidFill>
              <w14:schemeClr w14:val="tx1"/>
            </w14:solidFill>
          </w14:textFill>
        </w:rPr>
      </w:pPr>
      <w:r>
        <w:rPr>
          <w:rFonts w:hint="eastAsia" w:ascii="宋体" w:hAnsi="宋体"/>
          <w:b/>
          <w:bCs/>
          <w:sz w:val="24"/>
        </w:rPr>
        <w:t xml:space="preserve">2.2 </w:t>
      </w:r>
      <w:r>
        <w:rPr>
          <w:rFonts w:hint="eastAsia" w:ascii="宋体" w:hAnsi="宋体"/>
          <w:sz w:val="24"/>
        </w:rPr>
        <w:t>交货期限: 合同签订后</w:t>
      </w:r>
      <w:r>
        <w:rPr>
          <w:rFonts w:hint="eastAsia" w:ascii="宋体" w:hAnsi="宋体"/>
          <w:sz w:val="24"/>
          <w:lang w:val="en-US" w:eastAsia="zh-CN"/>
        </w:rPr>
        <w:t>2</w:t>
      </w:r>
      <w:r>
        <w:rPr>
          <w:rFonts w:hint="eastAsia" w:ascii="宋体" w:hAnsi="宋体"/>
          <w:sz w:val="24"/>
        </w:rPr>
        <w:t>0个工作日内完成</w:t>
      </w:r>
      <w:r>
        <w:rPr>
          <w:rFonts w:hint="eastAsia" w:ascii="宋体" w:hAnsi="宋体"/>
          <w:sz w:val="24"/>
          <w:lang w:eastAsia="zh-CN"/>
        </w:rPr>
        <w:t>采购</w:t>
      </w:r>
      <w:r>
        <w:rPr>
          <w:rFonts w:hint="eastAsia" w:ascii="宋体" w:hAnsi="宋体"/>
          <w:sz w:val="24"/>
        </w:rPr>
        <w:t>安装调试。</w:t>
      </w:r>
    </w:p>
    <w:p>
      <w:pPr>
        <w:spacing w:line="360" w:lineRule="auto"/>
        <w:rPr>
          <w:rFonts w:ascii="宋体" w:hAnsi="宋体" w:cs="宋体"/>
          <w:b/>
          <w:bCs/>
          <w:sz w:val="28"/>
          <w:szCs w:val="28"/>
        </w:rPr>
      </w:pPr>
      <w:r>
        <w:rPr>
          <w:rFonts w:hint="eastAsia" w:ascii="宋体" w:hAnsi="宋体"/>
          <w:b/>
          <w:bCs/>
          <w:sz w:val="24"/>
        </w:rPr>
        <w:t xml:space="preserve">2.3 </w:t>
      </w:r>
      <w:r>
        <w:rPr>
          <w:rFonts w:hint="eastAsia" w:ascii="宋体" w:hAnsi="宋体"/>
          <w:sz w:val="24"/>
        </w:rPr>
        <w:t>交货地点及方式:</w:t>
      </w:r>
      <w:r>
        <w:rPr>
          <w:rFonts w:hint="eastAsia" w:ascii="宋体" w:hAnsi="宋体"/>
          <w:color w:val="000000"/>
          <w:sz w:val="24"/>
        </w:rPr>
        <w:t>由供应商负责运输至长沙集星集装箱码头有限公司交货，运费由供应商承担。</w:t>
      </w:r>
    </w:p>
    <w:p>
      <w:pPr>
        <w:autoSpaceDE w:val="0"/>
        <w:spacing w:line="360" w:lineRule="auto"/>
        <w:rPr>
          <w:rFonts w:ascii="宋体" w:hAnsi="宋体"/>
          <w:b/>
          <w:bCs/>
          <w:sz w:val="24"/>
        </w:rPr>
      </w:pPr>
      <w:r>
        <w:rPr>
          <w:rFonts w:ascii="宋体" w:hAnsi="宋体"/>
          <w:b/>
          <w:bCs/>
          <w:sz w:val="24"/>
        </w:rPr>
        <w:t xml:space="preserve">2.4 </w:t>
      </w:r>
      <w:r>
        <w:rPr>
          <w:rFonts w:hint="eastAsia" w:ascii="宋体" w:hAnsi="宋体"/>
          <w:bCs/>
          <w:sz w:val="24"/>
        </w:rPr>
        <w:t>质保期：</w:t>
      </w:r>
      <w:r>
        <w:rPr>
          <w:rFonts w:hint="eastAsia" w:ascii="宋体" w:hAnsi="宋体" w:cs="宋体"/>
          <w:color w:val="000000"/>
          <w:sz w:val="24"/>
          <w:szCs w:val="22"/>
        </w:rPr>
        <w:t>质保期从验收合格签字之日算起，</w:t>
      </w:r>
      <w:r>
        <w:rPr>
          <w:rFonts w:hint="eastAsia" w:hAnsi="宋体" w:cs="宋体"/>
          <w:color w:val="000000"/>
          <w:sz w:val="24"/>
          <w:szCs w:val="22"/>
        </w:rPr>
        <w:t>期</w:t>
      </w:r>
      <w:bookmarkStart w:id="65" w:name="_GoBack"/>
      <w:bookmarkEnd w:id="65"/>
      <w:r>
        <w:rPr>
          <w:rFonts w:hint="eastAsia" w:hAnsi="宋体" w:cs="宋体"/>
          <w:color w:val="000000"/>
          <w:sz w:val="24"/>
          <w:szCs w:val="22"/>
        </w:rPr>
        <w:t>限为</w:t>
      </w:r>
      <w:r>
        <w:rPr>
          <w:rFonts w:hint="eastAsia" w:hAnsi="宋体" w:cs="宋体"/>
          <w:color w:val="000000"/>
          <w:sz w:val="24"/>
          <w:szCs w:val="22"/>
          <w:lang w:val="en-US" w:eastAsia="zh-CN"/>
        </w:rPr>
        <w:t>2</w:t>
      </w:r>
      <w:r>
        <w:rPr>
          <w:rFonts w:hint="eastAsia" w:hAnsi="宋体" w:cs="宋体"/>
          <w:color w:val="000000"/>
          <w:sz w:val="24"/>
          <w:szCs w:val="22"/>
        </w:rPr>
        <w:t>年</w:t>
      </w:r>
      <w:r>
        <w:rPr>
          <w:rFonts w:hint="eastAsia" w:ascii="宋体" w:hAnsi="宋体" w:cs="宋体"/>
          <w:color w:val="000000"/>
          <w:sz w:val="24"/>
          <w:szCs w:val="22"/>
        </w:rPr>
        <w:t>。</w:t>
      </w:r>
    </w:p>
    <w:p>
      <w:pPr>
        <w:autoSpaceDE w:val="0"/>
        <w:spacing w:line="360" w:lineRule="auto"/>
        <w:rPr>
          <w:rFonts w:ascii="宋体" w:hAnsi="宋体"/>
          <w:sz w:val="24"/>
          <w:highlight w:val="none"/>
        </w:rPr>
      </w:pPr>
      <w:r>
        <w:rPr>
          <w:rFonts w:hint="eastAsia" w:ascii="宋体" w:hAnsi="宋体"/>
          <w:b/>
          <w:bCs/>
          <w:sz w:val="24"/>
        </w:rPr>
        <w:t xml:space="preserve">2.4 </w:t>
      </w:r>
      <w:r>
        <w:rPr>
          <w:rFonts w:hint="eastAsia" w:ascii="宋体" w:hAnsi="宋体"/>
          <w:b w:val="0"/>
          <w:bCs w:val="0"/>
          <w:sz w:val="24"/>
          <w:lang w:eastAsia="zh-CN"/>
        </w:rPr>
        <w:t>采购内</w:t>
      </w:r>
      <w:r>
        <w:rPr>
          <w:rFonts w:hint="eastAsia" w:ascii="宋体" w:hAnsi="宋体"/>
          <w:b w:val="0"/>
          <w:bCs w:val="0"/>
          <w:sz w:val="24"/>
          <w:highlight w:val="none"/>
          <w:lang w:eastAsia="zh-CN"/>
        </w:rPr>
        <w:t>容及</w:t>
      </w:r>
      <w:r>
        <w:rPr>
          <w:rFonts w:hint="eastAsia" w:ascii="宋体" w:hAnsi="宋体"/>
          <w:b w:val="0"/>
          <w:bCs w:val="0"/>
          <w:sz w:val="24"/>
          <w:highlight w:val="none"/>
        </w:rPr>
        <w:t>相关要求</w:t>
      </w:r>
      <w:r>
        <w:rPr>
          <w:rFonts w:hint="eastAsia" w:ascii="宋体" w:hAnsi="宋体"/>
          <w:sz w:val="24"/>
          <w:highlight w:val="none"/>
        </w:rPr>
        <w:t>: 详见“</w:t>
      </w:r>
      <w:r>
        <w:rPr>
          <w:rFonts w:hint="eastAsia" w:ascii="宋体" w:hAnsi="宋体"/>
          <w:sz w:val="24"/>
          <w:highlight w:val="none"/>
          <w:lang w:eastAsia="zh-CN"/>
        </w:rPr>
        <w:t>采购文件</w:t>
      </w:r>
      <w:r>
        <w:rPr>
          <w:rFonts w:hint="eastAsia" w:ascii="宋体" w:hAnsi="宋体"/>
          <w:sz w:val="24"/>
          <w:highlight w:val="none"/>
        </w:rPr>
        <w:t>第五章 采购</w:t>
      </w:r>
      <w:r>
        <w:rPr>
          <w:rFonts w:hint="eastAsia" w:ascii="宋体" w:hAnsi="宋体"/>
          <w:sz w:val="24"/>
          <w:highlight w:val="none"/>
          <w:lang w:eastAsia="zh-CN"/>
        </w:rPr>
        <w:t>需</w:t>
      </w:r>
      <w:r>
        <w:rPr>
          <w:rFonts w:hint="eastAsia" w:ascii="宋体" w:hAnsi="宋体"/>
          <w:sz w:val="24"/>
          <w:highlight w:val="none"/>
        </w:rPr>
        <w:t>求”</w:t>
      </w:r>
    </w:p>
    <w:p>
      <w:pPr>
        <w:pStyle w:val="3"/>
        <w:spacing w:line="360" w:lineRule="auto"/>
        <w:rPr>
          <w:rFonts w:ascii="Arial" w:hAnsi="Arial"/>
          <w:highlight w:val="none"/>
        </w:rPr>
      </w:pPr>
      <w:bookmarkStart w:id="3" w:name="_Toc106039324"/>
      <w:r>
        <w:rPr>
          <w:rFonts w:hint="eastAsia"/>
          <w:highlight w:val="none"/>
        </w:rPr>
        <w:t xml:space="preserve">3 </w:t>
      </w:r>
      <w:r>
        <w:rPr>
          <w:rFonts w:hint="eastAsia" w:ascii="黑体" w:hAnsi="黑体"/>
          <w:highlight w:val="none"/>
        </w:rPr>
        <w:t>供应商资格要求</w:t>
      </w:r>
      <w:bookmarkEnd w:id="3"/>
    </w:p>
    <w:p>
      <w:pPr>
        <w:autoSpaceDE w:val="0"/>
        <w:spacing w:line="360" w:lineRule="auto"/>
        <w:jc w:val="both"/>
        <w:rPr>
          <w:rFonts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（5）具有直接管理和被管理关系的母子(分)公司，或同一母公司的子(分)公司，或法定代表人为同一人的两个或两个以上法人，同时投同一标段。</w:t>
      </w:r>
    </w:p>
    <w:p>
      <w:pPr>
        <w:autoSpaceDE w:val="0"/>
        <w:spacing w:line="360" w:lineRule="auto"/>
        <w:jc w:val="both"/>
        <w:rPr>
          <w:rFonts w:ascii="宋体" w:hAnsi="宋体"/>
          <w:sz w:val="24"/>
          <w:highlight w:val="none"/>
        </w:rPr>
      </w:pPr>
      <w:r>
        <w:rPr>
          <w:rFonts w:hint="eastAsia" w:ascii="宋体" w:hAnsi="宋体"/>
          <w:sz w:val="24"/>
          <w:highlight w:val="none"/>
        </w:rPr>
        <w:t>3.2供应商应满足如下要求:</w:t>
      </w:r>
    </w:p>
    <w:tbl>
      <w:tblPr>
        <w:tblStyle w:val="4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813"/>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4" w:type="dxa"/>
          </w:tcPr>
          <w:p>
            <w:pPr>
              <w:widowControl w:val="0"/>
              <w:spacing w:line="360" w:lineRule="auto"/>
              <w:jc w:val="center"/>
              <w:rPr>
                <w:rFonts w:ascii="宋体" w:hAnsi="宋体"/>
                <w:sz w:val="24"/>
                <w:highlight w:val="none"/>
              </w:rPr>
            </w:pPr>
            <w:r>
              <w:rPr>
                <w:rFonts w:hint="eastAsia" w:ascii="宋体" w:hAnsi="宋体"/>
                <w:sz w:val="24"/>
                <w:highlight w:val="none"/>
              </w:rPr>
              <w:t>资格条件</w:t>
            </w:r>
          </w:p>
        </w:tc>
        <w:tc>
          <w:tcPr>
            <w:tcW w:w="1813" w:type="dxa"/>
          </w:tcPr>
          <w:p>
            <w:pPr>
              <w:widowControl w:val="0"/>
              <w:spacing w:line="360" w:lineRule="auto"/>
              <w:jc w:val="center"/>
              <w:rPr>
                <w:rFonts w:ascii="宋体" w:hAnsi="宋体"/>
                <w:sz w:val="24"/>
                <w:highlight w:val="none"/>
              </w:rPr>
            </w:pPr>
            <w:r>
              <w:rPr>
                <w:rFonts w:hint="eastAsia" w:ascii="宋体" w:hAnsi="宋体"/>
                <w:sz w:val="24"/>
                <w:highlight w:val="none"/>
              </w:rPr>
              <w:t>对供应商要求</w:t>
            </w:r>
          </w:p>
        </w:tc>
        <w:tc>
          <w:tcPr>
            <w:tcW w:w="4612" w:type="dxa"/>
          </w:tcPr>
          <w:p>
            <w:pPr>
              <w:widowControl w:val="0"/>
              <w:spacing w:line="360" w:lineRule="auto"/>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（1）依法设立</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bCs/>
                <w:sz w:val="21"/>
                <w:szCs w:val="21"/>
                <w:highlight w:val="none"/>
                <w:u w:val="none"/>
              </w:rPr>
              <w:sym w:font="Wingdings 2" w:char="0052"/>
            </w:r>
            <w:r>
              <w:rPr>
                <w:rStyle w:val="46"/>
                <w:rFonts w:hint="eastAsia"/>
                <w:b/>
                <w:bCs/>
                <w:sz w:val="21"/>
                <w:szCs w:val="21"/>
                <w:highlight w:val="none"/>
                <w:u w:val="none"/>
              </w:rPr>
              <w:t>适用</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（2）资质要求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（3）财务要求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（4）业绩要求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bCs/>
                <w:sz w:val="21"/>
                <w:szCs w:val="21"/>
                <w:highlight w:val="none"/>
                <w:u w:val="none"/>
              </w:rPr>
              <w:sym w:font="Wingdings 2" w:char="0052"/>
            </w:r>
            <w:r>
              <w:rPr>
                <w:rStyle w:val="46"/>
                <w:rFonts w:hint="eastAsia"/>
                <w:b/>
                <w:bCs/>
                <w:sz w:val="21"/>
                <w:szCs w:val="21"/>
                <w:highlight w:val="none"/>
                <w:u w:val="none"/>
              </w:rPr>
              <w:t>适用</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（5）信誉要求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bCs/>
                <w:sz w:val="21"/>
                <w:szCs w:val="21"/>
                <w:highlight w:val="none"/>
                <w:u w:val="none"/>
              </w:rPr>
              <w:sym w:font="Wingdings 2" w:char="0052"/>
            </w:r>
            <w:r>
              <w:rPr>
                <w:rStyle w:val="46"/>
                <w:rFonts w:hint="eastAsia"/>
                <w:b/>
                <w:bCs/>
                <w:sz w:val="21"/>
                <w:szCs w:val="21"/>
                <w:highlight w:val="none"/>
                <w:u w:val="none"/>
              </w:rPr>
              <w:t>适用</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适用,见采购文件供应商须知前附表3.5（</w:t>
            </w:r>
            <w:r>
              <w:rPr>
                <w:rStyle w:val="46"/>
                <w:rFonts w:hint="eastAsia"/>
                <w:b w:val="0"/>
                <w:bCs w:val="0"/>
                <w:sz w:val="21"/>
                <w:szCs w:val="21"/>
                <w:highlight w:val="none"/>
                <w:u w:val="none"/>
                <w:lang w:val="en-US" w:eastAsia="zh-CN"/>
              </w:rPr>
              <w:t>5</w:t>
            </w:r>
            <w:r>
              <w:rPr>
                <w:rStyle w:val="46"/>
                <w:rFonts w:hint="eastAsia"/>
                <w:b w:val="0"/>
                <w:bCs w:val="0"/>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（6）承担本项目的主要人员要求</w:t>
            </w:r>
          </w:p>
        </w:tc>
        <w:tc>
          <w:tcPr>
            <w:tcW w:w="1813" w:type="dxa"/>
            <w:vAlign w:val="center"/>
          </w:tcPr>
          <w:p>
            <w:pPr>
              <w:widowControl w:val="0"/>
              <w:spacing w:line="360" w:lineRule="auto"/>
              <w:jc w:val="both"/>
              <w:rPr>
                <w:rFonts w:hint="eastAsia" w:ascii="宋体" w:hAnsi="宋体" w:eastAsia="宋体"/>
                <w:b w:val="0"/>
                <w:bCs w:val="0"/>
                <w:sz w:val="21"/>
                <w:szCs w:val="21"/>
                <w:highlight w:val="none"/>
                <w:u w:val="none"/>
                <w:lang w:eastAsia="zh-CN"/>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（7）其他要求</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954" w:type="dxa"/>
            <w:vAlign w:val="center"/>
          </w:tcPr>
          <w:p>
            <w:pPr>
              <w:widowControl w:val="0"/>
              <w:spacing w:line="360" w:lineRule="auto"/>
              <w:jc w:val="both"/>
              <w:rPr>
                <w:rFonts w:ascii="宋体" w:hAnsi="宋体"/>
                <w:b w:val="0"/>
                <w:bCs w:val="0"/>
                <w:sz w:val="21"/>
                <w:szCs w:val="21"/>
                <w:highlight w:val="none"/>
              </w:rPr>
            </w:pPr>
            <w:r>
              <w:rPr>
                <w:rFonts w:hint="eastAsia" w:ascii="宋体" w:hAnsi="宋体"/>
                <w:b w:val="0"/>
                <w:bCs w:val="0"/>
                <w:sz w:val="21"/>
                <w:szCs w:val="21"/>
                <w:highlight w:val="none"/>
              </w:rPr>
              <w:t>（8）供应商不存在第一章3.1款情形的证明材料</w:t>
            </w:r>
          </w:p>
        </w:tc>
        <w:tc>
          <w:tcPr>
            <w:tcW w:w="1813"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bCs/>
                <w:sz w:val="21"/>
                <w:szCs w:val="21"/>
                <w:highlight w:val="none"/>
                <w:u w:val="none"/>
              </w:rPr>
              <w:sym w:font="Wingdings 2" w:char="0052"/>
            </w:r>
            <w:r>
              <w:rPr>
                <w:rStyle w:val="46"/>
                <w:rFonts w:hint="eastAsia"/>
                <w:b/>
                <w:bCs/>
                <w:sz w:val="21"/>
                <w:szCs w:val="21"/>
                <w:highlight w:val="none"/>
                <w:u w:val="none"/>
              </w:rPr>
              <w:t>适用</w:t>
            </w:r>
          </w:p>
        </w:tc>
        <w:tc>
          <w:tcPr>
            <w:tcW w:w="4612" w:type="dxa"/>
            <w:vAlign w:val="center"/>
          </w:tcPr>
          <w:p>
            <w:pPr>
              <w:widowControl w:val="0"/>
              <w:spacing w:line="360" w:lineRule="auto"/>
              <w:jc w:val="both"/>
              <w:rPr>
                <w:rFonts w:ascii="宋体" w:hAnsi="宋体"/>
                <w:b w:val="0"/>
                <w:bCs w:val="0"/>
                <w:sz w:val="21"/>
                <w:szCs w:val="21"/>
                <w:highlight w:val="none"/>
                <w:u w:val="none"/>
              </w:rPr>
            </w:pPr>
            <w:r>
              <w:rPr>
                <w:rStyle w:val="46"/>
                <w:rFonts w:hint="eastAsia"/>
                <w:b w:val="0"/>
                <w:bCs w:val="0"/>
                <w:sz w:val="21"/>
                <w:szCs w:val="21"/>
                <w:highlight w:val="none"/>
                <w:u w:val="none"/>
              </w:rPr>
              <w:sym w:font="Wingdings 2" w:char="0052"/>
            </w:r>
            <w:r>
              <w:rPr>
                <w:rStyle w:val="46"/>
                <w:rFonts w:hint="eastAsia"/>
                <w:b w:val="0"/>
                <w:bCs w:val="0"/>
                <w:sz w:val="21"/>
                <w:szCs w:val="21"/>
                <w:highlight w:val="none"/>
                <w:u w:val="none"/>
              </w:rPr>
              <w:t>适用,见采购文件供应商须知前附表3.5（8）。</w:t>
            </w:r>
          </w:p>
        </w:tc>
      </w:tr>
    </w:tbl>
    <w:p>
      <w:pPr>
        <w:pStyle w:val="3"/>
        <w:spacing w:line="360" w:lineRule="auto"/>
        <w:rPr>
          <w:rFonts w:ascii="Arial" w:hAnsi="Arial"/>
          <w:highlight w:val="none"/>
        </w:rPr>
      </w:pPr>
      <w:bookmarkStart w:id="4" w:name="_Toc106039325"/>
      <w:r>
        <w:rPr>
          <w:rFonts w:hint="eastAsia"/>
          <w:highlight w:val="none"/>
        </w:rPr>
        <w:t xml:space="preserve">4 </w:t>
      </w:r>
      <w:r>
        <w:rPr>
          <w:rFonts w:hint="eastAsia" w:ascii="黑体" w:hAnsi="黑体"/>
          <w:highlight w:val="none"/>
        </w:rPr>
        <w:t>响应保证金</w:t>
      </w:r>
      <w:bookmarkEnd w:id="4"/>
    </w:p>
    <w:tbl>
      <w:tblPr>
        <w:tblStyle w:val="44"/>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3353"/>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72" w:type="dxa"/>
            <w:vAlign w:val="center"/>
          </w:tcPr>
          <w:p>
            <w:pPr>
              <w:widowControl w:val="0"/>
              <w:autoSpaceDE w:val="0"/>
              <w:spacing w:line="360" w:lineRule="auto"/>
              <w:jc w:val="center"/>
              <w:rPr>
                <w:rFonts w:ascii="黑体" w:hAnsi="黑体"/>
                <w:sz w:val="21"/>
                <w:szCs w:val="21"/>
                <w:highlight w:val="none"/>
              </w:rPr>
            </w:pPr>
            <w:r>
              <w:rPr>
                <w:rFonts w:hint="eastAsia" w:ascii="黑体" w:hAnsi="黑体"/>
                <w:sz w:val="21"/>
                <w:szCs w:val="21"/>
                <w:highlight w:val="none"/>
              </w:rPr>
              <w:t>响应</w:t>
            </w:r>
            <w:r>
              <w:rPr>
                <w:rFonts w:hint="eastAsia" w:ascii="宋体" w:hAnsi="宋体"/>
                <w:sz w:val="21"/>
                <w:szCs w:val="21"/>
                <w:highlight w:val="none"/>
              </w:rPr>
              <w:t>保证金的递交</w:t>
            </w:r>
          </w:p>
        </w:tc>
        <w:tc>
          <w:tcPr>
            <w:tcW w:w="3353" w:type="dxa"/>
            <w:vAlign w:val="center"/>
          </w:tcPr>
          <w:p>
            <w:pPr>
              <w:widowControl w:val="0"/>
              <w:autoSpaceDE w:val="0"/>
              <w:spacing w:line="360" w:lineRule="auto"/>
              <w:jc w:val="center"/>
              <w:rPr>
                <w:rFonts w:ascii="黑体" w:hAnsi="黑体"/>
                <w:sz w:val="21"/>
                <w:szCs w:val="21"/>
                <w:highlight w:val="none"/>
              </w:rPr>
            </w:pPr>
            <w:r>
              <w:rPr>
                <w:rFonts w:hint="eastAsia" w:ascii="宋体" w:hAnsi="宋体"/>
                <w:sz w:val="21"/>
                <w:szCs w:val="21"/>
                <w:highlight w:val="none"/>
              </w:rPr>
              <w:t>不退还响应保证金的其他情形</w:t>
            </w:r>
          </w:p>
        </w:tc>
        <w:tc>
          <w:tcPr>
            <w:tcW w:w="2713" w:type="dxa"/>
            <w:vAlign w:val="center"/>
          </w:tcPr>
          <w:p>
            <w:pPr>
              <w:widowControl w:val="0"/>
              <w:autoSpaceDE w:val="0"/>
              <w:spacing w:line="360" w:lineRule="auto"/>
              <w:jc w:val="center"/>
              <w:rPr>
                <w:rFonts w:ascii="黑体" w:hAnsi="黑体"/>
                <w:sz w:val="21"/>
                <w:szCs w:val="21"/>
                <w:highlight w:val="none"/>
              </w:rPr>
            </w:pPr>
            <w:r>
              <w:rPr>
                <w:rFonts w:hint="eastAsia" w:ascii="宋体" w:hAnsi="宋体"/>
                <w:sz w:val="21"/>
                <w:szCs w:val="21"/>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72" w:type="dxa"/>
            <w:vAlign w:val="center"/>
          </w:tcPr>
          <w:p>
            <w:pPr>
              <w:widowControl w:val="0"/>
              <w:autoSpaceDE w:val="0"/>
              <w:spacing w:line="360" w:lineRule="auto"/>
              <w:jc w:val="center"/>
              <w:rPr>
                <w:rFonts w:ascii="宋体" w:hAnsi="宋体"/>
                <w:sz w:val="21"/>
                <w:szCs w:val="21"/>
                <w:highlight w:val="none"/>
              </w:rPr>
            </w:pPr>
            <w:r>
              <w:rPr>
                <w:rStyle w:val="46"/>
                <w:rFonts w:hint="eastAsia"/>
                <w:sz w:val="21"/>
                <w:szCs w:val="21"/>
                <w:highlight w:val="none"/>
              </w:rPr>
              <w:sym w:font="Wingdings 2" w:char="0052"/>
            </w:r>
            <w:r>
              <w:rPr>
                <w:rFonts w:hint="eastAsia" w:ascii="宋体" w:hAnsi="宋体"/>
                <w:sz w:val="21"/>
                <w:szCs w:val="21"/>
                <w:highlight w:val="none"/>
              </w:rPr>
              <w:t>不要求递交</w:t>
            </w:r>
          </w:p>
        </w:tc>
        <w:tc>
          <w:tcPr>
            <w:tcW w:w="3353" w:type="dxa"/>
            <w:vAlign w:val="center"/>
          </w:tcPr>
          <w:p>
            <w:pPr>
              <w:widowControl w:val="0"/>
              <w:autoSpaceDE w:val="0"/>
              <w:spacing w:line="360" w:lineRule="auto"/>
              <w:jc w:val="center"/>
              <w:rPr>
                <w:rFonts w:ascii="黑体" w:hAnsi="黑体"/>
                <w:sz w:val="21"/>
                <w:szCs w:val="21"/>
                <w:highlight w:val="none"/>
              </w:rPr>
            </w:pPr>
            <w:r>
              <w:rPr>
                <w:rStyle w:val="46"/>
                <w:rFonts w:hint="eastAsia"/>
                <w:sz w:val="21"/>
                <w:szCs w:val="21"/>
                <w:highlight w:val="none"/>
              </w:rPr>
              <w:sym w:font="Wingdings 2" w:char="0052"/>
            </w:r>
            <w:r>
              <w:rPr>
                <w:rFonts w:hint="eastAsia" w:ascii="宋体" w:hAnsi="宋体"/>
                <w:sz w:val="21"/>
                <w:szCs w:val="21"/>
                <w:highlight w:val="none"/>
              </w:rPr>
              <w:t>不适用</w:t>
            </w:r>
          </w:p>
        </w:tc>
        <w:tc>
          <w:tcPr>
            <w:tcW w:w="2713" w:type="dxa"/>
            <w:vAlign w:val="center"/>
          </w:tcPr>
          <w:p>
            <w:pPr>
              <w:widowControl w:val="0"/>
              <w:autoSpaceDE w:val="0"/>
              <w:spacing w:line="360" w:lineRule="auto"/>
              <w:jc w:val="center"/>
              <w:rPr>
                <w:rFonts w:ascii="黑体" w:hAnsi="黑体"/>
                <w:sz w:val="21"/>
                <w:szCs w:val="21"/>
                <w:highlight w:val="none"/>
              </w:rPr>
            </w:pPr>
            <w:r>
              <w:rPr>
                <w:rStyle w:val="46"/>
                <w:rFonts w:hint="eastAsia"/>
                <w:sz w:val="21"/>
                <w:szCs w:val="21"/>
                <w:highlight w:val="none"/>
              </w:rPr>
              <w:sym w:font="Wingdings 2" w:char="0052"/>
            </w:r>
            <w:r>
              <w:rPr>
                <w:rFonts w:hint="eastAsia" w:ascii="宋体" w:hAnsi="宋体"/>
                <w:sz w:val="21"/>
                <w:szCs w:val="21"/>
                <w:highlight w:val="none"/>
              </w:rPr>
              <w:t>不适用</w:t>
            </w:r>
          </w:p>
        </w:tc>
      </w:tr>
    </w:tbl>
    <w:p>
      <w:pPr>
        <w:pStyle w:val="3"/>
        <w:spacing w:line="360" w:lineRule="auto"/>
        <w:rPr>
          <w:rFonts w:ascii="Arial" w:hAnsi="Arial"/>
          <w:highlight w:val="none"/>
        </w:rPr>
      </w:pPr>
      <w:bookmarkStart w:id="5" w:name="_Toc106039326"/>
      <w:r>
        <w:rPr>
          <w:rFonts w:hint="eastAsia"/>
          <w:highlight w:val="none"/>
        </w:rPr>
        <w:t>5</w:t>
      </w:r>
      <w:r>
        <w:rPr>
          <w:highlight w:val="none"/>
        </w:rPr>
        <w:t xml:space="preserve"> </w:t>
      </w:r>
      <w:r>
        <w:rPr>
          <w:rFonts w:hint="eastAsia" w:ascii="黑体" w:hAnsi="黑体"/>
          <w:highlight w:val="none"/>
        </w:rPr>
        <w:t>确定成交供应商的方法</w:t>
      </w:r>
      <w:bookmarkEnd w:id="5"/>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5.1</w:t>
      </w:r>
      <w:r>
        <w:rPr>
          <w:rStyle w:val="46"/>
          <w:rFonts w:hint="eastAsia"/>
          <w:highlight w:val="none"/>
        </w:rPr>
        <w:t>最低价法</w:t>
      </w:r>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采购人将确定排名第一的成交候选供应商为成交供应商。若排名第一的成交候选供应商未通过履约能力和报价核查，采购人应按推荐的名单排序依次确定其他成交候选供应商为成交供应商。</w:t>
      </w:r>
    </w:p>
    <w:p>
      <w:pPr>
        <w:pStyle w:val="3"/>
        <w:spacing w:line="360" w:lineRule="auto"/>
        <w:rPr>
          <w:highlight w:val="none"/>
        </w:rPr>
      </w:pPr>
      <w:bookmarkStart w:id="6" w:name="_Toc106039327"/>
      <w:r>
        <w:rPr>
          <w:rFonts w:hint="eastAsia"/>
          <w:highlight w:val="none"/>
        </w:rPr>
        <w:t>6</w:t>
      </w:r>
      <w:r>
        <w:rPr>
          <w:rFonts w:hint="eastAsia"/>
          <w:color w:val="000000"/>
          <w:highlight w:val="none"/>
        </w:rPr>
        <w:t>．最高投标限价</w:t>
      </w:r>
      <w:bookmarkEnd w:id="6"/>
    </w:p>
    <w:p>
      <w:pPr>
        <w:autoSpaceDE w:val="0"/>
        <w:spacing w:line="360" w:lineRule="auto"/>
        <w:ind w:firstLine="482" w:firstLineChars="200"/>
        <w:jc w:val="both"/>
        <w:rPr>
          <w:rFonts w:ascii="宋体" w:hAnsi="宋体"/>
          <w:sz w:val="24"/>
          <w:highlight w:val="none"/>
        </w:rPr>
      </w:pPr>
      <w:bookmarkStart w:id="7" w:name="_Toc40274970"/>
      <w:bookmarkStart w:id="8" w:name="_Toc38287094"/>
      <w:r>
        <w:rPr>
          <w:rFonts w:hint="eastAsia" w:ascii="宋体" w:hAnsi="宋体"/>
          <w:b/>
          <w:bCs/>
          <w:sz w:val="24"/>
          <w:highlight w:val="none"/>
        </w:rPr>
        <w:t>6.1</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肆拾陆万肆仟肆佰壹拾伍元</w:t>
      </w:r>
      <w:r>
        <w:rPr>
          <w:rFonts w:hint="eastAsia" w:ascii="宋体" w:hAnsi="宋体"/>
          <w:sz w:val="24"/>
          <w:highlight w:val="none"/>
        </w:rPr>
        <w:t xml:space="preserve"> （小写：￥</w:t>
      </w:r>
      <w:r>
        <w:rPr>
          <w:rFonts w:hint="eastAsia" w:ascii="宋体" w:hAnsi="宋体"/>
          <w:sz w:val="24"/>
          <w:highlight w:val="none"/>
          <w:lang w:val="en-US" w:eastAsia="zh-CN"/>
        </w:rPr>
        <w:t>464415.00</w:t>
      </w:r>
      <w:r>
        <w:rPr>
          <w:rFonts w:hint="eastAsia" w:ascii="宋体" w:hAnsi="宋体"/>
          <w:sz w:val="24"/>
          <w:highlight w:val="none"/>
        </w:rPr>
        <w:t>），含13%的增值税和运费、安装调试费等。</w:t>
      </w:r>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6.2</w:t>
      </w:r>
      <w:r>
        <w:rPr>
          <w:rFonts w:hint="eastAsia" w:ascii="宋体" w:hAnsi="宋体"/>
          <w:sz w:val="24"/>
          <w:highlight w:val="none"/>
        </w:rPr>
        <w:t>报价人投标报价应不高于最高投标限价，否则其投标将被否决。</w:t>
      </w:r>
      <w:bookmarkEnd w:id="7"/>
      <w:bookmarkEnd w:id="8"/>
    </w:p>
    <w:p>
      <w:pPr>
        <w:pStyle w:val="3"/>
        <w:spacing w:line="360" w:lineRule="auto"/>
        <w:rPr>
          <w:rFonts w:ascii="Arial" w:hAnsi="Arial"/>
          <w:highlight w:val="none"/>
        </w:rPr>
      </w:pPr>
      <w:bookmarkStart w:id="9" w:name="_Toc106039328"/>
      <w:r>
        <w:rPr>
          <w:rFonts w:hint="eastAsia"/>
          <w:highlight w:val="none"/>
        </w:rPr>
        <w:t>7.</w:t>
      </w:r>
      <w:r>
        <w:rPr>
          <w:rFonts w:hint="eastAsia" w:ascii="黑体" w:hAnsi="黑体"/>
          <w:highlight w:val="none"/>
        </w:rPr>
        <w:t>采购文件获取</w:t>
      </w:r>
      <w:bookmarkEnd w:id="9"/>
    </w:p>
    <w:p>
      <w:pPr>
        <w:autoSpaceDE w:val="0"/>
        <w:spacing w:line="360" w:lineRule="auto"/>
        <w:ind w:firstLine="482" w:firstLineChars="200"/>
        <w:jc w:val="both"/>
        <w:rPr>
          <w:rFonts w:ascii="宋体" w:hAnsi="宋体"/>
          <w:sz w:val="24"/>
          <w:highlight w:val="none"/>
        </w:rPr>
      </w:pPr>
      <w:r>
        <w:rPr>
          <w:rFonts w:hint="eastAsia" w:ascii="宋体" w:hAnsi="宋体"/>
          <w:b/>
          <w:bCs/>
          <w:sz w:val="24"/>
          <w:highlight w:val="none"/>
        </w:rPr>
        <w:t>7.1</w:t>
      </w:r>
      <w:r>
        <w:rPr>
          <w:rFonts w:hint="eastAsia" w:ascii="宋体" w:hAnsi="宋体"/>
          <w:sz w:val="24"/>
          <w:highlight w:val="none"/>
        </w:rPr>
        <w:t xml:space="preserve"> 供应商应当于</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17</w:t>
      </w:r>
      <w:r>
        <w:rPr>
          <w:rFonts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22</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23</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lang w:eastAsia="zh-CN"/>
        </w:rPr>
        <w:t>1</w:t>
      </w:r>
      <w:r>
        <w:rPr>
          <w:rFonts w:hint="eastAsia" w:ascii="宋体" w:hAnsi="宋体"/>
          <w:sz w:val="24"/>
          <w:highlight w:val="none"/>
          <w:u w:val="single"/>
          <w:lang w:val="en-US" w:eastAsia="zh-CN"/>
        </w:rPr>
        <w:t>0</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分送达</w:t>
      </w:r>
      <w:r>
        <w:rPr>
          <w:rFonts w:hint="eastAsia" w:ascii="宋体" w:hAnsi="宋体"/>
          <w:sz w:val="24"/>
          <w:highlight w:val="none"/>
          <w:u w:val="single"/>
        </w:rPr>
        <w:t>长沙集星集装箱码头有限公司319室</w:t>
      </w:r>
      <w:r>
        <w:rPr>
          <w:rFonts w:hint="eastAsia" w:ascii="宋体" w:hAnsi="宋体"/>
          <w:sz w:val="24"/>
          <w:highlight w:val="none"/>
        </w:rPr>
        <w:t>，逾期送达的或者未送达指定地点的文件，不予受理。</w:t>
      </w:r>
    </w:p>
    <w:p>
      <w:pPr>
        <w:widowControl w:val="0"/>
        <w:spacing w:line="360" w:lineRule="auto"/>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日17时30分前向采购人提出澄清要求。</w:t>
      </w:r>
    </w:p>
    <w:p>
      <w:pPr>
        <w:widowControl w:val="0"/>
        <w:spacing w:line="360" w:lineRule="auto"/>
        <w:ind w:firstLine="482" w:firstLineChars="200"/>
        <w:jc w:val="both"/>
        <w:rPr>
          <w:rFonts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本次询价不接受联合体报价。</w:t>
      </w:r>
    </w:p>
    <w:p>
      <w:pPr>
        <w:pStyle w:val="3"/>
        <w:spacing w:line="360" w:lineRule="auto"/>
        <w:rPr>
          <w:highlight w:val="none"/>
        </w:rPr>
      </w:pPr>
      <w:bookmarkStart w:id="10" w:name="_Toc106039329"/>
      <w:r>
        <w:rPr>
          <w:rFonts w:hint="eastAsia"/>
          <w:highlight w:val="none"/>
        </w:rPr>
        <w:t>8.发布</w:t>
      </w:r>
      <w:r>
        <w:rPr>
          <w:rFonts w:hint="eastAsia" w:ascii="黑体" w:hAnsi="黑体"/>
          <w:highlight w:val="none"/>
        </w:rPr>
        <w:t>公告的</w:t>
      </w:r>
      <w:r>
        <w:rPr>
          <w:rFonts w:hint="eastAsia"/>
          <w:highlight w:val="none"/>
        </w:rPr>
        <w:t>媒介</w:t>
      </w:r>
      <w:bookmarkEnd w:id="10"/>
    </w:p>
    <w:p>
      <w:pPr>
        <w:widowControl w:val="0"/>
        <w:spacing w:line="360" w:lineRule="auto"/>
        <w:ind w:firstLine="480" w:firstLineChars="200"/>
        <w:jc w:val="both"/>
        <w:rPr>
          <w:rFonts w:ascii="宋体" w:hAnsi="宋体" w:cs="宋体"/>
          <w:sz w:val="24"/>
          <w:highlight w:val="none"/>
          <w:u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w:t>
      </w:r>
      <w:r>
        <w:rPr>
          <w:rFonts w:hint="eastAsia" w:ascii="宋体" w:hAnsi="宋体" w:cs="宋体"/>
          <w:sz w:val="24"/>
          <w:highlight w:val="none"/>
          <w:u w:val="none"/>
        </w:rPr>
        <w:t>湖南省港务集团</w:t>
      </w:r>
      <w:r>
        <w:rPr>
          <w:rFonts w:hint="eastAsia" w:ascii="宋体" w:hAnsi="宋体" w:cs="宋体"/>
          <w:sz w:val="24"/>
          <w:highlight w:val="none"/>
          <w:u w:val="none"/>
        </w:rPr>
        <w:t>有限公司（http://www.hnsgwjt.com）上发布。</w:t>
      </w:r>
    </w:p>
    <w:p>
      <w:pPr>
        <w:pStyle w:val="3"/>
        <w:spacing w:line="360" w:lineRule="auto"/>
        <w:rPr>
          <w:highlight w:val="none"/>
        </w:rPr>
      </w:pPr>
      <w:bookmarkStart w:id="11" w:name="_Toc77254104"/>
      <w:bookmarkStart w:id="12" w:name="_Toc512257471"/>
      <w:bookmarkStart w:id="13" w:name="_Toc76635692"/>
      <w:bookmarkStart w:id="14" w:name="_Toc106039330"/>
      <w:bookmarkStart w:id="15" w:name="_Toc79596547"/>
      <w:r>
        <w:rPr>
          <w:rFonts w:hint="eastAsia"/>
          <w:highlight w:val="none"/>
        </w:rPr>
        <w:t>9.</w:t>
      </w:r>
      <w:r>
        <w:rPr>
          <w:highlight w:val="none"/>
        </w:rPr>
        <w:t>监督</w:t>
      </w:r>
      <w:bookmarkEnd w:id="11"/>
      <w:bookmarkEnd w:id="12"/>
      <w:bookmarkEnd w:id="13"/>
      <w:r>
        <w:rPr>
          <w:rFonts w:hint="eastAsia"/>
          <w:highlight w:val="none"/>
        </w:rPr>
        <w:t>部门</w:t>
      </w:r>
      <w:bookmarkEnd w:id="14"/>
      <w:bookmarkEnd w:id="15"/>
    </w:p>
    <w:p>
      <w:pPr>
        <w:pStyle w:val="37"/>
        <w:widowControl w:val="0"/>
        <w:adjustRightInd w:val="0"/>
        <w:snapToGrid w:val="0"/>
        <w:spacing w:before="0" w:beforeAutospacing="0" w:after="0" w:afterAutospacing="0" w:line="360" w:lineRule="auto"/>
        <w:ind w:firstLine="240" w:firstLineChars="100"/>
        <w:jc w:val="both"/>
        <w:rPr>
          <w:rFonts w:ascii="宋体" w:hAnsi="宋体"/>
          <w:bCs/>
          <w:sz w:val="24"/>
          <w:highlight w:val="none"/>
        </w:rPr>
      </w:pPr>
      <w:r>
        <w:rPr>
          <w:rFonts w:hint="eastAsia"/>
          <w:bCs/>
          <w:highlight w:val="none"/>
        </w:rPr>
        <w:t>本次采购监督部门为长沙集星集装箱码头有限公司党政办公室，电话：</w:t>
      </w:r>
      <w:r>
        <w:rPr>
          <w:rFonts w:hint="eastAsia" w:cs="Times New Roman"/>
          <w:highlight w:val="none"/>
        </w:rPr>
        <w:t>13507318311</w:t>
      </w:r>
      <w:r>
        <w:rPr>
          <w:rFonts w:hint="eastAsia" w:ascii="宋体" w:hAnsi="宋体"/>
          <w:bCs/>
          <w:sz w:val="24"/>
          <w:highlight w:val="none"/>
        </w:rPr>
        <w:t>。</w:t>
      </w:r>
    </w:p>
    <w:p>
      <w:pPr>
        <w:pStyle w:val="3"/>
        <w:spacing w:line="360" w:lineRule="auto"/>
        <w:rPr>
          <w:rFonts w:ascii="Arial" w:hAnsi="Arial"/>
          <w:highlight w:val="none"/>
        </w:rPr>
      </w:pPr>
      <w:bookmarkStart w:id="16" w:name="_Toc106039331"/>
      <w:r>
        <w:rPr>
          <w:rFonts w:hint="eastAsia"/>
          <w:highlight w:val="none"/>
        </w:rPr>
        <w:t>10.</w:t>
      </w:r>
      <w:r>
        <w:rPr>
          <w:rFonts w:hint="eastAsia" w:ascii="黑体" w:hAnsi="黑体"/>
          <w:highlight w:val="none"/>
        </w:rPr>
        <w:t>联系方式</w:t>
      </w:r>
      <w:bookmarkEnd w:id="16"/>
    </w:p>
    <w:p>
      <w:pPr>
        <w:autoSpaceDE w:val="0"/>
        <w:spacing w:line="360" w:lineRule="auto"/>
        <w:ind w:firstLine="240" w:firstLineChars="100"/>
        <w:rPr>
          <w:rFonts w:ascii="宋体" w:hAnsi="宋体"/>
          <w:sz w:val="24"/>
          <w:highlight w:val="none"/>
        </w:rPr>
      </w:pPr>
      <w:r>
        <w:rPr>
          <w:rFonts w:hint="eastAsia" w:ascii="宋体" w:hAnsi="宋体"/>
          <w:sz w:val="24"/>
          <w:highlight w:val="none"/>
        </w:rPr>
        <w:t xml:space="preserve">采 购 人: </w:t>
      </w:r>
      <w:r>
        <w:rPr>
          <w:rFonts w:hint="eastAsia" w:ascii="宋体" w:hAnsi="宋体"/>
          <w:sz w:val="24"/>
          <w:highlight w:val="none"/>
          <w:u w:val="single"/>
        </w:rPr>
        <w:t xml:space="preserve"> 长沙集星集装箱码头有限公司    </w:t>
      </w:r>
    </w:p>
    <w:p>
      <w:pPr>
        <w:autoSpaceDE w:val="0"/>
        <w:spacing w:line="360" w:lineRule="auto"/>
        <w:ind w:firstLine="240" w:firstLineChars="1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长沙市开福区新港镇新港路80号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u w:val="single"/>
        </w:rPr>
        <w:t xml:space="preserve"> 唐先生  </w:t>
      </w:r>
      <w:r>
        <w:rPr>
          <w:rFonts w:hint="eastAsia" w:ascii="宋体" w:hAnsi="宋体"/>
          <w:sz w:val="24"/>
          <w:highlight w:val="none"/>
        </w:rPr>
        <w:t xml:space="preserve">   </w:t>
      </w:r>
    </w:p>
    <w:p>
      <w:pPr>
        <w:spacing w:line="360" w:lineRule="auto"/>
        <w:ind w:firstLine="240" w:firstLineChars="100"/>
        <w:rPr>
          <w:color w:val="000000" w:themeColor="text1"/>
          <w:sz w:val="24"/>
          <w:highlight w:val="none"/>
          <w:u w:val="single"/>
          <w14:textFill>
            <w14:solidFill>
              <w14:schemeClr w14:val="tx1"/>
            </w14:solidFill>
          </w14:textFill>
        </w:rPr>
      </w:pPr>
      <w:r>
        <w:rPr>
          <w:rFonts w:hint="eastAsia" w:ascii="宋体" w:hAnsi="宋体"/>
          <w:sz w:val="24"/>
          <w:highlight w:val="none"/>
        </w:rPr>
        <w:t xml:space="preserve">电    话: </w:t>
      </w:r>
      <w:r>
        <w:rPr>
          <w:rFonts w:hint="eastAsia" w:ascii="宋体" w:hAnsi="宋体"/>
          <w:sz w:val="24"/>
          <w:highlight w:val="none"/>
          <w:u w:val="single"/>
        </w:rPr>
        <w:t xml:space="preserve"> </w:t>
      </w:r>
      <w:r>
        <w:rPr>
          <w:rFonts w:hint="eastAsia"/>
          <w:color w:val="000000" w:themeColor="text1"/>
          <w:sz w:val="24"/>
          <w:highlight w:val="none"/>
          <w:u w:val="single"/>
          <w14:textFill>
            <w14:solidFill>
              <w14:schemeClr w14:val="tx1"/>
            </w14:solidFill>
          </w14:textFill>
        </w:rPr>
        <w:t>13637494623</w:t>
      </w:r>
    </w:p>
    <w:p>
      <w:pPr>
        <w:spacing w:line="240" w:lineRule="auto"/>
        <w:jc w:val="both"/>
        <w:rPr>
          <w:rFonts w:ascii="黑体" w:hAnsi="黑体" w:eastAsia="黑体"/>
          <w:sz w:val="32"/>
          <w:szCs w:val="32"/>
          <w:highlight w:val="none"/>
        </w:rPr>
      </w:pPr>
      <w:bookmarkStart w:id="17" w:name="_Toc234832861"/>
      <w:bookmarkStart w:id="18" w:name="_Toc517787494"/>
    </w:p>
    <w:p>
      <w:pPr>
        <w:spacing w:line="240" w:lineRule="auto"/>
        <w:jc w:val="center"/>
        <w:rPr>
          <w:rFonts w:ascii="黑体" w:hAnsi="黑体" w:eastAsia="黑体"/>
          <w:sz w:val="32"/>
          <w:szCs w:val="32"/>
          <w:highlight w:val="none"/>
        </w:rPr>
      </w:pPr>
    </w:p>
    <w:p>
      <w:pPr>
        <w:spacing w:line="240" w:lineRule="auto"/>
        <w:jc w:val="both"/>
        <w:rPr>
          <w:rFonts w:ascii="黑体" w:hAnsi="黑体" w:eastAsia="黑体"/>
          <w:sz w:val="32"/>
          <w:szCs w:val="32"/>
          <w:highlight w:val="none"/>
        </w:rPr>
      </w:pPr>
    </w:p>
    <w:p>
      <w:pPr>
        <w:rPr>
          <w:rFonts w:ascii="黑体" w:hAnsi="黑体" w:eastAsia="黑体"/>
          <w:sz w:val="32"/>
          <w:szCs w:val="32"/>
          <w:highlight w:val="none"/>
        </w:rPr>
      </w:pPr>
      <w:bookmarkStart w:id="19" w:name="_Toc106039332"/>
      <w:r>
        <w:rPr>
          <w:rFonts w:hint="eastAsia" w:ascii="黑体" w:hAnsi="黑体" w:eastAsia="黑体"/>
          <w:sz w:val="32"/>
          <w:szCs w:val="32"/>
          <w:highlight w:val="none"/>
        </w:rPr>
        <w:br w:type="page"/>
      </w:r>
    </w:p>
    <w:p>
      <w:pPr>
        <w:pStyle w:val="2"/>
        <w:keepNext/>
        <w:keepLines/>
        <w:pageBreakBefore w:val="0"/>
        <w:widowControl/>
        <w:kinsoku/>
        <w:wordWrap/>
        <w:overflowPunct/>
        <w:topLinePunct w:val="0"/>
        <w:autoSpaceDE/>
        <w:autoSpaceDN/>
        <w:bidi w:val="0"/>
        <w:adjustRightInd/>
        <w:snapToGrid/>
        <w:spacing w:before="40" w:after="40" w:line="360" w:lineRule="auto"/>
        <w:jc w:val="center"/>
        <w:textAlignment w:val="auto"/>
        <w:rPr>
          <w:rFonts w:ascii="黑体" w:hAnsi="黑体" w:eastAsia="黑体"/>
          <w:sz w:val="32"/>
          <w:szCs w:val="32"/>
          <w:highlight w:val="none"/>
        </w:rPr>
      </w:pPr>
      <w:r>
        <w:rPr>
          <w:rFonts w:hint="eastAsia" w:ascii="黑体" w:hAnsi="黑体" w:eastAsia="黑体"/>
          <w:sz w:val="32"/>
          <w:szCs w:val="32"/>
          <w:highlight w:val="none"/>
        </w:rPr>
        <w:t>第二章  供应商须知</w:t>
      </w:r>
      <w:bookmarkEnd w:id="17"/>
      <w:bookmarkEnd w:id="18"/>
      <w:bookmarkEnd w:id="19"/>
    </w:p>
    <w:p>
      <w:pPr>
        <w:pStyle w:val="3"/>
        <w:jc w:val="center"/>
        <w:rPr>
          <w:rFonts w:cs="仿宋" w:asciiTheme="minorEastAsia" w:hAnsiTheme="minorEastAsia" w:eastAsiaTheme="minorEastAsia"/>
          <w:sz w:val="30"/>
          <w:szCs w:val="30"/>
          <w:highlight w:val="none"/>
        </w:rPr>
      </w:pPr>
      <w:bookmarkStart w:id="20" w:name="_Toc106039333"/>
      <w:bookmarkStart w:id="21" w:name="_Toc517787495"/>
      <w:bookmarkStart w:id="22" w:name="_Toc234832862"/>
      <w:r>
        <w:rPr>
          <w:rFonts w:hint="eastAsia" w:cs="仿宋" w:asciiTheme="minorEastAsia" w:hAnsiTheme="minorEastAsia" w:eastAsiaTheme="minorEastAsia"/>
          <w:sz w:val="30"/>
          <w:szCs w:val="30"/>
          <w:highlight w:val="none"/>
        </w:rPr>
        <w:t>供应商须知前附表</w:t>
      </w:r>
      <w:bookmarkEnd w:id="20"/>
      <w:bookmarkEnd w:id="21"/>
      <w:bookmarkEnd w:id="22"/>
    </w:p>
    <w:tbl>
      <w:tblPr>
        <w:tblStyle w:val="43"/>
        <w:tblW w:w="8898" w:type="dxa"/>
        <w:tblInd w:w="-308" w:type="dxa"/>
        <w:tblLayout w:type="fixed"/>
        <w:tblCellMar>
          <w:top w:w="0" w:type="dxa"/>
          <w:left w:w="108" w:type="dxa"/>
          <w:bottom w:w="0" w:type="dxa"/>
          <w:right w:w="108" w:type="dxa"/>
        </w:tblCellMar>
      </w:tblPr>
      <w:tblGrid>
        <w:gridCol w:w="1095"/>
        <w:gridCol w:w="2115"/>
        <w:gridCol w:w="5688"/>
      </w:tblGrid>
      <w:tr>
        <w:tblPrEx>
          <w:tblCellMar>
            <w:top w:w="0" w:type="dxa"/>
            <w:left w:w="108" w:type="dxa"/>
            <w:bottom w:w="0" w:type="dxa"/>
            <w:right w:w="108" w:type="dxa"/>
          </w:tblCellMar>
        </w:tblPrEx>
        <w:trPr>
          <w:trHeight w:val="348" w:hRule="atLeast"/>
          <w:tblHeader/>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条款号</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条  款  名  称</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编  列  内  容</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采购方法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询价</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评审办法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最低价法（同质比价法和同价比质法）</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1.7.1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踏勘现场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不组织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1.8</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采购预备会</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不召开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1.9</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分包</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不得分包的内容：不允许分包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1.10.2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对非关键条款的偏差</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允许偏差的范围：不允许重大偏差，允许细微偏差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2.1(7)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构成采购文件的其他资料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供应商要求澄清采购文件的时间</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截止时间：</w:t>
            </w:r>
            <w:r>
              <w:rPr>
                <w:rFonts w:hint="eastAsia" w:ascii="宋体" w:hAnsi="宋体"/>
                <w:sz w:val="21"/>
                <w:szCs w:val="21"/>
                <w:highlight w:val="none"/>
              </w:rPr>
              <w:t>2022年</w:t>
            </w:r>
            <w:r>
              <w:rPr>
                <w:rFonts w:hint="eastAsia" w:ascii="宋体" w:hAnsi="宋体"/>
                <w:sz w:val="21"/>
                <w:szCs w:val="21"/>
                <w:highlight w:val="none"/>
                <w:lang w:val="en-US" w:eastAsia="zh-CN"/>
              </w:rPr>
              <w:t>8</w:t>
            </w:r>
            <w:r>
              <w:rPr>
                <w:rFonts w:hint="eastAsia" w:ascii="宋体" w:hAnsi="宋体"/>
                <w:sz w:val="21"/>
                <w:szCs w:val="21"/>
                <w:highlight w:val="none"/>
              </w:rPr>
              <w:t>月</w:t>
            </w:r>
            <w:r>
              <w:rPr>
                <w:rFonts w:hint="eastAsia" w:ascii="宋体" w:hAnsi="宋体"/>
                <w:sz w:val="21"/>
                <w:szCs w:val="21"/>
                <w:highlight w:val="none"/>
                <w:lang w:val="en-US" w:eastAsia="zh-CN"/>
              </w:rPr>
              <w:t>22</w:t>
            </w:r>
            <w:r>
              <w:rPr>
                <w:rFonts w:hint="eastAsia" w:ascii="宋体" w:hAnsi="宋体"/>
                <w:sz w:val="21"/>
                <w:szCs w:val="21"/>
                <w:highlight w:val="none"/>
              </w:rPr>
              <w:t>日17时30分</w:t>
            </w:r>
            <w:r>
              <w:rPr>
                <w:rFonts w:hint="eastAsia" w:cs="仿宋" w:asciiTheme="minorEastAsia" w:hAnsiTheme="minorEastAsia" w:eastAsiaTheme="minorEastAsia"/>
                <w:color w:val="auto"/>
                <w:sz w:val="21"/>
                <w:szCs w:val="21"/>
                <w:highlight w:val="none"/>
              </w:rPr>
              <w:t>。</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2.2.3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供应商确认收到采购文件补充文件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确认的最晚时间：</w:t>
            </w:r>
            <w:r>
              <w:rPr>
                <w:rFonts w:hint="eastAsia" w:ascii="宋体" w:hAnsi="宋体"/>
                <w:sz w:val="21"/>
                <w:szCs w:val="21"/>
                <w:highlight w:val="none"/>
              </w:rPr>
              <w:t>2022年</w:t>
            </w:r>
            <w:r>
              <w:rPr>
                <w:rFonts w:hint="eastAsia" w:ascii="宋体" w:hAnsi="宋体"/>
                <w:sz w:val="21"/>
                <w:szCs w:val="21"/>
                <w:highlight w:val="none"/>
                <w:lang w:val="en-US" w:eastAsia="zh-CN"/>
              </w:rPr>
              <w:t>8</w:t>
            </w:r>
            <w:r>
              <w:rPr>
                <w:rFonts w:hint="eastAsia" w:ascii="宋体" w:hAnsi="宋体"/>
                <w:sz w:val="21"/>
                <w:szCs w:val="21"/>
                <w:highlight w:val="none"/>
              </w:rPr>
              <w:t>月</w:t>
            </w:r>
            <w:r>
              <w:rPr>
                <w:rFonts w:hint="eastAsia" w:ascii="宋体" w:hAnsi="宋体"/>
                <w:sz w:val="21"/>
                <w:szCs w:val="21"/>
                <w:highlight w:val="none"/>
                <w:lang w:val="en-US" w:eastAsia="zh-CN"/>
              </w:rPr>
              <w:t>22</w:t>
            </w:r>
            <w:r>
              <w:rPr>
                <w:rFonts w:hint="eastAsia" w:ascii="宋体" w:hAnsi="宋体"/>
                <w:sz w:val="21"/>
                <w:szCs w:val="21"/>
                <w:highlight w:val="none"/>
              </w:rPr>
              <w:t>日17时30分</w:t>
            </w:r>
            <w:r>
              <w:rPr>
                <w:rFonts w:hint="eastAsia" w:cs="仿宋" w:asciiTheme="minorEastAsia" w:hAnsiTheme="minorEastAsia" w:eastAsiaTheme="minorEastAsia"/>
                <w:color w:val="auto"/>
                <w:sz w:val="21"/>
                <w:szCs w:val="21"/>
                <w:highlight w:val="none"/>
              </w:rPr>
              <w:t>。</w:t>
            </w:r>
          </w:p>
          <w:p>
            <w:pPr>
              <w:spacing w:line="288" w:lineRule="auto"/>
              <w:jc w:val="both"/>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 xml:space="preserve">确定的方式：收到纸质版文件为准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3.1.1（9）</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构成响应文件的其他资料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资料名称：无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最高限价或其计算方法</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有，</w:t>
            </w:r>
            <w:r>
              <w:rPr>
                <w:rFonts w:hint="eastAsia" w:cs="仿宋" w:asciiTheme="minorEastAsia" w:hAnsiTheme="minorEastAsia" w:eastAsiaTheme="minorEastAsia"/>
                <w:sz w:val="21"/>
                <w:szCs w:val="21"/>
                <w:highlight w:val="none"/>
                <w:lang w:eastAsia="zh-CN"/>
              </w:rPr>
              <w:t>最高限价</w:t>
            </w:r>
            <w:r>
              <w:rPr>
                <w:rFonts w:hint="eastAsia" w:ascii="宋体" w:hAnsi="宋体"/>
                <w:sz w:val="21"/>
                <w:szCs w:val="21"/>
                <w:highlight w:val="none"/>
                <w:lang w:eastAsia="zh-CN"/>
              </w:rPr>
              <w:t>肆拾陆万肆仟肆佰壹拾伍元</w:t>
            </w:r>
            <w:r>
              <w:rPr>
                <w:rFonts w:hint="eastAsia" w:ascii="宋体" w:hAnsi="宋体"/>
                <w:sz w:val="21"/>
                <w:szCs w:val="21"/>
                <w:highlight w:val="none"/>
              </w:rPr>
              <w:t xml:space="preserve"> （小写：￥</w:t>
            </w:r>
            <w:r>
              <w:rPr>
                <w:rFonts w:hint="eastAsia" w:ascii="宋体" w:hAnsi="宋体"/>
                <w:sz w:val="21"/>
                <w:szCs w:val="21"/>
                <w:highlight w:val="none"/>
                <w:lang w:val="en-US" w:eastAsia="zh-CN"/>
              </w:rPr>
              <w:t>464415.00</w:t>
            </w:r>
            <w:r>
              <w:rPr>
                <w:rFonts w:hint="eastAsia" w:ascii="宋体" w:hAnsi="宋体"/>
                <w:sz w:val="21"/>
                <w:szCs w:val="21"/>
                <w:highlight w:val="none"/>
              </w:rPr>
              <w:t>）</w:t>
            </w:r>
          </w:p>
        </w:tc>
      </w:tr>
      <w:tr>
        <w:tblPrEx>
          <w:tblCellMar>
            <w:top w:w="0" w:type="dxa"/>
            <w:left w:w="108" w:type="dxa"/>
            <w:bottom w:w="0" w:type="dxa"/>
            <w:right w:w="108" w:type="dxa"/>
          </w:tblCellMar>
        </w:tblPrEx>
        <w:trPr>
          <w:trHeight w:val="744"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3.2.4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报价的其他要求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报价唯一，报价需包含税金。</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3.3.1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响应文件有效期</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递交响应文件截止之日起90日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响应保证金</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sym w:font="Wingdings 2" w:char="0052"/>
            </w:r>
            <w:r>
              <w:rPr>
                <w:rFonts w:hint="eastAsia" w:cs="仿宋" w:asciiTheme="minorEastAsia" w:hAnsiTheme="minorEastAsia" w:eastAsiaTheme="minorEastAsia"/>
                <w:sz w:val="21"/>
                <w:szCs w:val="21"/>
                <w:highlight w:val="none"/>
              </w:rPr>
              <w:t xml:space="preserve">不要求递交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退还响应保证金的时间</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       无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3.4.3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不退还响应保证金的其他情形</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 xml:space="preserve">       无                                                        </w:t>
            </w:r>
          </w:p>
        </w:tc>
      </w:tr>
      <w:tr>
        <w:tblPrEx>
          <w:tblCellMar>
            <w:top w:w="0" w:type="dxa"/>
            <w:left w:w="108" w:type="dxa"/>
            <w:bottom w:w="0" w:type="dxa"/>
            <w:right w:w="108" w:type="dxa"/>
          </w:tblCellMar>
        </w:tblPrEx>
        <w:trPr>
          <w:trHeight w:val="14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1"/>
                <w:szCs w:val="21"/>
                <w:highlight w:val="none"/>
              </w:rPr>
            </w:pPr>
            <w:r>
              <w:rPr>
                <w:rStyle w:val="46"/>
                <w:rFonts w:hint="eastAsia" w:asciiTheme="minorEastAsia" w:hAnsiTheme="minorEastAsia" w:eastAsiaTheme="minorEastAsia"/>
                <w:b w:val="0"/>
                <w:color w:val="000000"/>
                <w:sz w:val="21"/>
                <w:szCs w:val="21"/>
                <w:highlight w:val="none"/>
              </w:rPr>
              <w:t>依法设立的证明材料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b/>
                <w:bCs/>
                <w:sz w:val="21"/>
                <w:szCs w:val="21"/>
                <w:highlight w:val="none"/>
              </w:rPr>
            </w:pPr>
            <w:r>
              <w:rPr>
                <w:rFonts w:hint="eastAsia"/>
                <w:b/>
                <w:bCs/>
                <w:sz w:val="21"/>
                <w:szCs w:val="21"/>
                <w:highlight w:val="none"/>
              </w:rPr>
              <w:sym w:font="Wingdings 2" w:char="0052"/>
            </w:r>
            <w:r>
              <w:rPr>
                <w:rFonts w:hint="eastAsia"/>
                <w:b/>
                <w:bCs/>
                <w:sz w:val="21"/>
                <w:szCs w:val="21"/>
                <w:highlight w:val="none"/>
              </w:rPr>
              <w:t>适用。</w:t>
            </w:r>
          </w:p>
          <w:p>
            <w:pPr>
              <w:spacing w:line="360" w:lineRule="auto"/>
              <w:ind w:firstLine="210" w:firstLineChars="100"/>
              <w:jc w:val="both"/>
              <w:rPr>
                <w:rFonts w:hint="eastAsia" w:eastAsia="宋体"/>
                <w:sz w:val="21"/>
                <w:szCs w:val="21"/>
                <w:highlight w:val="none"/>
                <w:lang w:eastAsia="zh-CN"/>
              </w:rPr>
            </w:pPr>
            <w:r>
              <w:rPr>
                <w:rFonts w:hint="eastAsia"/>
                <w:sz w:val="21"/>
                <w:szCs w:val="21"/>
                <w:highlight w:val="none"/>
              </w:rPr>
              <w:t>在中华人民共和国合法注册、具有独立法人资格，具有有效的营业执照，符合本次招标采购项目的营业范围，有能力完成本次采购项目</w:t>
            </w:r>
            <w:r>
              <w:rPr>
                <w:rFonts w:hint="eastAsia"/>
                <w:sz w:val="21"/>
                <w:szCs w:val="21"/>
                <w:highlight w:val="none"/>
                <w:lang w:eastAsia="zh-CN"/>
              </w:rPr>
              <w:t>。</w:t>
            </w:r>
          </w:p>
          <w:p>
            <w:pPr>
              <w:spacing w:line="360" w:lineRule="auto"/>
              <w:ind w:firstLine="210" w:firstLineChars="100"/>
              <w:jc w:val="both"/>
              <w:rPr>
                <w:sz w:val="21"/>
                <w:szCs w:val="21"/>
                <w:highlight w:val="none"/>
              </w:rPr>
            </w:pPr>
            <w:r>
              <w:rPr>
                <w:rFonts w:hint="eastAsia"/>
                <w:sz w:val="21"/>
                <w:szCs w:val="21"/>
                <w:highlight w:val="none"/>
              </w:rPr>
              <w:t>需提供法人营业执照(或事业单位法人证书)副本（全本）的复印件（并加盖单位章）。</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Style w:val="46"/>
                <w:rFonts w:hint="eastAsia" w:asciiTheme="minorEastAsia" w:hAnsiTheme="minorEastAsia" w:eastAsiaTheme="minorEastAsia"/>
                <w:b w:val="0"/>
                <w:color w:val="000000"/>
                <w:sz w:val="21"/>
                <w:szCs w:val="21"/>
                <w:highlight w:val="none"/>
              </w:rPr>
              <w:t>资质要求证明材料</w:t>
            </w:r>
          </w:p>
        </w:tc>
        <w:tc>
          <w:tcPr>
            <w:tcW w:w="5688"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334"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3.5（3）</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1"/>
                <w:szCs w:val="21"/>
                <w:highlight w:val="none"/>
              </w:rPr>
            </w:pPr>
            <w:r>
              <w:rPr>
                <w:rStyle w:val="46"/>
                <w:rFonts w:hint="eastAsia" w:asciiTheme="minorEastAsia" w:hAnsiTheme="minorEastAsia" w:eastAsiaTheme="minorEastAsia"/>
                <w:b w:val="0"/>
                <w:color w:val="000000"/>
                <w:sz w:val="21"/>
                <w:szCs w:val="21"/>
                <w:highlight w:val="none"/>
              </w:rPr>
              <w:t>财务要求证明材料</w:t>
            </w:r>
          </w:p>
        </w:tc>
        <w:tc>
          <w:tcPr>
            <w:tcW w:w="5688"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41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业绩要求证明材料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适用。</w:t>
            </w:r>
          </w:p>
          <w:p>
            <w:pPr>
              <w:adjustRightInd w:val="0"/>
              <w:snapToGrid w:val="0"/>
              <w:spacing w:after="0" w:line="360" w:lineRule="auto"/>
              <w:ind w:firstLine="210" w:firstLineChars="100"/>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供应商在近年内（从报价文件递交截止日期往前推算）至少承担过1项</w:t>
            </w:r>
            <w:r>
              <w:rPr>
                <w:rFonts w:hint="eastAsia" w:cs="宋体" w:asciiTheme="minorEastAsia" w:hAnsiTheme="minorEastAsia" w:eastAsiaTheme="minorEastAsia"/>
                <w:color w:val="000000"/>
                <w:sz w:val="21"/>
                <w:szCs w:val="21"/>
                <w:highlight w:val="none"/>
                <w:lang w:eastAsia="zh-CN"/>
              </w:rPr>
              <w:t>与</w:t>
            </w:r>
            <w:r>
              <w:rPr>
                <w:rFonts w:hint="eastAsia" w:ascii="宋体" w:hAnsi="宋体" w:eastAsia="宋体" w:cs="宋体"/>
                <w:sz w:val="21"/>
                <w:szCs w:val="21"/>
                <w:highlight w:val="none"/>
                <w:u w:val="single"/>
                <w:lang w:eastAsia="zh-CN"/>
              </w:rPr>
              <w:t>本项目采购规模、产品类型、产品规格型号、使用功能</w:t>
            </w:r>
            <w:r>
              <w:rPr>
                <w:rFonts w:hint="eastAsia" w:ascii="宋体" w:hAnsi="宋体" w:eastAsia="宋体" w:cs="宋体"/>
                <w:sz w:val="21"/>
                <w:szCs w:val="21"/>
                <w:highlight w:val="none"/>
                <w:lang w:eastAsia="zh-CN"/>
              </w:rPr>
              <w:t>等相近或相同的项目。</w:t>
            </w:r>
            <w:r>
              <w:rPr>
                <w:rFonts w:hint="eastAsia" w:cs="宋体" w:asciiTheme="minorEastAsia" w:hAnsiTheme="minorEastAsia" w:eastAsiaTheme="minorEastAsia"/>
                <w:color w:val="000000"/>
                <w:sz w:val="21"/>
                <w:szCs w:val="21"/>
                <w:highlight w:val="none"/>
              </w:rPr>
              <w:t>供</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应</w:t>
            </w:r>
            <w:r>
              <w:rPr>
                <w:rFonts w:hint="eastAsia" w:cs="宋体" w:asciiTheme="minorEastAsia" w:hAnsiTheme="minorEastAsia" w:eastAsiaTheme="minorEastAsia"/>
                <w:color w:val="000000"/>
                <w:sz w:val="21"/>
                <w:szCs w:val="21"/>
                <w:highlight w:val="none"/>
              </w:rPr>
              <w:t>商应提供近年的类似项目情况表（格式见第六章“响应文件格式”五、资格审查资料（三）近年的类似项目情况表），以证明供应商具有承担本项目要求的业绩</w:t>
            </w:r>
            <w:r>
              <w:rPr>
                <w:rFonts w:hint="eastAsia" w:cs="宋体" w:asciiTheme="minorEastAsia" w:hAnsiTheme="minorEastAsia" w:eastAsiaTheme="minorEastAsia"/>
                <w:color w:val="000000"/>
                <w:sz w:val="21"/>
                <w:szCs w:val="21"/>
                <w:highlight w:val="none"/>
                <w:u w:val="none"/>
              </w:rPr>
              <w:t>。近年是指</w:t>
            </w:r>
            <w:r>
              <w:rPr>
                <w:rFonts w:hint="eastAsia" w:cs="宋体" w:asciiTheme="minorEastAsia" w:hAnsiTheme="minorEastAsia" w:eastAsiaTheme="minorEastAsia"/>
                <w:color w:val="000000"/>
                <w:sz w:val="21"/>
                <w:szCs w:val="21"/>
                <w:highlight w:val="none"/>
                <w:u w:val="single"/>
              </w:rPr>
              <w:t>2019年</w:t>
            </w:r>
            <w:r>
              <w:rPr>
                <w:rFonts w:cs="宋体" w:asciiTheme="minorEastAsia" w:hAnsiTheme="minorEastAsia" w:eastAsiaTheme="minorEastAsia"/>
                <w:color w:val="000000"/>
                <w:sz w:val="21"/>
                <w:szCs w:val="21"/>
                <w:highlight w:val="none"/>
                <w:u w:val="single"/>
              </w:rPr>
              <w:t>7</w:t>
            </w:r>
            <w:r>
              <w:rPr>
                <w:rFonts w:hint="eastAsia" w:cs="宋体" w:asciiTheme="minorEastAsia" w:hAnsiTheme="minorEastAsia" w:eastAsiaTheme="minorEastAsia"/>
                <w:color w:val="000000"/>
                <w:sz w:val="21"/>
                <w:szCs w:val="21"/>
                <w:highlight w:val="none"/>
                <w:u w:val="single"/>
              </w:rPr>
              <w:t>月</w:t>
            </w:r>
            <w:r>
              <w:rPr>
                <w:rFonts w:hint="eastAsia" w:cs="宋体" w:asciiTheme="minorEastAsia" w:hAnsiTheme="minorEastAsia" w:eastAsiaTheme="minorEastAsia"/>
                <w:color w:val="000000"/>
                <w:sz w:val="21"/>
                <w:szCs w:val="21"/>
                <w:highlight w:val="none"/>
                <w:u w:val="none"/>
              </w:rPr>
              <w:t>至</w:t>
            </w:r>
            <w:r>
              <w:rPr>
                <w:rFonts w:hint="eastAsia" w:cs="宋体" w:asciiTheme="minorEastAsia" w:hAnsiTheme="minorEastAsia" w:eastAsiaTheme="minorEastAsia"/>
                <w:color w:val="000000"/>
                <w:sz w:val="21"/>
                <w:szCs w:val="21"/>
                <w:highlight w:val="none"/>
                <w:u w:val="single"/>
              </w:rPr>
              <w:t>2022年7月</w:t>
            </w:r>
          </w:p>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业绩证明材料：</w:t>
            </w:r>
          </w:p>
          <w:p>
            <w:pPr>
              <w:spacing w:line="288" w:lineRule="auto"/>
              <w:jc w:val="both"/>
              <w:rPr>
                <w:rFonts w:cs="仿宋" w:asciiTheme="minorEastAsia" w:hAnsiTheme="minorEastAsia" w:eastAsiaTheme="minorEastAsia"/>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合同</w:t>
            </w:r>
            <w:r>
              <w:rPr>
                <w:rFonts w:hint="eastAsia" w:cs="宋体" w:asciiTheme="minorEastAsia" w:hAnsiTheme="minorEastAsia" w:eastAsiaTheme="minorEastAsia"/>
                <w:color w:val="000000"/>
                <w:sz w:val="21"/>
                <w:szCs w:val="21"/>
                <w:highlight w:val="none"/>
                <w:lang w:val="en-US" w:eastAsia="zh-CN"/>
              </w:rPr>
              <w:t>/订单</w:t>
            </w:r>
            <w:r>
              <w:rPr>
                <w:rFonts w:hint="eastAsia" w:cs="宋体" w:asciiTheme="minorEastAsia" w:hAnsiTheme="minorEastAsia" w:eastAsiaTheme="minorEastAsia"/>
                <w:color w:val="000000"/>
                <w:sz w:val="21"/>
                <w:szCs w:val="21"/>
                <w:highlight w:val="none"/>
              </w:rPr>
              <w:t>复印</w:t>
            </w:r>
            <w:r>
              <w:rPr>
                <w:rFonts w:hint="eastAsia" w:cs="宋体" w:asciiTheme="minorEastAsia" w:hAnsiTheme="minorEastAsia" w:eastAsiaTheme="minorEastAsia"/>
                <w:color w:val="000000"/>
                <w:sz w:val="21"/>
                <w:szCs w:val="21"/>
                <w:highlight w:val="none"/>
                <w:lang w:eastAsia="zh-CN"/>
              </w:rPr>
              <w:t>件，需加盖单位公章</w:t>
            </w:r>
            <w:r>
              <w:rPr>
                <w:rFonts w:hint="eastAsia" w:cs="宋体" w:asciiTheme="minorEastAsia" w:hAnsiTheme="minorEastAsia" w:eastAsiaTheme="minorEastAsia"/>
                <w:color w:val="000000"/>
                <w:sz w:val="21"/>
                <w:szCs w:val="21"/>
                <w:highlight w:val="none"/>
              </w:rPr>
              <w:t xml:space="preserve">        </w:t>
            </w:r>
          </w:p>
        </w:tc>
      </w:tr>
      <w:tr>
        <w:tblPrEx>
          <w:tblCellMar>
            <w:top w:w="0" w:type="dxa"/>
            <w:left w:w="108" w:type="dxa"/>
            <w:bottom w:w="0" w:type="dxa"/>
            <w:right w:w="108" w:type="dxa"/>
          </w:tblCellMar>
        </w:tblPrEx>
        <w:trPr>
          <w:trHeight w:val="203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pStyle w:val="17"/>
              <w:spacing w:after="0" w:line="312" w:lineRule="auto"/>
              <w:ind w:left="0" w:leftChars="0"/>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A3"/>
            </w:r>
            <w:r>
              <w:rPr>
                <w:rFonts w:cs="宋体" w:asciiTheme="minorEastAsia" w:hAnsiTheme="minorEastAsia" w:eastAsiaTheme="minorEastAsia"/>
                <w:b/>
                <w:bCs/>
                <w:color w:val="000000"/>
                <w:sz w:val="21"/>
                <w:szCs w:val="21"/>
                <w:highlight w:val="none"/>
              </w:rPr>
              <w:t xml:space="preserve"> </w:t>
            </w:r>
            <w:r>
              <w:rPr>
                <w:rFonts w:hint="eastAsia" w:cs="宋体" w:asciiTheme="minorEastAsia" w:hAnsiTheme="minorEastAsia" w:eastAsiaTheme="minorEastAsia"/>
                <w:b/>
                <w:bCs/>
                <w:color w:val="000000"/>
                <w:sz w:val="21"/>
                <w:szCs w:val="21"/>
                <w:highlight w:val="none"/>
              </w:rPr>
              <w:t>适用。</w:t>
            </w:r>
          </w:p>
          <w:p>
            <w:pPr>
              <w:pStyle w:val="17"/>
              <w:spacing w:after="0" w:line="312" w:lineRule="auto"/>
              <w:ind w:left="0" w:leftChars="0" w:firstLine="210" w:firstLineChars="100"/>
              <w:jc w:val="left"/>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供应商应提供相关信誉情况的证明材料，包括：1．全国企业信用信息公示系统中未列入严重违法失信企业名单的网页截图，加盖公章。</w:t>
            </w:r>
          </w:p>
          <w:p>
            <w:pPr>
              <w:spacing w:line="288" w:lineRule="auto"/>
              <w:ind w:firstLine="210" w:firstLineChars="100"/>
              <w:jc w:val="left"/>
              <w:rPr>
                <w:rFonts w:cs="仿宋" w:asciiTheme="minorEastAsia" w:hAnsiTheme="minorEastAsia" w:eastAsiaTheme="minorEastAsia"/>
                <w:sz w:val="21"/>
                <w:szCs w:val="21"/>
                <w:highlight w:val="none"/>
              </w:rPr>
            </w:pPr>
            <w:r>
              <w:rPr>
                <w:rFonts w:hint="eastAsia" w:cs="宋体" w:asciiTheme="minorEastAsia" w:hAnsiTheme="minorEastAsia" w:eastAsiaTheme="minorEastAsia"/>
                <w:color w:val="000000"/>
                <w:sz w:val="21"/>
                <w:szCs w:val="21"/>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3.5（6）</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b w:val="0"/>
                <w:bCs w:val="0"/>
                <w:color w:val="000000"/>
                <w:sz w:val="21"/>
                <w:szCs w:val="21"/>
                <w:highlight w:val="none"/>
              </w:rPr>
            </w:pPr>
            <w:r>
              <w:rPr>
                <w:rFonts w:hint="eastAsia" w:cs="宋体" w:asciiTheme="minorEastAsia" w:hAnsiTheme="minorEastAsia" w:eastAsiaTheme="minorEastAsia"/>
                <w:b w:val="0"/>
                <w:bCs w:val="0"/>
                <w:color w:val="000000"/>
                <w:sz w:val="21"/>
                <w:szCs w:val="21"/>
                <w:highlight w:val="none"/>
              </w:rPr>
              <w:t>承担本项目的主要人员要求证明材料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b w:val="0"/>
                <w:bCs w:val="0"/>
                <w:sz w:val="21"/>
                <w:szCs w:val="21"/>
                <w:highlight w:val="none"/>
              </w:rPr>
            </w:pPr>
            <w:r>
              <w:rPr>
                <w:rFonts w:hint="eastAsia" w:cs="宋体" w:asciiTheme="minorEastAsia" w:hAnsiTheme="minorEastAsia" w:eastAsiaTheme="minorEastAsia"/>
                <w:b w:val="0"/>
                <w:bCs w:val="0"/>
                <w:color w:val="000000"/>
                <w:sz w:val="21"/>
                <w:szCs w:val="21"/>
                <w:highlight w:val="none"/>
              </w:rPr>
              <w:sym w:font="Wingdings 2" w:char="00A3"/>
            </w:r>
            <w:r>
              <w:rPr>
                <w:rFonts w:cs="宋体" w:asciiTheme="minorEastAsia" w:hAnsiTheme="minorEastAsia" w:eastAsiaTheme="minorEastAsia"/>
                <w:b w:val="0"/>
                <w:bCs w:val="0"/>
                <w:color w:val="000000"/>
                <w:sz w:val="21"/>
                <w:szCs w:val="21"/>
                <w:highlight w:val="none"/>
              </w:rPr>
              <w:t xml:space="preserve"> </w:t>
            </w:r>
            <w:r>
              <w:rPr>
                <w:rFonts w:hint="eastAsia" w:cs="宋体" w:asciiTheme="minorEastAsia" w:hAnsiTheme="minorEastAsia" w:eastAsiaTheme="minorEastAsia"/>
                <w:b w:val="0"/>
                <w:bCs w:val="0"/>
                <w:color w:val="000000"/>
                <w:sz w:val="21"/>
                <w:szCs w:val="21"/>
                <w:highlight w:val="none"/>
                <w:lang w:eastAsia="zh-CN"/>
              </w:rPr>
              <w:t>不</w:t>
            </w:r>
            <w:r>
              <w:rPr>
                <w:rFonts w:hint="eastAsia" w:cs="宋体" w:asciiTheme="minorEastAsia" w:hAnsiTheme="minorEastAsia" w:eastAsiaTheme="minorEastAsia"/>
                <w:b w:val="0"/>
                <w:bCs w:val="0"/>
                <w:color w:val="000000"/>
                <w:sz w:val="21"/>
                <w:szCs w:val="21"/>
                <w:highlight w:val="none"/>
              </w:rPr>
              <w:t xml:space="preserve">适用。                   </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其他要求的证明材料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 xml:space="preserve">  无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3.5（8）</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供应商不存在第一章3.1款情形的证明材料</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bCs/>
                <w:color w:val="000000"/>
                <w:sz w:val="21"/>
                <w:szCs w:val="21"/>
                <w:highlight w:val="none"/>
              </w:rPr>
              <w:sym w:font="Wingdings 2" w:char="0052"/>
            </w:r>
            <w:r>
              <w:rPr>
                <w:rFonts w:hint="eastAsia" w:cs="宋体" w:asciiTheme="minorEastAsia" w:hAnsiTheme="minorEastAsia" w:eastAsiaTheme="minorEastAsia"/>
                <w:b/>
                <w:bCs/>
                <w:color w:val="000000"/>
                <w:sz w:val="21"/>
                <w:szCs w:val="21"/>
                <w:highlight w:val="none"/>
              </w:rPr>
              <w:t>需要提供证明材料</w:t>
            </w:r>
            <w:r>
              <w:rPr>
                <w:rFonts w:hint="eastAsia" w:cs="宋体" w:asciiTheme="minorEastAsia" w:hAnsiTheme="minorEastAsia" w:eastAsiaTheme="minorEastAsia"/>
                <w:color w:val="000000"/>
                <w:sz w:val="21"/>
                <w:szCs w:val="21"/>
                <w:highlight w:val="none"/>
              </w:rPr>
              <w:t>，包括：</w:t>
            </w:r>
            <w:r>
              <w:rPr>
                <w:rFonts w:hint="eastAsia" w:cs="宋体" w:asciiTheme="minorEastAsia" w:hAnsiTheme="minorEastAsia" w:eastAsiaTheme="minorEastAsia"/>
                <w:color w:val="000000"/>
                <w:sz w:val="21"/>
                <w:szCs w:val="21"/>
                <w:highlight w:val="none"/>
                <w:u w:val="single"/>
              </w:rPr>
              <w:t>提供承诺函</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对关键条款进行响应的证据或证明材料要求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 xml:space="preserve">  无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3.6.2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响应方案数量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供应商只能提出唯一响应方案</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3.7.5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响应文件及电子版要求</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cs="宋体" w:asciiTheme="minorEastAsia" w:hAnsiTheme="minorEastAsia" w:eastAsiaTheme="minorEastAsia"/>
                <w:b/>
                <w:bCs/>
                <w:color w:val="000000"/>
                <w:sz w:val="21"/>
                <w:szCs w:val="21"/>
                <w:highlight w:val="none"/>
              </w:rPr>
            </w:pPr>
            <w:r>
              <w:rPr>
                <w:rFonts w:hint="eastAsia" w:cs="宋体" w:asciiTheme="minorEastAsia" w:hAnsiTheme="minorEastAsia" w:eastAsiaTheme="minorEastAsia"/>
                <w:color w:val="000000"/>
                <w:sz w:val="21"/>
                <w:szCs w:val="21"/>
                <w:highlight w:val="none"/>
              </w:rPr>
              <w:t>提供纸质版响应文件三</w:t>
            </w:r>
            <w:r>
              <w:rPr>
                <w:rFonts w:hint="eastAsia" w:cs="宋体" w:asciiTheme="minorEastAsia" w:hAnsiTheme="minorEastAsia" w:eastAsiaTheme="minorEastAsia"/>
                <w:b w:val="0"/>
                <w:bCs w:val="0"/>
                <w:color w:val="000000"/>
                <w:sz w:val="21"/>
                <w:szCs w:val="21"/>
                <w:highlight w:val="none"/>
              </w:rPr>
              <w:t>份：</w:t>
            </w:r>
            <w:r>
              <w:rPr>
                <w:rFonts w:hint="eastAsia" w:cs="宋体" w:asciiTheme="minorEastAsia" w:hAnsiTheme="minorEastAsia" w:eastAsiaTheme="minorEastAsia"/>
                <w:b/>
                <w:bCs/>
                <w:color w:val="000000"/>
                <w:sz w:val="21"/>
                <w:szCs w:val="21"/>
                <w:highlight w:val="none"/>
              </w:rPr>
              <w:t>一正两副</w:t>
            </w:r>
          </w:p>
          <w:p>
            <w:pPr>
              <w:spacing w:line="288" w:lineRule="auto"/>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是否要求提供电子版响应文件：</w:t>
            </w: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要求，提供电子版响应文件壹份（U盘）</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响应文件的密封</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响应文件须密封包装，并在封套的封口处加盖供应商单位章。</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4.1.2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封套上应载明的信息</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适用，供应商名称、</w:t>
            </w:r>
            <w:r>
              <w:rPr>
                <w:rFonts w:hint="eastAsia" w:cs="宋体" w:asciiTheme="minorEastAsia" w:hAnsiTheme="minorEastAsia" w:eastAsiaTheme="minorEastAsia"/>
                <w:color w:val="000000"/>
                <w:sz w:val="21"/>
                <w:szCs w:val="21"/>
                <w:highlight w:val="none"/>
                <w:u w:val="single"/>
              </w:rPr>
              <w:t xml:space="preserve">（项目名称）响应文件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4.2.1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递交响应文件截止时间和地点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截止</w:t>
            </w:r>
            <w:r>
              <w:rPr>
                <w:rFonts w:hint="eastAsia" w:cs="宋体" w:asciiTheme="minorEastAsia" w:hAnsiTheme="minorEastAsia" w:eastAsiaTheme="minorEastAsia"/>
                <w:sz w:val="21"/>
                <w:szCs w:val="21"/>
                <w:highlight w:val="none"/>
              </w:rPr>
              <w:t>时间：</w:t>
            </w:r>
            <w:r>
              <w:rPr>
                <w:rFonts w:hint="eastAsia" w:cs="宋体" w:asciiTheme="minorEastAsia" w:hAnsiTheme="minorEastAsia" w:eastAsiaTheme="minorEastAsia"/>
                <w:sz w:val="21"/>
                <w:szCs w:val="21"/>
                <w:highlight w:val="none"/>
                <w:u w:val="single"/>
              </w:rPr>
              <w:t xml:space="preserve"> 2022年</w:t>
            </w:r>
            <w:r>
              <w:rPr>
                <w:rFonts w:hint="eastAsia" w:cs="宋体" w:asciiTheme="minorEastAsia" w:hAnsiTheme="minorEastAsia" w:eastAsiaTheme="minorEastAsia"/>
                <w:sz w:val="21"/>
                <w:szCs w:val="21"/>
                <w:highlight w:val="none"/>
                <w:u w:val="single"/>
                <w:lang w:val="en-US" w:eastAsia="zh-CN"/>
              </w:rPr>
              <w:t>8</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u w:val="single"/>
                <w:lang w:val="en-US" w:eastAsia="zh-CN"/>
              </w:rPr>
              <w:t>23</w:t>
            </w:r>
            <w:r>
              <w:rPr>
                <w:rFonts w:hint="eastAsia" w:cs="宋体" w:asciiTheme="minorEastAsia" w:hAnsiTheme="minorEastAsia" w:eastAsiaTheme="minorEastAsia"/>
                <w:sz w:val="21"/>
                <w:szCs w:val="21"/>
                <w:highlight w:val="none"/>
                <w:u w:val="single"/>
              </w:rPr>
              <w:t>日</w:t>
            </w:r>
            <w:r>
              <w:rPr>
                <w:rFonts w:hint="eastAsia" w:cs="宋体" w:asciiTheme="minorEastAsia" w:hAnsiTheme="minorEastAsia" w:eastAsiaTheme="minorEastAsia"/>
                <w:sz w:val="21"/>
                <w:szCs w:val="21"/>
                <w:highlight w:val="none"/>
                <w:u w:val="single"/>
                <w:lang w:val="en-US" w:eastAsia="zh-CN"/>
              </w:rPr>
              <w:t>10</w:t>
            </w:r>
            <w:r>
              <w:rPr>
                <w:rFonts w:hint="eastAsia" w:cs="宋体" w:asciiTheme="minorEastAsia" w:hAnsiTheme="minorEastAsia" w:eastAsiaTheme="minorEastAsia"/>
                <w:sz w:val="21"/>
                <w:szCs w:val="21"/>
                <w:highlight w:val="none"/>
                <w:u w:val="single"/>
              </w:rPr>
              <w:t>时</w:t>
            </w:r>
            <w:r>
              <w:rPr>
                <w:rFonts w:hint="eastAsia" w:cs="宋体" w:asciiTheme="minorEastAsia" w:hAnsiTheme="minorEastAsia" w:eastAsiaTheme="minorEastAsia"/>
                <w:sz w:val="21"/>
                <w:szCs w:val="21"/>
                <w:highlight w:val="none"/>
                <w:u w:val="single"/>
                <w:lang w:val="en-US" w:eastAsia="zh-CN"/>
              </w:rPr>
              <w:t>00</w:t>
            </w:r>
            <w:r>
              <w:rPr>
                <w:rFonts w:hint="eastAsia" w:cs="宋体" w:asciiTheme="minorEastAsia" w:hAnsiTheme="minorEastAsia" w:eastAsiaTheme="minorEastAsia"/>
                <w:sz w:val="21"/>
                <w:szCs w:val="21"/>
                <w:highlight w:val="none"/>
                <w:u w:val="single"/>
              </w:rPr>
              <w:t xml:space="preserve">分        </w:t>
            </w:r>
            <w:r>
              <w:rPr>
                <w:rFonts w:hint="eastAsia" w:cs="宋体" w:asciiTheme="minorEastAsia" w:hAnsiTheme="minorEastAsia" w:eastAsiaTheme="minorEastAsia"/>
                <w:color w:val="000000"/>
                <w:sz w:val="21"/>
                <w:szCs w:val="21"/>
                <w:highlight w:val="none"/>
                <w:u w:val="single"/>
              </w:rPr>
              <w:t xml:space="preserve">          </w:t>
            </w:r>
          </w:p>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递交响应文件的地点：</w:t>
            </w:r>
            <w:r>
              <w:rPr>
                <w:rFonts w:hint="eastAsia" w:cs="宋体" w:asciiTheme="minorEastAsia" w:hAnsiTheme="minorEastAsia" w:eastAsiaTheme="minorEastAsia"/>
                <w:color w:val="000000"/>
                <w:sz w:val="21"/>
                <w:szCs w:val="21"/>
                <w:highlight w:val="none"/>
                <w:u w:val="single"/>
              </w:rPr>
              <w:t xml:space="preserve"> </w:t>
            </w:r>
            <w:r>
              <w:rPr>
                <w:rFonts w:hint="eastAsia" w:asciiTheme="minorEastAsia" w:hAnsiTheme="minorEastAsia" w:eastAsiaTheme="minorEastAsia"/>
                <w:snapToGrid w:val="0"/>
                <w:sz w:val="21"/>
                <w:szCs w:val="21"/>
                <w:highlight w:val="none"/>
                <w:u w:val="single"/>
              </w:rPr>
              <w:t>长沙集星集装箱码头有限公司319室</w:t>
            </w:r>
            <w:r>
              <w:rPr>
                <w:rFonts w:hint="eastAsia" w:cs="宋体" w:asciiTheme="minorEastAsia" w:hAnsiTheme="minorEastAsia" w:eastAsiaTheme="minorEastAsia"/>
                <w:color w:val="000000"/>
                <w:sz w:val="21"/>
                <w:szCs w:val="21"/>
                <w:highlight w:val="none"/>
                <w:u w:val="single"/>
              </w:rPr>
              <w:t xml:space="preserve">  </w:t>
            </w:r>
            <w:r>
              <w:rPr>
                <w:rFonts w:hint="eastAsia" w:cs="宋体" w:asciiTheme="minorEastAsia" w:hAnsiTheme="minorEastAsia" w:eastAsiaTheme="minorEastAsia"/>
                <w:color w:val="000000"/>
                <w:sz w:val="21"/>
                <w:szCs w:val="21"/>
                <w:highlight w:val="none"/>
              </w:rPr>
              <w:t xml:space="preserve">                  </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湖南省港务集团有限公司602开标室</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 xml:space="preserve">   随机 </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 xml:space="preserve">     </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评标小组构成：3人。</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评审专家确定方式：采购代表1人，在湖南省港务集团有限公司综合评标专家库中随机抽取2人。</w:t>
            </w:r>
          </w:p>
        </w:tc>
      </w:tr>
      <w:tr>
        <w:tblPrEx>
          <w:tblCellMar>
            <w:top w:w="0" w:type="dxa"/>
            <w:left w:w="108" w:type="dxa"/>
            <w:bottom w:w="0" w:type="dxa"/>
            <w:right w:w="108" w:type="dxa"/>
          </w:tblCellMar>
        </w:tblPrEx>
        <w:trPr>
          <w:trHeight w:val="65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3个，并标明推荐顺序。</w:t>
            </w:r>
          </w:p>
        </w:tc>
      </w:tr>
      <w:tr>
        <w:tblPrEx>
          <w:tblCellMar>
            <w:top w:w="0" w:type="dxa"/>
            <w:left w:w="108" w:type="dxa"/>
            <w:bottom w:w="0" w:type="dxa"/>
            <w:right w:w="108" w:type="dxa"/>
          </w:tblCellMar>
        </w:tblPrEx>
        <w:trPr>
          <w:trHeight w:val="983"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推荐成交候选供应商的排序及数量</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排序</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数量：</w:t>
            </w:r>
            <w:r>
              <w:rPr>
                <w:rFonts w:hint="eastAsia" w:cs="宋体" w:asciiTheme="minorEastAsia" w:hAnsiTheme="minorEastAsia" w:eastAsiaTheme="minorEastAsia"/>
                <w:color w:val="000000"/>
                <w:sz w:val="21"/>
                <w:szCs w:val="21"/>
                <w:u w:val="none"/>
              </w:rPr>
              <w:t xml:space="preserve"> 2-3 家  </w:t>
            </w:r>
          </w:p>
        </w:tc>
      </w:tr>
      <w:tr>
        <w:tblPrEx>
          <w:tblCellMar>
            <w:top w:w="0" w:type="dxa"/>
            <w:left w:w="108" w:type="dxa"/>
            <w:bottom w:w="0" w:type="dxa"/>
            <w:right w:w="108" w:type="dxa"/>
          </w:tblCellMar>
        </w:tblPrEx>
        <w:trPr>
          <w:trHeight w:val="195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成交候选供应商公示</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highlight w:val="none"/>
              </w:rPr>
              <w:t>公示媒介：</w:t>
            </w:r>
            <w:r>
              <w:rPr>
                <w:rFonts w:hint="eastAsia" w:ascii="宋体" w:hAnsi="宋体" w:cs="宋体"/>
                <w:sz w:val="21"/>
                <w:szCs w:val="21"/>
                <w:highlight w:val="none"/>
              </w:rPr>
              <w:t>中国招标投标公共服务平台（http：//www.cebpubservice.com）、湖南省湘水集团有限公司网站（http：//www.hnsxsjt.com）、</w:t>
            </w:r>
            <w:r>
              <w:rPr>
                <w:rFonts w:hint="eastAsia" w:ascii="宋体" w:hAnsi="宋体" w:cs="宋体"/>
                <w:sz w:val="21"/>
                <w:szCs w:val="21"/>
                <w:highlight w:val="none"/>
                <w:u w:val="none"/>
              </w:rPr>
              <w:t>湖南省港务集团有限公司（http://www.hnsgwjt.com）上发布。</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rPr>
              <w:t>3个工作日</w:t>
            </w:r>
          </w:p>
        </w:tc>
      </w:tr>
      <w:tr>
        <w:tblPrEx>
          <w:tblCellMar>
            <w:top w:w="0" w:type="dxa"/>
            <w:left w:w="108" w:type="dxa"/>
            <w:bottom w:w="0" w:type="dxa"/>
            <w:right w:w="108" w:type="dxa"/>
          </w:tblCellMar>
        </w:tblPrEx>
        <w:trPr>
          <w:trHeight w:val="348"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30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FF0000"/>
                <w:sz w:val="21"/>
                <w:szCs w:val="21"/>
                <w:highlight w:val="yellow"/>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u w:val="single"/>
              </w:rPr>
              <w:t xml:space="preserve"> 长沙集星集装箱码头党政办公室   </w:t>
            </w:r>
          </w:p>
          <w:p>
            <w:pPr>
              <w:spacing w:line="288" w:lineRule="auto"/>
              <w:jc w:val="both"/>
              <w:rPr>
                <w:sz w:val="21"/>
                <w:szCs w:val="21"/>
                <w:highlight w:val="yellow"/>
                <w:lang w:val="zh-CN"/>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u w:val="single"/>
              </w:rPr>
              <w:t xml:space="preserve"> </w:t>
            </w:r>
            <w:r>
              <w:rPr>
                <w:rFonts w:cs="宋体" w:asciiTheme="minorEastAsia" w:hAnsiTheme="minorEastAsia" w:eastAsiaTheme="minorEastAsia"/>
                <w:color w:val="000000"/>
                <w:sz w:val="21"/>
                <w:szCs w:val="21"/>
                <w:u w:val="single"/>
                <w:lang w:val="zh-CN"/>
              </w:rPr>
              <w:t>13507318311</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u w:val="single"/>
              </w:rPr>
              <w:t>湖南省长沙市开福区新港路8</w:t>
            </w:r>
            <w:r>
              <w:rPr>
                <w:rFonts w:cs="宋体" w:asciiTheme="minorEastAsia" w:hAnsiTheme="minorEastAsia" w:eastAsiaTheme="minorEastAsia"/>
                <w:color w:val="000000"/>
                <w:sz w:val="21"/>
                <w:szCs w:val="21"/>
                <w:u w:val="single"/>
              </w:rPr>
              <w:t>0</w:t>
            </w:r>
            <w:r>
              <w:rPr>
                <w:rFonts w:hint="eastAsia" w:cs="宋体" w:asciiTheme="minorEastAsia" w:hAnsiTheme="minorEastAsia" w:eastAsiaTheme="minorEastAsia"/>
                <w:color w:val="000000"/>
                <w:sz w:val="21"/>
                <w:szCs w:val="21"/>
                <w:u w:val="single"/>
              </w:rPr>
              <w:t xml:space="preserve">号  </w:t>
            </w:r>
          </w:p>
        </w:tc>
      </w:tr>
      <w:tr>
        <w:tblPrEx>
          <w:tblCellMar>
            <w:top w:w="0" w:type="dxa"/>
            <w:left w:w="108" w:type="dxa"/>
            <w:bottom w:w="0" w:type="dxa"/>
            <w:right w:w="108" w:type="dxa"/>
          </w:tblCellMar>
        </w:tblPrEx>
        <w:trPr>
          <w:trHeight w:val="36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1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568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华文中宋" w:hAnsi="华文中宋" w:eastAsia="华文中宋" w:cs="仿宋"/>
          <w:b/>
          <w:bCs/>
          <w:sz w:val="30"/>
          <w:szCs w:val="30"/>
        </w:rPr>
        <w:t>第二章 供应商须知正文</w:t>
      </w:r>
    </w:p>
    <w:p>
      <w:pPr>
        <w:pStyle w:val="3"/>
        <w:spacing w:before="0" w:beforeAutospacing="0" w:after="0" w:afterAutospacing="0"/>
        <w:rPr>
          <w:rFonts w:cs="仿宋"/>
          <w:bCs w:val="0"/>
          <w:sz w:val="24"/>
        </w:rPr>
      </w:pPr>
      <w:bookmarkStart w:id="23" w:name="_Toc106039335"/>
      <w:r>
        <w:rPr>
          <w:rFonts w:hint="eastAsia" w:cs="仿宋"/>
          <w:bCs w:val="0"/>
          <w:sz w:val="24"/>
        </w:rPr>
        <w:t>1 总则</w:t>
      </w:r>
      <w:bookmarkEnd w:id="23"/>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7"/>
        <w:spacing w:beforeLines="0" w:afterLines="0" w:line="312" w:lineRule="auto"/>
        <w:ind w:left="426" w:firstLine="48" w:firstLineChars="20"/>
        <w:jc w:val="both"/>
        <w:outlineLvl w:val="9"/>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pStyle w:val="3"/>
        <w:spacing w:before="0" w:beforeAutospacing="0" w:after="0" w:afterAutospacing="0"/>
        <w:rPr>
          <w:rFonts w:cs="仿宋"/>
          <w:bCs w:val="0"/>
          <w:sz w:val="24"/>
        </w:rPr>
      </w:pPr>
      <w:bookmarkStart w:id="24" w:name="_Toc106039336"/>
      <w:r>
        <w:rPr>
          <w:rFonts w:hint="eastAsia" w:cs="仿宋"/>
          <w:bCs w:val="0"/>
          <w:sz w:val="24"/>
        </w:rPr>
        <w:t>2采购文件</w:t>
      </w:r>
      <w:bookmarkEnd w:id="24"/>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pStyle w:val="3"/>
        <w:spacing w:before="0" w:beforeAutospacing="0" w:after="0" w:afterAutospacing="0"/>
        <w:rPr>
          <w:rFonts w:cs="仿宋"/>
          <w:bCs w:val="0"/>
          <w:sz w:val="24"/>
        </w:rPr>
      </w:pPr>
      <w:bookmarkStart w:id="25" w:name="_Toc106039337"/>
      <w:r>
        <w:rPr>
          <w:rFonts w:hint="eastAsia" w:cs="仿宋"/>
          <w:bCs w:val="0"/>
          <w:sz w:val="24"/>
        </w:rPr>
        <w:t>3响应文件</w:t>
      </w:r>
      <w:bookmarkEnd w:id="25"/>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pStyle w:val="3"/>
        <w:spacing w:before="0" w:beforeAutospacing="0" w:after="0" w:afterAutospacing="0"/>
        <w:rPr>
          <w:rFonts w:cs="仿宋"/>
          <w:bCs w:val="0"/>
          <w:sz w:val="24"/>
        </w:rPr>
      </w:pPr>
      <w:bookmarkStart w:id="26" w:name="_Toc106039338"/>
      <w:r>
        <w:rPr>
          <w:rFonts w:hint="eastAsia" w:cs="仿宋"/>
          <w:bCs w:val="0"/>
          <w:sz w:val="24"/>
        </w:rPr>
        <w:t>4响应文件的递交</w:t>
      </w:r>
      <w:bookmarkEnd w:id="26"/>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pStyle w:val="3"/>
        <w:spacing w:before="0" w:beforeAutospacing="0" w:after="0" w:afterAutospacing="0"/>
        <w:rPr>
          <w:rFonts w:cs="仿宋"/>
          <w:bCs w:val="0"/>
          <w:sz w:val="24"/>
        </w:rPr>
      </w:pPr>
      <w:bookmarkStart w:id="27" w:name="_Toc106039339"/>
      <w:r>
        <w:rPr>
          <w:rFonts w:hint="eastAsia" w:cs="仿宋"/>
          <w:bCs w:val="0"/>
          <w:sz w:val="24"/>
        </w:rPr>
        <w:t>5开启响应文件</w:t>
      </w:r>
      <w:bookmarkEnd w:id="27"/>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pStyle w:val="3"/>
        <w:spacing w:before="0" w:beforeAutospacing="0" w:after="0" w:afterAutospacing="0"/>
        <w:rPr>
          <w:rFonts w:cs="仿宋"/>
          <w:bCs w:val="0"/>
          <w:sz w:val="24"/>
        </w:rPr>
      </w:pPr>
      <w:bookmarkStart w:id="28" w:name="_Toc106039340"/>
      <w:r>
        <w:rPr>
          <w:rFonts w:hint="eastAsia" w:cs="仿宋"/>
          <w:bCs w:val="0"/>
          <w:sz w:val="24"/>
        </w:rPr>
        <w:t>6评审（适用于询价采购）</w:t>
      </w:r>
      <w:bookmarkEnd w:id="28"/>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pStyle w:val="3"/>
        <w:spacing w:before="0" w:beforeAutospacing="0" w:after="0" w:afterAutospacing="0"/>
        <w:rPr>
          <w:rFonts w:cs="仿宋"/>
          <w:bCs w:val="0"/>
          <w:sz w:val="24"/>
        </w:rPr>
      </w:pPr>
      <w:bookmarkStart w:id="29" w:name="_Toc106039341"/>
      <w:r>
        <w:rPr>
          <w:rFonts w:hint="eastAsia" w:cs="仿宋"/>
          <w:bCs w:val="0"/>
          <w:sz w:val="24"/>
        </w:rPr>
        <w:t>7合同授予</w:t>
      </w:r>
      <w:bookmarkEnd w:id="29"/>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30" w:name="_Toc24135"/>
      <w:r>
        <w:rPr>
          <w:rFonts w:hint="eastAsia" w:ascii="宋体" w:hAnsi="宋体" w:cs="宋体"/>
          <w:b/>
          <w:bCs/>
          <w:sz w:val="24"/>
        </w:rPr>
        <w:t>7.3成交结果异议</w:t>
      </w:r>
      <w:bookmarkEnd w:id="30"/>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pStyle w:val="3"/>
        <w:spacing w:before="0" w:beforeAutospacing="0" w:after="0" w:afterAutospacing="0"/>
        <w:rPr>
          <w:rFonts w:cs="仿宋"/>
          <w:bCs w:val="0"/>
          <w:sz w:val="24"/>
        </w:rPr>
      </w:pPr>
      <w:bookmarkStart w:id="31" w:name="_Toc106039342"/>
      <w:r>
        <w:rPr>
          <w:rFonts w:hint="eastAsia" w:cs="仿宋"/>
          <w:bCs w:val="0"/>
          <w:sz w:val="24"/>
        </w:rPr>
        <w:t>8异议</w:t>
      </w:r>
      <w:bookmarkEnd w:id="31"/>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pStyle w:val="3"/>
        <w:spacing w:before="0" w:beforeAutospacing="0" w:after="0" w:afterAutospacing="0"/>
        <w:rPr>
          <w:rFonts w:cs="仿宋"/>
          <w:bCs w:val="0"/>
          <w:sz w:val="24"/>
        </w:rPr>
      </w:pPr>
      <w:bookmarkStart w:id="32" w:name="_Toc106039343"/>
      <w:r>
        <w:rPr>
          <w:rFonts w:hint="eastAsia" w:cs="仿宋"/>
          <w:bCs w:val="0"/>
          <w:sz w:val="24"/>
        </w:rPr>
        <w:t>9纪律要求</w:t>
      </w:r>
      <w:bookmarkEnd w:id="32"/>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pStyle w:val="3"/>
        <w:spacing w:before="0" w:beforeAutospacing="0" w:after="0" w:afterAutospacing="0"/>
        <w:rPr>
          <w:rFonts w:cs="仿宋"/>
          <w:bCs w:val="0"/>
          <w:sz w:val="24"/>
        </w:rPr>
      </w:pPr>
      <w:bookmarkStart w:id="33" w:name="_Toc106039344"/>
      <w:r>
        <w:rPr>
          <w:rFonts w:hint="eastAsia" w:cs="仿宋"/>
          <w:bCs w:val="0"/>
          <w:sz w:val="24"/>
        </w:rPr>
        <w:t>10</w:t>
      </w:r>
      <w:r>
        <w:rPr>
          <w:rFonts w:cs="仿宋"/>
          <w:bCs w:val="0"/>
          <w:sz w:val="24"/>
        </w:rPr>
        <w:t xml:space="preserve"> </w:t>
      </w:r>
      <w:r>
        <w:rPr>
          <w:rFonts w:hint="eastAsia" w:cs="仿宋"/>
          <w:bCs w:val="0"/>
          <w:sz w:val="24"/>
        </w:rPr>
        <w:t>需要补充的其他内容</w:t>
      </w:r>
      <w:bookmarkEnd w:id="33"/>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pStyle w:val="3"/>
        <w:rPr>
          <w:rFonts w:cs="仿宋"/>
          <w:sz w:val="30"/>
          <w:szCs w:val="30"/>
        </w:rPr>
      </w:pPr>
      <w:bookmarkStart w:id="34" w:name="_Toc106039345"/>
      <w:r>
        <w:rPr>
          <w:rFonts w:hint="eastAsia" w:cs="仿宋"/>
          <w:sz w:val="30"/>
          <w:szCs w:val="30"/>
        </w:rPr>
        <w:t>附件1  开启记录表</w:t>
      </w:r>
      <w:bookmarkEnd w:id="34"/>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pStyle w:val="3"/>
        <w:rPr>
          <w:rFonts w:cs="仿宋"/>
          <w:sz w:val="30"/>
          <w:szCs w:val="30"/>
        </w:rPr>
      </w:pPr>
      <w:bookmarkStart w:id="35" w:name="_Toc106039346"/>
      <w:r>
        <w:rPr>
          <w:rFonts w:hint="eastAsia" w:cs="仿宋"/>
          <w:sz w:val="30"/>
          <w:szCs w:val="30"/>
        </w:rPr>
        <w:t>附件2  问题澄清通知</w:t>
      </w:r>
      <w:bookmarkEnd w:id="35"/>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36" w:name="_Toc106039347"/>
      <w:r>
        <w:rPr>
          <w:rFonts w:hint="eastAsia" w:cs="仿宋"/>
          <w:sz w:val="30"/>
          <w:szCs w:val="30"/>
        </w:rPr>
        <w:t>附件3  问题的澄清</w:t>
      </w:r>
      <w:bookmarkEnd w:id="36"/>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pStyle w:val="3"/>
        <w:rPr>
          <w:rFonts w:cs="仿宋"/>
          <w:sz w:val="30"/>
          <w:szCs w:val="30"/>
        </w:rPr>
      </w:pPr>
      <w:bookmarkStart w:id="37" w:name="_Toc106039348"/>
      <w:r>
        <w:rPr>
          <w:rFonts w:hint="eastAsia" w:cs="仿宋"/>
          <w:sz w:val="30"/>
          <w:szCs w:val="30"/>
        </w:rPr>
        <w:t>附件4  成交通知书</w:t>
      </w:r>
      <w:bookmarkEnd w:id="37"/>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38" w:name="_Toc106039349"/>
      <w:r>
        <w:rPr>
          <w:rFonts w:hint="eastAsia" w:cs="仿宋"/>
          <w:sz w:val="30"/>
          <w:szCs w:val="30"/>
        </w:rPr>
        <w:t>附件5  确认通知</w:t>
      </w:r>
      <w:bookmarkEnd w:id="38"/>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2"/>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pStyle w:val="2"/>
        <w:spacing w:before="0" w:after="0"/>
        <w:jc w:val="center"/>
        <w:rPr>
          <w:rFonts w:ascii="黑体" w:hAnsi="黑体" w:eastAsia="黑体" w:cs="仿宋"/>
          <w:bCs w:val="0"/>
          <w:sz w:val="36"/>
          <w:szCs w:val="36"/>
        </w:rPr>
      </w:pPr>
      <w:bookmarkStart w:id="39" w:name="_Toc106039350"/>
      <w:bookmarkStart w:id="40" w:name="_Toc76635709"/>
      <w:bookmarkStart w:id="41" w:name="_Toc77254130"/>
      <w:r>
        <w:rPr>
          <w:rFonts w:hint="eastAsia" w:ascii="黑体" w:hAnsi="黑体" w:eastAsia="黑体" w:cs="仿宋"/>
          <w:bCs w:val="0"/>
          <w:sz w:val="36"/>
          <w:szCs w:val="36"/>
        </w:rPr>
        <w:t>第三章 评审办法</w:t>
      </w:r>
      <w:bookmarkEnd w:id="39"/>
    </w:p>
    <w:p>
      <w:pPr>
        <w:pStyle w:val="3"/>
        <w:spacing w:before="0" w:beforeAutospacing="0" w:after="0" w:afterAutospacing="0"/>
        <w:jc w:val="center"/>
        <w:rPr>
          <w:rFonts w:ascii="黑体" w:hAnsi="黑体" w:eastAsia="黑体" w:cs="仿宋"/>
          <w:bCs w:val="0"/>
          <w:sz w:val="32"/>
          <w:szCs w:val="32"/>
        </w:rPr>
      </w:pPr>
      <w:bookmarkStart w:id="42" w:name="_Toc106039351"/>
      <w:r>
        <w:rPr>
          <w:rFonts w:hint="eastAsia" w:ascii="黑体" w:hAnsi="黑体" w:eastAsia="黑体" w:cs="仿宋"/>
          <w:bCs w:val="0"/>
          <w:sz w:val="32"/>
          <w:szCs w:val="32"/>
        </w:rPr>
        <w:t>评审办法前附表</w:t>
      </w:r>
      <w:bookmarkEnd w:id="42"/>
    </w:p>
    <w:tbl>
      <w:tblPr>
        <w:tblStyle w:val="4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55"/>
        <w:gridCol w:w="1602"/>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60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9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5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49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55"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采购要求</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9"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155"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55" w:type="dxa"/>
          </w:tcPr>
          <w:p>
            <w:pPr>
              <w:widowControl/>
              <w:adjustRightInd w:val="0"/>
              <w:snapToGrid w:val="0"/>
              <w:spacing w:line="288" w:lineRule="auto"/>
              <w:jc w:val="both"/>
              <w:rPr>
                <w:rFonts w:cs="仿宋" w:asciiTheme="minorEastAsia" w:hAnsiTheme="minorEastAsia" w:eastAsiaTheme="minorEastAsia"/>
                <w:szCs w:val="21"/>
              </w:rPr>
            </w:pPr>
          </w:p>
        </w:tc>
        <w:tc>
          <w:tcPr>
            <w:tcW w:w="16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59"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829"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75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9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829" w:type="dxa"/>
          </w:tcPr>
          <w:p>
            <w:pPr>
              <w:widowControl w:val="0"/>
              <w:adjustRightInd w:val="0"/>
              <w:snapToGrid w:val="0"/>
              <w:spacing w:line="288" w:lineRule="auto"/>
              <w:jc w:val="both"/>
              <w:rPr>
                <w:rFonts w:cs="仿宋" w:asciiTheme="minorEastAsia" w:hAnsiTheme="minorEastAsia" w:eastAsiaTheme="minorEastAsia"/>
                <w:szCs w:val="21"/>
              </w:rPr>
            </w:pPr>
          </w:p>
        </w:tc>
        <w:tc>
          <w:tcPr>
            <w:tcW w:w="2757" w:type="dxa"/>
            <w:gridSpan w:val="2"/>
            <w:vAlign w:val="center"/>
          </w:tcPr>
          <w:p>
            <w:pPr>
              <w:widowControl w:val="0"/>
              <w:spacing w:line="288" w:lineRule="auto"/>
              <w:jc w:val="center"/>
              <w:rPr>
                <w:rFonts w:hint="eastAsia" w:asciiTheme="minorEastAsia" w:hAnsiTheme="minorEastAsia" w:eastAsiaTheme="minorEastAsia"/>
                <w:szCs w:val="21"/>
                <w:lang w:eastAsia="zh-CN"/>
              </w:rPr>
            </w:pPr>
            <w:r>
              <w:rPr>
                <w:rFonts w:hint="eastAsia" w:ascii="宋体" w:hAnsi="宋体" w:cs="宋体"/>
                <w:szCs w:val="21"/>
              </w:rPr>
              <w:t>报价</w:t>
            </w:r>
          </w:p>
        </w:tc>
        <w:tc>
          <w:tcPr>
            <w:tcW w:w="4973" w:type="dxa"/>
            <w:vAlign w:val="center"/>
          </w:tcPr>
          <w:p>
            <w:pPr>
              <w:widowControl w:val="0"/>
              <w:adjustRightInd w:val="0"/>
              <w:snapToGrid w:val="0"/>
              <w:spacing w:line="288" w:lineRule="auto"/>
              <w:jc w:val="both"/>
              <w:rPr>
                <w:rFonts w:hint="eastAsia" w:ascii="宋体" w:hAnsi="宋体" w:eastAsia="宋体" w:cs="宋体"/>
                <w:szCs w:val="21"/>
                <w:lang w:eastAsia="zh-CN"/>
              </w:rPr>
            </w:pPr>
            <w:r>
              <w:rPr>
                <w:rFonts w:hint="eastAsia" w:ascii="宋体" w:hAnsi="宋体" w:cs="宋体"/>
                <w:szCs w:val="21"/>
                <w:lang w:eastAsia="zh-CN"/>
              </w:rPr>
              <w:t>成交</w:t>
            </w:r>
            <w:r>
              <w:rPr>
                <w:rFonts w:hint="eastAsia" w:ascii="宋体" w:hAnsi="宋体" w:cs="宋体"/>
                <w:szCs w:val="21"/>
              </w:rPr>
              <w:t>候选人确定方式：从合格的报价人当中，按照报价由低到高的顺序确定</w:t>
            </w:r>
            <w:r>
              <w:rPr>
                <w:rFonts w:hint="eastAsia" w:ascii="宋体" w:hAnsi="宋体" w:cs="宋体"/>
                <w:szCs w:val="21"/>
                <w:lang w:eastAsia="zh-CN"/>
              </w:rPr>
              <w:t>成交</w:t>
            </w:r>
            <w:r>
              <w:rPr>
                <w:rFonts w:hint="eastAsia" w:ascii="宋体" w:hAnsi="宋体" w:cs="宋体"/>
                <w:szCs w:val="21"/>
              </w:rPr>
              <w:t>候选人，报价最低者为第一</w:t>
            </w:r>
            <w:r>
              <w:rPr>
                <w:rFonts w:hint="eastAsia" w:ascii="宋体" w:hAnsi="宋体" w:cs="宋体"/>
                <w:szCs w:val="21"/>
                <w:lang w:eastAsia="zh-CN"/>
              </w:rPr>
              <w:t>成交</w:t>
            </w:r>
            <w:r>
              <w:rPr>
                <w:rFonts w:hint="eastAsia" w:ascii="宋体" w:hAnsi="宋体" w:cs="宋体"/>
                <w:szCs w:val="21"/>
              </w:rPr>
              <w:t>候选人</w:t>
            </w:r>
            <w:r>
              <w:rPr>
                <w:rFonts w:hint="eastAsia" w:ascii="宋体" w:hAnsi="宋体" w:cs="宋体"/>
                <w:szCs w:val="21"/>
                <w:lang w:eastAsia="zh-CN"/>
              </w:rPr>
              <w:t>。</w:t>
            </w:r>
          </w:p>
        </w:tc>
      </w:tr>
    </w:tbl>
    <w:p>
      <w:pPr>
        <w:spacing w:line="288" w:lineRule="auto"/>
        <w:jc w:val="both"/>
        <w:rPr>
          <w:rFonts w:ascii="宋体" w:hAnsi="宋体" w:cs="仿宋"/>
          <w:sz w:val="24"/>
        </w:rPr>
      </w:pPr>
      <w:r>
        <w:rPr>
          <w:rFonts w:hint="eastAsia" w:ascii="宋体" w:hAnsi="宋体" w:cs="仿宋"/>
          <w:sz w:val="24"/>
        </w:rPr>
        <w:br w:type="page"/>
      </w:r>
    </w:p>
    <w:p>
      <w:pPr>
        <w:pStyle w:val="3"/>
        <w:spacing w:before="0" w:beforeAutospacing="0" w:after="0" w:afterAutospacing="0"/>
        <w:jc w:val="center"/>
        <w:rPr>
          <w:rFonts w:cs="仿宋"/>
          <w:bCs w:val="0"/>
        </w:rPr>
      </w:pPr>
      <w:bookmarkStart w:id="43" w:name="_Toc106039352"/>
      <w:r>
        <w:rPr>
          <w:rFonts w:hint="eastAsia" w:cs="仿宋"/>
          <w:bCs w:val="0"/>
        </w:rPr>
        <w:t>评审办法正文</w:t>
      </w:r>
      <w:bookmarkEnd w:id="43"/>
    </w:p>
    <w:p>
      <w:pPr>
        <w:pStyle w:val="3"/>
        <w:spacing w:before="0" w:beforeAutospacing="0" w:after="0" w:afterAutospacing="0"/>
        <w:rPr>
          <w:rFonts w:cs="仿宋"/>
          <w:bCs w:val="0"/>
          <w:sz w:val="24"/>
        </w:rPr>
      </w:pPr>
      <w:bookmarkStart w:id="44" w:name="_Toc106039353"/>
      <w:r>
        <w:rPr>
          <w:rFonts w:hint="eastAsia" w:cs="仿宋"/>
          <w:bCs w:val="0"/>
          <w:sz w:val="24"/>
        </w:rPr>
        <w:t>1评审方法(最低价法)</w:t>
      </w:r>
      <w:bookmarkEnd w:id="44"/>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评标价低于理论成本价视为废标。</w:t>
      </w:r>
    </w:p>
    <w:p>
      <w:pPr>
        <w:pStyle w:val="3"/>
        <w:spacing w:before="0" w:beforeAutospacing="0" w:after="0" w:afterAutospacing="0"/>
        <w:rPr>
          <w:rFonts w:cs="仿宋"/>
          <w:bCs w:val="0"/>
          <w:sz w:val="24"/>
        </w:rPr>
      </w:pPr>
      <w:bookmarkStart w:id="45" w:name="_Toc106039354"/>
      <w:r>
        <w:rPr>
          <w:rFonts w:hint="eastAsia" w:cs="仿宋"/>
          <w:bCs w:val="0"/>
          <w:sz w:val="24"/>
        </w:rPr>
        <w:t>2初步评审标准和程序</w:t>
      </w:r>
      <w:bookmarkEnd w:id="45"/>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pStyle w:val="3"/>
        <w:spacing w:before="0" w:beforeAutospacing="0" w:after="0" w:afterAutospacing="0"/>
        <w:rPr>
          <w:rFonts w:cs="仿宋"/>
          <w:bCs w:val="0"/>
          <w:sz w:val="24"/>
        </w:rPr>
      </w:pPr>
      <w:bookmarkStart w:id="46" w:name="_Toc106039355"/>
      <w:r>
        <w:rPr>
          <w:rFonts w:hint="eastAsia" w:cs="仿宋"/>
          <w:bCs w:val="0"/>
          <w:sz w:val="24"/>
        </w:rPr>
        <w:t>3详细评审标准和程序(合理低价法)</w:t>
      </w:r>
      <w:bookmarkEnd w:id="46"/>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定标：评审小组对评审价格进行比较后，按照评审价格由低到高的顺序对供应商排序。供应商评审价格相等时，按照评审办法前附表的规定确定供应商优先顺序，评标价低于理论成本价视为废标。</w:t>
      </w:r>
    </w:p>
    <w:p>
      <w:pPr>
        <w:pStyle w:val="3"/>
        <w:spacing w:before="0" w:beforeAutospacing="0" w:after="0" w:afterAutospacing="0"/>
        <w:rPr>
          <w:rFonts w:cs="仿宋"/>
          <w:bCs w:val="0"/>
          <w:sz w:val="24"/>
        </w:rPr>
      </w:pPr>
      <w:bookmarkStart w:id="47" w:name="_Toc106039356"/>
      <w:r>
        <w:rPr>
          <w:rFonts w:hint="eastAsia" w:cs="仿宋"/>
          <w:bCs w:val="0"/>
          <w:sz w:val="24"/>
        </w:rPr>
        <w:t>4评审结果</w:t>
      </w:r>
      <w:bookmarkEnd w:id="47"/>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bookmarkEnd w:id="40"/>
    <w:bookmarkEnd w:id="41"/>
    <w:p>
      <w:pPr>
        <w:spacing w:line="240" w:lineRule="auto"/>
        <w:rPr>
          <w:rFonts w:ascii="黑体" w:hAnsi="黑体" w:eastAsia="黑体" w:cs="仿宋"/>
          <w:b/>
          <w:color w:val="000000"/>
          <w:kern w:val="0"/>
          <w:sz w:val="36"/>
          <w:szCs w:val="36"/>
        </w:rPr>
      </w:pPr>
      <w:r>
        <w:rPr>
          <w:rFonts w:ascii="黑体" w:hAnsi="黑体" w:eastAsia="黑体" w:cs="仿宋"/>
          <w:b/>
          <w:color w:val="000000"/>
          <w:sz w:val="36"/>
          <w:szCs w:val="36"/>
        </w:rPr>
        <w:br w:type="page"/>
      </w:r>
    </w:p>
    <w:p>
      <w:pPr>
        <w:pStyle w:val="82"/>
        <w:spacing w:line="600" w:lineRule="exact"/>
        <w:ind w:left="420" w:firstLine="0" w:firstLineChars="0"/>
        <w:jc w:val="center"/>
        <w:outlineLvl w:val="0"/>
        <w:rPr>
          <w:rFonts w:ascii="黑体" w:hAnsi="黑体" w:eastAsia="黑体" w:cs="仿宋"/>
          <w:b/>
          <w:color w:val="000000"/>
          <w:sz w:val="36"/>
          <w:szCs w:val="36"/>
        </w:rPr>
      </w:pPr>
      <w:bookmarkStart w:id="48" w:name="_Toc106039357"/>
      <w:r>
        <w:rPr>
          <w:rFonts w:hint="eastAsia" w:ascii="黑体" w:hAnsi="黑体" w:eastAsia="黑体" w:cs="仿宋"/>
          <w:b/>
          <w:color w:val="000000"/>
          <w:sz w:val="36"/>
          <w:szCs w:val="36"/>
        </w:rPr>
        <w:t>第四章  合同条款及格式</w:t>
      </w:r>
      <w:bookmarkEnd w:id="48"/>
    </w:p>
    <w:p>
      <w:pPr>
        <w:widowControl w:val="0"/>
        <w:adjustRightInd w:val="0"/>
        <w:snapToGrid w:val="0"/>
        <w:spacing w:after="0" w:line="312" w:lineRule="auto"/>
        <w:jc w:val="center"/>
        <w:outlineLvl w:val="1"/>
        <w:rPr>
          <w:rFonts w:ascii="宋体" w:hAnsi="宋体" w:eastAsia="宋体" w:cs="Times New Roman"/>
          <w:b/>
          <w:color w:val="000000"/>
          <w:sz w:val="24"/>
          <w:szCs w:val="24"/>
          <w:highlight w:val="none"/>
        </w:rPr>
      </w:pPr>
      <w:bookmarkStart w:id="49" w:name="_Toc11971"/>
    </w:p>
    <w:bookmarkEnd w:id="49"/>
    <w:p>
      <w:pPr>
        <w:spacing w:line="480" w:lineRule="auto"/>
        <w:jc w:val="center"/>
        <w:rPr>
          <w:rFonts w:ascii="Arial" w:hAnsi="Arial" w:eastAsia="黑体" w:cs="Arial"/>
          <w:b/>
          <w:sz w:val="44"/>
          <w:szCs w:val="44"/>
        </w:rPr>
      </w:pPr>
      <w:r>
        <w:rPr>
          <w:rFonts w:ascii="Arial" w:hAnsi="Arial" w:eastAsia="黑体" w:cs="Arial"/>
          <w:b/>
          <w:sz w:val="44"/>
          <w:szCs w:val="44"/>
        </w:rPr>
        <w:t>长沙集星集装箱码头有限公司</w:t>
      </w:r>
    </w:p>
    <w:p>
      <w:pPr>
        <w:spacing w:line="480" w:lineRule="auto"/>
        <w:jc w:val="center"/>
        <w:rPr>
          <w:rFonts w:hAnsi="宋体" w:cs="宋体"/>
          <w:sz w:val="30"/>
          <w:szCs w:val="30"/>
        </w:rPr>
      </w:pPr>
      <w:r>
        <w:rPr>
          <w:rFonts w:hint="eastAsia" w:ascii="Arial" w:hAnsi="Arial" w:eastAsia="黑体" w:cs="Arial"/>
          <w:b/>
          <w:sz w:val="44"/>
          <w:szCs w:val="44"/>
          <w:lang w:eastAsia="zh-CN"/>
        </w:rPr>
        <w:t>内贸空车</w:t>
      </w:r>
      <w:r>
        <w:rPr>
          <w:rFonts w:ascii="Arial" w:hAnsi="Arial" w:eastAsia="黑体" w:cs="Arial"/>
          <w:b/>
          <w:sz w:val="44"/>
          <w:szCs w:val="44"/>
        </w:rPr>
        <w:t>智能卡口系统</w:t>
      </w:r>
      <w:r>
        <w:rPr>
          <w:rFonts w:hint="eastAsia" w:ascii="Arial" w:hAnsi="Arial" w:eastAsia="黑体" w:cs="Arial"/>
          <w:b/>
          <w:sz w:val="44"/>
          <w:szCs w:val="44"/>
        </w:rPr>
        <w:t>项目合同</w:t>
      </w:r>
    </w:p>
    <w:p>
      <w:pPr>
        <w:spacing w:line="560" w:lineRule="exact"/>
        <w:ind w:firstLine="1200" w:firstLineChars="400"/>
        <w:rPr>
          <w:rFonts w:ascii="Calibri" w:hAnsi="Calibri" w:eastAsia="仿宋" w:cs="Times New Roman"/>
          <w:sz w:val="30"/>
          <w:szCs w:val="22"/>
        </w:rPr>
      </w:pPr>
    </w:p>
    <w:p>
      <w:pPr>
        <w:pStyle w:val="42"/>
        <w:rPr>
          <w:rFonts w:ascii="Calibri" w:hAnsi="Calibri" w:eastAsia="仿宋" w:cs="Times New Roman"/>
          <w:sz w:val="30"/>
          <w:szCs w:val="22"/>
        </w:rPr>
      </w:pPr>
    </w:p>
    <w:p>
      <w:pPr>
        <w:pStyle w:val="42"/>
        <w:rPr>
          <w:rFonts w:ascii="Calibri" w:hAnsi="Calibri" w:eastAsia="仿宋" w:cs="Times New Roman"/>
          <w:sz w:val="30"/>
          <w:szCs w:val="22"/>
        </w:rPr>
      </w:pPr>
    </w:p>
    <w:p>
      <w:pPr>
        <w:spacing w:line="560" w:lineRule="exact"/>
        <w:ind w:firstLine="1200" w:firstLineChars="400"/>
        <w:rPr>
          <w:rFonts w:ascii="Calibri" w:hAnsi="Calibri" w:eastAsia="仿宋" w:cs="Times New Roman"/>
          <w:sz w:val="30"/>
          <w:szCs w:val="22"/>
        </w:rPr>
      </w:pPr>
      <w:r>
        <w:rPr>
          <w:rFonts w:hint="eastAsia" w:ascii="Calibri" w:hAnsi="Calibri" w:eastAsia="仿宋" w:cs="Times New Roman"/>
          <w:sz w:val="30"/>
          <w:szCs w:val="22"/>
          <w:lang w:val="en-US" w:eastAsia="zh-CN"/>
        </w:rPr>
        <w:t>甲方</w:t>
      </w:r>
      <w:r>
        <w:rPr>
          <w:rFonts w:hint="eastAsia" w:ascii="Calibri" w:hAnsi="Calibri" w:eastAsia="仿宋" w:cs="Times New Roman"/>
          <w:sz w:val="30"/>
          <w:szCs w:val="22"/>
        </w:rPr>
        <w:t>：</w:t>
      </w:r>
      <w:r>
        <w:rPr>
          <w:rFonts w:ascii="Calibri" w:hAnsi="Calibri" w:eastAsia="仿宋" w:cs="Times New Roman"/>
          <w:sz w:val="30"/>
          <w:szCs w:val="22"/>
        </w:rPr>
        <w:t>长沙集星集装箱码头有限公司</w:t>
      </w:r>
    </w:p>
    <w:p>
      <w:pPr>
        <w:spacing w:line="560" w:lineRule="exact"/>
        <w:ind w:firstLine="1200" w:firstLineChars="400"/>
        <w:rPr>
          <w:rFonts w:hint="eastAsia" w:ascii="Calibri" w:hAnsi="Calibri" w:eastAsia="仿宋" w:cs="Times New Roman"/>
          <w:sz w:val="30"/>
          <w:szCs w:val="22"/>
          <w:lang w:val="en-US" w:eastAsia="zh-CN"/>
        </w:rPr>
      </w:pPr>
      <w:r>
        <w:rPr>
          <w:rFonts w:hint="eastAsia" w:ascii="Calibri" w:hAnsi="Calibri" w:eastAsia="仿宋" w:cs="Times New Roman"/>
          <w:sz w:val="30"/>
          <w:szCs w:val="22"/>
          <w:lang w:val="en-US" w:eastAsia="zh-CN"/>
        </w:rPr>
        <w:t>地址：</w:t>
      </w:r>
    </w:p>
    <w:p>
      <w:pPr>
        <w:spacing w:line="560" w:lineRule="exact"/>
        <w:ind w:firstLine="1200" w:firstLineChars="400"/>
        <w:rPr>
          <w:rFonts w:hint="eastAsia" w:ascii="Calibri" w:hAnsi="Calibri" w:eastAsia="仿宋" w:cs="Times New Roman"/>
          <w:sz w:val="30"/>
          <w:szCs w:val="22"/>
          <w:lang w:val="en-US" w:eastAsia="zh-CN"/>
        </w:rPr>
      </w:pPr>
      <w:r>
        <w:rPr>
          <w:rFonts w:hint="eastAsia" w:ascii="Calibri" w:hAnsi="Calibri" w:eastAsia="仿宋" w:cs="Times New Roman"/>
          <w:sz w:val="30"/>
          <w:szCs w:val="22"/>
          <w:lang w:val="en-US" w:eastAsia="zh-CN"/>
        </w:rPr>
        <w:t>法定代表人：</w:t>
      </w:r>
    </w:p>
    <w:p>
      <w:pPr>
        <w:spacing w:line="560" w:lineRule="exact"/>
        <w:ind w:firstLine="1200" w:firstLineChars="400"/>
        <w:rPr>
          <w:rFonts w:hint="eastAsia" w:ascii="Calibri" w:hAnsi="Calibri" w:eastAsia="仿宋" w:cs="Times New Roman"/>
          <w:sz w:val="30"/>
          <w:szCs w:val="22"/>
        </w:rPr>
      </w:pPr>
      <w:r>
        <w:rPr>
          <w:rFonts w:hint="eastAsia" w:ascii="Calibri" w:hAnsi="Calibri" w:eastAsia="仿宋" w:cs="Times New Roman"/>
          <w:sz w:val="30"/>
          <w:szCs w:val="22"/>
          <w:lang w:val="en-US" w:eastAsia="zh-CN"/>
        </w:rPr>
        <w:t>联系电话：</w:t>
      </w:r>
      <w:r>
        <w:rPr>
          <w:rFonts w:hint="eastAsia" w:ascii="Calibri" w:hAnsi="Calibri" w:eastAsia="仿宋" w:cs="Times New Roman"/>
          <w:sz w:val="30"/>
          <w:szCs w:val="22"/>
        </w:rPr>
        <w:tab/>
      </w:r>
    </w:p>
    <w:p>
      <w:pPr>
        <w:pStyle w:val="42"/>
      </w:pPr>
    </w:p>
    <w:p>
      <w:pPr>
        <w:spacing w:line="560" w:lineRule="exact"/>
        <w:ind w:firstLine="1200" w:firstLineChars="400"/>
        <w:rPr>
          <w:rFonts w:hint="eastAsia" w:ascii="Calibri" w:hAnsi="Calibri" w:eastAsia="仿宋" w:cs="Times New Roman"/>
          <w:sz w:val="30"/>
          <w:szCs w:val="22"/>
        </w:rPr>
      </w:pPr>
    </w:p>
    <w:p>
      <w:pPr>
        <w:spacing w:line="560" w:lineRule="exact"/>
        <w:ind w:firstLine="1200" w:firstLineChars="400"/>
        <w:rPr>
          <w:rFonts w:ascii="Calibri" w:hAnsi="Calibri" w:eastAsia="仿宋" w:cs="Times New Roman"/>
          <w:sz w:val="30"/>
          <w:szCs w:val="22"/>
        </w:rPr>
      </w:pPr>
      <w:r>
        <w:rPr>
          <w:rFonts w:hint="eastAsia" w:ascii="Calibri" w:hAnsi="Calibri" w:eastAsia="仿宋" w:cs="Times New Roman"/>
          <w:sz w:val="30"/>
          <w:szCs w:val="22"/>
          <w:lang w:val="en-US" w:eastAsia="zh-CN"/>
        </w:rPr>
        <w:t>乙方</w:t>
      </w:r>
      <w:r>
        <w:rPr>
          <w:rFonts w:hint="eastAsia" w:ascii="Calibri" w:hAnsi="Calibri" w:eastAsia="仿宋" w:cs="Times New Roman"/>
          <w:sz w:val="30"/>
          <w:szCs w:val="22"/>
        </w:rPr>
        <w:t xml:space="preserve">： </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地址：</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法定代表人：</w:t>
      </w:r>
    </w:p>
    <w:p>
      <w:pPr>
        <w:spacing w:line="560" w:lineRule="exact"/>
        <w:ind w:firstLine="1200" w:firstLineChars="400"/>
        <w:rPr>
          <w:rFonts w:ascii="Calibri" w:hAnsi="Calibri" w:eastAsia="仿宋" w:cs="Times New Roman"/>
          <w:sz w:val="30"/>
          <w:szCs w:val="22"/>
        </w:rPr>
      </w:pPr>
      <w:r>
        <w:rPr>
          <w:rFonts w:ascii="Calibri" w:hAnsi="Calibri" w:eastAsia="仿宋" w:cs="Times New Roman"/>
          <w:sz w:val="30"/>
          <w:szCs w:val="22"/>
        </w:rPr>
        <w:t>联系方式：</w:t>
      </w:r>
    </w:p>
    <w:p>
      <w:pPr>
        <w:spacing w:line="560" w:lineRule="exact"/>
        <w:ind w:firstLine="1200" w:firstLineChars="400"/>
        <w:rPr>
          <w:rFonts w:ascii="Calibri" w:hAnsi="Calibri" w:eastAsia="仿宋" w:cs="Times New Roman"/>
          <w:sz w:val="30"/>
          <w:szCs w:val="22"/>
        </w:rPr>
      </w:pPr>
    </w:p>
    <w:p>
      <w:pPr>
        <w:spacing w:line="560" w:lineRule="exact"/>
        <w:jc w:val="left"/>
        <w:rPr>
          <w:rFonts w:hint="eastAsia" w:ascii="Calibri" w:hAnsi="Calibri" w:eastAsia="仿宋" w:cs="Times New Roman"/>
          <w:sz w:val="30"/>
          <w:szCs w:val="22"/>
        </w:rPr>
      </w:pPr>
    </w:p>
    <w:p>
      <w:pPr>
        <w:spacing w:line="560" w:lineRule="exact"/>
        <w:jc w:val="left"/>
        <w:rPr>
          <w:rFonts w:hint="eastAsia" w:ascii="Calibri" w:hAnsi="Calibri" w:eastAsia="仿宋" w:cs="Times New Roman"/>
          <w:sz w:val="30"/>
          <w:szCs w:val="22"/>
        </w:rPr>
      </w:pPr>
    </w:p>
    <w:p>
      <w:pPr>
        <w:spacing w:line="560" w:lineRule="exact"/>
        <w:ind w:firstLine="1200" w:firstLineChars="400"/>
        <w:jc w:val="left"/>
        <w:rPr>
          <w:rFonts w:ascii="Calibri" w:hAnsi="Calibri" w:eastAsia="仿宋" w:cs="Times New Roman"/>
          <w:sz w:val="30"/>
          <w:szCs w:val="22"/>
        </w:rPr>
      </w:pPr>
      <w:r>
        <w:rPr>
          <w:rFonts w:hint="eastAsia" w:ascii="Calibri" w:hAnsi="Calibri" w:eastAsia="仿宋" w:cs="Times New Roman"/>
          <w:sz w:val="30"/>
          <w:szCs w:val="22"/>
        </w:rPr>
        <w:t>签订日期：</w:t>
      </w:r>
      <w:r>
        <w:rPr>
          <w:rFonts w:ascii="Calibri" w:hAnsi="Calibri" w:eastAsia="仿宋" w:cs="Times New Roman"/>
          <w:sz w:val="30"/>
          <w:szCs w:val="22"/>
        </w:rPr>
        <w:t>2022</w:t>
      </w:r>
      <w:r>
        <w:rPr>
          <w:rFonts w:hint="eastAsia" w:ascii="Calibri" w:hAnsi="Calibri" w:eastAsia="仿宋" w:cs="Times New Roman"/>
          <w:sz w:val="30"/>
          <w:szCs w:val="22"/>
        </w:rPr>
        <w:t>年</w:t>
      </w:r>
      <w:r>
        <w:rPr>
          <w:rFonts w:ascii="Calibri" w:hAnsi="Calibri" w:eastAsia="仿宋" w:cs="Times New Roman"/>
          <w:sz w:val="30"/>
          <w:szCs w:val="22"/>
        </w:rPr>
        <w:t xml:space="preserve"> </w:t>
      </w:r>
      <w:r>
        <w:rPr>
          <w:rFonts w:hint="eastAsia" w:ascii="Calibri" w:hAnsi="Calibri" w:eastAsia="仿宋" w:cs="Times New Roman"/>
          <w:sz w:val="30"/>
          <w:szCs w:val="22"/>
          <w:lang w:val="en-US" w:eastAsia="zh-CN"/>
        </w:rPr>
        <w:t xml:space="preserve"> </w:t>
      </w:r>
      <w:r>
        <w:rPr>
          <w:rFonts w:ascii="Calibri" w:hAnsi="Calibri" w:eastAsia="仿宋" w:cs="Times New Roman"/>
          <w:sz w:val="30"/>
          <w:szCs w:val="22"/>
        </w:rPr>
        <w:t xml:space="preserve"> </w:t>
      </w:r>
      <w:r>
        <w:rPr>
          <w:rFonts w:hint="eastAsia" w:ascii="Calibri" w:hAnsi="Calibri" w:eastAsia="仿宋" w:cs="Times New Roman"/>
          <w:sz w:val="30"/>
          <w:szCs w:val="22"/>
        </w:rPr>
        <w:t>月</w:t>
      </w:r>
    </w:p>
    <w:p>
      <w:pPr>
        <w:spacing w:line="560" w:lineRule="exact"/>
        <w:ind w:firstLine="1200" w:firstLineChars="400"/>
        <w:jc w:val="left"/>
        <w:rPr>
          <w:rFonts w:ascii="Calibri" w:hAnsi="Calibri" w:eastAsia="仿宋" w:cs="Times New Roman"/>
          <w:sz w:val="30"/>
          <w:szCs w:val="22"/>
        </w:rPr>
        <w:sectPr>
          <w:pgSz w:w="11900" w:h="16840"/>
          <w:pgMar w:top="1440" w:right="1800" w:bottom="1440" w:left="1800" w:header="720" w:footer="720" w:gutter="0"/>
          <w:cols w:space="720" w:num="1"/>
          <w:docGrid w:linePitch="286" w:charSpace="0"/>
        </w:sectPr>
      </w:pPr>
    </w:p>
    <w:p>
      <w:pPr>
        <w:pStyle w:val="2"/>
        <w:numPr>
          <w:ilvl w:val="0"/>
          <w:numId w:val="2"/>
        </w:numPr>
        <w:spacing w:before="0" w:line="360" w:lineRule="auto"/>
        <w:ind w:left="0"/>
        <w:jc w:val="center"/>
        <w:rPr>
          <w:rFonts w:hint="eastAsia" w:ascii="宋体" w:hAnsi="宋体" w:eastAsia="宋体" w:cs="宋体"/>
          <w:b/>
          <w:bCs/>
          <w:color w:val="110F0F"/>
          <w:w w:val="110"/>
          <w:sz w:val="32"/>
          <w:szCs w:val="32"/>
        </w:rPr>
      </w:pPr>
      <w:r>
        <w:rPr>
          <w:rFonts w:hint="eastAsia" w:ascii="宋体" w:hAnsi="宋体" w:eastAsia="宋体" w:cs="宋体"/>
          <w:b/>
          <w:bCs/>
          <w:color w:val="110F0F"/>
          <w:w w:val="110"/>
          <w:sz w:val="32"/>
          <w:szCs w:val="32"/>
        </w:rPr>
        <w:t>合同协议书</w:t>
      </w:r>
    </w:p>
    <w:p>
      <w:pPr>
        <w:numPr>
          <w:ilvl w:val="0"/>
          <w:numId w:val="0"/>
        </w:numPr>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甲方：长沙集星集装箱码头有限公司                  </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依照《中华人民共和国民法典》以及其他有关法律、行政法规，遵循平等、自愿、公平和诚实信用的原则，经双方共同协商，达成长沙集星集装箱码头有限公司</w:t>
      </w:r>
      <w:r>
        <w:rPr>
          <w:rFonts w:hint="eastAsia" w:ascii="宋体" w:hAnsi="宋体" w:eastAsia="宋体" w:cs="宋体"/>
          <w:sz w:val="24"/>
          <w:szCs w:val="24"/>
          <w:lang w:eastAsia="zh-CN"/>
        </w:rPr>
        <w:t>内贸空车</w:t>
      </w:r>
      <w:r>
        <w:rPr>
          <w:rFonts w:hint="eastAsia" w:ascii="宋体" w:hAnsi="宋体" w:eastAsia="宋体" w:cs="宋体"/>
          <w:sz w:val="24"/>
          <w:szCs w:val="24"/>
        </w:rPr>
        <w:t>智能卡口系统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项目合同，双方共同遵照执行。 </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一、项目概况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项目名称：</w:t>
      </w:r>
      <w:r>
        <w:rPr>
          <w:rFonts w:hint="eastAsia" w:ascii="宋体" w:hAnsi="宋体" w:eastAsia="宋体" w:cs="宋体"/>
          <w:sz w:val="24"/>
          <w:szCs w:val="24"/>
          <w:lang w:eastAsia="zh-CN"/>
        </w:rPr>
        <w:t>内贸空车</w:t>
      </w:r>
      <w:r>
        <w:rPr>
          <w:rFonts w:hint="eastAsia" w:ascii="宋体" w:hAnsi="宋体" w:eastAsia="宋体" w:cs="宋体"/>
          <w:sz w:val="24"/>
          <w:szCs w:val="24"/>
        </w:rPr>
        <w:t xml:space="preserve">智能卡口系统建设项目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项目地点：长沙集星集装箱码头有限公司</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项目背景：长沙集星集装箱码头有限公司（以下简称集星公司）主要从事集装箱装卸、储存、货物中转、仓储、代理等业务，承担长沙及湘中地区 60%以上的内支线集装箱装卸任务。长沙集星集装箱码头是我省进出口集装箱运输的主要通道，国家二类水运口岸，海关监管场所。项目</w:t>
      </w:r>
      <w:r>
        <w:rPr>
          <w:rFonts w:hint="eastAsia" w:ascii="宋体" w:hAnsi="宋体" w:eastAsia="宋体" w:cs="宋体"/>
          <w:sz w:val="24"/>
          <w:szCs w:val="24"/>
          <w:lang w:val="en-US" w:eastAsia="zh-CN"/>
        </w:rPr>
        <w:t>建设</w:t>
      </w:r>
      <w:r>
        <w:rPr>
          <w:rFonts w:hint="eastAsia" w:ascii="宋体" w:hAnsi="宋体" w:eastAsia="宋体" w:cs="宋体"/>
          <w:sz w:val="24"/>
          <w:szCs w:val="24"/>
        </w:rPr>
        <w:t>内容：</w:t>
      </w:r>
      <w:r>
        <w:rPr>
          <w:rFonts w:hint="eastAsia" w:ascii="宋体" w:hAnsi="宋体" w:eastAsia="宋体" w:cs="宋体"/>
          <w:sz w:val="24"/>
          <w:szCs w:val="24"/>
          <w:lang w:eastAsia="zh-CN"/>
        </w:rPr>
        <w:t>见清单附件</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二、项目期限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本合同项目工期根据实施条件确定，</w:t>
      </w:r>
      <w:r>
        <w:rPr>
          <w:rFonts w:hint="eastAsia" w:ascii="宋体" w:hAnsi="宋体" w:eastAsia="宋体" w:cs="宋体"/>
          <w:sz w:val="24"/>
          <w:szCs w:val="24"/>
          <w:lang w:eastAsia="zh-CN"/>
        </w:rPr>
        <w:t>从合同签订起</w:t>
      </w:r>
      <w:r>
        <w:rPr>
          <w:rFonts w:hint="eastAsia" w:ascii="宋体" w:hAnsi="宋体" w:eastAsia="宋体" w:cs="宋体"/>
          <w:sz w:val="24"/>
          <w:szCs w:val="24"/>
          <w:lang w:val="en-US" w:eastAsia="zh-CN"/>
        </w:rPr>
        <w:t>20个日历日</w:t>
      </w:r>
    </w:p>
    <w:p>
      <w:pPr>
        <w:spacing w:line="560" w:lineRule="exact"/>
        <w:ind w:firstLine="482" w:firstLineChars="200"/>
        <w:rPr>
          <w:rFonts w:hint="eastAsia" w:ascii="宋体" w:hAnsi="宋体" w:eastAsia="宋体" w:cs="宋体"/>
          <w:b/>
          <w:bCs/>
          <w:sz w:val="24"/>
          <w:szCs w:val="24"/>
        </w:rPr>
      </w:pP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三、项目合同价款与付款方式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本项目合同总价人民币为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含税率 %。</w:t>
      </w:r>
      <w:r>
        <w:rPr>
          <w:rFonts w:hint="eastAsia" w:ascii="宋体" w:hAnsi="宋体" w:eastAsia="宋体" w:cs="宋体"/>
          <w:sz w:val="24"/>
          <w:szCs w:val="24"/>
        </w:rPr>
        <w:t>合同总价是指</w:t>
      </w:r>
      <w:r>
        <w:rPr>
          <w:rFonts w:hint="eastAsia" w:ascii="宋体" w:hAnsi="宋体" w:eastAsia="宋体" w:cs="宋体"/>
          <w:sz w:val="24"/>
          <w:szCs w:val="24"/>
          <w:lang w:val="en-US" w:eastAsia="zh-CN"/>
        </w:rPr>
        <w:t>该项目建设所需</w:t>
      </w:r>
      <w:r>
        <w:rPr>
          <w:rFonts w:hint="eastAsia" w:ascii="宋体" w:hAnsi="宋体" w:eastAsia="宋体" w:cs="宋体"/>
          <w:sz w:val="24"/>
          <w:szCs w:val="24"/>
        </w:rPr>
        <w:t>材料</w:t>
      </w:r>
      <w:r>
        <w:rPr>
          <w:rFonts w:hint="eastAsia" w:ascii="宋体" w:hAnsi="宋体" w:eastAsia="宋体" w:cs="宋体"/>
          <w:sz w:val="24"/>
          <w:szCs w:val="24"/>
          <w:lang w:val="en-US" w:eastAsia="zh-CN"/>
        </w:rPr>
        <w:t>的费用</w:t>
      </w:r>
      <w:r>
        <w:rPr>
          <w:rFonts w:hint="eastAsia" w:ascii="宋体" w:hAnsi="宋体" w:eastAsia="宋体" w:cs="宋体"/>
          <w:sz w:val="24"/>
          <w:szCs w:val="24"/>
        </w:rPr>
        <w:t>以及乙方履行本合同</w:t>
      </w:r>
      <w:r>
        <w:rPr>
          <w:rFonts w:hint="eastAsia" w:ascii="宋体" w:hAnsi="宋体" w:eastAsia="宋体" w:cs="宋体"/>
          <w:sz w:val="24"/>
          <w:szCs w:val="24"/>
          <w:lang w:val="en-US" w:eastAsia="zh-CN"/>
        </w:rPr>
        <w:t>运输装卸、安装检验、安全保证等</w:t>
      </w:r>
      <w:r>
        <w:rPr>
          <w:rFonts w:hint="eastAsia" w:ascii="宋体" w:hAnsi="宋体" w:eastAsia="宋体" w:cs="宋体"/>
          <w:sz w:val="24"/>
          <w:szCs w:val="24"/>
        </w:rPr>
        <w:t>义务</w:t>
      </w:r>
      <w:r>
        <w:rPr>
          <w:rFonts w:hint="eastAsia" w:ascii="宋体" w:hAnsi="宋体" w:eastAsia="宋体" w:cs="宋体"/>
          <w:sz w:val="24"/>
          <w:szCs w:val="24"/>
          <w:lang w:val="en-US" w:eastAsia="zh-CN"/>
        </w:rPr>
        <w:t>需要支出的合理</w:t>
      </w:r>
      <w:r>
        <w:rPr>
          <w:rFonts w:hint="eastAsia" w:ascii="宋体" w:hAnsi="宋体" w:eastAsia="宋体" w:cs="宋体"/>
          <w:sz w:val="24"/>
          <w:szCs w:val="24"/>
        </w:rPr>
        <w:t>费用。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付款</w:t>
      </w:r>
      <w:r>
        <w:rPr>
          <w:rFonts w:hint="eastAsia" w:ascii="宋体" w:hAnsi="宋体" w:eastAsia="宋体" w:cs="宋体"/>
          <w:sz w:val="24"/>
          <w:szCs w:val="24"/>
          <w:lang w:val="en-US" w:eastAsia="zh-CN"/>
        </w:rPr>
        <w:t>阶段</w:t>
      </w:r>
      <w:r>
        <w:rPr>
          <w:rFonts w:hint="eastAsia" w:ascii="宋体" w:hAnsi="宋体" w:eastAsia="宋体" w:cs="宋体"/>
          <w:sz w:val="24"/>
          <w:szCs w:val="24"/>
        </w:rPr>
        <w:t>及支付额度按下列条件进行</w:t>
      </w:r>
      <w:r>
        <w:rPr>
          <w:rFonts w:hint="eastAsia" w:ascii="宋体" w:hAnsi="宋体" w:eastAsia="宋体" w:cs="宋体"/>
          <w:sz w:val="24"/>
          <w:szCs w:val="24"/>
          <w:lang w:val="en-US" w:eastAsia="zh-CN"/>
        </w:rPr>
        <w:t>分期支付：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（1）合同签订生效后五个工作日内，甲方向乙方支付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%的预付款，即人民币</w:t>
      </w:r>
      <w:r>
        <w:rPr>
          <w:rFonts w:hint="eastAsia" w:ascii="宋体" w:hAnsi="宋体" w:eastAsia="宋体" w:cs="宋体"/>
          <w:sz w:val="24"/>
          <w:szCs w:val="24"/>
          <w:u w:val="single"/>
          <w:lang w:val="en-US" w:eastAsia="zh-CN"/>
        </w:rPr>
        <w:t xml:space="preserve"> 元</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（2）项目全部交工</w:t>
      </w:r>
      <w:r>
        <w:rPr>
          <w:rFonts w:hint="eastAsia" w:ascii="宋体" w:hAnsi="宋体" w:eastAsia="宋体" w:cs="宋体"/>
          <w:sz w:val="24"/>
          <w:szCs w:val="24"/>
          <w:lang w:val="en-US" w:eastAsia="zh-CN"/>
        </w:rPr>
        <w:t>经甲方</w:t>
      </w:r>
      <w:r>
        <w:rPr>
          <w:rFonts w:hint="eastAsia" w:ascii="宋体" w:hAnsi="宋体" w:eastAsia="宋体" w:cs="宋体"/>
          <w:sz w:val="24"/>
          <w:szCs w:val="24"/>
        </w:rPr>
        <w:t>验收合格，并</w:t>
      </w:r>
      <w:r>
        <w:rPr>
          <w:rFonts w:hint="eastAsia" w:ascii="宋体" w:hAnsi="宋体" w:eastAsia="宋体" w:cs="宋体"/>
          <w:sz w:val="24"/>
          <w:szCs w:val="24"/>
          <w:lang w:val="en-US" w:eastAsia="zh-CN"/>
        </w:rPr>
        <w:t>由甲方</w:t>
      </w:r>
      <w:r>
        <w:rPr>
          <w:rFonts w:hint="eastAsia" w:ascii="宋体" w:hAnsi="宋体" w:eastAsia="宋体" w:cs="宋体"/>
          <w:sz w:val="24"/>
          <w:szCs w:val="24"/>
        </w:rPr>
        <w:t>签字确认后，甲方在十五个工作日内支付</w:t>
      </w:r>
      <w:r>
        <w:rPr>
          <w:rFonts w:hint="eastAsia" w:ascii="宋体" w:hAnsi="宋体" w:eastAsia="宋体" w:cs="宋体"/>
          <w:sz w:val="24"/>
          <w:szCs w:val="24"/>
          <w:u w:val="single"/>
          <w:lang w:val="en-US" w:eastAsia="zh-CN"/>
        </w:rPr>
        <w:t>65%的验收款，即</w:t>
      </w:r>
      <w:r>
        <w:rPr>
          <w:rFonts w:hint="eastAsia" w:ascii="宋体" w:hAnsi="宋体" w:eastAsia="宋体" w:cs="宋体"/>
          <w:sz w:val="24"/>
          <w:szCs w:val="24"/>
          <w:lang w:eastAsia="zh-CN"/>
        </w:rPr>
        <w:t>人民币</w:t>
      </w:r>
      <w:r>
        <w:rPr>
          <w:rFonts w:hint="eastAsia" w:ascii="宋体" w:hAnsi="宋体" w:eastAsia="宋体" w:cs="宋体"/>
          <w:sz w:val="24"/>
          <w:szCs w:val="24"/>
        </w:rPr>
        <w:t xml:space="preserve"> </w:t>
      </w:r>
      <w:r>
        <w:rPr>
          <w:rFonts w:hint="eastAsia" w:ascii="宋体" w:hAnsi="宋体" w:eastAsia="宋体" w:cs="宋体"/>
          <w:sz w:val="24"/>
          <w:szCs w:val="24"/>
          <w:u w:val="single"/>
          <w:lang w:val="en-US" w:eastAsia="zh-CN"/>
        </w:rPr>
        <w:t xml:space="preserve"> 元</w:t>
      </w:r>
      <w:r>
        <w:rPr>
          <w:rFonts w:hint="eastAsia" w:ascii="宋体" w:hAnsi="宋体" w:eastAsia="宋体" w:cs="宋体"/>
          <w:sz w:val="24"/>
          <w:szCs w:val="24"/>
        </w:rPr>
        <w:t>；</w:t>
      </w:r>
      <w:r>
        <w:rPr>
          <w:rFonts w:hint="eastAsia" w:ascii="宋体" w:hAnsi="宋体" w:eastAsia="宋体" w:cs="宋体"/>
          <w:sz w:val="24"/>
          <w:szCs w:val="24"/>
          <w:lang w:val="en-US" w:eastAsia="zh-CN"/>
        </w:rPr>
        <w:t>余合同总价的5</w:t>
      </w:r>
      <w:r>
        <w:rPr>
          <w:rFonts w:hint="eastAsia" w:ascii="宋体" w:hAnsi="宋体" w:eastAsia="宋体" w:cs="宋体"/>
          <w:sz w:val="24"/>
          <w:szCs w:val="24"/>
        </w:rPr>
        <w:t>%</w:t>
      </w:r>
      <w:r>
        <w:rPr>
          <w:rFonts w:hint="eastAsia" w:ascii="宋体" w:hAnsi="宋体" w:eastAsia="宋体" w:cs="宋体"/>
          <w:sz w:val="24"/>
          <w:szCs w:val="24"/>
          <w:lang w:val="en-US" w:eastAsia="zh-CN"/>
        </w:rPr>
        <w:t>作为该项目的质保金。</w:t>
      </w:r>
      <w:r>
        <w:rPr>
          <w:rFonts w:hint="eastAsia" w:ascii="宋体" w:hAnsi="宋体" w:eastAsia="宋体" w:cs="宋体"/>
          <w:sz w:val="24"/>
          <w:szCs w:val="24"/>
        </w:rPr>
        <w:t>项目验收</w:t>
      </w:r>
      <w:r>
        <w:rPr>
          <w:rFonts w:hint="eastAsia" w:ascii="宋体" w:hAnsi="宋体" w:eastAsia="宋体" w:cs="宋体"/>
          <w:sz w:val="24"/>
          <w:szCs w:val="24"/>
          <w:lang w:val="en-US" w:eastAsia="zh-CN"/>
        </w:rPr>
        <w:t>合格</w:t>
      </w:r>
      <w:r>
        <w:rPr>
          <w:rFonts w:hint="eastAsia" w:ascii="宋体" w:hAnsi="宋体" w:eastAsia="宋体" w:cs="宋体"/>
          <w:sz w:val="24"/>
          <w:szCs w:val="24"/>
        </w:rPr>
        <w:t>之日起</w:t>
      </w:r>
      <w:r>
        <w:rPr>
          <w:rFonts w:hint="eastAsia" w:ascii="宋体" w:hAnsi="宋体" w:eastAsia="宋体" w:cs="宋体"/>
          <w:sz w:val="24"/>
          <w:szCs w:val="24"/>
          <w:lang w:eastAsia="zh-CN"/>
        </w:rPr>
        <w:t>两年（软件两年、硬件一年）</w:t>
      </w:r>
      <w:r>
        <w:rPr>
          <w:rFonts w:hint="eastAsia" w:ascii="宋体" w:hAnsi="宋体" w:eastAsia="宋体" w:cs="宋体"/>
          <w:sz w:val="24"/>
          <w:szCs w:val="24"/>
          <w:lang w:val="en-US" w:eastAsia="zh-CN"/>
        </w:rPr>
        <w:t>的</w:t>
      </w:r>
      <w:r>
        <w:rPr>
          <w:rFonts w:hint="eastAsia" w:ascii="宋体" w:hAnsi="宋体" w:eastAsia="宋体" w:cs="宋体"/>
          <w:sz w:val="24"/>
          <w:szCs w:val="24"/>
        </w:rPr>
        <w:t>质保期</w:t>
      </w:r>
      <w:r>
        <w:rPr>
          <w:rFonts w:hint="eastAsia" w:ascii="宋体" w:hAnsi="宋体" w:eastAsia="宋体" w:cs="宋体"/>
          <w:sz w:val="24"/>
          <w:szCs w:val="24"/>
          <w:lang w:val="en-US" w:eastAsia="zh-CN"/>
        </w:rPr>
        <w:t>期限届满，且期间并无任何质量问题出现，由甲方在届满之日起五个工作日内一次性无息支付给乙方</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甲方每笔付款前，乙方应按照甲方的要求提供甲方认可的等额法定增值税专用发票。</w:t>
      </w:r>
    </w:p>
    <w:p>
      <w:pPr>
        <w:pStyle w:val="4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如有经甲方认可的合同外工程量，以甲方第三方结算评审单位评审价格为准。</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五、物资试验与检验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工包料工程，全部施工材料及设备均由乙方采购供应到现场或指定施工地点。乙方采购施工材料应符合国家标准，有合格证明的材料，在进场时必须由甲方负责验证。如无合格证明，必须经甲方试验检验合格后方准使用，其试验检验费用，应由乙方负担。</w:t>
      </w:r>
    </w:p>
    <w:p>
      <w:pPr>
        <w:spacing w:line="560" w:lineRule="exact"/>
        <w:ind w:firstLine="0" w:firstLineChars="0"/>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乙方所采购的产品经甲方验收合格后准许使用，并不免除以后可能发生的产品责任。在质量保证期内如发现产品自身质量问题或因产品质量导致损害结果发生，乙方应对此承担相应的法律责任。    </w:t>
      </w:r>
    </w:p>
    <w:p>
      <w:pPr>
        <w:spacing w:line="56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六、项目质量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本项目质量标准为</w:t>
      </w:r>
      <w:r>
        <w:rPr>
          <w:rFonts w:hint="eastAsia" w:ascii="宋体" w:hAnsi="宋体" w:eastAsia="宋体" w:cs="宋体"/>
          <w:sz w:val="24"/>
          <w:szCs w:val="24"/>
          <w:lang w:eastAsia="zh-CN"/>
        </w:rPr>
        <w:t>：满足海关监管闸口建设要求且</w:t>
      </w:r>
      <w:r>
        <w:rPr>
          <w:rFonts w:hint="eastAsia" w:ascii="宋体" w:hAnsi="宋体" w:eastAsia="宋体" w:cs="宋体"/>
          <w:sz w:val="24"/>
          <w:szCs w:val="24"/>
        </w:rPr>
        <w:t>以</w:t>
      </w:r>
      <w:r>
        <w:rPr>
          <w:rFonts w:hint="eastAsia" w:ascii="宋体" w:hAnsi="宋体" w:eastAsia="宋体" w:cs="宋体"/>
          <w:sz w:val="24"/>
          <w:szCs w:val="24"/>
          <w:lang w:eastAsia="zh-CN"/>
        </w:rPr>
        <w:t>甲方</w:t>
      </w:r>
      <w:r>
        <w:rPr>
          <w:rFonts w:hint="eastAsia" w:ascii="宋体" w:hAnsi="宋体" w:eastAsia="宋体" w:cs="宋体"/>
          <w:sz w:val="24"/>
          <w:szCs w:val="24"/>
        </w:rPr>
        <w:t>对项目建设方案进行集中审查意见为准，未规定标准的，按国家、地方或行业的标准执行。</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工程竣工后，乙方需向甲方提交完整的项目资料并提交《验收通知单》，并在五个工作日内</w:t>
      </w:r>
      <w:r>
        <w:rPr>
          <w:rFonts w:hint="eastAsia" w:ascii="宋体" w:hAnsi="宋体" w:eastAsia="宋体" w:cs="宋体"/>
          <w:sz w:val="24"/>
          <w:szCs w:val="24"/>
          <w:lang w:val="en-US" w:eastAsia="zh-CN"/>
        </w:rPr>
        <w:t>组织共同</w:t>
      </w:r>
      <w:r>
        <w:rPr>
          <w:rFonts w:hint="eastAsia" w:ascii="宋体" w:hAnsi="宋体" w:eastAsia="宋体" w:cs="宋体"/>
          <w:sz w:val="24"/>
          <w:szCs w:val="24"/>
        </w:rPr>
        <w:t>验收。验收过程中发现不符合要求的，需要返工的，甲方向乙方</w:t>
      </w:r>
      <w:r>
        <w:rPr>
          <w:rFonts w:hint="eastAsia" w:ascii="宋体" w:hAnsi="宋体" w:eastAsia="宋体" w:cs="宋体"/>
          <w:sz w:val="24"/>
          <w:szCs w:val="24"/>
          <w:lang w:val="en-US" w:eastAsia="zh-CN"/>
        </w:rPr>
        <w:t>出具</w:t>
      </w:r>
      <w:r>
        <w:rPr>
          <w:rFonts w:hint="eastAsia" w:ascii="宋体" w:hAnsi="宋体" w:eastAsia="宋体" w:cs="宋体"/>
          <w:sz w:val="24"/>
          <w:szCs w:val="24"/>
        </w:rPr>
        <w:t>《工程验收意见书》</w:t>
      </w:r>
      <w:r>
        <w:rPr>
          <w:rFonts w:hint="eastAsia" w:ascii="宋体" w:hAnsi="宋体" w:eastAsia="宋体" w:cs="宋体"/>
          <w:sz w:val="24"/>
          <w:szCs w:val="24"/>
          <w:lang w:val="en-US" w:eastAsia="zh-CN"/>
        </w:rPr>
        <w:t>明确乙方需要整改的部分，</w:t>
      </w:r>
      <w:r>
        <w:rPr>
          <w:rFonts w:hint="eastAsia" w:ascii="宋体" w:hAnsi="宋体" w:eastAsia="宋体" w:cs="宋体"/>
          <w:sz w:val="24"/>
          <w:szCs w:val="24"/>
        </w:rPr>
        <w:t>乙方</w:t>
      </w:r>
      <w:r>
        <w:rPr>
          <w:rFonts w:hint="eastAsia" w:ascii="宋体" w:hAnsi="宋体" w:eastAsia="宋体" w:cs="宋体"/>
          <w:sz w:val="24"/>
          <w:szCs w:val="24"/>
          <w:lang w:val="en-US" w:eastAsia="zh-CN"/>
        </w:rPr>
        <w:t>应</w:t>
      </w:r>
      <w:r>
        <w:rPr>
          <w:rFonts w:hint="eastAsia" w:ascii="宋体" w:hAnsi="宋体" w:eastAsia="宋体" w:cs="宋体"/>
          <w:sz w:val="24"/>
          <w:szCs w:val="24"/>
        </w:rPr>
        <w:t>按意见书</w:t>
      </w:r>
      <w:r>
        <w:rPr>
          <w:rFonts w:hint="eastAsia" w:ascii="宋体" w:hAnsi="宋体" w:eastAsia="宋体" w:cs="宋体"/>
          <w:sz w:val="24"/>
          <w:szCs w:val="24"/>
          <w:lang w:eastAsia="zh-CN"/>
        </w:rPr>
        <w:t>中合法合理的</w:t>
      </w:r>
      <w:r>
        <w:rPr>
          <w:rFonts w:hint="eastAsia" w:ascii="宋体" w:hAnsi="宋体" w:eastAsia="宋体" w:cs="宋体"/>
          <w:sz w:val="24"/>
          <w:szCs w:val="24"/>
        </w:rPr>
        <w:t>的整改意见无偿修复或返工，并在双方议定的措施和期限内完成</w:t>
      </w:r>
      <w:r>
        <w:rPr>
          <w:rFonts w:hint="eastAsia" w:ascii="宋体" w:hAnsi="宋体" w:eastAsia="宋体" w:cs="宋体"/>
          <w:sz w:val="24"/>
          <w:szCs w:val="24"/>
          <w:lang w:val="en-US" w:eastAsia="zh-CN"/>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质量保证期</w:t>
      </w:r>
      <w:r>
        <w:rPr>
          <w:rFonts w:hint="eastAsia" w:ascii="宋体" w:hAnsi="宋体" w:eastAsia="宋体" w:cs="宋体"/>
          <w:sz w:val="24"/>
          <w:szCs w:val="24"/>
          <w:lang w:eastAsia="zh-CN"/>
        </w:rPr>
        <w:t>软件两年、硬件一</w:t>
      </w:r>
      <w:r>
        <w:rPr>
          <w:rFonts w:hint="eastAsia" w:ascii="宋体" w:hAnsi="宋体" w:eastAsia="宋体" w:cs="宋体"/>
          <w:sz w:val="24"/>
          <w:szCs w:val="24"/>
        </w:rPr>
        <w:t>年，自项目验收</w:t>
      </w:r>
      <w:r>
        <w:rPr>
          <w:rFonts w:hint="eastAsia" w:ascii="宋体" w:hAnsi="宋体" w:eastAsia="宋体" w:cs="宋体"/>
          <w:sz w:val="24"/>
          <w:szCs w:val="24"/>
          <w:lang w:val="en-US" w:eastAsia="zh-CN"/>
        </w:rPr>
        <w:t>合格之</w:t>
      </w:r>
      <w:r>
        <w:rPr>
          <w:rFonts w:hint="eastAsia" w:ascii="宋体" w:hAnsi="宋体" w:eastAsia="宋体" w:cs="宋体"/>
          <w:sz w:val="24"/>
          <w:szCs w:val="24"/>
        </w:rPr>
        <w:t>日起计。</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七、安全文明施工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1、甲方负责提供乙方施工</w:t>
      </w:r>
      <w:r>
        <w:rPr>
          <w:rFonts w:hint="eastAsia" w:ascii="宋体" w:hAnsi="宋体" w:eastAsia="宋体" w:cs="宋体"/>
          <w:sz w:val="24"/>
          <w:szCs w:val="24"/>
          <w:lang w:eastAsia="zh-CN"/>
        </w:rPr>
        <w:t>必需</w:t>
      </w:r>
      <w:r>
        <w:rPr>
          <w:rFonts w:hint="eastAsia" w:ascii="宋体" w:hAnsi="宋体" w:eastAsia="宋体" w:cs="宋体"/>
          <w:sz w:val="24"/>
          <w:szCs w:val="24"/>
        </w:rPr>
        <w:t>的且符合安全要求的场所，对施工人员进行入场前的安全规章制度教育及现场安全技术交底。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施工作业期间，服从甲方工程技术部门、安全监督管理部门安全生产监管，如发现存在安全隐患时，施工现场甲方管理人员有权对施工中存在施工质量以及安全隐患提出停工整改意见，乙方要及时进行处理，直至消除安全隐患为止。</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3、乙方施工人员施工过程中由于乙方自身原因发生的安全事故（包括人身伤亡事故），</w:t>
      </w:r>
      <w:r>
        <w:rPr>
          <w:rFonts w:hint="eastAsia" w:ascii="宋体" w:hAnsi="宋体" w:eastAsia="宋体" w:cs="宋体"/>
          <w:sz w:val="24"/>
          <w:szCs w:val="24"/>
          <w:lang w:val="en-US"/>
        </w:rPr>
        <w:t>相</w:t>
      </w:r>
      <w:r>
        <w:rPr>
          <w:rFonts w:hint="eastAsia" w:ascii="宋体" w:hAnsi="宋体" w:eastAsia="宋体" w:cs="宋体"/>
          <w:sz w:val="24"/>
          <w:szCs w:val="24"/>
          <w:lang w:val="en-US" w:eastAsia="zh-CN"/>
        </w:rPr>
        <w:t>应的</w:t>
      </w:r>
      <w:r>
        <w:rPr>
          <w:rFonts w:hint="eastAsia" w:ascii="宋体" w:hAnsi="宋体" w:eastAsia="宋体" w:cs="宋体"/>
          <w:sz w:val="24"/>
          <w:szCs w:val="24"/>
        </w:rPr>
        <w:t>责任及经济损失均由乙方承担，甲方不承担责任及经济损失。</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负责为施工场地内其人员、办理工伤保险或人身意外伤害保险。无论乙方是否办理保险，施工场地内施工人员生命财产（包括乙方雇员突发疾病、伤亡等意外事件导致的责任）和施工设备（包括场地内乙方施工设备和材料等）安全责任由乙方承担。由于乙方原因或乙方雇佣的员工原因导致的任何第三方对甲方提出的正常合理诉讼、索赔或政府有关部门对甲方进行行政处罚的，甲方由此遭受的直接损失由乙方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5、乙方如需动火必须经过甲方出具的动火令。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6、乙方签订本协议的同时需与甲方签订安全责任书。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7、乙方负责施工场所的文明卫生和施工所产生的废旧物资的处理，甲方负责配合并开具物资出门条。</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八、甲、乙</w:t>
      </w:r>
      <w:r>
        <w:rPr>
          <w:rFonts w:hint="eastAsia" w:ascii="宋体" w:hAnsi="宋体" w:eastAsia="宋体" w:cs="宋体"/>
          <w:b/>
          <w:bCs/>
          <w:sz w:val="24"/>
          <w:szCs w:val="24"/>
          <w:lang w:val="en-US" w:eastAsia="zh-CN"/>
        </w:rPr>
        <w:t>双方权利</w:t>
      </w:r>
      <w:r>
        <w:rPr>
          <w:rFonts w:hint="eastAsia" w:ascii="宋体" w:hAnsi="宋体" w:eastAsia="宋体" w:cs="宋体"/>
          <w:b/>
          <w:bCs/>
          <w:sz w:val="24"/>
          <w:szCs w:val="24"/>
        </w:rPr>
        <w:t>义务及违约责任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1.甲方的权利义务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（1）合同签订后，甲方确定项目联系人代表，负责与本合同有关的事务，配合乙方完成工程实施等工作，及时审批、确认乙方提交的事项。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（2）甲方有权在整个项目建设过程中行使相应的管理权，以及委托其他</w:t>
      </w:r>
      <w:r>
        <w:rPr>
          <w:rFonts w:hint="eastAsia" w:ascii="宋体" w:hAnsi="宋体" w:eastAsia="宋体" w:cs="宋体"/>
          <w:sz w:val="24"/>
          <w:szCs w:val="24"/>
          <w:lang w:eastAsia="zh-CN"/>
        </w:rPr>
        <w:t>地方</w:t>
      </w:r>
      <w:r>
        <w:rPr>
          <w:rFonts w:hint="eastAsia" w:ascii="宋体" w:hAnsi="宋体" w:eastAsia="宋体" w:cs="宋体"/>
          <w:sz w:val="24"/>
          <w:szCs w:val="24"/>
        </w:rPr>
        <w:t>进行管理的权利。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（3）甲方有权要求乙方按时提交各阶段有关技术文档，随时检查、督促乙方工作。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（4）在合同约定的范围内，甲方有对项目提出进一步修改、完善</w:t>
      </w:r>
      <w:r>
        <w:rPr>
          <w:rFonts w:hint="eastAsia" w:ascii="宋体" w:hAnsi="宋体" w:eastAsia="宋体" w:cs="宋体"/>
          <w:sz w:val="24"/>
          <w:szCs w:val="24"/>
          <w:lang w:val="en-US" w:eastAsia="zh-CN"/>
        </w:rPr>
        <w:t>要求</w:t>
      </w:r>
      <w:r>
        <w:rPr>
          <w:rFonts w:hint="eastAsia" w:ascii="宋体" w:hAnsi="宋体" w:eastAsia="宋体" w:cs="宋体"/>
          <w:sz w:val="24"/>
          <w:szCs w:val="24"/>
        </w:rPr>
        <w:t>的权利。有权对乙方提出设计方案审核申请后进行审核。</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（5）如有必要，甲方负责协调该项目中相关工程的目标用户（下称“目标用户”），以便于开展需求调研，及试运行，并经甲乙双方确认后实施。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（6）甲方负责提供该项目中对接的外部系统准备等协助工作，确保乙方互联对接工作能够顺利开展。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（7）在需求及设计方案确定之前，甲方有权提出需求分析合理变更，并书面通知乙方。但上述合理变更将导致项目的采购成本或服务费用增加的，应取得乙方</w:t>
      </w:r>
      <w:r>
        <w:rPr>
          <w:rFonts w:hint="eastAsia" w:ascii="宋体" w:hAnsi="宋体" w:eastAsia="宋体" w:cs="宋体"/>
          <w:sz w:val="24"/>
          <w:szCs w:val="24"/>
          <w:lang w:eastAsia="zh-CN"/>
        </w:rPr>
        <w:t>书面</w:t>
      </w:r>
      <w:r>
        <w:rPr>
          <w:rFonts w:hint="eastAsia" w:ascii="宋体" w:hAnsi="宋体" w:eastAsia="宋体" w:cs="宋体"/>
          <w:sz w:val="24"/>
          <w:szCs w:val="24"/>
        </w:rPr>
        <w:t>同意，并由双方另行签订</w:t>
      </w:r>
      <w:r>
        <w:rPr>
          <w:rFonts w:hint="eastAsia" w:ascii="宋体" w:hAnsi="宋体" w:eastAsia="宋体" w:cs="宋体"/>
          <w:sz w:val="24"/>
          <w:szCs w:val="24"/>
          <w:lang w:eastAsia="zh-CN"/>
        </w:rPr>
        <w:t>书面</w:t>
      </w:r>
      <w:r>
        <w:rPr>
          <w:rFonts w:hint="eastAsia" w:ascii="宋体" w:hAnsi="宋体" w:eastAsia="宋体" w:cs="宋体"/>
          <w:sz w:val="24"/>
          <w:szCs w:val="24"/>
        </w:rPr>
        <w:t>《补充协议》确定变更后的服务价格。</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（8）甲方</w:t>
      </w:r>
      <w:r>
        <w:rPr>
          <w:rFonts w:hint="eastAsia" w:ascii="宋体" w:hAnsi="宋体" w:eastAsia="宋体" w:cs="宋体"/>
          <w:sz w:val="24"/>
          <w:szCs w:val="24"/>
          <w:lang w:eastAsia="zh-CN"/>
        </w:rPr>
        <w:t>在</w:t>
      </w:r>
      <w:r>
        <w:rPr>
          <w:rFonts w:hint="eastAsia" w:ascii="宋体" w:hAnsi="宋体" w:eastAsia="宋体" w:cs="宋体"/>
          <w:b w:val="0"/>
          <w:bCs w:val="0"/>
          <w:i w:val="0"/>
          <w:iCs w:val="0"/>
          <w:color w:val="auto"/>
          <w:kern w:val="2"/>
          <w:sz w:val="24"/>
          <w:szCs w:val="24"/>
          <w:highlight w:val="none"/>
          <w:vertAlign w:val="baseline"/>
          <w:lang w:val="en-US" w:eastAsia="zh-CN" w:bidi="ar-SA"/>
        </w:rPr>
        <w:t>质量保证期内</w:t>
      </w:r>
      <w:r>
        <w:rPr>
          <w:rFonts w:hint="eastAsia" w:ascii="宋体" w:hAnsi="宋体" w:eastAsia="宋体" w:cs="宋体"/>
          <w:sz w:val="24"/>
          <w:szCs w:val="24"/>
        </w:rPr>
        <w:t>有要求乙方对缺陷工程予以修复的权利、有要求乙方在</w:t>
      </w:r>
      <w:r>
        <w:rPr>
          <w:rFonts w:hint="eastAsia" w:ascii="宋体" w:hAnsi="宋体" w:eastAsia="宋体" w:cs="宋体"/>
          <w:sz w:val="24"/>
          <w:szCs w:val="24"/>
          <w:lang w:eastAsia="zh-CN"/>
        </w:rPr>
        <w:t>质量保证</w:t>
      </w:r>
      <w:r>
        <w:rPr>
          <w:rFonts w:hint="eastAsia" w:ascii="宋体" w:hAnsi="宋体" w:eastAsia="宋体" w:cs="宋体"/>
          <w:sz w:val="24"/>
          <w:szCs w:val="24"/>
        </w:rPr>
        <w:t>期内免费保修的权利及其他依本合同享有的权利。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（9）甲方负责项目实施过程中与项目实施相关的协调配合工作，以确保乙方能够正常开展工作。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（10）甲方应当按照合同约定支付合同价款。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2.乙方的权利义务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（1）签署合同后，乙方确定项目联系人代表，负责与本合同有关的事务。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（2）乙方应按照合同要求承担项目的需求调研、设计、设施、技术服务等工作，充分合理安排，确保按工期要求履行合同。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（3）乙方应制定项目执行计划，经甲方批准后推进项目建设工作。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（4）乙方完成设备、系统的部署、集成及测试后，可向甲方提出交工验收申请。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（5）乙方有权根据本合同的规定和项目需要，向甲方了解有关情况，查阅有关资料，以便进行项目的方案设计与实施。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（6）乙方应向甲方提供完整的工程文档、资料、最终版本软件源代码、接口标准等技术文件，乙方提供的所有文档应符合甲方要求的文档规范。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（7）乙方必须服从本项目甲方的监督管理。</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3.违约责任</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（1）本合同签订后双方应严格全面履行，不得单方解除合同，否则应向对方赔偿损失，如损失无法计算时，按双方约定合同总价的20%予以确定。</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（2）乙方未按照合同约定按期完工的，每延误一日，应按照合同尚未支付的合同价款万分之五计算违约金，乙方延误期限超</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30日的，甲方有权解除合同。</w:t>
      </w:r>
    </w:p>
    <w:p>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（3）甲方未按照合同支付合同价款的，每逾期一日，应按照应付未付价款万分之五计算违约金。</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九、争议解决方式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因履行本合同发生争议，双方友好协商解决，必要时签订</w:t>
      </w:r>
      <w:r>
        <w:rPr>
          <w:rFonts w:hint="eastAsia" w:ascii="宋体" w:hAnsi="宋体" w:eastAsia="宋体" w:cs="宋体"/>
          <w:sz w:val="24"/>
          <w:szCs w:val="24"/>
          <w:lang w:eastAsia="zh-CN"/>
        </w:rPr>
        <w:t>书面</w:t>
      </w:r>
      <w:r>
        <w:rPr>
          <w:rFonts w:hint="eastAsia" w:ascii="宋体" w:hAnsi="宋体" w:eastAsia="宋体" w:cs="宋体"/>
          <w:sz w:val="24"/>
          <w:szCs w:val="24"/>
        </w:rPr>
        <w:t>补充协议或合同。如果协商不成，不能签订</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面</w:t>
      </w:r>
      <w:r>
        <w:rPr>
          <w:rFonts w:hint="eastAsia" w:ascii="宋体" w:hAnsi="宋体" w:eastAsia="宋体" w:cs="宋体"/>
          <w:sz w:val="24"/>
          <w:szCs w:val="24"/>
        </w:rPr>
        <w:t>补充协议或合同的，任何一方均可向甲方所在地人民法院起诉。</w:t>
      </w:r>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十、其它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份，甲乙双方</w:t>
      </w:r>
      <w:r>
        <w:rPr>
          <w:rFonts w:hint="eastAsia" w:ascii="宋体" w:hAnsi="宋体" w:eastAsia="宋体" w:cs="宋体"/>
          <w:sz w:val="24"/>
          <w:szCs w:val="24"/>
          <w:lang w:eastAsia="zh-CN"/>
        </w:rPr>
        <w:t>法定代表人或授权代表</w:t>
      </w:r>
      <w:r>
        <w:rPr>
          <w:rFonts w:hint="eastAsia" w:ascii="宋体" w:hAnsi="宋体" w:eastAsia="宋体" w:cs="宋体"/>
          <w:sz w:val="24"/>
          <w:szCs w:val="24"/>
        </w:rPr>
        <w:t>签字</w:t>
      </w:r>
      <w:r>
        <w:rPr>
          <w:rFonts w:hint="eastAsia" w:ascii="宋体" w:hAnsi="宋体" w:eastAsia="宋体" w:cs="宋体"/>
          <w:sz w:val="24"/>
          <w:szCs w:val="24"/>
          <w:lang w:eastAsia="zh-CN"/>
        </w:rPr>
        <w:t>及双方</w:t>
      </w:r>
      <w:r>
        <w:rPr>
          <w:rFonts w:hint="eastAsia" w:ascii="宋体" w:hAnsi="宋体" w:eastAsia="宋体" w:cs="宋体"/>
          <w:sz w:val="24"/>
          <w:szCs w:val="24"/>
        </w:rPr>
        <w:t>盖章后生效，甲方执</w:t>
      </w:r>
      <w:r>
        <w:rPr>
          <w:rFonts w:hint="eastAsia" w:ascii="宋体" w:hAnsi="宋体" w:eastAsia="宋体" w:cs="宋体"/>
          <w:sz w:val="24"/>
          <w:szCs w:val="24"/>
          <w:lang w:val="en-US" w:eastAsia="zh-CN"/>
        </w:rPr>
        <w:t>叁</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，具</w:t>
      </w:r>
      <w:r>
        <w:rPr>
          <w:rFonts w:hint="eastAsia" w:ascii="宋体" w:hAnsi="宋体" w:eastAsia="宋体" w:cs="宋体"/>
          <w:sz w:val="24"/>
          <w:szCs w:val="24"/>
          <w:lang w:val="en-US" w:eastAsia="zh-CN"/>
        </w:rPr>
        <w:t>有同等法律效力。</w:t>
      </w:r>
    </w:p>
    <w:p>
      <w:pPr>
        <w:pStyle w:val="42"/>
        <w:rPr>
          <w:rFonts w:hint="eastAsia" w:ascii="宋体" w:hAnsi="宋体" w:eastAsia="宋体" w:cs="宋体"/>
          <w:sz w:val="24"/>
          <w:szCs w:val="24"/>
        </w:rPr>
      </w:pPr>
    </w:p>
    <w:p>
      <w:pPr>
        <w:pStyle w:val="42"/>
        <w:rPr>
          <w:rFonts w:hint="eastAsia" w:ascii="宋体" w:hAnsi="宋体" w:eastAsia="宋体" w:cs="宋体"/>
          <w:b/>
          <w:bCs/>
          <w:sz w:val="24"/>
          <w:szCs w:val="24"/>
        </w:rPr>
      </w:pPr>
    </w:p>
    <w:tbl>
      <w:tblPr>
        <w:tblStyle w:val="43"/>
        <w:tblW w:w="10155" w:type="dxa"/>
        <w:tblCellSpacing w:w="15" w:type="dxa"/>
        <w:tblInd w:w="-654" w:type="dxa"/>
        <w:tblLayout w:type="autofit"/>
        <w:tblCellMar>
          <w:top w:w="15" w:type="dxa"/>
          <w:left w:w="15" w:type="dxa"/>
          <w:bottom w:w="15" w:type="dxa"/>
          <w:right w:w="15" w:type="dxa"/>
        </w:tblCellMar>
      </w:tblPr>
      <w:tblGrid>
        <w:gridCol w:w="4935"/>
        <w:gridCol w:w="5220"/>
      </w:tblGrid>
      <w:tr>
        <w:tblPrEx>
          <w:tblCellMar>
            <w:top w:w="15" w:type="dxa"/>
            <w:left w:w="15" w:type="dxa"/>
            <w:bottom w:w="15" w:type="dxa"/>
            <w:right w:w="15" w:type="dxa"/>
          </w:tblCellMar>
        </w:tblPrEx>
        <w:trPr>
          <w:tblCellSpacing w:w="15" w:type="dxa"/>
        </w:trPr>
        <w:tc>
          <w:tcPr>
            <w:tcW w:w="4890" w:type="dxa"/>
            <w:tcBorders>
              <w:top w:val="nil"/>
              <w:left w:val="nil"/>
              <w:bottom w:val="nil"/>
              <w:right w:val="nil"/>
            </w:tcBorders>
            <w:noWrap w:val="0"/>
            <w:vAlign w:val="center"/>
          </w:tcPr>
          <w:p>
            <w:pPr>
              <w:spacing w:line="560" w:lineRule="exact"/>
              <w:ind w:left="2100" w:hanging="1680" w:hangingChars="700"/>
              <w:rPr>
                <w:rFonts w:hint="eastAsia" w:ascii="宋体" w:hAnsi="宋体" w:eastAsia="宋体" w:cs="宋体"/>
                <w:sz w:val="24"/>
                <w:szCs w:val="24"/>
              </w:rPr>
            </w:pPr>
            <w:r>
              <w:rPr>
                <w:rFonts w:hint="eastAsia" w:ascii="宋体" w:hAnsi="宋体" w:eastAsia="宋体" w:cs="宋体"/>
                <w:sz w:val="24"/>
                <w:szCs w:val="24"/>
              </w:rPr>
              <w:t xml:space="preserve">甲方（盖章）：长沙集星集装箱码头有限公司 </w:t>
            </w:r>
          </w:p>
          <w:p>
            <w:pPr>
              <w:spacing w:line="560" w:lineRule="exact"/>
              <w:ind w:firstLine="480" w:firstLineChars="200"/>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             </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或授权代表：             </w:t>
            </w:r>
          </w:p>
          <w:p>
            <w:pPr>
              <w:spacing w:line="560" w:lineRule="exact"/>
              <w:rPr>
                <w:rFonts w:hint="eastAsia" w:ascii="宋体" w:hAnsi="宋体" w:eastAsia="宋体" w:cs="宋体"/>
                <w:sz w:val="24"/>
                <w:szCs w:val="24"/>
              </w:rPr>
            </w:pPr>
            <w:r>
              <w:rPr>
                <w:rFonts w:hint="eastAsia" w:ascii="宋体" w:hAnsi="宋体" w:eastAsia="宋体" w:cs="宋体"/>
                <w:sz w:val="24"/>
                <w:szCs w:val="24"/>
              </w:rPr>
              <w:t>时间：     年    月   日</w:t>
            </w:r>
          </w:p>
        </w:tc>
        <w:tc>
          <w:tcPr>
            <w:tcW w:w="5175" w:type="dxa"/>
            <w:tcBorders>
              <w:top w:val="nil"/>
              <w:left w:val="nil"/>
              <w:bottom w:val="nil"/>
              <w:right w:val="nil"/>
            </w:tcBorders>
            <w:noWrap w:val="0"/>
            <w:vAlign w:val="center"/>
          </w:tcPr>
          <w:p>
            <w:pPr>
              <w:spacing w:line="560" w:lineRule="exact"/>
              <w:ind w:left="2276" w:leftChars="284" w:hanging="1680" w:hangingChars="700"/>
              <w:rPr>
                <w:rFonts w:hint="eastAsia" w:ascii="宋体" w:hAnsi="宋体" w:eastAsia="宋体" w:cs="宋体"/>
                <w:sz w:val="24"/>
                <w:szCs w:val="24"/>
                <w:lang w:eastAsia="zh-CN"/>
              </w:rPr>
            </w:pPr>
            <w:r>
              <w:rPr>
                <w:rFonts w:hint="eastAsia" w:ascii="宋体" w:hAnsi="宋体" w:eastAsia="宋体" w:cs="宋体"/>
                <w:sz w:val="24"/>
                <w:szCs w:val="24"/>
              </w:rPr>
              <w:t>乙方（盖章）：</w:t>
            </w:r>
            <w:r>
              <w:rPr>
                <w:rFonts w:hint="eastAsia" w:ascii="宋体" w:hAnsi="宋体" w:eastAsia="宋体" w:cs="宋体"/>
                <w:sz w:val="24"/>
                <w:szCs w:val="24"/>
                <w:lang w:val="en-US" w:eastAsia="zh-CN"/>
              </w:rPr>
              <w:t xml:space="preserve"> </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或授权代表：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时间：     年   月   日</w:t>
            </w:r>
          </w:p>
        </w:tc>
      </w:tr>
    </w:tbl>
    <w:p>
      <w:pPr>
        <w:spacing w:line="312" w:lineRule="auto"/>
        <w:ind w:firstLine="544" w:firstLineChars="227"/>
        <w:jc w:val="both"/>
        <w:rPr>
          <w:rFonts w:cs="仿宋" w:asciiTheme="minorEastAsia" w:hAnsiTheme="minorEastAsia" w:eastAsiaTheme="minorEastAsia"/>
          <w:sz w:val="24"/>
        </w:rPr>
      </w:pPr>
    </w:p>
    <w:p>
      <w:pPr>
        <w:rPr>
          <w:rFonts w:hint="eastAsia" w:ascii="Times New Roman"/>
        </w:rPr>
      </w:pPr>
      <w:bookmarkStart w:id="50" w:name="_Toc106039360"/>
      <w:bookmarkStart w:id="51" w:name="_Hlk79957878"/>
      <w:r>
        <w:rPr>
          <w:rFonts w:hint="eastAsia" w:ascii="Times New Roman"/>
        </w:rPr>
        <w:br w:type="page"/>
      </w:r>
    </w:p>
    <w:p>
      <w:pPr>
        <w:pStyle w:val="4"/>
        <w:rPr>
          <w:rFonts w:ascii="Times New Roman"/>
        </w:rPr>
      </w:pPr>
      <w:r>
        <w:rPr>
          <w:rFonts w:hint="eastAsia" w:ascii="Times New Roman"/>
        </w:rPr>
        <w:t>附件</w:t>
      </w:r>
      <w:r>
        <w:rPr>
          <w:rFonts w:hint="eastAsia"/>
        </w:rPr>
        <w:t>二</w:t>
      </w:r>
      <w:r>
        <w:rPr>
          <w:rFonts w:hint="eastAsia" w:ascii="Times New Roman"/>
        </w:rPr>
        <w:t>：廉政责任书</w:t>
      </w:r>
      <w:bookmarkEnd w:id="50"/>
    </w:p>
    <w:p>
      <w:pPr>
        <w:pStyle w:val="195"/>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6"/>
        <w:autoSpaceDE/>
        <w:autoSpaceDN/>
        <w:adjustRightInd/>
        <w:spacing w:line="312" w:lineRule="auto"/>
        <w:jc w:val="both"/>
        <w:rPr>
          <w:rFonts w:hAnsi="宋体" w:cs="Times New Roman"/>
          <w:color w:val="000000"/>
        </w:rPr>
      </w:pPr>
      <w:r>
        <w:rPr>
          <w:rFonts w:hint="eastAsia" w:hAnsi="宋体" w:cs="Times New Roman"/>
          <w:color w:val="000000"/>
        </w:rPr>
        <w:t>采购</w:t>
      </w:r>
      <w:r>
        <w:rPr>
          <w:rFonts w:hAnsi="宋体" w:cs="Times New Roman"/>
          <w:color w:val="000000"/>
        </w:rPr>
        <w:t>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供应商</w:t>
      </w:r>
      <w:r>
        <w:rPr>
          <w:rFonts w:hAnsi="宋体" w:cs="Times New Roman"/>
          <w:color w:val="000000"/>
        </w:rPr>
        <w:t>：</w:t>
      </w:r>
      <w:r>
        <w:rPr>
          <w:rFonts w:hAnsi="宋体" w:cs="Times New Roman"/>
          <w:color w:val="000000"/>
          <w:u w:val="single"/>
        </w:rPr>
        <w:t xml:space="preserve">    （盖单位公章）   </w:t>
      </w: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51"/>
      <w:r>
        <w:rPr>
          <w:rFonts w:hAnsi="宋体" w:cs="Times New Roman"/>
          <w:color w:val="000000"/>
          <w:u w:val="single"/>
        </w:rPr>
        <w:t xml:space="preserve">  </w:t>
      </w:r>
    </w:p>
    <w:p>
      <w:pPr>
        <w:pStyle w:val="196"/>
        <w:autoSpaceDE/>
        <w:autoSpaceDN/>
        <w:adjustRightInd/>
        <w:spacing w:line="312" w:lineRule="auto"/>
        <w:ind w:firstLine="480" w:firstLineChars="200"/>
        <w:jc w:val="both"/>
        <w:rPr>
          <w:rFonts w:hAnsi="宋体" w:cs="Times New Roman"/>
          <w:color w:val="000000"/>
        </w:rPr>
      </w:pPr>
    </w:p>
    <w:p>
      <w:pPr>
        <w:pStyle w:val="41"/>
        <w:rPr>
          <w:rFonts w:ascii="黑体" w:hAnsi="黑体" w:eastAsia="黑体" w:cs="仿宋"/>
          <w:b/>
          <w:color w:val="000000"/>
          <w:sz w:val="36"/>
          <w:szCs w:val="36"/>
        </w:rPr>
      </w:pPr>
    </w:p>
    <w:p>
      <w:pPr>
        <w:pStyle w:val="4"/>
        <w:rPr>
          <w:rFonts w:ascii="Times New Roman"/>
        </w:rPr>
      </w:pPr>
      <w:bookmarkStart w:id="52" w:name="_Toc106039361"/>
      <w:r>
        <w:rPr>
          <w:rFonts w:hint="eastAsia" w:ascii="Times New Roman"/>
        </w:rPr>
        <w:t>附件</w:t>
      </w:r>
      <w:r>
        <w:rPr>
          <w:rFonts w:hint="eastAsia"/>
        </w:rPr>
        <w:t>三</w:t>
      </w:r>
      <w:r>
        <w:rPr>
          <w:rFonts w:hint="eastAsia" w:ascii="Times New Roman"/>
        </w:rPr>
        <w:t>：安全协议</w:t>
      </w:r>
      <w:bookmarkEnd w:id="52"/>
    </w:p>
    <w:p>
      <w:pPr>
        <w:pStyle w:val="195"/>
        <w:autoSpaceDE/>
        <w:autoSpaceDN/>
        <w:adjustRightInd/>
        <w:spacing w:before="240" w:after="240" w:line="490" w:lineRule="exact"/>
        <w:jc w:val="center"/>
        <w:rPr>
          <w:rFonts w:cs="Times New Roman"/>
          <w:b/>
          <w:color w:val="000000"/>
          <w:sz w:val="32"/>
          <w:szCs w:val="32"/>
        </w:rPr>
      </w:pPr>
      <w:r>
        <w:rPr>
          <w:rFonts w:hint="eastAsia" w:cs="Times New Roman"/>
          <w:b/>
          <w:color w:val="000000"/>
          <w:sz w:val="32"/>
          <w:szCs w:val="32"/>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（以下简称</w:t>
      </w:r>
      <w:r>
        <w:rPr>
          <w:rFonts w:hint="eastAsia" w:ascii="宋体" w:hAnsi="宋体"/>
          <w:color w:val="000000"/>
          <w:sz w:val="24"/>
        </w:rPr>
        <w:t>甲方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（以下简称</w:t>
      </w:r>
      <w:r>
        <w:rPr>
          <w:rFonts w:hint="eastAsia" w:ascii="宋体" w:hAnsi="宋体"/>
          <w:color w:val="000000"/>
          <w:sz w:val="24"/>
        </w:rPr>
        <w:t>乙方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12"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12"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12"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12"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41"/>
      </w:pPr>
    </w:p>
    <w:p>
      <w:pPr>
        <w:spacing w:line="312"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12" w:lineRule="auto"/>
        <w:rPr>
          <w:rFonts w:ascii="宋体" w:hAnsi="宋体"/>
          <w:bCs/>
          <w:sz w:val="24"/>
        </w:rPr>
      </w:pPr>
    </w:p>
    <w:p>
      <w:pPr>
        <w:spacing w:line="312" w:lineRule="auto"/>
        <w:ind w:firstLine="240" w:firstLineChars="100"/>
        <w:rPr>
          <w:rFonts w:ascii="宋体" w:hAnsi="宋体"/>
          <w:bCs/>
          <w:sz w:val="24"/>
        </w:rPr>
      </w:pPr>
      <w:r>
        <w:rPr>
          <w:rFonts w:hint="eastAsia" w:ascii="宋体" w:hAnsi="宋体"/>
          <w:bCs/>
          <w:sz w:val="24"/>
        </w:rPr>
        <w:t>甲方法定代表人：                    甲方法定代表人：</w:t>
      </w:r>
    </w:p>
    <w:p>
      <w:pPr>
        <w:spacing w:line="312"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会签地址：湖南岳阳市               日期：   年  月  日</w:t>
      </w:r>
    </w:p>
    <w:p>
      <w:pPr>
        <w:spacing w:line="240" w:lineRule="auto"/>
        <w:rPr>
          <w:rFonts w:ascii="黑体" w:hAnsi="黑体" w:eastAsia="黑体" w:cs="仿宋"/>
          <w:b/>
          <w:color w:val="000000"/>
          <w:sz w:val="36"/>
          <w:szCs w:val="36"/>
        </w:rPr>
      </w:pPr>
      <w:r>
        <w:rPr>
          <w:rFonts w:ascii="黑体" w:hAnsi="黑体" w:eastAsia="黑体" w:cs="仿宋"/>
          <w:b/>
          <w:color w:val="000000"/>
          <w:sz w:val="36"/>
          <w:szCs w:val="36"/>
        </w:rPr>
        <w:br w:type="page"/>
      </w:r>
    </w:p>
    <w:p>
      <w:pPr>
        <w:pStyle w:val="2"/>
        <w:spacing w:before="0" w:after="0" w:line="360" w:lineRule="exact"/>
        <w:jc w:val="center"/>
        <w:rPr>
          <w:rFonts w:ascii="黑体" w:hAnsi="黑体" w:eastAsia="黑体" w:cs="仿宋"/>
          <w:b w:val="0"/>
          <w:color w:val="000000"/>
          <w:sz w:val="36"/>
          <w:szCs w:val="36"/>
        </w:rPr>
      </w:pPr>
      <w:bookmarkStart w:id="53" w:name="_Toc106039362"/>
      <w:r>
        <w:rPr>
          <w:rFonts w:hint="eastAsia" w:ascii="黑体" w:hAnsi="黑体" w:eastAsia="黑体" w:cs="仿宋"/>
          <w:b w:val="0"/>
          <w:color w:val="000000"/>
          <w:sz w:val="36"/>
          <w:szCs w:val="36"/>
        </w:rPr>
        <w:t>第五章  采购需求</w:t>
      </w:r>
      <w:bookmarkEnd w:id="53"/>
    </w:p>
    <w:p>
      <w:pPr>
        <w:ind w:firstLine="562" w:firstLineChars="200"/>
        <w:rPr>
          <w:rFonts w:ascii="宋体" w:hAnsi="宋体" w:cs="宋体"/>
          <w:b/>
          <w:bCs/>
          <w:sz w:val="28"/>
          <w:szCs w:val="28"/>
        </w:rPr>
      </w:pPr>
    </w:p>
    <w:p>
      <w:pPr>
        <w:numPr>
          <w:ilvl w:val="0"/>
          <w:numId w:val="3"/>
        </w:numPr>
        <w:spacing w:line="360" w:lineRule="auto"/>
        <w:ind w:firstLine="482" w:firstLineChars="200"/>
        <w:rPr>
          <w:rFonts w:hint="eastAsia" w:ascii="宋体" w:hAnsi="宋体" w:cs="宋体"/>
          <w:bCs/>
          <w:sz w:val="24"/>
        </w:rPr>
      </w:pPr>
      <w:r>
        <w:rPr>
          <w:rFonts w:hint="eastAsia" w:ascii="宋体" w:hAnsi="宋体" w:cs="宋体"/>
          <w:b/>
          <w:bCs/>
          <w:sz w:val="24"/>
        </w:rPr>
        <w:t>采购范围:</w:t>
      </w:r>
      <w:r>
        <w:rPr>
          <w:rFonts w:hint="eastAsia" w:ascii="宋体" w:hAnsi="宋体" w:cs="宋体"/>
          <w:bCs/>
          <w:sz w:val="24"/>
        </w:rPr>
        <w:t>长沙集星集装箱码头有限公司</w:t>
      </w:r>
      <w:r>
        <w:rPr>
          <w:rFonts w:hint="eastAsia" w:ascii="宋体" w:hAnsi="宋体"/>
          <w:sz w:val="24"/>
        </w:rPr>
        <w:t>长沙集星集装箱码头有限公司</w:t>
      </w:r>
      <w:r>
        <w:rPr>
          <w:rFonts w:hint="eastAsia" w:ascii="宋体" w:hAnsi="宋体"/>
          <w:sz w:val="24"/>
          <w:lang w:eastAsia="zh-CN"/>
        </w:rPr>
        <w:t>H986区域内贸空车智能卡口系统，含监管场所视频监控、机房设备、网络工程、卡口系统等采购、</w:t>
      </w:r>
      <w:r>
        <w:rPr>
          <w:rFonts w:hint="eastAsia" w:ascii="宋体" w:hAnsi="宋体"/>
          <w:color w:val="auto"/>
          <w:sz w:val="24"/>
          <w:lang w:val="en-US" w:eastAsia="zh-CN"/>
        </w:rPr>
        <w:t>现有智能卡口辅助系统升级、</w:t>
      </w:r>
      <w:r>
        <w:rPr>
          <w:rFonts w:hint="eastAsia" w:ascii="宋体" w:hAnsi="宋体"/>
          <w:sz w:val="24"/>
          <w:lang w:eastAsia="zh-CN"/>
        </w:rPr>
        <w:t>安装调试及相应的售后服务。</w:t>
      </w:r>
    </w:p>
    <w:p>
      <w:pPr>
        <w:numPr>
          <w:ilvl w:val="0"/>
          <w:numId w:val="0"/>
        </w:numPr>
        <w:spacing w:line="360" w:lineRule="auto"/>
        <w:ind w:firstLine="482" w:firstLineChars="200"/>
        <w:rPr>
          <w:rFonts w:ascii="宋体" w:hAnsi="宋体" w:cs="宋体"/>
          <w:bCs/>
          <w:sz w:val="24"/>
        </w:rPr>
      </w:pPr>
      <w:r>
        <w:rPr>
          <w:rFonts w:hint="eastAsia" w:ascii="宋体" w:hAnsi="宋体" w:cs="宋体"/>
          <w:b/>
          <w:bCs/>
          <w:sz w:val="24"/>
        </w:rPr>
        <w:t>二、交货期限:</w:t>
      </w:r>
      <w:r>
        <w:rPr>
          <w:rFonts w:hint="eastAsia" w:ascii="宋体" w:hAnsi="宋体" w:cs="宋体"/>
          <w:bCs/>
          <w:sz w:val="24"/>
        </w:rPr>
        <w:t>合同签订后</w:t>
      </w:r>
      <w:r>
        <w:rPr>
          <w:rFonts w:hint="eastAsia" w:ascii="宋体" w:hAnsi="宋体" w:cs="宋体"/>
          <w:bCs/>
          <w:sz w:val="24"/>
          <w:lang w:val="en-US" w:eastAsia="zh-CN"/>
        </w:rPr>
        <w:t>2</w:t>
      </w:r>
      <w:r>
        <w:rPr>
          <w:rFonts w:hint="eastAsia" w:ascii="宋体" w:hAnsi="宋体" w:cs="宋体"/>
          <w:bCs/>
          <w:sz w:val="24"/>
        </w:rPr>
        <w:t>0个</w:t>
      </w:r>
      <w:r>
        <w:rPr>
          <w:rFonts w:hint="eastAsia" w:ascii="宋体" w:hAnsi="宋体" w:cs="宋体"/>
          <w:bCs/>
          <w:sz w:val="24"/>
          <w:lang w:eastAsia="zh-CN"/>
        </w:rPr>
        <w:t>日历</w:t>
      </w:r>
      <w:r>
        <w:rPr>
          <w:rFonts w:hint="eastAsia" w:ascii="宋体" w:hAnsi="宋体" w:cs="宋体"/>
          <w:bCs/>
          <w:sz w:val="24"/>
        </w:rPr>
        <w:t>日内完成安装调试。</w:t>
      </w:r>
    </w:p>
    <w:p>
      <w:pPr>
        <w:spacing w:line="360" w:lineRule="auto"/>
        <w:ind w:firstLine="482" w:firstLineChars="200"/>
        <w:rPr>
          <w:rFonts w:ascii="宋体" w:hAnsi="宋体" w:cs="宋体"/>
          <w:bCs/>
          <w:sz w:val="24"/>
        </w:rPr>
      </w:pPr>
      <w:r>
        <w:rPr>
          <w:rFonts w:hint="eastAsia" w:ascii="宋体" w:hAnsi="宋体" w:cs="宋体"/>
          <w:b/>
          <w:bCs/>
          <w:sz w:val="24"/>
        </w:rPr>
        <w:t>三、交货地点及方式:</w:t>
      </w:r>
      <w:r>
        <w:rPr>
          <w:rFonts w:hint="eastAsia" w:ascii="宋体" w:hAnsi="宋体" w:cs="宋体"/>
          <w:bCs/>
          <w:sz w:val="24"/>
        </w:rPr>
        <w:t>由供应商负责运输至长沙集星集装箱码头有限公司交货，运费由供应商承担。</w:t>
      </w:r>
    </w:p>
    <w:p>
      <w:pPr>
        <w:spacing w:line="360" w:lineRule="auto"/>
        <w:ind w:firstLine="482" w:firstLineChars="200"/>
        <w:rPr>
          <w:rFonts w:ascii="宋体" w:hAnsi="宋体" w:cs="宋体"/>
          <w:bCs/>
          <w:sz w:val="24"/>
        </w:rPr>
      </w:pPr>
      <w:r>
        <w:rPr>
          <w:rFonts w:hint="eastAsia" w:ascii="宋体" w:hAnsi="宋体" w:cs="宋体"/>
          <w:b/>
          <w:bCs/>
          <w:sz w:val="24"/>
        </w:rPr>
        <w:t>四、售后：</w:t>
      </w:r>
      <w:r>
        <w:rPr>
          <w:rFonts w:hint="eastAsia" w:ascii="宋体" w:hAnsi="宋体" w:cs="宋体"/>
          <w:bCs/>
          <w:sz w:val="24"/>
        </w:rPr>
        <w:t>原厂</w:t>
      </w:r>
      <w:r>
        <w:rPr>
          <w:rFonts w:hint="eastAsia" w:ascii="宋体" w:hAnsi="宋体" w:cs="宋体"/>
          <w:bCs/>
          <w:sz w:val="24"/>
          <w:lang w:eastAsia="zh-CN"/>
        </w:rPr>
        <w:t>两</w:t>
      </w:r>
      <w:r>
        <w:rPr>
          <w:rFonts w:hint="eastAsia" w:ascii="宋体" w:hAnsi="宋体" w:cs="宋体"/>
          <w:bCs/>
          <w:sz w:val="24"/>
        </w:rPr>
        <w:t>年上门售后服务。</w:t>
      </w:r>
    </w:p>
    <w:p>
      <w:pPr>
        <w:spacing w:line="360" w:lineRule="auto"/>
        <w:ind w:firstLine="482" w:firstLineChars="200"/>
        <w:rPr>
          <w:rFonts w:ascii="宋体" w:hAnsi="宋体" w:cs="宋体"/>
          <w:b/>
          <w:bCs/>
          <w:sz w:val="24"/>
        </w:rPr>
      </w:pPr>
      <w:r>
        <w:rPr>
          <w:rFonts w:hint="eastAsia" w:ascii="宋体" w:hAnsi="宋体" w:cs="宋体"/>
          <w:b/>
          <w:bCs/>
          <w:sz w:val="24"/>
        </w:rPr>
        <w:t>五、采购清单：</w:t>
      </w:r>
      <w:r>
        <w:rPr>
          <w:rFonts w:ascii="宋体" w:hAnsi="宋体" w:cs="宋体"/>
          <w:b/>
          <w:bCs/>
          <w:sz w:val="24"/>
        </w:rPr>
        <w:t xml:space="preserve"> </w:t>
      </w:r>
    </w:p>
    <w:tbl>
      <w:tblPr>
        <w:tblStyle w:val="43"/>
        <w:tblW w:w="9517"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15"/>
        <w:gridCol w:w="1907"/>
        <w:gridCol w:w="3340"/>
        <w:gridCol w:w="1186"/>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闸口放行控制系统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通道室外一体化智能机柜</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Style w:val="197"/>
                <w:lang w:val="en-US" w:eastAsia="zh-CN" w:bidi="ar"/>
              </w:rPr>
              <w:t>，</w:t>
            </w:r>
            <w:r>
              <w:rPr>
                <w:rFonts w:hint="eastAsia" w:ascii="宋体" w:hAnsi="宋体" w:eastAsia="宋体" w:cs="宋体"/>
                <w:i w:val="0"/>
                <w:iCs w:val="0"/>
                <w:color w:val="000000"/>
                <w:kern w:val="0"/>
                <w:sz w:val="20"/>
                <w:szCs w:val="20"/>
                <w:u w:val="none"/>
                <w:lang w:val="en-US" w:eastAsia="zh-CN" w:bidi="ar"/>
              </w:rPr>
              <w:t>防雨，集成小票打印机、二维码扫描仪</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机柜LED条屏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显示文字：≥6个汉字；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显示尺寸：≥64×384mm。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通信方式：RS232/RS485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使用环境温度：-35℃～65℃；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环境湿度：≤95%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丰利源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LED提示屏立柱</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丰利源</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工业级，MOXA 8口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信息控制处理器（带系统）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工业级标准、定制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H3C，千兆，8口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红外车辆分离器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车辆检测器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能稳定检测到通过的速度不大于60公里/小时的二轮以上各种车辆；灵敏度4级可调；平均使用寿命：大于800万辆次，输入电压：AC220V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电子栏杆</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杆体上喷有红白相间反光漆，栏杆臂使用高强度铝合金材料，杆长≥3.0米；栏杆的更换简单、方便；自动挡杆单次起/降时间≤1.6s，寿命大于150万往复次；电动栏杆配有遥控器，具有手动应急控制功能。</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进场、离场地感线圈</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双色高亮LED灯，与挡杆主机联动显示.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红绿灯安装杆件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工作电压：DC12V~24V/AC220V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功率：12W（12V）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声音响度：≤120dB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光学车牌识别系统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一体摄像机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适用电源：220/380V； 最大工作电压：AC320V； 最大容通电流：20kA (8/20μs)； 电压保护水平：&lt;1200 V</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摄像机安装支架杆件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光通量:1800LM(抓拍亮度)，平均功率:18W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工作寿命:≥60000小时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补光灯安装支架杆件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车牌自动识别软件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 水晶头，1280×1024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扫描角度：±60°,±54°,360°（ 左右、前后、转动），支持一维、二维码扫描。</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识别一维、二维码数据，符合海关标准</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7寸显示屏，RJ45接口，支持电脑显示端</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防雨、支持语音加视频、RJ45接口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室外机安装杆</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定制，用于安装室外机，含防雨罩</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线材及辅材</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各类电源线、控制线、网线（六类），光纤，开关，串口线等。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云卡口系统软件</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卡口前端集成子系统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定制，集成卡口前端箱号识别、车牌、地感线圈、二维码等信号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卡口对接子系</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Fonts w:hint="eastAsia" w:ascii="宋体" w:hAnsi="宋体" w:cs="宋体"/>
                <w:i w:val="0"/>
                <w:iCs w:val="0"/>
                <w:color w:val="000000"/>
                <w:kern w:val="0"/>
                <w:sz w:val="20"/>
                <w:szCs w:val="20"/>
                <w:u w:val="none"/>
                <w:lang w:val="en-US" w:eastAsia="zh-CN" w:bidi="ar"/>
              </w:rPr>
              <w:t>与海关内贸核放单系统、金关二期系统对接，实现内贸车辆进场实现自动抬杆放行，与码头TOPS系统对接实现进场业务自动办理。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卡口运维管理子系统软件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定制,实现通道管理、数据库管理、运行参数配置、图片管理、日志管理、历史数据查询、安全管理、实时信息展示、数据统计分析功能等。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网络一体枪机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传感器类型1/2.8英寸CMOS；最大分辨率200W；最大红外距离40米；镜头2.7mm～13.5mm；支持H.265/H.264；防护等级IP67；工作温度-40～60℃、湿度＜95%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防护罩安装支架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定制，不锈钢材质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摄像机安装杆件</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防锈，抗风，高≥2.5米，立杆直径≥70mm,壁厚≥3mm</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千M</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二合一防雷器：电源和信号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H986机房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类戴尔（DELL） R740丨2U机架式服务器主机双路GPU深度学习 R740〖2*银牌4210R 10核20线程〗 64G内存丨2*4T 7.2K硬盘丨H330，双网卡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 server 2019标准版或以上版本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不低于21#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I5/8G/1T/128 SSD硬盘，工业键盘鼠标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win10 专业版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耗材辅材</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六类类双铰线网、插线板、水晶头、空气开关等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网络工程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光纤布线</w:t>
            </w:r>
          </w:p>
        </w:tc>
        <w:tc>
          <w:tcPr>
            <w:tcW w:w="3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从闸口至H986机房，含强电、光纤布线具体以实际情况为主</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破路面</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光纤(12芯）</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融纤</w:t>
            </w: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定制化开发、</w:t>
            </w:r>
            <w:r>
              <w:rPr>
                <w:rFonts w:hint="eastAsia" w:ascii="宋体" w:hAnsi="宋体" w:cs="宋体"/>
                <w:i w:val="0"/>
                <w:iCs w:val="0"/>
                <w:color w:val="000000"/>
                <w:kern w:val="0"/>
                <w:sz w:val="20"/>
                <w:szCs w:val="20"/>
                <w:u w:val="none"/>
                <w:lang w:val="en-US" w:eastAsia="zh-CN" w:bidi="ar"/>
              </w:rPr>
              <w:t>升级现有智能卡口辅助系统，码头TOPS系统，支持码头实现内贸通道入、外贸通道出及外贸通道入、外贸通道出应用场景。</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6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设备集成、软件联调</w:t>
            </w:r>
            <w:r>
              <w:rPr>
                <w:rFonts w:hint="eastAsia" w:ascii="宋体" w:hAnsi="宋体" w:cs="宋体"/>
                <w:b w:val="0"/>
                <w:bCs w:val="0"/>
                <w:i w:val="0"/>
                <w:iCs w:val="0"/>
                <w:color w:val="000000"/>
                <w:kern w:val="0"/>
                <w:sz w:val="20"/>
                <w:szCs w:val="20"/>
                <w:u w:val="none"/>
                <w:lang w:val="en-US" w:eastAsia="zh-CN" w:bidi="ar"/>
              </w:rPr>
              <w:t>（含海关、生产系统数据协调、对接等）</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cs="宋体"/>
                <w:b/>
                <w:bCs/>
                <w:i w:val="0"/>
                <w:iCs w:val="0"/>
                <w:color w:val="000000"/>
                <w:kern w:val="2"/>
                <w:sz w:val="20"/>
                <w:szCs w:val="20"/>
                <w:u w:val="none"/>
                <w:lang w:val="en-US" w:eastAsia="zh-CN" w:bidi="ar-SA"/>
              </w:rPr>
              <w:t xml:space="preserve">  </w:t>
            </w:r>
            <w:r>
              <w:rPr>
                <w:rFonts w:hint="eastAsia" w:ascii="宋体" w:hAnsi="宋体" w:cs="宋体"/>
                <w:b w:val="0"/>
                <w:bCs w:val="0"/>
                <w:i w:val="0"/>
                <w:iCs w:val="0"/>
                <w:color w:val="000000"/>
                <w:kern w:val="2"/>
                <w:sz w:val="20"/>
                <w:szCs w:val="20"/>
                <w:u w:val="none"/>
                <w:lang w:val="en-US" w:eastAsia="zh-CN" w:bidi="ar-SA"/>
              </w:rPr>
              <w:t xml:space="preserve">  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r>
    </w:tbl>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rPr>
          <w:rFonts w:ascii="黑体" w:hAnsi="黑体" w:eastAsia="黑体" w:cs="仿宋"/>
          <w:color w:val="000000"/>
          <w:sz w:val="36"/>
          <w:szCs w:val="36"/>
        </w:rPr>
      </w:pPr>
      <w:bookmarkStart w:id="54" w:name="_Toc106039363"/>
      <w:r>
        <w:rPr>
          <w:rFonts w:hint="eastAsia" w:ascii="黑体" w:hAnsi="黑体" w:eastAsia="黑体" w:cs="仿宋"/>
          <w:color w:val="000000"/>
          <w:sz w:val="36"/>
          <w:szCs w:val="36"/>
        </w:rPr>
        <w:br w:type="page"/>
      </w:r>
    </w:p>
    <w:p>
      <w:pPr>
        <w:pStyle w:val="2"/>
        <w:jc w:val="center"/>
        <w:rPr>
          <w:rFonts w:ascii="黑体" w:hAnsi="黑体" w:eastAsia="黑体" w:cs="仿宋"/>
          <w:b w:val="0"/>
          <w:color w:val="000000"/>
          <w:sz w:val="36"/>
          <w:szCs w:val="36"/>
        </w:rPr>
      </w:pPr>
      <w:r>
        <w:rPr>
          <w:rFonts w:hint="eastAsia" w:ascii="黑体" w:hAnsi="黑体" w:eastAsia="黑体" w:cs="仿宋"/>
          <w:b w:val="0"/>
          <w:color w:val="000000"/>
          <w:sz w:val="36"/>
          <w:szCs w:val="36"/>
        </w:rPr>
        <w:t>第六章  响应文件格式</w:t>
      </w:r>
      <w:bookmarkEnd w:id="54"/>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pStyle w:val="3"/>
        <w:jc w:val="center"/>
        <w:rPr>
          <w:rFonts w:ascii="黑体" w:hAnsi="黑体" w:eastAsia="黑体" w:cs="仿宋"/>
        </w:rPr>
      </w:pPr>
      <w:bookmarkStart w:id="55" w:name="_Toc106039364"/>
      <w:r>
        <w:rPr>
          <w:rFonts w:hint="eastAsia" w:ascii="黑体" w:hAnsi="黑体" w:eastAsia="黑体" w:cs="仿宋"/>
        </w:rPr>
        <w:t>一、响应函</w:t>
      </w:r>
      <w:bookmarkEnd w:id="55"/>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pStyle w:val="3"/>
        <w:jc w:val="center"/>
        <w:rPr>
          <w:rFonts w:ascii="黑体" w:hAnsi="黑体" w:eastAsia="黑体" w:cs="仿宋"/>
        </w:rPr>
      </w:pPr>
      <w:r>
        <w:rPr>
          <w:rFonts w:hint="eastAsia" w:cs="仿宋" w:asciiTheme="minorEastAsia" w:hAnsiTheme="minorEastAsia" w:eastAsiaTheme="minorEastAsia"/>
          <w:sz w:val="24"/>
        </w:rPr>
        <w:br w:type="page"/>
      </w:r>
      <w:bookmarkStart w:id="56" w:name="_Toc106039365"/>
      <w:r>
        <w:rPr>
          <w:rFonts w:hint="eastAsia" w:ascii="黑体" w:hAnsi="黑体" w:eastAsia="黑体" w:cs="仿宋"/>
        </w:rPr>
        <w:t>二、授权委托书</w:t>
      </w:r>
      <w:bookmarkEnd w:id="5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3"/>
        <w:jc w:val="center"/>
        <w:rPr>
          <w:rFonts w:ascii="黑体" w:hAnsi="黑体" w:eastAsia="黑体" w:cs="仿宋"/>
        </w:rPr>
      </w:pPr>
      <w:bookmarkStart w:id="57" w:name="_Toc106039366"/>
      <w:r>
        <w:rPr>
          <w:rFonts w:hint="eastAsia" w:ascii="黑体" w:hAnsi="黑体" w:eastAsia="黑体" w:cs="仿宋"/>
        </w:rPr>
        <w:t>三、商务和技术偏差表</w:t>
      </w:r>
      <w:bookmarkEnd w:id="57"/>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sectPr>
          <w:footerReference r:id="rId5" w:type="default"/>
          <w:pgSz w:w="11906" w:h="16838"/>
          <w:pgMar w:top="1440" w:right="1366" w:bottom="1440" w:left="1080" w:header="851" w:footer="1344" w:gutter="0"/>
          <w:cols w:space="720" w:num="1"/>
          <w:docGrid w:linePitch="312" w:charSpace="0"/>
        </w:sectPr>
      </w:pPr>
    </w:p>
    <w:p>
      <w:pPr>
        <w:jc w:val="both"/>
        <w:rPr>
          <w:rFonts w:cs="仿宋" w:asciiTheme="minorEastAsia" w:hAnsiTheme="minorEastAsia" w:eastAsiaTheme="minorEastAsia"/>
          <w:sz w:val="24"/>
        </w:rPr>
      </w:pPr>
    </w:p>
    <w:p>
      <w:pPr>
        <w:pStyle w:val="3"/>
        <w:jc w:val="center"/>
        <w:rPr>
          <w:rFonts w:ascii="黑体" w:hAnsi="黑体" w:eastAsia="黑体" w:cs="仿宋"/>
        </w:rPr>
      </w:pPr>
      <w:bookmarkStart w:id="58" w:name="_Toc106039367"/>
      <w:r>
        <w:rPr>
          <w:rFonts w:hint="eastAsia" w:ascii="黑体" w:hAnsi="黑体" w:eastAsia="黑体" w:cs="仿宋"/>
        </w:rPr>
        <w:t>四、报价表</w:t>
      </w:r>
      <w:bookmarkEnd w:id="58"/>
    </w:p>
    <w:tbl>
      <w:tblPr>
        <w:tblStyle w:val="43"/>
        <w:tblpPr w:leftFromText="180" w:rightFromText="180" w:vertAnchor="text" w:horzAnchor="page" w:tblpX="1028" w:tblpY="295"/>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215"/>
        <w:gridCol w:w="1907"/>
        <w:gridCol w:w="2593"/>
        <w:gridCol w:w="645"/>
        <w:gridCol w:w="705"/>
        <w:gridCol w:w="103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84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长沙集星海关监管区内贸提</w:t>
            </w:r>
            <w:r>
              <w:rPr>
                <w:rFonts w:hint="eastAsia" w:ascii="宋体" w:hAnsi="宋体" w:cs="宋体"/>
                <w:b/>
                <w:bCs/>
                <w:i w:val="0"/>
                <w:iCs w:val="0"/>
                <w:color w:val="000000"/>
                <w:kern w:val="0"/>
                <w:sz w:val="24"/>
                <w:szCs w:val="24"/>
                <w:u w:val="none"/>
                <w:lang w:val="en-US" w:eastAsia="zh-CN" w:bidi="ar"/>
              </w:rPr>
              <w:t>空车</w:t>
            </w:r>
            <w:r>
              <w:rPr>
                <w:rFonts w:hint="eastAsia" w:ascii="宋体" w:hAnsi="宋体" w:eastAsia="宋体" w:cs="宋体"/>
                <w:b/>
                <w:bCs/>
                <w:i w:val="0"/>
                <w:iCs w:val="0"/>
                <w:color w:val="000000"/>
                <w:kern w:val="0"/>
                <w:sz w:val="24"/>
                <w:szCs w:val="24"/>
                <w:u w:val="none"/>
                <w:lang w:val="en-US" w:eastAsia="zh-CN" w:bidi="ar"/>
              </w:rPr>
              <w:t>进场智能卡口系统报价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1、进场通道（A类货运通道）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规格型号（类似于）</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闸口放行控制系统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通道室外一体化智能机柜</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Style w:val="197"/>
                <w:lang w:val="en-US" w:eastAsia="zh-CN" w:bidi="ar"/>
              </w:rPr>
              <w:t>，</w:t>
            </w:r>
            <w:r>
              <w:rPr>
                <w:rFonts w:hint="eastAsia" w:ascii="宋体" w:hAnsi="宋体" w:eastAsia="宋体" w:cs="宋体"/>
                <w:i w:val="0"/>
                <w:iCs w:val="0"/>
                <w:color w:val="000000"/>
                <w:kern w:val="0"/>
                <w:sz w:val="20"/>
                <w:szCs w:val="20"/>
                <w:u w:val="none"/>
                <w:lang w:val="en-US" w:eastAsia="zh-CN" w:bidi="ar"/>
              </w:rPr>
              <w:t>防雨，集成小票打印机、二维码扫描仪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机柜LED条屏</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显示文字：≥6个汉字；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显示尺寸：≥64×384mm。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通信方式：RS232/RS485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使用环境温度：-35℃～65℃；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环境湿度：≤95%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类似于丰利源等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LED提示屏立柱</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类似于丰利源等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工业级，MOXA 8口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信息控制处理器（带系统）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工业级标准、定制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H3C，千兆，8口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红外车辆分离器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车辆检测器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能稳定检测到通过的速度不大于60公里/小时的二轮以上各种车辆；灵敏度4级可调；平均使用寿命：大于800万辆次，输入电压：AC220V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电子栏杆</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杆体上喷有红白相间反光漆，栏杆臂使用高强度铝合金材料，杆长≥3.0米；栏杆的更换简单、方便；自动挡杆单次起/降时间≤1.6s，寿命大于150万往复次；电动栏杆配有遥控器，具有手动应急控制功能。</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进场、离场地感线圈</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双色高亮LED灯，与挡杆主机联动显示.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红绿灯安装杆件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工作电压：DC12V~24V/AC220V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功率：12W（12V）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声音响度：≤120dB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光学车牌识别系统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一体摄像机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类似于海康等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适用电源：220/380V； 最大工作电压：AC320V； 最大容通电流：20kA (8/20μs)； 电压保护水平：&lt;1200 V</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摄像机安装支架杆件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光通量:1800LM(抓拍亮度)，平均功率:18W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工作寿命:≥60000小时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防护等级:IP68</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补光灯安装支架杆件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车牌自动识别软件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二维码识别扫描仪</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 水晶头，1280×1024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扫描角度：±60°,±54°,360°（ 左右、前后、转动），支持一维、二维码扫描。</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二维码识别系统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识别一维、二维码数据，符合海关标准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7寸显示屏，RJ45接口，支持电脑显示端</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防雨、支持语音加视频、RJ45接口</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室外机安装杆</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定制，用于安装室外机，含防雨罩</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线材及辅材</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各类电源线、控制线、网线（六类），光纤，开关，串口线等。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云卡口系统软件</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卡口前端集成子系统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定制，集成卡口前端箱号识别、车牌、地感线圈、二维码等信号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卡口对接子系</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r>
              <w:rPr>
                <w:rFonts w:hint="eastAsia" w:ascii="宋体" w:hAnsi="宋体" w:cs="宋体"/>
                <w:i w:val="0"/>
                <w:iCs w:val="0"/>
                <w:color w:val="000000"/>
                <w:kern w:val="0"/>
                <w:sz w:val="20"/>
                <w:szCs w:val="20"/>
                <w:u w:val="none"/>
                <w:lang w:val="en-US" w:eastAsia="zh-CN" w:bidi="ar"/>
              </w:rPr>
              <w:t>与海关内贸核放单系统、金关二期系统对接，实现内贸车辆进场实现自动抬杆放行，与码头TOPS系统对接实现进场业务自动办理。</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卡口运维管理子系统软件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定制,实现通道管理、数据库管理、运行参数配置、图片管理、日志管理、历史数据查询、安全管理、实时信息展示、数据统计分析功能等。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2、监管场所视频监控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网络一体枪机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传感器类型1/2.8英寸CMOS；最大分辨率200W；最大红外距离40米；镜头2.7mm～13.5mm；支持H.265/H.264；防护等级IP67；工作温度-40～60℃、湿度＜95%</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防护罩安装支架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定制，不锈钢材质</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摄像机安装杆件</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防锈，抗风，高≥2.5米，立杆直径≥70mm,壁厚≥3mm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二合一防雷器：电源和信号</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H986机房</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类似于类戴尔（DELL） R740丨2U机架式服务器主机双路GPU深度学习 R740〖2*银牌4210R 10核20线程〗 64G内存丨2*4T 7.2K硬盘丨H330，双网卡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 server 2019标准版或以上版本</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不低于21#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I5/8G/1T/128 SSD硬盘，工业键盘鼠标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win10 专业版</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耗材辅材</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六类类双铰线网、插线板、水晶头、空气开关等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4、网络工程（现地网络、海关监控摄像头网络接入H986机房）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网络工程</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光纤布线</w:t>
            </w:r>
          </w:p>
        </w:tc>
        <w:tc>
          <w:tcPr>
            <w:tcW w:w="2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从闸口至H986机房，含强电、光纤布线具体以实际情况为主</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破路面</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光纤(12芯）</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融纤</w:t>
            </w:r>
          </w:p>
        </w:tc>
        <w:tc>
          <w:tcPr>
            <w:tcW w:w="2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5、智慧卡口辅助系统升级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系统类别</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智慧卡口辅助系统</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定制化开发、</w:t>
            </w:r>
            <w:r>
              <w:rPr>
                <w:rFonts w:hint="eastAsia" w:ascii="宋体" w:hAnsi="宋体" w:cs="宋体"/>
                <w:i w:val="0"/>
                <w:iCs w:val="0"/>
                <w:color w:val="000000"/>
                <w:kern w:val="0"/>
                <w:sz w:val="20"/>
                <w:szCs w:val="20"/>
                <w:u w:val="none"/>
                <w:lang w:val="en-US" w:eastAsia="zh-CN" w:bidi="ar"/>
              </w:rPr>
              <w:t>升级现有智能卡口辅助系统，码头TOPS系统，支持码头实现内贸通道入、外贸通道出及外贸通道入、外贸通道出应用场景。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1-5项</w:t>
            </w:r>
            <w:r>
              <w:rPr>
                <w:rFonts w:hint="eastAsia" w:ascii="宋体" w:hAnsi="宋体" w:eastAsia="宋体" w:cs="宋体"/>
                <w:b/>
                <w:bCs/>
                <w:i w:val="0"/>
                <w:iCs w:val="0"/>
                <w:color w:val="000000"/>
                <w:kern w:val="0"/>
                <w:sz w:val="20"/>
                <w:szCs w:val="20"/>
                <w:u w:val="none"/>
                <w:lang w:val="en-US" w:eastAsia="zh-CN" w:bidi="ar"/>
              </w:rPr>
              <w:t>小计：</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6、</w:t>
            </w:r>
            <w:r>
              <w:rPr>
                <w:rFonts w:hint="eastAsia" w:ascii="宋体" w:hAnsi="宋体" w:eastAsia="宋体" w:cs="宋体"/>
                <w:b/>
                <w:bCs/>
                <w:i w:val="0"/>
                <w:iCs w:val="0"/>
                <w:color w:val="000000"/>
                <w:kern w:val="0"/>
                <w:sz w:val="20"/>
                <w:szCs w:val="20"/>
                <w:u w:val="none"/>
                <w:lang w:val="en-US" w:eastAsia="zh-CN" w:bidi="ar"/>
              </w:rPr>
              <w:t>设备集成、软件联调</w:t>
            </w:r>
            <w:r>
              <w:rPr>
                <w:rFonts w:hint="eastAsia" w:ascii="宋体" w:hAnsi="宋体" w:cs="宋体"/>
                <w:b/>
                <w:bCs/>
                <w:i w:val="0"/>
                <w:iCs w:val="0"/>
                <w:color w:val="000000"/>
                <w:kern w:val="0"/>
                <w:sz w:val="20"/>
                <w:szCs w:val="20"/>
                <w:u w:val="none"/>
                <w:lang w:val="en-US" w:eastAsia="zh-CN" w:bidi="ar"/>
              </w:rPr>
              <w:t>（含海关、生产系统数据协调、对接等）</w:t>
            </w:r>
            <w:r>
              <w:rPr>
                <w:rFonts w:hint="eastAsia" w:ascii="宋体" w:hAnsi="宋体" w:eastAsia="宋体" w:cs="宋体"/>
                <w:b/>
                <w:bCs/>
                <w:i w:val="0"/>
                <w:iCs w:val="0"/>
                <w:color w:val="000000"/>
                <w:kern w:val="0"/>
                <w:sz w:val="20"/>
                <w:szCs w:val="20"/>
                <w:u w:val="none"/>
                <w:lang w:val="en-US" w:eastAsia="zh-CN" w:bidi="ar"/>
              </w:rPr>
              <w:t>费用：</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总报价</w:t>
            </w:r>
            <w:r>
              <w:rPr>
                <w:rFonts w:hint="eastAsia" w:ascii="宋体" w:hAnsi="宋体" w:eastAsia="宋体" w:cs="宋体"/>
                <w:b/>
                <w:bCs/>
                <w:i w:val="0"/>
                <w:iCs w:val="0"/>
                <w:color w:val="000000"/>
                <w:kern w:val="0"/>
                <w:sz w:val="20"/>
                <w:szCs w:val="20"/>
                <w:u w:val="none"/>
                <w:lang w:val="en-US" w:eastAsia="zh-CN" w:bidi="ar"/>
              </w:rPr>
              <w:t>：</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bl>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jc w:val="center"/>
        <w:rPr>
          <w:rFonts w:hint="eastAsia"/>
          <w:sz w:val="24"/>
          <w:szCs w:val="24"/>
          <w:u w:val="single"/>
          <w:lang w:val="en-US" w:eastAsia="zh-CN"/>
        </w:rPr>
      </w:pPr>
      <w:r>
        <w:rPr>
          <w:rFonts w:hint="eastAsia"/>
          <w:sz w:val="24"/>
          <w:szCs w:val="24"/>
          <w:lang w:val="en-US" w:eastAsia="zh-CN"/>
        </w:rPr>
        <w:t xml:space="preserve">                </w:t>
      </w:r>
      <w:r>
        <w:rPr>
          <w:rFonts w:hint="eastAsia"/>
          <w:sz w:val="24"/>
          <w:szCs w:val="24"/>
          <w:lang w:eastAsia="zh-CN"/>
        </w:rPr>
        <w:t>供应商名称（盖章）：</w:t>
      </w:r>
      <w:r>
        <w:rPr>
          <w:rFonts w:hint="eastAsia"/>
          <w:sz w:val="24"/>
          <w:szCs w:val="24"/>
          <w:u w:val="single"/>
          <w:lang w:val="en-US" w:eastAsia="zh-CN"/>
        </w:rPr>
        <w:t xml:space="preserve">                     </w:t>
      </w:r>
    </w:p>
    <w:p>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年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月 </w:t>
      </w:r>
      <w:r>
        <w:rPr>
          <w:rFonts w:hint="eastAsia" w:eastAsia="宋体" w:cs="Times New Roman"/>
          <w:b w:val="0"/>
          <w:bCs w:val="0"/>
          <w:kern w:val="2"/>
          <w:sz w:val="24"/>
          <w:szCs w:val="24"/>
          <w:lang w:val="en-US" w:eastAsia="zh-CN" w:bidi="ar-SA"/>
        </w:rPr>
        <w:t xml:space="preserve">   </w:t>
      </w:r>
      <w:r>
        <w:rPr>
          <w:rFonts w:hint="eastAsia" w:ascii="Times New Roman" w:hAnsi="Times New Roman" w:eastAsia="宋体" w:cs="Times New Roman"/>
          <w:b w:val="0"/>
          <w:bCs w:val="0"/>
          <w:kern w:val="2"/>
          <w:sz w:val="24"/>
          <w:szCs w:val="24"/>
          <w:lang w:val="en-US" w:eastAsia="zh-CN" w:bidi="ar-SA"/>
        </w:rPr>
        <w:t xml:space="preserve"> 日</w:t>
      </w:r>
    </w:p>
    <w:p>
      <w:pPr>
        <w:rPr>
          <w:sz w:val="24"/>
          <w:szCs w:val="24"/>
        </w:rPr>
      </w:pPr>
    </w:p>
    <w:p>
      <w:pPr>
        <w:rPr>
          <w:rFonts w:hint="eastAsia" w:ascii="黑体" w:hAnsi="黑体" w:eastAsia="黑体" w:cs="仿宋"/>
        </w:rPr>
      </w:pPr>
      <w:bookmarkStart w:id="59" w:name="_Toc106039369"/>
      <w:r>
        <w:rPr>
          <w:rFonts w:hint="eastAsia" w:ascii="黑体" w:hAnsi="黑体" w:eastAsia="黑体" w:cs="仿宋"/>
        </w:rPr>
        <w:br w:type="page"/>
      </w:r>
    </w:p>
    <w:p>
      <w:pPr>
        <w:pStyle w:val="3"/>
        <w:jc w:val="center"/>
        <w:rPr>
          <w:rFonts w:ascii="黑体" w:hAnsi="黑体" w:eastAsia="黑体" w:cs="仿宋"/>
        </w:rPr>
      </w:pPr>
      <w:r>
        <w:rPr>
          <w:rFonts w:hint="eastAsia" w:ascii="黑体" w:hAnsi="黑体" w:eastAsia="黑体" w:cs="仿宋"/>
        </w:rPr>
        <w:t>五、资格审查资料</w:t>
      </w:r>
      <w:bookmarkEnd w:id="59"/>
    </w:p>
    <w:p>
      <w:pPr>
        <w:spacing w:line="600" w:lineRule="exact"/>
        <w:jc w:val="center"/>
        <w:rPr>
          <w:rFonts w:ascii="黑体" w:hAnsi="黑体" w:eastAsia="黑体" w:cs="仿宋"/>
          <w:sz w:val="36"/>
          <w:szCs w:val="36"/>
        </w:rPr>
      </w:pPr>
    </w:p>
    <w:p>
      <w:pPr>
        <w:pStyle w:val="4"/>
        <w:spacing w:before="0" w:beforeAutospacing="0" w:after="0" w:afterAutospacing="0"/>
        <w:rPr>
          <w:rFonts w:cs="仿宋" w:asciiTheme="minorEastAsia" w:hAnsiTheme="minorEastAsia" w:eastAsiaTheme="minorEastAsia"/>
          <w:sz w:val="24"/>
        </w:rPr>
      </w:pPr>
      <w:bookmarkStart w:id="60" w:name="_Toc106039370"/>
      <w:r>
        <w:rPr>
          <w:rFonts w:hint="eastAsia" w:cs="仿宋" w:asciiTheme="minorEastAsia" w:hAnsiTheme="minorEastAsia" w:eastAsiaTheme="minorEastAsia"/>
          <w:sz w:val="24"/>
        </w:rPr>
        <w:t>（一）基本情况</w:t>
      </w:r>
      <w:bookmarkEnd w:id="60"/>
    </w:p>
    <w:p>
      <w:pPr>
        <w:spacing w:line="600" w:lineRule="exact"/>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供应商应根据供应商须知前附表第3.5（1）项提供主体资格证明资料</w:t>
      </w:r>
      <w:r>
        <w:rPr>
          <w:rFonts w:hint="eastAsia" w:cs="仿宋" w:asciiTheme="minorEastAsia" w:hAnsiTheme="minorEastAsia" w:eastAsiaTheme="minorEastAsia"/>
          <w:sz w:val="24"/>
          <w:lang w:eastAsia="zh-CN"/>
        </w:rPr>
        <w:t>。</w:t>
      </w: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sz w:val="24"/>
        </w:rPr>
        <w:t>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）项和第3.5（8）项的要求提供其他相关证明材料。</w:t>
      </w:r>
    </w:p>
    <w:p>
      <w:pPr>
        <w:pStyle w:val="4"/>
        <w:spacing w:before="0" w:beforeAutospacing="0" w:after="0" w:afterAutospacing="0"/>
        <w:rPr>
          <w:rFonts w:hint="default" w:cs="仿宋" w:asciiTheme="minorEastAsia" w:hAnsiTheme="minorEastAsia" w:eastAsiaTheme="minorEastAsia"/>
          <w:color w:val="auto"/>
          <w:sz w:val="24"/>
          <w:lang w:val="en-US" w:eastAsia="zh-CN"/>
        </w:rPr>
      </w:pPr>
      <w:bookmarkStart w:id="61" w:name="_Toc106039371"/>
      <w:r>
        <w:rPr>
          <w:rFonts w:hint="eastAsia" w:cs="仿宋" w:asciiTheme="minorEastAsia" w:hAnsiTheme="minorEastAsia" w:eastAsiaTheme="minorEastAsia"/>
          <w:color w:val="auto"/>
          <w:sz w:val="24"/>
        </w:rPr>
        <w:t>（二）</w:t>
      </w:r>
      <w:bookmarkEnd w:id="61"/>
      <w:bookmarkStart w:id="62" w:name="_Toc106039372"/>
      <w:r>
        <w:rPr>
          <w:rFonts w:hint="eastAsia" w:cs="仿宋" w:asciiTheme="minorEastAsia" w:hAnsiTheme="minorEastAsia" w:eastAsiaTheme="minorEastAsia"/>
          <w:color w:val="auto"/>
          <w:sz w:val="24"/>
        </w:rPr>
        <w:t>近年的类似项目情况表</w:t>
      </w:r>
      <w:bookmarkEnd w:id="62"/>
      <w:r>
        <w:rPr>
          <w:rFonts w:hint="eastAsia" w:cs="仿宋" w:asciiTheme="minorEastAsia" w:hAnsiTheme="minorEastAsia" w:eastAsiaTheme="minorEastAsia"/>
          <w:b w:val="0"/>
          <w:bCs w:val="0"/>
          <w:color w:val="auto"/>
          <w:sz w:val="24"/>
          <w:lang w:eastAsia="zh-CN"/>
        </w:rPr>
        <w:t>（至少提供</w:t>
      </w:r>
      <w:r>
        <w:rPr>
          <w:rFonts w:hint="eastAsia" w:cs="仿宋" w:asciiTheme="minorEastAsia" w:hAnsiTheme="minorEastAsia" w:eastAsiaTheme="minorEastAsia"/>
          <w:b w:val="0"/>
          <w:bCs w:val="0"/>
          <w:color w:val="auto"/>
          <w:sz w:val="24"/>
          <w:lang w:val="en-US" w:eastAsia="zh-CN"/>
        </w:rPr>
        <w:t>1个）</w:t>
      </w:r>
    </w:p>
    <w:tbl>
      <w:tblPr>
        <w:tblStyle w:val="4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采购内容</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是否完成</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4701" w:type="dxa"/>
            <w:vAlign w:val="center"/>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98" w:type="dxa"/>
            <w:vAlign w:val="center"/>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4701" w:type="dxa"/>
            <w:vAlign w:val="center"/>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rPr>
          <w:rFonts w:hint="eastAsia" w:ascii="黑体" w:hAnsi="黑体" w:eastAsia="黑体" w:cs="仿宋"/>
        </w:rPr>
      </w:pPr>
      <w:bookmarkStart w:id="63" w:name="_Toc106039375"/>
      <w:r>
        <w:rPr>
          <w:rFonts w:hint="eastAsia" w:ascii="黑体" w:hAnsi="黑体" w:eastAsia="黑体" w:cs="仿宋"/>
        </w:rPr>
        <w:br w:type="page"/>
      </w:r>
    </w:p>
    <w:p>
      <w:pPr>
        <w:pStyle w:val="3"/>
        <w:jc w:val="center"/>
        <w:rPr>
          <w:rFonts w:ascii="黑体" w:hAnsi="黑体" w:eastAsia="黑体" w:cs="仿宋"/>
        </w:rPr>
      </w:pPr>
      <w:r>
        <w:rPr>
          <w:rFonts w:hint="eastAsia" w:ascii="黑体" w:hAnsi="黑体" w:eastAsia="黑体" w:cs="仿宋"/>
        </w:rPr>
        <w:t>六、响应方案</w:t>
      </w:r>
      <w:bookmarkEnd w:id="63"/>
    </w:p>
    <w:p>
      <w:pPr>
        <w:pStyle w:val="41"/>
      </w:pPr>
    </w:p>
    <w:p>
      <w:pPr>
        <w:spacing w:line="360" w:lineRule="auto"/>
        <w:ind w:firstLine="480" w:firstLineChars="200"/>
        <w:jc w:val="both"/>
        <w:rPr>
          <w:rFonts w:ascii="宋体" w:hAnsi="宋体"/>
          <w:sz w:val="24"/>
        </w:rPr>
      </w:pPr>
      <w:r>
        <w:rPr>
          <w:rFonts w:hint="eastAsia" w:ascii="宋体" w:hAnsi="宋体"/>
          <w:sz w:val="24"/>
        </w:rPr>
        <w:t>响应方案一般包括(但不限于)下列内容:</w:t>
      </w:r>
    </w:p>
    <w:p>
      <w:pPr>
        <w:spacing w:line="360" w:lineRule="auto"/>
        <w:ind w:firstLine="480" w:firstLineChars="200"/>
        <w:jc w:val="both"/>
        <w:rPr>
          <w:rFonts w:ascii="宋体" w:hAnsi="宋体"/>
          <w:sz w:val="24"/>
        </w:rPr>
      </w:pPr>
      <w:r>
        <w:rPr>
          <w:rFonts w:hint="eastAsia" w:ascii="宋体" w:hAnsi="宋体"/>
          <w:sz w:val="24"/>
        </w:rPr>
        <w:t>(一)货物质量标准或技术性能指标的详细描述（可结合第三章“评审办法”和第五章“采购需求”中的要求进行响应）；</w:t>
      </w:r>
    </w:p>
    <w:p>
      <w:pPr>
        <w:spacing w:line="360" w:lineRule="auto"/>
        <w:ind w:firstLine="480" w:firstLineChars="200"/>
        <w:jc w:val="both"/>
        <w:rPr>
          <w:rFonts w:ascii="宋体" w:hAnsi="宋体"/>
          <w:sz w:val="24"/>
        </w:rPr>
      </w:pPr>
      <w:r>
        <w:rPr>
          <w:rFonts w:hint="eastAsia" w:ascii="宋体" w:hAnsi="宋体"/>
          <w:sz w:val="24"/>
        </w:rPr>
        <w:t>（二）技术支持资料（可结合第三章“评审办法”和第五章“采购需求”中的要求进行响应）；</w:t>
      </w:r>
    </w:p>
    <w:p>
      <w:pPr>
        <w:spacing w:line="360" w:lineRule="auto"/>
        <w:ind w:firstLine="480" w:firstLineChars="200"/>
        <w:jc w:val="both"/>
        <w:rPr>
          <w:rFonts w:ascii="黑体" w:hAnsi="黑体" w:eastAsia="黑体" w:cs="仿宋"/>
          <w:b/>
          <w:bCs/>
          <w:kern w:val="44"/>
          <w:sz w:val="36"/>
          <w:szCs w:val="36"/>
        </w:rPr>
      </w:pPr>
      <w:r>
        <w:rPr>
          <w:rFonts w:hint="eastAsia" w:ascii="宋体" w:hAnsi="宋体"/>
          <w:sz w:val="24"/>
        </w:rPr>
        <w:t>（三）相关服务计划（可结合第三章“评审办法”和第五章“采购需求”中的要求进行响应）；</w:t>
      </w:r>
      <w:r>
        <w:rPr>
          <w:rFonts w:ascii="黑体" w:hAnsi="黑体" w:eastAsia="黑体" w:cs="仿宋"/>
          <w:sz w:val="36"/>
          <w:szCs w:val="36"/>
        </w:rPr>
        <w:br w:type="page"/>
      </w:r>
    </w:p>
    <w:p>
      <w:pPr>
        <w:pStyle w:val="3"/>
        <w:jc w:val="center"/>
        <w:rPr>
          <w:rFonts w:ascii="黑体" w:hAnsi="黑体" w:eastAsia="黑体" w:cs="仿宋"/>
        </w:rPr>
      </w:pPr>
      <w:bookmarkStart w:id="64" w:name="_Toc106039376"/>
      <w:r>
        <w:rPr>
          <w:rFonts w:hint="eastAsia" w:ascii="黑体" w:hAnsi="黑体" w:eastAsia="黑体" w:cs="仿宋"/>
        </w:rPr>
        <w:t>七、其他资料</w:t>
      </w:r>
      <w:bookmarkEnd w:id="6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decorative"/>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21</w:t>
        </w:r>
        <w:r>
          <w:rPr>
            <w:sz w:val="20"/>
          </w:rP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部分"/>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5CD50608"/>
    <w:multiLevelType w:val="singleLevel"/>
    <w:tmpl w:val="5CD50608"/>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revisionView w:markup="0"/>
  <w:trackRevisions w:val="1"/>
  <w:documentProtection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251C1"/>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DC1"/>
    <w:rsid w:val="00133753"/>
    <w:rsid w:val="0013766E"/>
    <w:rsid w:val="00141200"/>
    <w:rsid w:val="001421A1"/>
    <w:rsid w:val="0014231F"/>
    <w:rsid w:val="001429F5"/>
    <w:rsid w:val="00143EE9"/>
    <w:rsid w:val="00144A0B"/>
    <w:rsid w:val="00155F5F"/>
    <w:rsid w:val="001624F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6695"/>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CF3"/>
    <w:rsid w:val="004F5B58"/>
    <w:rsid w:val="004F7BD5"/>
    <w:rsid w:val="004F7F0C"/>
    <w:rsid w:val="0050258D"/>
    <w:rsid w:val="0051116B"/>
    <w:rsid w:val="00514DA0"/>
    <w:rsid w:val="00527EEC"/>
    <w:rsid w:val="005307B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3D4A"/>
    <w:rsid w:val="007F3EC6"/>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2857"/>
    <w:rsid w:val="009B5405"/>
    <w:rsid w:val="009B626F"/>
    <w:rsid w:val="009B66AE"/>
    <w:rsid w:val="009C5A07"/>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2565"/>
    <w:rsid w:val="00C324D4"/>
    <w:rsid w:val="00C50F7B"/>
    <w:rsid w:val="00C52E06"/>
    <w:rsid w:val="00C53A90"/>
    <w:rsid w:val="00C54AC5"/>
    <w:rsid w:val="00C7182C"/>
    <w:rsid w:val="00C80A31"/>
    <w:rsid w:val="00C931BF"/>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0ADF"/>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24833"/>
    <w:rsid w:val="00E25112"/>
    <w:rsid w:val="00E263FD"/>
    <w:rsid w:val="00E30201"/>
    <w:rsid w:val="00E44E6A"/>
    <w:rsid w:val="00E4799A"/>
    <w:rsid w:val="00E5145F"/>
    <w:rsid w:val="00E5459C"/>
    <w:rsid w:val="00E61B4A"/>
    <w:rsid w:val="00E65DCA"/>
    <w:rsid w:val="00E828A3"/>
    <w:rsid w:val="00E839E1"/>
    <w:rsid w:val="00E84D8F"/>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06D3D"/>
    <w:rsid w:val="00F138CF"/>
    <w:rsid w:val="00F17C9D"/>
    <w:rsid w:val="00F31726"/>
    <w:rsid w:val="00F40991"/>
    <w:rsid w:val="00F43672"/>
    <w:rsid w:val="00F449A4"/>
    <w:rsid w:val="00F51761"/>
    <w:rsid w:val="00F51B37"/>
    <w:rsid w:val="00F552F8"/>
    <w:rsid w:val="00F725CC"/>
    <w:rsid w:val="00F76C2C"/>
    <w:rsid w:val="00F86C0E"/>
    <w:rsid w:val="00FA688E"/>
    <w:rsid w:val="00FB7FEC"/>
    <w:rsid w:val="00FC0CDA"/>
    <w:rsid w:val="00FC2557"/>
    <w:rsid w:val="00FC3155"/>
    <w:rsid w:val="00FD0360"/>
    <w:rsid w:val="00FD3A25"/>
    <w:rsid w:val="00FD4D0F"/>
    <w:rsid w:val="00FD78D6"/>
    <w:rsid w:val="00FE3439"/>
    <w:rsid w:val="00FE5003"/>
    <w:rsid w:val="00FF43B1"/>
    <w:rsid w:val="00FF670A"/>
    <w:rsid w:val="015D4263"/>
    <w:rsid w:val="016110F4"/>
    <w:rsid w:val="01AC7279"/>
    <w:rsid w:val="01B372CB"/>
    <w:rsid w:val="01BB3CD7"/>
    <w:rsid w:val="01CD028F"/>
    <w:rsid w:val="01D76005"/>
    <w:rsid w:val="01F71C64"/>
    <w:rsid w:val="02111C54"/>
    <w:rsid w:val="02C82FD8"/>
    <w:rsid w:val="032D26DE"/>
    <w:rsid w:val="047C353A"/>
    <w:rsid w:val="04A65DBC"/>
    <w:rsid w:val="04C70CFD"/>
    <w:rsid w:val="05C8377A"/>
    <w:rsid w:val="05CD3A4B"/>
    <w:rsid w:val="05EF1FFE"/>
    <w:rsid w:val="071C2DD7"/>
    <w:rsid w:val="078C4C2A"/>
    <w:rsid w:val="0882554E"/>
    <w:rsid w:val="08826D5B"/>
    <w:rsid w:val="08876C3D"/>
    <w:rsid w:val="09343645"/>
    <w:rsid w:val="09970B85"/>
    <w:rsid w:val="09C6304D"/>
    <w:rsid w:val="09E7100A"/>
    <w:rsid w:val="0AED2D32"/>
    <w:rsid w:val="0AF00027"/>
    <w:rsid w:val="0B0D605F"/>
    <w:rsid w:val="0B272FBD"/>
    <w:rsid w:val="0B300652"/>
    <w:rsid w:val="0B534E7F"/>
    <w:rsid w:val="0C7412D9"/>
    <w:rsid w:val="0C905B62"/>
    <w:rsid w:val="0CCC561D"/>
    <w:rsid w:val="0CD44FE7"/>
    <w:rsid w:val="0CE02BCB"/>
    <w:rsid w:val="0D414932"/>
    <w:rsid w:val="0D4373BF"/>
    <w:rsid w:val="0D8B5F9E"/>
    <w:rsid w:val="0DB759FC"/>
    <w:rsid w:val="0DBD1316"/>
    <w:rsid w:val="0DDD064B"/>
    <w:rsid w:val="0E1F3EB9"/>
    <w:rsid w:val="0E891CDE"/>
    <w:rsid w:val="0E894C6A"/>
    <w:rsid w:val="0F250657"/>
    <w:rsid w:val="0FE216C6"/>
    <w:rsid w:val="1029705A"/>
    <w:rsid w:val="1078180A"/>
    <w:rsid w:val="10A157BC"/>
    <w:rsid w:val="10D715D2"/>
    <w:rsid w:val="112343A2"/>
    <w:rsid w:val="113B3D20"/>
    <w:rsid w:val="1155765D"/>
    <w:rsid w:val="115E4704"/>
    <w:rsid w:val="119E5E08"/>
    <w:rsid w:val="12362DDF"/>
    <w:rsid w:val="12EE059B"/>
    <w:rsid w:val="134255D7"/>
    <w:rsid w:val="13692E14"/>
    <w:rsid w:val="136C60D7"/>
    <w:rsid w:val="145076DA"/>
    <w:rsid w:val="149C34F4"/>
    <w:rsid w:val="14B70C0B"/>
    <w:rsid w:val="1500069C"/>
    <w:rsid w:val="15912658"/>
    <w:rsid w:val="160759E1"/>
    <w:rsid w:val="160A7A1D"/>
    <w:rsid w:val="160B7CDB"/>
    <w:rsid w:val="16314BAD"/>
    <w:rsid w:val="17100B20"/>
    <w:rsid w:val="175240E1"/>
    <w:rsid w:val="17594306"/>
    <w:rsid w:val="17D539F2"/>
    <w:rsid w:val="17DA3589"/>
    <w:rsid w:val="17DD7BFF"/>
    <w:rsid w:val="17DF02C7"/>
    <w:rsid w:val="17FA7AA4"/>
    <w:rsid w:val="183F33C7"/>
    <w:rsid w:val="18673A10"/>
    <w:rsid w:val="18961368"/>
    <w:rsid w:val="18A90CBA"/>
    <w:rsid w:val="18E4741C"/>
    <w:rsid w:val="19097045"/>
    <w:rsid w:val="195C3032"/>
    <w:rsid w:val="196A4431"/>
    <w:rsid w:val="19E76A3F"/>
    <w:rsid w:val="1A104EBC"/>
    <w:rsid w:val="1ABA20D4"/>
    <w:rsid w:val="1AEE5086"/>
    <w:rsid w:val="1C2276D5"/>
    <w:rsid w:val="1D082A55"/>
    <w:rsid w:val="1D2F21AC"/>
    <w:rsid w:val="1D5D05DC"/>
    <w:rsid w:val="1DAB68D7"/>
    <w:rsid w:val="1DBB01B3"/>
    <w:rsid w:val="1DC7279C"/>
    <w:rsid w:val="1DEC3661"/>
    <w:rsid w:val="1E1F3B60"/>
    <w:rsid w:val="1E5803E7"/>
    <w:rsid w:val="1E901304"/>
    <w:rsid w:val="1F031D0C"/>
    <w:rsid w:val="1F0F644E"/>
    <w:rsid w:val="1F2E0BFF"/>
    <w:rsid w:val="1F833B5F"/>
    <w:rsid w:val="1F9359CA"/>
    <w:rsid w:val="1F9D58D9"/>
    <w:rsid w:val="1FB37BD1"/>
    <w:rsid w:val="1FBF76D7"/>
    <w:rsid w:val="20460236"/>
    <w:rsid w:val="205D54C9"/>
    <w:rsid w:val="20F56E6A"/>
    <w:rsid w:val="210E5B18"/>
    <w:rsid w:val="212E078A"/>
    <w:rsid w:val="213E3A2F"/>
    <w:rsid w:val="22CD0ADC"/>
    <w:rsid w:val="22D465DC"/>
    <w:rsid w:val="23331D17"/>
    <w:rsid w:val="235B5479"/>
    <w:rsid w:val="23A34879"/>
    <w:rsid w:val="23BE1A45"/>
    <w:rsid w:val="23F25245"/>
    <w:rsid w:val="244C69D6"/>
    <w:rsid w:val="24C25045"/>
    <w:rsid w:val="24CF2408"/>
    <w:rsid w:val="25313DAC"/>
    <w:rsid w:val="25670F4C"/>
    <w:rsid w:val="2578297E"/>
    <w:rsid w:val="2584425C"/>
    <w:rsid w:val="258D6E68"/>
    <w:rsid w:val="260770CA"/>
    <w:rsid w:val="264E6DB9"/>
    <w:rsid w:val="269B7B47"/>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7001FE"/>
    <w:rsid w:val="2A7757C9"/>
    <w:rsid w:val="2A810C26"/>
    <w:rsid w:val="2AA915E9"/>
    <w:rsid w:val="2AB628FE"/>
    <w:rsid w:val="2AEB642C"/>
    <w:rsid w:val="2B370856"/>
    <w:rsid w:val="2B957235"/>
    <w:rsid w:val="2BB311E2"/>
    <w:rsid w:val="2BF10955"/>
    <w:rsid w:val="2C3F32B8"/>
    <w:rsid w:val="2C7F01E4"/>
    <w:rsid w:val="2CB927D6"/>
    <w:rsid w:val="2D101F87"/>
    <w:rsid w:val="2D6C5B94"/>
    <w:rsid w:val="2D933C05"/>
    <w:rsid w:val="2DB10DD3"/>
    <w:rsid w:val="2DEC6D70"/>
    <w:rsid w:val="2E312601"/>
    <w:rsid w:val="2E41641E"/>
    <w:rsid w:val="2E944985"/>
    <w:rsid w:val="2F6261C2"/>
    <w:rsid w:val="2FA63021"/>
    <w:rsid w:val="2FCB45CD"/>
    <w:rsid w:val="2FD26F55"/>
    <w:rsid w:val="30096558"/>
    <w:rsid w:val="30564A47"/>
    <w:rsid w:val="30DE2DAE"/>
    <w:rsid w:val="31755D3D"/>
    <w:rsid w:val="31AD6526"/>
    <w:rsid w:val="32132449"/>
    <w:rsid w:val="323D10CB"/>
    <w:rsid w:val="32756EB2"/>
    <w:rsid w:val="328A0351"/>
    <w:rsid w:val="32947966"/>
    <w:rsid w:val="329D4C70"/>
    <w:rsid w:val="32CB6281"/>
    <w:rsid w:val="339248A7"/>
    <w:rsid w:val="33A00E70"/>
    <w:rsid w:val="342E7E88"/>
    <w:rsid w:val="3477594A"/>
    <w:rsid w:val="347E184F"/>
    <w:rsid w:val="34874156"/>
    <w:rsid w:val="34DC45DC"/>
    <w:rsid w:val="34F111A0"/>
    <w:rsid w:val="35032B89"/>
    <w:rsid w:val="351E6AD6"/>
    <w:rsid w:val="35E068D3"/>
    <w:rsid w:val="36237A11"/>
    <w:rsid w:val="369E5F5A"/>
    <w:rsid w:val="36AF60F0"/>
    <w:rsid w:val="36D57A86"/>
    <w:rsid w:val="36EC5253"/>
    <w:rsid w:val="379B30ED"/>
    <w:rsid w:val="37B50E0E"/>
    <w:rsid w:val="37E36BED"/>
    <w:rsid w:val="3806709E"/>
    <w:rsid w:val="38302D1E"/>
    <w:rsid w:val="38F94373"/>
    <w:rsid w:val="390636E6"/>
    <w:rsid w:val="39C96499"/>
    <w:rsid w:val="3A1D0739"/>
    <w:rsid w:val="3A5E7CCF"/>
    <w:rsid w:val="3A6E62DC"/>
    <w:rsid w:val="3AB17686"/>
    <w:rsid w:val="3AF93B99"/>
    <w:rsid w:val="3B082DE1"/>
    <w:rsid w:val="3B2B40CB"/>
    <w:rsid w:val="3B786F8B"/>
    <w:rsid w:val="3C100595"/>
    <w:rsid w:val="3CCF005B"/>
    <w:rsid w:val="3D461FBA"/>
    <w:rsid w:val="3D5B45EF"/>
    <w:rsid w:val="3D886522"/>
    <w:rsid w:val="3EC44618"/>
    <w:rsid w:val="3ED34DFA"/>
    <w:rsid w:val="3F0013D8"/>
    <w:rsid w:val="3F044229"/>
    <w:rsid w:val="3F2F2544"/>
    <w:rsid w:val="3F3343BB"/>
    <w:rsid w:val="3F747742"/>
    <w:rsid w:val="3FB93C81"/>
    <w:rsid w:val="3FEA1C2A"/>
    <w:rsid w:val="3FF2370A"/>
    <w:rsid w:val="407A02DD"/>
    <w:rsid w:val="40C81736"/>
    <w:rsid w:val="40CD665F"/>
    <w:rsid w:val="41A84E5D"/>
    <w:rsid w:val="41CE0EB7"/>
    <w:rsid w:val="41D33B60"/>
    <w:rsid w:val="42222937"/>
    <w:rsid w:val="42B9360E"/>
    <w:rsid w:val="43083C17"/>
    <w:rsid w:val="434A467A"/>
    <w:rsid w:val="439D4A0F"/>
    <w:rsid w:val="43AA0EDA"/>
    <w:rsid w:val="43BC1982"/>
    <w:rsid w:val="44553D96"/>
    <w:rsid w:val="44D14A1F"/>
    <w:rsid w:val="44EF214B"/>
    <w:rsid w:val="4503099B"/>
    <w:rsid w:val="453D7EFA"/>
    <w:rsid w:val="45FD2E1E"/>
    <w:rsid w:val="46236E22"/>
    <w:rsid w:val="463D1554"/>
    <w:rsid w:val="46480423"/>
    <w:rsid w:val="46C44BD5"/>
    <w:rsid w:val="46FD0ED7"/>
    <w:rsid w:val="47203BFF"/>
    <w:rsid w:val="473A1C92"/>
    <w:rsid w:val="47592E4A"/>
    <w:rsid w:val="47D44A52"/>
    <w:rsid w:val="48B457DA"/>
    <w:rsid w:val="48D77DA0"/>
    <w:rsid w:val="49055724"/>
    <w:rsid w:val="49061DFF"/>
    <w:rsid w:val="495F2766"/>
    <w:rsid w:val="49A15B9F"/>
    <w:rsid w:val="49D40A5E"/>
    <w:rsid w:val="49E352A4"/>
    <w:rsid w:val="4A625DAC"/>
    <w:rsid w:val="4BA044F9"/>
    <w:rsid w:val="4BB73BE9"/>
    <w:rsid w:val="4BEB2031"/>
    <w:rsid w:val="4C2C5768"/>
    <w:rsid w:val="4C56173B"/>
    <w:rsid w:val="4C8D7FB6"/>
    <w:rsid w:val="4CFB75B5"/>
    <w:rsid w:val="4D7D047C"/>
    <w:rsid w:val="4DA67EC1"/>
    <w:rsid w:val="4DC537EF"/>
    <w:rsid w:val="4DF47F35"/>
    <w:rsid w:val="4E2E52DC"/>
    <w:rsid w:val="4E5E70BD"/>
    <w:rsid w:val="4E5F0909"/>
    <w:rsid w:val="4E6200BB"/>
    <w:rsid w:val="4EC14021"/>
    <w:rsid w:val="4F542C5F"/>
    <w:rsid w:val="4F7855EA"/>
    <w:rsid w:val="4F940716"/>
    <w:rsid w:val="4FAF7130"/>
    <w:rsid w:val="501A2D91"/>
    <w:rsid w:val="50203001"/>
    <w:rsid w:val="50613214"/>
    <w:rsid w:val="515B1A65"/>
    <w:rsid w:val="520004CA"/>
    <w:rsid w:val="521E5740"/>
    <w:rsid w:val="522358DC"/>
    <w:rsid w:val="53345062"/>
    <w:rsid w:val="533D162C"/>
    <w:rsid w:val="53E549BF"/>
    <w:rsid w:val="5422279F"/>
    <w:rsid w:val="545B1761"/>
    <w:rsid w:val="54C32B11"/>
    <w:rsid w:val="54DC56F8"/>
    <w:rsid w:val="553C5B31"/>
    <w:rsid w:val="557117DE"/>
    <w:rsid w:val="557900DE"/>
    <w:rsid w:val="56367C5B"/>
    <w:rsid w:val="564F4CD9"/>
    <w:rsid w:val="56677807"/>
    <w:rsid w:val="56820D5B"/>
    <w:rsid w:val="56EE27E4"/>
    <w:rsid w:val="57096D7C"/>
    <w:rsid w:val="57634CB3"/>
    <w:rsid w:val="579B0911"/>
    <w:rsid w:val="58241EE9"/>
    <w:rsid w:val="58726012"/>
    <w:rsid w:val="58D06D06"/>
    <w:rsid w:val="58EF37E0"/>
    <w:rsid w:val="58FE0B8D"/>
    <w:rsid w:val="594C6D7C"/>
    <w:rsid w:val="59D5260B"/>
    <w:rsid w:val="59F510C8"/>
    <w:rsid w:val="5A190D99"/>
    <w:rsid w:val="5A465B9D"/>
    <w:rsid w:val="5A533C21"/>
    <w:rsid w:val="5A631C3C"/>
    <w:rsid w:val="5AA56ACB"/>
    <w:rsid w:val="5AF71073"/>
    <w:rsid w:val="5B6270CB"/>
    <w:rsid w:val="5B812149"/>
    <w:rsid w:val="5BB24FC7"/>
    <w:rsid w:val="5BE77BBC"/>
    <w:rsid w:val="5C714F18"/>
    <w:rsid w:val="5C9744CD"/>
    <w:rsid w:val="5D1E4A62"/>
    <w:rsid w:val="5D5A5542"/>
    <w:rsid w:val="5D87033A"/>
    <w:rsid w:val="5D9205BD"/>
    <w:rsid w:val="5D940B49"/>
    <w:rsid w:val="5DBD75BE"/>
    <w:rsid w:val="5DDB3A67"/>
    <w:rsid w:val="5E007081"/>
    <w:rsid w:val="5E2979F3"/>
    <w:rsid w:val="5E646A2E"/>
    <w:rsid w:val="5EA92355"/>
    <w:rsid w:val="5F2E04F4"/>
    <w:rsid w:val="5F5A7169"/>
    <w:rsid w:val="5F600FC9"/>
    <w:rsid w:val="5F831A87"/>
    <w:rsid w:val="5FA558FD"/>
    <w:rsid w:val="5FC52CF8"/>
    <w:rsid w:val="5FC5301A"/>
    <w:rsid w:val="601C77F5"/>
    <w:rsid w:val="608457E2"/>
    <w:rsid w:val="60E14966"/>
    <w:rsid w:val="611E50A8"/>
    <w:rsid w:val="616D757D"/>
    <w:rsid w:val="617C259E"/>
    <w:rsid w:val="62342CE6"/>
    <w:rsid w:val="6244605C"/>
    <w:rsid w:val="62525166"/>
    <w:rsid w:val="62E839D4"/>
    <w:rsid w:val="632B72A3"/>
    <w:rsid w:val="63310F09"/>
    <w:rsid w:val="63505113"/>
    <w:rsid w:val="63B84F56"/>
    <w:rsid w:val="63ED139D"/>
    <w:rsid w:val="64557A48"/>
    <w:rsid w:val="645E38EF"/>
    <w:rsid w:val="646326B7"/>
    <w:rsid w:val="64665F9D"/>
    <w:rsid w:val="64862E7E"/>
    <w:rsid w:val="64AD50A5"/>
    <w:rsid w:val="64E75AC3"/>
    <w:rsid w:val="64FC239B"/>
    <w:rsid w:val="6548459E"/>
    <w:rsid w:val="65571836"/>
    <w:rsid w:val="655A00C2"/>
    <w:rsid w:val="65E54EB0"/>
    <w:rsid w:val="65FD3712"/>
    <w:rsid w:val="663E10C6"/>
    <w:rsid w:val="66580C17"/>
    <w:rsid w:val="666552E6"/>
    <w:rsid w:val="668B7395"/>
    <w:rsid w:val="66A6314A"/>
    <w:rsid w:val="66D122B6"/>
    <w:rsid w:val="66E77CD5"/>
    <w:rsid w:val="674E1E9C"/>
    <w:rsid w:val="6789219A"/>
    <w:rsid w:val="67B945ED"/>
    <w:rsid w:val="67CD5453"/>
    <w:rsid w:val="67DB2C51"/>
    <w:rsid w:val="68562B5B"/>
    <w:rsid w:val="686B311E"/>
    <w:rsid w:val="68AB6164"/>
    <w:rsid w:val="68D57BEE"/>
    <w:rsid w:val="68F71C1C"/>
    <w:rsid w:val="69547E9C"/>
    <w:rsid w:val="698A082A"/>
    <w:rsid w:val="6A3E5D0B"/>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0E1634E"/>
    <w:rsid w:val="71285AAC"/>
    <w:rsid w:val="71594D33"/>
    <w:rsid w:val="715C2F1C"/>
    <w:rsid w:val="71C31377"/>
    <w:rsid w:val="71E74047"/>
    <w:rsid w:val="71F42B7C"/>
    <w:rsid w:val="7205398F"/>
    <w:rsid w:val="7238655B"/>
    <w:rsid w:val="72704DCE"/>
    <w:rsid w:val="735008A6"/>
    <w:rsid w:val="735D2DA4"/>
    <w:rsid w:val="736C43E3"/>
    <w:rsid w:val="73BC5AD9"/>
    <w:rsid w:val="73CC41E4"/>
    <w:rsid w:val="73D85E91"/>
    <w:rsid w:val="742F0E63"/>
    <w:rsid w:val="7453751A"/>
    <w:rsid w:val="746453A7"/>
    <w:rsid w:val="74E20649"/>
    <w:rsid w:val="76013066"/>
    <w:rsid w:val="76013836"/>
    <w:rsid w:val="76490038"/>
    <w:rsid w:val="764D1C01"/>
    <w:rsid w:val="76B850E0"/>
    <w:rsid w:val="77400CB2"/>
    <w:rsid w:val="77401EC1"/>
    <w:rsid w:val="77A40E96"/>
    <w:rsid w:val="785F380B"/>
    <w:rsid w:val="78865DD8"/>
    <w:rsid w:val="78CA23D8"/>
    <w:rsid w:val="793B59A2"/>
    <w:rsid w:val="793E01E7"/>
    <w:rsid w:val="794C72DA"/>
    <w:rsid w:val="79771CC2"/>
    <w:rsid w:val="79A347F2"/>
    <w:rsid w:val="7A0C4A94"/>
    <w:rsid w:val="7B2D37A3"/>
    <w:rsid w:val="7B5D7ABB"/>
    <w:rsid w:val="7B99300E"/>
    <w:rsid w:val="7B99444A"/>
    <w:rsid w:val="7BCF57C7"/>
    <w:rsid w:val="7BE401C5"/>
    <w:rsid w:val="7C0259FE"/>
    <w:rsid w:val="7C30396B"/>
    <w:rsid w:val="7C375547"/>
    <w:rsid w:val="7DB1356C"/>
    <w:rsid w:val="7DB473AA"/>
    <w:rsid w:val="7E267899"/>
    <w:rsid w:val="7E611BB9"/>
    <w:rsid w:val="7F190573"/>
    <w:rsid w:val="7F1D4873"/>
    <w:rsid w:val="7F384243"/>
    <w:rsid w:val="7F6D3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4"/>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9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6"/>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3"/>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4"/>
    <w:semiHidden/>
    <w:unhideWhenUsed/>
    <w:qFormat/>
    <w:uiPriority w:val="99"/>
    <w:pPr>
      <w:spacing w:after="120"/>
    </w:pPr>
    <w:rPr>
      <w:sz w:val="16"/>
      <w:szCs w:val="16"/>
    </w:rPr>
  </w:style>
  <w:style w:type="paragraph" w:styleId="15">
    <w:name w:val="Body Text"/>
    <w:basedOn w:val="1"/>
    <w:next w:val="16"/>
    <w:link w:val="189"/>
    <w:semiHidden/>
    <w:unhideWhenUsed/>
    <w:qFormat/>
    <w:uiPriority w:val="99"/>
    <w:pPr>
      <w:spacing w:after="120"/>
    </w:pPr>
  </w:style>
  <w:style w:type="paragraph" w:customStyle="1" w:styleId="16">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7">
    <w:name w:val="Body Text Indent"/>
    <w:basedOn w:val="1"/>
    <w:unhideWhenUsed/>
    <w:qFormat/>
    <w:uiPriority w:val="99"/>
    <w:pPr>
      <w:spacing w:after="120"/>
      <w:ind w:left="420" w:leftChars="200"/>
    </w:pPr>
  </w:style>
  <w:style w:type="paragraph" w:styleId="18">
    <w:name w:val="index 4"/>
    <w:basedOn w:val="1"/>
    <w:next w:val="1"/>
    <w:qFormat/>
    <w:uiPriority w:val="0"/>
    <w:pPr>
      <w:ind w:left="840" w:hanging="210"/>
    </w:pPr>
    <w:rPr>
      <w:rFonts w:ascii="Calibri" w:hAnsi="Calibri"/>
      <w:sz w:val="20"/>
      <w:szCs w:val="20"/>
    </w:rPr>
  </w:style>
  <w:style w:type="paragraph" w:styleId="19">
    <w:name w:val="toc 3"/>
    <w:basedOn w:val="1"/>
    <w:next w:val="1"/>
    <w:unhideWhenUsed/>
    <w:qFormat/>
    <w:uiPriority w:val="39"/>
    <w:pPr>
      <w:ind w:left="840" w:leftChars="400"/>
    </w:pPr>
  </w:style>
  <w:style w:type="paragraph" w:styleId="20">
    <w:name w:val="Plain Text"/>
    <w:basedOn w:val="1"/>
    <w:link w:val="187"/>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5"/>
    <w:qFormat/>
    <w:uiPriority w:val="99"/>
    <w:pPr>
      <w:ind w:left="100" w:leftChars="2500"/>
    </w:pPr>
    <w:rPr>
      <w:rFonts w:asciiTheme="minorHAnsi" w:hAnsiTheme="minorHAnsi" w:eastAsiaTheme="minorEastAsia" w:cstheme="minorBidi"/>
    </w:rPr>
  </w:style>
  <w:style w:type="paragraph" w:styleId="23">
    <w:name w:val="Body Text Indent 2"/>
    <w:basedOn w:val="1"/>
    <w:link w:val="165"/>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2"/>
    <w:semiHidden/>
    <w:qFormat/>
    <w:uiPriority w:val="0"/>
    <w:pPr>
      <w:snapToGrid w:val="0"/>
    </w:pPr>
    <w:rPr>
      <w:rFonts w:asciiTheme="minorHAnsi" w:hAnsiTheme="minorHAnsi" w:eastAsiaTheme="minorEastAsia" w:cstheme="minorBidi"/>
    </w:rPr>
  </w:style>
  <w:style w:type="paragraph" w:styleId="25">
    <w:name w:val="Balloon Text"/>
    <w:basedOn w:val="1"/>
    <w:link w:val="151"/>
    <w:qFormat/>
    <w:uiPriority w:val="99"/>
    <w:rPr>
      <w:rFonts w:asciiTheme="minorHAnsi" w:hAnsiTheme="minorHAnsi" w:eastAsiaTheme="minorEastAsia" w:cstheme="minorBidi"/>
      <w:sz w:val="18"/>
      <w:szCs w:val="18"/>
    </w:rPr>
  </w:style>
  <w:style w:type="paragraph" w:styleId="26">
    <w:name w:val="footer"/>
    <w:basedOn w:val="1"/>
    <w:link w:val="172"/>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4"/>
    <w:qFormat/>
    <w:uiPriority w:val="99"/>
    <w:pPr>
      <w:snapToGrid w:val="0"/>
    </w:pPr>
    <w:rPr>
      <w:rFonts w:asciiTheme="minorHAnsi" w:hAnsiTheme="minorHAnsi" w:eastAsiaTheme="minorEastAsia" w:cstheme="minorBidi"/>
      <w:sz w:val="18"/>
      <w:szCs w:val="18"/>
    </w:rPr>
  </w:style>
  <w:style w:type="paragraph" w:styleId="28">
    <w:name w:val="toc 1"/>
    <w:basedOn w:val="1"/>
    <w:next w:val="1"/>
    <w:qFormat/>
    <w:uiPriority w:val="39"/>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61"/>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9"/>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5"/>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2"/>
    <w:next w:val="12"/>
    <w:link w:val="181"/>
    <w:semiHidden/>
    <w:qFormat/>
    <w:uiPriority w:val="0"/>
    <w:rPr>
      <w:b/>
      <w:bCs/>
    </w:rPr>
  </w:style>
  <w:style w:type="paragraph" w:styleId="41">
    <w:name w:val="Body Text First Indent"/>
    <w:basedOn w:val="15"/>
    <w:qFormat/>
    <w:uiPriority w:val="0"/>
    <w:pPr>
      <w:autoSpaceDE w:val="0"/>
      <w:autoSpaceDN w:val="0"/>
      <w:adjustRightInd w:val="0"/>
      <w:ind w:firstLine="420"/>
      <w:textAlignment w:val="baseline"/>
    </w:pPr>
    <w:rPr>
      <w:rFonts w:ascii="宋体"/>
      <w:sz w:val="34"/>
    </w:rPr>
  </w:style>
  <w:style w:type="paragraph" w:styleId="42">
    <w:name w:val="Body Text First Indent 2"/>
    <w:basedOn w:val="1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character" w:customStyle="1" w:styleId="53">
    <w:name w:val="标题 1 字符"/>
    <w:basedOn w:val="45"/>
    <w:link w:val="2"/>
    <w:qFormat/>
    <w:uiPriority w:val="0"/>
    <w:rPr>
      <w:rFonts w:ascii="Times New Roman" w:hAnsi="Times New Roman" w:eastAsia="宋体" w:cs="Times New Roman"/>
      <w:b/>
      <w:bCs/>
      <w:kern w:val="44"/>
      <w:sz w:val="44"/>
      <w:szCs w:val="44"/>
    </w:rPr>
  </w:style>
  <w:style w:type="character" w:customStyle="1" w:styleId="54">
    <w:name w:val="标题 2 字符"/>
    <w:basedOn w:val="45"/>
    <w:link w:val="3"/>
    <w:qFormat/>
    <w:uiPriority w:val="0"/>
    <w:rPr>
      <w:rFonts w:ascii="宋体" w:hAnsi="宋体" w:eastAsia="宋体" w:cs="Times New Roman"/>
      <w:b/>
      <w:bCs/>
      <w:kern w:val="0"/>
      <w:sz w:val="36"/>
      <w:szCs w:val="36"/>
    </w:rPr>
  </w:style>
  <w:style w:type="paragraph" w:customStyle="1" w:styleId="55">
    <w:name w:val="表格文字"/>
    <w:basedOn w:val="1"/>
    <w:qFormat/>
    <w:uiPriority w:val="0"/>
    <w:pPr>
      <w:spacing w:before="25" w:after="25"/>
    </w:pPr>
    <w:rPr>
      <w:rFonts w:ascii="Times" w:hAnsi="Times"/>
      <w:bCs/>
      <w:spacing w:val="10"/>
      <w:sz w:val="24"/>
    </w:rPr>
  </w:style>
  <w:style w:type="paragraph" w:customStyle="1" w:styleId="56">
    <w:name w:val="Body Text Indent 21"/>
    <w:basedOn w:val="1"/>
    <w:next w:val="2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7">
    <w:name w:val="批注文字 Char"/>
    <w:semiHidden/>
    <w:qFormat/>
    <w:uiPriority w:val="0"/>
    <w:rPr>
      <w:szCs w:val="24"/>
    </w:rPr>
  </w:style>
  <w:style w:type="character" w:customStyle="1" w:styleId="58">
    <w:name w:val="批注主题 Char"/>
    <w:semiHidden/>
    <w:qFormat/>
    <w:uiPriority w:val="0"/>
    <w:rPr>
      <w:b/>
      <w:bCs/>
      <w:szCs w:val="24"/>
    </w:rPr>
  </w:style>
  <w:style w:type="character" w:customStyle="1" w:styleId="59">
    <w:name w:val="文档结构图 Char"/>
    <w:semiHidden/>
    <w:qFormat/>
    <w:uiPriority w:val="0"/>
    <w:rPr>
      <w:szCs w:val="24"/>
      <w:shd w:val="clear" w:color="auto" w:fill="000080"/>
    </w:rPr>
  </w:style>
  <w:style w:type="character" w:customStyle="1" w:styleId="60">
    <w:name w:val="脚注文本 Char"/>
    <w:qFormat/>
    <w:uiPriority w:val="0"/>
    <w:rPr>
      <w:rFonts w:ascii="宋体"/>
      <w:sz w:val="18"/>
      <w:szCs w:val="18"/>
    </w:rPr>
  </w:style>
  <w:style w:type="character" w:customStyle="1" w:styleId="61">
    <w:name w:val="con"/>
    <w:qFormat/>
    <w:uiPriority w:val="0"/>
  </w:style>
  <w:style w:type="character" w:customStyle="1" w:styleId="62">
    <w:name w:val="bar-label2"/>
    <w:qFormat/>
    <w:uiPriority w:val="99"/>
  </w:style>
  <w:style w:type="character" w:customStyle="1" w:styleId="63">
    <w:name w:val="正文文本缩进 2 Char"/>
    <w:qFormat/>
    <w:uiPriority w:val="99"/>
    <w:rPr>
      <w:szCs w:val="24"/>
    </w:rPr>
  </w:style>
  <w:style w:type="character" w:customStyle="1" w:styleId="64">
    <w:name w:val="日期 Char"/>
    <w:qFormat/>
    <w:uiPriority w:val="99"/>
    <w:rPr>
      <w:szCs w:val="24"/>
    </w:rPr>
  </w:style>
  <w:style w:type="character" w:customStyle="1" w:styleId="65">
    <w:name w:val="页脚 Char"/>
    <w:qFormat/>
    <w:locked/>
    <w:uiPriority w:val="99"/>
    <w:rPr>
      <w:sz w:val="18"/>
      <w:szCs w:val="18"/>
    </w:rPr>
  </w:style>
  <w:style w:type="character" w:customStyle="1" w:styleId="66">
    <w:name w:val="apple-converted-space"/>
    <w:basedOn w:val="45"/>
    <w:qFormat/>
    <w:uiPriority w:val="0"/>
  </w:style>
  <w:style w:type="character" w:customStyle="1" w:styleId="67">
    <w:name w:val="批注框文本 Char"/>
    <w:qFormat/>
    <w:uiPriority w:val="99"/>
    <w:rPr>
      <w:sz w:val="18"/>
      <w:szCs w:val="18"/>
    </w:rPr>
  </w:style>
  <w:style w:type="character" w:customStyle="1" w:styleId="68">
    <w:name w:val="页眉 Char"/>
    <w:qFormat/>
    <w:locked/>
    <w:uiPriority w:val="99"/>
    <w:rPr>
      <w:sz w:val="18"/>
      <w:szCs w:val="18"/>
    </w:rPr>
  </w:style>
  <w:style w:type="character" w:customStyle="1" w:styleId="69">
    <w:name w:val="首示例 Char"/>
    <w:link w:val="70"/>
    <w:qFormat/>
    <w:uiPriority w:val="0"/>
    <w:rPr>
      <w:rFonts w:ascii="宋体" w:hAnsi="宋体"/>
      <w:sz w:val="18"/>
      <w:szCs w:val="18"/>
    </w:rPr>
  </w:style>
  <w:style w:type="paragraph" w:customStyle="1" w:styleId="70">
    <w:name w:val="首示例"/>
    <w:next w:val="71"/>
    <w:link w:val="69"/>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qFormat/>
    <w:uiPriority w:val="0"/>
    <w:rPr>
      <w:rFonts w:ascii="宋体"/>
    </w:rPr>
  </w:style>
  <w:style w:type="character" w:customStyle="1" w:styleId="73">
    <w:name w:val="附录公式 Char"/>
    <w:basedOn w:val="72"/>
    <w:link w:val="74"/>
    <w:qFormat/>
    <w:uiPriority w:val="0"/>
    <w:rPr>
      <w:rFonts w:ascii="宋体"/>
    </w:rPr>
  </w:style>
  <w:style w:type="paragraph" w:customStyle="1" w:styleId="74">
    <w:name w:val="附录公式"/>
    <w:basedOn w:val="71"/>
    <w:next w:val="71"/>
    <w:link w:val="73"/>
    <w:qFormat/>
    <w:uiPriority w:val="0"/>
  </w:style>
  <w:style w:type="character" w:customStyle="1" w:styleId="75">
    <w:name w:val="发布"/>
    <w:qFormat/>
    <w:uiPriority w:val="0"/>
    <w:rPr>
      <w:rFonts w:ascii="黑体" w:eastAsia="黑体"/>
      <w:spacing w:val="85"/>
      <w:w w:val="100"/>
      <w:position w:val="3"/>
      <w:sz w:val="28"/>
      <w:szCs w:val="28"/>
    </w:rPr>
  </w:style>
  <w:style w:type="character" w:customStyle="1" w:styleId="76">
    <w:name w:val="一级条标题 Char"/>
    <w:link w:val="77"/>
    <w:qFormat/>
    <w:uiPriority w:val="0"/>
    <w:rPr>
      <w:rFonts w:ascii="黑体" w:eastAsia="黑体"/>
      <w:szCs w:val="21"/>
    </w:rPr>
  </w:style>
  <w:style w:type="paragraph" w:customStyle="1" w:styleId="77">
    <w:name w:val="一级条标题"/>
    <w:next w:val="71"/>
    <w:link w:val="7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qFormat/>
    <w:uiPriority w:val="0"/>
    <w:rPr>
      <w:rFonts w:ascii="Courier New" w:hAnsi="Courier New" w:cs="Courier New"/>
    </w:rPr>
  </w:style>
  <w:style w:type="character" w:customStyle="1" w:styleId="79">
    <w:name w:val="尾注文本 Char"/>
    <w:semiHidden/>
    <w:qFormat/>
    <w:uiPriority w:val="0"/>
    <w:rPr>
      <w:szCs w:val="24"/>
    </w:rPr>
  </w:style>
  <w:style w:type="paragraph" w:customStyle="1" w:styleId="80">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qFormat/>
    <w:uiPriority w:val="34"/>
    <w:pPr>
      <w:ind w:firstLine="420" w:firstLineChars="200"/>
    </w:pPr>
    <w:rPr>
      <w:rFonts w:ascii="宋体" w:hAnsi="宋体" w:cs="宋体"/>
      <w:kern w:val="0"/>
      <w:sz w:val="24"/>
    </w:rPr>
  </w:style>
  <w:style w:type="paragraph" w:customStyle="1" w:styleId="83">
    <w:name w:val="封面一致性程度标识2"/>
    <w:basedOn w:val="84"/>
    <w:qFormat/>
    <w:uiPriority w:val="0"/>
    <w:pPr>
      <w:framePr w:wrap="around" w:y="4469"/>
    </w:pPr>
  </w:style>
  <w:style w:type="paragraph" w:customStyle="1" w:styleId="84">
    <w:name w:val="封面一致性程度标识"/>
    <w:basedOn w:val="85"/>
    <w:qFormat/>
    <w:uiPriority w:val="0"/>
    <w:pPr>
      <w:framePr w:wrap="around"/>
      <w:spacing w:before="440"/>
    </w:pPr>
    <w:rPr>
      <w:rFonts w:ascii="宋体" w:eastAsia="宋体"/>
    </w:rPr>
  </w:style>
  <w:style w:type="paragraph" w:customStyle="1" w:styleId="85">
    <w:name w:val="封面标准英文名称"/>
    <w:basedOn w:val="86"/>
    <w:qFormat/>
    <w:uiPriority w:val="0"/>
    <w:pPr>
      <w:framePr w:wrap="around"/>
      <w:spacing w:before="370" w:line="400" w:lineRule="exact"/>
    </w:pPr>
    <w:rPr>
      <w:rFonts w:ascii="Times New Roman"/>
      <w:sz w:val="28"/>
      <w:szCs w:val="28"/>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qFormat/>
    <w:uiPriority w:val="0"/>
    <w:pPr>
      <w:framePr w:wrap="around" w:y="4469"/>
    </w:pPr>
  </w:style>
  <w:style w:type="paragraph" w:customStyle="1" w:styleId="88">
    <w:name w:val="其他发布日期"/>
    <w:basedOn w:val="89"/>
    <w:qFormat/>
    <w:uiPriority w:val="0"/>
    <w:pPr>
      <w:framePr w:wrap="around" w:vAnchor="page" w:hAnchor="text" w:x="1419"/>
    </w:pPr>
  </w:style>
  <w:style w:type="paragraph" w:customStyle="1" w:styleId="89">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qFormat/>
    <w:uiPriority w:val="0"/>
    <w:pPr>
      <w:ind w:firstLine="0" w:firstLineChars="0"/>
    </w:pPr>
  </w:style>
  <w:style w:type="paragraph" w:customStyle="1" w:styleId="91">
    <w:name w:val="正文表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qFormat/>
    <w:uiPriority w:val="0"/>
  </w:style>
  <w:style w:type="paragraph" w:customStyle="1" w:styleId="94">
    <w:name w:val="图的脚注"/>
    <w:next w:val="71"/>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qFormat/>
    <w:uiPriority w:val="0"/>
    <w:pPr>
      <w:ind w:left="840" w:hanging="420" w:firstLineChars="0"/>
    </w:pPr>
    <w:rPr>
      <w:sz w:val="18"/>
      <w:szCs w:val="18"/>
    </w:rPr>
  </w:style>
  <w:style w:type="paragraph" w:customStyle="1" w:styleId="96">
    <w:name w:val="示例后文字"/>
    <w:basedOn w:val="71"/>
    <w:next w:val="71"/>
    <w:qFormat/>
    <w:uiPriority w:val="0"/>
    <w:pPr>
      <w:ind w:firstLine="360"/>
    </w:pPr>
    <w:rPr>
      <w:sz w:val="18"/>
    </w:rPr>
  </w:style>
  <w:style w:type="paragraph" w:customStyle="1" w:styleId="97">
    <w:name w:val="实施日期"/>
    <w:basedOn w:val="89"/>
    <w:qFormat/>
    <w:uiPriority w:val="0"/>
    <w:pPr>
      <w:framePr w:wrap="around" w:vAnchor="page" w:hAnchor="text"/>
      <w:jc w:val="right"/>
    </w:pPr>
  </w:style>
  <w:style w:type="paragraph" w:customStyle="1" w:styleId="98">
    <w:name w:val="前言、引言标题"/>
    <w:next w:val="71"/>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2">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3">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4">
    <w:name w:val="条文脚注"/>
    <w:basedOn w:val="31"/>
    <w:qFormat/>
    <w:uiPriority w:val="0"/>
    <w:pPr>
      <w:ind w:left="0" w:firstLine="0"/>
      <w:jc w:val="both"/>
    </w:pPr>
  </w:style>
  <w:style w:type="paragraph" w:customStyle="1" w:styleId="105">
    <w:name w:val="附录一级无"/>
    <w:basedOn w:val="106"/>
    <w:qFormat/>
    <w:uiPriority w:val="0"/>
    <w:pPr>
      <w:tabs>
        <w:tab w:val="left" w:pos="360"/>
      </w:tabs>
      <w:spacing w:beforeLines="0" w:afterLines="0"/>
    </w:pPr>
    <w:rPr>
      <w:rFonts w:ascii="宋体" w:eastAsia="宋体"/>
      <w:szCs w:val="21"/>
    </w:rPr>
  </w:style>
  <w:style w:type="paragraph" w:customStyle="1" w:styleId="106">
    <w:name w:val="附录一级条标题"/>
    <w:basedOn w:val="107"/>
    <w:next w:val="71"/>
    <w:qFormat/>
    <w:uiPriority w:val="0"/>
    <w:pPr>
      <w:tabs>
        <w:tab w:val="left" w:pos="360"/>
      </w:tabs>
      <w:autoSpaceDN w:val="0"/>
      <w:spacing w:beforeLines="50" w:afterLines="50"/>
      <w:outlineLvl w:val="2"/>
    </w:pPr>
  </w:style>
  <w:style w:type="paragraph" w:customStyle="1" w:styleId="107">
    <w:name w:val="附录章标题"/>
    <w:next w:val="71"/>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五级无"/>
    <w:basedOn w:val="109"/>
    <w:qFormat/>
    <w:uiPriority w:val="0"/>
    <w:pPr>
      <w:tabs>
        <w:tab w:val="left" w:pos="360"/>
      </w:tabs>
      <w:spacing w:beforeLines="0" w:afterLines="0"/>
    </w:pPr>
    <w:rPr>
      <w:rFonts w:ascii="宋体" w:eastAsia="宋体"/>
      <w:szCs w:val="21"/>
    </w:rPr>
  </w:style>
  <w:style w:type="paragraph" w:customStyle="1" w:styleId="109">
    <w:name w:val="附录五级条标题"/>
    <w:basedOn w:val="110"/>
    <w:next w:val="71"/>
    <w:qFormat/>
    <w:uiPriority w:val="0"/>
    <w:pPr>
      <w:tabs>
        <w:tab w:val="left" w:pos="360"/>
      </w:tabs>
      <w:outlineLvl w:val="6"/>
    </w:pPr>
  </w:style>
  <w:style w:type="paragraph" w:customStyle="1" w:styleId="110">
    <w:name w:val="附录四级条标题"/>
    <w:basedOn w:val="111"/>
    <w:next w:val="71"/>
    <w:qFormat/>
    <w:uiPriority w:val="0"/>
    <w:pPr>
      <w:tabs>
        <w:tab w:val="left" w:pos="360"/>
      </w:tabs>
    </w:pPr>
  </w:style>
  <w:style w:type="paragraph" w:customStyle="1" w:styleId="111">
    <w:name w:val="附录三级条标题"/>
    <w:basedOn w:val="112"/>
    <w:next w:val="71"/>
    <w:qFormat/>
    <w:uiPriority w:val="0"/>
    <w:pPr>
      <w:tabs>
        <w:tab w:val="left" w:pos="360"/>
      </w:tabs>
    </w:pPr>
  </w:style>
  <w:style w:type="paragraph" w:customStyle="1" w:styleId="112">
    <w:name w:val="附录二级条标题"/>
    <w:basedOn w:val="1"/>
    <w:next w:val="71"/>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图标题"/>
    <w:basedOn w:val="1"/>
    <w:next w:val="71"/>
    <w:qFormat/>
    <w:uiPriority w:val="0"/>
    <w:pPr>
      <w:tabs>
        <w:tab w:val="left" w:pos="363"/>
      </w:tabs>
      <w:spacing w:beforeLines="50" w:afterLines="50"/>
      <w:jc w:val="center"/>
    </w:pPr>
    <w:rPr>
      <w:rFonts w:ascii="黑体" w:eastAsia="黑体"/>
      <w:szCs w:val="21"/>
    </w:rPr>
  </w:style>
  <w:style w:type="paragraph" w:customStyle="1" w:styleId="114">
    <w:name w:val="附录图标号"/>
    <w:basedOn w:val="1"/>
    <w:qFormat/>
    <w:uiPriority w:val="0"/>
    <w:pPr>
      <w:keepNext/>
      <w:pageBreakBefore/>
      <w:spacing w:line="14" w:lineRule="exact"/>
      <w:ind w:firstLine="363"/>
      <w:jc w:val="center"/>
      <w:outlineLvl w:val="0"/>
    </w:pPr>
    <w:rPr>
      <w:color w:val="FFFFFF"/>
    </w:rPr>
  </w:style>
  <w:style w:type="paragraph" w:customStyle="1" w:styleId="115">
    <w:name w:val="附录四级无"/>
    <w:basedOn w:val="110"/>
    <w:qFormat/>
    <w:uiPriority w:val="0"/>
    <w:pPr>
      <w:tabs>
        <w:tab w:val="clear" w:pos="360"/>
      </w:tabs>
      <w:spacing w:beforeLines="0" w:afterLines="0"/>
      <w:outlineLvl w:val="5"/>
    </w:pPr>
    <w:rPr>
      <w:rFonts w:ascii="宋体" w:eastAsia="宋体"/>
      <w:szCs w:val="21"/>
    </w:rPr>
  </w:style>
  <w:style w:type="paragraph" w:customStyle="1" w:styleId="116">
    <w:name w:val="附录三级无"/>
    <w:basedOn w:val="111"/>
    <w:qFormat/>
    <w:uiPriority w:val="0"/>
  </w:style>
  <w:style w:type="paragraph" w:customStyle="1" w:styleId="117">
    <w:name w:val="注："/>
    <w:next w:val="71"/>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8">
    <w:name w:val="附录公式编号制表符"/>
    <w:basedOn w:val="1"/>
    <w:next w:val="71"/>
    <w:qFormat/>
    <w:uiPriority w:val="0"/>
    <w:pPr>
      <w:tabs>
        <w:tab w:val="center" w:pos="4201"/>
        <w:tab w:val="right" w:leader="dot" w:pos="9298"/>
      </w:tabs>
      <w:autoSpaceDE w:val="0"/>
      <w:autoSpaceDN w:val="0"/>
    </w:pPr>
    <w:rPr>
      <w:rFonts w:ascii="宋体"/>
      <w:kern w:val="0"/>
      <w:szCs w:val="20"/>
    </w:rPr>
  </w:style>
  <w:style w:type="paragraph" w:customStyle="1" w:styleId="119">
    <w:name w:val="附录二级无"/>
    <w:basedOn w:val="112"/>
    <w:qFormat/>
    <w:uiPriority w:val="0"/>
  </w:style>
  <w:style w:type="paragraph" w:customStyle="1" w:styleId="120">
    <w:name w:val="附录标题"/>
    <w:basedOn w:val="71"/>
    <w:next w:val="71"/>
    <w:qFormat/>
    <w:uiPriority w:val="0"/>
    <w:pPr>
      <w:ind w:firstLine="0" w:firstLineChars="0"/>
      <w:jc w:val="center"/>
    </w:pPr>
    <w:rPr>
      <w:rFonts w:ascii="黑体" w:eastAsia="黑体"/>
    </w:rPr>
  </w:style>
  <w:style w:type="paragraph" w:customStyle="1" w:styleId="121">
    <w:name w:val="参考文献"/>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3">
    <w:name w:val="封面标准文稿类别"/>
    <w:basedOn w:val="84"/>
    <w:qFormat/>
    <w:uiPriority w:val="0"/>
    <w:pPr>
      <w:framePr w:wrap="around"/>
      <w:spacing w:after="160" w:line="240" w:lineRule="auto"/>
    </w:pPr>
    <w:rPr>
      <w:sz w:val="24"/>
    </w:rPr>
  </w:style>
  <w:style w:type="paragraph" w:customStyle="1" w:styleId="124">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5">
    <w:name w:val="其他实施日期"/>
    <w:basedOn w:val="97"/>
    <w:qFormat/>
    <w:uiPriority w:val="0"/>
    <w:pPr>
      <w:framePr w:wrap="around" w:vAnchor="margin" w:hAnchor="page"/>
    </w:pPr>
  </w:style>
  <w:style w:type="paragraph" w:customStyle="1" w:styleId="1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发布部门"/>
    <w:next w:val="71"/>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8">
    <w:name w:val="注：（正文）"/>
    <w:basedOn w:val="117"/>
    <w:next w:val="71"/>
    <w:qFormat/>
    <w:uiPriority w:val="0"/>
  </w:style>
  <w:style w:type="paragraph" w:customStyle="1" w:styleId="129">
    <w:name w:val="参考文献、索引标题"/>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2">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3">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5">
    <w:name w:val="示例×："/>
    <w:basedOn w:val="136"/>
    <w:qFormat/>
    <w:uiPriority w:val="0"/>
    <w:pPr>
      <w:spacing w:beforeLines="0" w:afterLines="0"/>
      <w:ind w:firstLine="363"/>
      <w:outlineLvl w:val="9"/>
    </w:pPr>
    <w:rPr>
      <w:rFonts w:ascii="宋体" w:eastAsia="宋体"/>
      <w:sz w:val="18"/>
      <w:szCs w:val="18"/>
    </w:rPr>
  </w:style>
  <w:style w:type="paragraph" w:customStyle="1" w:styleId="136">
    <w:name w:val="章标题"/>
    <w:next w:val="71"/>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7">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8">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9">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0">
    <w:name w:val="五级无"/>
    <w:basedOn w:val="141"/>
    <w:qFormat/>
    <w:uiPriority w:val="0"/>
    <w:pPr>
      <w:spacing w:beforeLines="0" w:afterLines="0"/>
      <w:outlineLvl w:val="6"/>
    </w:pPr>
    <w:rPr>
      <w:rFonts w:ascii="宋体" w:eastAsia="宋体"/>
    </w:rPr>
  </w:style>
  <w:style w:type="paragraph" w:customStyle="1" w:styleId="141">
    <w:name w:val="五级条标题"/>
    <w:basedOn w:val="142"/>
    <w:next w:val="71"/>
    <w:qFormat/>
    <w:uiPriority w:val="0"/>
  </w:style>
  <w:style w:type="paragraph" w:customStyle="1" w:styleId="142">
    <w:name w:val="四级条标题"/>
    <w:basedOn w:val="143"/>
    <w:next w:val="71"/>
    <w:qFormat/>
    <w:uiPriority w:val="0"/>
  </w:style>
  <w:style w:type="paragraph" w:customStyle="1" w:styleId="143">
    <w:name w:val="三级条标题"/>
    <w:basedOn w:val="144"/>
    <w:next w:val="71"/>
    <w:qFormat/>
    <w:uiPriority w:val="0"/>
  </w:style>
  <w:style w:type="paragraph" w:customStyle="1" w:styleId="144">
    <w:name w:val="二级条标题"/>
    <w:basedOn w:val="77"/>
    <w:next w:val="71"/>
    <w:qFormat/>
    <w:uiPriority w:val="0"/>
  </w:style>
  <w:style w:type="paragraph" w:customStyle="1" w:styleId="145">
    <w:name w:val="四级无"/>
    <w:basedOn w:val="142"/>
    <w:qFormat/>
    <w:uiPriority w:val="0"/>
  </w:style>
  <w:style w:type="paragraph" w:customStyle="1" w:styleId="146">
    <w:name w:val="三级无"/>
    <w:basedOn w:val="143"/>
    <w:qFormat/>
    <w:uiPriority w:val="0"/>
  </w:style>
  <w:style w:type="paragraph" w:customStyle="1" w:styleId="147">
    <w:name w:val="其他标准标志"/>
    <w:basedOn w:val="131"/>
    <w:qFormat/>
    <w:uiPriority w:val="0"/>
    <w:pPr>
      <w:framePr w:w="6101" w:wrap="around" w:vAnchor="page" w:hAnchor="page" w:x="4673" w:y="942"/>
    </w:pPr>
    <w:rPr>
      <w:w w:val="130"/>
    </w:rPr>
  </w:style>
  <w:style w:type="paragraph" w:customStyle="1" w:styleId="148">
    <w:name w:val="目次、标准名称标题"/>
    <w:basedOn w:val="1"/>
    <w:next w:val="71"/>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0">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1">
    <w:name w:val="批注框文本 字符"/>
    <w:basedOn w:val="45"/>
    <w:link w:val="25"/>
    <w:semiHidden/>
    <w:qFormat/>
    <w:uiPriority w:val="99"/>
    <w:rPr>
      <w:rFonts w:ascii="Times New Roman" w:hAnsi="Times New Roman" w:eastAsia="宋体" w:cs="Times New Roman"/>
      <w:sz w:val="18"/>
      <w:szCs w:val="18"/>
    </w:rPr>
  </w:style>
  <w:style w:type="paragraph" w:customStyle="1" w:styleId="152">
    <w:name w:val="列项◆（三级）"/>
    <w:basedOn w:val="1"/>
    <w:qFormat/>
    <w:uiPriority w:val="99"/>
    <w:pPr>
      <w:tabs>
        <w:tab w:val="left" w:pos="969"/>
      </w:tabs>
      <w:ind w:left="969" w:hanging="414"/>
    </w:pPr>
    <w:rPr>
      <w:rFonts w:ascii="宋体"/>
      <w:szCs w:val="21"/>
    </w:rPr>
  </w:style>
  <w:style w:type="paragraph" w:customStyle="1" w:styleId="153">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4">
    <w:name w:val="页眉 字符"/>
    <w:basedOn w:val="45"/>
    <w:link w:val="27"/>
    <w:semiHidden/>
    <w:qFormat/>
    <w:uiPriority w:val="99"/>
    <w:rPr>
      <w:rFonts w:ascii="Times New Roman" w:hAnsi="Times New Roman" w:eastAsia="宋体" w:cs="Times New Roman"/>
      <w:sz w:val="18"/>
      <w:szCs w:val="18"/>
    </w:rPr>
  </w:style>
  <w:style w:type="paragraph" w:customStyle="1" w:styleId="155">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6">
    <w:name w:val="其他发布部门"/>
    <w:basedOn w:val="127"/>
    <w:qFormat/>
    <w:uiPriority w:val="0"/>
    <w:pPr>
      <w:framePr w:wrap="around" w:y="15310"/>
      <w:spacing w:line="0" w:lineRule="atLeast"/>
    </w:pPr>
    <w:rPr>
      <w:rFonts w:ascii="黑体" w:eastAsia="黑体"/>
      <w:b w:val="0"/>
    </w:rPr>
  </w:style>
  <w:style w:type="paragraph" w:customStyle="1" w:styleId="157">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8">
    <w:name w:val="正文图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9">
    <w:name w:val="HTML 预设格式 字符"/>
    <w:basedOn w:val="45"/>
    <w:link w:val="36"/>
    <w:semiHidden/>
    <w:qFormat/>
    <w:uiPriority w:val="99"/>
    <w:rPr>
      <w:rFonts w:ascii="Courier New" w:hAnsi="Courier New" w:eastAsia="宋体" w:cs="Courier New"/>
      <w:sz w:val="20"/>
      <w:szCs w:val="20"/>
    </w:rPr>
  </w:style>
  <w:style w:type="paragraph" w:customStyle="1" w:styleId="160">
    <w:name w:val="附录标识"/>
    <w:basedOn w:val="1"/>
    <w:next w:val="71"/>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1">
    <w:name w:val="脚注文本 字符"/>
    <w:basedOn w:val="45"/>
    <w:link w:val="31"/>
    <w:semiHidden/>
    <w:qFormat/>
    <w:uiPriority w:val="99"/>
    <w:rPr>
      <w:rFonts w:ascii="Times New Roman" w:hAnsi="Times New Roman" w:eastAsia="宋体" w:cs="Times New Roman"/>
      <w:sz w:val="18"/>
      <w:szCs w:val="18"/>
    </w:rPr>
  </w:style>
  <w:style w:type="paragraph" w:customStyle="1" w:styleId="162">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3">
    <w:name w:val="二级无"/>
    <w:basedOn w:val="144"/>
    <w:qFormat/>
    <w:uiPriority w:val="0"/>
  </w:style>
  <w:style w:type="paragraph" w:customStyle="1" w:styleId="164">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5">
    <w:name w:val="正文文本缩进 2 字符"/>
    <w:basedOn w:val="45"/>
    <w:link w:val="23"/>
    <w:semiHidden/>
    <w:qFormat/>
    <w:uiPriority w:val="99"/>
    <w:rPr>
      <w:rFonts w:ascii="Times New Roman" w:hAnsi="Times New Roman" w:eastAsia="宋体" w:cs="Times New Roman"/>
      <w:szCs w:val="24"/>
    </w:rPr>
  </w:style>
  <w:style w:type="paragraph" w:customStyle="1" w:styleId="166">
    <w:name w:val="封面标准文稿编辑信息2"/>
    <w:basedOn w:val="167"/>
    <w:qFormat/>
    <w:uiPriority w:val="0"/>
    <w:pPr>
      <w:framePr w:wrap="around" w:y="4469"/>
    </w:pPr>
  </w:style>
  <w:style w:type="paragraph" w:customStyle="1" w:styleId="167">
    <w:name w:val="封面标准文稿编辑信息"/>
    <w:basedOn w:val="123"/>
    <w:qFormat/>
    <w:uiPriority w:val="0"/>
    <w:pPr>
      <w:framePr w:wrap="around"/>
      <w:spacing w:before="180" w:line="180" w:lineRule="exact"/>
    </w:pPr>
    <w:rPr>
      <w:sz w:val="21"/>
    </w:rPr>
  </w:style>
  <w:style w:type="paragraph" w:customStyle="1" w:styleId="168">
    <w:name w:val="附录表标题"/>
    <w:basedOn w:val="1"/>
    <w:next w:val="71"/>
    <w:qFormat/>
    <w:uiPriority w:val="0"/>
    <w:pPr>
      <w:tabs>
        <w:tab w:val="left" w:pos="180"/>
      </w:tabs>
      <w:spacing w:beforeLines="50" w:afterLines="50"/>
      <w:jc w:val="center"/>
    </w:pPr>
    <w:rPr>
      <w:rFonts w:ascii="黑体" w:eastAsia="黑体"/>
      <w:szCs w:val="21"/>
    </w:rPr>
  </w:style>
  <w:style w:type="paragraph" w:customStyle="1" w:styleId="169">
    <w:name w:val="标准书眉_偶数页"/>
    <w:basedOn w:val="153"/>
    <w:next w:val="1"/>
    <w:qFormat/>
    <w:uiPriority w:val="0"/>
    <w:pPr>
      <w:jc w:val="left"/>
    </w:pPr>
  </w:style>
  <w:style w:type="paragraph" w:customStyle="1" w:styleId="170">
    <w:name w:val="附录表标号"/>
    <w:basedOn w:val="1"/>
    <w:next w:val="71"/>
    <w:qFormat/>
    <w:uiPriority w:val="0"/>
    <w:pPr>
      <w:spacing w:line="14" w:lineRule="exact"/>
      <w:ind w:left="811" w:hanging="448"/>
      <w:jc w:val="center"/>
      <w:outlineLvl w:val="0"/>
    </w:pPr>
    <w:rPr>
      <w:color w:val="FFFFFF"/>
    </w:rPr>
  </w:style>
  <w:style w:type="paragraph" w:customStyle="1" w:styleId="171">
    <w:name w:val="图表脚注说明"/>
    <w:basedOn w:val="1"/>
    <w:qFormat/>
    <w:uiPriority w:val="0"/>
    <w:pPr>
      <w:ind w:left="544" w:hanging="181"/>
    </w:pPr>
    <w:rPr>
      <w:rFonts w:ascii="宋体"/>
      <w:sz w:val="18"/>
      <w:szCs w:val="18"/>
    </w:rPr>
  </w:style>
  <w:style w:type="character" w:customStyle="1" w:styleId="172">
    <w:name w:val="页脚 字符"/>
    <w:basedOn w:val="45"/>
    <w:link w:val="26"/>
    <w:semiHidden/>
    <w:qFormat/>
    <w:uiPriority w:val="99"/>
    <w:rPr>
      <w:rFonts w:ascii="Times New Roman" w:hAnsi="Times New Roman" w:eastAsia="宋体" w:cs="Times New Roman"/>
      <w:sz w:val="18"/>
      <w:szCs w:val="18"/>
    </w:rPr>
  </w:style>
  <w:style w:type="character" w:customStyle="1" w:styleId="173">
    <w:name w:val="批注文字 字符"/>
    <w:basedOn w:val="45"/>
    <w:link w:val="12"/>
    <w:semiHidden/>
    <w:qFormat/>
    <w:uiPriority w:val="99"/>
    <w:rPr>
      <w:rFonts w:ascii="Times New Roman" w:hAnsi="Times New Roman" w:eastAsia="宋体" w:cs="Times New Roman"/>
      <w:szCs w:val="24"/>
    </w:rPr>
  </w:style>
  <w:style w:type="paragraph" w:customStyle="1" w:styleId="174">
    <w:name w:val="封面标准名称2"/>
    <w:basedOn w:val="86"/>
    <w:qFormat/>
    <w:uiPriority w:val="0"/>
    <w:pPr>
      <w:framePr w:wrap="around" w:y="4469"/>
      <w:spacing w:beforeLines="630"/>
    </w:pPr>
  </w:style>
  <w:style w:type="character" w:customStyle="1" w:styleId="175">
    <w:name w:val="日期 字符"/>
    <w:basedOn w:val="45"/>
    <w:link w:val="22"/>
    <w:semiHidden/>
    <w:qFormat/>
    <w:uiPriority w:val="99"/>
    <w:rPr>
      <w:rFonts w:ascii="Times New Roman" w:hAnsi="Times New Roman" w:eastAsia="宋体" w:cs="Times New Roman"/>
      <w:szCs w:val="24"/>
    </w:rPr>
  </w:style>
  <w:style w:type="character" w:customStyle="1" w:styleId="176">
    <w:name w:val="文档结构图 字符"/>
    <w:basedOn w:val="45"/>
    <w:link w:val="11"/>
    <w:semiHidden/>
    <w:qFormat/>
    <w:uiPriority w:val="99"/>
    <w:rPr>
      <w:rFonts w:ascii="宋体" w:hAnsi="Times New Roman" w:eastAsia="宋体" w:cs="Times New Roman"/>
      <w:sz w:val="18"/>
      <w:szCs w:val="18"/>
    </w:rPr>
  </w:style>
  <w:style w:type="paragraph" w:customStyle="1" w:styleId="177">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8">
    <w:name w:val="封面标准文稿类别2"/>
    <w:basedOn w:val="123"/>
    <w:qFormat/>
    <w:uiPriority w:val="0"/>
    <w:pPr>
      <w:framePr w:wrap="around" w:y="4469"/>
    </w:pPr>
  </w:style>
  <w:style w:type="paragraph" w:customStyle="1" w:styleId="179">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0">
    <w:name w:val="终结线"/>
    <w:basedOn w:val="1"/>
    <w:qFormat/>
    <w:uiPriority w:val="0"/>
    <w:pPr>
      <w:framePr w:hSpace="181" w:vSpace="181" w:wrap="around" w:vAnchor="text" w:hAnchor="margin" w:xAlign="center" w:y="285"/>
    </w:pPr>
  </w:style>
  <w:style w:type="character" w:customStyle="1" w:styleId="181">
    <w:name w:val="批注主题 字符"/>
    <w:basedOn w:val="173"/>
    <w:link w:val="40"/>
    <w:semiHidden/>
    <w:qFormat/>
    <w:uiPriority w:val="99"/>
    <w:rPr>
      <w:rFonts w:ascii="Times New Roman" w:hAnsi="Times New Roman" w:eastAsia="宋体" w:cs="Times New Roman"/>
      <w:b/>
      <w:bCs/>
      <w:szCs w:val="24"/>
    </w:rPr>
  </w:style>
  <w:style w:type="character" w:customStyle="1" w:styleId="182">
    <w:name w:val="尾注文本 字符"/>
    <w:basedOn w:val="45"/>
    <w:link w:val="24"/>
    <w:semiHidden/>
    <w:qFormat/>
    <w:uiPriority w:val="99"/>
    <w:rPr>
      <w:rFonts w:ascii="Times New Roman" w:hAnsi="Times New Roman" w:eastAsia="宋体" w:cs="Times New Roman"/>
      <w:szCs w:val="24"/>
    </w:rPr>
  </w:style>
  <w:style w:type="paragraph" w:customStyle="1" w:styleId="183">
    <w:name w:val="示例"/>
    <w:next w:val="134"/>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4">
    <w:name w:val="正文文本 3 字符"/>
    <w:basedOn w:val="45"/>
    <w:link w:val="14"/>
    <w:semiHidden/>
    <w:qFormat/>
    <w:uiPriority w:val="99"/>
    <w:rPr>
      <w:rFonts w:ascii="Times New Roman" w:hAnsi="Times New Roman" w:eastAsia="宋体" w:cs="Times New Roman"/>
      <w:sz w:val="16"/>
      <w:szCs w:val="16"/>
    </w:rPr>
  </w:style>
  <w:style w:type="character" w:customStyle="1" w:styleId="185">
    <w:name w:val="标题 字符"/>
    <w:basedOn w:val="45"/>
    <w:link w:val="39"/>
    <w:qFormat/>
    <w:uiPriority w:val="0"/>
    <w:rPr>
      <w:rFonts w:ascii="Arial" w:hAnsi="Arial" w:eastAsia="宋体" w:cs="Times New Roman"/>
      <w:b/>
      <w:kern w:val="0"/>
      <w:sz w:val="32"/>
      <w:szCs w:val="20"/>
    </w:rPr>
  </w:style>
  <w:style w:type="paragraph" w:customStyle="1" w:styleId="186">
    <w:name w:val="p0"/>
    <w:basedOn w:val="1"/>
    <w:qFormat/>
    <w:uiPriority w:val="0"/>
    <w:pPr>
      <w:spacing w:line="240" w:lineRule="auto"/>
      <w:jc w:val="both"/>
    </w:pPr>
    <w:rPr>
      <w:kern w:val="0"/>
      <w:szCs w:val="21"/>
    </w:rPr>
  </w:style>
  <w:style w:type="character" w:customStyle="1" w:styleId="187">
    <w:name w:val="纯文本 字符"/>
    <w:basedOn w:val="45"/>
    <w:link w:val="20"/>
    <w:qFormat/>
    <w:uiPriority w:val="99"/>
    <w:rPr>
      <w:rFonts w:ascii="宋体" w:hAnsi="Courier New" w:eastAsia="宋体" w:cs="Courier New"/>
      <w:szCs w:val="21"/>
    </w:rPr>
  </w:style>
  <w:style w:type="paragraph" w:customStyle="1" w:styleId="1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9">
    <w:name w:val="正文文本 字符"/>
    <w:basedOn w:val="45"/>
    <w:link w:val="15"/>
    <w:semiHidden/>
    <w:qFormat/>
    <w:uiPriority w:val="99"/>
    <w:rPr>
      <w:kern w:val="2"/>
      <w:sz w:val="21"/>
      <w:szCs w:val="24"/>
    </w:rPr>
  </w:style>
  <w:style w:type="paragraph" w:customStyle="1" w:styleId="190">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1">
    <w:name w:val="标题 4 字符"/>
    <w:basedOn w:val="45"/>
    <w:link w:val="5"/>
    <w:semiHidden/>
    <w:qFormat/>
    <w:uiPriority w:val="9"/>
    <w:rPr>
      <w:rFonts w:asciiTheme="majorHAnsi" w:hAnsiTheme="majorHAnsi" w:eastAsiaTheme="majorEastAsia" w:cstheme="majorBidi"/>
      <w:b/>
      <w:bCs/>
      <w:kern w:val="2"/>
      <w:sz w:val="28"/>
      <w:szCs w:val="28"/>
    </w:rPr>
  </w:style>
  <w:style w:type="paragraph" w:customStyle="1" w:styleId="192">
    <w:name w:val="_Style 2"/>
    <w:basedOn w:val="2"/>
    <w:next w:val="1"/>
    <w:qFormat/>
    <w:uiPriority w:val="0"/>
    <w:pPr>
      <w:spacing w:before="480" w:after="0" w:line="276" w:lineRule="auto"/>
      <w:outlineLvl w:val="9"/>
    </w:pPr>
    <w:rPr>
      <w:rFonts w:ascii="Cambria" w:hAnsi="Cambria"/>
      <w:color w:val="365F91"/>
      <w:kern w:val="0"/>
      <w:sz w:val="28"/>
      <w:szCs w:val="28"/>
    </w:rPr>
  </w:style>
  <w:style w:type="character" w:customStyle="1" w:styleId="193">
    <w:name w:val="_Style 4"/>
    <w:qFormat/>
    <w:uiPriority w:val="31"/>
    <w:rPr>
      <w:smallCaps/>
      <w:color w:val="C0504D"/>
      <w:u w:val="single"/>
    </w:rPr>
  </w:style>
  <w:style w:type="paragraph" w:customStyle="1" w:styleId="194">
    <w:name w:val="纯文本1"/>
    <w:basedOn w:val="1"/>
    <w:qFormat/>
    <w:uiPriority w:val="0"/>
    <w:rPr>
      <w:rFonts w:ascii="宋体" w:hAnsi="Courier New" w:cs="Courier New"/>
      <w:szCs w:val="21"/>
    </w:rPr>
  </w:style>
  <w:style w:type="paragraph" w:customStyle="1" w:styleId="195">
    <w:name w:val="CM99"/>
    <w:basedOn w:val="16"/>
    <w:next w:val="16"/>
    <w:qFormat/>
    <w:uiPriority w:val="0"/>
    <w:pPr>
      <w:spacing w:after="443"/>
    </w:pPr>
  </w:style>
  <w:style w:type="paragraph" w:customStyle="1" w:styleId="196">
    <w:name w:val="CM80"/>
    <w:basedOn w:val="16"/>
    <w:next w:val="16"/>
    <w:qFormat/>
    <w:uiPriority w:val="0"/>
    <w:pPr>
      <w:spacing w:line="440" w:lineRule="atLeast"/>
    </w:pPr>
  </w:style>
  <w:style w:type="character" w:customStyle="1" w:styleId="197">
    <w:name w:val="font61"/>
    <w:basedOn w:val="45"/>
    <w:qFormat/>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63E9-77D9-40BC-848D-250DD378F5C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56</Pages>
  <Words>24096</Words>
  <Characters>25992</Characters>
  <Lines>219</Lines>
  <Paragraphs>61</Paragraphs>
  <TotalTime>1</TotalTime>
  <ScaleCrop>false</ScaleCrop>
  <LinksUpToDate>false</LinksUpToDate>
  <CharactersWithSpaces>27909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2022-05-12T01:52:00Z</dcterms:created>
  <dc:creator>lenovo</dc:creator>
  <cp:lastModifiedBy>勒哩</cp:lastModifiedBy>
  <cp:lastPrinted>2022-04-13T08:22:00Z</cp:lastPrinted>
  <dcterms:modified xsi:type="dcterms:W3CDTF">2022-08-17T07:27:53Z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4054906694B1462288C35906F29EFBB2</vt:lpwstr>
  </property>
</Properties>
</file>