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eastAsia" w:ascii="楷体" w:hAnsi="楷体" w:eastAsia="楷体" w:cs="微软雅黑"/>
          <w:b/>
          <w:sz w:val="56"/>
          <w:szCs w:val="72"/>
          <w:u w:val="none"/>
          <w:lang w:val="en-US" w:eastAsia="zh-CN"/>
        </w:rPr>
      </w:pPr>
    </w:p>
    <w:p>
      <w:pPr>
        <w:spacing w:line="360" w:lineRule="auto"/>
        <w:jc w:val="center"/>
        <w:rPr>
          <w:rFonts w:ascii="宋体" w:hAnsi="宋体" w:cs="宋体"/>
          <w:b/>
          <w:color w:val="000000"/>
          <w:kern w:val="0"/>
          <w:sz w:val="22"/>
          <w:szCs w:val="22"/>
          <w:u w:val="none"/>
        </w:rPr>
      </w:pPr>
      <w:r>
        <w:rPr>
          <w:rFonts w:hint="eastAsia" w:ascii="黑体" w:hAnsi="黑体" w:eastAsia="黑体"/>
          <w:b/>
          <w:bCs/>
          <w:sz w:val="44"/>
          <w:szCs w:val="44"/>
          <w:u w:val="none"/>
        </w:rPr>
        <w:t>2022年度</w:t>
      </w:r>
      <w:r>
        <w:rPr>
          <w:rFonts w:hint="eastAsia" w:ascii="黑体" w:hAnsi="黑体" w:eastAsia="黑体"/>
          <w:b/>
          <w:bCs/>
          <w:sz w:val="44"/>
          <w:szCs w:val="44"/>
          <w:u w:val="none"/>
          <w:lang w:val="en-US" w:eastAsia="zh-CN"/>
        </w:rPr>
        <w:t>港区</w:t>
      </w:r>
      <w:r>
        <w:rPr>
          <w:rFonts w:hint="eastAsia" w:ascii="黑体" w:hAnsi="黑体" w:eastAsia="黑体"/>
          <w:b/>
          <w:bCs/>
          <w:sz w:val="44"/>
          <w:szCs w:val="44"/>
          <w:u w:val="none"/>
        </w:rPr>
        <w:t>卫生保洁服务项目</w:t>
      </w:r>
    </w:p>
    <w:p>
      <w:pPr>
        <w:spacing w:line="360" w:lineRule="auto"/>
        <w:jc w:val="center"/>
        <w:rPr>
          <w:rFonts w:ascii="黑体" w:hAnsi="黑体" w:eastAsia="黑体"/>
          <w:b/>
          <w:bCs/>
          <w:sz w:val="44"/>
          <w:szCs w:val="44"/>
          <w:u w:val="none"/>
        </w:rPr>
      </w:pPr>
      <w:r>
        <w:rPr>
          <w:rFonts w:hint="eastAsia" w:ascii="黑体" w:hAnsi="黑体" w:eastAsia="黑体"/>
          <w:b/>
          <w:bCs/>
          <w:sz w:val="44"/>
          <w:szCs w:val="44"/>
          <w:u w:val="none"/>
          <w:lang w:eastAsia="zh-CN"/>
        </w:rPr>
        <w:t>询价采购</w:t>
      </w:r>
      <w:r>
        <w:rPr>
          <w:rFonts w:hint="eastAsia" w:ascii="黑体" w:hAnsi="黑体" w:eastAsia="黑体"/>
          <w:b/>
          <w:bCs/>
          <w:sz w:val="44"/>
          <w:szCs w:val="44"/>
          <w:u w:val="none"/>
        </w:rPr>
        <w:t>文件</w:t>
      </w:r>
    </w:p>
    <w:p>
      <w:pPr>
        <w:tabs>
          <w:tab w:val="left" w:pos="0"/>
          <w:tab w:val="left" w:pos="4185"/>
        </w:tabs>
        <w:spacing w:line="288" w:lineRule="auto"/>
        <w:ind w:right="-6"/>
        <w:jc w:val="center"/>
        <w:rPr>
          <w:rFonts w:hint="eastAsia"/>
          <w:b/>
          <w:bCs/>
          <w:sz w:val="28"/>
          <w:szCs w:val="28"/>
          <w:u w:val="none"/>
          <w:lang w:val="en-US" w:eastAsia="zh-CN"/>
        </w:rPr>
      </w:pPr>
    </w:p>
    <w:p>
      <w:pPr>
        <w:tabs>
          <w:tab w:val="left" w:pos="0"/>
          <w:tab w:val="left" w:pos="4185"/>
        </w:tabs>
        <w:spacing w:line="288" w:lineRule="auto"/>
        <w:ind w:right="-6"/>
        <w:jc w:val="center"/>
        <w:rPr>
          <w:rFonts w:hint="eastAsia" w:ascii="黑体" w:hAnsi="黑体" w:eastAsia="黑体"/>
          <w:b/>
          <w:bCs/>
          <w:sz w:val="28"/>
          <w:szCs w:val="28"/>
          <w:u w:val="none"/>
        </w:rPr>
      </w:pPr>
      <w:r>
        <w:rPr>
          <w:rFonts w:hint="eastAsia"/>
          <w:b/>
          <w:bCs/>
          <w:sz w:val="28"/>
          <w:szCs w:val="28"/>
          <w:u w:val="none"/>
          <w:lang w:val="en-US" w:eastAsia="zh-CN"/>
        </w:rPr>
        <w:t>采购编号：省港服（2022）年询第41号【新港】</w:t>
      </w:r>
    </w:p>
    <w:p>
      <w:pPr>
        <w:spacing w:line="480" w:lineRule="auto"/>
        <w:jc w:val="center"/>
        <w:rPr>
          <w:rFonts w:ascii="宋体" w:hAnsi="宋体" w:cs="宋体"/>
          <w:b/>
          <w:color w:val="000000"/>
          <w:kern w:val="0"/>
          <w:sz w:val="28"/>
          <w:szCs w:val="28"/>
          <w:u w:val="none"/>
        </w:rPr>
      </w:pPr>
    </w:p>
    <w:p>
      <w:pPr>
        <w:snapToGrid w:val="0"/>
        <w:spacing w:line="480" w:lineRule="auto"/>
        <w:jc w:val="center"/>
        <w:rPr>
          <w:b/>
          <w:bCs/>
          <w:sz w:val="48"/>
          <w:szCs w:val="48"/>
          <w:u w:val="none"/>
        </w:rPr>
      </w:pPr>
    </w:p>
    <w:p>
      <w:pPr>
        <w:snapToGrid w:val="0"/>
        <w:spacing w:line="480" w:lineRule="auto"/>
        <w:jc w:val="center"/>
        <w:rPr>
          <w:b/>
          <w:bCs/>
          <w:sz w:val="48"/>
          <w:szCs w:val="48"/>
          <w:u w:val="none"/>
        </w:rPr>
      </w:pPr>
    </w:p>
    <w:p>
      <w:pPr>
        <w:snapToGrid w:val="0"/>
        <w:spacing w:line="480" w:lineRule="auto"/>
        <w:jc w:val="center"/>
        <w:rPr>
          <w:b/>
          <w:bCs/>
          <w:sz w:val="48"/>
          <w:szCs w:val="48"/>
          <w:u w:val="none"/>
        </w:rPr>
      </w:pPr>
    </w:p>
    <w:p>
      <w:pPr>
        <w:spacing w:line="600" w:lineRule="exact"/>
        <w:rPr>
          <w:u w:val="none"/>
        </w:rPr>
      </w:pPr>
    </w:p>
    <w:p>
      <w:pPr>
        <w:spacing w:line="600" w:lineRule="exact"/>
        <w:rPr>
          <w:u w:val="none"/>
        </w:rPr>
      </w:pPr>
    </w:p>
    <w:p>
      <w:pPr>
        <w:spacing w:line="600" w:lineRule="exact"/>
        <w:rPr>
          <w:u w:val="none"/>
        </w:rPr>
      </w:pPr>
    </w:p>
    <w:p>
      <w:pPr>
        <w:pStyle w:val="15"/>
        <w:numPr>
          <w:ilvl w:val="0"/>
          <w:numId w:val="0"/>
        </w:numPr>
        <w:autoSpaceDE w:val="0"/>
        <w:autoSpaceDN w:val="0"/>
        <w:adjustRightInd w:val="0"/>
        <w:spacing w:after="120" w:line="360" w:lineRule="exact"/>
        <w:textAlignment w:val="baseline"/>
        <w:rPr>
          <w:u w:val="none"/>
        </w:rPr>
      </w:pPr>
    </w:p>
    <w:p>
      <w:pPr>
        <w:pStyle w:val="15"/>
        <w:numPr>
          <w:ilvl w:val="0"/>
          <w:numId w:val="0"/>
        </w:numPr>
        <w:autoSpaceDE w:val="0"/>
        <w:autoSpaceDN w:val="0"/>
        <w:adjustRightInd w:val="0"/>
        <w:spacing w:after="120" w:line="360" w:lineRule="exact"/>
        <w:textAlignment w:val="baseline"/>
        <w:rPr>
          <w:u w:val="none"/>
        </w:rPr>
      </w:pPr>
    </w:p>
    <w:p>
      <w:pPr>
        <w:pStyle w:val="15"/>
        <w:numPr>
          <w:ilvl w:val="0"/>
          <w:numId w:val="0"/>
        </w:numPr>
        <w:autoSpaceDE w:val="0"/>
        <w:autoSpaceDN w:val="0"/>
        <w:adjustRightInd w:val="0"/>
        <w:spacing w:after="120" w:line="360" w:lineRule="exact"/>
        <w:textAlignment w:val="baseline"/>
        <w:rPr>
          <w:u w:val="none"/>
        </w:rPr>
      </w:pPr>
    </w:p>
    <w:p>
      <w:pPr>
        <w:spacing w:line="600" w:lineRule="exact"/>
        <w:rPr>
          <w:u w:val="none"/>
        </w:rPr>
      </w:pPr>
    </w:p>
    <w:p>
      <w:pPr>
        <w:snapToGrid w:val="0"/>
        <w:spacing w:line="900" w:lineRule="exact"/>
        <w:jc w:val="center"/>
        <w:rPr>
          <w:rFonts w:ascii="黑体" w:hAnsi="黑体" w:eastAsia="黑体"/>
          <w:bCs/>
          <w:sz w:val="48"/>
          <w:szCs w:val="48"/>
          <w:u w:val="none"/>
        </w:rPr>
      </w:pPr>
      <w:r>
        <w:rPr>
          <w:rFonts w:hint="eastAsia" w:ascii="黑体" w:hAnsi="黑体" w:eastAsia="黑体"/>
          <w:bCs/>
          <w:sz w:val="48"/>
          <w:szCs w:val="48"/>
          <w:u w:val="none"/>
        </w:rPr>
        <w:t>岳阳城陵矶新港有限公司</w:t>
      </w:r>
    </w:p>
    <w:p>
      <w:pPr>
        <w:tabs>
          <w:tab w:val="left" w:pos="0"/>
          <w:tab w:val="left" w:pos="4185"/>
        </w:tabs>
        <w:spacing w:line="288" w:lineRule="auto"/>
        <w:ind w:right="-6"/>
        <w:jc w:val="center"/>
        <w:rPr>
          <w:rFonts w:ascii="黑体" w:hAnsi="黑体" w:eastAsia="黑体"/>
          <w:bCs/>
          <w:sz w:val="48"/>
          <w:szCs w:val="48"/>
          <w:u w:val="none"/>
        </w:rPr>
      </w:pPr>
      <w:r>
        <w:rPr>
          <w:rFonts w:hint="eastAsia" w:ascii="黑体" w:hAnsi="黑体" w:eastAsia="黑体"/>
          <w:bCs/>
          <w:sz w:val="48"/>
          <w:szCs w:val="48"/>
          <w:u w:val="none"/>
        </w:rPr>
        <w:t>二О二二年八月</w:t>
      </w:r>
    </w:p>
    <w:p>
      <w:pPr>
        <w:rPr>
          <w:u w:val="none"/>
        </w:rPr>
      </w:pPr>
    </w:p>
    <w:p>
      <w:pPr>
        <w:pStyle w:val="15"/>
        <w:numPr>
          <w:ilvl w:val="0"/>
          <w:numId w:val="0"/>
        </w:numPr>
        <w:autoSpaceDE w:val="0"/>
        <w:autoSpaceDN w:val="0"/>
        <w:adjustRightInd w:val="0"/>
        <w:spacing w:after="120" w:line="360" w:lineRule="exact"/>
        <w:textAlignment w:val="baseline"/>
        <w:rPr>
          <w:u w:val="none"/>
        </w:rPr>
      </w:pPr>
    </w:p>
    <w:p>
      <w:pPr>
        <w:pStyle w:val="22"/>
        <w:keepNext w:val="0"/>
        <w:keepLines w:val="0"/>
        <w:widowControl w:val="0"/>
        <w:spacing w:before="0" w:line="600" w:lineRule="exact"/>
        <w:ind w:left="440"/>
        <w:jc w:val="center"/>
        <w:rPr>
          <w:rFonts w:ascii="黑体" w:hAnsi="黑体" w:eastAsia="黑体"/>
          <w:b w:val="0"/>
          <w:color w:val="auto"/>
          <w:sz w:val="44"/>
          <w:szCs w:val="44"/>
          <w:u w:val="none"/>
          <w:lang w:val="zh-CN"/>
        </w:rPr>
      </w:pPr>
      <w:r>
        <w:rPr>
          <w:rFonts w:ascii="黑体" w:hAnsi="黑体" w:eastAsia="黑体"/>
          <w:b w:val="0"/>
          <w:color w:val="auto"/>
          <w:sz w:val="44"/>
          <w:szCs w:val="44"/>
          <w:u w:val="none"/>
          <w:lang w:val="zh-CN"/>
        </w:rPr>
        <w:t>目    录</w:t>
      </w:r>
    </w:p>
    <w:sdt>
      <w:sdtPr>
        <w:rPr>
          <w:rFonts w:ascii="宋体" w:hAnsi="宋体" w:eastAsia="宋体" w:cs="Times New Roman"/>
          <w:kern w:val="2"/>
          <w:sz w:val="21"/>
          <w:szCs w:val="24"/>
          <w:lang w:val="en-US" w:eastAsia="zh-CN" w:bidi="ar-SA"/>
        </w:rPr>
        <w:id w:val="147454802"/>
        <w15:color w:val="DBDBDB"/>
        <w:docPartObj>
          <w:docPartGallery w:val="Table of Contents"/>
          <w:docPartUnique/>
        </w:docPartObj>
      </w:sdtPr>
      <w:sdtEndPr>
        <w:rPr>
          <w:sz w:val="24"/>
          <w:szCs w:val="24"/>
        </w:rPr>
      </w:sdtEndPr>
      <w:sdtContent>
        <w:p>
          <w:pPr>
            <w:spacing w:before="0" w:beforeLines="0" w:after="0" w:afterLines="0" w:line="240" w:lineRule="auto"/>
            <w:ind w:left="0" w:leftChars="0" w:right="0" w:rightChars="0" w:firstLine="0" w:firstLineChars="0"/>
            <w:jc w:val="center"/>
          </w:pPr>
        </w:p>
        <w:p>
          <w:pPr>
            <w:pStyle w:val="11"/>
            <w:tabs>
              <w:tab w:val="right" w:leader="dot" w:pos="8306"/>
              <w:tab w:val="clear" w:pos="9242"/>
            </w:tabs>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_Toc26526 </w:instrText>
          </w:r>
          <w:r>
            <w:rPr>
              <w:sz w:val="24"/>
              <w:szCs w:val="24"/>
            </w:rPr>
            <w:fldChar w:fldCharType="separate"/>
          </w:r>
          <w:r>
            <w:rPr>
              <w:rFonts w:hint="default" w:ascii="黑体" w:hAnsi="黑体" w:eastAsia="黑体" w:cs="仿宋"/>
              <w:sz w:val="24"/>
              <w:szCs w:val="24"/>
            </w:rPr>
            <w:t xml:space="preserve">第一章 </w:t>
          </w:r>
          <w:r>
            <w:rPr>
              <w:rFonts w:hint="eastAsia" w:ascii="黑体" w:hAnsi="黑体" w:eastAsia="黑体" w:cs="仿宋"/>
              <w:sz w:val="24"/>
              <w:szCs w:val="24"/>
              <w:lang w:val="en-US" w:eastAsia="zh-CN"/>
            </w:rPr>
            <w:t>询价</w:t>
          </w:r>
          <w:r>
            <w:rPr>
              <w:rFonts w:hint="eastAsia" w:ascii="黑体" w:hAnsi="黑体" w:eastAsia="黑体" w:cs="仿宋"/>
              <w:sz w:val="24"/>
              <w:szCs w:val="24"/>
            </w:rPr>
            <w:t>公告</w:t>
          </w:r>
          <w:r>
            <w:rPr>
              <w:sz w:val="24"/>
              <w:szCs w:val="24"/>
            </w:rPr>
            <w:tab/>
          </w:r>
          <w:r>
            <w:rPr>
              <w:sz w:val="24"/>
              <w:szCs w:val="24"/>
            </w:rPr>
            <w:fldChar w:fldCharType="begin"/>
          </w:r>
          <w:r>
            <w:rPr>
              <w:sz w:val="24"/>
              <w:szCs w:val="24"/>
            </w:rPr>
            <w:instrText xml:space="preserve"> PAGEREF _Toc26526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_Toc7832 </w:instrText>
          </w:r>
          <w:r>
            <w:rPr>
              <w:sz w:val="24"/>
              <w:szCs w:val="24"/>
            </w:rPr>
            <w:fldChar w:fldCharType="separate"/>
          </w:r>
          <w:r>
            <w:rPr>
              <w:rFonts w:hint="eastAsia" w:ascii="黑体" w:hAnsi="黑体" w:eastAsia="黑体"/>
              <w:sz w:val="24"/>
              <w:szCs w:val="24"/>
            </w:rPr>
            <w:t>第二章 供应商须知</w:t>
          </w:r>
          <w:r>
            <w:rPr>
              <w:sz w:val="24"/>
              <w:szCs w:val="24"/>
            </w:rPr>
            <w:tab/>
          </w:r>
          <w:r>
            <w:rPr>
              <w:sz w:val="24"/>
              <w:szCs w:val="24"/>
            </w:rPr>
            <w:fldChar w:fldCharType="begin"/>
          </w:r>
          <w:r>
            <w:rPr>
              <w:sz w:val="24"/>
              <w:szCs w:val="24"/>
            </w:rPr>
            <w:instrText xml:space="preserve"> PAGEREF _Toc7832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_Toc25443 </w:instrText>
          </w:r>
          <w:r>
            <w:rPr>
              <w:sz w:val="24"/>
              <w:szCs w:val="24"/>
            </w:rPr>
            <w:fldChar w:fldCharType="separate"/>
          </w:r>
          <w:r>
            <w:rPr>
              <w:rFonts w:hint="eastAsia" w:ascii="华文中宋" w:hAnsi="华文中宋" w:eastAsia="华文中宋" w:cs="仿宋"/>
              <w:bCs/>
              <w:sz w:val="24"/>
              <w:szCs w:val="24"/>
            </w:rPr>
            <w:t>第二章 供应商须知正文</w:t>
          </w:r>
          <w:r>
            <w:rPr>
              <w:sz w:val="24"/>
              <w:szCs w:val="24"/>
            </w:rPr>
            <w:tab/>
          </w:r>
          <w:r>
            <w:rPr>
              <w:sz w:val="24"/>
              <w:szCs w:val="24"/>
            </w:rPr>
            <w:fldChar w:fldCharType="begin"/>
          </w:r>
          <w:r>
            <w:rPr>
              <w:sz w:val="24"/>
              <w:szCs w:val="24"/>
            </w:rPr>
            <w:instrText xml:space="preserve"> PAGEREF _Toc25443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_Toc23605 </w:instrText>
          </w:r>
          <w:r>
            <w:rPr>
              <w:sz w:val="24"/>
              <w:szCs w:val="24"/>
            </w:rPr>
            <w:fldChar w:fldCharType="separate"/>
          </w:r>
          <w:r>
            <w:rPr>
              <w:rFonts w:hint="eastAsia" w:ascii="黑体" w:hAnsi="黑体" w:eastAsia="黑体" w:cs="仿宋"/>
              <w:bCs/>
              <w:sz w:val="24"/>
              <w:szCs w:val="24"/>
            </w:rPr>
            <w:t>第三章 评审办法</w:t>
          </w:r>
          <w:r>
            <w:rPr>
              <w:sz w:val="24"/>
              <w:szCs w:val="24"/>
            </w:rPr>
            <w:tab/>
          </w:r>
          <w:r>
            <w:rPr>
              <w:sz w:val="24"/>
              <w:szCs w:val="24"/>
            </w:rPr>
            <w:fldChar w:fldCharType="begin"/>
          </w:r>
          <w:r>
            <w:rPr>
              <w:sz w:val="24"/>
              <w:szCs w:val="24"/>
            </w:rPr>
            <w:instrText xml:space="preserve"> PAGEREF _Toc23605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_Toc7020 </w:instrText>
          </w:r>
          <w:r>
            <w:rPr>
              <w:sz w:val="24"/>
              <w:szCs w:val="24"/>
            </w:rPr>
            <w:fldChar w:fldCharType="separate"/>
          </w:r>
          <w:r>
            <w:rPr>
              <w:rFonts w:hint="eastAsia" w:ascii="黑体" w:hAnsi="黑体" w:eastAsia="黑体" w:cs="仿宋"/>
              <w:sz w:val="24"/>
              <w:szCs w:val="24"/>
            </w:rPr>
            <w:t>第四章 合同条款及格式</w:t>
          </w:r>
          <w:r>
            <w:rPr>
              <w:sz w:val="24"/>
              <w:szCs w:val="24"/>
            </w:rPr>
            <w:tab/>
          </w:r>
          <w:r>
            <w:rPr>
              <w:sz w:val="24"/>
              <w:szCs w:val="24"/>
            </w:rPr>
            <w:fldChar w:fldCharType="begin"/>
          </w:r>
          <w:r>
            <w:rPr>
              <w:sz w:val="24"/>
              <w:szCs w:val="24"/>
            </w:rPr>
            <w:instrText xml:space="preserve"> PAGEREF _Toc7020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_Toc14967 </w:instrText>
          </w:r>
          <w:r>
            <w:rPr>
              <w:sz w:val="24"/>
              <w:szCs w:val="24"/>
            </w:rPr>
            <w:fldChar w:fldCharType="separate"/>
          </w:r>
          <w:r>
            <w:rPr>
              <w:rFonts w:hint="eastAsia" w:ascii="黑体" w:hAnsi="黑体" w:eastAsia="黑体" w:cs="仿宋"/>
              <w:sz w:val="24"/>
              <w:szCs w:val="24"/>
            </w:rPr>
            <w:t>第五章 采购需求</w:t>
          </w:r>
          <w:r>
            <w:rPr>
              <w:sz w:val="24"/>
              <w:szCs w:val="24"/>
            </w:rPr>
            <w:tab/>
          </w:r>
          <w:r>
            <w:rPr>
              <w:sz w:val="24"/>
              <w:szCs w:val="24"/>
            </w:rPr>
            <w:fldChar w:fldCharType="begin"/>
          </w:r>
          <w:r>
            <w:rPr>
              <w:sz w:val="24"/>
              <w:szCs w:val="24"/>
            </w:rPr>
            <w:instrText xml:space="preserve"> PAGEREF _Toc14967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_Toc31286 </w:instrText>
          </w:r>
          <w:r>
            <w:rPr>
              <w:sz w:val="24"/>
              <w:szCs w:val="24"/>
            </w:rPr>
            <w:fldChar w:fldCharType="separate"/>
          </w:r>
          <w:r>
            <w:rPr>
              <w:rFonts w:hint="eastAsia" w:ascii="黑体" w:hAnsi="黑体" w:eastAsia="黑体" w:cs="仿宋"/>
              <w:sz w:val="24"/>
              <w:szCs w:val="24"/>
            </w:rPr>
            <w:t>第六章 响应文件格式</w:t>
          </w:r>
          <w:r>
            <w:rPr>
              <w:sz w:val="24"/>
              <w:szCs w:val="24"/>
            </w:rPr>
            <w:tab/>
          </w:r>
          <w:r>
            <w:rPr>
              <w:sz w:val="24"/>
              <w:szCs w:val="24"/>
            </w:rPr>
            <w:fldChar w:fldCharType="begin"/>
          </w:r>
          <w:r>
            <w:rPr>
              <w:sz w:val="24"/>
              <w:szCs w:val="24"/>
            </w:rPr>
            <w:instrText xml:space="preserve"> PAGEREF _Toc31286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_Toc26820 </w:instrText>
          </w:r>
          <w:r>
            <w:rPr>
              <w:sz w:val="24"/>
              <w:szCs w:val="24"/>
            </w:rPr>
            <w:fldChar w:fldCharType="separate"/>
          </w:r>
          <w:r>
            <w:rPr>
              <w:rFonts w:hint="eastAsia" w:ascii="黑体" w:hAnsi="黑体" w:eastAsia="黑体" w:cs="仿宋"/>
              <w:sz w:val="24"/>
              <w:szCs w:val="24"/>
            </w:rPr>
            <w:t>目 录</w:t>
          </w:r>
          <w:r>
            <w:rPr>
              <w:sz w:val="24"/>
              <w:szCs w:val="24"/>
            </w:rPr>
            <w:tab/>
          </w:r>
          <w:r>
            <w:rPr>
              <w:sz w:val="24"/>
              <w:szCs w:val="24"/>
            </w:rPr>
            <w:fldChar w:fldCharType="begin"/>
          </w:r>
          <w:r>
            <w:rPr>
              <w:sz w:val="24"/>
              <w:szCs w:val="24"/>
            </w:rPr>
            <w:instrText xml:space="preserve"> PAGEREF _Toc26820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_Toc8801 </w:instrText>
          </w:r>
          <w:r>
            <w:rPr>
              <w:sz w:val="24"/>
              <w:szCs w:val="24"/>
            </w:rPr>
            <w:fldChar w:fldCharType="separate"/>
          </w:r>
          <w:r>
            <w:rPr>
              <w:rFonts w:hint="eastAsia" w:ascii="黑体" w:hAnsi="黑体" w:eastAsia="黑体" w:cs="仿宋"/>
              <w:sz w:val="24"/>
              <w:szCs w:val="24"/>
            </w:rPr>
            <w:t>一、响应函</w:t>
          </w:r>
          <w:r>
            <w:rPr>
              <w:sz w:val="24"/>
              <w:szCs w:val="24"/>
            </w:rPr>
            <w:tab/>
          </w:r>
          <w:r>
            <w:rPr>
              <w:sz w:val="24"/>
              <w:szCs w:val="24"/>
            </w:rPr>
            <w:fldChar w:fldCharType="begin"/>
          </w:r>
          <w:r>
            <w:rPr>
              <w:sz w:val="24"/>
              <w:szCs w:val="24"/>
            </w:rPr>
            <w:instrText xml:space="preserve"> PAGEREF _Toc8801 \h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_Toc18205 </w:instrText>
          </w:r>
          <w:r>
            <w:rPr>
              <w:sz w:val="24"/>
              <w:szCs w:val="24"/>
            </w:rPr>
            <w:fldChar w:fldCharType="separate"/>
          </w:r>
          <w:r>
            <w:rPr>
              <w:rFonts w:hint="eastAsia" w:ascii="黑体" w:hAnsi="黑体" w:eastAsia="黑体" w:cs="仿宋"/>
              <w:sz w:val="24"/>
              <w:szCs w:val="24"/>
            </w:rPr>
            <w:t>二、授权委托书</w:t>
          </w:r>
          <w:r>
            <w:rPr>
              <w:sz w:val="24"/>
              <w:szCs w:val="24"/>
            </w:rPr>
            <w:tab/>
          </w:r>
          <w:r>
            <w:rPr>
              <w:sz w:val="24"/>
              <w:szCs w:val="24"/>
            </w:rPr>
            <w:fldChar w:fldCharType="begin"/>
          </w:r>
          <w:r>
            <w:rPr>
              <w:sz w:val="24"/>
              <w:szCs w:val="24"/>
            </w:rPr>
            <w:instrText xml:space="preserve"> PAGEREF _Toc18205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_Toc14688 </w:instrText>
          </w:r>
          <w:r>
            <w:rPr>
              <w:sz w:val="24"/>
              <w:szCs w:val="24"/>
            </w:rPr>
            <w:fldChar w:fldCharType="separate"/>
          </w:r>
          <w:r>
            <w:rPr>
              <w:rFonts w:hint="eastAsia" w:ascii="黑体" w:hAnsi="黑体" w:eastAsia="黑体" w:cs="仿宋"/>
              <w:sz w:val="24"/>
              <w:szCs w:val="24"/>
            </w:rPr>
            <w:t>三、商务和技术偏差表</w:t>
          </w:r>
          <w:r>
            <w:rPr>
              <w:sz w:val="24"/>
              <w:szCs w:val="24"/>
            </w:rPr>
            <w:tab/>
          </w:r>
          <w:r>
            <w:rPr>
              <w:sz w:val="24"/>
              <w:szCs w:val="24"/>
            </w:rPr>
            <w:fldChar w:fldCharType="begin"/>
          </w:r>
          <w:r>
            <w:rPr>
              <w:sz w:val="24"/>
              <w:szCs w:val="24"/>
            </w:rPr>
            <w:instrText xml:space="preserve"> PAGEREF _Toc14688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_Toc423 </w:instrText>
          </w:r>
          <w:r>
            <w:rPr>
              <w:sz w:val="24"/>
              <w:szCs w:val="24"/>
            </w:rPr>
            <w:fldChar w:fldCharType="separate"/>
          </w:r>
          <w:r>
            <w:rPr>
              <w:rFonts w:hint="eastAsia" w:ascii="黑体" w:hAnsi="黑体" w:eastAsia="黑体" w:cs="仿宋"/>
              <w:sz w:val="24"/>
              <w:szCs w:val="24"/>
              <w:lang w:val="en-US" w:eastAsia="zh-CN"/>
            </w:rPr>
            <w:t>四</w:t>
          </w:r>
          <w:r>
            <w:rPr>
              <w:rFonts w:hint="eastAsia" w:ascii="黑体" w:hAnsi="黑体" w:eastAsia="黑体" w:cs="仿宋"/>
              <w:sz w:val="24"/>
              <w:szCs w:val="24"/>
            </w:rPr>
            <w:t>、资格审查资料</w:t>
          </w:r>
          <w:r>
            <w:rPr>
              <w:sz w:val="24"/>
              <w:szCs w:val="24"/>
            </w:rPr>
            <w:tab/>
          </w:r>
          <w:r>
            <w:rPr>
              <w:sz w:val="24"/>
              <w:szCs w:val="24"/>
            </w:rPr>
            <w:fldChar w:fldCharType="begin"/>
          </w:r>
          <w:r>
            <w:rPr>
              <w:sz w:val="24"/>
              <w:szCs w:val="24"/>
            </w:rPr>
            <w:instrText xml:space="preserve"> PAGEREF _Toc423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_Toc19025 </w:instrText>
          </w:r>
          <w:r>
            <w:rPr>
              <w:sz w:val="24"/>
              <w:szCs w:val="24"/>
            </w:rPr>
            <w:fldChar w:fldCharType="separate"/>
          </w:r>
          <w:r>
            <w:rPr>
              <w:rFonts w:hint="eastAsia" w:ascii="黑体" w:hAnsi="黑体" w:eastAsia="黑体" w:cs="仿宋"/>
              <w:sz w:val="24"/>
              <w:szCs w:val="24"/>
              <w:lang w:val="en-US" w:eastAsia="zh-CN"/>
            </w:rPr>
            <w:t>五、</w:t>
          </w:r>
          <w:r>
            <w:rPr>
              <w:rFonts w:hint="eastAsia" w:ascii="黑体" w:hAnsi="黑体" w:eastAsia="黑体" w:cs="仿宋"/>
              <w:sz w:val="24"/>
              <w:szCs w:val="24"/>
            </w:rPr>
            <w:t>响应方案</w:t>
          </w:r>
          <w:r>
            <w:rPr>
              <w:sz w:val="24"/>
              <w:szCs w:val="24"/>
            </w:rPr>
            <w:tab/>
          </w:r>
          <w:r>
            <w:rPr>
              <w:sz w:val="24"/>
              <w:szCs w:val="24"/>
            </w:rPr>
            <w:fldChar w:fldCharType="begin"/>
          </w:r>
          <w:r>
            <w:rPr>
              <w:sz w:val="24"/>
              <w:szCs w:val="24"/>
            </w:rPr>
            <w:instrText xml:space="preserve"> PAGEREF _Toc19025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11"/>
            <w:tabs>
              <w:tab w:val="right" w:leader="dot" w:pos="8306"/>
              <w:tab w:val="clear" w:pos="9242"/>
            </w:tabs>
            <w:rPr>
              <w:sz w:val="24"/>
              <w:szCs w:val="24"/>
            </w:rPr>
          </w:pPr>
          <w:r>
            <w:rPr>
              <w:sz w:val="24"/>
              <w:szCs w:val="24"/>
            </w:rPr>
            <w:fldChar w:fldCharType="begin"/>
          </w:r>
          <w:r>
            <w:rPr>
              <w:sz w:val="24"/>
              <w:szCs w:val="24"/>
            </w:rPr>
            <w:instrText xml:space="preserve"> HYPERLINK \l _Toc20419 </w:instrText>
          </w:r>
          <w:r>
            <w:rPr>
              <w:sz w:val="24"/>
              <w:szCs w:val="24"/>
            </w:rPr>
            <w:fldChar w:fldCharType="separate"/>
          </w:r>
          <w:r>
            <w:rPr>
              <w:rFonts w:hint="eastAsia" w:ascii="黑体" w:hAnsi="黑体" w:eastAsia="黑体" w:cs="黑体"/>
              <w:sz w:val="24"/>
              <w:szCs w:val="24"/>
            </w:rPr>
            <w:t>六、其他资料</w:t>
          </w:r>
          <w:r>
            <w:rPr>
              <w:sz w:val="24"/>
              <w:szCs w:val="24"/>
            </w:rPr>
            <w:tab/>
          </w:r>
          <w:r>
            <w:rPr>
              <w:sz w:val="24"/>
              <w:szCs w:val="24"/>
            </w:rPr>
            <w:fldChar w:fldCharType="begin"/>
          </w:r>
          <w:r>
            <w:rPr>
              <w:sz w:val="24"/>
              <w:szCs w:val="24"/>
            </w:rPr>
            <w:instrText xml:space="preserve"> PAGEREF _Toc20419 \h </w:instrText>
          </w:r>
          <w:r>
            <w:rPr>
              <w:sz w:val="24"/>
              <w:szCs w:val="24"/>
            </w:rPr>
            <w:fldChar w:fldCharType="separate"/>
          </w:r>
          <w:r>
            <w:rPr>
              <w:sz w:val="24"/>
              <w:szCs w:val="24"/>
            </w:rPr>
            <w:t>55</w:t>
          </w:r>
          <w:r>
            <w:rPr>
              <w:sz w:val="24"/>
              <w:szCs w:val="24"/>
            </w:rPr>
            <w:fldChar w:fldCharType="end"/>
          </w:r>
          <w:r>
            <w:rPr>
              <w:sz w:val="24"/>
              <w:szCs w:val="24"/>
            </w:rPr>
            <w:fldChar w:fldCharType="end"/>
          </w:r>
        </w:p>
        <w:p>
          <w:pPr>
            <w:rPr>
              <w:sz w:val="24"/>
              <w:szCs w:val="24"/>
            </w:rPr>
          </w:pPr>
          <w:r>
            <w:rPr>
              <w:sz w:val="24"/>
              <w:szCs w:val="24"/>
            </w:rPr>
            <w:fldChar w:fldCharType="end"/>
          </w:r>
        </w:p>
      </w:sdtContent>
    </w:sdt>
    <w:p>
      <w:pPr>
        <w:rPr>
          <w:rFonts w:ascii="微软雅黑" w:hAnsi="微软雅黑" w:eastAsia="微软雅黑"/>
          <w:sz w:val="24"/>
          <w:u w:val="none"/>
          <w:lang w:val="zh-CN"/>
        </w:rPr>
      </w:pPr>
      <w:r>
        <w:rPr>
          <w:rFonts w:ascii="微软雅黑" w:hAnsi="微软雅黑" w:eastAsia="微软雅黑"/>
          <w:sz w:val="24"/>
          <w:u w:val="none"/>
          <w:lang w:val="zh-CN"/>
        </w:rPr>
        <w:br w:type="page"/>
      </w:r>
    </w:p>
    <w:p>
      <w:pPr>
        <w:pStyle w:val="23"/>
        <w:numPr>
          <w:ilvl w:val="0"/>
          <w:numId w:val="2"/>
        </w:numPr>
        <w:spacing w:line="600" w:lineRule="exact"/>
        <w:ind w:firstLineChars="0"/>
        <w:jc w:val="center"/>
        <w:outlineLvl w:val="0"/>
        <w:rPr>
          <w:rFonts w:ascii="黑体" w:hAnsi="黑体" w:eastAsia="黑体" w:cs="仿宋"/>
          <w:b/>
          <w:color w:val="000000"/>
          <w:sz w:val="44"/>
          <w:szCs w:val="44"/>
          <w:u w:val="none"/>
        </w:rPr>
      </w:pPr>
      <w:bookmarkStart w:id="0" w:name="_Toc26526"/>
      <w:r>
        <w:rPr>
          <w:rFonts w:hint="eastAsia" w:ascii="黑体" w:hAnsi="黑体" w:eastAsia="黑体" w:cs="仿宋"/>
          <w:b/>
          <w:color w:val="000000"/>
          <w:sz w:val="44"/>
          <w:szCs w:val="44"/>
          <w:u w:val="none"/>
          <w:lang w:val="en-US" w:eastAsia="zh-CN"/>
        </w:rPr>
        <w:t>询价</w:t>
      </w:r>
      <w:r>
        <w:rPr>
          <w:rFonts w:hint="eastAsia" w:ascii="黑体" w:hAnsi="黑体" w:eastAsia="黑体" w:cs="仿宋"/>
          <w:b/>
          <w:color w:val="000000"/>
          <w:sz w:val="44"/>
          <w:szCs w:val="44"/>
          <w:u w:val="none"/>
        </w:rPr>
        <w:t>公告</w:t>
      </w:r>
      <w:bookmarkEnd w:id="0"/>
    </w:p>
    <w:p>
      <w:pPr>
        <w:spacing w:line="360" w:lineRule="auto"/>
        <w:jc w:val="center"/>
        <w:rPr>
          <w:rFonts w:ascii="黑体" w:hAnsi="黑体" w:eastAsia="黑体"/>
          <w:sz w:val="32"/>
          <w:szCs w:val="32"/>
          <w:u w:val="none"/>
        </w:rPr>
      </w:pPr>
      <w:r>
        <w:rPr>
          <w:rFonts w:hint="eastAsia" w:ascii="黑体" w:hAnsi="黑体" w:eastAsia="黑体"/>
          <w:sz w:val="32"/>
          <w:szCs w:val="32"/>
          <w:u w:val="none"/>
        </w:rPr>
        <w:t>岳阳城陵矶新港有限公司2022年度卫生保洁</w:t>
      </w:r>
    </w:p>
    <w:p>
      <w:pPr>
        <w:spacing w:line="360" w:lineRule="auto"/>
        <w:jc w:val="center"/>
        <w:rPr>
          <w:rFonts w:ascii="黑体" w:hAnsi="黑体" w:eastAsia="黑体"/>
          <w:sz w:val="32"/>
          <w:szCs w:val="32"/>
          <w:u w:val="none"/>
        </w:rPr>
      </w:pPr>
      <w:r>
        <w:rPr>
          <w:rFonts w:hint="eastAsia" w:ascii="黑体" w:hAnsi="黑体" w:eastAsia="黑体"/>
          <w:sz w:val="32"/>
          <w:szCs w:val="32"/>
          <w:u w:val="none"/>
          <w:lang w:val="zh-CN"/>
        </w:rPr>
        <w:t>服务项</w:t>
      </w:r>
      <w:r>
        <w:rPr>
          <w:rFonts w:hint="eastAsia" w:ascii="黑体" w:hAnsi="黑体" w:eastAsia="黑体"/>
          <w:color w:val="auto"/>
          <w:sz w:val="32"/>
          <w:szCs w:val="32"/>
          <w:u w:val="none"/>
          <w:lang w:val="zh-CN"/>
        </w:rPr>
        <w:t>目询价采购</w:t>
      </w:r>
      <w:r>
        <w:rPr>
          <w:rFonts w:hint="eastAsia" w:ascii="黑体" w:hAnsi="黑体" w:eastAsia="黑体"/>
          <w:color w:val="auto"/>
          <w:sz w:val="32"/>
          <w:szCs w:val="32"/>
          <w:u w:val="none"/>
        </w:rPr>
        <w:t>公告</w:t>
      </w:r>
    </w:p>
    <w:p>
      <w:pPr>
        <w:spacing w:line="360" w:lineRule="auto"/>
        <w:ind w:firstLine="480" w:firstLineChars="200"/>
        <w:jc w:val="left"/>
        <w:rPr>
          <w:rFonts w:ascii="宋体" w:hAnsi="宋体"/>
          <w:sz w:val="24"/>
          <w:u w:val="none"/>
        </w:rPr>
      </w:pPr>
      <w:r>
        <w:rPr>
          <w:rFonts w:hint="eastAsia" w:ascii="宋体" w:hAnsi="宋体" w:cs="宋体"/>
          <w:sz w:val="24"/>
          <w:u w:val="none"/>
        </w:rPr>
        <w:t>岳阳城陵矶新港有限公司2022年度卫生保洁</w:t>
      </w:r>
      <w:r>
        <w:rPr>
          <w:rFonts w:hint="eastAsia" w:ascii="宋体" w:hAnsi="宋体" w:cs="宋体"/>
          <w:sz w:val="24"/>
          <w:u w:val="none"/>
          <w:lang w:val="zh-CN"/>
        </w:rPr>
        <w:t>服务项目</w:t>
      </w:r>
      <w:r>
        <w:rPr>
          <w:rFonts w:hint="eastAsia" w:ascii="宋体" w:hAnsi="宋体"/>
          <w:sz w:val="24"/>
          <w:u w:val="none"/>
        </w:rPr>
        <w:t xml:space="preserve">已具备采购条件，现邀请供应商参加采购活动。 </w:t>
      </w:r>
    </w:p>
    <w:p>
      <w:pPr>
        <w:pStyle w:val="5"/>
        <w:rPr>
          <w:rFonts w:ascii="Arial" w:hAnsi="Arial"/>
          <w:u w:val="none"/>
        </w:rPr>
      </w:pPr>
      <w:r>
        <w:rPr>
          <w:rFonts w:hint="eastAsia"/>
          <w:u w:val="none"/>
          <w:lang w:val="en-US" w:eastAsia="zh-CN"/>
        </w:rPr>
        <w:t>一、</w:t>
      </w:r>
      <w:r>
        <w:rPr>
          <w:rFonts w:hint="eastAsia"/>
          <w:u w:val="none"/>
        </w:rPr>
        <w:t xml:space="preserve"> </w:t>
      </w:r>
      <w:r>
        <w:rPr>
          <w:rFonts w:hint="eastAsia" w:ascii="黑体" w:hAnsi="黑体"/>
          <w:u w:val="none"/>
        </w:rPr>
        <w:t xml:space="preserve">采购项目简介 </w:t>
      </w:r>
    </w:p>
    <w:p>
      <w:pPr>
        <w:autoSpaceDE w:val="0"/>
        <w:spacing w:line="400" w:lineRule="exact"/>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一</w:t>
      </w:r>
      <w:r>
        <w:rPr>
          <w:rFonts w:hint="eastAsia" w:ascii="宋体" w:hAnsi="宋体"/>
          <w:b/>
          <w:bCs/>
          <w:sz w:val="24"/>
          <w:u w:val="none"/>
          <w:lang w:eastAsia="zh-CN"/>
        </w:rPr>
        <w:t>）</w:t>
      </w:r>
      <w:r>
        <w:rPr>
          <w:rFonts w:hint="eastAsia" w:ascii="宋体" w:hAnsi="宋体"/>
          <w:sz w:val="24"/>
          <w:u w:val="none"/>
        </w:rPr>
        <w:t>采购项目名称:</w:t>
      </w:r>
      <w:r>
        <w:rPr>
          <w:rFonts w:hint="eastAsia" w:ascii="宋体" w:hAnsi="宋体" w:cs="宋体"/>
          <w:sz w:val="24"/>
          <w:u w:val="none"/>
        </w:rPr>
        <w:t>岳阳城陵矶新港有限公司2022年度</w:t>
      </w:r>
      <w:r>
        <w:rPr>
          <w:rFonts w:hint="eastAsia" w:ascii="宋体" w:hAnsi="宋体" w:cs="宋体"/>
          <w:sz w:val="24"/>
          <w:u w:val="none"/>
          <w:lang w:eastAsia="zh-CN"/>
        </w:rPr>
        <w:t>卫生保洁服务</w:t>
      </w:r>
      <w:r>
        <w:rPr>
          <w:rFonts w:hint="eastAsia" w:ascii="宋体" w:hAnsi="宋体" w:cs="宋体"/>
          <w:sz w:val="24"/>
          <w:u w:val="none"/>
          <w:lang w:val="zh-CN"/>
        </w:rPr>
        <w:t>项目。</w:t>
      </w:r>
    </w:p>
    <w:p>
      <w:pPr>
        <w:autoSpaceDE w:val="0"/>
        <w:spacing w:line="400" w:lineRule="exact"/>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二</w:t>
      </w:r>
      <w:r>
        <w:rPr>
          <w:rFonts w:hint="eastAsia" w:ascii="宋体" w:hAnsi="宋体"/>
          <w:b/>
          <w:bCs/>
          <w:sz w:val="24"/>
          <w:u w:val="none"/>
          <w:lang w:eastAsia="zh-CN"/>
        </w:rPr>
        <w:t>）</w:t>
      </w:r>
      <w:r>
        <w:rPr>
          <w:rFonts w:hint="eastAsia" w:ascii="宋体" w:hAnsi="宋体"/>
          <w:sz w:val="24"/>
          <w:u w:val="none"/>
        </w:rPr>
        <w:t xml:space="preserve">采购人: </w:t>
      </w:r>
      <w:r>
        <w:rPr>
          <w:rFonts w:hint="eastAsia" w:ascii="宋体" w:hAnsi="宋体" w:cs="宋体"/>
          <w:sz w:val="24"/>
          <w:u w:val="none"/>
        </w:rPr>
        <w:t>岳阳城陵矶新港有限公司。</w:t>
      </w:r>
    </w:p>
    <w:p>
      <w:pPr>
        <w:autoSpaceDE w:val="0"/>
        <w:spacing w:line="400" w:lineRule="exact"/>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三</w:t>
      </w:r>
      <w:r>
        <w:rPr>
          <w:rFonts w:hint="eastAsia" w:ascii="宋体" w:hAnsi="宋体"/>
          <w:b/>
          <w:bCs/>
          <w:sz w:val="24"/>
          <w:u w:val="none"/>
          <w:lang w:eastAsia="zh-CN"/>
        </w:rPr>
        <w:t>）</w:t>
      </w:r>
      <w:r>
        <w:rPr>
          <w:rFonts w:hint="eastAsia" w:ascii="宋体" w:hAnsi="宋体"/>
          <w:sz w:val="24"/>
          <w:u w:val="none"/>
        </w:rPr>
        <w:t>采购代理机构:无。</w:t>
      </w:r>
    </w:p>
    <w:p>
      <w:pPr>
        <w:autoSpaceDE w:val="0"/>
        <w:spacing w:line="400" w:lineRule="exact"/>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四</w:t>
      </w:r>
      <w:r>
        <w:rPr>
          <w:rFonts w:hint="eastAsia" w:ascii="宋体" w:hAnsi="宋体"/>
          <w:b/>
          <w:bCs/>
          <w:sz w:val="24"/>
          <w:u w:val="none"/>
          <w:lang w:eastAsia="zh-CN"/>
        </w:rPr>
        <w:t>）</w:t>
      </w:r>
      <w:r>
        <w:rPr>
          <w:rFonts w:hint="eastAsia" w:ascii="宋体" w:hAnsi="宋体"/>
          <w:sz w:val="24"/>
          <w:u w:val="none"/>
        </w:rPr>
        <w:t>采购项目资金落实情况:企业自筹，已落实。</w:t>
      </w:r>
    </w:p>
    <w:p>
      <w:pPr>
        <w:spacing w:line="440" w:lineRule="exact"/>
        <w:rPr>
          <w:color w:val="000000" w:themeColor="text1"/>
          <w:sz w:val="24"/>
          <w:u w:val="none"/>
        </w:rPr>
      </w:pPr>
      <w:r>
        <w:rPr>
          <w:rFonts w:hint="eastAsia" w:ascii="宋体" w:hAnsi="宋体"/>
          <w:b/>
          <w:bCs/>
          <w:sz w:val="24"/>
          <w:u w:val="none"/>
          <w:lang w:eastAsia="zh-CN"/>
        </w:rPr>
        <w:t>（</w:t>
      </w:r>
      <w:r>
        <w:rPr>
          <w:rFonts w:hint="eastAsia" w:ascii="宋体" w:hAnsi="宋体"/>
          <w:b/>
          <w:bCs/>
          <w:sz w:val="24"/>
          <w:u w:val="none"/>
          <w:lang w:val="en-US" w:eastAsia="zh-CN"/>
        </w:rPr>
        <w:t>五</w:t>
      </w:r>
      <w:r>
        <w:rPr>
          <w:rFonts w:hint="eastAsia" w:ascii="宋体" w:hAnsi="宋体"/>
          <w:b/>
          <w:bCs/>
          <w:sz w:val="24"/>
          <w:u w:val="none"/>
          <w:lang w:eastAsia="zh-CN"/>
        </w:rPr>
        <w:t>）</w:t>
      </w:r>
      <w:r>
        <w:rPr>
          <w:rFonts w:hint="eastAsia" w:ascii="宋体" w:hAnsi="宋体"/>
          <w:b/>
          <w:bCs/>
          <w:sz w:val="24"/>
          <w:u w:val="none"/>
        </w:rPr>
        <w:t xml:space="preserve"> </w:t>
      </w:r>
      <w:r>
        <w:rPr>
          <w:rFonts w:hint="eastAsia" w:ascii="宋体" w:hAnsi="宋体"/>
          <w:sz w:val="24"/>
          <w:u w:val="none"/>
        </w:rPr>
        <w:t xml:space="preserve">采购项目概况: </w:t>
      </w:r>
      <w:r>
        <w:rPr>
          <w:rFonts w:hint="eastAsia" w:ascii="宋体" w:hAnsi="宋体" w:eastAsia="宋体" w:cs="宋体"/>
          <w:sz w:val="24"/>
          <w:szCs w:val="24"/>
        </w:rPr>
        <w:t>岳阳城陵矶新港有限公司为湖南</w:t>
      </w:r>
      <w:r>
        <w:rPr>
          <w:rFonts w:hint="eastAsia" w:ascii="宋体" w:hAnsi="宋体" w:cs="宋体"/>
          <w:sz w:val="24"/>
          <w:szCs w:val="24"/>
          <w:lang w:val="en-US" w:eastAsia="zh-CN"/>
        </w:rPr>
        <w:t>省港务集团旗下</w:t>
      </w:r>
      <w:r>
        <w:rPr>
          <w:rFonts w:hint="eastAsia" w:ascii="宋体" w:hAnsi="宋体" w:eastAsia="宋体" w:cs="宋体"/>
          <w:sz w:val="24"/>
          <w:szCs w:val="24"/>
        </w:rPr>
        <w:t>子公司，是湖南区位条件最好、吞吐能力最大、现代化程度最高的集装箱港，主要从事集装箱装卸、堆存、中转、冷藏以及拆装箱等业务，具有烟花爆竹、危化品等180多种危险货物作业资质，是湖南烟花重要出口基地。占地</w:t>
      </w:r>
      <w:r>
        <w:rPr>
          <w:rFonts w:hint="eastAsia" w:ascii="宋体" w:hAnsi="宋体" w:cs="宋体"/>
          <w:sz w:val="24"/>
          <w:szCs w:val="24"/>
          <w:lang w:val="en-US" w:eastAsia="zh-CN"/>
        </w:rPr>
        <w:t>八百多</w:t>
      </w:r>
      <w:r>
        <w:rPr>
          <w:rFonts w:hint="eastAsia" w:ascii="宋体" w:hAnsi="宋体" w:eastAsia="宋体" w:cs="宋体"/>
          <w:sz w:val="24"/>
          <w:szCs w:val="24"/>
        </w:rPr>
        <w:t>亩</w:t>
      </w:r>
      <w:r>
        <w:rPr>
          <w:rFonts w:hint="eastAsia" w:ascii="宋体" w:hAnsi="宋体" w:cs="宋体"/>
          <w:sz w:val="24"/>
          <w:szCs w:val="24"/>
          <w:lang w:eastAsia="zh-CN"/>
        </w:rPr>
        <w:t>，</w:t>
      </w:r>
      <w:r>
        <w:rPr>
          <w:rFonts w:hint="eastAsia" w:ascii="宋体" w:hAnsi="宋体" w:eastAsia="宋体" w:cs="宋体"/>
          <w:sz w:val="24"/>
          <w:szCs w:val="24"/>
        </w:rPr>
        <w:t>拥有现代化的生产管理系统、无线车载系统，以及电子闸口、H986集装箱查验系统等联检设施。</w:t>
      </w:r>
      <w:r>
        <w:rPr>
          <w:rFonts w:hint="eastAsia" w:ascii="宋体" w:hAnsi="宋体" w:cs="宋体"/>
          <w:sz w:val="24"/>
          <w:szCs w:val="24"/>
          <w:lang w:val="en-US" w:eastAsia="zh-CN"/>
        </w:rPr>
        <w:t>为保证港口优美环境，现就我公司公共区</w:t>
      </w:r>
      <w:r>
        <w:rPr>
          <w:rFonts w:hint="eastAsia"/>
          <w:sz w:val="24"/>
          <w:u w:val="none"/>
        </w:rPr>
        <w:t>卫生保洁项目</w:t>
      </w:r>
      <w:r>
        <w:rPr>
          <w:rFonts w:hint="eastAsia"/>
          <w:sz w:val="24"/>
          <w:u w:val="none"/>
          <w:lang w:val="en-US" w:eastAsia="zh-CN"/>
        </w:rPr>
        <w:t>对外</w:t>
      </w:r>
      <w:r>
        <w:rPr>
          <w:rFonts w:hint="eastAsia"/>
          <w:sz w:val="24"/>
          <w:u w:val="none"/>
        </w:rPr>
        <w:t>承包</w:t>
      </w:r>
      <w:r>
        <w:rPr>
          <w:rFonts w:hint="eastAsia"/>
          <w:color w:val="000000" w:themeColor="text1"/>
          <w:sz w:val="24"/>
          <w:u w:val="none"/>
        </w:rPr>
        <w:t>。</w:t>
      </w:r>
    </w:p>
    <w:p>
      <w:pPr>
        <w:pStyle w:val="5"/>
        <w:rPr>
          <w:rFonts w:ascii="Arial" w:hAnsi="Arial"/>
          <w:u w:val="none"/>
        </w:rPr>
      </w:pPr>
      <w:r>
        <w:rPr>
          <w:rFonts w:hint="eastAsia" w:ascii="黑体" w:hAnsi="黑体"/>
          <w:u w:val="none"/>
          <w:lang w:val="en-US" w:eastAsia="zh-CN"/>
        </w:rPr>
        <w:t>二、</w:t>
      </w:r>
      <w:r>
        <w:rPr>
          <w:rFonts w:hint="eastAsia" w:ascii="黑体" w:hAnsi="黑体"/>
          <w:u w:val="none"/>
        </w:rPr>
        <w:t xml:space="preserve">采购范围及相关要求 </w:t>
      </w:r>
    </w:p>
    <w:p>
      <w:pPr>
        <w:autoSpaceDE w:val="0"/>
        <w:spacing w:line="400" w:lineRule="exact"/>
        <w:rPr>
          <w:sz w:val="24"/>
          <w:u w:val="none"/>
        </w:rPr>
      </w:pPr>
      <w:r>
        <w:rPr>
          <w:rFonts w:hint="eastAsia" w:ascii="宋体" w:hAnsi="宋体"/>
          <w:b/>
          <w:bCs/>
          <w:sz w:val="24"/>
          <w:u w:val="none"/>
          <w:lang w:eastAsia="zh-CN"/>
        </w:rPr>
        <w:t>（</w:t>
      </w:r>
      <w:r>
        <w:rPr>
          <w:rFonts w:hint="eastAsia" w:ascii="宋体" w:hAnsi="宋体"/>
          <w:b/>
          <w:bCs/>
          <w:sz w:val="24"/>
          <w:u w:val="none"/>
          <w:lang w:val="en-US" w:eastAsia="zh-CN"/>
        </w:rPr>
        <w:t>一</w:t>
      </w:r>
      <w:r>
        <w:rPr>
          <w:rFonts w:hint="eastAsia" w:ascii="宋体" w:hAnsi="宋体"/>
          <w:b/>
          <w:bCs/>
          <w:sz w:val="24"/>
          <w:u w:val="none"/>
          <w:lang w:eastAsia="zh-CN"/>
        </w:rPr>
        <w:t>）</w:t>
      </w:r>
      <w:r>
        <w:rPr>
          <w:rFonts w:hint="eastAsia" w:ascii="宋体" w:hAnsi="宋体"/>
          <w:sz w:val="24"/>
          <w:u w:val="none"/>
        </w:rPr>
        <w:t>采购范围: 岳阳</w:t>
      </w:r>
      <w:r>
        <w:rPr>
          <w:rFonts w:hint="eastAsia" w:ascii="宋体" w:hAnsi="宋体" w:cs="宋体"/>
          <w:sz w:val="24"/>
          <w:u w:val="none"/>
        </w:rPr>
        <w:t>新港公司办公楼及周边、宿舍楼，一期、二期港区生产作业区域（含作业楼、闸口前坪、码头平台、引桥、各堆场（含堆场电缆沟）、堆场公共卫生间、垃圾池周边区域）、港区绿化带内区域（白色垃圾清理）等区域；信息化大楼公共区域（含各楼道、9楼平台、楼周边及绿化带内）</w:t>
      </w:r>
      <w:r>
        <w:rPr>
          <w:rFonts w:hint="eastAsia"/>
          <w:sz w:val="24"/>
          <w:u w:val="none"/>
        </w:rPr>
        <w:t>等公共区域约56.4万M</w:t>
      </w:r>
      <w:r>
        <w:rPr>
          <w:rFonts w:hint="eastAsia"/>
          <w:sz w:val="24"/>
          <w:u w:val="none"/>
          <w:vertAlign w:val="superscript"/>
        </w:rPr>
        <w:t>2</w:t>
      </w:r>
      <w:r>
        <w:rPr>
          <w:rFonts w:hint="eastAsia"/>
          <w:sz w:val="24"/>
          <w:u w:val="none"/>
        </w:rPr>
        <w:t>进行卫生保洁服务。</w:t>
      </w:r>
    </w:p>
    <w:p>
      <w:pPr>
        <w:autoSpaceDE w:val="0"/>
        <w:spacing w:line="400" w:lineRule="exact"/>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二</w:t>
      </w:r>
      <w:r>
        <w:rPr>
          <w:rFonts w:hint="eastAsia" w:ascii="宋体" w:hAnsi="宋体"/>
          <w:b/>
          <w:bCs/>
          <w:sz w:val="24"/>
          <w:u w:val="none"/>
          <w:lang w:eastAsia="zh-CN"/>
        </w:rPr>
        <w:t>）</w:t>
      </w:r>
      <w:r>
        <w:rPr>
          <w:rFonts w:hint="eastAsia" w:ascii="宋体" w:hAnsi="宋体"/>
          <w:sz w:val="24"/>
          <w:u w:val="none"/>
        </w:rPr>
        <w:t>服务期限: 合同签订之日起一年</w:t>
      </w:r>
    </w:p>
    <w:p>
      <w:pPr>
        <w:autoSpaceDE w:val="0"/>
        <w:spacing w:line="400" w:lineRule="exact"/>
        <w:rPr>
          <w:sz w:val="24"/>
          <w:u w:val="none"/>
        </w:rPr>
      </w:pPr>
      <w:r>
        <w:rPr>
          <w:rFonts w:hint="eastAsia" w:ascii="宋体" w:hAnsi="宋体"/>
          <w:b/>
          <w:bCs/>
          <w:sz w:val="24"/>
          <w:u w:val="none"/>
          <w:lang w:eastAsia="zh-CN"/>
        </w:rPr>
        <w:t>（</w:t>
      </w:r>
      <w:r>
        <w:rPr>
          <w:rFonts w:hint="eastAsia" w:ascii="宋体" w:hAnsi="宋体"/>
          <w:b/>
          <w:bCs/>
          <w:sz w:val="24"/>
          <w:u w:val="none"/>
          <w:lang w:val="en-US" w:eastAsia="zh-CN"/>
        </w:rPr>
        <w:t>三</w:t>
      </w:r>
      <w:r>
        <w:rPr>
          <w:rFonts w:hint="eastAsia" w:ascii="宋体" w:hAnsi="宋体"/>
          <w:b/>
          <w:bCs/>
          <w:sz w:val="24"/>
          <w:u w:val="none"/>
          <w:lang w:eastAsia="zh-CN"/>
        </w:rPr>
        <w:t>）</w:t>
      </w:r>
      <w:r>
        <w:rPr>
          <w:rFonts w:hint="eastAsia" w:ascii="宋体" w:hAnsi="宋体"/>
          <w:sz w:val="24"/>
          <w:u w:val="none"/>
        </w:rPr>
        <w:t xml:space="preserve">服务地点: </w:t>
      </w:r>
      <w:r>
        <w:rPr>
          <w:rFonts w:hint="eastAsia"/>
          <w:sz w:val="24"/>
          <w:u w:val="none"/>
        </w:rPr>
        <w:t>岳阳</w:t>
      </w:r>
      <w:r>
        <w:rPr>
          <w:sz w:val="24"/>
          <w:u w:val="none"/>
        </w:rPr>
        <w:t>城陵矶</w:t>
      </w:r>
      <w:r>
        <w:rPr>
          <w:rFonts w:hint="eastAsia"/>
          <w:sz w:val="24"/>
          <w:u w:val="none"/>
        </w:rPr>
        <w:t>新港有限公司</w:t>
      </w:r>
    </w:p>
    <w:p>
      <w:pPr>
        <w:spacing w:line="440" w:lineRule="exact"/>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四</w:t>
      </w:r>
      <w:r>
        <w:rPr>
          <w:rFonts w:hint="eastAsia" w:ascii="宋体" w:hAnsi="宋体"/>
          <w:b/>
          <w:bCs/>
          <w:sz w:val="24"/>
          <w:u w:val="none"/>
          <w:lang w:eastAsia="zh-CN"/>
        </w:rPr>
        <w:t>）</w:t>
      </w:r>
      <w:r>
        <w:rPr>
          <w:rFonts w:hint="eastAsia" w:ascii="宋体" w:hAnsi="宋体"/>
          <w:sz w:val="24"/>
          <w:u w:val="none"/>
        </w:rPr>
        <w:t xml:space="preserve">质量要求或服务标准: </w:t>
      </w:r>
    </w:p>
    <w:p>
      <w:pPr>
        <w:autoSpaceDE w:val="0"/>
        <w:spacing w:line="400" w:lineRule="exact"/>
        <w:ind w:firstLine="480" w:firstLineChars="200"/>
        <w:rPr>
          <w:rFonts w:ascii="宋体" w:hAnsi="宋体"/>
          <w:sz w:val="24"/>
          <w:u w:val="none"/>
        </w:rPr>
      </w:pPr>
      <w:r>
        <w:rPr>
          <w:rFonts w:hint="eastAsia" w:ascii="宋体" w:hAnsi="宋体"/>
          <w:sz w:val="24"/>
          <w:u w:val="none"/>
        </w:rPr>
        <w:t>详见</w:t>
      </w:r>
      <w:r>
        <w:rPr>
          <w:rFonts w:hint="eastAsia" w:ascii="宋体" w:hAnsi="宋体"/>
          <w:sz w:val="24"/>
          <w:u w:val="none"/>
          <w:lang w:eastAsia="zh-CN"/>
        </w:rPr>
        <w:t>询价采购</w:t>
      </w:r>
      <w:r>
        <w:rPr>
          <w:rFonts w:hint="eastAsia" w:ascii="宋体" w:hAnsi="宋体"/>
          <w:sz w:val="24"/>
          <w:u w:val="none"/>
        </w:rPr>
        <w:t>文件第三章“采购需求”</w:t>
      </w:r>
    </w:p>
    <w:p>
      <w:pPr>
        <w:pStyle w:val="5"/>
        <w:jc w:val="both"/>
        <w:rPr>
          <w:rFonts w:ascii="Arial" w:hAnsi="Arial"/>
          <w:u w:val="none"/>
        </w:rPr>
      </w:pPr>
      <w:r>
        <w:rPr>
          <w:rFonts w:hint="eastAsia"/>
          <w:u w:val="none"/>
          <w:lang w:val="en-US" w:eastAsia="zh-CN"/>
        </w:rPr>
        <w:t>三、</w:t>
      </w:r>
      <w:r>
        <w:rPr>
          <w:rFonts w:hint="eastAsia" w:ascii="黑体" w:hAnsi="黑体"/>
          <w:u w:val="none"/>
        </w:rPr>
        <w:t>供应商资格要求</w:t>
      </w:r>
    </w:p>
    <w:p>
      <w:pPr>
        <w:autoSpaceDE w:val="0"/>
        <w:spacing w:line="400" w:lineRule="exact"/>
        <w:jc w:val="both"/>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一</w:t>
      </w:r>
      <w:r>
        <w:rPr>
          <w:rFonts w:hint="eastAsia" w:ascii="宋体" w:hAnsi="宋体"/>
          <w:b/>
          <w:bCs/>
          <w:sz w:val="24"/>
          <w:u w:val="none"/>
          <w:lang w:eastAsia="zh-CN"/>
        </w:rPr>
        <w:t>）</w:t>
      </w:r>
      <w:r>
        <w:rPr>
          <w:rFonts w:hint="eastAsia" w:ascii="宋体" w:hAnsi="宋体"/>
          <w:sz w:val="24"/>
          <w:u w:val="none"/>
        </w:rPr>
        <w:t>供应商不得存在下列情形之一:</w:t>
      </w:r>
    </w:p>
    <w:p>
      <w:pPr>
        <w:autoSpaceDE w:val="0"/>
        <w:spacing w:line="400" w:lineRule="exact"/>
        <w:ind w:firstLine="240" w:firstLineChars="100"/>
        <w:jc w:val="both"/>
        <w:rPr>
          <w:rFonts w:ascii="宋体" w:hAnsi="宋体"/>
          <w:sz w:val="24"/>
          <w:u w:val="none"/>
        </w:rPr>
      </w:pPr>
      <w:r>
        <w:rPr>
          <w:rFonts w:hint="eastAsia" w:ascii="宋体" w:hAnsi="宋体"/>
          <w:sz w:val="24"/>
          <w:u w:val="none"/>
          <w:lang w:val="en-US" w:eastAsia="zh-CN"/>
        </w:rPr>
        <w:t>1.</w:t>
      </w:r>
      <w:r>
        <w:rPr>
          <w:rFonts w:hint="eastAsia" w:ascii="宋体" w:hAnsi="宋体"/>
          <w:sz w:val="24"/>
          <w:u w:val="none"/>
        </w:rPr>
        <w:t>处于被责令停产停业、暂扣或者吊销执照、暂扣或者吊销许可证、吊销资质证书状态;</w:t>
      </w:r>
    </w:p>
    <w:p>
      <w:pPr>
        <w:autoSpaceDE w:val="0"/>
        <w:spacing w:line="400" w:lineRule="exact"/>
        <w:ind w:firstLine="240" w:firstLineChars="100"/>
        <w:jc w:val="both"/>
        <w:rPr>
          <w:rFonts w:ascii="宋体" w:hAnsi="宋体"/>
          <w:sz w:val="24"/>
          <w:u w:val="none"/>
        </w:rPr>
      </w:pPr>
      <w:r>
        <w:rPr>
          <w:rFonts w:hint="eastAsia" w:ascii="宋体" w:hAnsi="宋体"/>
          <w:sz w:val="24"/>
          <w:u w:val="none"/>
          <w:lang w:val="en-US" w:eastAsia="zh-CN"/>
        </w:rPr>
        <w:t>2.</w:t>
      </w:r>
      <w:r>
        <w:rPr>
          <w:rFonts w:hint="eastAsia" w:ascii="宋体" w:hAnsi="宋体"/>
          <w:sz w:val="24"/>
          <w:u w:val="none"/>
        </w:rPr>
        <w:t>进入清算程序，或被宣告破产，或其他丧失履约能力的情形;</w:t>
      </w:r>
    </w:p>
    <w:p>
      <w:pPr>
        <w:autoSpaceDE w:val="0"/>
        <w:spacing w:line="400" w:lineRule="exact"/>
        <w:ind w:firstLine="240" w:firstLineChars="100"/>
        <w:jc w:val="both"/>
        <w:rPr>
          <w:rFonts w:ascii="宋体" w:hAnsi="宋体"/>
          <w:sz w:val="24"/>
          <w:u w:val="none"/>
        </w:rPr>
      </w:pPr>
      <w:r>
        <w:rPr>
          <w:rFonts w:hint="eastAsia" w:ascii="宋体" w:hAnsi="宋体"/>
          <w:sz w:val="24"/>
          <w:u w:val="none"/>
          <w:lang w:val="en-US" w:eastAsia="zh-CN"/>
        </w:rPr>
        <w:t>3.</w:t>
      </w:r>
      <w:r>
        <w:rPr>
          <w:rFonts w:hint="eastAsia" w:ascii="宋体" w:hAnsi="宋体"/>
          <w:sz w:val="24"/>
          <w:u w:val="none"/>
        </w:rPr>
        <w:t>被采购人或采购人上级单位纳入黑名单；</w:t>
      </w:r>
    </w:p>
    <w:p>
      <w:pPr>
        <w:autoSpaceDE w:val="0"/>
        <w:spacing w:line="400" w:lineRule="exact"/>
        <w:ind w:firstLine="240" w:firstLineChars="100"/>
        <w:rPr>
          <w:sz w:val="24"/>
          <w:u w:val="none"/>
        </w:rPr>
      </w:pPr>
      <w:r>
        <w:rPr>
          <w:rFonts w:hint="eastAsia" w:ascii="宋体" w:hAnsi="宋体"/>
          <w:sz w:val="24"/>
          <w:u w:val="none"/>
          <w:lang w:val="en-US" w:eastAsia="zh-CN"/>
        </w:rPr>
        <w:t>4.</w:t>
      </w:r>
      <w:r>
        <w:rPr>
          <w:rFonts w:hint="eastAsia"/>
          <w:sz w:val="24"/>
          <w:u w:val="none"/>
        </w:rPr>
        <w:t>为投资参股本项目的法人单位；</w:t>
      </w:r>
    </w:p>
    <w:p>
      <w:pPr>
        <w:autoSpaceDE w:val="0"/>
        <w:spacing w:line="400" w:lineRule="exact"/>
        <w:ind w:firstLine="240" w:firstLineChars="100"/>
        <w:rPr>
          <w:rFonts w:ascii="宋体" w:hAnsi="宋体"/>
          <w:sz w:val="24"/>
          <w:u w:val="none"/>
        </w:rPr>
      </w:pPr>
      <w:r>
        <w:rPr>
          <w:rFonts w:hint="eastAsia"/>
          <w:sz w:val="24"/>
          <w:u w:val="none"/>
          <w:lang w:val="en-US" w:eastAsia="zh-CN"/>
        </w:rPr>
        <w:t>5.</w:t>
      </w:r>
      <w:r>
        <w:rPr>
          <w:rFonts w:hint="eastAsia"/>
          <w:sz w:val="24"/>
          <w:u w:val="none"/>
        </w:rPr>
        <w:t>被省级及以上交通主管部门取消项目所在地的</w:t>
      </w:r>
      <w:r>
        <w:rPr>
          <w:rFonts w:hint="eastAsia"/>
          <w:sz w:val="24"/>
          <w:u w:val="none"/>
          <w:lang w:eastAsia="zh-CN"/>
        </w:rPr>
        <w:t>响应</w:t>
      </w:r>
      <w:r>
        <w:rPr>
          <w:rFonts w:hint="eastAsia"/>
          <w:sz w:val="24"/>
          <w:u w:val="none"/>
        </w:rPr>
        <w:t>资格或禁止进入该区域水运建设市场且处于有效期内；</w:t>
      </w:r>
    </w:p>
    <w:p>
      <w:pPr>
        <w:autoSpaceDE w:val="0"/>
        <w:spacing w:line="400" w:lineRule="exact"/>
        <w:jc w:val="both"/>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二</w:t>
      </w:r>
      <w:r>
        <w:rPr>
          <w:rFonts w:hint="eastAsia" w:ascii="宋体" w:hAnsi="宋体"/>
          <w:b/>
          <w:bCs/>
          <w:sz w:val="24"/>
          <w:u w:val="none"/>
          <w:lang w:eastAsia="zh-CN"/>
        </w:rPr>
        <w:t>）</w:t>
      </w:r>
      <w:r>
        <w:rPr>
          <w:rFonts w:hint="eastAsia" w:ascii="宋体" w:hAnsi="宋体"/>
          <w:sz w:val="24"/>
          <w:u w:val="none"/>
        </w:rPr>
        <w:t>供应商应满足如下要求:</w:t>
      </w: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639"/>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42" w:type="dxa"/>
          </w:tcPr>
          <w:p>
            <w:pPr>
              <w:widowControl w:val="0"/>
              <w:spacing w:line="320" w:lineRule="exact"/>
              <w:jc w:val="center"/>
              <w:rPr>
                <w:rFonts w:ascii="宋体" w:hAnsi="宋体"/>
                <w:sz w:val="24"/>
                <w:u w:val="none"/>
              </w:rPr>
            </w:pPr>
            <w:r>
              <w:rPr>
                <w:rFonts w:hint="eastAsia" w:ascii="宋体" w:hAnsi="宋体"/>
                <w:sz w:val="24"/>
                <w:u w:val="none"/>
              </w:rPr>
              <w:t>资格条件</w:t>
            </w:r>
          </w:p>
        </w:tc>
        <w:tc>
          <w:tcPr>
            <w:tcW w:w="1639" w:type="dxa"/>
          </w:tcPr>
          <w:p>
            <w:pPr>
              <w:widowControl w:val="0"/>
              <w:spacing w:line="320" w:lineRule="exact"/>
              <w:jc w:val="center"/>
              <w:rPr>
                <w:rFonts w:ascii="宋体" w:hAnsi="宋体"/>
                <w:sz w:val="24"/>
                <w:u w:val="none"/>
              </w:rPr>
            </w:pPr>
            <w:r>
              <w:rPr>
                <w:rFonts w:hint="eastAsia" w:ascii="宋体" w:hAnsi="宋体"/>
                <w:sz w:val="24"/>
                <w:u w:val="none"/>
              </w:rPr>
              <w:t>对供应商要求</w:t>
            </w:r>
          </w:p>
        </w:tc>
        <w:tc>
          <w:tcPr>
            <w:tcW w:w="4997" w:type="dxa"/>
          </w:tcPr>
          <w:p>
            <w:pPr>
              <w:widowControl w:val="0"/>
              <w:spacing w:line="320" w:lineRule="exact"/>
              <w:jc w:val="center"/>
              <w:rPr>
                <w:rFonts w:ascii="宋体" w:hAnsi="宋体"/>
                <w:sz w:val="24"/>
                <w:u w:val="none"/>
              </w:rPr>
            </w:pPr>
            <w:r>
              <w:rPr>
                <w:rFonts w:hint="eastAsia" w:ascii="宋体" w:hAnsi="宋体"/>
                <w:sz w:val="24"/>
                <w:u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u w:val="none"/>
              </w:rPr>
            </w:pPr>
            <w:r>
              <w:rPr>
                <w:rFonts w:hint="eastAsia" w:ascii="宋体" w:hAnsi="宋体"/>
                <w:sz w:val="24"/>
                <w:u w:val="none"/>
              </w:rPr>
              <w:t>（1）依法设立</w:t>
            </w:r>
          </w:p>
        </w:tc>
        <w:tc>
          <w:tcPr>
            <w:tcW w:w="1639"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u w:val="none"/>
              </w:rPr>
            </w:pPr>
            <w:r>
              <w:rPr>
                <w:rFonts w:hint="eastAsia" w:ascii="宋体" w:hAnsi="宋体"/>
                <w:sz w:val="24"/>
                <w:u w:val="none"/>
              </w:rPr>
              <w:t>（2）资质要求</w:t>
            </w:r>
          </w:p>
        </w:tc>
        <w:tc>
          <w:tcPr>
            <w:tcW w:w="1639" w:type="dxa"/>
          </w:tcPr>
          <w:p>
            <w:pPr>
              <w:widowControl w:val="0"/>
              <w:spacing w:line="320" w:lineRule="exact"/>
              <w:jc w:val="both"/>
              <w:rPr>
                <w:rStyle w:val="19"/>
                <w:b w:val="0"/>
                <w:bCs w:val="0"/>
                <w:u w:val="none"/>
              </w:rPr>
            </w:pPr>
            <w:r>
              <w:rPr>
                <w:rStyle w:val="19"/>
                <w:rFonts w:hint="eastAsia"/>
                <w:b w:val="0"/>
                <w:bCs w:val="0"/>
                <w:u w:val="none"/>
              </w:rPr>
              <w:sym w:font="Wingdings 2" w:char="0052"/>
            </w: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lang w:eastAsia="zh-CN"/>
              </w:rPr>
              <w:t>□</w:t>
            </w: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u w:val="none"/>
              </w:rPr>
            </w:pPr>
            <w:r>
              <w:rPr>
                <w:rFonts w:hint="eastAsia" w:ascii="宋体" w:hAnsi="宋体"/>
                <w:sz w:val="24"/>
                <w:u w:val="none"/>
              </w:rPr>
              <w:t>（3）财务要求</w:t>
            </w:r>
          </w:p>
        </w:tc>
        <w:tc>
          <w:tcPr>
            <w:tcW w:w="1639"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u w:val="none"/>
              </w:rPr>
            </w:pPr>
            <w:r>
              <w:rPr>
                <w:rFonts w:hint="eastAsia" w:ascii="宋体" w:hAnsi="宋体"/>
                <w:sz w:val="24"/>
                <w:u w:val="none"/>
              </w:rPr>
              <w:t>（4）业绩要求</w:t>
            </w:r>
          </w:p>
        </w:tc>
        <w:tc>
          <w:tcPr>
            <w:tcW w:w="1639"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u w:val="none"/>
              </w:rPr>
            </w:pPr>
            <w:r>
              <w:rPr>
                <w:rFonts w:hint="eastAsia" w:ascii="宋体" w:hAnsi="宋体"/>
                <w:sz w:val="24"/>
                <w:u w:val="none"/>
              </w:rPr>
              <w:t>（5）信誉要求</w:t>
            </w:r>
          </w:p>
        </w:tc>
        <w:tc>
          <w:tcPr>
            <w:tcW w:w="1639" w:type="dxa"/>
          </w:tcPr>
          <w:p>
            <w:pPr>
              <w:widowControl w:val="0"/>
              <w:spacing w:line="320" w:lineRule="exact"/>
              <w:jc w:val="both"/>
              <w:rPr>
                <w:rStyle w:val="19"/>
                <w:b w:val="0"/>
                <w:bCs w:val="0"/>
                <w:u w:val="none"/>
              </w:rPr>
            </w:pPr>
            <w:r>
              <w:rPr>
                <w:rStyle w:val="19"/>
                <w:rFonts w:hint="eastAsia"/>
                <w:b w:val="0"/>
                <w:bCs w:val="0"/>
                <w:u w:val="none"/>
                <w:lang w:eastAsia="zh-CN"/>
              </w:rPr>
              <w:t>□</w:t>
            </w: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sym w:font="Wingdings 2" w:char="0052"/>
            </w: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lang w:eastAsia="zh-CN"/>
              </w:rPr>
              <w:t>□</w:t>
            </w: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sym w:font="Wingdings 2" w:char="0052"/>
            </w:r>
            <w:r>
              <w:rPr>
                <w:rStyle w:val="19"/>
                <w:rFonts w:hint="eastAsia"/>
                <w:b w:val="0"/>
                <w:bCs w:val="0"/>
                <w:u w:val="non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2" w:type="dxa"/>
          </w:tcPr>
          <w:p>
            <w:pPr>
              <w:widowControl w:val="0"/>
              <w:spacing w:line="288" w:lineRule="auto"/>
              <w:jc w:val="both"/>
              <w:rPr>
                <w:rFonts w:ascii="宋体" w:hAnsi="宋体"/>
                <w:sz w:val="24"/>
                <w:u w:val="none"/>
              </w:rPr>
            </w:pPr>
            <w:r>
              <w:rPr>
                <w:rFonts w:hint="eastAsia" w:ascii="宋体" w:hAnsi="宋体"/>
                <w:sz w:val="24"/>
                <w:u w:val="none"/>
              </w:rPr>
              <w:t>（6）承担本项目的主要人员要求</w:t>
            </w:r>
          </w:p>
        </w:tc>
        <w:tc>
          <w:tcPr>
            <w:tcW w:w="1639"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u w:val="none"/>
              </w:rPr>
            </w:pPr>
            <w:r>
              <w:rPr>
                <w:rFonts w:hint="eastAsia" w:ascii="宋体" w:hAnsi="宋体"/>
                <w:sz w:val="24"/>
                <w:u w:val="none"/>
              </w:rPr>
              <w:t>（7）其他要求</w:t>
            </w:r>
          </w:p>
        </w:tc>
        <w:tc>
          <w:tcPr>
            <w:tcW w:w="1639"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442" w:type="dxa"/>
            <w:vAlign w:val="center"/>
          </w:tcPr>
          <w:p>
            <w:pPr>
              <w:widowControl w:val="0"/>
              <w:spacing w:line="288" w:lineRule="auto"/>
              <w:jc w:val="both"/>
              <w:rPr>
                <w:rFonts w:ascii="宋体" w:hAnsi="宋体"/>
                <w:sz w:val="24"/>
                <w:u w:val="none"/>
              </w:rPr>
            </w:pPr>
            <w:r>
              <w:rPr>
                <w:rFonts w:hint="eastAsia" w:ascii="宋体" w:hAnsi="宋体"/>
                <w:sz w:val="24"/>
                <w:u w:val="none"/>
              </w:rPr>
              <w:t>（8）供应商不存在第一章3.1款情形的证明材料</w:t>
            </w:r>
          </w:p>
        </w:tc>
        <w:tc>
          <w:tcPr>
            <w:tcW w:w="1639" w:type="dxa"/>
          </w:tcPr>
          <w:p>
            <w:pPr>
              <w:widowControl w:val="0"/>
              <w:spacing w:line="320" w:lineRule="exact"/>
              <w:jc w:val="both"/>
              <w:rPr>
                <w:rStyle w:val="19"/>
                <w:b w:val="0"/>
                <w:bCs w:val="0"/>
                <w:u w:val="none"/>
              </w:rPr>
            </w:pPr>
            <w:r>
              <w:rPr>
                <w:rStyle w:val="19"/>
                <w:rFonts w:hint="eastAsia"/>
                <w:b w:val="0"/>
                <w:bCs w:val="0"/>
                <w:u w:val="none"/>
              </w:rPr>
              <w:sym w:font="Wingdings 2" w:char="0052"/>
            </w: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lang w:eastAsia="zh-CN"/>
              </w:rPr>
              <w:t>□</w:t>
            </w:r>
            <w:r>
              <w:rPr>
                <w:rStyle w:val="19"/>
                <w:rFonts w:hint="eastAsia"/>
                <w:b w:val="0"/>
                <w:bCs w:val="0"/>
                <w:u w:val="none"/>
              </w:rPr>
              <w:t>适用</w:t>
            </w:r>
          </w:p>
        </w:tc>
        <w:tc>
          <w:tcPr>
            <w:tcW w:w="4997" w:type="dxa"/>
          </w:tcPr>
          <w:p>
            <w:pPr>
              <w:widowControl w:val="0"/>
              <w:spacing w:line="320" w:lineRule="exact"/>
              <w:jc w:val="both"/>
              <w:rPr>
                <w:rStyle w:val="19"/>
                <w:b w:val="0"/>
                <w:bCs w:val="0"/>
                <w:u w:val="none"/>
              </w:rPr>
            </w:pPr>
            <w:r>
              <w:rPr>
                <w:rStyle w:val="19"/>
                <w:rFonts w:hint="eastAsia"/>
                <w:b w:val="0"/>
                <w:bCs w:val="0"/>
                <w:u w:val="none"/>
              </w:rPr>
              <w:sym w:font="Wingdings 2" w:char="0052"/>
            </w:r>
            <w:r>
              <w:rPr>
                <w:rStyle w:val="19"/>
                <w:rFonts w:hint="eastAsia"/>
                <w:b w:val="0"/>
                <w:bCs w:val="0"/>
                <w:u w:val="none"/>
              </w:rPr>
              <w:t xml:space="preserve">不适用  </w:t>
            </w:r>
          </w:p>
          <w:p>
            <w:pPr>
              <w:widowControl w:val="0"/>
              <w:spacing w:line="320" w:lineRule="exact"/>
              <w:jc w:val="both"/>
              <w:rPr>
                <w:rFonts w:ascii="宋体" w:hAnsi="宋体"/>
                <w:sz w:val="24"/>
                <w:u w:val="none"/>
              </w:rPr>
            </w:pPr>
            <w:r>
              <w:rPr>
                <w:rStyle w:val="19"/>
                <w:rFonts w:hint="eastAsia"/>
                <w:b w:val="0"/>
                <w:bCs w:val="0"/>
                <w:u w:val="none"/>
                <w:lang w:eastAsia="zh-CN"/>
              </w:rPr>
              <w:t>□</w:t>
            </w:r>
            <w:r>
              <w:rPr>
                <w:rStyle w:val="19"/>
                <w:rFonts w:hint="eastAsia"/>
                <w:b w:val="0"/>
                <w:bCs w:val="0"/>
                <w:u w:val="none"/>
              </w:rPr>
              <w:t>适用,见采购文件供应商须知前附表3.5（8）。</w:t>
            </w:r>
          </w:p>
        </w:tc>
      </w:tr>
    </w:tbl>
    <w:p>
      <w:pPr>
        <w:pStyle w:val="5"/>
        <w:jc w:val="both"/>
        <w:rPr>
          <w:rFonts w:ascii="Arial" w:hAnsi="Arial"/>
          <w:u w:val="none"/>
        </w:rPr>
      </w:pPr>
      <w:r>
        <w:rPr>
          <w:rFonts w:hint="eastAsia"/>
          <w:u w:val="none"/>
          <w:lang w:val="en-US" w:eastAsia="zh-CN"/>
        </w:rPr>
        <w:t>四、</w:t>
      </w:r>
      <w:r>
        <w:rPr>
          <w:rFonts w:hint="eastAsia" w:ascii="黑体" w:hAnsi="黑体"/>
          <w:u w:val="none"/>
        </w:rPr>
        <w:t>响应保证金</w:t>
      </w:r>
    </w:p>
    <w:tbl>
      <w:tblPr>
        <w:tblStyle w:val="17"/>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3351"/>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68" w:type="dxa"/>
          </w:tcPr>
          <w:p>
            <w:pPr>
              <w:widowControl w:val="0"/>
              <w:autoSpaceDE w:val="0"/>
              <w:spacing w:line="400" w:lineRule="exact"/>
              <w:jc w:val="both"/>
              <w:rPr>
                <w:rFonts w:ascii="黑体" w:hAnsi="黑体"/>
                <w:u w:val="none"/>
              </w:rPr>
            </w:pPr>
            <w:r>
              <w:rPr>
                <w:rFonts w:hint="eastAsia" w:ascii="黑体" w:hAnsi="黑体"/>
                <w:u w:val="none"/>
              </w:rPr>
              <w:t>响应</w:t>
            </w:r>
            <w:r>
              <w:rPr>
                <w:rFonts w:hint="eastAsia" w:ascii="宋体" w:hAnsi="宋体"/>
                <w:sz w:val="24"/>
                <w:u w:val="none"/>
              </w:rPr>
              <w:t>保证金的递交</w:t>
            </w:r>
          </w:p>
        </w:tc>
        <w:tc>
          <w:tcPr>
            <w:tcW w:w="3351" w:type="dxa"/>
          </w:tcPr>
          <w:p>
            <w:pPr>
              <w:widowControl w:val="0"/>
              <w:autoSpaceDE w:val="0"/>
              <w:spacing w:line="400" w:lineRule="exact"/>
              <w:jc w:val="both"/>
              <w:rPr>
                <w:rFonts w:ascii="黑体" w:hAnsi="黑体"/>
                <w:u w:val="none"/>
              </w:rPr>
            </w:pPr>
            <w:r>
              <w:rPr>
                <w:rFonts w:hint="eastAsia" w:ascii="宋体" w:hAnsi="宋体"/>
                <w:sz w:val="24"/>
                <w:u w:val="none"/>
              </w:rPr>
              <w:t>不退还响应保证金的其他情形</w:t>
            </w:r>
          </w:p>
        </w:tc>
        <w:tc>
          <w:tcPr>
            <w:tcW w:w="2950" w:type="dxa"/>
          </w:tcPr>
          <w:p>
            <w:pPr>
              <w:widowControl w:val="0"/>
              <w:autoSpaceDE w:val="0"/>
              <w:spacing w:line="400" w:lineRule="exact"/>
              <w:jc w:val="both"/>
              <w:rPr>
                <w:rFonts w:ascii="黑体" w:hAnsi="黑体"/>
                <w:u w:val="none"/>
              </w:rPr>
            </w:pPr>
            <w:r>
              <w:rPr>
                <w:rFonts w:hint="eastAsia" w:ascii="宋体" w:hAnsi="宋体"/>
                <w:sz w:val="24"/>
                <w:u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2768" w:type="dxa"/>
          </w:tcPr>
          <w:p>
            <w:pPr>
              <w:widowControl w:val="0"/>
              <w:autoSpaceDE w:val="0"/>
              <w:spacing w:line="400" w:lineRule="exact"/>
              <w:jc w:val="both"/>
              <w:rPr>
                <w:rFonts w:ascii="宋体" w:hAnsi="宋体"/>
                <w:sz w:val="24"/>
                <w:u w:val="none"/>
              </w:rPr>
            </w:pPr>
            <w:r>
              <w:rPr>
                <w:rStyle w:val="19"/>
                <w:rFonts w:hint="eastAsia"/>
                <w:u w:val="none"/>
              </w:rPr>
              <w:t>☑</w:t>
            </w:r>
            <w:r>
              <w:rPr>
                <w:rFonts w:hint="eastAsia" w:ascii="宋体" w:hAnsi="宋体"/>
                <w:sz w:val="24"/>
                <w:u w:val="none"/>
              </w:rPr>
              <w:t>不要求递交</w:t>
            </w:r>
          </w:p>
          <w:p>
            <w:pPr>
              <w:widowControl w:val="0"/>
              <w:autoSpaceDE w:val="0"/>
              <w:spacing w:line="400" w:lineRule="exact"/>
              <w:jc w:val="both"/>
              <w:rPr>
                <w:rFonts w:ascii="宋体" w:hAnsi="宋体"/>
                <w:sz w:val="24"/>
                <w:u w:val="none"/>
              </w:rPr>
            </w:pPr>
            <w:r>
              <w:rPr>
                <w:rStyle w:val="19"/>
                <w:rFonts w:hint="eastAsia"/>
                <w:u w:val="none"/>
              </w:rPr>
              <w:t>□</w:t>
            </w:r>
            <w:r>
              <w:rPr>
                <w:rFonts w:hint="eastAsia" w:ascii="宋体" w:hAnsi="宋体"/>
                <w:sz w:val="24"/>
                <w:u w:val="none"/>
              </w:rPr>
              <w:t>要求递交</w:t>
            </w:r>
          </w:p>
          <w:p>
            <w:pPr>
              <w:widowControl w:val="0"/>
              <w:autoSpaceDE w:val="0"/>
              <w:spacing w:line="400" w:lineRule="exact"/>
              <w:jc w:val="both"/>
              <w:rPr>
                <w:rFonts w:ascii="宋体" w:hAnsi="宋体"/>
                <w:sz w:val="24"/>
                <w:u w:val="none"/>
              </w:rPr>
            </w:pPr>
            <w:r>
              <w:rPr>
                <w:rFonts w:hint="eastAsia" w:ascii="宋体" w:hAnsi="宋体"/>
                <w:sz w:val="24"/>
                <w:u w:val="none"/>
              </w:rPr>
              <w:t>保证金金额：_________；</w:t>
            </w:r>
          </w:p>
          <w:p>
            <w:pPr>
              <w:widowControl w:val="0"/>
              <w:autoSpaceDE w:val="0"/>
              <w:spacing w:line="400" w:lineRule="exact"/>
              <w:jc w:val="both"/>
              <w:rPr>
                <w:rFonts w:ascii="宋体" w:hAnsi="宋体"/>
                <w:sz w:val="24"/>
                <w:u w:val="none"/>
              </w:rPr>
            </w:pPr>
            <w:r>
              <w:rPr>
                <w:rFonts w:hint="eastAsia" w:ascii="宋体" w:hAnsi="宋体"/>
                <w:sz w:val="24"/>
                <w:u w:val="none"/>
              </w:rPr>
              <w:t>保证金形式：________；</w:t>
            </w:r>
          </w:p>
        </w:tc>
        <w:tc>
          <w:tcPr>
            <w:tcW w:w="3351" w:type="dxa"/>
          </w:tcPr>
          <w:p>
            <w:pPr>
              <w:widowControl w:val="0"/>
              <w:autoSpaceDE w:val="0"/>
              <w:spacing w:line="400" w:lineRule="exact"/>
              <w:jc w:val="both"/>
              <w:rPr>
                <w:rFonts w:ascii="宋体" w:hAnsi="宋体"/>
                <w:sz w:val="24"/>
                <w:u w:val="none"/>
              </w:rPr>
            </w:pPr>
            <w:r>
              <w:rPr>
                <w:rStyle w:val="19"/>
                <w:rFonts w:hint="eastAsia"/>
                <w:u w:val="none"/>
              </w:rPr>
              <w:t>☑不</w:t>
            </w:r>
            <w:r>
              <w:rPr>
                <w:rFonts w:hint="eastAsia" w:ascii="宋体" w:hAnsi="宋体"/>
                <w:sz w:val="24"/>
                <w:u w:val="none"/>
              </w:rPr>
              <w:t>适用</w:t>
            </w:r>
          </w:p>
          <w:p>
            <w:pPr>
              <w:widowControl w:val="0"/>
              <w:autoSpaceDE w:val="0"/>
              <w:spacing w:line="400" w:lineRule="exact"/>
              <w:jc w:val="both"/>
              <w:rPr>
                <w:rFonts w:ascii="宋体" w:hAnsi="宋体"/>
                <w:sz w:val="24"/>
                <w:u w:val="none"/>
              </w:rPr>
            </w:pPr>
            <w:r>
              <w:rPr>
                <w:rStyle w:val="19"/>
                <w:rFonts w:hint="eastAsia"/>
                <w:u w:val="none"/>
              </w:rPr>
              <w:t>□</w:t>
            </w:r>
            <w:r>
              <w:rPr>
                <w:rFonts w:hint="eastAsia" w:ascii="宋体" w:hAnsi="宋体"/>
                <w:sz w:val="24"/>
                <w:u w:val="none"/>
              </w:rPr>
              <w:t>适用，具体如下：</w:t>
            </w:r>
          </w:p>
          <w:p>
            <w:pPr>
              <w:widowControl w:val="0"/>
              <w:autoSpaceDE w:val="0"/>
              <w:spacing w:line="400" w:lineRule="exact"/>
              <w:jc w:val="both"/>
              <w:rPr>
                <w:rFonts w:ascii="宋体" w:hAnsi="宋体"/>
                <w:sz w:val="24"/>
                <w:u w:val="none"/>
              </w:rPr>
            </w:pPr>
          </w:p>
          <w:p>
            <w:pPr>
              <w:widowControl w:val="0"/>
              <w:autoSpaceDE w:val="0"/>
              <w:spacing w:line="400" w:lineRule="exact"/>
              <w:jc w:val="both"/>
              <w:rPr>
                <w:rFonts w:ascii="黑体" w:hAnsi="黑体"/>
                <w:u w:val="none"/>
              </w:rPr>
            </w:pPr>
          </w:p>
        </w:tc>
        <w:tc>
          <w:tcPr>
            <w:tcW w:w="2950" w:type="dxa"/>
          </w:tcPr>
          <w:p>
            <w:pPr>
              <w:widowControl w:val="0"/>
              <w:autoSpaceDE w:val="0"/>
              <w:spacing w:line="400" w:lineRule="exact"/>
              <w:jc w:val="both"/>
              <w:rPr>
                <w:rFonts w:ascii="宋体" w:hAnsi="宋体"/>
                <w:sz w:val="24"/>
                <w:u w:val="none"/>
              </w:rPr>
            </w:pPr>
            <w:r>
              <w:rPr>
                <w:rStyle w:val="19"/>
                <w:rFonts w:hint="eastAsia"/>
                <w:u w:val="none"/>
              </w:rPr>
              <w:t>☑</w:t>
            </w:r>
            <w:r>
              <w:rPr>
                <w:rFonts w:hint="eastAsia" w:ascii="宋体" w:hAnsi="宋体"/>
                <w:sz w:val="24"/>
                <w:u w:val="none"/>
              </w:rPr>
              <w:t>不适用</w:t>
            </w:r>
          </w:p>
          <w:p>
            <w:pPr>
              <w:widowControl w:val="0"/>
              <w:autoSpaceDE w:val="0"/>
              <w:spacing w:line="400" w:lineRule="exact"/>
              <w:jc w:val="both"/>
              <w:rPr>
                <w:rFonts w:ascii="宋体" w:hAnsi="宋体"/>
                <w:sz w:val="24"/>
                <w:u w:val="none"/>
              </w:rPr>
            </w:pPr>
            <w:r>
              <w:rPr>
                <w:rStyle w:val="19"/>
                <w:rFonts w:hint="eastAsia"/>
                <w:u w:val="none"/>
              </w:rPr>
              <w:t>□</w:t>
            </w:r>
            <w:r>
              <w:rPr>
                <w:rFonts w:hint="eastAsia" w:ascii="宋体" w:hAnsi="宋体"/>
                <w:sz w:val="24"/>
                <w:u w:val="none"/>
              </w:rPr>
              <w:t>适用，具体如下：</w:t>
            </w:r>
          </w:p>
          <w:p>
            <w:pPr>
              <w:widowControl w:val="0"/>
              <w:autoSpaceDE w:val="0"/>
              <w:spacing w:line="400" w:lineRule="exact"/>
              <w:jc w:val="both"/>
              <w:rPr>
                <w:rFonts w:ascii="宋体" w:hAnsi="宋体"/>
                <w:sz w:val="24"/>
                <w:u w:val="none"/>
              </w:rPr>
            </w:pPr>
          </w:p>
          <w:p>
            <w:pPr>
              <w:widowControl w:val="0"/>
              <w:autoSpaceDE w:val="0"/>
              <w:spacing w:line="400" w:lineRule="exact"/>
              <w:jc w:val="both"/>
              <w:rPr>
                <w:rFonts w:ascii="黑体" w:hAnsi="黑体"/>
                <w:u w:val="none"/>
              </w:rPr>
            </w:pPr>
          </w:p>
        </w:tc>
      </w:tr>
    </w:tbl>
    <w:p>
      <w:pPr>
        <w:pStyle w:val="5"/>
        <w:jc w:val="both"/>
        <w:rPr>
          <w:rFonts w:ascii="Arial" w:hAnsi="Arial"/>
          <w:u w:val="none"/>
        </w:rPr>
      </w:pPr>
      <w:r>
        <w:rPr>
          <w:rFonts w:hint="eastAsia"/>
          <w:u w:val="none"/>
          <w:lang w:val="en-US" w:eastAsia="zh-CN"/>
        </w:rPr>
        <w:t>五、</w:t>
      </w:r>
      <w:r>
        <w:rPr>
          <w:rFonts w:hint="eastAsia" w:ascii="黑体" w:hAnsi="黑体"/>
          <w:u w:val="none"/>
        </w:rPr>
        <w:t>确定成交供应商的方法</w:t>
      </w:r>
    </w:p>
    <w:p>
      <w:pPr>
        <w:autoSpaceDE w:val="0"/>
        <w:spacing w:line="400" w:lineRule="exact"/>
        <w:jc w:val="both"/>
        <w:rPr>
          <w:rFonts w:ascii="宋体" w:hAnsi="宋体"/>
          <w:sz w:val="24"/>
          <w:u w:val="none"/>
        </w:rPr>
      </w:pPr>
      <w:r>
        <w:rPr>
          <w:rFonts w:hint="eastAsia" w:ascii="宋体" w:hAnsi="宋体"/>
          <w:b/>
          <w:bCs/>
          <w:sz w:val="24"/>
          <w:u w:val="none"/>
          <w:lang w:eastAsia="zh-CN"/>
        </w:rPr>
        <w:t>（</w:t>
      </w:r>
      <w:r>
        <w:rPr>
          <w:rFonts w:hint="eastAsia" w:ascii="宋体" w:hAnsi="宋体"/>
          <w:b/>
          <w:bCs/>
          <w:sz w:val="24"/>
          <w:u w:val="none"/>
          <w:lang w:val="en-US" w:eastAsia="zh-CN"/>
        </w:rPr>
        <w:t>一</w:t>
      </w:r>
      <w:r>
        <w:rPr>
          <w:rFonts w:hint="eastAsia" w:ascii="宋体" w:hAnsi="宋体"/>
          <w:b/>
          <w:bCs/>
          <w:sz w:val="24"/>
          <w:u w:val="none"/>
          <w:lang w:eastAsia="zh-CN"/>
        </w:rPr>
        <w:t>）</w:t>
      </w:r>
      <w:r>
        <w:rPr>
          <w:rFonts w:hint="eastAsia" w:ascii="宋体" w:hAnsi="宋体"/>
          <w:sz w:val="24"/>
          <w:u w:val="none"/>
        </w:rPr>
        <w:t>最低价法</w:t>
      </w:r>
    </w:p>
    <w:p>
      <w:pPr>
        <w:autoSpaceDE w:val="0"/>
        <w:spacing w:line="400" w:lineRule="exact"/>
        <w:jc w:val="both"/>
        <w:rPr>
          <w:rFonts w:ascii="宋体" w:hAnsi="宋体"/>
          <w:sz w:val="24"/>
        </w:rPr>
      </w:pPr>
      <w:r>
        <w:rPr>
          <w:rFonts w:hint="eastAsia" w:ascii="宋体" w:hAnsi="宋体"/>
          <w:b/>
          <w:bCs/>
          <w:sz w:val="24"/>
          <w:u w:val="none"/>
          <w:lang w:eastAsia="zh-CN"/>
        </w:rPr>
        <w:t>（</w:t>
      </w:r>
      <w:r>
        <w:rPr>
          <w:rFonts w:hint="eastAsia" w:ascii="宋体" w:hAnsi="宋体"/>
          <w:b/>
          <w:bCs/>
          <w:sz w:val="24"/>
          <w:u w:val="none"/>
          <w:lang w:val="en-US" w:eastAsia="zh-CN"/>
        </w:rPr>
        <w:t>二</w:t>
      </w:r>
      <w:r>
        <w:rPr>
          <w:rFonts w:hint="eastAsia" w:ascii="宋体" w:hAnsi="宋体"/>
          <w:b/>
          <w:bCs/>
          <w:sz w:val="24"/>
          <w:u w:val="none"/>
          <w:lang w:eastAsia="zh-CN"/>
        </w:rPr>
        <w:t>）</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u w:val="none"/>
        </w:rPr>
      </w:pPr>
      <w:r>
        <w:rPr>
          <w:rFonts w:hint="eastAsia"/>
          <w:u w:val="none"/>
          <w:lang w:val="en-US" w:eastAsia="zh-CN"/>
        </w:rPr>
        <w:t>六、</w:t>
      </w:r>
      <w:r>
        <w:rPr>
          <w:rFonts w:hint="eastAsia" w:ascii="黑体" w:hAnsi="黑体"/>
          <w:color w:val="auto"/>
        </w:rPr>
        <w:t>采购</w:t>
      </w:r>
      <w:r>
        <w:rPr>
          <w:rFonts w:hint="eastAsia" w:ascii="黑体" w:hAnsi="黑体"/>
          <w:u w:val="none"/>
        </w:rPr>
        <w:t>文件获取</w:t>
      </w:r>
    </w:p>
    <w:p>
      <w:pPr>
        <w:autoSpaceDE w:val="0"/>
        <w:spacing w:line="400" w:lineRule="exact"/>
        <w:jc w:val="both"/>
        <w:rPr>
          <w:rFonts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color w:val="auto"/>
          <w:sz w:val="24"/>
        </w:rPr>
        <w:t>供应商应当于</w:t>
      </w:r>
      <w:r>
        <w:rPr>
          <w:rFonts w:hint="eastAsia" w:ascii="宋体" w:hAnsi="宋体"/>
          <w:color w:val="auto"/>
          <w:sz w:val="24"/>
          <w:u w:val="none"/>
        </w:rPr>
        <w:t>2022年</w:t>
      </w:r>
      <w:r>
        <w:rPr>
          <w:rFonts w:hint="eastAsia" w:ascii="宋体" w:hAnsi="宋体"/>
          <w:color w:val="auto"/>
          <w:sz w:val="24"/>
          <w:u w:val="none"/>
          <w:lang w:val="en-US" w:eastAsia="zh-CN"/>
        </w:rPr>
        <w:t>8</w:t>
      </w:r>
      <w:r>
        <w:rPr>
          <w:rFonts w:hint="eastAsia" w:ascii="宋体" w:hAnsi="宋体"/>
          <w:color w:val="auto"/>
          <w:sz w:val="24"/>
          <w:u w:val="none"/>
        </w:rPr>
        <w:t>月</w:t>
      </w:r>
      <w:r>
        <w:rPr>
          <w:rFonts w:hint="eastAsia" w:ascii="宋体" w:hAnsi="宋体"/>
          <w:color w:val="auto"/>
          <w:sz w:val="24"/>
          <w:u w:val="none"/>
          <w:lang w:val="en-US" w:eastAsia="zh-CN"/>
        </w:rPr>
        <w:t>9</w:t>
      </w:r>
      <w:r>
        <w:rPr>
          <w:rFonts w:hint="eastAsia" w:ascii="宋体" w:hAnsi="宋体"/>
          <w:color w:val="auto"/>
          <w:sz w:val="24"/>
          <w:u w:val="none"/>
        </w:rPr>
        <w:t>日至2022年</w:t>
      </w:r>
      <w:r>
        <w:rPr>
          <w:rFonts w:hint="eastAsia" w:ascii="宋体" w:hAnsi="宋体"/>
          <w:color w:val="auto"/>
          <w:sz w:val="24"/>
          <w:u w:val="none"/>
          <w:lang w:val="en-US" w:eastAsia="zh-CN"/>
        </w:rPr>
        <w:t>8</w:t>
      </w:r>
      <w:r>
        <w:rPr>
          <w:rFonts w:hint="eastAsia" w:ascii="宋体" w:hAnsi="宋体"/>
          <w:color w:val="auto"/>
          <w:sz w:val="24"/>
          <w:u w:val="none"/>
        </w:rPr>
        <w:t>月</w:t>
      </w:r>
      <w:r>
        <w:rPr>
          <w:rFonts w:hint="eastAsia" w:ascii="宋体" w:hAnsi="宋体"/>
          <w:color w:val="auto"/>
          <w:sz w:val="24"/>
          <w:u w:val="none"/>
          <w:lang w:val="en-US" w:eastAsia="zh-CN"/>
        </w:rPr>
        <w:t>13</w:t>
      </w:r>
      <w:r>
        <w:rPr>
          <w:rFonts w:hint="eastAsia" w:ascii="宋体" w:hAnsi="宋体"/>
          <w:color w:val="auto"/>
          <w:sz w:val="24"/>
          <w:u w:val="none"/>
        </w:rPr>
        <w:t>日，网上直接下载获取采购文件，报价文件最迟应于2022年</w:t>
      </w:r>
      <w:r>
        <w:rPr>
          <w:rFonts w:hint="eastAsia" w:ascii="宋体" w:hAnsi="宋体"/>
          <w:color w:val="auto"/>
          <w:sz w:val="24"/>
          <w:u w:val="none"/>
          <w:lang w:val="en-US" w:eastAsia="zh-CN"/>
        </w:rPr>
        <w:t>8</w:t>
      </w:r>
      <w:r>
        <w:rPr>
          <w:rFonts w:hint="eastAsia" w:ascii="宋体" w:hAnsi="宋体"/>
          <w:color w:val="auto"/>
          <w:sz w:val="24"/>
          <w:u w:val="none"/>
        </w:rPr>
        <w:t>月</w:t>
      </w:r>
      <w:r>
        <w:rPr>
          <w:rFonts w:hint="eastAsia" w:ascii="宋体" w:hAnsi="宋体"/>
          <w:color w:val="auto"/>
          <w:sz w:val="24"/>
          <w:u w:val="none"/>
          <w:lang w:val="en-US" w:eastAsia="zh-CN"/>
        </w:rPr>
        <w:t>15</w:t>
      </w:r>
      <w:r>
        <w:rPr>
          <w:rFonts w:hint="eastAsia" w:ascii="宋体" w:hAnsi="宋体"/>
          <w:color w:val="auto"/>
          <w:sz w:val="24"/>
          <w:u w:val="none"/>
        </w:rPr>
        <w:t>日</w:t>
      </w:r>
      <w:r>
        <w:rPr>
          <w:rFonts w:hint="eastAsia" w:ascii="宋体" w:hAnsi="宋体"/>
          <w:color w:val="auto"/>
          <w:sz w:val="24"/>
          <w:u w:val="none"/>
          <w:lang w:val="en-US" w:eastAsia="zh-CN"/>
        </w:rPr>
        <w:t>15</w:t>
      </w:r>
      <w:r>
        <w:rPr>
          <w:rFonts w:hint="eastAsia" w:ascii="宋体" w:hAnsi="宋体"/>
          <w:color w:val="auto"/>
          <w:sz w:val="24"/>
          <w:u w:val="none"/>
        </w:rPr>
        <w:t xml:space="preserve"> 时</w:t>
      </w:r>
      <w:r>
        <w:rPr>
          <w:rFonts w:hint="eastAsia" w:ascii="宋体" w:hAnsi="宋体"/>
          <w:color w:val="auto"/>
          <w:sz w:val="24"/>
          <w:u w:val="none"/>
          <w:lang w:val="en-US" w:eastAsia="zh-CN"/>
        </w:rPr>
        <w:t>00</w:t>
      </w:r>
      <w:r>
        <w:rPr>
          <w:rFonts w:hint="eastAsia" w:ascii="宋体" w:hAnsi="宋体"/>
          <w:color w:val="auto"/>
          <w:sz w:val="24"/>
          <w:u w:val="none"/>
        </w:rPr>
        <w:t>分送达</w:t>
      </w:r>
      <w:bookmarkStart w:id="44" w:name="_GoBack"/>
      <w:r>
        <w:rPr>
          <w:rFonts w:hint="eastAsia" w:ascii="宋体" w:hAnsi="宋体"/>
          <w:color w:val="auto"/>
          <w:sz w:val="24"/>
          <w:u w:val="none"/>
        </w:rPr>
        <w:t>湖南省岳阳城陵矶新港有限公司办公楼四楼综合办公室</w:t>
      </w:r>
      <w:bookmarkEnd w:id="44"/>
      <w:r>
        <w:rPr>
          <w:rFonts w:hint="eastAsia" w:ascii="宋体" w:hAnsi="宋体"/>
          <w:color w:val="auto"/>
          <w:sz w:val="24"/>
        </w:rPr>
        <w:t>，逾期送达的或者未送达指定地点的文件，不予受理。</w:t>
      </w:r>
    </w:p>
    <w:p>
      <w:pPr>
        <w:autoSpaceDE w:val="0"/>
        <w:spacing w:line="400" w:lineRule="exact"/>
        <w:jc w:val="both"/>
        <w:rPr>
          <w:rFonts w:hint="eastAsia" w:ascii="宋体" w:hAnsi="宋体" w:eastAsia="宋体"/>
          <w:sz w:val="24"/>
          <w:u w:val="none"/>
          <w:lang w:eastAsia="zh-CN"/>
        </w:rPr>
      </w:pPr>
      <w:r>
        <w:rPr>
          <w:rFonts w:hint="eastAsia" w:ascii="宋体" w:hAnsi="宋体"/>
          <w:b/>
          <w:bCs/>
          <w:sz w:val="24"/>
          <w:u w:val="none"/>
          <w:lang w:eastAsia="zh-CN"/>
        </w:rPr>
        <w:t>（</w:t>
      </w:r>
      <w:r>
        <w:rPr>
          <w:rFonts w:hint="eastAsia" w:ascii="宋体" w:hAnsi="宋体"/>
          <w:b/>
          <w:bCs/>
          <w:sz w:val="24"/>
          <w:u w:val="none"/>
          <w:lang w:val="en-US" w:eastAsia="zh-CN"/>
        </w:rPr>
        <w:t>二</w:t>
      </w:r>
      <w:r>
        <w:rPr>
          <w:rFonts w:hint="eastAsia" w:ascii="宋体" w:hAnsi="宋体"/>
          <w:b/>
          <w:bCs/>
          <w:sz w:val="24"/>
          <w:u w:val="none"/>
          <w:lang w:eastAsia="zh-CN"/>
        </w:rPr>
        <w:t>）</w:t>
      </w:r>
      <w:r>
        <w:rPr>
          <w:rFonts w:hint="eastAsia" w:ascii="宋体" w:hAnsi="宋体"/>
          <w:sz w:val="24"/>
          <w:u w:val="none"/>
        </w:rPr>
        <w:t>供应商若对本项目采购需求、资格要求等有疑问的，应当于2022年8月</w:t>
      </w:r>
      <w:r>
        <w:rPr>
          <w:rFonts w:hint="eastAsia" w:ascii="宋体" w:hAnsi="宋体"/>
          <w:sz w:val="24"/>
          <w:u w:val="none"/>
          <w:lang w:val="en-US" w:eastAsia="zh-CN"/>
        </w:rPr>
        <w:t>14</w:t>
      </w:r>
      <w:r>
        <w:rPr>
          <w:rFonts w:hint="eastAsia" w:ascii="宋体" w:hAnsi="宋体"/>
          <w:sz w:val="24"/>
          <w:u w:val="none"/>
        </w:rPr>
        <w:t>日</w:t>
      </w:r>
      <w:r>
        <w:rPr>
          <w:rFonts w:hint="eastAsia" w:ascii="宋体" w:hAnsi="宋体"/>
          <w:sz w:val="24"/>
          <w:u w:val="none"/>
          <w:lang w:val="en-US" w:eastAsia="zh-CN"/>
        </w:rPr>
        <w:t>15</w:t>
      </w:r>
      <w:r>
        <w:rPr>
          <w:rFonts w:hint="eastAsia" w:ascii="宋体" w:hAnsi="宋体"/>
          <w:sz w:val="24"/>
          <w:u w:val="none"/>
        </w:rPr>
        <w:t>时</w:t>
      </w:r>
      <w:r>
        <w:rPr>
          <w:rFonts w:hint="eastAsia" w:ascii="宋体" w:hAnsi="宋体"/>
          <w:sz w:val="24"/>
          <w:u w:val="none"/>
          <w:lang w:val="en-US" w:eastAsia="zh-CN"/>
        </w:rPr>
        <w:t>0</w:t>
      </w:r>
      <w:r>
        <w:rPr>
          <w:rFonts w:hint="eastAsia" w:ascii="宋体" w:hAnsi="宋体"/>
          <w:sz w:val="24"/>
          <w:u w:val="none"/>
        </w:rPr>
        <w:t>0分前向采购人提出澄清要求</w:t>
      </w:r>
      <w:r>
        <w:rPr>
          <w:rFonts w:hint="eastAsia" w:ascii="宋体" w:hAnsi="宋体"/>
          <w:sz w:val="24"/>
          <w:u w:val="none"/>
          <w:lang w:eastAsia="zh-CN"/>
        </w:rPr>
        <w:t>。</w:t>
      </w:r>
    </w:p>
    <w:p>
      <w:pPr>
        <w:widowControl w:val="0"/>
        <w:spacing w:line="312" w:lineRule="auto"/>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三</w:t>
      </w:r>
      <w:r>
        <w:rPr>
          <w:rFonts w:hint="eastAsia" w:ascii="宋体" w:hAnsi="宋体"/>
          <w:b/>
          <w:bCs/>
          <w:sz w:val="24"/>
          <w:lang w:eastAsia="zh-CN"/>
        </w:rPr>
        <w:t>）</w:t>
      </w:r>
      <w:r>
        <w:rPr>
          <w:rFonts w:hint="eastAsia" w:ascii="宋体" w:hAnsi="宋体"/>
          <w:sz w:val="24"/>
        </w:rPr>
        <w:t>本次询价不接受联合体报价。</w:t>
      </w:r>
    </w:p>
    <w:p>
      <w:pPr>
        <w:pStyle w:val="5"/>
        <w:numPr>
          <w:ilvl w:val="0"/>
          <w:numId w:val="3"/>
        </w:numPr>
        <w:jc w:val="both"/>
        <w:rPr>
          <w:rFonts w:hint="eastAsia"/>
          <w:u w:val="none"/>
        </w:rPr>
      </w:pPr>
      <w:r>
        <w:rPr>
          <w:rFonts w:hint="eastAsia"/>
          <w:u w:val="none"/>
        </w:rPr>
        <w:t>发布</w:t>
      </w:r>
      <w:r>
        <w:rPr>
          <w:rFonts w:hint="eastAsia" w:ascii="黑体" w:hAnsi="黑体"/>
          <w:u w:val="none"/>
        </w:rPr>
        <w:t>公告的</w:t>
      </w:r>
      <w:r>
        <w:rPr>
          <w:rFonts w:hint="eastAsia"/>
          <w:u w:val="none"/>
        </w:rPr>
        <w:t>媒介</w:t>
      </w:r>
    </w:p>
    <w:p>
      <w:pPr>
        <w:widowControl w:val="0"/>
        <w:spacing w:line="312" w:lineRule="auto"/>
        <w:ind w:firstLine="480" w:firstLineChars="200"/>
        <w:jc w:val="both"/>
        <w:rPr>
          <w:rFonts w:hint="eastAsia"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w:t>
      </w:r>
      <w:r>
        <w:rPr>
          <w:rFonts w:hint="eastAsia" w:ascii="宋体" w:hAnsi="宋体" w:cs="宋体"/>
          <w:sz w:val="24"/>
          <w:lang w:eastAsia="zh-CN"/>
        </w:rPr>
        <w:t>采购响应</w:t>
      </w:r>
      <w:r>
        <w:rPr>
          <w:rFonts w:hint="eastAsia" w:ascii="宋体" w:hAnsi="宋体" w:cs="宋体"/>
          <w:sz w:val="24"/>
        </w:rPr>
        <w:t>公共服务平台（http：//www.cebpubservice.com）、湖南省湘水集团有限公司网站（http：//www.hnsxsjt.com）、</w:t>
      </w:r>
      <w:r>
        <w:rPr>
          <w:rFonts w:hint="eastAsia" w:ascii="宋体" w:hAnsi="宋体" w:cs="宋体"/>
          <w:sz w:val="24"/>
          <w:u w:val="none"/>
        </w:rPr>
        <w:t>湖南省港务集团有限公司</w:t>
      </w:r>
      <w:r>
        <w:rPr>
          <w:rFonts w:hint="eastAsia" w:ascii="宋体" w:hAnsi="宋体" w:cs="宋体"/>
          <w:sz w:val="24"/>
          <w:highlight w:val="none"/>
        </w:rPr>
        <w:t>（http://www.hnsgwjt.com）上</w:t>
      </w:r>
      <w:r>
        <w:rPr>
          <w:rFonts w:hint="eastAsia" w:ascii="宋体" w:hAnsi="宋体" w:cs="宋体"/>
          <w:sz w:val="24"/>
        </w:rPr>
        <w:t>发布。</w:t>
      </w:r>
    </w:p>
    <w:p>
      <w:pPr>
        <w:numPr>
          <w:ilvl w:val="0"/>
          <w:numId w:val="0"/>
        </w:numPr>
      </w:pPr>
    </w:p>
    <w:p>
      <w:pPr>
        <w:pStyle w:val="5"/>
        <w:jc w:val="both"/>
        <w:rPr>
          <w:u w:val="none"/>
        </w:rPr>
      </w:pPr>
      <w:r>
        <w:rPr>
          <w:rFonts w:hint="eastAsia"/>
          <w:u w:val="none"/>
          <w:lang w:val="en-US" w:eastAsia="zh-CN"/>
        </w:rPr>
        <w:t>八、</w:t>
      </w:r>
      <w:bookmarkStart w:id="1" w:name="_Toc512257471"/>
      <w:bookmarkStart w:id="2" w:name="_Toc77254104"/>
      <w:bookmarkStart w:id="3" w:name="_Toc76635692"/>
      <w:bookmarkStart w:id="4" w:name="_Toc79596547"/>
      <w:r>
        <w:rPr>
          <w:u w:val="none"/>
        </w:rPr>
        <w:t>监督</w:t>
      </w:r>
      <w:bookmarkEnd w:id="1"/>
      <w:bookmarkEnd w:id="2"/>
      <w:bookmarkEnd w:id="3"/>
      <w:r>
        <w:rPr>
          <w:rFonts w:hint="eastAsia"/>
          <w:u w:val="none"/>
        </w:rPr>
        <w:t>部门</w:t>
      </w:r>
      <w:bookmarkEnd w:id="4"/>
    </w:p>
    <w:p>
      <w:pPr>
        <w:spacing w:line="440" w:lineRule="exact"/>
        <w:ind w:firstLine="480" w:firstLineChars="200"/>
        <w:rPr>
          <w:sz w:val="24"/>
          <w:u w:val="none"/>
        </w:rPr>
      </w:pPr>
      <w:r>
        <w:rPr>
          <w:sz w:val="24"/>
          <w:u w:val="none"/>
        </w:rPr>
        <w:t>本次</w:t>
      </w:r>
      <w:r>
        <w:rPr>
          <w:rFonts w:hint="eastAsia"/>
          <w:sz w:val="24"/>
          <w:u w:val="none"/>
        </w:rPr>
        <w:t>采购</w:t>
      </w:r>
      <w:r>
        <w:rPr>
          <w:sz w:val="24"/>
          <w:u w:val="none"/>
        </w:rPr>
        <w:t>监督部门为</w:t>
      </w:r>
      <w:r>
        <w:rPr>
          <w:rFonts w:hint="eastAsia" w:cstheme="minorBidi"/>
          <w:sz w:val="24"/>
          <w:u w:val="none"/>
        </w:rPr>
        <w:t>岳阳城陵矶新港有限公司综合管理部</w:t>
      </w:r>
      <w:r>
        <w:rPr>
          <w:sz w:val="24"/>
          <w:u w:val="none"/>
        </w:rPr>
        <w:t>，电话：</w:t>
      </w:r>
      <w:r>
        <w:rPr>
          <w:rFonts w:hint="eastAsia" w:ascii="宋体" w:hAnsi="宋体" w:cs="宋体"/>
          <w:bCs/>
          <w:kern w:val="0"/>
          <w:sz w:val="24"/>
          <w:u w:val="none"/>
        </w:rPr>
        <w:t>13873049118</w:t>
      </w:r>
      <w:r>
        <w:rPr>
          <w:sz w:val="24"/>
          <w:u w:val="none"/>
        </w:rPr>
        <w:t>。</w:t>
      </w:r>
    </w:p>
    <w:p>
      <w:pPr>
        <w:pStyle w:val="5"/>
        <w:jc w:val="both"/>
        <w:rPr>
          <w:rFonts w:ascii="Arial" w:hAnsi="Arial"/>
          <w:u w:val="none"/>
        </w:rPr>
      </w:pPr>
      <w:r>
        <w:rPr>
          <w:rFonts w:hint="eastAsia"/>
          <w:u w:val="none"/>
          <w:lang w:val="en-US" w:eastAsia="zh-CN"/>
        </w:rPr>
        <w:t>九、</w:t>
      </w:r>
      <w:r>
        <w:rPr>
          <w:rFonts w:hint="eastAsia" w:ascii="黑体" w:hAnsi="黑体"/>
          <w:u w:val="none"/>
        </w:rPr>
        <w:t>联系方式</w:t>
      </w:r>
    </w:p>
    <w:p>
      <w:pPr>
        <w:spacing w:line="440" w:lineRule="exact"/>
        <w:rPr>
          <w:color w:val="000000" w:themeColor="text1"/>
          <w:sz w:val="24"/>
          <w:u w:val="none"/>
        </w:rPr>
      </w:pPr>
      <w:r>
        <w:rPr>
          <w:rFonts w:hint="eastAsia" w:ascii="宋体" w:hAnsi="宋体"/>
          <w:sz w:val="24"/>
          <w:u w:val="none"/>
        </w:rPr>
        <w:t>询</w:t>
      </w:r>
      <w:r>
        <w:rPr>
          <w:rFonts w:hint="eastAsia" w:ascii="宋体" w:hAnsi="宋体"/>
          <w:sz w:val="24"/>
          <w:u w:val="none"/>
          <w:lang w:val="en-US" w:eastAsia="zh-CN"/>
        </w:rPr>
        <w:t xml:space="preserve"> </w:t>
      </w:r>
      <w:r>
        <w:rPr>
          <w:rFonts w:hint="eastAsia"/>
          <w:color w:val="000000" w:themeColor="text1"/>
          <w:sz w:val="24"/>
          <w:u w:val="none"/>
        </w:rPr>
        <w:t>价</w:t>
      </w:r>
      <w:r>
        <w:rPr>
          <w:rFonts w:hint="eastAsia"/>
          <w:color w:val="000000" w:themeColor="text1"/>
          <w:sz w:val="24"/>
          <w:u w:val="none"/>
          <w:lang w:val="en-US" w:eastAsia="zh-CN"/>
        </w:rPr>
        <w:t xml:space="preserve"> </w:t>
      </w:r>
      <w:r>
        <w:rPr>
          <w:rFonts w:hint="eastAsia"/>
          <w:sz w:val="24"/>
          <w:u w:val="none"/>
        </w:rPr>
        <w:t>人：岳阳城陵矶新港有限公司</w:t>
      </w:r>
    </w:p>
    <w:p>
      <w:pPr>
        <w:spacing w:line="440" w:lineRule="exact"/>
        <w:rPr>
          <w:color w:val="000000" w:themeColor="text1"/>
          <w:sz w:val="24"/>
          <w:u w:val="none"/>
        </w:rPr>
      </w:pPr>
      <w:r>
        <w:rPr>
          <w:rFonts w:hint="eastAsia"/>
          <w:color w:val="000000" w:themeColor="text1"/>
          <w:sz w:val="24"/>
          <w:u w:val="none"/>
        </w:rPr>
        <w:t>地</w:t>
      </w:r>
      <w:r>
        <w:rPr>
          <w:rFonts w:hint="eastAsia"/>
          <w:color w:val="000000" w:themeColor="text1"/>
          <w:sz w:val="24"/>
          <w:u w:val="none"/>
          <w:lang w:val="en-US" w:eastAsia="zh-CN"/>
        </w:rPr>
        <w:t xml:space="preserve">    </w:t>
      </w:r>
      <w:r>
        <w:rPr>
          <w:rFonts w:hint="eastAsia"/>
          <w:color w:val="000000" w:themeColor="text1"/>
          <w:sz w:val="24"/>
          <w:u w:val="none"/>
        </w:rPr>
        <w:t>址：湖南省岳阳市云溪区沿江西路50米</w:t>
      </w:r>
      <w:r>
        <w:rPr>
          <w:rFonts w:hint="eastAsia"/>
          <w:sz w:val="24"/>
          <w:u w:val="none"/>
        </w:rPr>
        <w:t>岳阳城陵矶新港有限公司四楼综合管理部办公室</w:t>
      </w:r>
    </w:p>
    <w:p>
      <w:pPr>
        <w:spacing w:line="440" w:lineRule="exact"/>
        <w:rPr>
          <w:color w:val="000000" w:themeColor="text1"/>
          <w:sz w:val="24"/>
          <w:u w:val="none"/>
        </w:rPr>
      </w:pPr>
      <w:r>
        <w:rPr>
          <w:rFonts w:hint="eastAsia"/>
          <w:color w:val="000000" w:themeColor="text1"/>
          <w:sz w:val="24"/>
          <w:u w:val="none"/>
          <w:lang w:val="en-US" w:eastAsia="zh-CN"/>
        </w:rPr>
        <w:t xml:space="preserve">联 系 </w:t>
      </w:r>
      <w:r>
        <w:rPr>
          <w:rFonts w:hint="eastAsia"/>
          <w:color w:val="000000" w:themeColor="text1"/>
          <w:sz w:val="24"/>
          <w:u w:val="none"/>
        </w:rPr>
        <w:t>人：童卫东</w:t>
      </w:r>
    </w:p>
    <w:p>
      <w:pPr>
        <w:spacing w:line="440" w:lineRule="exact"/>
        <w:rPr>
          <w:u w:val="none"/>
        </w:rPr>
      </w:pPr>
      <w:r>
        <w:rPr>
          <w:rFonts w:hint="eastAsia"/>
          <w:color w:val="000000" w:themeColor="text1"/>
          <w:sz w:val="24"/>
          <w:u w:val="none"/>
        </w:rPr>
        <w:t>联系电话：</w:t>
      </w:r>
      <w:r>
        <w:rPr>
          <w:rFonts w:hint="eastAsia"/>
          <w:sz w:val="24"/>
          <w:u w:val="none"/>
        </w:rPr>
        <w:t>13975080729</w:t>
      </w:r>
    </w:p>
    <w:p>
      <w:pPr>
        <w:spacing w:line="440" w:lineRule="exact"/>
        <w:rPr>
          <w:sz w:val="24"/>
          <w:u w:val="none"/>
        </w:rPr>
      </w:pPr>
      <w:r>
        <w:rPr>
          <w:rFonts w:hint="eastAsia" w:ascii="宋体" w:hAnsi="宋体" w:cs="宋体"/>
          <w:sz w:val="24"/>
          <w:u w:val="none"/>
        </w:rPr>
        <w:t>邮政编码：</w:t>
      </w:r>
      <w:r>
        <w:rPr>
          <w:rFonts w:hint="eastAsia"/>
          <w:sz w:val="24"/>
          <w:u w:val="none"/>
        </w:rPr>
        <w:t>414000</w:t>
      </w:r>
    </w:p>
    <w:p>
      <w:pPr>
        <w:rPr>
          <w:rFonts w:ascii="微软雅黑" w:hAnsi="微软雅黑" w:eastAsia="微软雅黑"/>
          <w:sz w:val="24"/>
          <w:u w:val="none"/>
          <w:lang w:val="zh-CN"/>
        </w:rPr>
      </w:pPr>
      <w:r>
        <w:rPr>
          <w:rFonts w:ascii="微软雅黑" w:hAnsi="微软雅黑" w:eastAsia="微软雅黑"/>
          <w:sz w:val="24"/>
          <w:u w:val="none"/>
          <w:lang w:val="zh-CN"/>
        </w:rPr>
        <w:br w:type="page"/>
      </w:r>
    </w:p>
    <w:p>
      <w:pPr>
        <w:spacing w:line="600" w:lineRule="exact"/>
        <w:jc w:val="center"/>
        <w:outlineLvl w:val="0"/>
        <w:rPr>
          <w:rFonts w:ascii="黑体" w:hAnsi="黑体" w:eastAsia="黑体"/>
          <w:sz w:val="32"/>
          <w:szCs w:val="32"/>
          <w:u w:val="none"/>
        </w:rPr>
      </w:pPr>
      <w:bookmarkStart w:id="5" w:name="_Toc7832"/>
      <w:r>
        <w:rPr>
          <w:rFonts w:hint="eastAsia" w:ascii="黑体" w:hAnsi="黑体" w:eastAsia="黑体"/>
          <w:sz w:val="32"/>
          <w:szCs w:val="32"/>
          <w:u w:val="none"/>
        </w:rPr>
        <w:t>第二章  供应商须知</w:t>
      </w:r>
      <w:bookmarkEnd w:id="5"/>
    </w:p>
    <w:p>
      <w:pPr>
        <w:pStyle w:val="4"/>
        <w:spacing w:before="240" w:after="240" w:line="600" w:lineRule="exact"/>
        <w:jc w:val="both"/>
        <w:rPr>
          <w:rFonts w:ascii="仿宋" w:hAnsi="仿宋" w:eastAsia="仿宋" w:cs="仿宋"/>
          <w:sz w:val="30"/>
          <w:szCs w:val="30"/>
          <w:u w:val="none"/>
        </w:rPr>
      </w:pPr>
      <w:bookmarkStart w:id="6" w:name="_Toc517787495"/>
      <w:bookmarkStart w:id="7" w:name="_Toc234832862"/>
      <w:bookmarkStart w:id="8" w:name="_Toc25825"/>
      <w:bookmarkStart w:id="9" w:name="_Toc7549"/>
      <w:bookmarkStart w:id="10" w:name="_Toc8055"/>
      <w:r>
        <w:rPr>
          <w:rFonts w:hint="eastAsia" w:ascii="仿宋" w:hAnsi="仿宋" w:eastAsia="仿宋" w:cs="仿宋"/>
          <w:sz w:val="30"/>
          <w:szCs w:val="30"/>
          <w:u w:val="none"/>
        </w:rPr>
        <w:t>供应商须知前附表</w:t>
      </w:r>
      <w:r>
        <w:rPr>
          <w:rStyle w:val="21"/>
          <w:rFonts w:hint="eastAsia" w:ascii="仿宋" w:hAnsi="仿宋" w:eastAsia="仿宋" w:cs="仿宋"/>
          <w:sz w:val="30"/>
          <w:szCs w:val="30"/>
          <w:u w:val="none"/>
        </w:rPr>
        <w:footnoteReference w:id="0"/>
      </w:r>
      <w:bookmarkEnd w:id="6"/>
      <w:bookmarkEnd w:id="7"/>
      <w:bookmarkEnd w:id="8"/>
      <w:bookmarkEnd w:id="9"/>
      <w:bookmarkEnd w:id="10"/>
    </w:p>
    <w:tbl>
      <w:tblPr>
        <w:tblStyle w:val="16"/>
        <w:tblW w:w="8779" w:type="dxa"/>
        <w:tblInd w:w="0" w:type="dxa"/>
        <w:tblLayout w:type="fixed"/>
        <w:tblCellMar>
          <w:top w:w="0" w:type="dxa"/>
          <w:left w:w="108" w:type="dxa"/>
          <w:bottom w:w="0" w:type="dxa"/>
          <w:right w:w="108" w:type="dxa"/>
        </w:tblCellMar>
      </w:tblPr>
      <w:tblGrid>
        <w:gridCol w:w="1260"/>
        <w:gridCol w:w="2753"/>
        <w:gridCol w:w="4766"/>
      </w:tblGrid>
      <w:tr>
        <w:tblPrEx>
          <w:tblCellMar>
            <w:top w:w="0" w:type="dxa"/>
            <w:left w:w="108" w:type="dxa"/>
            <w:bottom w:w="0" w:type="dxa"/>
            <w:right w:w="108" w:type="dxa"/>
          </w:tblCellMar>
        </w:tblPrEx>
        <w:trPr>
          <w:trHeight w:val="469"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条款号</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条  款  名  称</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编  列  内  容</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采购方法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sym w:font="Wingdings 2" w:char="0052"/>
            </w:r>
            <w:r>
              <w:rPr>
                <w:rFonts w:hint="eastAsia" w:cs="仿宋" w:asciiTheme="minorEastAsia" w:hAnsiTheme="minorEastAsia" w:eastAsiaTheme="minorEastAsia"/>
                <w:sz w:val="24"/>
                <w:u w:val="none"/>
              </w:rPr>
              <w:t>询价</w:t>
            </w:r>
          </w:p>
          <w:p>
            <w:pPr>
              <w:spacing w:line="288" w:lineRule="auto"/>
              <w:jc w:val="both"/>
              <w:rPr>
                <w:rFonts w:hint="eastAsia" w:cs="仿宋" w:asciiTheme="minorEastAsia" w:hAnsiTheme="minorEastAsia" w:eastAsiaTheme="minorEastAsia"/>
                <w:sz w:val="24"/>
                <w:u w:val="none"/>
                <w:lang w:val="en-US" w:eastAsia="zh-CN"/>
              </w:rPr>
            </w:pPr>
            <w:r>
              <w:rPr>
                <w:rFonts w:hint="eastAsia" w:cs="仿宋" w:asciiTheme="minorEastAsia" w:hAnsiTheme="minorEastAsia" w:eastAsiaTheme="minorEastAsia"/>
                <w:sz w:val="24"/>
                <w:u w:val="none"/>
                <w:lang w:eastAsia="zh-CN"/>
              </w:rPr>
              <w:t>□</w:t>
            </w:r>
            <w:r>
              <w:rPr>
                <w:rFonts w:hint="eastAsia" w:cs="仿宋" w:asciiTheme="minorEastAsia" w:hAnsiTheme="minorEastAsia" w:eastAsiaTheme="minorEastAsia"/>
                <w:sz w:val="24"/>
                <w:u w:val="none"/>
                <w:lang w:val="en-US" w:eastAsia="zh-CN"/>
              </w:rPr>
              <w:t>竞争性谈判</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□单一来源</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□直接采购</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评审办法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☑最低价法</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□综合评分法</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1.7.1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踏勘现场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☑不组织</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□组织，踏勘时间：              </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        踏勘集中地点：                                          </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采购预备会</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☑不召开</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□召开，召开时间：              </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        召开地点：                                              </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1.9</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（A、C）</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分包</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不得分包的内容：不允许分包</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对分包供应商的要求：  不允许分包</w:t>
            </w:r>
          </w:p>
        </w:tc>
      </w:tr>
      <w:tr>
        <w:tblPrEx>
          <w:tblCellMar>
            <w:top w:w="0" w:type="dxa"/>
            <w:left w:w="108" w:type="dxa"/>
            <w:bottom w:w="0" w:type="dxa"/>
            <w:right w:w="108" w:type="dxa"/>
          </w:tblCellMar>
        </w:tblPrEx>
        <w:trPr>
          <w:trHeight w:val="226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1.10.2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对非关键条款的偏差</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允许偏差的范围：</w:t>
            </w:r>
            <w:r>
              <w:rPr>
                <w:rFonts w:hint="eastAsia" w:ascii="宋体" w:hAnsi="宋体" w:cs="宋体" w:eastAsiaTheme="minorEastAsia"/>
                <w:sz w:val="24"/>
                <w:u w:val="none"/>
                <w:lang w:eastAsia="zh-CN"/>
              </w:rPr>
              <w:t>响应</w:t>
            </w:r>
            <w:r>
              <w:rPr>
                <w:rFonts w:hint="eastAsia" w:ascii="宋体" w:hAnsi="宋体" w:cs="宋体"/>
                <w:sz w:val="24"/>
                <w:u w:val="none"/>
              </w:rPr>
              <w:t>文件在实质上响应</w:t>
            </w:r>
            <w:r>
              <w:rPr>
                <w:rFonts w:hint="eastAsia" w:ascii="宋体" w:hAnsi="宋体" w:cs="宋体"/>
                <w:sz w:val="24"/>
                <w:u w:val="none"/>
                <w:lang w:eastAsia="zh-CN"/>
              </w:rPr>
              <w:t>采购</w:t>
            </w:r>
            <w:r>
              <w:rPr>
                <w:rFonts w:hint="eastAsia" w:ascii="宋体" w:hAnsi="宋体" w:cs="宋体"/>
                <w:sz w:val="24"/>
                <w:u w:val="none"/>
              </w:rPr>
              <w:t>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允许偏差的项数：3项</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2.1(7)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构成采购文件的其他资料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供应商要求澄清采购文件的时间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截止时间：2022年8月</w:t>
            </w:r>
            <w:r>
              <w:rPr>
                <w:rFonts w:hint="eastAsia" w:cs="仿宋" w:asciiTheme="minorEastAsia" w:hAnsiTheme="minorEastAsia" w:eastAsiaTheme="minorEastAsia"/>
                <w:sz w:val="24"/>
                <w:u w:val="none"/>
                <w:lang w:val="en-US" w:eastAsia="zh-CN"/>
              </w:rPr>
              <w:t>14</w:t>
            </w:r>
            <w:r>
              <w:rPr>
                <w:rFonts w:hint="eastAsia" w:cs="仿宋" w:asciiTheme="minorEastAsia" w:hAnsiTheme="minorEastAsia" w:eastAsiaTheme="minorEastAsia"/>
                <w:sz w:val="24"/>
                <w:u w:val="none"/>
              </w:rPr>
              <w:t>日</w:t>
            </w:r>
            <w:r>
              <w:rPr>
                <w:rFonts w:hint="eastAsia" w:cs="仿宋" w:asciiTheme="minorEastAsia" w:hAnsiTheme="minorEastAsia" w:eastAsiaTheme="minorEastAsia"/>
                <w:sz w:val="24"/>
                <w:u w:val="none"/>
                <w:lang w:val="en-US" w:eastAsia="zh-CN"/>
              </w:rPr>
              <w:t>15</w:t>
            </w:r>
            <w:r>
              <w:rPr>
                <w:rFonts w:hint="eastAsia" w:cs="仿宋" w:asciiTheme="minorEastAsia" w:hAnsiTheme="minorEastAsia" w:eastAsiaTheme="minorEastAsia"/>
                <w:sz w:val="24"/>
                <w:u w:val="none"/>
              </w:rPr>
              <w:t>时</w:t>
            </w:r>
            <w:r>
              <w:rPr>
                <w:rFonts w:hint="eastAsia" w:cs="仿宋" w:asciiTheme="minorEastAsia" w:hAnsiTheme="minorEastAsia" w:eastAsiaTheme="minorEastAsia"/>
                <w:sz w:val="24"/>
                <w:u w:val="none"/>
                <w:lang w:val="en-US" w:eastAsia="zh-CN"/>
              </w:rPr>
              <w:t>0</w:t>
            </w:r>
            <w:r>
              <w:rPr>
                <w:rFonts w:hint="eastAsia" w:cs="仿宋" w:asciiTheme="minorEastAsia" w:hAnsiTheme="minorEastAsia" w:eastAsiaTheme="minorEastAsia"/>
                <w:sz w:val="24"/>
                <w:u w:val="none"/>
              </w:rPr>
              <w:t>0分</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供应商确认收到采购文件补充文件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确认的最晚时间：无</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确定的方式：无</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3.1.1（9）</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构成响应文件的其他资料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最终报价承诺函。</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最高限价或其计算方法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□无</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☑有，最高限价或其计算方法：</w:t>
            </w:r>
          </w:p>
          <w:p>
            <w:pPr>
              <w:spacing w:line="288" w:lineRule="auto"/>
              <w:jc w:val="both"/>
              <w:rPr>
                <w:rFonts w:hint="default" w:eastAsia="宋体" w:cs="仿宋" w:asciiTheme="minorEastAsia" w:hAnsiTheme="minorEastAsia"/>
                <w:sz w:val="24"/>
                <w:u w:val="none"/>
                <w:lang w:val="en-US" w:eastAsia="zh-CN"/>
              </w:rPr>
            </w:pPr>
            <w:r>
              <w:rPr>
                <w:sz w:val="24"/>
                <w:u w:val="none"/>
              </w:rPr>
              <w:t>本项目最高限价为：人民币</w:t>
            </w:r>
            <w:r>
              <w:rPr>
                <w:rFonts w:hint="eastAsia"/>
                <w:sz w:val="24"/>
                <w:u w:val="none"/>
                <w:lang w:val="en-US" w:eastAsia="zh-CN"/>
              </w:rPr>
              <w:t>肆拾万元（</w:t>
            </w:r>
            <w:r>
              <w:rPr>
                <w:color w:val="auto"/>
                <w:sz w:val="24"/>
                <w:u w:val="none"/>
              </w:rPr>
              <w:t>¥</w:t>
            </w:r>
            <w:r>
              <w:rPr>
                <w:rFonts w:hint="eastAsia"/>
                <w:color w:val="auto"/>
                <w:sz w:val="24"/>
                <w:u w:val="none"/>
              </w:rPr>
              <w:t>400，000</w:t>
            </w:r>
            <w:r>
              <w:rPr>
                <w:rFonts w:hint="eastAsia"/>
                <w:color w:val="auto"/>
                <w:sz w:val="24"/>
                <w:u w:val="none"/>
                <w:lang w:val="en-US" w:eastAsia="zh-CN"/>
              </w:rPr>
              <w:t>.00）</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报价的其他要求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ascii="宋体" w:hAnsi="宋体" w:cs="仿宋"/>
                <w:sz w:val="24"/>
                <w:u w:val="none"/>
              </w:rPr>
              <w:t>报价应为含税价，提供税率为</w:t>
            </w:r>
            <w:r>
              <w:rPr>
                <w:rFonts w:hint="eastAsia" w:ascii="宋体" w:hAnsi="宋体" w:cs="仿宋"/>
                <w:sz w:val="24"/>
                <w:u w:val="none"/>
                <w:lang w:val="en-US" w:eastAsia="zh-CN"/>
              </w:rPr>
              <w:t>6</w:t>
            </w:r>
            <w:r>
              <w:rPr>
                <w:rFonts w:hint="eastAsia" w:ascii="宋体" w:hAnsi="宋体" w:cs="仿宋"/>
                <w:sz w:val="24"/>
                <w:u w:val="none"/>
              </w:rPr>
              <w:t>%的增值税发票</w:t>
            </w:r>
            <w:r>
              <w:rPr>
                <w:rFonts w:hint="eastAsia" w:ascii="宋体" w:hAnsi="宋体" w:cs="仿宋"/>
                <w:sz w:val="24"/>
                <w:u w:val="none"/>
                <w:lang w:eastAsia="zh-CN"/>
              </w:rPr>
              <w:t>，</w:t>
            </w:r>
            <w:r>
              <w:rPr>
                <w:rFonts w:hint="eastAsia" w:ascii="宋体" w:hAnsi="宋体" w:cs="仿宋"/>
                <w:sz w:val="24"/>
                <w:u w:val="none"/>
                <w:lang w:val="en-US" w:eastAsia="zh-CN"/>
              </w:rPr>
              <w:t>如提供其他税率的发票，采购人将按6%的税率调整后进行排序</w:t>
            </w:r>
            <w:r>
              <w:rPr>
                <w:rFonts w:hint="eastAsia" w:ascii="宋体" w:hAnsi="宋体" w:cs="仿宋"/>
                <w:sz w:val="24"/>
                <w:u w:val="none"/>
              </w:rPr>
              <w:t>。</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3.3.1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响应文件有效期</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递交响应文件截止之日起90日                                        </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3.4.1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响应保证金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☑不要求递交</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□要求递交，</w:t>
            </w:r>
          </w:p>
          <w:p>
            <w:pPr>
              <w:spacing w:line="288" w:lineRule="auto"/>
              <w:ind w:firstLine="360" w:firstLineChars="15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保证金的金额：              </w:t>
            </w:r>
          </w:p>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   保证金的形式：                                        </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3.4.2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无</w:t>
            </w:r>
          </w:p>
        </w:tc>
      </w:tr>
      <w:tr>
        <w:tblPrEx>
          <w:tblCellMar>
            <w:top w:w="0" w:type="dxa"/>
            <w:left w:w="108" w:type="dxa"/>
            <w:bottom w:w="0" w:type="dxa"/>
            <w:right w:w="108" w:type="dxa"/>
          </w:tblCellMar>
        </w:tblPrEx>
        <w:trPr>
          <w:trHeight w:val="9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3.4.3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不退还响应保证金的其他情形</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无</w:t>
            </w:r>
          </w:p>
        </w:tc>
      </w:tr>
      <w:tr>
        <w:tblPrEx>
          <w:tblCellMar>
            <w:top w:w="0" w:type="dxa"/>
            <w:left w:w="108" w:type="dxa"/>
            <w:bottom w:w="0" w:type="dxa"/>
            <w:right w:w="108" w:type="dxa"/>
          </w:tblCellMar>
        </w:tblPrEx>
        <w:trPr>
          <w:trHeight w:val="16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u w:val="none"/>
              </w:rPr>
            </w:pPr>
            <w:r>
              <w:rPr>
                <w:rStyle w:val="19"/>
                <w:rFonts w:hint="eastAsia" w:asciiTheme="minorEastAsia" w:hAnsiTheme="minorEastAsia" w:eastAsiaTheme="minorEastAsia"/>
                <w:b w:val="0"/>
                <w:color w:val="000000"/>
                <w:sz w:val="24"/>
                <w:u w:val="none"/>
              </w:rPr>
              <w:t>依法设立的证明材料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□不适用。</w:t>
            </w:r>
          </w:p>
          <w:p>
            <w:pPr>
              <w:spacing w:line="288" w:lineRule="auto"/>
              <w:jc w:val="both"/>
              <w:rPr>
                <w:rFonts w:asciiTheme="minorEastAsia" w:hAnsiTheme="minorEastAsia" w:eastAsiaTheme="minorEastAsia"/>
                <w:color w:val="000000"/>
                <w:sz w:val="24"/>
                <w:u w:val="none"/>
              </w:rPr>
            </w:pPr>
            <w:r>
              <w:rPr>
                <w:rFonts w:hint="eastAsia" w:cs="仿宋" w:asciiTheme="minorEastAsia" w:hAnsiTheme="minorEastAsia" w:eastAsiaTheme="minorEastAsia"/>
                <w:sz w:val="24"/>
                <w:u w:val="none"/>
              </w:rPr>
              <w:t>☑适用。</w:t>
            </w:r>
            <w:r>
              <w:rPr>
                <w:rFonts w:hint="eastAsia" w:asciiTheme="minorEastAsia" w:hAnsiTheme="minorEastAsia" w:eastAsiaTheme="minorEastAsia"/>
                <w:color w:val="000000"/>
                <w:sz w:val="24"/>
                <w:u w:val="none"/>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242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3.5（2）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Style w:val="19"/>
                <w:rFonts w:hint="eastAsia" w:asciiTheme="minorEastAsia" w:hAnsiTheme="minorEastAsia" w:eastAsiaTheme="minorEastAsia"/>
                <w:b w:val="0"/>
                <w:color w:val="000000"/>
                <w:sz w:val="24"/>
                <w:u w:val="none"/>
              </w:rPr>
              <w:t>资质要求证明材料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sym w:font="Wingdings 2" w:char="0052"/>
            </w:r>
            <w:r>
              <w:rPr>
                <w:rFonts w:hint="eastAsia" w:cs="宋体" w:asciiTheme="minorEastAsia" w:hAnsiTheme="minorEastAsia" w:eastAsiaTheme="minorEastAsia"/>
                <w:color w:val="000000"/>
                <w:sz w:val="24"/>
                <w:u w:val="none"/>
              </w:rPr>
              <w:t>不适用</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lang w:eastAsia="zh-CN"/>
              </w:rPr>
              <w:t>□</w:t>
            </w:r>
            <w:r>
              <w:rPr>
                <w:rFonts w:hint="eastAsia" w:cs="宋体" w:asciiTheme="minorEastAsia" w:hAnsiTheme="minorEastAsia" w:eastAsiaTheme="minorEastAsia"/>
                <w:color w:val="000000"/>
                <w:sz w:val="24"/>
                <w:u w:val="none"/>
              </w:rPr>
              <w:t>适用。供应商应提供相关资质证书副本的复印件，以证明供应商具有承担本项目要求的资质。</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资质证书包括：</w:t>
            </w:r>
          </w:p>
        </w:tc>
      </w:tr>
      <w:tr>
        <w:tblPrEx>
          <w:tblCellMar>
            <w:top w:w="0" w:type="dxa"/>
            <w:left w:w="108" w:type="dxa"/>
            <w:bottom w:w="0" w:type="dxa"/>
            <w:right w:w="108" w:type="dxa"/>
          </w:tblCellMar>
        </w:tblPrEx>
        <w:trPr>
          <w:trHeight w:val="530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3.5（3）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u w:val="none"/>
              </w:rPr>
            </w:pPr>
            <w:r>
              <w:rPr>
                <w:rStyle w:val="19"/>
                <w:rFonts w:hint="eastAsia" w:asciiTheme="minorEastAsia" w:hAnsiTheme="minorEastAsia" w:eastAsiaTheme="minorEastAsia"/>
                <w:b w:val="0"/>
                <w:color w:val="000000"/>
                <w:sz w:val="24"/>
                <w:u w:val="none"/>
              </w:rPr>
              <w:t>财务要求证明材料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☑不适用</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适用。供应商应提供经会计师事务所或审计机构审计的近年财务会计报表复印件，包括资产负债表，现金流量表、利润表等。近年财务会计报表年份是指：至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□适用。供应商应提供近年财务会计报表复印件，包括资产负债表，现金流量表、利润表等。近年财务会计报表年份是指：至年（供应商的成立时间少于该规定年份的，应提供成立以来的财务会计报表）</w:t>
            </w:r>
          </w:p>
          <w:p>
            <w:pPr>
              <w:spacing w:line="288" w:lineRule="auto"/>
              <w:jc w:val="both"/>
              <w:rPr>
                <w:rFonts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（注：有财务要求的，应选择两种财务会计报表中的一种作为财务证明资料。）</w:t>
            </w:r>
          </w:p>
        </w:tc>
      </w:tr>
      <w:tr>
        <w:tblPrEx>
          <w:tblCellMar>
            <w:top w:w="0" w:type="dxa"/>
            <w:left w:w="108" w:type="dxa"/>
            <w:bottom w:w="0" w:type="dxa"/>
            <w:right w:w="108" w:type="dxa"/>
          </w:tblCellMar>
        </w:tblPrEx>
        <w:trPr>
          <w:trHeight w:val="6437"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3.5（4）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业绩要求证明材料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□不适用</w:t>
            </w:r>
          </w:p>
          <w:p>
            <w:pPr>
              <w:spacing w:line="288" w:lineRule="auto"/>
              <w:jc w:val="both"/>
              <w:rPr>
                <w:rFonts w:hint="default" w:cs="宋体" w:asciiTheme="minorEastAsia" w:hAnsiTheme="minorEastAsia" w:eastAsiaTheme="minorEastAsia"/>
                <w:color w:val="000000"/>
                <w:sz w:val="24"/>
                <w:u w:val="none"/>
                <w:lang w:val="en-US" w:eastAsia="zh-CN"/>
              </w:rPr>
            </w:pPr>
            <w:r>
              <w:rPr>
                <w:rFonts w:hint="eastAsia" w:cs="宋体" w:asciiTheme="minorEastAsia" w:hAnsiTheme="minorEastAsia" w:eastAsiaTheme="minorEastAsia"/>
                <w:color w:val="000000"/>
                <w:sz w:val="24"/>
                <w:u w:val="none"/>
              </w:rPr>
              <w:t>☑适用。供应商应提供近2年的类似项目情况表（格式见第六章“响应文件格式”七、资格审查资料（三）近2年的类似项目情况表），以证明供应商具有承担本项目要求的业绩。近年是指2020年</w:t>
            </w:r>
            <w:r>
              <w:rPr>
                <w:rFonts w:hint="eastAsia" w:cs="宋体" w:asciiTheme="minorEastAsia" w:hAnsiTheme="minorEastAsia" w:eastAsiaTheme="minorEastAsia"/>
                <w:color w:val="000000"/>
                <w:sz w:val="24"/>
                <w:u w:val="none"/>
                <w:lang w:val="en-US" w:eastAsia="zh-CN"/>
              </w:rPr>
              <w:t>8月16日</w:t>
            </w:r>
            <w:r>
              <w:rPr>
                <w:rFonts w:hint="eastAsia" w:cs="宋体" w:asciiTheme="minorEastAsia" w:hAnsiTheme="minorEastAsia" w:eastAsiaTheme="minorEastAsia"/>
                <w:color w:val="000000"/>
                <w:sz w:val="24"/>
                <w:u w:val="none"/>
              </w:rPr>
              <w:t>至2022年</w:t>
            </w:r>
            <w:r>
              <w:rPr>
                <w:rFonts w:hint="eastAsia" w:cs="宋体" w:asciiTheme="minorEastAsia" w:hAnsiTheme="minorEastAsia" w:eastAsiaTheme="minorEastAsia"/>
                <w:color w:val="000000"/>
                <w:sz w:val="24"/>
                <w:u w:val="none"/>
                <w:lang w:val="en-US" w:eastAsia="zh-CN"/>
              </w:rPr>
              <w:t>8月16日，以合同甲方签署时间为准。</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业绩证明材料：</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☑合同/订单</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□中标通知书/成交通知书</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□竣工 验收报告/验收证明</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□业主证明</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□其他材料：</w:t>
            </w:r>
          </w:p>
          <w:p>
            <w:pPr>
              <w:spacing w:line="288" w:lineRule="auto"/>
              <w:jc w:val="both"/>
              <w:rPr>
                <w:rFonts w:cs="宋体" w:asciiTheme="minorEastAsia" w:hAnsiTheme="minorEastAsia" w:eastAsiaTheme="minorEastAsia"/>
                <w:color w:val="000000"/>
                <w:sz w:val="24"/>
                <w:u w:val="none"/>
              </w:rPr>
            </w:pP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业绩证明材料种类要求：</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□需同时提供上述勾选的所有证明材料</w:t>
            </w:r>
          </w:p>
          <w:p>
            <w:pPr>
              <w:spacing w:line="288" w:lineRule="auto"/>
              <w:jc w:val="both"/>
              <w:rPr>
                <w:rFonts w:cs="仿宋" w:asciiTheme="minorEastAsia" w:hAnsiTheme="minorEastAsia" w:eastAsiaTheme="minorEastAsia"/>
                <w:sz w:val="24"/>
                <w:u w:val="none"/>
              </w:rPr>
            </w:pPr>
            <w:r>
              <w:rPr>
                <w:rFonts w:hint="eastAsia" w:cs="宋体" w:asciiTheme="minorEastAsia" w:hAnsiTheme="minorEastAsia" w:eastAsiaTheme="minorEastAsia"/>
                <w:color w:val="000000"/>
                <w:sz w:val="24"/>
                <w:u w:val="none"/>
              </w:rPr>
              <w:t>☑其他要求：提供</w:t>
            </w:r>
            <w:r>
              <w:rPr>
                <w:rFonts w:hint="eastAsia" w:cs="宋体" w:asciiTheme="minorEastAsia" w:hAnsiTheme="minorEastAsia" w:eastAsiaTheme="minorEastAsia"/>
                <w:color w:val="000000"/>
                <w:sz w:val="24"/>
                <w:u w:val="none"/>
                <w:lang w:val="en-US" w:eastAsia="zh-CN"/>
              </w:rPr>
              <w:t>1份业绩</w:t>
            </w:r>
            <w:r>
              <w:rPr>
                <w:rFonts w:hint="eastAsia" w:cs="宋体" w:asciiTheme="minorEastAsia" w:hAnsiTheme="minorEastAsia" w:eastAsiaTheme="minorEastAsia"/>
                <w:color w:val="000000"/>
                <w:sz w:val="24"/>
                <w:u w:val="none"/>
              </w:rPr>
              <w:t>复印件加盖单位公章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3.5（5）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信誉要求证明材料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☑不适用</w:t>
            </w:r>
          </w:p>
          <w:p>
            <w:pPr>
              <w:pStyle w:val="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000000"/>
                <w:sz w:val="24"/>
                <w:u w:val="none"/>
              </w:rPr>
              <w:t>□适用。供应商应提供相关信誉情况的证明材料，包括：</w:t>
            </w: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u w:val="none"/>
              </w:rPr>
            </w:pPr>
            <w:r>
              <w:rPr>
                <w:rFonts w:hint="eastAsia" w:cs="宋体" w:asciiTheme="minorEastAsia" w:hAnsiTheme="minorEastAsia" w:eastAsiaTheme="minorEastAsia"/>
                <w:color w:val="auto"/>
                <w:sz w:val="24"/>
              </w:rPr>
              <w:t>2．被最高人民法院在“信用中国”网站（www.creditchina.gov.cn）中未列入失信被执行人名单的网页截图</w:t>
            </w:r>
            <w:r>
              <w:rPr>
                <w:rFonts w:hint="eastAsia" w:cs="宋体" w:asciiTheme="minorEastAsia" w:hAnsiTheme="minorEastAsia" w:eastAsiaTheme="minorEastAsia"/>
                <w:color w:val="auto"/>
                <w:sz w:val="24"/>
                <w:lang w:val="en-US" w:eastAsia="zh-CN"/>
              </w:rPr>
              <w:t>或报告</w:t>
            </w:r>
            <w:r>
              <w:rPr>
                <w:rFonts w:hint="eastAsia" w:cs="宋体" w:asciiTheme="minorEastAsia" w:hAnsiTheme="minorEastAsia" w:eastAsiaTheme="minorEastAsia"/>
                <w:color w:val="auto"/>
                <w:sz w:val="24"/>
              </w:rPr>
              <w:t>，加盖公章。</w:t>
            </w:r>
          </w:p>
        </w:tc>
      </w:tr>
      <w:tr>
        <w:tblPrEx>
          <w:tblCellMar>
            <w:top w:w="0" w:type="dxa"/>
            <w:left w:w="108" w:type="dxa"/>
            <w:bottom w:w="0" w:type="dxa"/>
            <w:right w:w="108" w:type="dxa"/>
          </w:tblCellMar>
        </w:tblPrEx>
        <w:trPr>
          <w:trHeight w:val="361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3.5（6）</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承担本项目的主要人员要求证明材料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☑不适用</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p>
        </w:tc>
      </w:tr>
      <w:tr>
        <w:tblPrEx>
          <w:tblCellMar>
            <w:top w:w="0" w:type="dxa"/>
            <w:left w:w="108" w:type="dxa"/>
            <w:bottom w:w="0" w:type="dxa"/>
            <w:right w:w="108" w:type="dxa"/>
          </w:tblCellMar>
        </w:tblPrEx>
        <w:trPr>
          <w:trHeight w:val="108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3.5（7）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其他要求的证明材料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108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3.5（8）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供应商不存在第一章3.1款情形的证明材料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不需要提供证明材料</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仅提供承诺函一份。</w:t>
            </w:r>
          </w:p>
          <w:p>
            <w:pPr>
              <w:spacing w:line="288" w:lineRule="auto"/>
              <w:jc w:val="both"/>
              <w:rPr>
                <w:rFonts w:hint="eastAsia" w:cs="宋体" w:asciiTheme="minorEastAsia" w:hAnsiTheme="minorEastAsia" w:eastAsiaTheme="minorEastAsia"/>
                <w:color w:val="auto"/>
                <w:kern w:val="2"/>
                <w:sz w:val="24"/>
                <w:szCs w:val="24"/>
                <w:lang w:val="en-US" w:eastAsia="zh-CN" w:bidi="ar-SA"/>
              </w:rPr>
            </w:pPr>
            <w:r>
              <w:rPr>
                <w:rFonts w:hint="eastAsia" w:cs="仿宋" w:asciiTheme="minorEastAsia" w:hAnsiTheme="minorEastAsia" w:eastAsiaTheme="minorEastAsia"/>
                <w:color w:val="auto"/>
                <w:sz w:val="24"/>
                <w:lang w:eastAsia="zh-CN"/>
              </w:rPr>
              <w:sym w:font="Wingdings 2" w:char="00A3"/>
            </w:r>
            <w:r>
              <w:rPr>
                <w:rFonts w:hint="eastAsia" w:cs="宋体" w:asciiTheme="minorEastAsia" w:hAnsiTheme="minorEastAsia" w:eastAsiaTheme="minorEastAsia"/>
                <w:color w:val="auto"/>
                <w:sz w:val="24"/>
              </w:rPr>
              <w:t>需要提供证明材料</w:t>
            </w:r>
            <w:r>
              <w:rPr>
                <w:rFonts w:hint="eastAsia" w:cs="宋体" w:asciiTheme="minorEastAsia" w:hAnsiTheme="minorEastAsia" w:eastAsiaTheme="minorEastAsia"/>
                <w:color w:val="auto"/>
                <w:sz w:val="24"/>
                <w:lang w:eastAsia="zh-CN"/>
              </w:rPr>
              <w:t>。</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3.6.1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对关键条款进行响应的证据或证明材料要求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3.6.2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响应方案数量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☑供应商只能提出唯一响应方案</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□供应商可提出多个响应方案</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3.7.5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响应文件及电子版要求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是否要求提供电子版响应文件：</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☑不要求</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□要求，提供电子版响应文件的形式</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4.1.1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响应文件的密封</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响应文件</w:t>
            </w:r>
            <w:r>
              <w:rPr>
                <w:rFonts w:hint="eastAsia" w:cs="宋体" w:asciiTheme="minorEastAsia" w:hAnsiTheme="minorEastAsia" w:eastAsiaTheme="minorEastAsia"/>
                <w:color w:val="000000"/>
                <w:sz w:val="24"/>
                <w:u w:val="none"/>
                <w:lang w:val="en-US" w:eastAsia="zh-CN"/>
              </w:rPr>
              <w:t>壹正贰副，</w:t>
            </w:r>
            <w:r>
              <w:rPr>
                <w:rFonts w:hint="eastAsia" w:cs="宋体" w:asciiTheme="minorEastAsia" w:hAnsiTheme="minorEastAsia" w:eastAsiaTheme="minorEastAsia"/>
                <w:color w:val="000000"/>
                <w:sz w:val="24"/>
                <w:u w:val="none"/>
              </w:rPr>
              <w:t>须密封</w:t>
            </w:r>
            <w:r>
              <w:rPr>
                <w:rFonts w:hint="eastAsia" w:cs="宋体" w:asciiTheme="minorEastAsia" w:hAnsiTheme="minorEastAsia" w:eastAsiaTheme="minorEastAsia"/>
                <w:color w:val="000000"/>
                <w:sz w:val="24"/>
                <w:u w:val="none"/>
                <w:lang w:val="en-US" w:eastAsia="zh-CN"/>
              </w:rPr>
              <w:t>胶</w:t>
            </w:r>
            <w:r>
              <w:rPr>
                <w:rFonts w:hint="eastAsia" w:cs="宋体" w:asciiTheme="minorEastAsia" w:hAnsiTheme="minorEastAsia" w:eastAsiaTheme="minorEastAsia"/>
                <w:color w:val="000000"/>
                <w:sz w:val="24"/>
                <w:u w:val="none"/>
              </w:rPr>
              <w:t>装，并在封套的封口处加盖供应商单位章。</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4.1.2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封套上应载明的信息</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□不适用</w:t>
            </w:r>
          </w:p>
          <w:p>
            <w:pPr>
              <w:spacing w:line="288" w:lineRule="auto"/>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☑适用，供应商名称：</w:t>
            </w:r>
            <w:r>
              <w:rPr>
                <w:rFonts w:hint="eastAsia" w:ascii="宋体" w:hAnsi="宋体" w:cs="宋体"/>
                <w:sz w:val="24"/>
                <w:u w:val="none"/>
              </w:rPr>
              <w:t>岳阳城陵矶新港有限公司2022年度</w:t>
            </w:r>
            <w:r>
              <w:rPr>
                <w:rFonts w:hint="eastAsia" w:ascii="宋体" w:hAnsi="宋体" w:cs="宋体"/>
                <w:sz w:val="24"/>
                <w:u w:val="none"/>
                <w:lang w:eastAsia="zh-CN"/>
              </w:rPr>
              <w:t>卫生保洁服务</w:t>
            </w:r>
            <w:r>
              <w:rPr>
                <w:rFonts w:hint="eastAsia" w:ascii="宋体" w:hAnsi="宋体" w:cs="宋体"/>
                <w:sz w:val="24"/>
                <w:u w:val="none"/>
                <w:lang w:val="zh-CN"/>
              </w:rPr>
              <w:t>项目询价采购</w:t>
            </w:r>
            <w:r>
              <w:rPr>
                <w:rFonts w:hint="eastAsia" w:cs="宋体" w:asciiTheme="minorEastAsia" w:hAnsiTheme="minorEastAsia" w:eastAsiaTheme="minorEastAsia"/>
                <w:color w:val="000000"/>
                <w:sz w:val="24"/>
                <w:u w:val="none"/>
              </w:rPr>
              <w:t>响应文件</w:t>
            </w:r>
          </w:p>
        </w:tc>
      </w:tr>
      <w:tr>
        <w:tblPrEx>
          <w:tblCellMar>
            <w:top w:w="0" w:type="dxa"/>
            <w:left w:w="108" w:type="dxa"/>
            <w:bottom w:w="0" w:type="dxa"/>
            <w:right w:w="108" w:type="dxa"/>
          </w:tblCellMar>
        </w:tblPrEx>
        <w:trPr>
          <w:trHeight w:val="182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4.2.1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递交响应文件截止时间和地点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截止时间：2022年8月</w:t>
            </w:r>
            <w:r>
              <w:rPr>
                <w:rFonts w:hint="eastAsia" w:cs="宋体" w:asciiTheme="minorEastAsia" w:hAnsiTheme="minorEastAsia" w:eastAsiaTheme="minorEastAsia"/>
                <w:color w:val="000000"/>
                <w:sz w:val="24"/>
                <w:u w:val="none"/>
                <w:lang w:val="en-US" w:eastAsia="zh-CN"/>
              </w:rPr>
              <w:t>15</w:t>
            </w:r>
            <w:r>
              <w:rPr>
                <w:rFonts w:hint="eastAsia" w:cs="宋体" w:asciiTheme="minorEastAsia" w:hAnsiTheme="minorEastAsia" w:eastAsiaTheme="minorEastAsia"/>
                <w:color w:val="000000"/>
                <w:sz w:val="24"/>
                <w:u w:val="none"/>
              </w:rPr>
              <w:t>日1</w:t>
            </w:r>
            <w:r>
              <w:rPr>
                <w:rFonts w:hint="eastAsia" w:cs="宋体" w:asciiTheme="minorEastAsia" w:hAnsiTheme="minorEastAsia" w:eastAsiaTheme="minorEastAsia"/>
                <w:color w:val="000000"/>
                <w:sz w:val="24"/>
                <w:u w:val="none"/>
                <w:lang w:val="en-US" w:eastAsia="zh-CN"/>
              </w:rPr>
              <w:t>5</w:t>
            </w:r>
            <w:r>
              <w:rPr>
                <w:rFonts w:hint="eastAsia" w:cs="宋体" w:asciiTheme="minorEastAsia" w:hAnsiTheme="minorEastAsia" w:eastAsiaTheme="minorEastAsia"/>
                <w:color w:val="000000"/>
                <w:sz w:val="24"/>
                <w:u w:val="none"/>
              </w:rPr>
              <w:t>:00时</w:t>
            </w:r>
          </w:p>
          <w:p>
            <w:pPr>
              <w:spacing w:line="440" w:lineRule="exact"/>
              <w:rPr>
                <w:sz w:val="24"/>
                <w:u w:val="none"/>
              </w:rPr>
            </w:pPr>
            <w:r>
              <w:rPr>
                <w:rFonts w:hint="eastAsia" w:cs="宋体" w:asciiTheme="minorEastAsia" w:hAnsiTheme="minorEastAsia" w:eastAsiaTheme="minorEastAsia"/>
                <w:color w:val="000000"/>
                <w:sz w:val="24"/>
                <w:u w:val="none"/>
              </w:rPr>
              <w:t>递交响应文件的地点</w:t>
            </w:r>
            <w:r>
              <w:rPr>
                <w:rFonts w:hint="eastAsia" w:cs="宋体" w:asciiTheme="minorEastAsia" w:hAnsiTheme="minorEastAsia" w:eastAsiaTheme="minorEastAsia"/>
                <w:sz w:val="24"/>
                <w:u w:val="none"/>
              </w:rPr>
              <w:t>：</w:t>
            </w:r>
            <w:r>
              <w:rPr>
                <w:rFonts w:hint="eastAsia"/>
                <w:sz w:val="24"/>
                <w:u w:val="none"/>
              </w:rPr>
              <w:t>岳阳城陵矶新港有限公司综合管理部（岳阳新港公司办公楼403室）</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4.2.2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是否退还响应文件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☑否</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□是，退还时间：</w:t>
            </w:r>
          </w:p>
        </w:tc>
      </w:tr>
      <w:tr>
        <w:tblPrEx>
          <w:tblCellMar>
            <w:top w:w="0" w:type="dxa"/>
            <w:left w:w="108" w:type="dxa"/>
            <w:bottom w:w="0" w:type="dxa"/>
            <w:right w:w="108" w:type="dxa"/>
          </w:tblCellMar>
        </w:tblPrEx>
        <w:trPr>
          <w:trHeight w:val="121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4.3.3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供应商撤回响应文件情况下退还响应保证金的时间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是否公开开启响应文件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□否</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☑是</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开启地点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asciiTheme="minorHAnsi" w:hAnsiTheme="minorHAnsi" w:eastAsiaTheme="minorEastAsia" w:cstheme="minorBidi"/>
                <w:sz w:val="24"/>
                <w:u w:val="none"/>
              </w:rPr>
              <w:t>湖南省港务集团有限公司六楼602开标室</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5.2（4）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开启程序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 xml:space="preserve">开启顺序：   随机 </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其他应公布的信息：无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6.1.1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谈判小组的组建</w:t>
            </w:r>
            <w:r>
              <w:rPr>
                <w:rStyle w:val="21"/>
                <w:rFonts w:cs="宋体" w:asciiTheme="minorEastAsia" w:hAnsiTheme="minorEastAsia" w:eastAsiaTheme="minorEastAsia"/>
                <w:color w:val="000000"/>
                <w:sz w:val="24"/>
                <w:u w:val="none"/>
              </w:rPr>
              <w:footnoteReference w:id="1"/>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谈判小组构成：3人。</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谈判专家确定方式：在湖南省湘水集团有限公司综合评标专家库中随机抽取</w:t>
            </w:r>
            <w:r>
              <w:rPr>
                <w:rFonts w:hint="eastAsia" w:cs="宋体" w:asciiTheme="minorEastAsia" w:hAnsiTheme="minorEastAsia" w:eastAsiaTheme="minorEastAsia"/>
                <w:color w:val="000000"/>
                <w:sz w:val="24"/>
                <w:u w:val="none"/>
                <w:lang w:val="en-US" w:eastAsia="zh-CN"/>
              </w:rPr>
              <w:t>2人，业主代表1人</w:t>
            </w:r>
            <w:r>
              <w:rPr>
                <w:rFonts w:hint="eastAsia" w:cs="宋体" w:asciiTheme="minorEastAsia" w:hAnsiTheme="minorEastAsia" w:eastAsiaTheme="minorEastAsia"/>
                <w:color w:val="000000"/>
                <w:sz w:val="24"/>
                <w:u w:val="none"/>
              </w:rPr>
              <w:t>。</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6.2.2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评审小组推荐成交候选供应商的数量</w:t>
            </w:r>
            <w:r>
              <w:rPr>
                <w:rStyle w:val="21"/>
                <w:rFonts w:cs="宋体" w:asciiTheme="minorEastAsia" w:hAnsiTheme="minorEastAsia" w:eastAsiaTheme="minorEastAsia"/>
                <w:color w:val="000000"/>
                <w:sz w:val="24"/>
                <w:u w:val="none"/>
              </w:rPr>
              <w:footnoteReference w:id="2"/>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b/>
                <w:bCs/>
                <w:color w:val="000000"/>
                <w:sz w:val="24"/>
                <w:u w:val="none"/>
                <w:lang w:val="en-US" w:eastAsia="zh-CN"/>
              </w:rPr>
              <w:t>2-3</w:t>
            </w:r>
            <w:r>
              <w:rPr>
                <w:rFonts w:hint="eastAsia" w:cs="宋体" w:asciiTheme="minorEastAsia" w:hAnsiTheme="minorEastAsia" w:eastAsiaTheme="minorEastAsia"/>
                <w:color w:val="000000"/>
                <w:sz w:val="24"/>
                <w:u w:val="none"/>
              </w:rPr>
              <w:t>个。</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6.7.2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推荐成交候选供应商的排序及数量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lang w:val="en-US" w:eastAsia="zh-CN"/>
              </w:rPr>
              <w:t>2</w:t>
            </w:r>
            <w:r>
              <w:rPr>
                <w:rFonts w:hint="eastAsia" w:cs="宋体" w:asciiTheme="minorEastAsia" w:hAnsiTheme="minorEastAsia" w:eastAsiaTheme="minorEastAsia"/>
                <w:color w:val="auto"/>
                <w:sz w:val="24"/>
                <w:u w:val="single"/>
              </w:rPr>
              <w:t xml:space="preserve">-3 家 </w:t>
            </w:r>
            <w:r>
              <w:rPr>
                <w:rFonts w:hint="eastAsia" w:cs="宋体" w:asciiTheme="minorEastAsia" w:hAnsiTheme="minorEastAsia" w:eastAsiaTheme="minorEastAsia"/>
                <w:color w:val="auto"/>
                <w:sz w:val="24"/>
                <w:u w:val="single"/>
                <w:lang w:eastAsia="zh-CN"/>
              </w:rPr>
              <w:t>，</w:t>
            </w:r>
            <w:r>
              <w:rPr>
                <w:rFonts w:hint="eastAsia" w:cs="宋体" w:asciiTheme="minorEastAsia" w:hAnsiTheme="minorEastAsia" w:eastAsiaTheme="minorEastAsia"/>
                <w:color w:val="auto"/>
                <w:sz w:val="24"/>
                <w:u w:val="single"/>
                <w:lang w:val="en-US" w:eastAsia="zh-CN"/>
              </w:rPr>
              <w:t>当排名相同时，抽签决定。</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成交候选供应商公示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rPr>
              <w:t>公示媒介：</w:t>
            </w:r>
            <w:r>
              <w:rPr>
                <w:rFonts w:hint="eastAsia" w:ascii="宋体" w:hAnsi="宋体" w:cs="宋体"/>
                <w:color w:val="auto"/>
                <w:sz w:val="24"/>
                <w:u w:val="none"/>
              </w:rPr>
              <w:t>中国招标投标公共服务平台（http：//www.cebpubservice.com）、湖南省湘水集团有限公司网站（http：//www.hnsxsjt.com）、                                   湖南省港务集团有限公司</w:t>
            </w:r>
            <w:r>
              <w:rPr>
                <w:rFonts w:hint="eastAsia" w:ascii="宋体" w:hAnsi="宋体" w:cs="宋体"/>
                <w:color w:val="auto"/>
                <w:sz w:val="24"/>
                <w:highlight w:val="none"/>
                <w:u w:val="none"/>
              </w:rPr>
              <w:t>（http://www.hnsgwjt.com）上发布。</w:t>
            </w:r>
            <w:r>
              <w:rPr>
                <w:rFonts w:hint="eastAsia" w:cs="宋体" w:asciiTheme="minorEastAsia" w:hAnsiTheme="minorEastAsia" w:eastAsiaTheme="minorEastAsia"/>
                <w:color w:val="auto"/>
                <w:sz w:val="24"/>
                <w:highlight w:val="none"/>
                <w:u w:val="none"/>
              </w:rPr>
              <w:t xml:space="preserve">   </w:t>
            </w:r>
            <w:r>
              <w:rPr>
                <w:rFonts w:hint="eastAsia" w:cs="宋体" w:asciiTheme="minorEastAsia" w:hAnsiTheme="minorEastAsia" w:eastAsiaTheme="minorEastAsia"/>
                <w:color w:val="auto"/>
                <w:sz w:val="24"/>
                <w:u w:val="none"/>
              </w:rPr>
              <w:t xml:space="preserve">              </w:t>
            </w:r>
          </w:p>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u w:val="none"/>
              </w:rPr>
              <w:t xml:space="preserve">公示期限： 3个工作日                 </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7.7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履约保证金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不要求提交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□要求递交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履约保证金金额：</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履约保证金形式：</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履约保证金有效期限：</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递交时间：</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183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u w:val="none"/>
              </w:rPr>
              <w:t>8.1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u w:val="none"/>
              </w:rPr>
            </w:pPr>
            <w:r>
              <w:rPr>
                <w:rFonts w:hint="eastAsia" w:ascii="宋体" w:hAnsi="宋体" w:cs="宋体"/>
                <w:color w:val="000000"/>
                <w:sz w:val="24"/>
                <w:u w:val="none"/>
              </w:rPr>
              <w:t>异议渠道</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u w:val="none"/>
              </w:rPr>
            </w:pPr>
            <w:r>
              <w:rPr>
                <w:rFonts w:hint="eastAsia" w:ascii="宋体" w:hAnsi="宋体" w:cs="宋体"/>
                <w:color w:val="000000"/>
                <w:sz w:val="24"/>
                <w:u w:val="none"/>
              </w:rPr>
              <w:t>联系人：陈兵</w:t>
            </w:r>
          </w:p>
          <w:p>
            <w:pPr>
              <w:spacing w:line="288" w:lineRule="auto"/>
              <w:jc w:val="both"/>
              <w:rPr>
                <w:rFonts w:ascii="宋体" w:hAnsi="宋体" w:cs="宋体"/>
                <w:color w:val="000000"/>
                <w:sz w:val="24"/>
                <w:u w:val="none"/>
              </w:rPr>
            </w:pPr>
            <w:r>
              <w:rPr>
                <w:rFonts w:hint="eastAsia" w:ascii="宋体" w:hAnsi="宋体" w:cs="宋体"/>
                <w:color w:val="000000"/>
                <w:sz w:val="24"/>
                <w:u w:val="none"/>
              </w:rPr>
              <w:t>联系电话：</w:t>
            </w:r>
            <w:r>
              <w:rPr>
                <w:rFonts w:hint="eastAsia" w:ascii="宋体" w:hAnsi="宋体" w:cs="宋体"/>
                <w:bCs/>
                <w:kern w:val="0"/>
                <w:sz w:val="24"/>
                <w:u w:val="none"/>
              </w:rPr>
              <w:t>13873049118</w:t>
            </w:r>
          </w:p>
          <w:p>
            <w:pPr>
              <w:spacing w:line="288" w:lineRule="auto"/>
              <w:jc w:val="both"/>
              <w:rPr>
                <w:rFonts w:ascii="宋体" w:hAnsi="宋体" w:cs="宋体"/>
                <w:color w:val="000000"/>
                <w:sz w:val="24"/>
                <w:u w:val="none"/>
              </w:rPr>
            </w:pPr>
            <w:r>
              <w:rPr>
                <w:rFonts w:hint="eastAsia" w:ascii="宋体" w:hAnsi="宋体" w:cs="宋体"/>
                <w:color w:val="000000"/>
                <w:sz w:val="24"/>
                <w:u w:val="none"/>
              </w:rPr>
              <w:t>通信地址：</w:t>
            </w:r>
            <w:r>
              <w:rPr>
                <w:rFonts w:hint="eastAsia" w:ascii="宋体" w:hAnsi="宋体" w:cs="宋体"/>
                <w:bCs/>
                <w:kern w:val="0"/>
                <w:sz w:val="24"/>
                <w:u w:val="none"/>
              </w:rPr>
              <w:t>岳阳市城陵矶新港区新港办公楼四楼综合管理部</w:t>
            </w:r>
          </w:p>
        </w:tc>
      </w:tr>
    </w:tbl>
    <w:p>
      <w:pPr>
        <w:rPr>
          <w:rFonts w:ascii="华文中宋" w:hAnsi="华文中宋" w:eastAsia="华文中宋" w:cs="仿宋"/>
          <w:b/>
          <w:bCs/>
          <w:sz w:val="30"/>
          <w:szCs w:val="30"/>
          <w:u w:val="none"/>
        </w:rPr>
      </w:pPr>
      <w:r>
        <w:rPr>
          <w:rFonts w:hint="eastAsia" w:ascii="华文中宋" w:hAnsi="华文中宋" w:eastAsia="华文中宋" w:cs="仿宋"/>
          <w:b/>
          <w:bCs/>
          <w:sz w:val="30"/>
          <w:szCs w:val="30"/>
          <w:u w:val="none"/>
        </w:rPr>
        <w:br w:type="page"/>
      </w:r>
    </w:p>
    <w:p>
      <w:pPr>
        <w:spacing w:line="240" w:lineRule="auto"/>
        <w:jc w:val="center"/>
        <w:outlineLvl w:val="0"/>
        <w:rPr>
          <w:rFonts w:ascii="仿宋" w:hAnsi="仿宋" w:eastAsia="仿宋" w:cs="仿宋"/>
          <w:sz w:val="30"/>
          <w:szCs w:val="30"/>
          <w:u w:val="none"/>
        </w:rPr>
      </w:pPr>
      <w:bookmarkStart w:id="11" w:name="_Toc20255"/>
      <w:bookmarkStart w:id="12" w:name="_Toc25443"/>
      <w:r>
        <w:rPr>
          <w:rFonts w:hint="eastAsia" w:ascii="华文中宋" w:hAnsi="华文中宋" w:eastAsia="华文中宋" w:cs="仿宋"/>
          <w:b/>
          <w:bCs/>
          <w:sz w:val="30"/>
          <w:szCs w:val="30"/>
          <w:u w:val="none"/>
        </w:rPr>
        <w:t>第二章 供应商须知正文</w:t>
      </w:r>
      <w:bookmarkEnd w:id="11"/>
      <w:bookmarkEnd w:id="12"/>
    </w:p>
    <w:p>
      <w:pPr>
        <w:adjustRightInd w:val="0"/>
        <w:snapToGrid w:val="0"/>
        <w:spacing w:beforeLines="50" w:afterLines="50" w:line="312" w:lineRule="auto"/>
        <w:jc w:val="both"/>
        <w:rPr>
          <w:rFonts w:ascii="宋体" w:hAnsi="宋体" w:cs="仿宋"/>
          <w:b/>
          <w:bCs/>
          <w:sz w:val="24"/>
          <w:u w:val="none"/>
        </w:rPr>
      </w:pPr>
      <w:r>
        <w:rPr>
          <w:rFonts w:hint="eastAsia" w:ascii="宋体" w:hAnsi="宋体" w:cs="仿宋"/>
          <w:b/>
          <w:bCs/>
          <w:sz w:val="24"/>
          <w:u w:val="none"/>
        </w:rPr>
        <w:t>1 总则</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1.1采购方法和评审办法</w:t>
      </w:r>
    </w:p>
    <w:p>
      <w:pPr>
        <w:pStyle w:val="24"/>
        <w:spacing w:before="156" w:after="156" w:line="312" w:lineRule="auto"/>
        <w:ind w:left="426" w:firstLine="48" w:firstLineChars="20"/>
        <w:jc w:val="both"/>
        <w:rPr>
          <w:rFonts w:ascii="宋体" w:hAnsi="宋体" w:eastAsia="宋体" w:cs="仿宋"/>
          <w:sz w:val="24"/>
          <w:szCs w:val="24"/>
          <w:u w:val="none"/>
        </w:rPr>
      </w:pPr>
      <w:r>
        <w:rPr>
          <w:rFonts w:hint="eastAsia" w:ascii="宋体" w:hAnsi="宋体" w:eastAsia="宋体" w:cs="仿宋"/>
          <w:sz w:val="24"/>
          <w:szCs w:val="24"/>
          <w:u w:val="none"/>
        </w:rPr>
        <w:t>本项目采用供应商须知前附表规定的采购方式和评审办法。</w:t>
      </w:r>
    </w:p>
    <w:p>
      <w:pPr>
        <w:pStyle w:val="25"/>
        <w:spacing w:line="312" w:lineRule="auto"/>
        <w:ind w:firstLine="0" w:firstLineChars="0"/>
        <w:rPr>
          <w:rFonts w:hAnsi="宋体" w:eastAsia="宋体" w:cs="仿宋"/>
          <w:sz w:val="24"/>
          <w:szCs w:val="24"/>
          <w:u w:val="none"/>
        </w:rPr>
      </w:pPr>
      <w:r>
        <w:rPr>
          <w:rFonts w:hint="eastAsia" w:hAnsi="宋体" w:eastAsia="宋体" w:cs="仿宋"/>
          <w:sz w:val="24"/>
          <w:szCs w:val="24"/>
          <w:u w:val="none"/>
        </w:rPr>
        <w:t>1.1.1采购方法</w:t>
      </w:r>
    </w:p>
    <w:p>
      <w:pPr>
        <w:pStyle w:val="25"/>
        <w:spacing w:line="312" w:lineRule="auto"/>
        <w:ind w:firstLine="453" w:firstLineChars="189"/>
        <w:rPr>
          <w:rFonts w:hAnsi="宋体" w:eastAsia="宋体" w:cs="仿宋"/>
          <w:sz w:val="24"/>
          <w:szCs w:val="24"/>
          <w:u w:val="none"/>
        </w:rPr>
      </w:pPr>
      <w:r>
        <w:rPr>
          <w:rFonts w:hint="eastAsia" w:hAnsi="宋体" w:eastAsia="宋体" w:cs="仿宋"/>
          <w:sz w:val="24"/>
          <w:szCs w:val="24"/>
          <w:u w:val="none"/>
          <w:lang w:eastAsia="zh-CN"/>
        </w:rPr>
        <w:t>询价采购</w:t>
      </w:r>
      <w:r>
        <w:rPr>
          <w:rFonts w:hint="eastAsia" w:hAnsi="宋体" w:eastAsia="宋体" w:cs="仿宋"/>
          <w:sz w:val="24"/>
          <w:szCs w:val="24"/>
          <w:u w:val="none"/>
        </w:rPr>
        <w:t>采购，是指按照规定程序通过与符合资格要求的供应商谈判确定成交供应商的采购方式。</w:t>
      </w:r>
    </w:p>
    <w:p>
      <w:pPr>
        <w:pStyle w:val="25"/>
        <w:spacing w:line="312" w:lineRule="auto"/>
        <w:ind w:firstLine="0" w:firstLineChars="0"/>
        <w:rPr>
          <w:rFonts w:hAnsi="宋体" w:eastAsia="宋体" w:cs="仿宋"/>
          <w:sz w:val="24"/>
          <w:szCs w:val="24"/>
          <w:u w:val="none"/>
        </w:rPr>
      </w:pPr>
      <w:r>
        <w:rPr>
          <w:rFonts w:hint="eastAsia" w:hAnsi="宋体" w:eastAsia="宋体" w:cs="仿宋"/>
          <w:sz w:val="24"/>
          <w:szCs w:val="24"/>
          <w:u w:val="none"/>
        </w:rPr>
        <w:t>1.1.2评审办法</w:t>
      </w:r>
    </w:p>
    <w:p>
      <w:pPr>
        <w:pStyle w:val="25"/>
        <w:spacing w:line="312" w:lineRule="auto"/>
        <w:ind w:firstLine="453" w:firstLineChars="189"/>
        <w:rPr>
          <w:rFonts w:hAnsi="宋体" w:eastAsia="宋体" w:cs="仿宋"/>
          <w:sz w:val="24"/>
          <w:szCs w:val="24"/>
          <w:u w:val="none"/>
        </w:rPr>
      </w:pPr>
      <w:r>
        <w:rPr>
          <w:rFonts w:hint="eastAsia" w:hAnsi="宋体" w:eastAsia="宋体" w:cs="仿宋"/>
          <w:sz w:val="24"/>
          <w:szCs w:val="24"/>
          <w:u w:val="none"/>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1.2采购项目概况和供应商资格要求</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采购项目概况和供应商资格要求见第一章“</w:t>
      </w:r>
      <w:r>
        <w:rPr>
          <w:rFonts w:hint="eastAsia" w:ascii="宋体" w:hAnsi="宋体" w:cs="仿宋"/>
          <w:sz w:val="24"/>
          <w:u w:val="none"/>
          <w:lang w:val="en-US" w:eastAsia="zh-CN"/>
        </w:rPr>
        <w:t>询价</w:t>
      </w:r>
      <w:r>
        <w:rPr>
          <w:rFonts w:hint="eastAsia" w:ascii="宋体" w:hAnsi="宋体" w:cs="仿宋"/>
          <w:sz w:val="24"/>
          <w:u w:val="none"/>
        </w:rPr>
        <w:t>公告”。</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1.3 费用承担</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供应商准备和参加采购活动所发生的各种费用由供应商自行承担。</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1.4保密</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1.5语言文字</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1.6计量单位</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所有计量均采用中华人民共和国法定计量单位。</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1.7踏勘现场(不组织)</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1.8采购预备会(不组织)</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1.9分包(不允许)</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1.10响应和偏差</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u w:val="none"/>
        </w:rPr>
      </w:pPr>
      <w:r>
        <w:rPr>
          <w:rFonts w:hint="eastAsia" w:ascii="宋体" w:hAnsi="宋体" w:cs="仿宋"/>
          <w:sz w:val="24"/>
          <w:u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2采购文件</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2.1采购文件的组成</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本采购文件包括:</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(1)采购公告:</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(2)供应商须知;</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(3)评审办法;</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(4)合同条款及格式;</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(5)采购需求;</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(6)响应文件格式;</w:t>
      </w:r>
    </w:p>
    <w:p>
      <w:pPr>
        <w:adjustRightInd w:val="0"/>
        <w:snapToGrid w:val="0"/>
        <w:spacing w:line="312" w:lineRule="auto"/>
        <w:ind w:left="105" w:leftChars="50" w:firstLine="453" w:firstLineChars="189"/>
        <w:jc w:val="both"/>
        <w:rPr>
          <w:rFonts w:ascii="宋体" w:hAnsi="宋体" w:cs="仿宋"/>
          <w:sz w:val="24"/>
          <w:u w:val="none"/>
        </w:rPr>
      </w:pPr>
      <w:r>
        <w:rPr>
          <w:rFonts w:hint="eastAsia" w:ascii="宋体" w:hAnsi="宋体" w:cs="仿宋"/>
          <w:sz w:val="24"/>
          <w:u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2.2采购文件的澄清和修改</w:t>
      </w:r>
    </w:p>
    <w:p>
      <w:pPr>
        <w:adjustRightInd w:val="0"/>
        <w:snapToGrid w:val="0"/>
        <w:spacing w:line="312" w:lineRule="auto"/>
        <w:ind w:left="105" w:leftChars="50"/>
        <w:jc w:val="both"/>
        <w:rPr>
          <w:rFonts w:ascii="宋体" w:hAnsi="宋体" w:cs="仿宋"/>
          <w:sz w:val="24"/>
          <w:u w:val="none"/>
        </w:rPr>
      </w:pPr>
      <w:r>
        <w:rPr>
          <w:rFonts w:hint="eastAsia" w:ascii="宋体" w:hAnsi="宋体" w:cs="仿宋"/>
          <w:sz w:val="24"/>
          <w:u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u w:val="none"/>
        </w:rPr>
      </w:pPr>
      <w:r>
        <w:rPr>
          <w:rFonts w:hint="eastAsia" w:ascii="宋体" w:hAnsi="宋体" w:cs="仿宋"/>
          <w:sz w:val="24"/>
          <w:u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u w:val="none"/>
        </w:rPr>
      </w:pPr>
      <w:r>
        <w:rPr>
          <w:rFonts w:hint="eastAsia" w:ascii="宋体" w:hAnsi="宋体" w:cs="仿宋"/>
          <w:sz w:val="24"/>
          <w:u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u w:val="none"/>
        </w:rPr>
      </w:pPr>
      <w:r>
        <w:rPr>
          <w:rFonts w:hint="eastAsia" w:ascii="宋体" w:hAnsi="宋体" w:cs="仿宋"/>
          <w:sz w:val="24"/>
          <w:u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3响应文件</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3.1响应文件的组成</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3.1.1响应文件应包括下列内容:</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(1)响应函;</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(2)授权委托书;</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(3)商务和技术偏差表;</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w:t>
      </w:r>
      <w:r>
        <w:rPr>
          <w:rFonts w:hint="eastAsia" w:ascii="宋体" w:hAnsi="宋体" w:cs="仿宋"/>
          <w:sz w:val="24"/>
          <w:u w:val="none"/>
          <w:lang w:val="en-US" w:eastAsia="zh-CN"/>
        </w:rPr>
        <w:t>4</w:t>
      </w:r>
      <w:r>
        <w:rPr>
          <w:rFonts w:hint="eastAsia" w:ascii="宋体" w:hAnsi="宋体" w:cs="仿宋"/>
          <w:sz w:val="24"/>
          <w:u w:val="none"/>
        </w:rPr>
        <w:t>)资格审查资料;</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w:t>
      </w:r>
      <w:r>
        <w:rPr>
          <w:rFonts w:hint="eastAsia" w:ascii="宋体" w:hAnsi="宋体" w:cs="仿宋"/>
          <w:sz w:val="24"/>
          <w:u w:val="none"/>
          <w:lang w:val="en-US" w:eastAsia="zh-CN"/>
        </w:rPr>
        <w:t>5</w:t>
      </w:r>
      <w:r>
        <w:rPr>
          <w:rFonts w:hint="eastAsia" w:ascii="宋体" w:hAnsi="宋体" w:cs="仿宋"/>
          <w:sz w:val="24"/>
          <w:u w:val="none"/>
        </w:rPr>
        <w:t>)响应方案;</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w:t>
      </w:r>
      <w:r>
        <w:rPr>
          <w:rFonts w:hint="eastAsia" w:ascii="宋体" w:hAnsi="宋体" w:cs="仿宋"/>
          <w:sz w:val="24"/>
          <w:u w:val="none"/>
          <w:lang w:val="en-US" w:eastAsia="zh-CN"/>
        </w:rPr>
        <w:t>6</w:t>
      </w:r>
      <w:r>
        <w:rPr>
          <w:rFonts w:hint="eastAsia" w:ascii="宋体" w:hAnsi="宋体" w:cs="仿宋"/>
          <w:sz w:val="24"/>
          <w:u w:val="none"/>
        </w:rPr>
        <w:t>)供应商须知前附表规定的其他资料。</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3.1.2供应商的法定代表人(单位负责人)亲自签署响应文件、亲自参加采购的，响应文件不包括第3.1.1(2)目所指的授权委托书。第一章“邀请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3.2报价</w:t>
      </w:r>
    </w:p>
    <w:p>
      <w:pPr>
        <w:adjustRightInd w:val="0"/>
        <w:snapToGrid w:val="0"/>
        <w:spacing w:line="312" w:lineRule="auto"/>
        <w:jc w:val="both"/>
        <w:rPr>
          <w:rFonts w:ascii="宋体" w:hAnsi="宋体" w:cs="仿宋"/>
          <w:color w:val="FF0000"/>
          <w:sz w:val="24"/>
          <w:u w:val="none"/>
        </w:rPr>
      </w:pPr>
      <w:r>
        <w:rPr>
          <w:rFonts w:hint="eastAsia" w:ascii="宋体" w:hAnsi="宋体" w:cs="仿宋"/>
          <w:sz w:val="24"/>
          <w:u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3.2.4报价的其他要求见供应商须知前附表。</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3.3响应文件有效期</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3.4响应保证金（不递交）</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3.4.3有下列情形之一的，响应保证金将不予退还:</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u w:val="none"/>
        </w:rPr>
      </w:pPr>
      <w:r>
        <w:rPr>
          <w:rFonts w:hint="eastAsia" w:ascii="宋体" w:hAnsi="宋体" w:cs="仿宋"/>
          <w:b/>
          <w:bCs/>
          <w:sz w:val="24"/>
          <w:u w:val="none"/>
        </w:rPr>
        <w:t>3.5资格审查资料</w:t>
      </w:r>
    </w:p>
    <w:p>
      <w:pPr>
        <w:adjustRightInd w:val="0"/>
        <w:snapToGrid w:val="0"/>
        <w:spacing w:line="312" w:lineRule="auto"/>
        <w:ind w:left="149" w:leftChars="71" w:firstLine="360" w:firstLineChars="150"/>
        <w:jc w:val="both"/>
        <w:rPr>
          <w:rFonts w:ascii="宋体" w:hAnsi="宋体" w:cs="仿宋"/>
          <w:sz w:val="24"/>
          <w:u w:val="none"/>
        </w:rPr>
      </w:pPr>
      <w:r>
        <w:rPr>
          <w:rFonts w:hint="eastAsia" w:ascii="宋体" w:hAnsi="宋体" w:cs="仿宋"/>
          <w:sz w:val="24"/>
          <w:u w:val="none"/>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3.6响应方案</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3.7响应文件的编制</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3.7.2响应文件应用不褪色的的材料书写或打印。</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u w:val="none"/>
        </w:rPr>
      </w:pPr>
      <w:r>
        <w:rPr>
          <w:rFonts w:ascii="宋体" w:hAnsi="宋体" w:cs="仿宋"/>
          <w:sz w:val="24"/>
          <w:u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u w:val="none"/>
        </w:rPr>
      </w:pPr>
      <w:r>
        <w:rPr>
          <w:rFonts w:ascii="宋体" w:hAnsi="宋体" w:cs="仿宋"/>
          <w:sz w:val="24"/>
          <w:u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4响应文件的递交</w:t>
      </w:r>
    </w:p>
    <w:p>
      <w:pPr>
        <w:adjustRightInd w:val="0"/>
        <w:snapToGrid w:val="0"/>
        <w:spacing w:line="312" w:lineRule="auto"/>
        <w:jc w:val="both"/>
        <w:rPr>
          <w:rFonts w:ascii="宋体" w:hAnsi="宋体" w:cs="仿宋"/>
          <w:b/>
          <w:bCs/>
          <w:sz w:val="24"/>
          <w:u w:val="none"/>
        </w:rPr>
      </w:pPr>
      <w:r>
        <w:rPr>
          <w:rFonts w:ascii="宋体" w:hAnsi="宋体" w:cs="仿宋"/>
          <w:b/>
          <w:bCs/>
          <w:sz w:val="24"/>
          <w:u w:val="none"/>
        </w:rPr>
        <w:t>4.1响应文件的包装与标记</w:t>
      </w:r>
    </w:p>
    <w:p>
      <w:pPr>
        <w:adjustRightInd w:val="0"/>
        <w:snapToGrid w:val="0"/>
        <w:spacing w:line="312" w:lineRule="auto"/>
        <w:jc w:val="both"/>
        <w:rPr>
          <w:rFonts w:ascii="宋体" w:hAnsi="宋体" w:cs="仿宋"/>
          <w:sz w:val="24"/>
          <w:u w:val="none"/>
        </w:rPr>
      </w:pPr>
      <w:r>
        <w:rPr>
          <w:rFonts w:ascii="宋体" w:hAnsi="宋体" w:cs="仿宋"/>
          <w:sz w:val="24"/>
          <w:u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u w:val="none"/>
        </w:rPr>
      </w:pPr>
      <w:r>
        <w:rPr>
          <w:rFonts w:ascii="宋体" w:hAnsi="宋体" w:cs="仿宋"/>
          <w:sz w:val="24"/>
          <w:u w:val="none"/>
        </w:rPr>
        <w:t>4.1.2响应文件封套上应载明的内容见供应商须知前附表。</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4.2响应文件的递交</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4.2.2除供应商须知前附表另有规定外，供应商所提交的响应文件不于退还。</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4.3响应文件的修改与撤回</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4.3.2</w:t>
      </w:r>
      <w:r>
        <w:rPr>
          <w:rFonts w:ascii="宋体" w:hAnsi="宋体" w:cs="仿宋"/>
          <w:sz w:val="24"/>
          <w:u w:val="none"/>
        </w:rPr>
        <w:t>响应文件的修改文件或供应商</w:t>
      </w:r>
      <w:r>
        <w:rPr>
          <w:rFonts w:hint="eastAsia" w:ascii="宋体" w:hAnsi="宋体" w:cs="仿宋"/>
          <w:sz w:val="24"/>
          <w:u w:val="none"/>
        </w:rPr>
        <w:t>撤</w:t>
      </w:r>
      <w:r>
        <w:rPr>
          <w:rFonts w:ascii="宋体" w:hAnsi="宋体" w:cs="仿宋"/>
          <w:sz w:val="24"/>
          <w:u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5开启响应文件</w:t>
      </w:r>
    </w:p>
    <w:p>
      <w:pPr>
        <w:adjustRightInd w:val="0"/>
        <w:snapToGrid w:val="0"/>
        <w:spacing w:line="312" w:lineRule="auto"/>
        <w:ind w:firstLine="455" w:firstLineChars="189"/>
        <w:jc w:val="both"/>
        <w:rPr>
          <w:rFonts w:ascii="宋体" w:hAnsi="宋体" w:cs="仿宋"/>
          <w:sz w:val="24"/>
          <w:u w:val="none"/>
        </w:rPr>
      </w:pPr>
      <w:r>
        <w:rPr>
          <w:rFonts w:hint="eastAsia" w:ascii="宋体" w:hAnsi="宋体" w:cs="仿宋"/>
          <w:b/>
          <w:sz w:val="24"/>
          <w:u w:val="none"/>
        </w:rPr>
        <w:t>采购人一般不公开开启响应文件。如</w:t>
      </w:r>
      <w:r>
        <w:rPr>
          <w:rFonts w:hint="eastAsia" w:ascii="宋体" w:hAnsi="宋体" w:cs="仿宋"/>
          <w:sz w:val="24"/>
          <w:u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5.1开启响应文件的时间和地点</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5.2开启程序</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主持人按下列程序公开开启响应文件:</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(2)开启会议结束。</w:t>
      </w:r>
      <w:r>
        <w:rPr>
          <w:rFonts w:hint="eastAsia" w:ascii="宋体" w:hAnsi="宋体" w:cs="仿宋"/>
          <w:sz w:val="24"/>
          <w:u w:val="none"/>
        </w:rPr>
        <w:br w:type="textWrapping"/>
      </w:r>
      <w:r>
        <w:rPr>
          <w:rFonts w:hint="eastAsia" w:ascii="宋体" w:hAnsi="宋体" w:cs="仿宋"/>
          <w:b/>
          <w:bCs/>
          <w:sz w:val="24"/>
          <w:u w:val="none"/>
        </w:rPr>
        <w:t>5.3递交响应文件的供应商不足的情形</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递交响应文件的供应商数量不足两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6谈判和评审</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6.1谈判小组</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6.1.1采购人将组建谈判小组，由谈判小组按照本条规定的程序以及第三章“评审办法”的规定与供应商进行谈判，对响应文件进行评审和比较。</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6.1.2谈判小组成员有下列情形之的，应当回避:</w:t>
      </w:r>
    </w:p>
    <w:p>
      <w:pPr>
        <w:adjustRightInd w:val="0"/>
        <w:snapToGrid w:val="0"/>
        <w:spacing w:line="312" w:lineRule="auto"/>
        <w:ind w:left="709" w:leftChars="269" w:hanging="144" w:hangingChars="60"/>
        <w:jc w:val="both"/>
        <w:rPr>
          <w:rFonts w:ascii="宋体" w:hAnsi="宋体" w:cs="仿宋"/>
          <w:sz w:val="24"/>
          <w:u w:val="none"/>
        </w:rPr>
      </w:pPr>
      <w:r>
        <w:rPr>
          <w:rFonts w:hint="eastAsia" w:ascii="宋体" w:hAnsi="宋体" w:cs="仿宋"/>
          <w:sz w:val="24"/>
          <w:u w:val="none"/>
        </w:rPr>
        <w:t>（1）供应商主要负责人或供应商主要负责人的近亲属;</w:t>
      </w:r>
      <w:r>
        <w:rPr>
          <w:rFonts w:hint="eastAsia" w:ascii="宋体" w:hAnsi="宋体" w:cs="仿宋"/>
          <w:sz w:val="24"/>
          <w:u w:val="none"/>
        </w:rPr>
        <w:br w:type="textWrapping"/>
      </w:r>
      <w:r>
        <w:rPr>
          <w:rFonts w:hint="eastAsia" w:ascii="宋体" w:hAnsi="宋体" w:cs="仿宋"/>
          <w:sz w:val="24"/>
          <w:u w:val="none"/>
        </w:rPr>
        <w:t>(2)与供应商有经济利益关系或其他利害关系，可能影响公正评审的。</w:t>
      </w:r>
    </w:p>
    <w:p>
      <w:pPr>
        <w:adjustRightInd w:val="0"/>
        <w:snapToGrid w:val="0"/>
        <w:spacing w:line="312" w:lineRule="auto"/>
        <w:jc w:val="both"/>
        <w:rPr>
          <w:rFonts w:ascii="宋体" w:hAnsi="宋体" w:cs="仿宋"/>
          <w:sz w:val="24"/>
          <w:u w:val="none"/>
        </w:rPr>
      </w:pPr>
      <w:r>
        <w:rPr>
          <w:rFonts w:ascii="宋体" w:hAnsi="宋体" w:cs="仿宋"/>
          <w:sz w:val="24"/>
          <w:u w:val="none"/>
        </w:rPr>
        <w:t>6.1.3谈判小组组建后，谈判小组成员员共同推选或由采购人指定谈判小组组</w:t>
      </w:r>
      <w:r>
        <w:rPr>
          <w:rFonts w:hint="eastAsia" w:ascii="宋体" w:hAnsi="宋体" w:cs="仿宋"/>
          <w:sz w:val="24"/>
          <w:u w:val="none"/>
        </w:rPr>
        <w:t>长</w:t>
      </w:r>
      <w:r>
        <w:rPr>
          <w:rFonts w:ascii="宋体" w:hAnsi="宋体" w:cs="仿宋"/>
          <w:sz w:val="24"/>
          <w:u w:val="none"/>
        </w:rPr>
        <w:t>负责组织谈判及评审工作。</w:t>
      </w:r>
    </w:p>
    <w:p>
      <w:pPr>
        <w:adjustRightInd w:val="0"/>
        <w:snapToGrid w:val="0"/>
        <w:spacing w:line="312" w:lineRule="auto"/>
        <w:jc w:val="both"/>
        <w:rPr>
          <w:rFonts w:ascii="宋体" w:hAnsi="宋体" w:cs="仿宋"/>
          <w:sz w:val="24"/>
          <w:u w:val="none"/>
        </w:rPr>
      </w:pPr>
      <w:r>
        <w:rPr>
          <w:rFonts w:ascii="宋体" w:hAnsi="宋体" w:cs="仿宋"/>
          <w:sz w:val="24"/>
          <w:u w:val="none"/>
        </w:rPr>
        <w:t>6.1.4在谈判和评审过程中，谈判小组成员对需要共同认认定的事项存在争议的，</w:t>
      </w:r>
      <w:r>
        <w:rPr>
          <w:rFonts w:hint="eastAsia" w:ascii="宋体" w:hAnsi="宋体" w:cs="仿宋"/>
          <w:sz w:val="24"/>
          <w:u w:val="none"/>
        </w:rPr>
        <w:t>将按</w:t>
      </w:r>
      <w:r>
        <w:rPr>
          <w:rFonts w:ascii="宋体" w:hAnsi="宋体" w:cs="仿宋"/>
          <w:sz w:val="24"/>
          <w:u w:val="none"/>
        </w:rPr>
        <w:t>照少数服从多数的原则作出结论。持不同意见的谈判小</w:t>
      </w:r>
      <w:r>
        <w:rPr>
          <w:rFonts w:hint="eastAsia" w:ascii="宋体" w:hAnsi="宋体" w:cs="仿宋"/>
          <w:sz w:val="24"/>
          <w:u w:val="none"/>
        </w:rPr>
        <w:t>组成员应当在评审报告上签署</w:t>
      </w:r>
      <w:r>
        <w:rPr>
          <w:rFonts w:ascii="宋体" w:hAnsi="宋体" w:cs="仿宋"/>
          <w:sz w:val="24"/>
          <w:u w:val="none"/>
        </w:rPr>
        <w:t>不同意见及理由，否则视为同意评审报告。</w:t>
      </w:r>
    </w:p>
    <w:p>
      <w:pPr>
        <w:adjustRightInd w:val="0"/>
        <w:snapToGrid w:val="0"/>
        <w:spacing w:line="312" w:lineRule="auto"/>
        <w:jc w:val="both"/>
        <w:rPr>
          <w:rFonts w:ascii="宋体" w:hAnsi="宋体" w:cs="仿宋"/>
          <w:b/>
          <w:bCs/>
          <w:sz w:val="24"/>
          <w:u w:val="none"/>
        </w:rPr>
      </w:pPr>
      <w:r>
        <w:rPr>
          <w:rFonts w:ascii="宋体" w:hAnsi="宋体" w:cs="仿宋"/>
          <w:b/>
          <w:bCs/>
          <w:sz w:val="24"/>
          <w:u w:val="none"/>
        </w:rPr>
        <w:t>6.2初步评审</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6.2.1谈判</w:t>
      </w:r>
      <w:r>
        <w:rPr>
          <w:rFonts w:ascii="宋体" w:hAnsi="宋体" w:cs="仿宋"/>
          <w:sz w:val="24"/>
          <w:u w:val="none"/>
        </w:rPr>
        <w:t>小组按照第三章“评审办法”规定的评审标</w:t>
      </w:r>
      <w:r>
        <w:rPr>
          <w:rFonts w:hint="eastAsia" w:ascii="宋体" w:hAnsi="宋体" w:cs="仿宋"/>
          <w:sz w:val="24"/>
          <w:u w:val="none"/>
        </w:rPr>
        <w:t>准和程序对</w:t>
      </w:r>
      <w:r>
        <w:rPr>
          <w:rFonts w:ascii="宋体" w:hAnsi="宋体" w:cs="仿宋"/>
          <w:sz w:val="24"/>
          <w:u w:val="none"/>
        </w:rPr>
        <w:t>供应商</w:t>
      </w:r>
      <w:r>
        <w:rPr>
          <w:rFonts w:hint="eastAsia" w:ascii="宋体" w:hAnsi="宋体" w:cs="仿宋"/>
          <w:sz w:val="24"/>
          <w:u w:val="none"/>
        </w:rPr>
        <w:t>递交的</w:t>
      </w:r>
      <w:r>
        <w:rPr>
          <w:rFonts w:ascii="宋体" w:hAnsi="宋体" w:cs="仿宋"/>
          <w:sz w:val="24"/>
          <w:u w:val="none"/>
        </w:rPr>
        <w:t>响应文件进行初步评审。初步评审主要对响应文件的形式、</w:t>
      </w:r>
      <w:r>
        <w:rPr>
          <w:rFonts w:hint="eastAsia" w:ascii="宋体" w:hAnsi="宋体" w:cs="仿宋"/>
          <w:sz w:val="24"/>
          <w:u w:val="none"/>
        </w:rPr>
        <w:t>供应商的资格和响应文件的响应性进行审查，</w:t>
      </w:r>
      <w:r>
        <w:rPr>
          <w:rFonts w:ascii="宋体" w:hAnsi="宋体" w:cs="仿宋"/>
          <w:sz w:val="24"/>
          <w:u w:val="none"/>
        </w:rPr>
        <w:t>以判断响应文件的形式是否符合要求、</w:t>
      </w:r>
      <w:r>
        <w:rPr>
          <w:rFonts w:hint="eastAsia" w:ascii="宋体" w:hAnsi="宋体" w:cs="仿宋"/>
          <w:sz w:val="24"/>
          <w:u w:val="none"/>
        </w:rPr>
        <w:t>供应商是否符合资格条件、响</w:t>
      </w:r>
      <w:r>
        <w:rPr>
          <w:rFonts w:ascii="宋体" w:hAnsi="宋体" w:cs="仿宋"/>
          <w:sz w:val="24"/>
          <w:u w:val="none"/>
        </w:rPr>
        <w:t>应文件是否实质性响应采购文件的要求。</w:t>
      </w:r>
    </w:p>
    <w:p>
      <w:pPr>
        <w:adjustRightInd w:val="0"/>
        <w:snapToGrid w:val="0"/>
        <w:spacing w:line="312" w:lineRule="auto"/>
        <w:jc w:val="both"/>
        <w:rPr>
          <w:rFonts w:ascii="宋体" w:hAnsi="宋体" w:cs="仿宋"/>
          <w:sz w:val="24"/>
          <w:u w:val="none"/>
        </w:rPr>
      </w:pPr>
      <w:r>
        <w:rPr>
          <w:rFonts w:ascii="宋体" w:hAnsi="宋体" w:cs="仿宋"/>
          <w:sz w:val="24"/>
          <w:u w:val="none"/>
        </w:rPr>
        <w:t>6.2.2响应文件的形式或供应商资格不符合采购文件的要</w:t>
      </w:r>
      <w:r>
        <w:rPr>
          <w:rFonts w:hint="eastAsia" w:ascii="宋体" w:hAnsi="宋体" w:cs="仿宋"/>
          <w:sz w:val="24"/>
          <w:u w:val="none"/>
        </w:rPr>
        <w:t>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pPr>
        <w:adjustRightInd w:val="0"/>
        <w:snapToGrid w:val="0"/>
        <w:spacing w:line="312" w:lineRule="auto"/>
        <w:jc w:val="both"/>
        <w:rPr>
          <w:rFonts w:ascii="宋体" w:hAnsi="宋体" w:cs="仿宋"/>
          <w:sz w:val="24"/>
          <w:u w:val="none"/>
        </w:rPr>
      </w:pPr>
      <w:r>
        <w:rPr>
          <w:rFonts w:ascii="宋体" w:hAnsi="宋体" w:cs="仿宋"/>
          <w:sz w:val="24"/>
          <w:u w:val="none"/>
        </w:rPr>
        <w:t>6.2.3只有形式评审和资格评审合格且实质性响应采购文件要求的供应商才可通过初步评审。经供应商澄清、说明和补正后仍未通过初步评审的响应文件将被视为无效，谈判小组应告知有关供应商。</w:t>
      </w:r>
    </w:p>
    <w:p>
      <w:pPr>
        <w:adjustRightInd w:val="0"/>
        <w:snapToGrid w:val="0"/>
        <w:spacing w:line="312" w:lineRule="auto"/>
        <w:jc w:val="both"/>
        <w:rPr>
          <w:rFonts w:ascii="宋体" w:hAnsi="宋体" w:cs="仿宋"/>
          <w:b/>
          <w:bCs/>
          <w:sz w:val="24"/>
          <w:u w:val="none"/>
        </w:rPr>
      </w:pPr>
      <w:r>
        <w:rPr>
          <w:rFonts w:ascii="宋体" w:hAnsi="宋体" w:cs="仿宋"/>
          <w:b/>
          <w:bCs/>
          <w:sz w:val="24"/>
          <w:u w:val="none"/>
        </w:rPr>
        <w:t>6.3谈判</w:t>
      </w:r>
    </w:p>
    <w:p>
      <w:pPr>
        <w:adjustRightInd w:val="0"/>
        <w:snapToGrid w:val="0"/>
        <w:spacing w:line="312" w:lineRule="auto"/>
        <w:jc w:val="both"/>
        <w:rPr>
          <w:rFonts w:ascii="宋体" w:hAnsi="宋体" w:cs="仿宋"/>
          <w:sz w:val="24"/>
          <w:u w:val="none"/>
        </w:rPr>
      </w:pPr>
      <w:r>
        <w:rPr>
          <w:rFonts w:ascii="宋体" w:hAnsi="宋体" w:cs="仿宋"/>
          <w:sz w:val="24"/>
          <w:u w:val="none"/>
        </w:rPr>
        <w:t>6.3.1谈判小组应按照供应商须知前附表规定的谈判轮次及谈判顺序与通过初步评审的供应商逐</w:t>
      </w:r>
      <w:r>
        <w:rPr>
          <w:rFonts w:hint="eastAsia" w:ascii="宋体" w:hAnsi="宋体" w:cs="仿宋"/>
          <w:sz w:val="24"/>
          <w:u w:val="none"/>
        </w:rPr>
        <w:t>一</w:t>
      </w:r>
      <w:r>
        <w:rPr>
          <w:rFonts w:ascii="宋体" w:hAnsi="宋体" w:cs="仿宋"/>
          <w:sz w:val="24"/>
          <w:u w:val="none"/>
        </w:rPr>
        <w:t>进行谈判。</w:t>
      </w:r>
    </w:p>
    <w:p>
      <w:pPr>
        <w:adjustRightInd w:val="0"/>
        <w:snapToGrid w:val="0"/>
        <w:spacing w:line="312" w:lineRule="auto"/>
        <w:jc w:val="both"/>
        <w:rPr>
          <w:rFonts w:ascii="宋体" w:hAnsi="宋体" w:cs="仿宋"/>
          <w:sz w:val="24"/>
          <w:u w:val="none"/>
        </w:rPr>
      </w:pPr>
      <w:r>
        <w:rPr>
          <w:rFonts w:ascii="宋体" w:hAnsi="宋体" w:cs="仿宋"/>
          <w:sz w:val="24"/>
          <w:u w:val="none"/>
        </w:rPr>
        <w:t>6.3.2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w:t>
      </w:r>
      <w:r>
        <w:rPr>
          <w:rFonts w:hint="eastAsia" w:ascii="宋体" w:hAnsi="宋体" w:cs="仿宋"/>
          <w:sz w:val="24"/>
          <w:u w:val="none"/>
        </w:rPr>
        <w:t>作</w:t>
      </w:r>
      <w:r>
        <w:rPr>
          <w:rFonts w:ascii="宋体" w:hAnsi="宋体" w:cs="仿宋"/>
          <w:sz w:val="24"/>
          <w:u w:val="none"/>
        </w:rPr>
        <w:t>出的承诺构成响应文件的组成部分。</w:t>
      </w:r>
    </w:p>
    <w:p>
      <w:pPr>
        <w:adjustRightInd w:val="0"/>
        <w:snapToGrid w:val="0"/>
        <w:spacing w:line="312" w:lineRule="auto"/>
        <w:jc w:val="both"/>
        <w:rPr>
          <w:rFonts w:ascii="宋体" w:hAnsi="宋体" w:cs="仿宋"/>
          <w:sz w:val="24"/>
          <w:u w:val="none"/>
        </w:rPr>
      </w:pPr>
      <w:r>
        <w:rPr>
          <w:rFonts w:ascii="宋体" w:hAnsi="宋体" w:cs="仿宋"/>
          <w:sz w:val="24"/>
          <w:u w:val="none"/>
        </w:rPr>
        <w:t>6.3.3除供应商须知前附表另有规定外，递交响应文件的供应商未准时参加某</w:t>
      </w:r>
      <w:r>
        <w:rPr>
          <w:rFonts w:hint="eastAsia" w:ascii="宋体" w:hAnsi="宋体" w:cs="仿宋"/>
          <w:sz w:val="24"/>
          <w:u w:val="none"/>
        </w:rPr>
        <w:t>一</w:t>
      </w:r>
      <w:r>
        <w:rPr>
          <w:rFonts w:ascii="宋体" w:hAnsi="宋体" w:cs="仿宋"/>
          <w:sz w:val="24"/>
          <w:u w:val="none"/>
        </w:rPr>
        <w:t>轮次谈判的，视为其放弃参加该轮次谈判，但其仍有权参加后续谈判采购活动。</w:t>
      </w:r>
    </w:p>
    <w:p>
      <w:pPr>
        <w:adjustRightInd w:val="0"/>
        <w:snapToGrid w:val="0"/>
        <w:spacing w:line="312" w:lineRule="auto"/>
        <w:jc w:val="both"/>
        <w:rPr>
          <w:rFonts w:ascii="宋体" w:hAnsi="宋体" w:cs="仿宋"/>
          <w:b/>
          <w:bCs/>
          <w:sz w:val="24"/>
          <w:u w:val="none"/>
        </w:rPr>
      </w:pPr>
      <w:r>
        <w:rPr>
          <w:rFonts w:ascii="宋体" w:hAnsi="宋体" w:cs="仿宋"/>
          <w:b/>
          <w:bCs/>
          <w:sz w:val="24"/>
          <w:u w:val="none"/>
        </w:rPr>
        <w:t>6.4递交补充响应文件</w:t>
      </w:r>
    </w:p>
    <w:p>
      <w:pPr>
        <w:adjustRightInd w:val="0"/>
        <w:snapToGrid w:val="0"/>
        <w:spacing w:line="312" w:lineRule="auto"/>
        <w:jc w:val="both"/>
        <w:rPr>
          <w:rFonts w:ascii="宋体" w:hAnsi="宋体" w:cs="仿宋"/>
          <w:sz w:val="24"/>
          <w:u w:val="none"/>
        </w:rPr>
      </w:pPr>
      <w:r>
        <w:rPr>
          <w:rFonts w:ascii="宋体" w:hAnsi="宋体" w:cs="仿宋"/>
          <w:sz w:val="24"/>
          <w:u w:val="none"/>
        </w:rPr>
        <w:t>6.4.1在谈判过程中，谈判小组可根据谈判情况修改和补充采购文件中采购需求部分的技术、服务要求以及合同草案条款等内容，但不</w:t>
      </w:r>
      <w:r>
        <w:rPr>
          <w:rFonts w:hint="eastAsia" w:ascii="宋体" w:hAnsi="宋体" w:cs="仿宋"/>
          <w:sz w:val="24"/>
          <w:u w:val="none"/>
        </w:rPr>
        <w:t>得实质性改变评审标准或改变可能影响初步评审结果的内容。谈判小组修改和补充采购文件的，</w:t>
      </w:r>
      <w:r>
        <w:rPr>
          <w:rFonts w:ascii="宋体" w:hAnsi="宋体" w:cs="仿宋"/>
          <w:sz w:val="24"/>
          <w:u w:val="none"/>
        </w:rPr>
        <w:t>应当以书面形式将修改和补充的内容</w:t>
      </w:r>
      <w:r>
        <w:rPr>
          <w:rFonts w:hint="eastAsia" w:ascii="宋体" w:hAnsi="宋体" w:cs="仿宋"/>
          <w:sz w:val="24"/>
          <w:u w:val="none"/>
        </w:rPr>
        <w:t>通知所有参加谈判的</w:t>
      </w:r>
      <w:r>
        <w:rPr>
          <w:rFonts w:ascii="宋体" w:hAnsi="宋体" w:cs="仿宋"/>
          <w:sz w:val="24"/>
          <w:u w:val="none"/>
        </w:rPr>
        <w:t>供应商。修改和补充的内容构成采购文件的组成部分。</w:t>
      </w:r>
    </w:p>
    <w:p>
      <w:pPr>
        <w:adjustRightInd w:val="0"/>
        <w:snapToGrid w:val="0"/>
        <w:spacing w:line="312" w:lineRule="auto"/>
        <w:jc w:val="both"/>
        <w:rPr>
          <w:rFonts w:ascii="宋体" w:hAnsi="宋体" w:cs="仿宋"/>
          <w:sz w:val="24"/>
          <w:u w:val="none"/>
        </w:rPr>
      </w:pPr>
      <w:r>
        <w:rPr>
          <w:rFonts w:ascii="宋体" w:hAnsi="宋体" w:cs="仿宋"/>
          <w:sz w:val="24"/>
          <w:u w:val="none"/>
        </w:rPr>
        <w:t>6.4.2谈判小组修改和补充采购文件后，应要求供应</w:t>
      </w:r>
      <w:r>
        <w:rPr>
          <w:rFonts w:hint="eastAsia" w:ascii="宋体" w:hAnsi="宋体" w:cs="仿宋"/>
          <w:sz w:val="24"/>
          <w:u w:val="none"/>
        </w:rPr>
        <w:t>商</w:t>
      </w:r>
      <w:r>
        <w:rPr>
          <w:rFonts w:ascii="宋体" w:hAnsi="宋体" w:cs="仿宋"/>
          <w:sz w:val="24"/>
          <w:u w:val="none"/>
        </w:rPr>
        <w:t>修改和补</w:t>
      </w:r>
      <w:r>
        <w:rPr>
          <w:rFonts w:hint="eastAsia" w:ascii="宋体" w:hAnsi="宋体" w:cs="仿宋"/>
          <w:sz w:val="24"/>
          <w:u w:val="none"/>
        </w:rPr>
        <w:t>充响应文件。供应商</w:t>
      </w:r>
      <w:r>
        <w:rPr>
          <w:rFonts w:ascii="宋体" w:hAnsi="宋体" w:cs="仿宋"/>
          <w:sz w:val="24"/>
          <w:u w:val="none"/>
        </w:rPr>
        <w:t>应按照采购文件修改和补充的内容及要求相应地对已经递交的响应文</w:t>
      </w:r>
      <w:r>
        <w:rPr>
          <w:rFonts w:hint="eastAsia" w:ascii="宋体" w:hAnsi="宋体" w:cs="仿宋"/>
          <w:sz w:val="24"/>
          <w:u w:val="none"/>
        </w:rPr>
        <w:t>件进行修改和补</w:t>
      </w:r>
      <w:r>
        <w:rPr>
          <w:rFonts w:ascii="宋体" w:hAnsi="宋体" w:cs="仿宋"/>
          <w:sz w:val="24"/>
          <w:u w:val="none"/>
        </w:rPr>
        <w:t>充(即补充响应文件)。补充响应文件</w:t>
      </w:r>
      <w:r>
        <w:rPr>
          <w:rFonts w:hint="eastAsia" w:ascii="宋体" w:hAnsi="宋体" w:cs="仿宋"/>
          <w:sz w:val="24"/>
          <w:u w:val="none"/>
        </w:rPr>
        <w:t>应由供应商</w:t>
      </w:r>
      <w:r>
        <w:rPr>
          <w:rFonts w:ascii="宋体" w:hAnsi="宋体" w:cs="仿宋"/>
          <w:sz w:val="24"/>
          <w:u w:val="none"/>
        </w:rPr>
        <w:t>的法定代表人(单位负责人)或其授权的代理人签字</w:t>
      </w:r>
      <w:r>
        <w:rPr>
          <w:rFonts w:hint="eastAsia" w:ascii="宋体" w:hAnsi="宋体" w:cs="仿宋"/>
          <w:sz w:val="24"/>
          <w:u w:val="none"/>
        </w:rPr>
        <w:t>或</w:t>
      </w:r>
      <w:r>
        <w:rPr>
          <w:rFonts w:ascii="宋体" w:hAnsi="宋体" w:cs="仿宋"/>
          <w:sz w:val="24"/>
          <w:u w:val="none"/>
        </w:rPr>
        <w:t>加盖单位章，并对采购文件修改和补充的内容作出实质性的响应。补充响应文件与首次递交的响应文件共同构成供应商响应文件的组成部分，二者内容不一致的，以补充响应文件内容为准。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12" w:lineRule="auto"/>
        <w:jc w:val="both"/>
        <w:rPr>
          <w:rFonts w:ascii="宋体" w:hAnsi="宋体" w:cs="仿宋"/>
          <w:sz w:val="24"/>
          <w:u w:val="none"/>
        </w:rPr>
      </w:pPr>
      <w:r>
        <w:rPr>
          <w:rFonts w:ascii="宋体" w:hAnsi="宋体" w:cs="仿宋"/>
          <w:sz w:val="24"/>
          <w:u w:val="none"/>
        </w:rPr>
        <w:t>6.4.3谈判小组审查供应商补充响应文件，对其响应性进行评审。补充响应文件实质性响应采购文件及其修改和补充内容的，谈到小组应要求供应商在规定时间内递交最终报价</w:t>
      </w:r>
      <w:r>
        <w:rPr>
          <w:rFonts w:hint="eastAsia" w:ascii="宋体" w:hAnsi="宋体" w:cs="仿宋"/>
          <w:sz w:val="24"/>
          <w:u w:val="none"/>
        </w:rPr>
        <w:t>；</w:t>
      </w:r>
      <w:r>
        <w:rPr>
          <w:rFonts w:ascii="宋体" w:hAnsi="宋体" w:cs="仿宋"/>
          <w:sz w:val="24"/>
          <w:u w:val="none"/>
        </w:rPr>
        <w:t>补充响应文件未能实质性响应采购文件及其修改和补充内容的，该响应文件将被视为无效，谈判小组应取消供应商的谈判资格并对其进行告知。</w:t>
      </w:r>
    </w:p>
    <w:p>
      <w:pPr>
        <w:adjustRightInd w:val="0"/>
        <w:snapToGrid w:val="0"/>
        <w:spacing w:line="312" w:lineRule="auto"/>
        <w:jc w:val="both"/>
        <w:rPr>
          <w:rFonts w:ascii="宋体" w:hAnsi="宋体" w:cs="仿宋"/>
          <w:b/>
          <w:bCs/>
          <w:sz w:val="24"/>
          <w:u w:val="none"/>
        </w:rPr>
      </w:pPr>
      <w:r>
        <w:rPr>
          <w:rFonts w:ascii="宋体" w:hAnsi="宋体" w:cs="仿宋"/>
          <w:b/>
          <w:bCs/>
          <w:sz w:val="24"/>
          <w:u w:val="none"/>
        </w:rPr>
        <w:t>6.5递交最终报价</w:t>
      </w:r>
    </w:p>
    <w:p>
      <w:pPr>
        <w:adjustRightInd w:val="0"/>
        <w:snapToGrid w:val="0"/>
        <w:spacing w:line="312" w:lineRule="auto"/>
        <w:ind w:firstLine="453" w:firstLineChars="189"/>
        <w:jc w:val="both"/>
        <w:rPr>
          <w:rFonts w:ascii="宋体" w:hAnsi="宋体" w:cs="仿宋"/>
          <w:sz w:val="24"/>
          <w:u w:val="none"/>
        </w:rPr>
      </w:pPr>
      <w:r>
        <w:rPr>
          <w:rFonts w:ascii="宋体" w:hAnsi="宋体" w:cs="仿宋"/>
          <w:sz w:val="24"/>
          <w:u w:val="none"/>
        </w:rPr>
        <w:t>谈判小组在</w:t>
      </w:r>
      <w:r>
        <w:rPr>
          <w:rFonts w:hint="eastAsia" w:ascii="宋体" w:hAnsi="宋体" w:cs="仿宋"/>
          <w:sz w:val="24"/>
          <w:u w:val="none"/>
        </w:rPr>
        <w:t>谈判</w:t>
      </w:r>
      <w:r>
        <w:rPr>
          <w:rFonts w:ascii="宋体" w:hAnsi="宋体" w:cs="仿宋"/>
          <w:sz w:val="24"/>
          <w:u w:val="none"/>
        </w:rPr>
        <w:t>中未修改或补充采购文件的，</w:t>
      </w:r>
      <w:r>
        <w:rPr>
          <w:rFonts w:hint="eastAsia" w:ascii="宋体" w:hAnsi="宋体" w:cs="仿宋"/>
          <w:sz w:val="24"/>
          <w:u w:val="none"/>
        </w:rPr>
        <w:t>谈判</w:t>
      </w:r>
      <w:r>
        <w:rPr>
          <w:rFonts w:ascii="宋体" w:hAnsi="宋体" w:cs="仿宋"/>
          <w:sz w:val="24"/>
          <w:u w:val="none"/>
        </w:rPr>
        <w:t>结束后，谈判小组将要求所有参加谈判的供应商在规定时间内</w:t>
      </w:r>
      <w:r>
        <w:rPr>
          <w:rFonts w:hint="eastAsia" w:ascii="宋体" w:hAnsi="宋体" w:cs="仿宋"/>
          <w:sz w:val="24"/>
          <w:u w:val="none"/>
        </w:rPr>
        <w:t>递</w:t>
      </w:r>
      <w:r>
        <w:rPr>
          <w:rFonts w:ascii="宋体" w:hAnsi="宋体" w:cs="仿宋"/>
          <w:sz w:val="24"/>
          <w:u w:val="none"/>
        </w:rPr>
        <w:t>交最终报价:谈判小组修改和补充了采购文件的，谈判小组应要求按照本章第6.4款规定递交了实质性响应的补充响应文件的供应商在规定时间内递交最终报价。最终报价应由供应</w:t>
      </w:r>
      <w:r>
        <w:rPr>
          <w:rFonts w:hint="eastAsia" w:ascii="宋体" w:hAnsi="宋体" w:cs="仿宋"/>
          <w:sz w:val="24"/>
          <w:u w:val="none"/>
        </w:rPr>
        <w:t>商</w:t>
      </w:r>
      <w:r>
        <w:rPr>
          <w:rFonts w:ascii="宋体" w:hAnsi="宋体" w:cs="仿宋"/>
          <w:sz w:val="24"/>
          <w:u w:val="none"/>
        </w:rPr>
        <w:t>的法定代表人(单位负责人)或其授权的代理人签字或加盖单位章。最终报价是供应</w:t>
      </w:r>
      <w:r>
        <w:rPr>
          <w:rFonts w:hint="eastAsia" w:ascii="宋体" w:hAnsi="宋体" w:cs="仿宋"/>
          <w:sz w:val="24"/>
          <w:u w:val="none"/>
        </w:rPr>
        <w:t>商</w:t>
      </w:r>
      <w:r>
        <w:rPr>
          <w:rFonts w:ascii="宋体" w:hAnsi="宋体" w:cs="仿宋"/>
          <w:sz w:val="24"/>
          <w:u w:val="none"/>
        </w:rPr>
        <w:t>响应文件的组成部分。</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6</w:t>
      </w:r>
      <w:r>
        <w:rPr>
          <w:rFonts w:ascii="宋体" w:hAnsi="宋体" w:cs="仿宋"/>
          <w:b/>
          <w:bCs/>
          <w:sz w:val="24"/>
          <w:u w:val="none"/>
        </w:rPr>
        <w:t>.6公开开启最终报价</w:t>
      </w:r>
    </w:p>
    <w:p>
      <w:pPr>
        <w:adjustRightInd w:val="0"/>
        <w:snapToGrid w:val="0"/>
        <w:spacing w:line="312" w:lineRule="auto"/>
        <w:ind w:firstLine="453" w:firstLineChars="189"/>
        <w:jc w:val="both"/>
        <w:rPr>
          <w:rFonts w:ascii="宋体" w:hAnsi="宋体" w:cs="仿宋"/>
          <w:sz w:val="24"/>
          <w:u w:val="none"/>
        </w:rPr>
      </w:pPr>
      <w:r>
        <w:rPr>
          <w:rFonts w:ascii="宋体" w:hAnsi="宋体" w:cs="仿宋"/>
          <w:sz w:val="24"/>
          <w:u w:val="none"/>
        </w:rPr>
        <w:t>供应商须知前附表规定公开开启最终报价的，采购人将在供应商递交最终报价的截止时间，公开开启并公布所有供应商的最终报价。</w:t>
      </w:r>
    </w:p>
    <w:p>
      <w:pPr>
        <w:adjustRightInd w:val="0"/>
        <w:snapToGrid w:val="0"/>
        <w:spacing w:line="312" w:lineRule="auto"/>
        <w:jc w:val="both"/>
        <w:rPr>
          <w:rFonts w:ascii="宋体" w:hAnsi="宋体" w:cs="仿宋"/>
          <w:b/>
          <w:bCs/>
          <w:sz w:val="24"/>
          <w:u w:val="none"/>
        </w:rPr>
      </w:pPr>
      <w:r>
        <w:rPr>
          <w:rFonts w:ascii="宋体" w:hAnsi="宋体" w:cs="仿宋"/>
          <w:b/>
          <w:bCs/>
          <w:sz w:val="24"/>
          <w:u w:val="none"/>
        </w:rPr>
        <w:t>6.7详细评审及推荐</w:t>
      </w:r>
      <w:r>
        <w:rPr>
          <w:rFonts w:hint="eastAsia" w:ascii="宋体" w:hAnsi="宋体" w:cs="仿宋"/>
          <w:b/>
          <w:bCs/>
          <w:sz w:val="24"/>
          <w:u w:val="none"/>
        </w:rPr>
        <w:t>成交候选</w:t>
      </w:r>
      <w:r>
        <w:rPr>
          <w:rFonts w:ascii="宋体" w:hAnsi="宋体" w:cs="仿宋"/>
          <w:b/>
          <w:bCs/>
          <w:sz w:val="24"/>
          <w:u w:val="none"/>
        </w:rPr>
        <w:t>供应商</w:t>
      </w:r>
    </w:p>
    <w:p>
      <w:pPr>
        <w:adjustRightInd w:val="0"/>
        <w:snapToGrid w:val="0"/>
        <w:spacing w:line="312" w:lineRule="auto"/>
        <w:jc w:val="both"/>
        <w:rPr>
          <w:rFonts w:ascii="宋体" w:hAnsi="宋体" w:cs="仿宋"/>
          <w:sz w:val="24"/>
          <w:u w:val="none"/>
        </w:rPr>
      </w:pPr>
      <w:r>
        <w:rPr>
          <w:rFonts w:ascii="宋体" w:hAnsi="宋体" w:cs="仿宋"/>
          <w:sz w:val="24"/>
          <w:u w:val="none"/>
        </w:rPr>
        <w:t>6.7.1谈判小组按照第三章“评</w:t>
      </w:r>
      <w:r>
        <w:rPr>
          <w:rFonts w:hint="eastAsia" w:ascii="宋体" w:hAnsi="宋体" w:cs="仿宋"/>
          <w:sz w:val="24"/>
          <w:u w:val="none"/>
        </w:rPr>
        <w:t>审</w:t>
      </w:r>
      <w:r>
        <w:rPr>
          <w:rFonts w:ascii="宋体" w:hAnsi="宋体" w:cs="仿宋"/>
          <w:sz w:val="24"/>
          <w:u w:val="none"/>
        </w:rPr>
        <w:t>办法”规定的评审方法、评审因素、评</w:t>
      </w:r>
      <w:r>
        <w:rPr>
          <w:rFonts w:hint="eastAsia" w:ascii="宋体" w:hAnsi="宋体" w:cs="仿宋"/>
          <w:sz w:val="24"/>
          <w:u w:val="none"/>
        </w:rPr>
        <w:t>审</w:t>
      </w:r>
      <w:r>
        <w:rPr>
          <w:rFonts w:ascii="宋体" w:hAnsi="宋体" w:cs="仿宋"/>
          <w:sz w:val="24"/>
          <w:u w:val="none"/>
        </w:rPr>
        <w:t>标准和</w:t>
      </w:r>
      <w:r>
        <w:rPr>
          <w:rFonts w:hint="eastAsia" w:ascii="宋体" w:hAnsi="宋体" w:cs="仿宋"/>
          <w:sz w:val="24"/>
          <w:u w:val="none"/>
        </w:rPr>
        <w:t>程</w:t>
      </w:r>
      <w:r>
        <w:rPr>
          <w:rFonts w:ascii="宋体" w:hAnsi="宋体" w:cs="仿宋"/>
          <w:sz w:val="24"/>
          <w:u w:val="none"/>
        </w:rPr>
        <w:t>序对响应文件进行详细评审。第三章“评审办法”没有规定的方法、因素和标准，不作为评审依据。</w:t>
      </w:r>
    </w:p>
    <w:p>
      <w:pPr>
        <w:adjustRightInd w:val="0"/>
        <w:snapToGrid w:val="0"/>
        <w:spacing w:line="312" w:lineRule="auto"/>
        <w:jc w:val="both"/>
        <w:rPr>
          <w:rFonts w:ascii="宋体" w:hAnsi="宋体" w:cs="仿宋"/>
          <w:sz w:val="24"/>
          <w:u w:val="none"/>
        </w:rPr>
      </w:pPr>
      <w:r>
        <w:rPr>
          <w:rFonts w:ascii="宋体" w:hAnsi="宋体" w:cs="仿宋"/>
          <w:sz w:val="24"/>
          <w:u w:val="none"/>
        </w:rPr>
        <w:t>6.7.2评审完成后，谈判小组应当向采购人提交书面评审报告和</w:t>
      </w:r>
      <w:r>
        <w:rPr>
          <w:rFonts w:hint="eastAsia" w:ascii="宋体" w:hAnsi="宋体" w:cs="仿宋"/>
          <w:sz w:val="24"/>
          <w:u w:val="none"/>
        </w:rPr>
        <w:t>成交候选</w:t>
      </w:r>
      <w:r>
        <w:rPr>
          <w:rFonts w:ascii="宋体" w:hAnsi="宋体" w:cs="仿宋"/>
          <w:sz w:val="24"/>
          <w:u w:val="none"/>
        </w:rPr>
        <w:t>供应</w:t>
      </w:r>
      <w:r>
        <w:rPr>
          <w:rFonts w:hint="eastAsia" w:ascii="宋体" w:hAnsi="宋体" w:cs="仿宋"/>
          <w:sz w:val="24"/>
          <w:u w:val="none"/>
        </w:rPr>
        <w:t>商名</w:t>
      </w:r>
      <w:r>
        <w:rPr>
          <w:rFonts w:ascii="宋体" w:hAnsi="宋体" w:cs="仿宋"/>
          <w:sz w:val="24"/>
          <w:u w:val="none"/>
        </w:rPr>
        <w:t>单。谈判小组推荐</w:t>
      </w:r>
      <w:r>
        <w:rPr>
          <w:rFonts w:hint="eastAsia" w:ascii="宋体" w:hAnsi="宋体" w:cs="仿宋"/>
          <w:sz w:val="24"/>
          <w:u w:val="none"/>
        </w:rPr>
        <w:t>成交候选</w:t>
      </w:r>
      <w:r>
        <w:rPr>
          <w:rFonts w:ascii="宋体" w:hAnsi="宋体" w:cs="仿宋"/>
          <w:sz w:val="24"/>
          <w:u w:val="none"/>
        </w:rPr>
        <w:t>供应商的排序要求及数量见供应商须知前附表</w:t>
      </w:r>
      <w:r>
        <w:rPr>
          <w:rFonts w:hint="eastAsia" w:ascii="宋体" w:hAnsi="宋体" w:cs="仿宋"/>
          <w:sz w:val="24"/>
          <w:u w:val="none"/>
        </w:rPr>
        <w:t>。</w:t>
      </w:r>
    </w:p>
    <w:p>
      <w:pPr>
        <w:adjustRightInd w:val="0"/>
        <w:snapToGrid w:val="0"/>
        <w:spacing w:line="312" w:lineRule="auto"/>
        <w:jc w:val="both"/>
        <w:rPr>
          <w:rFonts w:ascii="宋体" w:hAnsi="宋体" w:cs="仿宋"/>
          <w:sz w:val="24"/>
          <w:u w:val="none"/>
        </w:rPr>
      </w:pPr>
      <w:r>
        <w:rPr>
          <w:rFonts w:ascii="宋体" w:hAnsi="宋体" w:cs="仿宋"/>
          <w:sz w:val="24"/>
          <w:u w:val="none"/>
        </w:rPr>
        <w:t>6.7.3所有供应商最终报价均明显不合理的，采购人将</w:t>
      </w:r>
      <w:r>
        <w:rPr>
          <w:rFonts w:hint="eastAsia" w:ascii="宋体" w:hAnsi="宋体" w:cs="仿宋"/>
          <w:sz w:val="24"/>
          <w:u w:val="none"/>
        </w:rPr>
        <w:t>终</w:t>
      </w:r>
      <w:r>
        <w:rPr>
          <w:rFonts w:ascii="宋体" w:hAnsi="宋体" w:cs="仿宋"/>
          <w:sz w:val="24"/>
          <w:u w:val="none"/>
        </w:rPr>
        <w:t>止谈判活动。</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7合同授予</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7.1成交候选供应商报价核查</w:t>
      </w:r>
    </w:p>
    <w:p>
      <w:pPr>
        <w:widowControl w:val="0"/>
        <w:adjustRightInd w:val="0"/>
        <w:snapToGrid w:val="0"/>
        <w:spacing w:line="312" w:lineRule="auto"/>
        <w:ind w:firstLine="475" w:firstLineChars="198"/>
        <w:jc w:val="both"/>
        <w:rPr>
          <w:rFonts w:ascii="宋体" w:hAnsi="宋体" w:cs="仿宋"/>
          <w:sz w:val="24"/>
          <w:u w:val="none"/>
        </w:rPr>
      </w:pPr>
      <w:r>
        <w:rPr>
          <w:rFonts w:hint="eastAsia" w:ascii="宋体" w:hAnsi="宋体" w:cs="仿宋"/>
          <w:sz w:val="24"/>
          <w:u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u w:val="none"/>
        </w:rPr>
      </w:pPr>
      <w:r>
        <w:rPr>
          <w:rFonts w:hint="eastAsia" w:ascii="宋体" w:hAnsi="宋体" w:cs="仿宋"/>
          <w:b/>
          <w:bCs/>
          <w:sz w:val="24"/>
          <w:u w:val="none"/>
        </w:rPr>
        <w:t>7.2</w:t>
      </w:r>
      <w:r>
        <w:rPr>
          <w:rFonts w:hint="eastAsia" w:ascii="宋体" w:hAnsi="宋体" w:cs="宋体"/>
          <w:b/>
          <w:bCs/>
          <w:sz w:val="24"/>
          <w:u w:val="none"/>
        </w:rPr>
        <w:t>成交候选</w:t>
      </w:r>
      <w:r>
        <w:rPr>
          <w:rFonts w:hint="eastAsia" w:ascii="宋体" w:hAnsi="宋体" w:cs="仿宋"/>
          <w:b/>
          <w:bCs/>
          <w:sz w:val="24"/>
          <w:u w:val="none"/>
        </w:rPr>
        <w:t>供应商</w:t>
      </w:r>
      <w:r>
        <w:rPr>
          <w:rFonts w:hint="eastAsia" w:ascii="宋体" w:hAnsi="宋体" w:cs="宋体"/>
          <w:b/>
          <w:bCs/>
          <w:sz w:val="24"/>
          <w:u w:val="none"/>
        </w:rPr>
        <w:t>公示（本项目不进行公示）</w:t>
      </w:r>
    </w:p>
    <w:p>
      <w:pPr>
        <w:widowControl w:val="0"/>
        <w:adjustRightInd w:val="0"/>
        <w:snapToGrid w:val="0"/>
        <w:spacing w:line="312" w:lineRule="auto"/>
        <w:ind w:firstLine="480" w:firstLineChars="200"/>
        <w:jc w:val="both"/>
        <w:rPr>
          <w:rFonts w:ascii="宋体" w:hAnsi="宋体" w:cs="宋体"/>
          <w:sz w:val="24"/>
          <w:u w:val="none"/>
        </w:rPr>
      </w:pPr>
      <w:r>
        <w:rPr>
          <w:rFonts w:hint="eastAsia" w:ascii="宋体" w:hAnsi="宋体" w:cs="宋体"/>
          <w:sz w:val="24"/>
          <w:u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u w:val="none"/>
        </w:rPr>
      </w:pPr>
      <w:bookmarkStart w:id="13" w:name="_Toc24135"/>
      <w:r>
        <w:rPr>
          <w:rFonts w:hint="eastAsia" w:ascii="宋体" w:hAnsi="宋体" w:cs="宋体"/>
          <w:b/>
          <w:bCs/>
          <w:sz w:val="24"/>
          <w:u w:val="none"/>
        </w:rPr>
        <w:t>7.3成交结果异议</w:t>
      </w:r>
      <w:bookmarkEnd w:id="13"/>
    </w:p>
    <w:p>
      <w:pPr>
        <w:adjustRightInd w:val="0"/>
        <w:snapToGrid w:val="0"/>
        <w:spacing w:line="312" w:lineRule="auto"/>
        <w:ind w:firstLine="424" w:firstLineChars="177"/>
        <w:jc w:val="both"/>
        <w:rPr>
          <w:rFonts w:ascii="宋体" w:hAnsi="宋体" w:cs="宋体"/>
          <w:sz w:val="24"/>
          <w:u w:val="none"/>
        </w:rPr>
      </w:pPr>
      <w:r>
        <w:rPr>
          <w:rFonts w:hint="eastAsia" w:ascii="宋体" w:hAnsi="宋体" w:cs="宋体"/>
          <w:sz w:val="24"/>
          <w:u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7.4成交候选供应商履约能力核查</w:t>
      </w:r>
    </w:p>
    <w:p>
      <w:pPr>
        <w:spacing w:line="312" w:lineRule="auto"/>
        <w:ind w:firstLine="453" w:firstLineChars="189"/>
        <w:jc w:val="both"/>
        <w:rPr>
          <w:rFonts w:ascii="宋体" w:hAnsi="宋体" w:cs="仿宋"/>
          <w:sz w:val="24"/>
          <w:u w:val="none"/>
        </w:rPr>
      </w:pPr>
      <w:r>
        <w:rPr>
          <w:rFonts w:hint="eastAsia" w:ascii="宋体" w:hAnsi="宋体" w:cs="仿宋"/>
          <w:sz w:val="24"/>
          <w:u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7.5发出成交通知书</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7.6履约保证金</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u w:val="none"/>
        </w:rPr>
        <w:t>10</w:t>
      </w:r>
      <w:r>
        <w:rPr>
          <w:rFonts w:hint="eastAsia" w:ascii="宋体" w:hAnsi="宋体" w:cs="仿宋"/>
          <w:sz w:val="24"/>
          <w:u w:val="none"/>
        </w:rPr>
        <w:t>%。</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7.7签订合同</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u w:val="none"/>
        </w:rPr>
      </w:pPr>
      <w:r>
        <w:rPr>
          <w:rFonts w:hint="eastAsia" w:ascii="宋体" w:hAnsi="宋体" w:cs="仿宋"/>
          <w:sz w:val="24"/>
          <w:u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7.</w:t>
      </w:r>
      <w:r>
        <w:rPr>
          <w:rFonts w:ascii="宋体" w:hAnsi="宋体" w:cs="仿宋"/>
          <w:b/>
          <w:bCs/>
          <w:sz w:val="24"/>
          <w:u w:val="none"/>
        </w:rPr>
        <w:t>8</w:t>
      </w:r>
      <w:r>
        <w:rPr>
          <w:rFonts w:hint="eastAsia" w:ascii="宋体" w:hAnsi="宋体" w:cs="仿宋"/>
          <w:b/>
          <w:bCs/>
          <w:sz w:val="24"/>
          <w:u w:val="none"/>
        </w:rPr>
        <w:t>特殊情形处理</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8异议</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8.1提出异议</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8.2异议处理</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采购人认为异议不成立或不影响采购结果的，可以继续进行采购活动。</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9纪律要求</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9.1对采购人的纪律要求</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9.2对供应商的纪律要求</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9.3对评审小组成员的纪律要求</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9.4对与采购活动有关的工作人员的纪律要求</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10需要补充的其他内容</w:t>
      </w:r>
    </w:p>
    <w:p>
      <w:pPr>
        <w:adjustRightInd w:val="0"/>
        <w:snapToGrid w:val="0"/>
        <w:spacing w:line="312" w:lineRule="auto"/>
        <w:jc w:val="both"/>
        <w:rPr>
          <w:rFonts w:ascii="宋体" w:hAnsi="宋体" w:cs="仿宋"/>
          <w:sz w:val="24"/>
          <w:u w:val="none"/>
        </w:rPr>
      </w:pPr>
      <w:r>
        <w:rPr>
          <w:rFonts w:hint="eastAsia" w:ascii="宋体" w:hAnsi="宋体" w:cs="仿宋"/>
          <w:b/>
          <w:bCs/>
          <w:sz w:val="24"/>
          <w:u w:val="none"/>
        </w:rPr>
        <w:t>10.1</w:t>
      </w:r>
      <w:r>
        <w:rPr>
          <w:rFonts w:hint="eastAsia" w:ascii="宋体" w:hAnsi="宋体" w:cs="仿宋"/>
          <w:sz w:val="24"/>
          <w:u w:val="none"/>
        </w:rPr>
        <w:t>需更补充的其他内容:见供应商须知前附表。</w:t>
      </w:r>
    </w:p>
    <w:p>
      <w:pPr>
        <w:rPr>
          <w:u w:val="none"/>
          <w:lang w:val="zh-CN"/>
        </w:rPr>
      </w:pPr>
      <w:r>
        <w:rPr>
          <w:u w:val="none"/>
          <w:lang w:val="zh-CN"/>
        </w:rPr>
        <w:br w:type="page"/>
      </w:r>
    </w:p>
    <w:p>
      <w:pPr>
        <w:adjustRightInd w:val="0"/>
        <w:snapToGrid w:val="0"/>
        <w:spacing w:line="600" w:lineRule="exact"/>
        <w:ind w:firstLine="600" w:firstLineChars="200"/>
        <w:rPr>
          <w:rFonts w:ascii="宋体" w:hAnsi="宋体" w:cs="仿宋"/>
          <w:sz w:val="30"/>
          <w:szCs w:val="30"/>
          <w:u w:val="none"/>
        </w:rPr>
      </w:pPr>
      <w:r>
        <w:rPr>
          <w:rFonts w:hint="eastAsia" w:ascii="宋体" w:hAnsi="宋体" w:cs="仿宋"/>
          <w:sz w:val="30"/>
          <w:szCs w:val="30"/>
          <w:u w:val="none"/>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u w:val="none"/>
        </w:rPr>
      </w:pPr>
    </w:p>
    <w:p>
      <w:pPr>
        <w:adjustRightInd w:val="0"/>
        <w:snapToGrid w:val="0"/>
        <w:spacing w:line="600" w:lineRule="exact"/>
        <w:ind w:firstLine="721" w:firstLineChars="200"/>
        <w:jc w:val="center"/>
        <w:rPr>
          <w:rFonts w:ascii="华文中宋" w:hAnsi="华文中宋" w:eastAsia="华文中宋" w:cs="仿宋"/>
          <w:b/>
          <w:bCs/>
          <w:sz w:val="36"/>
          <w:szCs w:val="36"/>
          <w:u w:val="none"/>
        </w:rPr>
      </w:pPr>
      <w:r>
        <w:rPr>
          <w:rFonts w:hint="eastAsia" w:ascii="华文中宋" w:hAnsi="华文中宋" w:eastAsia="华文中宋" w:cs="仿宋"/>
          <w:b/>
          <w:bCs/>
          <w:sz w:val="36"/>
          <w:szCs w:val="36"/>
          <w:u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u w:val="none"/>
        </w:rPr>
      </w:pPr>
    </w:p>
    <w:p>
      <w:pPr>
        <w:spacing w:line="240"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开启时间：年月日时分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pct"/>
            <w:vAlign w:val="center"/>
          </w:tcPr>
          <w:p>
            <w:pPr>
              <w:widowControl w:val="0"/>
              <w:spacing w:line="240"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序 号</w:t>
            </w:r>
          </w:p>
        </w:tc>
        <w:tc>
          <w:tcPr>
            <w:tcW w:w="1238" w:type="pct"/>
            <w:vAlign w:val="center"/>
          </w:tcPr>
          <w:p>
            <w:pPr>
              <w:widowControl w:val="0"/>
              <w:spacing w:line="240"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w:t>
            </w:r>
          </w:p>
        </w:tc>
        <w:tc>
          <w:tcPr>
            <w:tcW w:w="1029" w:type="pct"/>
            <w:vAlign w:val="center"/>
          </w:tcPr>
          <w:p>
            <w:pPr>
              <w:widowControl w:val="0"/>
              <w:spacing w:line="240"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报价</w:t>
            </w:r>
          </w:p>
        </w:tc>
        <w:tc>
          <w:tcPr>
            <w:tcW w:w="1029" w:type="pct"/>
            <w:vAlign w:val="center"/>
          </w:tcPr>
          <w:p>
            <w:pPr>
              <w:widowControl w:val="0"/>
              <w:spacing w:line="240"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u w:val="none"/>
              </w:rPr>
            </w:pPr>
          </w:p>
        </w:tc>
        <w:tc>
          <w:tcPr>
            <w:tcW w:w="1238"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u w:val="none"/>
              </w:rPr>
            </w:pPr>
          </w:p>
        </w:tc>
        <w:tc>
          <w:tcPr>
            <w:tcW w:w="1238"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u w:val="none"/>
              </w:rPr>
            </w:pPr>
          </w:p>
        </w:tc>
        <w:tc>
          <w:tcPr>
            <w:tcW w:w="1238"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u w:val="none"/>
              </w:rPr>
            </w:pPr>
          </w:p>
        </w:tc>
        <w:tc>
          <w:tcPr>
            <w:tcW w:w="1238"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u w:val="none"/>
              </w:rPr>
            </w:pPr>
          </w:p>
        </w:tc>
        <w:tc>
          <w:tcPr>
            <w:tcW w:w="1238"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c>
          <w:tcPr>
            <w:tcW w:w="1029" w:type="pct"/>
            <w:vAlign w:val="center"/>
          </w:tcPr>
          <w:p>
            <w:pPr>
              <w:widowControl w:val="0"/>
              <w:spacing w:line="240" w:lineRule="auto"/>
              <w:jc w:val="both"/>
              <w:rPr>
                <w:rFonts w:cs="仿宋" w:asciiTheme="minorEastAsia" w:hAnsiTheme="minorEastAsia" w:eastAsiaTheme="minorEastAsia"/>
                <w:sz w:val="24"/>
                <w:u w:val="none"/>
              </w:rPr>
            </w:pPr>
          </w:p>
        </w:tc>
      </w:tr>
    </w:tbl>
    <w:p>
      <w:pPr>
        <w:spacing w:line="240" w:lineRule="auto"/>
        <w:jc w:val="both"/>
        <w:rPr>
          <w:rFonts w:cs="仿宋" w:asciiTheme="minorEastAsia" w:hAnsiTheme="minorEastAsia" w:eastAsiaTheme="minorEastAsia"/>
          <w:sz w:val="24"/>
          <w:u w:val="none"/>
        </w:rPr>
      </w:pPr>
    </w:p>
    <w:p>
      <w:pPr>
        <w:spacing w:line="240" w:lineRule="auto"/>
        <w:ind w:firstLine="1200" w:firstLineChars="5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采购人代表：      记录人：监督人：</w:t>
      </w:r>
    </w:p>
    <w:p>
      <w:pPr>
        <w:spacing w:line="240" w:lineRule="auto"/>
        <w:jc w:val="both"/>
        <w:rPr>
          <w:rFonts w:cs="仿宋" w:asciiTheme="minorEastAsia" w:hAnsiTheme="minorEastAsia" w:eastAsiaTheme="minorEastAsia"/>
          <w:sz w:val="24"/>
          <w:u w:val="none"/>
        </w:rPr>
      </w:pPr>
    </w:p>
    <w:p>
      <w:pPr>
        <w:spacing w:line="240" w:lineRule="auto"/>
        <w:jc w:val="both"/>
        <w:rPr>
          <w:rFonts w:ascii="仿宋" w:hAnsi="仿宋" w:eastAsia="仿宋" w:cs="仿宋"/>
          <w:sz w:val="30"/>
          <w:szCs w:val="30"/>
          <w:u w:val="none"/>
        </w:rPr>
      </w:pPr>
    </w:p>
    <w:p>
      <w:pPr>
        <w:spacing w:line="240" w:lineRule="auto"/>
        <w:jc w:val="both"/>
        <w:rPr>
          <w:rFonts w:ascii="仿宋" w:hAnsi="仿宋" w:eastAsia="仿宋" w:cs="仿宋"/>
          <w:sz w:val="30"/>
          <w:szCs w:val="30"/>
          <w:u w:val="none"/>
        </w:rPr>
      </w:pPr>
      <w:r>
        <w:rPr>
          <w:rFonts w:ascii="仿宋" w:hAnsi="仿宋" w:eastAsia="仿宋" w:cs="仿宋"/>
          <w:sz w:val="30"/>
          <w:szCs w:val="30"/>
          <w:u w:val="none"/>
        </w:rPr>
        <w:br w:type="page"/>
      </w:r>
    </w:p>
    <w:p>
      <w:pPr>
        <w:adjustRightInd w:val="0"/>
        <w:snapToGrid w:val="0"/>
        <w:spacing w:line="600" w:lineRule="exact"/>
        <w:ind w:firstLine="600" w:firstLineChars="200"/>
        <w:rPr>
          <w:rFonts w:ascii="宋体" w:hAnsi="宋体" w:cs="仿宋"/>
          <w:sz w:val="30"/>
          <w:szCs w:val="30"/>
          <w:u w:val="none"/>
        </w:rPr>
      </w:pPr>
      <w:r>
        <w:rPr>
          <w:rFonts w:hint="eastAsia" w:ascii="宋体" w:hAnsi="宋体" w:cs="仿宋"/>
          <w:sz w:val="30"/>
          <w:szCs w:val="30"/>
          <w:u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u w:val="none"/>
        </w:rPr>
      </w:pPr>
    </w:p>
    <w:p>
      <w:pPr>
        <w:adjustRightInd w:val="0"/>
        <w:snapToGrid w:val="0"/>
        <w:spacing w:line="600" w:lineRule="exact"/>
        <w:ind w:firstLine="721" w:firstLineChars="200"/>
        <w:jc w:val="center"/>
        <w:rPr>
          <w:rFonts w:ascii="华文中宋" w:hAnsi="华文中宋" w:eastAsia="华文中宋" w:cs="仿宋"/>
          <w:b/>
          <w:bCs/>
          <w:sz w:val="36"/>
          <w:szCs w:val="36"/>
          <w:u w:val="none"/>
        </w:rPr>
      </w:pPr>
      <w:r>
        <w:rPr>
          <w:rFonts w:hint="eastAsia" w:ascii="华文中宋" w:hAnsi="华文中宋" w:eastAsia="华文中宋" w:cs="仿宋"/>
          <w:b/>
          <w:bCs/>
          <w:sz w:val="36"/>
          <w:szCs w:val="36"/>
          <w:u w:val="none"/>
        </w:rPr>
        <w:t>问题澄清通知</w:t>
      </w:r>
    </w:p>
    <w:p>
      <w:pPr>
        <w:adjustRightInd w:val="0"/>
        <w:snapToGrid w:val="0"/>
        <w:spacing w:line="600" w:lineRule="exact"/>
        <w:ind w:firstLine="480" w:firstLineChars="200"/>
        <w:jc w:val="center"/>
        <w:rPr>
          <w:rFonts w:ascii="宋体" w:hAnsi="宋体" w:cs="仿宋"/>
          <w:sz w:val="24"/>
          <w:u w:val="none"/>
        </w:rPr>
      </w:pPr>
      <w:r>
        <w:rPr>
          <w:rFonts w:hint="eastAsia" w:ascii="宋体" w:hAnsi="宋体" w:cs="仿宋"/>
          <w:sz w:val="24"/>
          <w:u w:val="none"/>
        </w:rPr>
        <w:t>(编号:）</w:t>
      </w:r>
    </w:p>
    <w:p>
      <w:pPr>
        <w:adjustRightInd w:val="0"/>
        <w:snapToGrid w:val="0"/>
        <w:spacing w:line="600" w:lineRule="exact"/>
        <w:ind w:left="210" w:leftChars="100" w:firstLine="240" w:firstLineChars="100"/>
        <w:jc w:val="both"/>
        <w:rPr>
          <w:rFonts w:ascii="宋体" w:hAnsi="宋体" w:cs="仿宋"/>
          <w:sz w:val="24"/>
          <w:u w:val="none"/>
        </w:rPr>
      </w:pPr>
      <w:r>
        <w:rPr>
          <w:rFonts w:hint="eastAsia" w:ascii="宋体" w:hAnsi="宋体" w:cs="仿宋"/>
          <w:sz w:val="24"/>
          <w:u w:val="none"/>
        </w:rPr>
        <w:t>(供应商名称):</w:t>
      </w:r>
    </w:p>
    <w:p>
      <w:pPr>
        <w:adjustRightInd w:val="0"/>
        <w:snapToGrid w:val="0"/>
        <w:spacing w:line="600" w:lineRule="exact"/>
        <w:ind w:left="210" w:leftChars="100" w:firstLine="496" w:firstLineChars="207"/>
        <w:jc w:val="both"/>
        <w:rPr>
          <w:rFonts w:ascii="宋体" w:hAnsi="宋体" w:cs="仿宋"/>
          <w:sz w:val="24"/>
          <w:u w:val="none"/>
        </w:rPr>
      </w:pPr>
      <w:r>
        <w:rPr>
          <w:rFonts w:hint="eastAsia" w:ascii="宋体" w:hAnsi="宋体" w:cs="仿宋"/>
          <w:sz w:val="24"/>
          <w:u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u w:val="none"/>
        </w:rPr>
      </w:pPr>
      <w:r>
        <w:rPr>
          <w:rFonts w:hint="eastAsia" w:ascii="宋体" w:hAnsi="宋体" w:cs="仿宋"/>
          <w:sz w:val="24"/>
          <w:u w:val="none"/>
        </w:rPr>
        <w:t>1.</w:t>
      </w:r>
    </w:p>
    <w:p>
      <w:pPr>
        <w:adjustRightInd w:val="0"/>
        <w:snapToGrid w:val="0"/>
        <w:spacing w:line="600" w:lineRule="exact"/>
        <w:ind w:left="210" w:leftChars="100" w:firstLine="496" w:firstLineChars="207"/>
        <w:jc w:val="both"/>
        <w:rPr>
          <w:rFonts w:ascii="宋体" w:hAnsi="宋体" w:cs="仿宋"/>
          <w:sz w:val="24"/>
          <w:u w:val="none"/>
        </w:rPr>
      </w:pPr>
      <w:r>
        <w:rPr>
          <w:rFonts w:hint="eastAsia" w:ascii="宋体" w:hAnsi="宋体" w:cs="仿宋"/>
          <w:sz w:val="24"/>
          <w:u w:val="none"/>
        </w:rPr>
        <w:t>2.</w:t>
      </w:r>
    </w:p>
    <w:p>
      <w:pPr>
        <w:adjustRightInd w:val="0"/>
        <w:snapToGrid w:val="0"/>
        <w:spacing w:line="600" w:lineRule="exact"/>
        <w:ind w:left="508" w:leftChars="242" w:firstLine="496" w:firstLineChars="207"/>
        <w:jc w:val="both"/>
        <w:rPr>
          <w:rFonts w:ascii="宋体" w:hAnsi="宋体" w:cs="仿宋"/>
          <w:sz w:val="24"/>
          <w:u w:val="none"/>
        </w:rPr>
      </w:pPr>
      <w:r>
        <w:rPr>
          <w:rFonts w:hint="eastAsia" w:ascii="宋体" w:hAnsi="宋体" w:cs="仿宋"/>
          <w:sz w:val="24"/>
          <w:u w:val="none"/>
        </w:rPr>
        <w:t>......</w:t>
      </w:r>
    </w:p>
    <w:p>
      <w:pPr>
        <w:adjustRightInd w:val="0"/>
        <w:snapToGrid w:val="0"/>
        <w:spacing w:line="600" w:lineRule="exact"/>
        <w:ind w:left="141" w:leftChars="67" w:firstLine="566" w:firstLineChars="236"/>
        <w:jc w:val="both"/>
        <w:rPr>
          <w:rFonts w:ascii="宋体" w:hAnsi="宋体" w:cs="仿宋"/>
          <w:sz w:val="24"/>
          <w:u w:val="none"/>
        </w:rPr>
      </w:pPr>
      <w:r>
        <w:rPr>
          <w:rFonts w:hint="eastAsia" w:ascii="宋体" w:hAnsi="宋体" w:cs="仿宋"/>
          <w:sz w:val="24"/>
          <w:u w:val="none"/>
        </w:rPr>
        <w:t>请将上述问题的澄清、说明和补正于年月日时前递交至(详细地址)或发电子邮件至(电子邮箱地址)。采用电子邮件方式的，应在年月日_时前将原件递交至(详细地址)。</w:t>
      </w:r>
    </w:p>
    <w:p>
      <w:pPr>
        <w:adjustRightInd w:val="0"/>
        <w:snapToGrid w:val="0"/>
        <w:spacing w:line="600" w:lineRule="exact"/>
        <w:ind w:left="141" w:leftChars="67" w:firstLine="566" w:firstLineChars="236"/>
        <w:jc w:val="both"/>
        <w:rPr>
          <w:rFonts w:ascii="宋体" w:hAnsi="宋体" w:cs="仿宋"/>
          <w:sz w:val="24"/>
          <w:u w:val="none"/>
        </w:rPr>
      </w:pPr>
    </w:p>
    <w:p>
      <w:pPr>
        <w:adjustRightInd w:val="0"/>
        <w:snapToGrid w:val="0"/>
        <w:spacing w:line="600" w:lineRule="exact"/>
        <w:ind w:left="210" w:leftChars="100" w:firstLine="240" w:firstLineChars="100"/>
        <w:jc w:val="both"/>
        <w:rPr>
          <w:rFonts w:ascii="宋体" w:hAnsi="宋体" w:cs="仿宋"/>
          <w:sz w:val="24"/>
          <w:u w:val="none"/>
        </w:rPr>
      </w:pPr>
    </w:p>
    <w:p>
      <w:pPr>
        <w:adjustRightInd w:val="0"/>
        <w:snapToGrid w:val="0"/>
        <w:spacing w:line="600" w:lineRule="exact"/>
        <w:ind w:left="210" w:leftChars="100" w:firstLine="240" w:firstLineChars="100"/>
        <w:jc w:val="both"/>
        <w:rPr>
          <w:rFonts w:ascii="宋体" w:hAnsi="宋体" w:cs="仿宋"/>
          <w:sz w:val="24"/>
          <w:u w:val="none"/>
        </w:rPr>
      </w:pPr>
    </w:p>
    <w:p>
      <w:pPr>
        <w:adjustRightInd w:val="0"/>
        <w:snapToGrid w:val="0"/>
        <w:spacing w:line="600" w:lineRule="exact"/>
        <w:jc w:val="right"/>
        <w:rPr>
          <w:rFonts w:ascii="宋体" w:hAnsi="宋体" w:cs="仿宋"/>
          <w:sz w:val="24"/>
          <w:u w:val="none"/>
        </w:rPr>
      </w:pPr>
      <w:r>
        <w:rPr>
          <w:rFonts w:hint="eastAsia" w:ascii="宋体" w:hAnsi="宋体" w:cs="仿宋"/>
          <w:sz w:val="24"/>
          <w:u w:val="none"/>
        </w:rPr>
        <w:t>采购人(或采购代理机构):(签字或盖单位章)</w:t>
      </w:r>
    </w:p>
    <w:p>
      <w:pPr>
        <w:spacing w:line="600" w:lineRule="exact"/>
        <w:jc w:val="right"/>
        <w:rPr>
          <w:rFonts w:ascii="仿宋" w:hAnsi="仿宋" w:eastAsia="仿宋" w:cs="仿宋"/>
          <w:sz w:val="30"/>
          <w:szCs w:val="30"/>
          <w:u w:val="none"/>
        </w:rPr>
      </w:pPr>
      <w:r>
        <w:rPr>
          <w:rFonts w:hint="eastAsia" w:ascii="宋体" w:hAnsi="宋体" w:cs="仿宋"/>
          <w:sz w:val="24"/>
          <w:u w:val="none"/>
        </w:rPr>
        <w:t>年月日</w:t>
      </w:r>
      <w:r>
        <w:rPr>
          <w:rFonts w:hint="eastAsia" w:ascii="仿宋" w:hAnsi="仿宋" w:eastAsia="仿宋" w:cs="仿宋"/>
          <w:sz w:val="30"/>
          <w:szCs w:val="30"/>
          <w:u w:val="none"/>
        </w:rPr>
        <w:br w:type="page"/>
      </w:r>
    </w:p>
    <w:p>
      <w:pPr>
        <w:adjustRightInd w:val="0"/>
        <w:snapToGrid w:val="0"/>
        <w:spacing w:line="600" w:lineRule="exact"/>
        <w:ind w:firstLine="567" w:firstLineChars="189"/>
        <w:rPr>
          <w:rFonts w:ascii="宋体" w:hAnsi="宋体" w:cs="仿宋"/>
          <w:sz w:val="30"/>
          <w:szCs w:val="30"/>
          <w:u w:val="none"/>
        </w:rPr>
      </w:pPr>
      <w:r>
        <w:rPr>
          <w:rFonts w:hint="eastAsia" w:ascii="宋体" w:hAnsi="宋体" w:cs="仿宋"/>
          <w:sz w:val="30"/>
          <w:szCs w:val="30"/>
          <w:u w:val="none"/>
        </w:rPr>
        <w:t>附件3  问题的澄清</w:t>
      </w:r>
    </w:p>
    <w:p>
      <w:pPr>
        <w:adjustRightInd w:val="0"/>
        <w:snapToGrid w:val="0"/>
        <w:spacing w:line="600" w:lineRule="exact"/>
        <w:jc w:val="center"/>
        <w:rPr>
          <w:rFonts w:ascii="华文中宋" w:hAnsi="华文中宋" w:eastAsia="华文中宋" w:cs="仿宋"/>
          <w:b/>
          <w:bCs/>
          <w:sz w:val="36"/>
          <w:szCs w:val="36"/>
          <w:u w:val="none"/>
        </w:rPr>
      </w:pPr>
    </w:p>
    <w:p>
      <w:pPr>
        <w:adjustRightInd w:val="0"/>
        <w:snapToGrid w:val="0"/>
        <w:spacing w:line="600" w:lineRule="exact"/>
        <w:jc w:val="center"/>
        <w:rPr>
          <w:rFonts w:ascii="华文中宋" w:hAnsi="华文中宋" w:eastAsia="华文中宋" w:cs="仿宋"/>
          <w:b/>
          <w:bCs/>
          <w:sz w:val="36"/>
          <w:szCs w:val="36"/>
          <w:u w:val="none"/>
        </w:rPr>
      </w:pPr>
      <w:r>
        <w:rPr>
          <w:rFonts w:hint="eastAsia" w:ascii="华文中宋" w:hAnsi="华文中宋" w:eastAsia="华文中宋" w:cs="仿宋"/>
          <w:b/>
          <w:bCs/>
          <w:sz w:val="36"/>
          <w:szCs w:val="36"/>
          <w:u w:val="none"/>
        </w:rPr>
        <w:t>问题的澄清</w:t>
      </w:r>
    </w:p>
    <w:p>
      <w:pPr>
        <w:adjustRightInd w:val="0"/>
        <w:snapToGrid w:val="0"/>
        <w:spacing w:line="600" w:lineRule="exact"/>
        <w:ind w:firstLine="480" w:firstLineChars="200"/>
        <w:jc w:val="center"/>
        <w:rPr>
          <w:rFonts w:ascii="宋体" w:hAnsi="宋体" w:cs="仿宋"/>
          <w:sz w:val="24"/>
          <w:u w:val="none"/>
        </w:rPr>
      </w:pPr>
      <w:r>
        <w:rPr>
          <w:rFonts w:hint="eastAsia" w:ascii="宋体" w:hAnsi="宋体" w:cs="仿宋"/>
          <w:sz w:val="24"/>
          <w:u w:val="none"/>
        </w:rPr>
        <w:t>(编号:)</w:t>
      </w:r>
    </w:p>
    <w:p>
      <w:pPr>
        <w:adjustRightInd w:val="0"/>
        <w:snapToGrid w:val="0"/>
        <w:spacing w:line="600" w:lineRule="exact"/>
        <w:jc w:val="both"/>
        <w:rPr>
          <w:rFonts w:ascii="宋体" w:hAnsi="宋体" w:cs="仿宋"/>
          <w:sz w:val="24"/>
          <w:u w:val="none"/>
        </w:rPr>
      </w:pPr>
      <w:r>
        <w:rPr>
          <w:rFonts w:hint="eastAsia" w:ascii="宋体" w:hAnsi="宋体" w:cs="仿宋"/>
          <w:sz w:val="24"/>
          <w:u w:val="none"/>
        </w:rPr>
        <w:t>评审小组:</w:t>
      </w:r>
    </w:p>
    <w:p>
      <w:pPr>
        <w:adjustRightInd w:val="0"/>
        <w:snapToGrid w:val="0"/>
        <w:spacing w:line="600" w:lineRule="exact"/>
        <w:ind w:firstLine="530" w:firstLineChars="221"/>
        <w:jc w:val="both"/>
        <w:rPr>
          <w:rFonts w:ascii="宋体" w:hAnsi="宋体" w:cs="仿宋"/>
          <w:sz w:val="24"/>
          <w:u w:val="none"/>
        </w:rPr>
      </w:pPr>
      <w:r>
        <w:rPr>
          <w:rFonts w:hint="eastAsia" w:ascii="宋体" w:hAnsi="宋体" w:cs="仿宋"/>
          <w:sz w:val="24"/>
          <w:u w:val="none"/>
        </w:rPr>
        <w:t>问题澄清通知(编号:)已收悉，现澄清、说明和补正如下：</w:t>
      </w:r>
    </w:p>
    <w:p>
      <w:pPr>
        <w:adjustRightInd w:val="0"/>
        <w:snapToGrid w:val="0"/>
        <w:spacing w:line="600" w:lineRule="exact"/>
        <w:ind w:firstLine="530" w:firstLineChars="221"/>
        <w:jc w:val="both"/>
        <w:rPr>
          <w:rFonts w:ascii="宋体" w:hAnsi="宋体" w:cs="仿宋"/>
          <w:sz w:val="24"/>
          <w:u w:val="none"/>
        </w:rPr>
      </w:pPr>
      <w:r>
        <w:rPr>
          <w:rFonts w:hint="eastAsia" w:ascii="宋体" w:hAnsi="宋体" w:cs="仿宋"/>
          <w:sz w:val="24"/>
          <w:u w:val="none"/>
        </w:rPr>
        <w:t>1.</w:t>
      </w:r>
    </w:p>
    <w:p>
      <w:pPr>
        <w:adjustRightInd w:val="0"/>
        <w:snapToGrid w:val="0"/>
        <w:spacing w:line="600" w:lineRule="exact"/>
        <w:ind w:firstLine="530" w:firstLineChars="221"/>
        <w:jc w:val="both"/>
        <w:rPr>
          <w:rFonts w:ascii="宋体" w:hAnsi="宋体" w:cs="仿宋"/>
          <w:sz w:val="24"/>
          <w:u w:val="none"/>
        </w:rPr>
      </w:pPr>
      <w:r>
        <w:rPr>
          <w:rFonts w:hint="eastAsia" w:ascii="宋体" w:hAnsi="宋体" w:cs="仿宋"/>
          <w:sz w:val="24"/>
          <w:u w:val="none"/>
        </w:rPr>
        <w:t>2.</w:t>
      </w:r>
    </w:p>
    <w:p>
      <w:pPr>
        <w:adjustRightInd w:val="0"/>
        <w:snapToGrid w:val="0"/>
        <w:spacing w:line="600" w:lineRule="exact"/>
        <w:ind w:firstLine="530" w:firstLineChars="221"/>
        <w:jc w:val="both"/>
        <w:rPr>
          <w:rFonts w:ascii="宋体" w:hAnsi="宋体" w:cs="仿宋"/>
          <w:sz w:val="24"/>
          <w:u w:val="none"/>
        </w:rPr>
      </w:pPr>
      <w:r>
        <w:rPr>
          <w:rFonts w:hint="eastAsia" w:ascii="宋体" w:hAnsi="宋体" w:cs="仿宋"/>
          <w:sz w:val="24"/>
          <w:u w:val="none"/>
        </w:rPr>
        <w:t>......</w:t>
      </w:r>
    </w:p>
    <w:p>
      <w:pPr>
        <w:adjustRightInd w:val="0"/>
        <w:snapToGrid w:val="0"/>
        <w:spacing w:line="600" w:lineRule="exact"/>
        <w:ind w:firstLine="530" w:firstLineChars="221"/>
        <w:jc w:val="both"/>
        <w:rPr>
          <w:rFonts w:ascii="宋体" w:hAnsi="宋体" w:cs="仿宋"/>
          <w:sz w:val="24"/>
          <w:u w:val="none"/>
        </w:rPr>
      </w:pPr>
      <w:r>
        <w:rPr>
          <w:rFonts w:hint="eastAsia" w:ascii="宋体" w:hAnsi="宋体" w:cs="仿宋"/>
          <w:sz w:val="24"/>
          <w:u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u w:val="none"/>
        </w:rPr>
      </w:pPr>
    </w:p>
    <w:p>
      <w:pPr>
        <w:adjustRightInd w:val="0"/>
        <w:snapToGrid w:val="0"/>
        <w:spacing w:line="600" w:lineRule="exact"/>
        <w:ind w:firstLine="5090" w:firstLineChars="2121"/>
        <w:jc w:val="both"/>
        <w:rPr>
          <w:rFonts w:ascii="宋体" w:hAnsi="宋体" w:cs="仿宋"/>
          <w:sz w:val="24"/>
          <w:u w:val="none"/>
        </w:rPr>
      </w:pPr>
      <w:r>
        <w:rPr>
          <w:rFonts w:hint="eastAsia" w:ascii="宋体" w:hAnsi="宋体" w:cs="仿宋"/>
          <w:sz w:val="24"/>
          <w:u w:val="none"/>
        </w:rPr>
        <w:t>供应商:(盖单位章)</w:t>
      </w:r>
    </w:p>
    <w:p>
      <w:pPr>
        <w:adjustRightInd w:val="0"/>
        <w:snapToGrid w:val="0"/>
        <w:spacing w:line="600" w:lineRule="exact"/>
        <w:jc w:val="right"/>
        <w:rPr>
          <w:rFonts w:ascii="宋体" w:hAnsi="宋体" w:cs="仿宋"/>
          <w:sz w:val="24"/>
          <w:u w:val="none"/>
        </w:rPr>
      </w:pPr>
      <w:r>
        <w:rPr>
          <w:rFonts w:hint="eastAsia" w:ascii="宋体" w:hAnsi="宋体" w:cs="仿宋"/>
          <w:sz w:val="24"/>
          <w:u w:val="none"/>
        </w:rPr>
        <w:t>法定代表人(单位负责人)或其授权的代理人:(签字)</w:t>
      </w:r>
    </w:p>
    <w:p>
      <w:pPr>
        <w:spacing w:line="600" w:lineRule="exact"/>
        <w:jc w:val="right"/>
        <w:rPr>
          <w:rFonts w:ascii="宋体" w:hAnsi="宋体" w:cs="仿宋"/>
          <w:sz w:val="24"/>
          <w:u w:val="none"/>
        </w:rPr>
      </w:pPr>
      <w:r>
        <w:rPr>
          <w:rFonts w:hint="eastAsia" w:ascii="宋体" w:hAnsi="宋体" w:cs="仿宋"/>
          <w:sz w:val="24"/>
          <w:u w:val="none"/>
        </w:rPr>
        <w:t>年月日</w:t>
      </w:r>
      <w:r>
        <w:rPr>
          <w:rFonts w:hint="eastAsia" w:ascii="宋体" w:hAnsi="宋体" w:cs="仿宋"/>
          <w:sz w:val="24"/>
          <w:u w:val="none"/>
        </w:rPr>
        <w:br w:type="page"/>
      </w:r>
    </w:p>
    <w:p>
      <w:pPr>
        <w:adjustRightInd w:val="0"/>
        <w:snapToGrid w:val="0"/>
        <w:spacing w:line="600" w:lineRule="exact"/>
        <w:jc w:val="right"/>
        <w:rPr>
          <w:rFonts w:ascii="仿宋" w:hAnsi="仿宋" w:eastAsia="仿宋" w:cs="仿宋"/>
          <w:sz w:val="30"/>
          <w:szCs w:val="30"/>
          <w:u w:val="none"/>
        </w:rPr>
      </w:pPr>
    </w:p>
    <w:p>
      <w:pPr>
        <w:adjustRightInd w:val="0"/>
        <w:snapToGrid w:val="0"/>
        <w:spacing w:line="600" w:lineRule="exact"/>
        <w:jc w:val="center"/>
        <w:outlineLvl w:val="0"/>
        <w:rPr>
          <w:rFonts w:ascii="黑体" w:hAnsi="黑体" w:eastAsia="黑体" w:cs="仿宋"/>
          <w:bCs/>
          <w:sz w:val="36"/>
          <w:szCs w:val="36"/>
          <w:u w:val="none"/>
        </w:rPr>
      </w:pPr>
      <w:bookmarkStart w:id="14" w:name="_Toc23605"/>
      <w:r>
        <w:rPr>
          <w:rFonts w:hint="eastAsia" w:ascii="黑体" w:hAnsi="黑体" w:eastAsia="黑体" w:cs="仿宋"/>
          <w:bCs/>
          <w:sz w:val="36"/>
          <w:szCs w:val="36"/>
          <w:u w:val="none"/>
        </w:rPr>
        <w:t>第三章 评审办法</w:t>
      </w:r>
      <w:bookmarkEnd w:id="14"/>
    </w:p>
    <w:p>
      <w:pPr>
        <w:adjustRightInd w:val="0"/>
        <w:snapToGrid w:val="0"/>
        <w:spacing w:beforeLines="50" w:afterLines="50" w:line="312" w:lineRule="auto"/>
        <w:jc w:val="center"/>
        <w:rPr>
          <w:rFonts w:ascii="黑体" w:hAnsi="黑体" w:eastAsia="黑体" w:cs="仿宋"/>
          <w:bCs/>
          <w:sz w:val="32"/>
          <w:szCs w:val="32"/>
          <w:u w:val="none"/>
        </w:rPr>
      </w:pPr>
      <w:r>
        <w:rPr>
          <w:rFonts w:hint="eastAsia" w:ascii="黑体" w:hAnsi="黑体" w:eastAsia="黑体" w:cs="仿宋"/>
          <w:bCs/>
          <w:sz w:val="32"/>
          <w:szCs w:val="32"/>
          <w:u w:val="none"/>
        </w:rPr>
        <w:t>评审办法前附表</w:t>
      </w:r>
    </w:p>
    <w:tbl>
      <w:tblPr>
        <w:tblStyle w:val="1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18"/>
        <w:gridCol w:w="1754"/>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250" w:type="dxa"/>
            <w:gridSpan w:val="2"/>
            <w:vAlign w:val="center"/>
          </w:tcPr>
          <w:p>
            <w:pPr>
              <w:widowControl/>
              <w:adjustRightInd w:val="0"/>
              <w:snapToGrid w:val="0"/>
              <w:spacing w:line="240" w:lineRule="auto"/>
              <w:jc w:val="center"/>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条款号及名称</w:t>
            </w:r>
          </w:p>
        </w:tc>
        <w:tc>
          <w:tcPr>
            <w:tcW w:w="1754" w:type="dxa"/>
            <w:vAlign w:val="center"/>
          </w:tcPr>
          <w:p>
            <w:pPr>
              <w:widowControl/>
              <w:adjustRightInd w:val="0"/>
              <w:snapToGrid w:val="0"/>
              <w:spacing w:line="240" w:lineRule="auto"/>
              <w:jc w:val="center"/>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评审因素</w:t>
            </w:r>
          </w:p>
        </w:tc>
        <w:tc>
          <w:tcPr>
            <w:tcW w:w="4715" w:type="dxa"/>
            <w:vAlign w:val="center"/>
          </w:tcPr>
          <w:p>
            <w:pPr>
              <w:widowControl/>
              <w:adjustRightInd w:val="0"/>
              <w:snapToGrid w:val="0"/>
              <w:spacing w:line="240" w:lineRule="auto"/>
              <w:jc w:val="center"/>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1</w:t>
            </w:r>
          </w:p>
        </w:tc>
        <w:tc>
          <w:tcPr>
            <w:tcW w:w="1118"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评审方法</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评审方法</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2.1.1</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形式评审标准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供应商名称</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响应文件签字盖章</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联合体协议书</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2.1.2</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资格评审标准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依法设立</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资质要求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财务要求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业绩要求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信誉要求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人员要求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其他要求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不存在第一章第3.2款情形</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联合体供应商</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2.1.3</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响应性评审标准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报价</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响应文件有效期</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响应保证金</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响应方案</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质量标准</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完成期限</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合同条款</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对非关键条款的偏差</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2.2.2</w:t>
            </w:r>
          </w:p>
        </w:tc>
        <w:tc>
          <w:tcPr>
            <w:tcW w:w="1118" w:type="dxa"/>
            <w:vAlign w:val="center"/>
          </w:tcPr>
          <w:p>
            <w:pPr>
              <w:widowControl/>
              <w:adjustRightInd w:val="0"/>
              <w:snapToGrid w:val="0"/>
              <w:spacing w:line="240" w:lineRule="auto"/>
              <w:jc w:val="both"/>
              <w:rPr>
                <w:rFonts w:cs="仿宋" w:asciiTheme="minorEastAsia" w:hAnsiTheme="minorEastAsia" w:eastAsiaTheme="minorEastAsia"/>
                <w:szCs w:val="21"/>
                <w:u w:val="none"/>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评审价格</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9" w:type="dxa"/>
            <w:gridSpan w:val="4"/>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3 详细评审标准和程序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50" w:type="dxa"/>
            <w:gridSpan w:val="2"/>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条款号</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条款内容</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50" w:type="dxa"/>
            <w:gridSpan w:val="2"/>
            <w:vAlign w:val="center"/>
          </w:tcPr>
          <w:p>
            <w:pPr>
              <w:widowControl/>
              <w:adjustRightInd w:val="0"/>
              <w:snapToGrid w:val="0"/>
              <w:spacing w:line="240" w:lineRule="auto"/>
              <w:jc w:val="both"/>
              <w:rPr>
                <w:rFonts w:cs="仿宋" w:asciiTheme="minorEastAsia" w:hAnsiTheme="minorEastAsia" w:eastAsiaTheme="minorEastAsia"/>
                <w:szCs w:val="21"/>
                <w:u w:val="none"/>
              </w:rPr>
            </w:pPr>
            <w:r>
              <w:rPr>
                <w:rFonts w:hint="eastAsia" w:cs="仿宋" w:asciiTheme="minorEastAsia" w:hAnsiTheme="minorEastAsia" w:eastAsiaTheme="minorEastAsia"/>
                <w:szCs w:val="21"/>
                <w:u w:val="none"/>
              </w:rPr>
              <w:t>3</w:t>
            </w:r>
          </w:p>
        </w:tc>
        <w:tc>
          <w:tcPr>
            <w:tcW w:w="1754" w:type="dxa"/>
            <w:vAlign w:val="center"/>
          </w:tcPr>
          <w:p>
            <w:pPr>
              <w:widowControl w:val="0"/>
              <w:spacing w:line="240" w:lineRule="auto"/>
              <w:jc w:val="both"/>
              <w:rPr>
                <w:rFonts w:asciiTheme="minorEastAsia" w:hAnsiTheme="minorEastAsia" w:eastAsiaTheme="minorEastAsia"/>
                <w:szCs w:val="21"/>
                <w:u w:val="none"/>
              </w:rPr>
            </w:pPr>
            <w:r>
              <w:rPr>
                <w:rFonts w:hint="eastAsia" w:asciiTheme="minorEastAsia" w:hAnsiTheme="minorEastAsia" w:eastAsiaTheme="minorEastAsia"/>
                <w:szCs w:val="21"/>
                <w:u w:val="none"/>
              </w:rPr>
              <w:t>报价</w:t>
            </w:r>
          </w:p>
        </w:tc>
        <w:tc>
          <w:tcPr>
            <w:tcW w:w="4715" w:type="dxa"/>
            <w:vAlign w:val="center"/>
          </w:tcPr>
          <w:p>
            <w:pPr>
              <w:widowControl w:val="0"/>
              <w:adjustRightInd w:val="0"/>
              <w:snapToGrid w:val="0"/>
              <w:spacing w:line="240" w:lineRule="auto"/>
              <w:jc w:val="both"/>
              <w:rPr>
                <w:rFonts w:cs="仿宋" w:asciiTheme="minorEastAsia" w:hAnsiTheme="minorEastAsia" w:eastAsiaTheme="minorEastAsia"/>
                <w:szCs w:val="21"/>
                <w:u w:val="none"/>
              </w:rPr>
            </w:pPr>
            <w:r>
              <w:rPr>
                <w:rFonts w:hint="eastAsia" w:asciiTheme="minorEastAsia" w:hAnsiTheme="minorEastAsia" w:eastAsiaTheme="minorEastAsia"/>
                <w:szCs w:val="21"/>
                <w:u w:val="none"/>
              </w:rPr>
              <w:t>根据</w:t>
            </w:r>
            <w:r>
              <w:rPr>
                <w:rFonts w:asciiTheme="minorEastAsia" w:hAnsiTheme="minorEastAsia" w:eastAsiaTheme="minorEastAsia"/>
                <w:szCs w:val="21"/>
                <w:u w:val="none"/>
              </w:rPr>
              <w:t>2</w:t>
            </w:r>
            <w:r>
              <w:rPr>
                <w:rFonts w:hint="eastAsia" w:asciiTheme="minorEastAsia" w:hAnsiTheme="minorEastAsia" w:eastAsiaTheme="minorEastAsia"/>
                <w:szCs w:val="21"/>
                <w:u w:val="none"/>
              </w:rPr>
              <w:t>.</w:t>
            </w:r>
            <w:r>
              <w:rPr>
                <w:rFonts w:asciiTheme="minorEastAsia" w:hAnsiTheme="minorEastAsia" w:eastAsiaTheme="minorEastAsia"/>
                <w:szCs w:val="21"/>
                <w:u w:val="none"/>
              </w:rPr>
              <w:t>2</w:t>
            </w:r>
            <w:r>
              <w:rPr>
                <w:rFonts w:hint="eastAsia" w:asciiTheme="minorEastAsia" w:hAnsiTheme="minorEastAsia" w:eastAsiaTheme="minorEastAsia"/>
                <w:szCs w:val="21"/>
                <w:u w:val="none"/>
              </w:rPr>
              <w:t>.</w:t>
            </w:r>
            <w:r>
              <w:rPr>
                <w:rFonts w:asciiTheme="minorEastAsia" w:hAnsiTheme="minorEastAsia" w:eastAsiaTheme="minorEastAsia"/>
                <w:szCs w:val="21"/>
                <w:u w:val="none"/>
              </w:rPr>
              <w:t>2</w:t>
            </w:r>
            <w:r>
              <w:rPr>
                <w:rFonts w:hint="eastAsia" w:asciiTheme="minorEastAsia" w:hAnsiTheme="minorEastAsia" w:eastAsiaTheme="minorEastAsia"/>
                <w:szCs w:val="21"/>
                <w:u w:val="none"/>
              </w:rPr>
              <w:t>条规定，</w:t>
            </w:r>
            <w:r>
              <w:rPr>
                <w:rFonts w:hint="eastAsia" w:cs="仿宋" w:asciiTheme="minorEastAsia" w:hAnsiTheme="minorEastAsia" w:eastAsiaTheme="minorEastAsia"/>
                <w:szCs w:val="21"/>
                <w:u w:val="none"/>
              </w:rPr>
              <w:t>按照评审价格由低到高的顺序推荐成交候选供应商。</w:t>
            </w:r>
          </w:p>
        </w:tc>
      </w:tr>
    </w:tbl>
    <w:p>
      <w:pPr>
        <w:rPr>
          <w:u w:val="none"/>
          <w:lang w:val="zh-CN"/>
        </w:rPr>
      </w:pPr>
      <w:r>
        <w:rPr>
          <w:u w:val="none"/>
          <w:lang w:val="zh-CN"/>
        </w:rPr>
        <w:br w:type="page"/>
      </w:r>
    </w:p>
    <w:p>
      <w:pPr>
        <w:adjustRightInd w:val="0"/>
        <w:snapToGrid w:val="0"/>
        <w:spacing w:line="312" w:lineRule="auto"/>
        <w:jc w:val="center"/>
        <w:rPr>
          <w:rFonts w:ascii="宋体" w:hAnsi="宋体" w:cs="仿宋"/>
          <w:b/>
          <w:bCs/>
          <w:sz w:val="36"/>
          <w:szCs w:val="36"/>
          <w:u w:val="none"/>
        </w:rPr>
      </w:pPr>
      <w:r>
        <w:rPr>
          <w:rFonts w:hint="eastAsia" w:ascii="宋体" w:hAnsi="宋体" w:cs="仿宋"/>
          <w:b/>
          <w:bCs/>
          <w:sz w:val="36"/>
          <w:szCs w:val="36"/>
          <w:u w:val="none"/>
        </w:rPr>
        <w:t>评审办法正文</w:t>
      </w:r>
    </w:p>
    <w:p>
      <w:pPr>
        <w:adjustRightInd w:val="0"/>
        <w:snapToGrid w:val="0"/>
        <w:spacing w:line="312" w:lineRule="auto"/>
        <w:jc w:val="both"/>
        <w:rPr>
          <w:rFonts w:ascii="宋体" w:hAnsi="宋体" w:cs="仿宋"/>
          <w:b/>
          <w:bCs/>
          <w:sz w:val="36"/>
          <w:szCs w:val="36"/>
          <w:u w:val="none"/>
        </w:rPr>
      </w:pP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1评审方法(最低价法)</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2初步评审标准和程序</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2.1初步评审标准</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2.1.1形式评审标准:见评审办法前附表。</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2.1.2资格评审标准:见评审办法前附表。</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2.1.3响应性评审标准:见评审办法前附表。</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2.2初步评审程序</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2.2.4供应商有串通，弄虚作假、行贿等违法行为的，其响应文件将被视为无效。</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3详细评审标准和程序</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4评审结果</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4.1提交书面评审报告</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评审小组完成评审后，应当向采购人提交书面评审报告。</w:t>
      </w:r>
    </w:p>
    <w:p>
      <w:pPr>
        <w:adjustRightInd w:val="0"/>
        <w:snapToGrid w:val="0"/>
        <w:spacing w:line="312" w:lineRule="auto"/>
        <w:jc w:val="both"/>
        <w:rPr>
          <w:rFonts w:ascii="宋体" w:hAnsi="宋体" w:cs="仿宋"/>
          <w:b/>
          <w:bCs/>
          <w:sz w:val="24"/>
          <w:u w:val="none"/>
        </w:rPr>
      </w:pPr>
      <w:r>
        <w:rPr>
          <w:rFonts w:hint="eastAsia" w:ascii="宋体" w:hAnsi="宋体" w:cs="仿宋"/>
          <w:b/>
          <w:bCs/>
          <w:sz w:val="24"/>
          <w:u w:val="none"/>
        </w:rPr>
        <w:t>4.2推荐成交候选供应商排序要求及数量</w:t>
      </w:r>
    </w:p>
    <w:p>
      <w:pPr>
        <w:adjustRightInd w:val="0"/>
        <w:snapToGrid w:val="0"/>
        <w:spacing w:line="312" w:lineRule="auto"/>
        <w:ind w:firstLine="453" w:firstLineChars="189"/>
        <w:jc w:val="both"/>
        <w:rPr>
          <w:rFonts w:ascii="宋体" w:hAnsi="宋体" w:cs="仿宋"/>
          <w:sz w:val="24"/>
          <w:u w:val="none"/>
        </w:rPr>
      </w:pPr>
      <w:r>
        <w:rPr>
          <w:rFonts w:hint="eastAsia" w:ascii="宋体" w:hAnsi="宋体" w:cs="仿宋"/>
          <w:sz w:val="24"/>
          <w:u w:val="none"/>
        </w:rPr>
        <w:t>评审小组应在书面评审报告中按照供应商排列的优先顺序向采购人推荐成交候选供应商(排序或不排序)。成交候选供应商的排序要求及数量见第二章“供应商须知”。</w:t>
      </w:r>
    </w:p>
    <w:p>
      <w:pPr>
        <w:pStyle w:val="23"/>
        <w:spacing w:line="600" w:lineRule="exact"/>
        <w:ind w:left="420" w:firstLine="0" w:firstLineChars="0"/>
        <w:jc w:val="center"/>
        <w:outlineLvl w:val="0"/>
        <w:rPr>
          <w:rFonts w:ascii="黑体" w:hAnsi="黑体" w:eastAsia="黑体" w:cs="仿宋"/>
          <w:b/>
          <w:color w:val="FF0000"/>
          <w:sz w:val="36"/>
          <w:szCs w:val="36"/>
          <w:u w:val="none"/>
        </w:rPr>
      </w:pPr>
      <w:r>
        <w:rPr>
          <w:u w:val="none"/>
          <w:lang w:val="zh-CN"/>
        </w:rPr>
        <w:br w:type="page"/>
      </w:r>
      <w:bookmarkStart w:id="15" w:name="_Toc7020"/>
      <w:r>
        <w:rPr>
          <w:rFonts w:hint="eastAsia" w:ascii="黑体" w:hAnsi="黑体" w:eastAsia="黑体" w:cs="仿宋"/>
          <w:b/>
          <w:sz w:val="36"/>
          <w:szCs w:val="36"/>
          <w:u w:val="none"/>
        </w:rPr>
        <w:t>第四章  合同条款及格式</w:t>
      </w:r>
      <w:bookmarkEnd w:id="15"/>
    </w:p>
    <w:p>
      <w:pPr>
        <w:jc w:val="center"/>
        <w:rPr>
          <w:u w:val="none"/>
          <w:lang w:val="zh-CN"/>
        </w:rPr>
      </w:pPr>
    </w:p>
    <w:p>
      <w:pPr>
        <w:autoSpaceDN w:val="0"/>
        <w:spacing w:before="100" w:beforeAutospacing="1" w:after="100" w:afterAutospacing="1"/>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岳阳城陵矶新港有限公司卫生保洁外包合同</w:t>
      </w:r>
    </w:p>
    <w:p>
      <w:pPr>
        <w:autoSpaceDN w:val="0"/>
        <w:spacing w:before="100" w:beforeAutospacing="1" w:after="100" w:afterAutospacing="1"/>
        <w:ind w:firstLine="4440" w:firstLineChars="185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合同编号：</w:t>
      </w:r>
    </w:p>
    <w:p>
      <w:pPr>
        <w:autoSpaceDN w:val="0"/>
        <w:spacing w:line="360" w:lineRule="auto"/>
        <w:ind w:firstLine="480" w:firstLineChars="200"/>
        <w:rPr>
          <w:rFonts w:hint="eastAsia" w:ascii="宋体" w:hAnsi="宋体" w:eastAsia="宋体" w:cs="宋体"/>
          <w:bCs/>
          <w:color w:val="auto"/>
          <w:sz w:val="24"/>
          <w:szCs w:val="24"/>
          <w:u w:val="none"/>
        </w:rPr>
      </w:pPr>
      <w:r>
        <w:rPr>
          <w:rFonts w:hint="eastAsia" w:ascii="宋体" w:hAnsi="宋体" w:eastAsia="宋体" w:cs="宋体"/>
          <w:color w:val="auto"/>
          <w:sz w:val="24"/>
          <w:szCs w:val="24"/>
          <w:u w:val="none"/>
        </w:rPr>
        <w:t>甲方（单位）名称：</w:t>
      </w:r>
      <w:r>
        <w:rPr>
          <w:rFonts w:hint="eastAsia" w:ascii="宋体" w:hAnsi="宋体" w:eastAsia="宋体" w:cs="宋体"/>
          <w:bCs/>
          <w:color w:val="auto"/>
          <w:sz w:val="24"/>
          <w:szCs w:val="24"/>
          <w:u w:val="none"/>
        </w:rPr>
        <w:t>岳阳城陵矶新港有限公司</w:t>
      </w:r>
    </w:p>
    <w:p>
      <w:pPr>
        <w:autoSpaceDN w:val="0"/>
        <w:spacing w:line="360" w:lineRule="auto"/>
        <w:ind w:firstLine="482" w:firstLineChars="200"/>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rPr>
        <w:t>统一社会信用代码：</w:t>
      </w:r>
    </w:p>
    <w:p>
      <w:pPr>
        <w:autoSpaceDN w:val="0"/>
        <w:spacing w:line="360" w:lineRule="auto"/>
        <w:ind w:firstLine="482" w:firstLineChars="200"/>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文书送达地址：</w:t>
      </w:r>
      <w:r>
        <w:rPr>
          <w:rFonts w:hint="eastAsia" w:ascii="宋体" w:hAnsi="宋体" w:eastAsia="宋体" w:cs="宋体"/>
          <w:color w:val="auto"/>
          <w:sz w:val="24"/>
          <w:szCs w:val="24"/>
          <w:u w:val="none"/>
        </w:rPr>
        <w:t>岳阳市城陵矶临港新区新港办公楼</w:t>
      </w:r>
    </w:p>
    <w:p>
      <w:pPr>
        <w:autoSpaceDN w:val="0"/>
        <w:spacing w:line="360" w:lineRule="auto"/>
        <w:ind w:firstLine="482" w:firstLineChars="200"/>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法定代表人：</w:t>
      </w:r>
      <w:r>
        <w:rPr>
          <w:rFonts w:hint="eastAsia" w:ascii="宋体" w:hAnsi="宋体" w:eastAsia="宋体" w:cs="宋体"/>
          <w:color w:val="auto"/>
          <w:sz w:val="24"/>
          <w:szCs w:val="24"/>
          <w:u w:val="none"/>
        </w:rPr>
        <w:t>任一兵</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单位所有制性质：国营企业</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电话号码：8422010</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联系地址：岳阳城陵矶新港区新港办公楼</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乙方（单位）名称： </w:t>
      </w:r>
    </w:p>
    <w:p>
      <w:pPr>
        <w:autoSpaceDN w:val="0"/>
        <w:spacing w:line="360" w:lineRule="auto"/>
        <w:ind w:firstLine="482" w:firstLineChars="200"/>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rPr>
        <w:t>统一社会信用代码：</w:t>
      </w:r>
    </w:p>
    <w:p>
      <w:pPr>
        <w:autoSpaceDN w:val="0"/>
        <w:spacing w:line="360" w:lineRule="auto"/>
        <w:ind w:firstLine="482" w:firstLineChars="200"/>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文书送达地址：</w:t>
      </w:r>
      <w:r>
        <w:rPr>
          <w:rFonts w:hint="eastAsia" w:ascii="宋体" w:hAnsi="宋体" w:eastAsia="宋体" w:cs="宋体"/>
          <w:color w:val="auto"/>
          <w:sz w:val="24"/>
          <w:szCs w:val="24"/>
          <w:u w:val="none"/>
        </w:rPr>
        <w:t xml:space="preserve"> </w:t>
      </w:r>
    </w:p>
    <w:p>
      <w:pPr>
        <w:autoSpaceDN w:val="0"/>
        <w:spacing w:line="360" w:lineRule="auto"/>
        <w:ind w:firstLine="482" w:firstLineChars="200"/>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法定代表人：</w:t>
      </w:r>
      <w:r>
        <w:rPr>
          <w:rFonts w:hint="eastAsia" w:ascii="宋体" w:hAnsi="宋体" w:eastAsia="宋体" w:cs="宋体"/>
          <w:color w:val="auto"/>
          <w:sz w:val="24"/>
          <w:szCs w:val="24"/>
          <w:u w:val="none"/>
        </w:rPr>
        <w:t xml:space="preserve"> </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单位所有制性质： </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电话号码：</w:t>
      </w:r>
    </w:p>
    <w:p>
      <w:pPr>
        <w:autoSpaceDN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联系地址： </w:t>
      </w:r>
    </w:p>
    <w:p>
      <w:pPr>
        <w:pStyle w:val="15"/>
        <w:numPr>
          <w:ilvl w:val="0"/>
          <w:numId w:val="0"/>
        </w:numPr>
        <w:ind w:firstLine="420"/>
        <w:rPr>
          <w:rFonts w:hint="eastAsia" w:ascii="宋体" w:hAnsi="宋体" w:eastAsia="宋体" w:cs="宋体"/>
          <w:color w:val="auto"/>
          <w:sz w:val="24"/>
          <w:szCs w:val="24"/>
          <w:u w:val="none"/>
        </w:rPr>
      </w:pP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根据《中华人民共和国民法典》的规定，甲、乙双方本着平等自愿、协商一致、公正公平、诚实信用的原则，签订本合同。经甲、乙双方友好协商，甲方将港区公共区域卫生保洁服务整体外包工作委托乙方，双方达成如下协议。</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合同期限</w:t>
      </w: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卫生保洁外包的期限为1年，自 年 月 日起至 年 月 日止。</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合同项目服务范围</w:t>
      </w:r>
    </w:p>
    <w:p>
      <w:pPr>
        <w:pStyle w:val="23"/>
        <w:numPr>
          <w:ilvl w:val="1"/>
          <w:numId w:val="5"/>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外包甲方港区公共区域卫生保洁服务，具体范围为：岳阳新港公司办公楼及周边、宿舍楼，一期、二期港区生产作业区域（含作业楼、闸口前坪、码头平台、引桥、各堆场（含堆场电缆沟）、堆场公共卫生间、垃圾池周边区域）、港区绿化带内区域（白色垃圾清理）等区域；信息化大楼公共区域（含各楼道、9楼平台、楼周边及绿化带内）等公共区域约56.4万M</w:t>
      </w:r>
      <w:r>
        <w:rPr>
          <w:rFonts w:hint="eastAsia" w:ascii="宋体" w:hAnsi="宋体" w:eastAsia="宋体" w:cs="宋体"/>
          <w:color w:val="auto"/>
          <w:sz w:val="24"/>
          <w:szCs w:val="24"/>
          <w:u w:val="none"/>
          <w:vertAlign w:val="superscript"/>
        </w:rPr>
        <w:t>2</w:t>
      </w:r>
      <w:r>
        <w:rPr>
          <w:rFonts w:hint="eastAsia" w:ascii="宋体" w:hAnsi="宋体" w:eastAsia="宋体" w:cs="宋体"/>
          <w:color w:val="auto"/>
          <w:sz w:val="24"/>
          <w:szCs w:val="24"/>
          <w:u w:val="none"/>
        </w:rPr>
        <w:t>进行卫生保洁服务。</w:t>
      </w:r>
    </w:p>
    <w:p>
      <w:pPr>
        <w:pStyle w:val="23"/>
        <w:numPr>
          <w:ilvl w:val="1"/>
          <w:numId w:val="5"/>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在合同期限内，乙方采取卫生保洁外包方式。</w:t>
      </w:r>
    </w:p>
    <w:p>
      <w:pPr>
        <w:pStyle w:val="23"/>
        <w:numPr>
          <w:ilvl w:val="1"/>
          <w:numId w:val="5"/>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甲、乙双方确认承包地点在甲方港区公共区域卫生保洁，根据甲方的工作需要，经甲、乙双方协商一致，可以变更承包地点。</w:t>
      </w:r>
    </w:p>
    <w:p>
      <w:pPr>
        <w:pStyle w:val="23"/>
        <w:numPr>
          <w:ilvl w:val="1"/>
          <w:numId w:val="5"/>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乙方应按照甲方的要求，按时、按质、按量完成承保范围内的卫生保洁工作。</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工作时间</w:t>
      </w:r>
    </w:p>
    <w:p>
      <w:pPr>
        <w:pStyle w:val="23"/>
        <w:numPr>
          <w:ilvl w:val="0"/>
          <w:numId w:val="6"/>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乙方根据甲方日常清洁要求每天固定派遣   名清洁人员常驻甲方公司进行卫生清洁工作。</w:t>
      </w:r>
    </w:p>
    <w:p>
      <w:pPr>
        <w:pStyle w:val="23"/>
        <w:numPr>
          <w:ilvl w:val="0"/>
          <w:numId w:val="6"/>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如甲方有活动需要乙方清洁人员突击做卫生，乙方须无条件安排清洁人员保质保量的完成任务。</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服务费用及支付方式</w:t>
      </w:r>
    </w:p>
    <w:p>
      <w:pPr>
        <w:pStyle w:val="23"/>
        <w:numPr>
          <w:ilvl w:val="0"/>
          <w:numId w:val="7"/>
        </w:numPr>
        <w:shd w:val="clear" w:color="auto" w:fill="FFFFFF"/>
        <w:spacing w:line="360" w:lineRule="auto"/>
        <w:ind w:left="0" w:firstLine="480"/>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甲方给乙方以月结费用方式支付劳动报酬，服务费用年总计为¥ 元（人民币***整），月结服务费为¥**.00元（人民币***整）。</w:t>
      </w:r>
    </w:p>
    <w:p>
      <w:pPr>
        <w:pStyle w:val="23"/>
        <w:numPr>
          <w:ilvl w:val="0"/>
          <w:numId w:val="7"/>
        </w:numPr>
        <w:shd w:val="clear" w:color="auto" w:fill="FFFFFF"/>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在乙方按照合同履行义务经甲方验收认可后，于当月10日前由乙方出具税务发票结账。如遇节假日特殊情况，付款时间可提前或顺延，但时间必须在顺延后5日之内。</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双方的权利与义务</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甲方建立、健全劳动卫生制度，严格执行国家劳动安全卫生规程和标准，对乙方派遣的清洁人员进行劳动安全卫生教育，防止劳动过程中的事故，减少职业危害。</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甲方必须为乙方派遣的清洁人员提供符合国家规定的劳动安全卫生条件，甲方对乙方所雇用的员工不负任何责任和义务。</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对乙方提供的清洁服务享有监督和检查权利，如发现有不符合标准之处，可责令乙方清洁人员随时进行整改。甲方通知乙方后，乙方1小时之内未执行到位，甲方给予乙方100.00元/次的罚款，月度累计达5次、年度累计达到10次将直接解除承包合同。</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甲方有权监督和检查乙方按时足额发放清洁人员的劳动报酬和为其办理的工伤保险情况。</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按照合同约定及承包范围内清洁工作的实际需求提供优质合格的清洁服务。乙方如未按合同要求履行卫生保洁标准，甲方通知乙方后乙方拒不执行，甲方有权按合同总金额的1‰/天扣款，但累计扣款不得超过当年总服务费用的1%。</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乙方按照甲方的要求管理和培训清洁人员。</w:t>
      </w:r>
    </w:p>
    <w:p>
      <w:pPr>
        <w:pStyle w:val="23"/>
        <w:numPr>
          <w:ilvl w:val="0"/>
          <w:numId w:val="8"/>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乙方按时足额发放清洁人员的劳动报酬，每月15日为工资发放日，不得以任何名目直接扣除清洁人员工资。</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合同的变更</w:t>
      </w:r>
    </w:p>
    <w:p>
      <w:pPr>
        <w:pStyle w:val="23"/>
        <w:numPr>
          <w:ilvl w:val="0"/>
          <w:numId w:val="9"/>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有下列情形之一的，甲、乙双方可以变更本合同的内容，变更后的合同，文本由甲乙双方各执两份。</w:t>
      </w: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（1）双方协商一致同意变更的。</w:t>
      </w: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（2）合同订立时所依据的客观情况发生了重大变化，甲乙双方协商一致同意变更的。</w:t>
      </w: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（3）由于不可抗力的因素致使合同无法完全履行的。</w:t>
      </w:r>
    </w:p>
    <w:p>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（4）法律、法规规定的其他情形。</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合同的终止</w:t>
      </w:r>
    </w:p>
    <w:p>
      <w:pPr>
        <w:pStyle w:val="23"/>
        <w:numPr>
          <w:ilvl w:val="0"/>
          <w:numId w:val="10"/>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本合同到期自然终止。</w:t>
      </w:r>
    </w:p>
    <w:p>
      <w:pPr>
        <w:pStyle w:val="23"/>
        <w:numPr>
          <w:ilvl w:val="0"/>
          <w:numId w:val="10"/>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甲乙双方经协商一致可签订书面协议解除本合同。</w:t>
      </w:r>
    </w:p>
    <w:p>
      <w:pPr>
        <w:pStyle w:val="23"/>
        <w:numPr>
          <w:ilvl w:val="0"/>
          <w:numId w:val="10"/>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本合同签订后甲乙双方不得擅自解除，若其中一方随意解除本合同，违约方应向守约方支付￥5000.00元（人民币伍仟元整）的违约金。</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特别约定</w:t>
      </w:r>
    </w:p>
    <w:p>
      <w:pPr>
        <w:pStyle w:val="23"/>
        <w:numPr>
          <w:ilvl w:val="0"/>
          <w:numId w:val="11"/>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乙方指派的保洁人员应当保守甲方的商业秘密。</w:t>
      </w:r>
    </w:p>
    <w:p>
      <w:pPr>
        <w:pStyle w:val="23"/>
        <w:numPr>
          <w:ilvl w:val="0"/>
          <w:numId w:val="11"/>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乙方确认，甲方已如实告知乙方工作内容、工作条件、工作地点、职业危害、安全生产状况、劳动报酬，以及乙方要求了解的其他情况。</w:t>
      </w:r>
    </w:p>
    <w:p>
      <w:pPr>
        <w:pStyle w:val="23"/>
        <w:numPr>
          <w:ilvl w:val="0"/>
          <w:numId w:val="11"/>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乙方确认，甲方有关文书在无法直接送达给乙方的情形下(包括但不限于乙方拒收、下落不明等情形)，乙方在本合同中填写的地址为甲方邮寄送达地址。</w:t>
      </w:r>
    </w:p>
    <w:p>
      <w:pPr>
        <w:pStyle w:val="23"/>
        <w:numPr>
          <w:ilvl w:val="0"/>
          <w:numId w:val="11"/>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常驻甲方公司进行卫生清洁的乙方工作人员在患病或因违反公司安全操作规程导致发生意外伤害所发生的费用，由清洁人员与乙方协商解决，为降低风险，乙方应按时为其选派的清洁人员购买工伤无忧保险或雇主责任险；清洁人员在工作时间段或上下班途中所发生的工伤事故费用由乙方承担，甲方不承担任何费用和责任。</w:t>
      </w:r>
    </w:p>
    <w:p>
      <w:pPr>
        <w:pStyle w:val="23"/>
        <w:numPr>
          <w:ilvl w:val="0"/>
          <w:numId w:val="11"/>
        </w:numPr>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乙方按照国家法律法规的规定保障清洁工作人员享受相应的劳动待遇。</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安全条款</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项目名称：</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本安全协议只涉及甲乙双方在本项目中关于安全生产的权利和责任。</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甲方权利</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有权要求乙方建立安全组织机构或指定专人，负责现场安全监护。严格执行安全生产法律、法规、条例、标准，遵守甲方的安全生产规章制度等。</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有权按规定对乙方安全业绩、资质进行审查，对乙方针对作业项目制定的职业健康安全、环境项目进行审查并备案。</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有权要求乙方不得损坏相关的甲方的安全生产设施、设备和器材。</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有权要求乙方在进入甲方现场作业前所有作业人员接受甲方的安全培训与教育。</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有权对乙方的作业现场的安全作业情况进行监督检查，有权对乙方不符合安全生产要求的行为进行纠正、处罚、制止、停止作业、直至清退出场。</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有权要求乙方为所有作业人员购买工伤保险和意外伤害保险。</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pStyle w:val="23"/>
        <w:numPr>
          <w:ilvl w:val="0"/>
          <w:numId w:val="13"/>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发生事故后、有权根据有关规定参与事故的调查。</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甲方责任</w:t>
      </w:r>
    </w:p>
    <w:p>
      <w:pPr>
        <w:pStyle w:val="23"/>
        <w:numPr>
          <w:ilvl w:val="0"/>
          <w:numId w:val="14"/>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认真贯彻落实国家有关法律、法规、标准及甲方公司安全生产规章制度。</w:t>
      </w:r>
    </w:p>
    <w:p>
      <w:pPr>
        <w:pStyle w:val="23"/>
        <w:numPr>
          <w:ilvl w:val="0"/>
          <w:numId w:val="14"/>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向乙方明确作业区的范围、危险源及安全技术交底，并要有书面记录。</w:t>
      </w:r>
    </w:p>
    <w:p>
      <w:pPr>
        <w:pStyle w:val="23"/>
        <w:numPr>
          <w:ilvl w:val="0"/>
          <w:numId w:val="14"/>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为乙方提供项目合同中规定的安全作业条件。</w:t>
      </w:r>
    </w:p>
    <w:p>
      <w:pPr>
        <w:pStyle w:val="23"/>
        <w:numPr>
          <w:ilvl w:val="0"/>
          <w:numId w:val="14"/>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发生事故后积极协助抢险，防止事故扩大，并按照甲方有关规定进行报告。</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乙方权利</w:t>
      </w:r>
    </w:p>
    <w:p>
      <w:pPr>
        <w:pStyle w:val="23"/>
        <w:numPr>
          <w:ilvl w:val="0"/>
          <w:numId w:val="15"/>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有权对甲方的安全工作提出合理化建议和改进意见。</w:t>
      </w:r>
    </w:p>
    <w:p>
      <w:pPr>
        <w:pStyle w:val="23"/>
        <w:numPr>
          <w:ilvl w:val="0"/>
          <w:numId w:val="15"/>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日常作业中，若甲方违章指挥、强令乙方冒险作业，有权拒绝执行。</w:t>
      </w:r>
    </w:p>
    <w:p>
      <w:pPr>
        <w:pStyle w:val="23"/>
        <w:numPr>
          <w:ilvl w:val="0"/>
          <w:numId w:val="15"/>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有权要求甲方提供符合安全作业的工艺条件和环境。</w:t>
      </w:r>
    </w:p>
    <w:p>
      <w:pPr>
        <w:pStyle w:val="23"/>
        <w:numPr>
          <w:ilvl w:val="0"/>
          <w:numId w:val="15"/>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发生严重危及乙方生命安全的紧急情况时，乙方有权采取必要的避险措施。</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乙方的责任</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乙方是本项目的安全生产责任主体，对本项目的安全生产工作全面负责。</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健全安全组织机构，建立安全生产责任制，制定健全的安全生产规章制度，制定生产安全事故应急求援预案，配备必要的安全生产管理人员和劳动保护用品，严格执行甲方相关的规章制度。</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应对作业人员进行作业前安全教育培训，使其具备相应的安全意识和安全技能；特种作业人员应具有相应的资格证书。</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不得使用不符合国家、行业标准和甲方规定的原材料、设备、装置、防护用品、器材、安全检测仪器等。所使用的特种设备，必须经具有专业资质的检验检测机构检测。经检测不合格的，不得继续使用。</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指定专人负责现场安全监督检查工作，认真开展安全检查，发现作业过程中不安全行为和隐患、应采取有效措施积极处理。</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乙方有责任对作业区域的安全生产条件进行详细了解。</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乙方在作业过程中有属于危及安全生产的关键作业时，应提出切实可行的方案，经甲方同意后，方可实施。</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未经甲方同意，乙方不得将项目转包给第三方。</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乙方工作人员在作业期间只能在甲方规定的路线进出公司，只能在规定的作业区域内作业，禁止私自进入甲方其它生产区域。</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乙方工作人员应服从甲方的安全管理。</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发生事故时，应积极抢险，避免事故的进一步扩大，并按照国家相关要求报告事故。</w:t>
      </w:r>
    </w:p>
    <w:p>
      <w:pPr>
        <w:pStyle w:val="23"/>
        <w:numPr>
          <w:ilvl w:val="0"/>
          <w:numId w:val="16"/>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当乙方在作业过程中发生伤亡事故时，乙方作为承包单位，对发生的人身伤害、设备损坏事故承担相应安全责任。由乙方向自己的主管上级部门及当地政府的安全生产监督管理部门、公安部门报告，并自行承担相应的责任。</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违约责任及处理</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甲乙双方违反本合同要求，未造成事故时，依据相关合同对违约者进行处理（包括但不限于支付违约金、赔偿损失等）。</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发生事故时，甲、乙双方有抢险、救灾的责任，所发生的费用由责任方承担。</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发生的事故，应经事故调查确认责任；事故报告和调查应按照国家和甲方有关规定进行。</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甲方违约造成的事故，甲方承担全部责任，并按规定追究有关人员责任及上报。</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乙方违约造成的事故，乙方承担全部责任，并按规定追究有关人员责任并报告甲方；由于乙方工程质量、检修质量及购买的原材料导致的事故，由乙方承担全部责任。</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甲、乙双方共同造成的事故，按双方责任大小承担相应责任，并按规定追究有关人员责任。</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对乙方发生事故后弄虚作假、隐瞒不报、迟报或谎报，一经查出，按有关规定从重处罚，情节严重的，甲方有权向当地政府安全生产监督管理部门报告，并取消其进入甲方市场资格。</w:t>
      </w:r>
    </w:p>
    <w:p>
      <w:pPr>
        <w:pStyle w:val="23"/>
        <w:numPr>
          <w:ilvl w:val="0"/>
          <w:numId w:val="17"/>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作业期间，乙方需要办理的有关安全的批文或其它手续，必须办理齐全，否则发生安全事故由乙方承担全部责任。</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由于不可抗力造成合同项目作业事故及生产的损失，当事人双方各自承担相应的损失。</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乙方应重点加强卫生保洁电瓶车及操作人员的安全教育管理，严格遵守甲方港区交通管理，确保保洁人员站位及保洁电瓶车辆停放安全。</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甲方现无偿提供给乙方卫生保洁电瓶车充电和停放场地，如甲方场地要做他用，甲方提前三天告知乙方后有权收回。</w:t>
      </w:r>
    </w:p>
    <w:p>
      <w:pPr>
        <w:pStyle w:val="23"/>
        <w:numPr>
          <w:ilvl w:val="1"/>
          <w:numId w:val="12"/>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乙方应按照卫生保洁电瓶车充电的使用管理规定执行，乙方因保洁车辆充电自燃等原因发生的损失，甲方不负一切责任，给甲方带来的经济损失由责任方负责赔偿。</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廉洁条款</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根据国家相关法律法规，为预防商务往来的违法违纪事件发生，甲乙双方同意在商务合作中履行以下约定。</w:t>
      </w:r>
    </w:p>
    <w:p>
      <w:pPr>
        <w:widowControl w:val="0"/>
        <w:numPr>
          <w:ilvl w:val="0"/>
          <w:numId w:val="18"/>
        </w:numPr>
        <w:tabs>
          <w:tab w:val="left" w:pos="630"/>
        </w:tabs>
        <w:spacing w:line="360" w:lineRule="auto"/>
        <w:ind w:left="0" w:firstLine="480" w:firstLineChars="200"/>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甲方廉洁义务</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有权了解乙方有关廉洁从业方面的各项制度和规定，并自觉配合乙方遵守执行。甲方人员不得以任何形式向乙方索取贿赂，收受回扣及好处费等。不得接受乙方钱、物，有价证券。不得让乙方报销任何费用。不得参与乙方组织对执行业务有关的私人会馆等娱乐场所活动和宴请。不得接受乙方介绍给予家庭成员或亲友从事与业务有关联的商务业务、材料、设备供应或项目分包等经济活动。不得借婚丧嫁娶之机收受乙方钱物。</w:t>
      </w:r>
    </w:p>
    <w:p>
      <w:pPr>
        <w:widowControl w:val="0"/>
        <w:numPr>
          <w:ilvl w:val="0"/>
          <w:numId w:val="18"/>
        </w:numPr>
        <w:tabs>
          <w:tab w:val="left" w:pos="630"/>
        </w:tabs>
        <w:spacing w:line="360" w:lineRule="auto"/>
        <w:ind w:left="0" w:firstLine="480" w:firstLineChars="200"/>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乙方廉洁义务</w:t>
      </w:r>
    </w:p>
    <w:p>
      <w:pPr>
        <w:pStyle w:val="23"/>
        <w:numPr>
          <w:ilvl w:val="3"/>
          <w:numId w:val="19"/>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承诺遵守甲方在廉洁从业方面的各项制度和规定，包括但不限于新港公司相关管理制度，并自觉配合甲方执行。乙方人员不得以任何形式向甲方人员行贿、提供回扣或其他好处费用。不得对甲方人员馈赠现金、有价证券和贵重物品。不得给予甲方人员报销任何费用。不得为甲方人员购置或长期无偿提供交通、通信、办公和家庭生活用品。不得邀请甲方人员参加对执行业务有关的私人会馆及娱乐或宴请活动。不得接收甲方人员介绍的家属或亲友从事与业务合作有关的商务业务、材料、设备供应或项目分包经济活动等。不得为甲方人员安排出境和旅游活动。不得借婚丧嫁娶之机向甲方人员赠送钱物或有价证券。</w:t>
      </w:r>
    </w:p>
    <w:p>
      <w:pPr>
        <w:pStyle w:val="23"/>
        <w:numPr>
          <w:ilvl w:val="3"/>
          <w:numId w:val="19"/>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乙方在与甲方商务合作中，严禁以下行为：</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（1）向甲方人员及其特定关系人员送礼品、礼金，赠有价证券或干股，给予“好处”或安排工作等。</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（2）支付应由甲方相关人员承担的费用或支付甲方相关人员父母、配偶、子女及其他亲属、特定关系人费用。</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（3）超标准接待、宴请甲方或其父母、配偶、子女及其他亲属、特定关系人，安排观光旅游、度假，到私人会馆等娱乐场所消费。</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（4）以虚假资质、资信及证明材料骗取甲方商务合作。</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（5）以利诱、敲诈、威胁或诬告等手段，引诱或逼迫甲方人员违法违纪，提供资源或实施合作。</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（6）涉及或关联案件，但以伪证信息或材料，拖延、阻碍案件调查工作。</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（7）违反国家法律法规或其他不廉洁诚信行为。</w:t>
      </w:r>
    </w:p>
    <w:p>
      <w:pPr>
        <w:pStyle w:val="23"/>
        <w:numPr>
          <w:ilvl w:val="3"/>
          <w:numId w:val="19"/>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乙方发现甲方人员有不廉洁行为，须在48小时内署名报告甲方相关监察部门。联系方式：</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举报电话：13873049118</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邮箱：445698002@qq.com</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信箱：岳阳城陵矶新港有限公司大厅东侧角</w:t>
      </w:r>
    </w:p>
    <w:p>
      <w:pPr>
        <w:widowControl w:val="0"/>
        <w:numPr>
          <w:ilvl w:val="0"/>
          <w:numId w:val="18"/>
        </w:numPr>
        <w:tabs>
          <w:tab w:val="left" w:pos="630"/>
        </w:tabs>
        <w:spacing w:line="360" w:lineRule="auto"/>
        <w:ind w:left="0" w:firstLine="480" w:firstLineChars="200"/>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违约责任</w:t>
      </w:r>
    </w:p>
    <w:p>
      <w:pPr>
        <w:pStyle w:val="23"/>
        <w:numPr>
          <w:ilvl w:val="0"/>
          <w:numId w:val="20"/>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甲方人员违反廉洁义务，经调查属实的，甲方依据管理规定对当事人进行严肃处理，对涉嫌犯罪的人员移送司法机关处理。</w:t>
      </w:r>
    </w:p>
    <w:p>
      <w:pPr>
        <w:pStyle w:val="23"/>
        <w:numPr>
          <w:ilvl w:val="0"/>
          <w:numId w:val="20"/>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及其人员违反廉洁义务或违反管理规定，经调查属实，甲方将乙方列入“黑名单”，并保留登报报道涉及腐败事项的权利。甲方有权书面通知乙方解除甲方与乙方已签订但尚未履行完毕的全部或部分商务合同。此外，乙方应赔偿由此给甲方造成的经济损失。</w:t>
      </w:r>
    </w:p>
    <w:p>
      <w:pPr>
        <w:pStyle w:val="23"/>
        <w:numPr>
          <w:ilvl w:val="0"/>
          <w:numId w:val="4"/>
        </w:numPr>
        <w:tabs>
          <w:tab w:val="left" w:pos="709"/>
        </w:tabs>
        <w:spacing w:line="360" w:lineRule="auto"/>
        <w:ind w:left="0" w:firstLine="482"/>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解决合同纠纷的方式</w:t>
      </w:r>
    </w:p>
    <w:p>
      <w:pPr>
        <w:tabs>
          <w:tab w:val="left" w:pos="630"/>
        </w:tabs>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本合同履行过程中如发生争议，双方当事人应协商解决，协商不成，约定向甲方所在地有管辖权的人民法院起诉。</w:t>
      </w:r>
    </w:p>
    <w:p>
      <w:pPr>
        <w:pStyle w:val="23"/>
        <w:numPr>
          <w:ilvl w:val="0"/>
          <w:numId w:val="4"/>
        </w:numPr>
        <w:tabs>
          <w:tab w:val="left" w:pos="709"/>
        </w:tabs>
        <w:spacing w:line="360" w:lineRule="auto"/>
        <w:ind w:left="0" w:firstLine="482"/>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其它条款</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乙方不得以不正当方式获取额外的收入，按甲方的要求维护正常的经营秩序。一经发现或举报属实，每次罚款200.00元。</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本合同未约定的违约责任，按《中华人民共和国民法典》的有关规定执行。</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本合同经甲乙双方法定代表人（或其委托代理人）签字并加盖公司合同章后生效。</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本合同一经生效即具有法律约束力。双方均应当履行约定的义务，任何一方不得擅自变更或者解除合同，也不得因代理人或者法定代表人的变动而变更或者解除本合同。</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本合同其它未尽事宜，双方可另行协商解决，如有必要可签订补充合同。</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本合同履行过程中，所有与本合同有关的补充合同、往来传真、微信、短信、扫描件等均属于本合同的有效组成部分，与本合同具有同等法律效力。</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本合同中约定的文书送达地址，为双方约定的合同履行、法院诉讼和执行的法律文书送达地址，在邮政特快专递（即EMS）邮寄送达的情况下，即使文件被退回，亦视为送达。</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本合同一式四份，甲乙双方各执二份，具有同等法律效力。</w:t>
      </w:r>
    </w:p>
    <w:p>
      <w:pPr>
        <w:pStyle w:val="23"/>
        <w:numPr>
          <w:ilvl w:val="2"/>
          <w:numId w:val="21"/>
        </w:numPr>
        <w:tabs>
          <w:tab w:val="left" w:pos="630"/>
        </w:tabs>
        <w:spacing w:line="360" w:lineRule="auto"/>
        <w:ind w:left="0" w:firstLine="48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本合同附件：无。</w:t>
      </w:r>
    </w:p>
    <w:p>
      <w:pPr>
        <w:pStyle w:val="23"/>
        <w:tabs>
          <w:tab w:val="left" w:pos="630"/>
        </w:tabs>
        <w:spacing w:line="360" w:lineRule="auto"/>
        <w:ind w:left="480" w:firstLine="0" w:firstLineChars="0"/>
        <w:rPr>
          <w:rFonts w:hint="eastAsia" w:ascii="宋体" w:hAnsi="宋体" w:eastAsia="宋体" w:cs="宋体"/>
          <w:color w:val="auto"/>
          <w:sz w:val="24"/>
          <w:szCs w:val="24"/>
          <w:u w:val="none"/>
        </w:rPr>
      </w:pPr>
    </w:p>
    <w:p>
      <w:pPr>
        <w:spacing w:line="420" w:lineRule="exact"/>
        <w:ind w:firstLine="480" w:firstLineChars="200"/>
        <w:rPr>
          <w:rFonts w:hint="eastAsia" w:ascii="宋体" w:hAnsi="宋体" w:eastAsia="宋体" w:cs="宋体"/>
          <w:color w:val="auto"/>
          <w:sz w:val="24"/>
          <w:szCs w:val="24"/>
          <w:u w:val="none"/>
        </w:rPr>
      </w:pPr>
    </w:p>
    <w:p>
      <w:pPr>
        <w:spacing w:line="420" w:lineRule="exact"/>
        <w:ind w:firstLine="480" w:firstLineChars="200"/>
        <w:rPr>
          <w:rFonts w:hint="eastAsia" w:ascii="宋体" w:hAnsi="宋体" w:eastAsia="宋体" w:cs="宋体"/>
          <w:color w:val="auto"/>
          <w:sz w:val="24"/>
          <w:szCs w:val="24"/>
          <w:u w:val="none"/>
        </w:rPr>
      </w:pPr>
    </w:p>
    <w:tbl>
      <w:tblPr>
        <w:tblStyle w:val="16"/>
        <w:tblW w:w="9421" w:type="dxa"/>
        <w:tblInd w:w="0" w:type="dxa"/>
        <w:tblBorders>
          <w:top w:val="none" w:color="auto" w:sz="0" w:space="0"/>
          <w:left w:val="none" w:color="auto" w:sz="0" w:space="0"/>
          <w:bottom w:val="none" w:color="auto" w:sz="0"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4805"/>
        <w:gridCol w:w="4616"/>
      </w:tblGrid>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甲方（盖章）</w:t>
            </w:r>
          </w:p>
          <w:p>
            <w:pPr>
              <w:spacing w:line="360" w:lineRule="auto"/>
              <w:ind w:right="175"/>
              <w:rPr>
                <w:rFonts w:hint="eastAsia" w:ascii="宋体" w:hAnsi="宋体" w:eastAsia="宋体" w:cs="宋体"/>
                <w:b/>
                <w:color w:val="auto"/>
                <w:sz w:val="24"/>
                <w:szCs w:val="24"/>
                <w:u w:val="none"/>
              </w:rPr>
            </w:pPr>
            <w:r>
              <w:rPr>
                <w:rFonts w:hint="eastAsia" w:ascii="宋体" w:hAnsi="宋体" w:eastAsia="宋体" w:cs="宋体"/>
                <w:bCs/>
                <w:color w:val="auto"/>
                <w:sz w:val="24"/>
                <w:szCs w:val="24"/>
                <w:u w:val="none"/>
              </w:rPr>
              <w:t>岳阳城陵矶新港有限公司</w:t>
            </w:r>
          </w:p>
          <w:p>
            <w:pPr>
              <w:spacing w:line="360" w:lineRule="auto"/>
              <w:ind w:right="-334"/>
              <w:rPr>
                <w:rFonts w:hint="eastAsia" w:ascii="宋体" w:hAnsi="宋体" w:eastAsia="宋体" w:cs="宋体"/>
                <w:b/>
                <w:color w:val="auto"/>
                <w:sz w:val="24"/>
                <w:szCs w:val="24"/>
                <w:u w:val="none"/>
              </w:rPr>
            </w:pPr>
          </w:p>
        </w:tc>
        <w:tc>
          <w:tcPr>
            <w:tcW w:w="4616" w:type="dxa"/>
          </w:tcPr>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乙方（盖章）</w:t>
            </w:r>
          </w:p>
          <w:p>
            <w:pPr>
              <w:spacing w:line="360" w:lineRule="auto"/>
              <w:rPr>
                <w:rFonts w:hint="eastAsia" w:ascii="宋体" w:hAnsi="宋体" w:eastAsia="宋体" w:cs="宋体"/>
                <w:b/>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法定代表人或委托代理人签字：</w:t>
            </w:r>
          </w:p>
          <w:p>
            <w:pPr>
              <w:spacing w:line="360" w:lineRule="auto"/>
              <w:ind w:right="-334"/>
              <w:rPr>
                <w:rFonts w:hint="eastAsia" w:ascii="宋体" w:hAnsi="宋体" w:eastAsia="宋体" w:cs="宋体"/>
                <w:b/>
                <w:color w:val="auto"/>
                <w:sz w:val="24"/>
                <w:szCs w:val="24"/>
                <w:u w:val="none"/>
              </w:rPr>
            </w:pPr>
          </w:p>
          <w:p>
            <w:pPr>
              <w:spacing w:line="360" w:lineRule="auto"/>
              <w:ind w:right="-334"/>
              <w:rPr>
                <w:rFonts w:hint="eastAsia" w:ascii="宋体" w:hAnsi="宋体" w:eastAsia="宋体" w:cs="宋体"/>
                <w:b/>
                <w:color w:val="auto"/>
                <w:sz w:val="24"/>
                <w:szCs w:val="24"/>
                <w:u w:val="none"/>
              </w:rPr>
            </w:pPr>
          </w:p>
        </w:tc>
        <w:tc>
          <w:tcPr>
            <w:tcW w:w="4616" w:type="dxa"/>
          </w:tcPr>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法定代表人或委托代理人签字：</w:t>
            </w:r>
          </w:p>
          <w:p>
            <w:pPr>
              <w:spacing w:line="360" w:lineRule="auto"/>
              <w:ind w:right="-334"/>
              <w:rPr>
                <w:rFonts w:hint="eastAsia" w:ascii="宋体" w:hAnsi="宋体" w:eastAsia="宋体" w:cs="宋体"/>
                <w:b/>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联系人：</w:t>
            </w:r>
          </w:p>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联系电话：</w:t>
            </w:r>
          </w:p>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传真：</w:t>
            </w:r>
          </w:p>
        </w:tc>
        <w:tc>
          <w:tcPr>
            <w:tcW w:w="4616" w:type="dxa"/>
          </w:tcPr>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联系人：</w:t>
            </w:r>
          </w:p>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联系电话：</w:t>
            </w:r>
          </w:p>
          <w:p>
            <w:pPr>
              <w:spacing w:line="360" w:lineRule="auto"/>
              <w:ind w:right="-334"/>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传真：</w:t>
            </w:r>
          </w:p>
        </w:tc>
      </w:tr>
    </w:tbl>
    <w:p>
      <w:pPr>
        <w:spacing w:line="360" w:lineRule="auto"/>
        <w:ind w:firstLine="360" w:firstLineChars="150"/>
        <w:rPr>
          <w:rFonts w:hint="eastAsia" w:ascii="宋体" w:hAnsi="宋体" w:eastAsia="宋体" w:cs="宋体"/>
          <w:color w:val="auto"/>
          <w:sz w:val="24"/>
          <w:szCs w:val="24"/>
          <w:u w:val="none"/>
        </w:rPr>
      </w:pPr>
    </w:p>
    <w:p>
      <w:pPr>
        <w:spacing w:line="360" w:lineRule="auto"/>
        <w:ind w:firstLine="360" w:firstLineChars="15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签约日期：2022年   月    日（正式签约此日期不可空白）</w:t>
      </w:r>
    </w:p>
    <w:p>
      <w:pPr>
        <w:spacing w:line="360" w:lineRule="auto"/>
        <w:ind w:firstLine="360" w:firstLineChars="15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签约地点：湖南岳阳云溪</w:t>
      </w:r>
    </w:p>
    <w:p>
      <w:pPr>
        <w:rPr>
          <w:rFonts w:hint="eastAsia" w:ascii="宋体" w:hAnsi="宋体" w:eastAsia="宋体" w:cs="宋体"/>
          <w:color w:val="auto"/>
          <w:sz w:val="24"/>
          <w:szCs w:val="24"/>
          <w:u w:val="none"/>
        </w:rPr>
      </w:pPr>
    </w:p>
    <w:p>
      <w:pPr>
        <w:numPr>
          <w:ilvl w:val="0"/>
          <w:numId w:val="22"/>
        </w:numPr>
        <w:spacing w:line="600" w:lineRule="exact"/>
        <w:jc w:val="center"/>
        <w:outlineLvl w:val="0"/>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 xml:space="preserve"> </w:t>
      </w:r>
      <w:bookmarkStart w:id="16" w:name="_Toc8937"/>
      <w:bookmarkStart w:id="17" w:name="_Toc14967"/>
      <w:r>
        <w:rPr>
          <w:rFonts w:hint="eastAsia" w:ascii="宋体" w:hAnsi="宋体" w:eastAsia="宋体" w:cs="宋体"/>
          <w:b/>
          <w:color w:val="auto"/>
          <w:sz w:val="24"/>
          <w:szCs w:val="24"/>
          <w:u w:val="none"/>
        </w:rPr>
        <w:t>采购需求</w:t>
      </w:r>
      <w:bookmarkEnd w:id="16"/>
      <w:bookmarkEnd w:id="17"/>
    </w:p>
    <w:p>
      <w:pPr>
        <w:pStyle w:val="6"/>
        <w:numPr>
          <w:ilvl w:val="0"/>
          <w:numId w:val="0"/>
        </w:numPr>
        <w:rPr>
          <w:rFonts w:hint="eastAsia" w:ascii="宋体" w:hAnsi="宋体" w:eastAsia="宋体" w:cs="宋体"/>
          <w:color w:val="auto"/>
          <w:sz w:val="24"/>
          <w:szCs w:val="24"/>
          <w:u w:val="none"/>
        </w:rPr>
      </w:pPr>
    </w:p>
    <w:p>
      <w:pPr>
        <w:autoSpaceDE w:val="0"/>
        <w:spacing w:line="400" w:lineRule="exac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（一）采购范围: 岳阳新港公司办公楼及周边、宿舍楼，一期、二期港区生产作业区域（含作业楼、闸口前坪、码头平台、引桥、各堆场（含堆场电缆沟）、堆场公共卫生间、垃圾池周边区域）、港区绿化带内区域（白色垃圾清理）等区域；信息化大楼公共区域（含各楼道、9楼平台、楼周边及绿化带内）等公共区域约56.4万M</w:t>
      </w:r>
      <w:r>
        <w:rPr>
          <w:rFonts w:hint="eastAsia" w:ascii="宋体" w:hAnsi="宋体" w:eastAsia="宋体" w:cs="宋体"/>
          <w:color w:val="auto"/>
          <w:sz w:val="24"/>
          <w:szCs w:val="24"/>
          <w:u w:val="none"/>
          <w:vertAlign w:val="superscript"/>
        </w:rPr>
        <w:t>2</w:t>
      </w:r>
      <w:r>
        <w:rPr>
          <w:rFonts w:hint="eastAsia" w:ascii="宋体" w:hAnsi="宋体" w:eastAsia="宋体" w:cs="宋体"/>
          <w:color w:val="auto"/>
          <w:sz w:val="24"/>
          <w:szCs w:val="24"/>
          <w:u w:val="none"/>
        </w:rPr>
        <w:t>进行卫生保洁服务。</w:t>
      </w:r>
    </w:p>
    <w:p>
      <w:pPr>
        <w:autoSpaceDE w:val="0"/>
        <w:spacing w:line="400" w:lineRule="exac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（二）服务期限: 合同签订之日起一年</w:t>
      </w:r>
    </w:p>
    <w:p>
      <w:pPr>
        <w:autoSpaceDE w:val="0"/>
        <w:spacing w:line="400" w:lineRule="exac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（三）服务地点: 岳阳城陵矶新港有限公司</w:t>
      </w:r>
    </w:p>
    <w:p>
      <w:pPr>
        <w:spacing w:line="440" w:lineRule="exac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（四）质量要求或服务标准: </w:t>
      </w:r>
    </w:p>
    <w:tbl>
      <w:tblPr>
        <w:tblStyle w:val="16"/>
        <w:tblW w:w="8180" w:type="dxa"/>
        <w:tblInd w:w="96" w:type="dxa"/>
        <w:tblLayout w:type="autofit"/>
        <w:tblCellMar>
          <w:top w:w="0" w:type="dxa"/>
          <w:left w:w="108" w:type="dxa"/>
          <w:bottom w:w="0" w:type="dxa"/>
          <w:right w:w="108" w:type="dxa"/>
        </w:tblCellMar>
      </w:tblPr>
      <w:tblGrid>
        <w:gridCol w:w="2196"/>
        <w:gridCol w:w="6156"/>
      </w:tblGrid>
      <w:tr>
        <w:tblPrEx>
          <w:tblCellMar>
            <w:top w:w="0" w:type="dxa"/>
            <w:left w:w="108" w:type="dxa"/>
            <w:bottom w:w="0" w:type="dxa"/>
            <w:right w:w="108" w:type="dxa"/>
          </w:tblCellMar>
        </w:tblPrEx>
        <w:trPr>
          <w:trHeight w:val="1030" w:hRule="atLeast"/>
        </w:trPr>
        <w:tc>
          <w:tcPr>
            <w:tcW w:w="8180" w:type="dxa"/>
            <w:gridSpan w:val="2"/>
            <w:tcBorders>
              <w:top w:val="nil"/>
              <w:left w:val="nil"/>
              <w:bottom w:val="nil"/>
              <w:right w:val="nil"/>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b/>
                <w:bCs/>
                <w:color w:val="auto"/>
                <w:kern w:val="0"/>
                <w:sz w:val="24"/>
                <w:szCs w:val="24"/>
                <w:u w:val="none"/>
              </w:rPr>
              <w:t>1.办公楼保洁区域卫生标准</w:t>
            </w:r>
          </w:p>
        </w:tc>
      </w:tr>
      <w:tr>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标准要求</w:t>
            </w:r>
          </w:p>
        </w:tc>
      </w:tr>
      <w:tr>
        <w:trPr>
          <w:trHeight w:val="9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办公楼大门口</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办公楼一楼大厅</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每日地面进行清洁，不留卫生死角和盲区。整天保持地面无杂物、垃圾、痰痕。玻璃保持干净、明亮、无尘。大厅桌椅及业务受理台每天要擦拭，整天保持桌面及业务受理台无尘、无杂物。</w:t>
            </w:r>
          </w:p>
        </w:tc>
      </w:tr>
      <w:tr>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办公楼2-5楼过道</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每日地面卫生清理，不留卫生死角和盲区。整天保持地面无杂物、垃圾、痰痕。过道两侧窗户保持干净、明亮、无尘。天花板无蜘蛛网。楼道宣传牌要每日擦拭保持光洁无尘。四楼办公室门、窗每周要擦拭一次。</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办公楼两侧楼道</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楼梯栏杆每日要擦拭，楼梯地面每日拖洗，无明显污垢；楼道窗户每周要擦拭一次。楼道墙角要做到无蜘蛛网。</w:t>
            </w:r>
          </w:p>
        </w:tc>
      </w:tr>
      <w:tr>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办公楼每层卫生间</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每天地面、便池、小便器要清理打扫2次，垃圾桶要及时清理，不得溢出且桶上无污渍。每天保持卫生间清洁无异味，地面无积水，清洁工具要摆放有序。洗手间镜子、洗手盆要保持干净。洗手间每天点檀香去异味。</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办公楼1-5楼垃圾桶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垃圾桶每天清理2次，确保垃圾不外溢，并保持桶外无污垢。</w:t>
            </w:r>
          </w:p>
        </w:tc>
      </w:tr>
      <w:tr>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办公楼周边</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办公楼周边要保持干净，地面无垃圾。垃圾桶要及时清理。办公楼前坪水池保持池内无杂物。</w:t>
            </w:r>
          </w:p>
        </w:tc>
      </w:tr>
      <w:tr>
        <w:tblPrEx>
          <w:tblCellMar>
            <w:top w:w="0" w:type="dxa"/>
            <w:left w:w="108" w:type="dxa"/>
            <w:bottom w:w="0" w:type="dxa"/>
            <w:right w:w="108" w:type="dxa"/>
          </w:tblCellMar>
        </w:tblPrEx>
        <w:trPr>
          <w:trHeight w:val="1982" w:hRule="atLeast"/>
        </w:trPr>
        <w:tc>
          <w:tcPr>
            <w:tcW w:w="8180" w:type="dxa"/>
            <w:gridSpan w:val="2"/>
            <w:tcBorders>
              <w:top w:val="single" w:color="000000" w:sz="4" w:space="0"/>
              <w:left w:val="nil"/>
              <w:bottom w:val="nil"/>
              <w:right w:val="nil"/>
            </w:tcBorders>
            <w:shd w:val="clear" w:color="auto" w:fill="auto"/>
            <w:vAlign w:val="center"/>
          </w:tcPr>
          <w:p>
            <w:pPr>
              <w:textAlignment w:val="center"/>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rPr>
              <w:t>特别要求：1、保洁员每日全面清扫完后所有区域上午、下午必须各巡查2次，发现垃圾、污垢及时清理；</w:t>
            </w:r>
            <w:r>
              <w:rPr>
                <w:rFonts w:hint="eastAsia" w:ascii="宋体" w:hAnsi="宋体" w:eastAsia="宋体" w:cs="宋体"/>
                <w:color w:val="auto"/>
                <w:kern w:val="0"/>
                <w:sz w:val="24"/>
                <w:szCs w:val="24"/>
                <w:u w:val="none"/>
              </w:rPr>
              <w:br w:type="textWrapping"/>
            </w:r>
            <w:r>
              <w:rPr>
                <w:rFonts w:hint="eastAsia" w:ascii="宋体" w:hAnsi="宋体" w:eastAsia="宋体" w:cs="宋体"/>
                <w:color w:val="auto"/>
                <w:kern w:val="0"/>
                <w:sz w:val="24"/>
                <w:szCs w:val="24"/>
                <w:u w:val="none"/>
              </w:rPr>
              <w:t xml:space="preserve">         2、楼道及过道垃圾桶每天必须清理两次，上午下午各一次；垃圾桶表面每周擦拭一次，保持桶面无污渍；</w:t>
            </w:r>
            <w:r>
              <w:rPr>
                <w:rFonts w:hint="eastAsia" w:ascii="宋体" w:hAnsi="宋体" w:eastAsia="宋体" w:cs="宋体"/>
                <w:color w:val="auto"/>
                <w:kern w:val="0"/>
                <w:sz w:val="24"/>
                <w:szCs w:val="24"/>
                <w:u w:val="none"/>
              </w:rPr>
              <w:br w:type="textWrapping"/>
            </w:r>
            <w:r>
              <w:rPr>
                <w:rFonts w:hint="eastAsia" w:ascii="宋体" w:hAnsi="宋体" w:eastAsia="宋体" w:cs="宋体"/>
                <w:color w:val="auto"/>
                <w:kern w:val="0"/>
                <w:sz w:val="24"/>
                <w:szCs w:val="24"/>
                <w:u w:val="none"/>
              </w:rPr>
              <w:t xml:space="preserve">         3、各区域每天每次保洁后必须填写保洁记录表。（办公楼每层的保洁记录表可放置洗手间内）</w:t>
            </w:r>
          </w:p>
        </w:tc>
      </w:tr>
    </w:tbl>
    <w:p>
      <w:pPr>
        <w:rPr>
          <w:rFonts w:hint="eastAsia" w:ascii="宋体" w:hAnsi="宋体" w:eastAsia="宋体" w:cs="宋体"/>
          <w:color w:val="auto"/>
          <w:sz w:val="24"/>
          <w:szCs w:val="24"/>
          <w:u w:val="none"/>
          <w:lang w:val="zh-CN"/>
        </w:rPr>
      </w:pPr>
      <w:r>
        <w:rPr>
          <w:rFonts w:hint="eastAsia" w:ascii="宋体" w:hAnsi="宋体" w:eastAsia="宋体" w:cs="宋体"/>
          <w:color w:val="auto"/>
          <w:sz w:val="24"/>
          <w:szCs w:val="24"/>
          <w:u w:val="none"/>
          <w:lang w:val="zh-CN"/>
        </w:rPr>
        <w:br w:type="page"/>
      </w:r>
    </w:p>
    <w:tbl>
      <w:tblPr>
        <w:tblStyle w:val="16"/>
        <w:tblW w:w="8328" w:type="dxa"/>
        <w:tblInd w:w="96" w:type="dxa"/>
        <w:tblLayout w:type="fixed"/>
        <w:tblCellMar>
          <w:top w:w="0" w:type="dxa"/>
          <w:left w:w="108" w:type="dxa"/>
          <w:bottom w:w="0" w:type="dxa"/>
          <w:right w:w="108" w:type="dxa"/>
        </w:tblCellMar>
      </w:tblPr>
      <w:tblGrid>
        <w:gridCol w:w="2015"/>
        <w:gridCol w:w="6313"/>
      </w:tblGrid>
      <w:tr>
        <w:tblPrEx>
          <w:tblCellMar>
            <w:top w:w="0" w:type="dxa"/>
            <w:left w:w="108" w:type="dxa"/>
            <w:bottom w:w="0" w:type="dxa"/>
            <w:right w:w="108" w:type="dxa"/>
          </w:tblCellMar>
        </w:tblPrEx>
        <w:trPr>
          <w:trHeight w:val="805" w:hRule="atLeast"/>
        </w:trPr>
        <w:tc>
          <w:tcPr>
            <w:tcW w:w="8328"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b/>
                <w:bCs/>
                <w:color w:val="000000"/>
                <w:kern w:val="0"/>
                <w:sz w:val="24"/>
                <w:u w:val="none"/>
              </w:rPr>
              <w:t>2.宿舍楼保洁区域卫生标准</w:t>
            </w:r>
          </w:p>
        </w:tc>
      </w:tr>
      <w:tr>
        <w:tblPrEx>
          <w:tblCellMar>
            <w:top w:w="0" w:type="dxa"/>
            <w:left w:w="108" w:type="dxa"/>
            <w:bottom w:w="0" w:type="dxa"/>
            <w:right w:w="108" w:type="dxa"/>
          </w:tblCellMar>
        </w:tblPrEx>
        <w:trPr>
          <w:trHeight w:val="146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区域</w:t>
            </w:r>
          </w:p>
        </w:tc>
        <w:tc>
          <w:tcPr>
            <w:tcW w:w="6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标准要求</w:t>
            </w:r>
          </w:p>
        </w:tc>
      </w:tr>
      <w:tr>
        <w:tblPrEx>
          <w:tblCellMar>
            <w:top w:w="0" w:type="dxa"/>
            <w:left w:w="108" w:type="dxa"/>
            <w:bottom w:w="0" w:type="dxa"/>
            <w:right w:w="108" w:type="dxa"/>
          </w:tblCellMar>
        </w:tblPrEx>
        <w:trPr>
          <w:trHeight w:val="2015"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宿舍楼1-6楼过道</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每日地面卫生清理，不留卫生死角和盲区。整天保持地面无杂物、垃圾、痰痕。过道两侧窗户保持干净、明亮、无尘。天花板无蜘蛛网。每层宿舍门每周要擦拭一次。垃圾桶要及时清理，不得溢出 ，并保持桶外无污垢。</w:t>
            </w:r>
          </w:p>
        </w:tc>
      </w:tr>
      <w:tr>
        <w:tblPrEx>
          <w:tblCellMar>
            <w:top w:w="0" w:type="dxa"/>
            <w:left w:w="108" w:type="dxa"/>
            <w:bottom w:w="0" w:type="dxa"/>
            <w:right w:w="108" w:type="dxa"/>
          </w:tblCellMar>
        </w:tblPrEx>
        <w:trPr>
          <w:trHeight w:val="1652"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宿舍楼两侧楼道</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楼梯栏杆每日要擦拭，楼梯地面每日拖洗，无明显污垢；楼道窗户每月要擦拭一次。楼道墙角要做到无蜘蛛网。</w:t>
            </w:r>
          </w:p>
        </w:tc>
      </w:tr>
      <w:tr>
        <w:tblPrEx>
          <w:tblCellMar>
            <w:top w:w="0" w:type="dxa"/>
            <w:left w:w="108" w:type="dxa"/>
            <w:bottom w:w="0" w:type="dxa"/>
            <w:right w:w="108" w:type="dxa"/>
          </w:tblCellMar>
        </w:tblPrEx>
        <w:trPr>
          <w:trHeight w:val="1633"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宿舍楼周边</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宿舍楼周边要保持干净，地面无垃圾。</w:t>
            </w:r>
          </w:p>
        </w:tc>
      </w:tr>
      <w:tr>
        <w:tblPrEx>
          <w:tblCellMar>
            <w:top w:w="0" w:type="dxa"/>
            <w:left w:w="108" w:type="dxa"/>
            <w:bottom w:w="0" w:type="dxa"/>
            <w:right w:w="108" w:type="dxa"/>
          </w:tblCellMar>
        </w:tblPrEx>
        <w:trPr>
          <w:trHeight w:val="2286" w:hRule="atLeast"/>
        </w:trPr>
        <w:tc>
          <w:tcPr>
            <w:tcW w:w="8328" w:type="dxa"/>
            <w:gridSpan w:val="2"/>
            <w:tcBorders>
              <w:top w:val="single" w:color="000000" w:sz="4" w:space="0"/>
              <w:left w:val="nil"/>
              <w:bottom w:val="nil"/>
              <w:right w:val="nil"/>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特别要求：1、保洁员每日全面清扫完后所有区域上午、下午必须各巡查2次，发现垃圾、污垢及时清理；</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2、楼道及过道垃圾桶每天必须清理两次，上午下午各一次；垃圾桶表面每周擦拭一次，保持桶面无污渍；</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3、各区域每天每次保洁后必须填写保洁记录表。（宿舍楼每层的保洁记录表可放置楼梯间内）</w:t>
            </w:r>
          </w:p>
        </w:tc>
      </w:tr>
    </w:tbl>
    <w:p>
      <w:pPr>
        <w:rPr>
          <w:color w:val="FF0000"/>
          <w:u w:val="none"/>
          <w:lang w:val="zh-CN"/>
        </w:rPr>
      </w:pPr>
      <w:r>
        <w:rPr>
          <w:color w:val="FF0000"/>
          <w:u w:val="none"/>
          <w:lang w:val="zh-CN"/>
        </w:rPr>
        <w:br w:type="page"/>
      </w:r>
    </w:p>
    <w:tbl>
      <w:tblPr>
        <w:tblStyle w:val="16"/>
        <w:tblW w:w="8343" w:type="dxa"/>
        <w:tblInd w:w="96" w:type="dxa"/>
        <w:tblLayout w:type="autofit"/>
        <w:tblCellMar>
          <w:top w:w="0" w:type="dxa"/>
          <w:left w:w="108" w:type="dxa"/>
          <w:bottom w:w="0" w:type="dxa"/>
          <w:right w:w="108" w:type="dxa"/>
        </w:tblCellMar>
      </w:tblPr>
      <w:tblGrid>
        <w:gridCol w:w="1558"/>
        <w:gridCol w:w="6785"/>
      </w:tblGrid>
      <w:tr>
        <w:tblPrEx>
          <w:tblCellMar>
            <w:top w:w="0" w:type="dxa"/>
            <w:left w:w="108" w:type="dxa"/>
            <w:bottom w:w="0" w:type="dxa"/>
            <w:right w:w="108" w:type="dxa"/>
          </w:tblCellMar>
        </w:tblPrEx>
        <w:trPr>
          <w:trHeight w:val="776" w:hRule="atLeast"/>
        </w:trPr>
        <w:tc>
          <w:tcPr>
            <w:tcW w:w="8343"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b/>
                <w:bCs/>
                <w:color w:val="000000"/>
                <w:kern w:val="0"/>
                <w:sz w:val="24"/>
                <w:u w:val="none"/>
              </w:rPr>
              <w:t>3.作业楼保洁区域卫生标准</w:t>
            </w:r>
          </w:p>
        </w:tc>
      </w:tr>
      <w:tr>
        <w:tblPrEx>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区域</w:t>
            </w:r>
          </w:p>
        </w:tc>
        <w:tc>
          <w:tcPr>
            <w:tcW w:w="6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标准要求</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作业楼大门口</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作业楼1-2楼</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每日地面进行清洁，不留卫生死角和盲区。整天保持地面无杂物、垃圾、痰痕。玻璃保持干净、明亮、无尘。每周对办公室门擦拭一次。</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作业楼楼道</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楼梯栏杆每日要擦拭，楼梯地面每日拖洗，无明显污垢；楼道窗户每周要擦拭一次。楼道墙角要做到无蜘蛛网。</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作业楼卫生间</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每天地面、便池要清理打扫，垃圾桶要及时清理，不得溢出。每天保持卫生间清洁无异味，地面无积水，清洁工具要摆放有序。洗手间镜子、洗手盆要保持干净。卫生间每天点檀香去异味。</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作业楼周边</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作业楼周边要保持干净，地面无垃圾、绿化带内无白色垃圾。</w:t>
            </w:r>
          </w:p>
        </w:tc>
      </w:tr>
      <w:tr>
        <w:tblPrEx>
          <w:tblCellMar>
            <w:top w:w="0" w:type="dxa"/>
            <w:left w:w="108" w:type="dxa"/>
            <w:bottom w:w="0" w:type="dxa"/>
            <w:right w:w="108" w:type="dxa"/>
          </w:tblCellMar>
        </w:tblPrEx>
        <w:trPr>
          <w:trHeight w:val="1436" w:hRule="atLeast"/>
        </w:trPr>
        <w:tc>
          <w:tcPr>
            <w:tcW w:w="8343" w:type="dxa"/>
            <w:gridSpan w:val="2"/>
            <w:tcBorders>
              <w:top w:val="nil"/>
              <w:left w:val="nil"/>
              <w:bottom w:val="nil"/>
              <w:right w:val="nil"/>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特别要求：1、保洁员每日全面清扫完后所有区域上午、下午必须各巡查2次，发现垃圾、污垢及时清理；</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2、楼道及过道垃圾桶每天必须清理两次，上午下午各一次；垃圾桶表面每周擦拭一次，保持桶面无污渍；</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3、各区域每天每次保洁后必须填写保洁记录表。（作业楼每层的保洁记录表可放置洗手间内）</w:t>
            </w:r>
          </w:p>
        </w:tc>
      </w:tr>
    </w:tbl>
    <w:p>
      <w:pPr>
        <w:rPr>
          <w:color w:val="FF0000"/>
          <w:u w:val="none"/>
          <w:lang w:val="zh-CN"/>
        </w:rPr>
      </w:pPr>
      <w:r>
        <w:rPr>
          <w:color w:val="FF0000"/>
          <w:u w:val="none"/>
          <w:lang w:val="zh-CN"/>
        </w:rPr>
        <w:br w:type="page"/>
      </w:r>
    </w:p>
    <w:tbl>
      <w:tblPr>
        <w:tblStyle w:val="16"/>
        <w:tblW w:w="8328" w:type="dxa"/>
        <w:tblInd w:w="96" w:type="dxa"/>
        <w:tblLayout w:type="autofit"/>
        <w:tblCellMar>
          <w:top w:w="0" w:type="dxa"/>
          <w:left w:w="108" w:type="dxa"/>
          <w:bottom w:w="0" w:type="dxa"/>
          <w:right w:w="108" w:type="dxa"/>
        </w:tblCellMar>
      </w:tblPr>
      <w:tblGrid>
        <w:gridCol w:w="1489"/>
        <w:gridCol w:w="6839"/>
      </w:tblGrid>
      <w:tr>
        <w:trPr>
          <w:trHeight w:val="858" w:hRule="atLeast"/>
        </w:trPr>
        <w:tc>
          <w:tcPr>
            <w:tcW w:w="8328"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b/>
                <w:bCs/>
                <w:color w:val="000000"/>
                <w:kern w:val="0"/>
                <w:sz w:val="24"/>
                <w:u w:val="none"/>
              </w:rPr>
              <w:t>4.港区保洁区域卫生标准</w:t>
            </w:r>
          </w:p>
        </w:tc>
      </w:tr>
      <w:tr>
        <w:trPr>
          <w:trHeight w:val="9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区域</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标准要求</w:t>
            </w:r>
          </w:p>
        </w:tc>
      </w:tr>
      <w:tr>
        <w:trPr>
          <w:trHeight w:val="1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匝口</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每天保持匝口周边的卫生清洁及周边杂草的清理。</w:t>
            </w:r>
          </w:p>
        </w:tc>
      </w:tr>
      <w:tr>
        <w:tblPrEx>
          <w:tblCellMar>
            <w:top w:w="0" w:type="dxa"/>
            <w:left w:w="108" w:type="dxa"/>
            <w:bottom w:w="0" w:type="dxa"/>
            <w:right w:w="108" w:type="dxa"/>
          </w:tblCellMar>
        </w:tblPrEx>
        <w:trPr>
          <w:trHeight w:val="1396"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港区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港区堆场、引桥、码头平台、内贸仓库、海关外贸仓库外围每天保持无垃圾、杂物、杂草；外贸仓库外围及作业楼前垃圾池周边无垃圾；场桥轨道电缆沟每月必须清理一次沟内垃圾；港区内绿化带无白色垃圾。</w:t>
            </w:r>
          </w:p>
        </w:tc>
      </w:tr>
      <w:tr>
        <w:tblPrEx>
          <w:tblCellMar>
            <w:top w:w="0" w:type="dxa"/>
            <w:left w:w="108" w:type="dxa"/>
            <w:bottom w:w="0" w:type="dxa"/>
            <w:right w:w="108" w:type="dxa"/>
          </w:tblCellMar>
        </w:tblPrEx>
        <w:trPr>
          <w:trHeight w:val="1396"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堆场卫生间</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每天地面、便池、小便器要清理打扫，垃圾桶要及时清理，不得溢出。每天保持卫生间清洁无异味，地面无积水，清洁工具要摆放有序。</w:t>
            </w:r>
          </w:p>
        </w:tc>
      </w:tr>
      <w:tr>
        <w:trPr>
          <w:trHeight w:val="1344" w:hRule="atLeast"/>
        </w:trPr>
        <w:tc>
          <w:tcPr>
            <w:tcW w:w="8328" w:type="dxa"/>
            <w:gridSpan w:val="2"/>
            <w:tcBorders>
              <w:top w:val="nil"/>
              <w:left w:val="nil"/>
              <w:bottom w:val="nil"/>
              <w:right w:val="nil"/>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特别要求：1、保洁员每日全面清扫完后所有区域上午、下午必须各巡查1次，发现垃圾及时清理；</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2、各区域每天每次保洁后必须填写保洁记录表。（保洁记录表可放置堆场洗手间内）</w:t>
            </w:r>
            <w:r>
              <w:rPr>
                <w:rFonts w:hint="eastAsia" w:ascii="宋体" w:hAnsi="宋体" w:cs="宋体"/>
                <w:color w:val="000000"/>
                <w:kern w:val="0"/>
                <w:sz w:val="22"/>
                <w:szCs w:val="22"/>
                <w:u w:val="none"/>
              </w:rPr>
              <w:br w:type="textWrapping"/>
            </w:r>
          </w:p>
        </w:tc>
      </w:tr>
    </w:tbl>
    <w:p>
      <w:pPr>
        <w:rPr>
          <w:color w:val="FF0000"/>
          <w:u w:val="none"/>
          <w:lang w:val="zh-CN"/>
        </w:rPr>
      </w:pPr>
      <w:r>
        <w:rPr>
          <w:color w:val="FF0000"/>
          <w:u w:val="none"/>
          <w:lang w:val="zh-CN"/>
        </w:rPr>
        <w:br w:type="page"/>
      </w:r>
    </w:p>
    <w:tbl>
      <w:tblPr>
        <w:tblStyle w:val="16"/>
        <w:tblW w:w="8320" w:type="dxa"/>
        <w:tblInd w:w="96" w:type="dxa"/>
        <w:tblLayout w:type="fixed"/>
        <w:tblCellMar>
          <w:top w:w="0" w:type="dxa"/>
          <w:left w:w="108" w:type="dxa"/>
          <w:bottom w:w="0" w:type="dxa"/>
          <w:right w:w="108" w:type="dxa"/>
        </w:tblCellMar>
      </w:tblPr>
      <w:tblGrid>
        <w:gridCol w:w="1787"/>
        <w:gridCol w:w="6533"/>
      </w:tblGrid>
      <w:tr>
        <w:tblPrEx>
          <w:tblCellMar>
            <w:top w:w="0" w:type="dxa"/>
            <w:left w:w="108" w:type="dxa"/>
            <w:bottom w:w="0" w:type="dxa"/>
            <w:right w:w="108" w:type="dxa"/>
          </w:tblCellMar>
        </w:tblPrEx>
        <w:trPr>
          <w:trHeight w:val="582" w:hRule="atLeast"/>
        </w:trPr>
        <w:tc>
          <w:tcPr>
            <w:tcW w:w="8320" w:type="dxa"/>
            <w:gridSpan w:val="2"/>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b/>
                <w:bCs/>
                <w:color w:val="000000"/>
                <w:kern w:val="0"/>
                <w:sz w:val="24"/>
                <w:u w:val="none"/>
              </w:rPr>
              <w:t>5.信息化大楼保洁区域卫生标准</w:t>
            </w:r>
          </w:p>
        </w:tc>
      </w:tr>
      <w:tr>
        <w:tblPrEx>
          <w:tblCellMar>
            <w:top w:w="0" w:type="dxa"/>
            <w:left w:w="108" w:type="dxa"/>
            <w:bottom w:w="0" w:type="dxa"/>
            <w:right w:w="108" w:type="dxa"/>
          </w:tblCellMar>
        </w:tblPrEx>
        <w:trPr>
          <w:trHeight w:val="463"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区域</w:t>
            </w:r>
          </w:p>
        </w:tc>
        <w:tc>
          <w:tcPr>
            <w:tcW w:w="6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标准要求</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大楼大门口</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大楼一楼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每日地面进行清洁，不留卫生死角和盲区。整天保持地面无杂物、垃圾、痰痕。玻璃保持干净、明亮、无尘。大厅、会客室沙发，整天保持干净、整洁、无尘、无杂物、茶几上整天保持无灰尘、无杂物。</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大楼2-7楼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每日地面卫生清理，不留卫生死角和盲区。整天保持地面无杂物、垃圾、痰痕。过道窗户保持干净、明亮、无尘。天花板无蜘蛛网。各层会议室地面、桌面即座椅保持光洁无尘。办公室门每周要擦拭一次。</w:t>
            </w:r>
          </w:p>
        </w:tc>
      </w:tr>
      <w:tr>
        <w:tblPrEx>
          <w:tblCellMar>
            <w:top w:w="0" w:type="dxa"/>
            <w:left w:w="108" w:type="dxa"/>
            <w:bottom w:w="0" w:type="dxa"/>
            <w:right w:w="108" w:type="dxa"/>
          </w:tblCellMar>
        </w:tblPrEx>
        <w:trPr>
          <w:trHeight w:val="158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大楼8楼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卫生清理，不留卫生死角和盲区。整天保持地面无杂物、垃圾、痰痕。过道窗户保持干净、明亮、无尘。天花板无蜘蛛网。会客室沙发，整天保持干净、整洁、无尘、无杂物、茶几上整天保持无灰尘、无杂物。展厅宣传牌要每日擦拭保持光洁无尘。办公室门每周要擦拭一次。</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大楼9楼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每日地面卫生清理，不留卫生死角和盲区。整天保持地面无杂物、垃圾、痰痕。楼道、电梯间玻璃房保持干净、明亮、无尘。</w:t>
            </w:r>
          </w:p>
        </w:tc>
      </w:tr>
      <w:tr>
        <w:tblPrEx>
          <w:tblCellMar>
            <w:top w:w="0" w:type="dxa"/>
            <w:left w:w="108" w:type="dxa"/>
            <w:bottom w:w="0" w:type="dxa"/>
            <w:right w:w="108" w:type="dxa"/>
          </w:tblCellMar>
        </w:tblPrEx>
        <w:trPr>
          <w:trHeight w:val="78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大楼两侧楼道</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楼梯栏杆每日要擦拭，楼梯地面每日拖洗，无明显污垢；楼道防火门每周要擦拭一次。楼道墙角、天花板要做到无蜘蛛网。</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大楼每层卫生间</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每天地面、便池要清理打扫2次，垃圾桶要及时清理，不得溢出且桶上无污渍。每天保持卫生间清洁无异味，地面无积水，清洁工具要摆放有序。洗手间镜子、洗手盆要保持干净。洗手间每天点檀香去异味。</w:t>
            </w:r>
          </w:p>
        </w:tc>
      </w:tr>
      <w:tr>
        <w:tblPrEx>
          <w:tblCellMar>
            <w:top w:w="0" w:type="dxa"/>
            <w:left w:w="108" w:type="dxa"/>
            <w:bottom w:w="0" w:type="dxa"/>
            <w:right w:w="108" w:type="dxa"/>
          </w:tblCellMar>
        </w:tblPrEx>
        <w:trPr>
          <w:trHeight w:val="564"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各楼层垃圾桶</w:t>
            </w:r>
          </w:p>
        </w:tc>
        <w:tc>
          <w:tcPr>
            <w:tcW w:w="6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垃圾桶每天清理2次，确保垃圾不外溢，并保持桶外无污垢。</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电梯间</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每日地面进行清洁，不留卫生死角和盲区。整天保持地面无杂物、垃圾、痰痕。电梯门及电梯内四壁每天擦拭保持干净、无尘。</w:t>
            </w:r>
          </w:p>
        </w:tc>
      </w:tr>
      <w:tr>
        <w:tblPrEx>
          <w:tblCellMar>
            <w:top w:w="0" w:type="dxa"/>
            <w:left w:w="108" w:type="dxa"/>
            <w:bottom w:w="0" w:type="dxa"/>
            <w:right w:w="108" w:type="dxa"/>
          </w:tblCellMar>
        </w:tblPrEx>
        <w:trPr>
          <w:trHeight w:val="63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大楼周边</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大楼周边要保持干净，地面无垃圾。垃圾桶要每天清理。绿化区八棵大树下的椅子每天要擦拭一遍。</w:t>
            </w:r>
          </w:p>
        </w:tc>
      </w:tr>
      <w:tr>
        <w:tblPrEx>
          <w:tblCellMar>
            <w:top w:w="0" w:type="dxa"/>
            <w:left w:w="108" w:type="dxa"/>
            <w:bottom w:w="0" w:type="dxa"/>
            <w:right w:w="108" w:type="dxa"/>
          </w:tblCellMar>
        </w:tblPrEx>
        <w:trPr>
          <w:trHeight w:val="1580" w:hRule="atLeast"/>
        </w:trPr>
        <w:tc>
          <w:tcPr>
            <w:tcW w:w="8320" w:type="dxa"/>
            <w:gridSpan w:val="2"/>
            <w:tcBorders>
              <w:top w:val="single" w:color="000000" w:sz="4" w:space="0"/>
              <w:left w:val="nil"/>
              <w:bottom w:val="nil"/>
              <w:right w:val="nil"/>
            </w:tcBorders>
            <w:shd w:val="clear" w:color="auto" w:fill="auto"/>
            <w:vAlign w:val="center"/>
          </w:tcPr>
          <w:p>
            <w:pPr>
              <w:textAlignment w:val="center"/>
              <w:rPr>
                <w:rFonts w:ascii="宋体" w:hAnsi="宋体" w:cs="宋体"/>
                <w:color w:val="000000"/>
                <w:sz w:val="22"/>
                <w:szCs w:val="22"/>
                <w:u w:val="none"/>
              </w:rPr>
            </w:pPr>
            <w:r>
              <w:rPr>
                <w:rFonts w:hint="eastAsia" w:ascii="宋体" w:hAnsi="宋体" w:cs="宋体"/>
                <w:color w:val="000000"/>
                <w:kern w:val="0"/>
                <w:sz w:val="22"/>
                <w:szCs w:val="22"/>
                <w:u w:val="none"/>
              </w:rPr>
              <w:t>特别要求：1、保洁员每日全面清扫完后所有区域上午、下午必须各巡查2次，发现垃圾、污垢及时清理；</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2、楼道及过道垃圾桶每天必须清理两次，上午下午各一次；垃圾桶表面每周擦拭一次，保持桶面无污渍；</w:t>
            </w:r>
            <w:r>
              <w:rPr>
                <w:rFonts w:hint="eastAsia" w:ascii="宋体" w:hAnsi="宋体" w:cs="宋体"/>
                <w:color w:val="000000"/>
                <w:kern w:val="0"/>
                <w:sz w:val="22"/>
                <w:szCs w:val="22"/>
                <w:u w:val="none"/>
              </w:rPr>
              <w:br w:type="textWrapping"/>
            </w:r>
            <w:r>
              <w:rPr>
                <w:rFonts w:hint="eastAsia" w:ascii="宋体" w:hAnsi="宋体" w:cs="宋体"/>
                <w:color w:val="000000"/>
                <w:kern w:val="0"/>
                <w:sz w:val="22"/>
                <w:szCs w:val="22"/>
                <w:u w:val="none"/>
              </w:rPr>
              <w:t xml:space="preserve">         3、各区域每天每次保洁后必须填写保洁记录表。（大楼每层的保洁记录表可放置洗手间内）</w:t>
            </w:r>
          </w:p>
        </w:tc>
      </w:tr>
    </w:tbl>
    <w:p>
      <w:pPr>
        <w:rPr>
          <w:color w:val="FF0000"/>
          <w:u w:val="none"/>
          <w:lang w:val="zh-CN"/>
        </w:rPr>
      </w:pPr>
      <w:r>
        <w:rPr>
          <w:color w:val="FF0000"/>
          <w:u w:val="none"/>
          <w:lang w:val="zh-CN"/>
        </w:rPr>
        <w:br w:type="page"/>
      </w:r>
    </w:p>
    <w:p>
      <w:pPr>
        <w:pStyle w:val="15"/>
        <w:numPr>
          <w:ilvl w:val="0"/>
          <w:numId w:val="0"/>
        </w:numPr>
        <w:rPr>
          <w:u w:val="none"/>
          <w:lang w:val="zh-CN"/>
        </w:rPr>
      </w:pPr>
    </w:p>
    <w:p>
      <w:pPr>
        <w:spacing w:line="312" w:lineRule="auto"/>
        <w:jc w:val="center"/>
        <w:outlineLvl w:val="0"/>
        <w:rPr>
          <w:rFonts w:ascii="黑体" w:hAnsi="黑体" w:eastAsia="黑体" w:cs="仿宋"/>
          <w:b/>
          <w:color w:val="000000"/>
          <w:sz w:val="36"/>
          <w:szCs w:val="36"/>
          <w:u w:val="none"/>
        </w:rPr>
      </w:pPr>
      <w:bookmarkStart w:id="18" w:name="_Toc31286"/>
      <w:r>
        <w:rPr>
          <w:rFonts w:hint="eastAsia" w:ascii="黑体" w:hAnsi="黑体" w:eastAsia="黑体" w:cs="仿宋"/>
          <w:b/>
          <w:color w:val="000000"/>
          <w:sz w:val="36"/>
          <w:szCs w:val="36"/>
          <w:u w:val="none"/>
        </w:rPr>
        <w:t>第六章  响应文件格式</w:t>
      </w:r>
      <w:bookmarkEnd w:id="18"/>
    </w:p>
    <w:p>
      <w:pPr>
        <w:jc w:val="center"/>
        <w:rPr>
          <w:rFonts w:ascii="仿宋" w:hAnsi="仿宋" w:eastAsia="仿宋" w:cs="仿宋"/>
          <w:sz w:val="30"/>
          <w:szCs w:val="30"/>
          <w:u w:val="none"/>
        </w:rPr>
      </w:pPr>
    </w:p>
    <w:p>
      <w:pPr>
        <w:jc w:val="center"/>
        <w:rPr>
          <w:rFonts w:ascii="仿宋" w:hAnsi="仿宋" w:eastAsia="仿宋" w:cs="仿宋"/>
          <w:sz w:val="30"/>
          <w:szCs w:val="30"/>
          <w:u w:val="none"/>
        </w:rPr>
      </w:pPr>
    </w:p>
    <w:p>
      <w:pPr>
        <w:jc w:val="center"/>
        <w:rPr>
          <w:rFonts w:ascii="仿宋" w:hAnsi="仿宋" w:eastAsia="仿宋" w:cs="仿宋"/>
          <w:sz w:val="30"/>
          <w:szCs w:val="30"/>
          <w:u w:val="none"/>
        </w:rPr>
      </w:pPr>
    </w:p>
    <w:p>
      <w:pPr>
        <w:spacing w:line="360" w:lineRule="auto"/>
        <w:jc w:val="center"/>
        <w:rPr>
          <w:rFonts w:ascii="宋体" w:hAnsi="宋体" w:cs="宋体"/>
          <w:b/>
          <w:color w:val="000000"/>
          <w:kern w:val="0"/>
          <w:sz w:val="22"/>
          <w:szCs w:val="22"/>
          <w:u w:val="none"/>
        </w:rPr>
      </w:pPr>
      <w:bookmarkStart w:id="19" w:name="_Toc3219"/>
      <w:bookmarkStart w:id="20" w:name="_Toc29819"/>
      <w:bookmarkStart w:id="21" w:name="_Toc2951"/>
      <w:r>
        <w:rPr>
          <w:rFonts w:hint="eastAsia" w:eastAsia="方正小标宋_GBK"/>
          <w:b/>
          <w:bCs/>
          <w:sz w:val="40"/>
          <w:szCs w:val="36"/>
          <w:u w:val="none"/>
          <w:lang w:val="en-US" w:eastAsia="zh-CN"/>
        </w:rPr>
        <w:t xml:space="preserve"> </w:t>
      </w:r>
      <w:r>
        <w:rPr>
          <w:rFonts w:hint="eastAsia" w:ascii="黑体" w:hAnsi="黑体" w:eastAsia="黑体"/>
          <w:b/>
          <w:bCs/>
          <w:sz w:val="44"/>
          <w:szCs w:val="44"/>
          <w:u w:val="none"/>
        </w:rPr>
        <w:t>2022年度</w:t>
      </w:r>
      <w:r>
        <w:rPr>
          <w:rFonts w:hint="eastAsia" w:ascii="黑体" w:hAnsi="黑体" w:eastAsia="黑体"/>
          <w:b/>
          <w:bCs/>
          <w:sz w:val="44"/>
          <w:szCs w:val="44"/>
          <w:u w:val="none"/>
          <w:lang w:val="en-US" w:eastAsia="zh-CN"/>
        </w:rPr>
        <w:t>港区</w:t>
      </w:r>
      <w:r>
        <w:rPr>
          <w:rFonts w:hint="eastAsia" w:ascii="黑体" w:hAnsi="黑体" w:eastAsia="黑体"/>
          <w:b/>
          <w:bCs/>
          <w:sz w:val="44"/>
          <w:szCs w:val="44"/>
          <w:u w:val="none"/>
        </w:rPr>
        <w:t>卫生保洁服务项目</w:t>
      </w:r>
    </w:p>
    <w:p>
      <w:pPr>
        <w:spacing w:line="360" w:lineRule="auto"/>
        <w:jc w:val="center"/>
        <w:rPr>
          <w:rFonts w:ascii="黑体" w:hAnsi="黑体" w:eastAsia="黑体"/>
          <w:b/>
          <w:bCs/>
          <w:sz w:val="44"/>
          <w:szCs w:val="44"/>
          <w:u w:val="none"/>
        </w:rPr>
      </w:pPr>
    </w:p>
    <w:bookmarkEnd w:id="19"/>
    <w:bookmarkEnd w:id="20"/>
    <w:bookmarkEnd w:id="21"/>
    <w:p>
      <w:pPr>
        <w:widowControl w:val="0"/>
        <w:spacing w:beforeLines="100" w:afterLines="100" w:line="240" w:lineRule="auto"/>
        <w:jc w:val="center"/>
        <w:outlineLvl w:val="0"/>
        <w:rPr>
          <w:rFonts w:eastAsia="楷体_GB2312"/>
          <w:b/>
          <w:bCs/>
          <w:sz w:val="28"/>
          <w:szCs w:val="28"/>
          <w:u w:val="none"/>
        </w:rPr>
      </w:pPr>
      <w:bookmarkStart w:id="22" w:name="_Toc5817"/>
      <w:bookmarkStart w:id="23" w:name="_Toc6477"/>
      <w:bookmarkStart w:id="24" w:name="_Toc12374"/>
      <w:r>
        <w:rPr>
          <w:rFonts w:eastAsia="楷体_GB2312"/>
          <w:b/>
          <w:bCs/>
          <w:sz w:val="28"/>
          <w:szCs w:val="28"/>
          <w:u w:val="none"/>
        </w:rPr>
        <w:t>（项目</w:t>
      </w:r>
      <w:r>
        <w:rPr>
          <w:rFonts w:hint="eastAsia" w:eastAsia="楷体_GB2312"/>
          <w:b/>
          <w:bCs/>
          <w:sz w:val="28"/>
          <w:szCs w:val="28"/>
          <w:u w:val="none"/>
        </w:rPr>
        <w:t>采购</w:t>
      </w:r>
      <w:r>
        <w:rPr>
          <w:rFonts w:eastAsia="楷体_GB2312"/>
          <w:b/>
          <w:bCs/>
          <w:sz w:val="28"/>
          <w:szCs w:val="28"/>
          <w:u w:val="none"/>
        </w:rPr>
        <w:t>编号：</w:t>
      </w:r>
      <w:r>
        <w:rPr>
          <w:rFonts w:hint="eastAsia" w:eastAsia="楷体_GB2312"/>
          <w:b/>
          <w:bCs/>
          <w:sz w:val="28"/>
          <w:szCs w:val="28"/>
          <w:u w:val="none"/>
        </w:rPr>
        <w:t>填入项目采购编号</w:t>
      </w:r>
      <w:r>
        <w:rPr>
          <w:rFonts w:eastAsia="楷体_GB2312"/>
          <w:b/>
          <w:bCs/>
          <w:sz w:val="28"/>
          <w:szCs w:val="28"/>
          <w:u w:val="none"/>
        </w:rPr>
        <w:t>）</w:t>
      </w:r>
      <w:bookmarkEnd w:id="22"/>
      <w:bookmarkEnd w:id="23"/>
      <w:bookmarkEnd w:id="24"/>
    </w:p>
    <w:p>
      <w:pPr>
        <w:widowControl w:val="0"/>
        <w:adjustRightInd w:val="0"/>
        <w:snapToGrid w:val="0"/>
        <w:rPr>
          <w:b/>
          <w:u w:val="none"/>
        </w:rPr>
      </w:pPr>
    </w:p>
    <w:p>
      <w:pPr>
        <w:spacing w:line="288" w:lineRule="auto"/>
        <w:jc w:val="center"/>
        <w:rPr>
          <w:rFonts w:eastAsia="方正小标宋_GBK"/>
          <w:b/>
          <w:bCs/>
          <w:spacing w:val="160"/>
          <w:sz w:val="72"/>
          <w:szCs w:val="72"/>
          <w:u w:val="none"/>
        </w:rPr>
      </w:pPr>
    </w:p>
    <w:p>
      <w:pPr>
        <w:spacing w:line="288" w:lineRule="auto"/>
        <w:jc w:val="center"/>
        <w:rPr>
          <w:rFonts w:eastAsia="方正小标宋_GBK"/>
          <w:b/>
          <w:bCs/>
          <w:spacing w:val="160"/>
          <w:sz w:val="72"/>
          <w:szCs w:val="72"/>
          <w:u w:val="none"/>
        </w:rPr>
      </w:pPr>
    </w:p>
    <w:p>
      <w:pPr>
        <w:spacing w:line="288" w:lineRule="auto"/>
        <w:jc w:val="center"/>
        <w:rPr>
          <w:rFonts w:eastAsia="方正小标宋_GBK"/>
          <w:b/>
          <w:bCs/>
          <w:spacing w:val="160"/>
          <w:sz w:val="72"/>
          <w:szCs w:val="72"/>
          <w:u w:val="none"/>
        </w:rPr>
      </w:pPr>
    </w:p>
    <w:p>
      <w:pPr>
        <w:spacing w:line="288" w:lineRule="auto"/>
        <w:jc w:val="center"/>
        <w:outlineLvl w:val="0"/>
        <w:rPr>
          <w:rFonts w:eastAsia="方正小标宋_GBK"/>
          <w:b/>
          <w:bCs/>
          <w:spacing w:val="160"/>
          <w:sz w:val="72"/>
          <w:szCs w:val="72"/>
          <w:u w:val="none"/>
        </w:rPr>
      </w:pPr>
      <w:bookmarkStart w:id="25" w:name="_Toc19938"/>
      <w:bookmarkStart w:id="26" w:name="_Toc29576"/>
      <w:bookmarkStart w:id="27" w:name="_Toc6232"/>
      <w:r>
        <w:rPr>
          <w:rFonts w:hint="eastAsia" w:eastAsia="方正小标宋_GBK"/>
          <w:b/>
          <w:bCs/>
          <w:spacing w:val="160"/>
          <w:sz w:val="72"/>
          <w:szCs w:val="72"/>
          <w:u w:val="none"/>
        </w:rPr>
        <w:t>响应</w:t>
      </w:r>
      <w:r>
        <w:rPr>
          <w:rFonts w:eastAsia="方正小标宋_GBK"/>
          <w:b/>
          <w:bCs/>
          <w:spacing w:val="160"/>
          <w:sz w:val="72"/>
          <w:szCs w:val="72"/>
          <w:u w:val="none"/>
        </w:rPr>
        <w:t>文件</w:t>
      </w:r>
      <w:bookmarkEnd w:id="25"/>
      <w:bookmarkEnd w:id="26"/>
      <w:bookmarkEnd w:id="27"/>
    </w:p>
    <w:p>
      <w:pPr>
        <w:spacing w:line="288" w:lineRule="auto"/>
        <w:rPr>
          <w:sz w:val="26"/>
          <w:szCs w:val="26"/>
          <w:u w:val="none"/>
        </w:rPr>
      </w:pPr>
    </w:p>
    <w:p>
      <w:pPr>
        <w:spacing w:line="288" w:lineRule="auto"/>
        <w:rPr>
          <w:sz w:val="26"/>
          <w:szCs w:val="26"/>
          <w:u w:val="none"/>
        </w:rPr>
      </w:pPr>
    </w:p>
    <w:p>
      <w:pPr>
        <w:spacing w:line="288" w:lineRule="auto"/>
        <w:rPr>
          <w:sz w:val="26"/>
          <w:szCs w:val="26"/>
          <w:u w:val="none"/>
        </w:rPr>
      </w:pPr>
    </w:p>
    <w:p>
      <w:pPr>
        <w:spacing w:line="288" w:lineRule="auto"/>
        <w:rPr>
          <w:sz w:val="26"/>
          <w:szCs w:val="26"/>
          <w:u w:val="none"/>
        </w:rPr>
      </w:pPr>
    </w:p>
    <w:p>
      <w:pPr>
        <w:spacing w:line="288" w:lineRule="auto"/>
        <w:rPr>
          <w:sz w:val="26"/>
          <w:szCs w:val="26"/>
          <w:u w:val="none"/>
        </w:rPr>
      </w:pPr>
    </w:p>
    <w:p>
      <w:pPr>
        <w:spacing w:line="288" w:lineRule="auto"/>
        <w:rPr>
          <w:sz w:val="26"/>
          <w:szCs w:val="26"/>
          <w:u w:val="none"/>
        </w:rPr>
      </w:pPr>
    </w:p>
    <w:p>
      <w:pPr>
        <w:spacing w:line="288" w:lineRule="auto"/>
        <w:rPr>
          <w:sz w:val="26"/>
          <w:szCs w:val="26"/>
          <w:u w:val="none"/>
        </w:rPr>
      </w:pPr>
    </w:p>
    <w:p>
      <w:pPr>
        <w:spacing w:line="288" w:lineRule="auto"/>
        <w:rPr>
          <w:sz w:val="26"/>
          <w:szCs w:val="26"/>
          <w:u w:val="none"/>
        </w:rPr>
      </w:pPr>
    </w:p>
    <w:p>
      <w:pPr>
        <w:spacing w:line="900" w:lineRule="exact"/>
        <w:jc w:val="center"/>
        <w:outlineLvl w:val="0"/>
        <w:rPr>
          <w:rFonts w:eastAsia="黑体"/>
          <w:bCs/>
          <w:sz w:val="30"/>
          <w:szCs w:val="30"/>
          <w:u w:val="none"/>
        </w:rPr>
      </w:pPr>
      <w:bookmarkStart w:id="28" w:name="_Toc28745"/>
      <w:bookmarkStart w:id="29" w:name="_Toc25200"/>
      <w:bookmarkStart w:id="30" w:name="_Toc31478"/>
      <w:r>
        <w:rPr>
          <w:rFonts w:hint="eastAsia" w:eastAsia="黑体"/>
          <w:bCs/>
          <w:sz w:val="30"/>
          <w:szCs w:val="30"/>
          <w:u w:val="none"/>
        </w:rPr>
        <w:t>供 应 商</w:t>
      </w:r>
      <w:r>
        <w:rPr>
          <w:rFonts w:eastAsia="黑体"/>
          <w:bCs/>
          <w:sz w:val="30"/>
          <w:szCs w:val="30"/>
          <w:u w:val="none"/>
        </w:rPr>
        <w:t>：</w:t>
      </w:r>
      <w:r>
        <w:rPr>
          <w:rFonts w:hint="eastAsia" w:eastAsia="黑体"/>
          <w:bCs/>
          <w:sz w:val="30"/>
          <w:szCs w:val="30"/>
          <w:u w:val="none"/>
        </w:rPr>
        <w:t>供应商</w:t>
      </w:r>
      <w:r>
        <w:rPr>
          <w:rFonts w:eastAsia="黑体"/>
          <w:bCs/>
          <w:sz w:val="30"/>
          <w:szCs w:val="30"/>
          <w:u w:val="none"/>
        </w:rPr>
        <w:t>全称并盖单位公章</w:t>
      </w:r>
      <w:bookmarkEnd w:id="28"/>
      <w:bookmarkEnd w:id="29"/>
      <w:bookmarkEnd w:id="30"/>
      <w:r>
        <w:rPr>
          <w:rFonts w:eastAsia="黑体"/>
          <w:bCs/>
          <w:sz w:val="30"/>
          <w:szCs w:val="30"/>
          <w:u w:val="none"/>
        </w:rPr>
        <w:t xml:space="preserve"> </w:t>
      </w:r>
    </w:p>
    <w:p>
      <w:pPr>
        <w:spacing w:line="900" w:lineRule="exact"/>
        <w:jc w:val="center"/>
        <w:outlineLvl w:val="0"/>
        <w:rPr>
          <w:rFonts w:eastAsia="黑体"/>
          <w:sz w:val="30"/>
          <w:szCs w:val="30"/>
          <w:u w:val="none"/>
        </w:rPr>
      </w:pPr>
      <w:bookmarkStart w:id="31" w:name="_Toc5986"/>
      <w:bookmarkStart w:id="32" w:name="_Toc21980"/>
      <w:bookmarkStart w:id="33" w:name="_Toc26976"/>
      <w:r>
        <w:rPr>
          <w:rFonts w:eastAsia="黑体"/>
          <w:sz w:val="30"/>
          <w:szCs w:val="30"/>
          <w:u w:val="none"/>
        </w:rPr>
        <w:t>日期：年</w:t>
      </w:r>
      <w:r>
        <w:rPr>
          <w:rFonts w:hint="eastAsia" w:eastAsia="黑体"/>
          <w:sz w:val="30"/>
          <w:szCs w:val="30"/>
          <w:u w:val="none"/>
        </w:rPr>
        <w:t xml:space="preserve"> </w:t>
      </w:r>
      <w:r>
        <w:rPr>
          <w:rFonts w:eastAsia="黑体"/>
          <w:sz w:val="30"/>
          <w:szCs w:val="30"/>
          <w:u w:val="none"/>
        </w:rPr>
        <w:t>月</w:t>
      </w:r>
      <w:r>
        <w:rPr>
          <w:rFonts w:hint="eastAsia" w:eastAsia="黑体"/>
          <w:sz w:val="30"/>
          <w:szCs w:val="30"/>
          <w:u w:val="none"/>
        </w:rPr>
        <w:t xml:space="preserve">  </w:t>
      </w:r>
      <w:r>
        <w:rPr>
          <w:rFonts w:eastAsia="黑体"/>
          <w:sz w:val="30"/>
          <w:szCs w:val="30"/>
          <w:u w:val="none"/>
        </w:rPr>
        <w:t>日</w:t>
      </w:r>
      <w:bookmarkEnd w:id="31"/>
      <w:bookmarkEnd w:id="32"/>
      <w:bookmarkEnd w:id="33"/>
    </w:p>
    <w:p>
      <w:pPr>
        <w:rPr>
          <w:color w:val="FF0000"/>
          <w:u w:val="none"/>
          <w:lang w:val="zh-CN"/>
        </w:rPr>
      </w:pPr>
      <w:r>
        <w:rPr>
          <w:color w:val="FF0000"/>
          <w:u w:val="none"/>
          <w:lang w:val="zh-CN"/>
        </w:rPr>
        <w:br w:type="page"/>
      </w:r>
    </w:p>
    <w:p>
      <w:pPr>
        <w:adjustRightInd w:val="0"/>
        <w:snapToGrid w:val="0"/>
        <w:spacing w:line="600" w:lineRule="exact"/>
        <w:jc w:val="center"/>
        <w:outlineLvl w:val="0"/>
        <w:rPr>
          <w:rFonts w:ascii="黑体" w:hAnsi="黑体" w:eastAsia="黑体" w:cs="仿宋"/>
          <w:sz w:val="36"/>
          <w:szCs w:val="36"/>
          <w:u w:val="none"/>
        </w:rPr>
      </w:pPr>
      <w:bookmarkStart w:id="34" w:name="_Toc26820"/>
      <w:r>
        <w:rPr>
          <w:rFonts w:hint="eastAsia" w:ascii="黑体" w:hAnsi="黑体" w:eastAsia="黑体" w:cs="仿宋"/>
          <w:sz w:val="36"/>
          <w:szCs w:val="36"/>
          <w:u w:val="none"/>
        </w:rPr>
        <w:t>目 录</w:t>
      </w:r>
      <w:bookmarkEnd w:id="34"/>
    </w:p>
    <w:p>
      <w:pPr>
        <w:adjustRightInd w:val="0"/>
        <w:snapToGrid w:val="0"/>
        <w:spacing w:line="600" w:lineRule="exact"/>
        <w:jc w:val="both"/>
        <w:rPr>
          <w:rFonts w:ascii="宋体" w:hAnsi="宋体" w:cs="仿宋"/>
          <w:sz w:val="36"/>
          <w:szCs w:val="36"/>
          <w:u w:val="none"/>
        </w:rPr>
      </w:pPr>
    </w:p>
    <w:p>
      <w:pPr>
        <w:numPr>
          <w:ilvl w:val="0"/>
          <w:numId w:val="23"/>
        </w:numPr>
        <w:adjustRightInd w:val="0"/>
        <w:snapToGrid w:val="0"/>
        <w:spacing w:line="600" w:lineRule="exact"/>
        <w:jc w:val="both"/>
        <w:rPr>
          <w:rFonts w:hint="eastAsia" w:ascii="宋体" w:hAnsi="宋体" w:cs="仿宋"/>
          <w:sz w:val="24"/>
          <w:u w:val="none"/>
        </w:rPr>
      </w:pPr>
      <w:r>
        <w:rPr>
          <w:rFonts w:hint="eastAsia" w:ascii="宋体" w:hAnsi="宋体" w:cs="仿宋"/>
          <w:sz w:val="24"/>
          <w:u w:val="none"/>
        </w:rPr>
        <w:t>响应函</w:t>
      </w:r>
      <w:r>
        <w:rPr>
          <w:rFonts w:hint="eastAsia" w:ascii="宋体" w:hAnsi="宋体" w:cs="仿宋"/>
          <w:sz w:val="24"/>
          <w:u w:val="none"/>
        </w:rPr>
        <w:br w:type="textWrapping"/>
      </w:r>
      <w:r>
        <w:rPr>
          <w:rFonts w:hint="eastAsia" w:ascii="宋体" w:hAnsi="宋体" w:cs="仿宋"/>
          <w:sz w:val="24"/>
          <w:u w:val="none"/>
        </w:rPr>
        <w:t>二、授权委托书(适用于有委托代理人的情况)</w:t>
      </w:r>
      <w:r>
        <w:rPr>
          <w:rFonts w:hint="eastAsia" w:ascii="宋体" w:hAnsi="宋体" w:cs="仿宋"/>
          <w:sz w:val="24"/>
          <w:u w:val="none"/>
        </w:rPr>
        <w:br w:type="textWrapping"/>
      </w:r>
      <w:r>
        <w:rPr>
          <w:rFonts w:hint="eastAsia" w:ascii="宋体" w:hAnsi="宋体" w:cs="仿宋"/>
          <w:sz w:val="24"/>
          <w:u w:val="none"/>
        </w:rPr>
        <w:t>三、商务和技术偏差表</w:t>
      </w:r>
      <w:r>
        <w:rPr>
          <w:rFonts w:hint="eastAsia" w:ascii="宋体" w:hAnsi="宋体" w:cs="仿宋"/>
          <w:sz w:val="24"/>
          <w:u w:val="none"/>
        </w:rPr>
        <w:br w:type="textWrapping"/>
      </w:r>
      <w:r>
        <w:rPr>
          <w:rFonts w:hint="eastAsia" w:ascii="宋体" w:hAnsi="宋体" w:cs="仿宋"/>
          <w:sz w:val="24"/>
          <w:u w:val="none"/>
          <w:lang w:val="en-US" w:eastAsia="zh-CN"/>
        </w:rPr>
        <w:t>四</w:t>
      </w:r>
      <w:r>
        <w:rPr>
          <w:rFonts w:hint="eastAsia" w:ascii="宋体" w:hAnsi="宋体" w:cs="仿宋"/>
          <w:sz w:val="24"/>
          <w:u w:val="none"/>
        </w:rPr>
        <w:t>、资格审查资料</w:t>
      </w:r>
      <w:r>
        <w:rPr>
          <w:rFonts w:hint="eastAsia" w:ascii="宋体" w:hAnsi="宋体" w:cs="仿宋"/>
          <w:sz w:val="24"/>
          <w:u w:val="none"/>
        </w:rPr>
        <w:br w:type="textWrapping"/>
      </w:r>
      <w:r>
        <w:rPr>
          <w:rFonts w:hint="eastAsia" w:ascii="宋体" w:hAnsi="宋体" w:cs="仿宋"/>
          <w:sz w:val="24"/>
          <w:u w:val="none"/>
          <w:lang w:val="en-US" w:eastAsia="zh-CN"/>
        </w:rPr>
        <w:t>五</w:t>
      </w:r>
      <w:r>
        <w:rPr>
          <w:rFonts w:hint="eastAsia" w:ascii="宋体" w:hAnsi="宋体" w:cs="仿宋"/>
          <w:sz w:val="24"/>
          <w:u w:val="none"/>
        </w:rPr>
        <w:t>、响应方案</w:t>
      </w:r>
      <w:r>
        <w:rPr>
          <w:rFonts w:hint="eastAsia" w:ascii="宋体" w:hAnsi="宋体" w:cs="仿宋"/>
          <w:sz w:val="24"/>
          <w:u w:val="none"/>
        </w:rPr>
        <w:br w:type="textWrapping"/>
      </w:r>
      <w:r>
        <w:rPr>
          <w:rFonts w:hint="eastAsia" w:ascii="宋体" w:hAnsi="宋体" w:cs="仿宋"/>
          <w:sz w:val="24"/>
          <w:u w:val="none"/>
          <w:lang w:val="en-US" w:eastAsia="zh-CN"/>
        </w:rPr>
        <w:t>六</w:t>
      </w:r>
      <w:r>
        <w:rPr>
          <w:rFonts w:hint="eastAsia" w:ascii="宋体" w:hAnsi="宋体" w:cs="仿宋"/>
          <w:sz w:val="24"/>
          <w:u w:val="none"/>
        </w:rPr>
        <w:t>、其他资料</w:t>
      </w:r>
    </w:p>
    <w:p>
      <w:pPr>
        <w:pStyle w:val="2"/>
        <w:keepNext/>
        <w:keepLines/>
        <w:numPr>
          <w:ilvl w:val="0"/>
          <w:numId w:val="0"/>
        </w:numPr>
        <w:spacing w:before="260" w:beforeAutospacing="1" w:after="260" w:afterAutospacing="1" w:line="415" w:lineRule="auto"/>
        <w:outlineLvl w:val="9"/>
      </w:pPr>
    </w:p>
    <w:p/>
    <w:p>
      <w:pPr>
        <w:pStyle w:val="2"/>
        <w:outlineLvl w:val="9"/>
      </w:pPr>
    </w:p>
    <w:p/>
    <w:p>
      <w:pPr>
        <w:pStyle w:val="2"/>
        <w:outlineLvl w:val="9"/>
      </w:pPr>
    </w:p>
    <w:p/>
    <w:p>
      <w:pPr>
        <w:pStyle w:val="2"/>
        <w:outlineLvl w:val="9"/>
      </w:pPr>
    </w:p>
    <w:p/>
    <w:p>
      <w:pPr>
        <w:pStyle w:val="2"/>
        <w:outlineLvl w:val="9"/>
      </w:pPr>
    </w:p>
    <w:p/>
    <w:p>
      <w:pPr>
        <w:pStyle w:val="2"/>
        <w:outlineLvl w:val="9"/>
      </w:pPr>
    </w:p>
    <w:p>
      <w:pPr>
        <w:numPr>
          <w:ilvl w:val="0"/>
          <w:numId w:val="24"/>
        </w:numPr>
        <w:adjustRightInd w:val="0"/>
        <w:snapToGrid w:val="0"/>
        <w:spacing w:line="600" w:lineRule="exact"/>
        <w:jc w:val="center"/>
        <w:outlineLvl w:val="0"/>
        <w:rPr>
          <w:rFonts w:ascii="黑体" w:hAnsi="黑体" w:eastAsia="黑体" w:cs="仿宋"/>
          <w:sz w:val="36"/>
          <w:szCs w:val="36"/>
          <w:u w:val="none"/>
        </w:rPr>
      </w:pPr>
      <w:bookmarkStart w:id="35" w:name="_Toc8801"/>
      <w:r>
        <w:rPr>
          <w:rFonts w:hint="eastAsia" w:ascii="黑体" w:hAnsi="黑体" w:eastAsia="黑体" w:cs="仿宋"/>
          <w:sz w:val="36"/>
          <w:szCs w:val="36"/>
          <w:u w:val="none"/>
        </w:rPr>
        <w:t>响应函</w:t>
      </w:r>
      <w:bookmarkEnd w:id="35"/>
    </w:p>
    <w:p>
      <w:pPr>
        <w:adjustRightInd w:val="0"/>
        <w:snapToGrid w:val="0"/>
        <w:spacing w:line="600" w:lineRule="exact"/>
        <w:jc w:val="both"/>
        <w:rPr>
          <w:rFonts w:cs="仿宋" w:asciiTheme="minorEastAsia" w:hAnsiTheme="minorEastAsia" w:eastAsiaTheme="minorEastAsia"/>
          <w:sz w:val="24"/>
          <w:u w:val="none"/>
        </w:rPr>
      </w:pP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(采购人名称):</w:t>
      </w:r>
    </w:p>
    <w:p>
      <w:pPr>
        <w:adjustRightInd w:val="0"/>
        <w:snapToGrid w:val="0"/>
        <w:spacing w:line="600" w:lineRule="exact"/>
        <w:rPr>
          <w:rFonts w:hint="default" w:cs="仿宋" w:asciiTheme="minorEastAsia" w:hAnsiTheme="minorEastAsia" w:eastAsiaTheme="minorEastAsia"/>
          <w:sz w:val="24"/>
          <w:u w:val="none"/>
          <w:lang w:val="en-US" w:eastAsia="zh-CN"/>
        </w:rPr>
      </w:pPr>
      <w:r>
        <w:rPr>
          <w:rFonts w:hint="eastAsia" w:cs="仿宋" w:asciiTheme="minorEastAsia" w:hAnsiTheme="minorEastAsia" w:eastAsiaTheme="minorEastAsia"/>
          <w:sz w:val="24"/>
          <w:u w:val="none"/>
        </w:rPr>
        <w:t>1.我方已仔细研究了__(项目名称)采购文件的全部内容，愿意以含税价人民币(大写)(￥)的报价（其中：增值税税</w:t>
      </w:r>
      <w:r>
        <w:rPr>
          <w:rFonts w:hint="eastAsia" w:cs="仿宋" w:asciiTheme="minorEastAsia" w:hAnsiTheme="minorEastAsia" w:eastAsiaTheme="minorEastAsia"/>
          <w:sz w:val="24"/>
          <w:u w:val="none"/>
          <w:lang w:val="en-US" w:eastAsia="zh-CN"/>
        </w:rPr>
        <w:t>率</w:t>
      </w:r>
      <w:r>
        <w:rPr>
          <w:rFonts w:hint="eastAsia" w:cs="仿宋" w:asciiTheme="minorEastAsia" w:hAnsiTheme="minorEastAsia" w:eastAsiaTheme="minorEastAsia"/>
          <w:sz w:val="24"/>
          <w:u w:val="none"/>
        </w:rPr>
        <w:t>为:)完成提供本项目服务，并按合同约定履行义务。</w:t>
      </w:r>
      <w:r>
        <w:rPr>
          <w:rFonts w:hint="eastAsia" w:cs="仿宋" w:asciiTheme="minorEastAsia" w:hAnsiTheme="minorEastAsia" w:eastAsiaTheme="minorEastAsia"/>
          <w:sz w:val="24"/>
          <w:u w:val="none"/>
          <w:lang w:val="en-US" w:eastAsia="zh-CN"/>
        </w:rPr>
        <w:t>服务期限一年。</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2.我方的响应文件包括下列内容:</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(1)响应函;</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(2)授权委托书(</w:t>
      </w:r>
      <w:r>
        <w:rPr>
          <w:rFonts w:hint="eastAsia" w:ascii="宋体" w:hAnsi="宋体" w:cs="仿宋"/>
          <w:sz w:val="24"/>
          <w:u w:val="none"/>
        </w:rPr>
        <w:t>适用于有委托代理人的情况</w:t>
      </w:r>
      <w:r>
        <w:rPr>
          <w:rFonts w:hint="eastAsia" w:cs="仿宋" w:asciiTheme="minorEastAsia" w:hAnsiTheme="minorEastAsia" w:eastAsiaTheme="minorEastAsia"/>
          <w:sz w:val="24"/>
          <w:u w:val="none"/>
        </w:rPr>
        <w:t>);</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(3)商务和技术偏差表;</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w:t>
      </w:r>
      <w:r>
        <w:rPr>
          <w:rFonts w:hint="eastAsia" w:cs="仿宋" w:asciiTheme="minorEastAsia" w:hAnsiTheme="minorEastAsia" w:eastAsiaTheme="minorEastAsia"/>
          <w:sz w:val="24"/>
          <w:u w:val="none"/>
          <w:lang w:val="en-US" w:eastAsia="zh-CN"/>
        </w:rPr>
        <w:t>4</w:t>
      </w:r>
      <w:r>
        <w:rPr>
          <w:rFonts w:hint="eastAsia" w:cs="仿宋" w:asciiTheme="minorEastAsia" w:hAnsiTheme="minorEastAsia" w:eastAsiaTheme="minorEastAsia"/>
          <w:sz w:val="24"/>
          <w:u w:val="none"/>
        </w:rPr>
        <w:t>)资格审查资料;</w:t>
      </w:r>
    </w:p>
    <w:p>
      <w:pPr>
        <w:adjustRightInd w:val="0"/>
        <w:snapToGrid w:val="0"/>
        <w:spacing w:line="600" w:lineRule="exact"/>
        <w:jc w:val="both"/>
        <w:rPr>
          <w:rFonts w:hint="eastAsia" w:cs="仿宋" w:asciiTheme="minorEastAsia" w:hAnsiTheme="minorEastAsia" w:eastAsiaTheme="minorEastAsia"/>
          <w:sz w:val="24"/>
          <w:u w:val="none"/>
        </w:rPr>
      </w:pPr>
      <w:r>
        <w:rPr>
          <w:rFonts w:hint="eastAsia" w:cs="仿宋" w:asciiTheme="minorEastAsia" w:hAnsiTheme="minorEastAsia" w:eastAsiaTheme="minorEastAsia"/>
          <w:sz w:val="24"/>
          <w:u w:val="none"/>
        </w:rPr>
        <w:t>(</w:t>
      </w:r>
      <w:r>
        <w:rPr>
          <w:rFonts w:hint="eastAsia" w:cs="仿宋" w:asciiTheme="minorEastAsia" w:hAnsiTheme="minorEastAsia" w:eastAsiaTheme="minorEastAsia"/>
          <w:sz w:val="24"/>
          <w:u w:val="none"/>
          <w:lang w:val="en-US" w:eastAsia="zh-CN"/>
        </w:rPr>
        <w:t>5</w:t>
      </w:r>
      <w:r>
        <w:rPr>
          <w:rFonts w:hint="eastAsia" w:cs="仿宋" w:asciiTheme="minorEastAsia" w:hAnsiTheme="minorEastAsia" w:eastAsiaTheme="minorEastAsia"/>
          <w:sz w:val="24"/>
          <w:u w:val="none"/>
        </w:rPr>
        <w:t>)响应方案;</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w:t>
      </w:r>
      <w:r>
        <w:rPr>
          <w:rFonts w:hint="eastAsia" w:cs="仿宋" w:asciiTheme="minorEastAsia" w:hAnsiTheme="minorEastAsia" w:eastAsiaTheme="minorEastAsia"/>
          <w:sz w:val="24"/>
          <w:u w:val="none"/>
          <w:lang w:val="en-US" w:eastAsia="zh-CN"/>
        </w:rPr>
        <w:t>6</w:t>
      </w:r>
      <w:r>
        <w:rPr>
          <w:rFonts w:hint="eastAsia" w:cs="仿宋" w:asciiTheme="minorEastAsia" w:hAnsiTheme="minorEastAsia" w:eastAsiaTheme="minorEastAsia"/>
          <w:sz w:val="24"/>
          <w:u w:val="none"/>
        </w:rPr>
        <w:t>）其他资料</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3.我方承诺除商务和技术偏差表列出的偏差外，我方响应采购文件的全部要求。</w:t>
      </w:r>
    </w:p>
    <w:p>
      <w:pPr>
        <w:numPr>
          <w:ilvl w:val="0"/>
          <w:numId w:val="25"/>
        </w:num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我方承诺在采购文件规定的响应文件有效期</w:t>
      </w:r>
      <w:r>
        <w:rPr>
          <w:rFonts w:hint="eastAsia" w:cs="仿宋" w:asciiTheme="minorEastAsia" w:hAnsiTheme="minorEastAsia" w:eastAsiaTheme="minorEastAsia"/>
          <w:sz w:val="24"/>
          <w:u w:val="none"/>
          <w:lang w:eastAsia="zh-CN"/>
        </w:rPr>
        <w:t>（</w:t>
      </w:r>
      <w:r>
        <w:rPr>
          <w:rFonts w:hint="eastAsia" w:cs="仿宋" w:asciiTheme="minorEastAsia" w:hAnsiTheme="minorEastAsia" w:eastAsiaTheme="minorEastAsia"/>
          <w:sz w:val="24"/>
          <w:u w:val="none"/>
          <w:lang w:val="en-US" w:eastAsia="zh-CN"/>
        </w:rPr>
        <w:t>90天</w:t>
      </w:r>
      <w:r>
        <w:rPr>
          <w:rFonts w:hint="eastAsia" w:cs="仿宋" w:asciiTheme="minorEastAsia" w:hAnsiTheme="minorEastAsia" w:eastAsiaTheme="minorEastAsia"/>
          <w:sz w:val="24"/>
          <w:u w:val="none"/>
          <w:lang w:eastAsia="zh-CN"/>
        </w:rPr>
        <w:t>）</w:t>
      </w:r>
      <w:r>
        <w:rPr>
          <w:rFonts w:hint="eastAsia" w:cs="仿宋" w:asciiTheme="minorEastAsia" w:hAnsiTheme="minorEastAsia" w:eastAsiaTheme="minorEastAsia"/>
          <w:sz w:val="24"/>
          <w:u w:val="none"/>
        </w:rPr>
        <w:t>内不撤销响应文件。</w:t>
      </w:r>
    </w:p>
    <w:p>
      <w:pPr>
        <w:numPr>
          <w:ilvl w:val="0"/>
          <w:numId w:val="25"/>
        </w:num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(3)按照采购文件要求递交履约保证金;</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6.我方在此声明，所递交的响应文件及有关资料内容完整、真实和准确，且不开在第一章“邀请公告”中规定的供应商不得存在的情形。</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7.(其他补充说明)。</w:t>
      </w:r>
    </w:p>
    <w:p>
      <w:pPr>
        <w:adjustRightInd w:val="0"/>
        <w:snapToGrid w:val="0"/>
        <w:spacing w:line="600" w:lineRule="exact"/>
        <w:jc w:val="both"/>
        <w:rPr>
          <w:rFonts w:cs="仿宋" w:asciiTheme="minorEastAsia" w:hAnsiTheme="minorEastAsia" w:eastAsiaTheme="minorEastAsia"/>
          <w:sz w:val="24"/>
          <w:u w:val="none"/>
        </w:rPr>
      </w:pP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供应商:________________________(盖单位章)</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 xml:space="preserve">法定代表人(单位负责人)或其授权的代理人:(签字) </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地址:____________________________________________</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电子邮箱：_______________________________________</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电话：____________________________________________</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传真：____________________________________________</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邮政编码：_______________________________________</w:t>
      </w:r>
    </w:p>
    <w:p>
      <w:pPr>
        <w:spacing w:line="600" w:lineRule="exact"/>
        <w:jc w:val="both"/>
        <w:rPr>
          <w:rFonts w:cs="仿宋" w:asciiTheme="minorEastAsia" w:hAnsiTheme="minorEastAsia" w:eastAsiaTheme="minorEastAsia"/>
          <w:sz w:val="24"/>
          <w:u w:val="none"/>
        </w:rPr>
      </w:pPr>
    </w:p>
    <w:p>
      <w:pPr>
        <w:spacing w:line="600" w:lineRule="exact"/>
        <w:jc w:val="right"/>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年 月 日</w:t>
      </w:r>
    </w:p>
    <w:p>
      <w:pPr>
        <w:rPr>
          <w:color w:val="FF0000"/>
          <w:u w:val="none"/>
          <w:lang w:val="zh-CN"/>
        </w:rPr>
      </w:pPr>
      <w:r>
        <w:rPr>
          <w:color w:val="FF0000"/>
          <w:u w:val="none"/>
          <w:lang w:val="zh-CN"/>
        </w:rPr>
        <w:br w:type="page"/>
      </w:r>
    </w:p>
    <w:p>
      <w:pPr>
        <w:spacing w:line="400" w:lineRule="exact"/>
        <w:jc w:val="center"/>
        <w:rPr>
          <w:rFonts w:asciiTheme="minorEastAsia" w:hAnsiTheme="minorEastAsia" w:eastAsiaTheme="minorEastAsia"/>
          <w:color w:val="000000"/>
          <w:sz w:val="24"/>
          <w:u w:val="none"/>
        </w:rPr>
      </w:pPr>
      <w:r>
        <w:rPr>
          <w:rFonts w:hint="eastAsia" w:cs="宋体" w:asciiTheme="minorEastAsia" w:hAnsiTheme="minorEastAsia" w:eastAsiaTheme="minorEastAsia"/>
          <w:b/>
          <w:color w:val="000000"/>
          <w:kern w:val="0"/>
          <w:sz w:val="36"/>
          <w:szCs w:val="36"/>
          <w:u w:val="none"/>
        </w:rPr>
        <w:t>附：守法诚信承诺书</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××公司：</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1、我司已仔细阅读《××单位××文件》</w:t>
      </w:r>
      <w:r>
        <w:rPr>
          <w:rFonts w:cs="仿宋" w:asciiTheme="minorEastAsia" w:hAnsiTheme="minorEastAsia" w:eastAsiaTheme="minorEastAsia"/>
          <w:sz w:val="24"/>
          <w:u w:val="none"/>
        </w:rPr>
        <w:t>（编号</w:t>
      </w:r>
      <w:r>
        <w:rPr>
          <w:rFonts w:hint="eastAsia" w:cs="仿宋" w:asciiTheme="minorEastAsia" w:hAnsiTheme="minorEastAsia" w:eastAsiaTheme="minorEastAsia"/>
          <w:sz w:val="24"/>
          <w:u w:val="none"/>
        </w:rPr>
        <w:t>×</w:t>
      </w:r>
      <w:r>
        <w:rPr>
          <w:rFonts w:cs="仿宋" w:asciiTheme="minorEastAsia" w:hAnsiTheme="minorEastAsia" w:eastAsiaTheme="minorEastAsia"/>
          <w:sz w:val="24"/>
          <w:u w:val="none"/>
        </w:rPr>
        <w:t>×）</w:t>
      </w:r>
      <w:r>
        <w:rPr>
          <w:rFonts w:hint="eastAsia" w:cs="仿宋" w:asciiTheme="minorEastAsia" w:hAnsiTheme="minorEastAsia" w:eastAsiaTheme="minorEastAsia"/>
          <w:sz w:val="24"/>
          <w:u w:val="none"/>
        </w:rPr>
        <w:t>（以下</w:t>
      </w:r>
      <w:r>
        <w:rPr>
          <w:rFonts w:cs="仿宋" w:asciiTheme="minorEastAsia" w:hAnsiTheme="minorEastAsia" w:eastAsiaTheme="minorEastAsia"/>
          <w:sz w:val="24"/>
          <w:u w:val="none"/>
        </w:rPr>
        <w:t>简称</w:t>
      </w:r>
      <w:r>
        <w:rPr>
          <w:rFonts w:hint="eastAsia" w:cs="仿宋" w:asciiTheme="minorEastAsia" w:hAnsiTheme="minorEastAsia" w:eastAsiaTheme="minorEastAsia"/>
          <w:sz w:val="24"/>
          <w:u w:val="none"/>
        </w:rPr>
        <w:t>采购</w:t>
      </w:r>
      <w:r>
        <w:rPr>
          <w:rFonts w:cs="仿宋" w:asciiTheme="minorEastAsia" w:hAnsiTheme="minorEastAsia" w:eastAsiaTheme="minorEastAsia"/>
          <w:sz w:val="24"/>
          <w:u w:val="none"/>
        </w:rPr>
        <w:t>文件）</w:t>
      </w:r>
      <w:r>
        <w:rPr>
          <w:rFonts w:hint="eastAsia" w:cs="仿宋" w:asciiTheme="minorEastAsia" w:hAnsiTheme="minorEastAsia" w:eastAsiaTheme="minorEastAsia"/>
          <w:sz w:val="24"/>
          <w:u w:val="none"/>
        </w:rPr>
        <w:t>，包括采</w:t>
      </w:r>
      <w:r>
        <w:rPr>
          <w:rFonts w:cs="仿宋" w:asciiTheme="minorEastAsia" w:hAnsiTheme="minorEastAsia" w:eastAsiaTheme="minorEastAsia"/>
          <w:sz w:val="24"/>
          <w:u w:val="none"/>
        </w:rPr>
        <w:t>购</w:t>
      </w:r>
      <w:r>
        <w:rPr>
          <w:rFonts w:hint="eastAsia" w:cs="仿宋" w:asciiTheme="minorEastAsia" w:hAnsiTheme="minorEastAsia" w:eastAsiaTheme="minorEastAsia"/>
          <w:sz w:val="24"/>
          <w:u w:val="none"/>
        </w:rPr>
        <w:t>文件的澄清或修改说明</w:t>
      </w:r>
      <w:r>
        <w:rPr>
          <w:rFonts w:cs="仿宋" w:asciiTheme="minorEastAsia" w:hAnsiTheme="minorEastAsia" w:eastAsiaTheme="minorEastAsia"/>
          <w:sz w:val="24"/>
          <w:u w:val="none"/>
        </w:rPr>
        <w:t>，</w:t>
      </w:r>
      <w:r>
        <w:rPr>
          <w:rFonts w:hint="eastAsia" w:cs="仿宋" w:asciiTheme="minorEastAsia" w:hAnsiTheme="minorEastAsia" w:eastAsiaTheme="minorEastAsia"/>
          <w:sz w:val="24"/>
          <w:u w:val="none"/>
        </w:rPr>
        <w:t>完全支持并响应，不存在误解或不明。</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3、响应期间没有因质量或</w:t>
      </w:r>
      <w:r>
        <w:rPr>
          <w:rFonts w:cs="仿宋" w:asciiTheme="minorEastAsia" w:hAnsiTheme="minorEastAsia" w:eastAsiaTheme="minorEastAsia"/>
          <w:sz w:val="24"/>
          <w:u w:val="none"/>
        </w:rPr>
        <w:t>服务</w:t>
      </w:r>
      <w:r>
        <w:rPr>
          <w:rFonts w:hint="eastAsia" w:cs="仿宋" w:asciiTheme="minorEastAsia" w:hAnsiTheme="minorEastAsia" w:eastAsiaTheme="minorEastAsia"/>
          <w:sz w:val="24"/>
          <w:u w:val="none"/>
        </w:rPr>
        <w:t>问题被采购人或采购人上级</w:t>
      </w:r>
      <w:r>
        <w:rPr>
          <w:rFonts w:cs="仿宋" w:asciiTheme="minorEastAsia" w:hAnsiTheme="minorEastAsia" w:eastAsiaTheme="minorEastAsia"/>
          <w:sz w:val="24"/>
          <w:u w:val="none"/>
        </w:rPr>
        <w:t>机构</w:t>
      </w:r>
      <w:r>
        <w:rPr>
          <w:rFonts w:hint="eastAsia" w:cs="仿宋" w:asciiTheme="minorEastAsia" w:hAnsiTheme="minorEastAsia" w:eastAsiaTheme="minorEastAsia"/>
          <w:sz w:val="24"/>
          <w:u w:val="none"/>
        </w:rPr>
        <w:t>通报且在整改期内。</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5、无联合体另外报价。</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6、单位、法定代表人（单位负责人）、委托代理人（授权代表）无暂停或取消</w:t>
      </w:r>
      <w:r>
        <w:rPr>
          <w:rFonts w:hint="eastAsia" w:cs="仿宋" w:asciiTheme="minorEastAsia" w:hAnsiTheme="minorEastAsia" w:eastAsiaTheme="minorEastAsia"/>
          <w:sz w:val="24"/>
          <w:u w:val="none"/>
          <w:lang w:eastAsia="zh-CN"/>
        </w:rPr>
        <w:t>响应</w:t>
      </w:r>
      <w:r>
        <w:rPr>
          <w:rFonts w:hint="eastAsia" w:cs="仿宋" w:asciiTheme="minorEastAsia" w:hAnsiTheme="minorEastAsia" w:eastAsiaTheme="minorEastAsia"/>
          <w:sz w:val="24"/>
          <w:u w:val="none"/>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u w:val="none"/>
        </w:rPr>
      </w:pPr>
      <w:r>
        <w:rPr>
          <w:rFonts w:cs="仿宋" w:asciiTheme="minorEastAsia" w:hAnsiTheme="minorEastAsia" w:eastAsiaTheme="minorEastAsia"/>
          <w:sz w:val="24"/>
          <w:u w:val="none"/>
        </w:rPr>
        <w:t>7</w:t>
      </w:r>
      <w:r>
        <w:rPr>
          <w:rFonts w:hint="eastAsia" w:cs="仿宋" w:asciiTheme="minorEastAsia" w:hAnsiTheme="minorEastAsia" w:eastAsiaTheme="minorEastAsia"/>
          <w:sz w:val="24"/>
          <w:u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u w:val="none"/>
        </w:rPr>
      </w:pPr>
      <w:r>
        <w:rPr>
          <w:rFonts w:cs="仿宋" w:asciiTheme="minorEastAsia" w:hAnsiTheme="minorEastAsia" w:eastAsiaTheme="minorEastAsia"/>
          <w:sz w:val="24"/>
          <w:u w:val="none"/>
        </w:rPr>
        <w:t>8</w:t>
      </w:r>
      <w:r>
        <w:rPr>
          <w:rFonts w:hint="eastAsia" w:cs="仿宋" w:asciiTheme="minorEastAsia" w:hAnsiTheme="minorEastAsia" w:eastAsiaTheme="minorEastAsia"/>
          <w:sz w:val="24"/>
          <w:u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u w:val="none"/>
        </w:rPr>
      </w:pPr>
      <w:r>
        <w:rPr>
          <w:rFonts w:cs="仿宋" w:asciiTheme="minorEastAsia" w:hAnsiTheme="minorEastAsia" w:eastAsiaTheme="minorEastAsia"/>
          <w:sz w:val="24"/>
          <w:u w:val="none"/>
        </w:rPr>
        <w:t>9</w:t>
      </w:r>
      <w:r>
        <w:rPr>
          <w:rFonts w:hint="eastAsia" w:cs="仿宋" w:asciiTheme="minorEastAsia" w:hAnsiTheme="minorEastAsia" w:eastAsiaTheme="minorEastAsia"/>
          <w:sz w:val="24"/>
          <w:u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专此承诺。</w:t>
      </w:r>
    </w:p>
    <w:p>
      <w:pPr>
        <w:spacing w:line="360" w:lineRule="auto"/>
        <w:ind w:firstLine="480" w:firstLineChars="200"/>
        <w:jc w:val="both"/>
        <w:rPr>
          <w:rFonts w:cs="仿宋" w:asciiTheme="minorEastAsia" w:hAnsiTheme="minorEastAsia" w:eastAsiaTheme="minorEastAsia"/>
          <w:sz w:val="24"/>
          <w:u w:val="none"/>
        </w:rPr>
      </w:pPr>
    </w:p>
    <w:p>
      <w:pPr>
        <w:spacing w:line="360" w:lineRule="auto"/>
        <w:ind w:firstLine="4320" w:firstLineChars="18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承诺单位</w:t>
      </w:r>
      <w:r>
        <w:rPr>
          <w:rFonts w:cs="仿宋" w:asciiTheme="minorEastAsia" w:hAnsiTheme="minorEastAsia" w:eastAsiaTheme="minorEastAsia"/>
          <w:sz w:val="24"/>
          <w:u w:val="none"/>
        </w:rPr>
        <w:t>（</w:t>
      </w:r>
      <w:r>
        <w:rPr>
          <w:rFonts w:hint="eastAsia" w:cs="仿宋" w:asciiTheme="minorEastAsia" w:hAnsiTheme="minorEastAsia" w:eastAsiaTheme="minorEastAsia"/>
          <w:sz w:val="24"/>
          <w:u w:val="none"/>
        </w:rPr>
        <w:t>印刷体全称</w:t>
      </w:r>
      <w:r>
        <w:rPr>
          <w:rFonts w:cs="仿宋" w:asciiTheme="minorEastAsia" w:hAnsiTheme="minorEastAsia" w:eastAsiaTheme="minorEastAsia"/>
          <w:sz w:val="24"/>
          <w:u w:val="none"/>
        </w:rPr>
        <w:t>+</w:t>
      </w:r>
      <w:r>
        <w:rPr>
          <w:rFonts w:hint="eastAsia" w:cs="仿宋" w:asciiTheme="minorEastAsia" w:hAnsiTheme="minorEastAsia" w:eastAsiaTheme="minorEastAsia"/>
          <w:sz w:val="24"/>
          <w:u w:val="none"/>
        </w:rPr>
        <w:t>单位公章</w:t>
      </w:r>
      <w:r>
        <w:rPr>
          <w:rFonts w:cs="仿宋" w:asciiTheme="minorEastAsia" w:hAnsiTheme="minorEastAsia" w:eastAsiaTheme="minorEastAsia"/>
          <w:sz w:val="24"/>
          <w:u w:val="none"/>
        </w:rPr>
        <w:t>）：</w:t>
      </w:r>
    </w:p>
    <w:p>
      <w:pPr>
        <w:spacing w:line="360" w:lineRule="auto"/>
        <w:ind w:firstLine="2400" w:firstLineChars="10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承诺单位法定代表人或其委托代理人（印刷体+</w:t>
      </w:r>
      <w:r>
        <w:rPr>
          <w:rFonts w:cs="仿宋" w:asciiTheme="minorEastAsia" w:hAnsiTheme="minorEastAsia" w:eastAsiaTheme="minorEastAsia"/>
          <w:sz w:val="24"/>
          <w:u w:val="none"/>
        </w:rPr>
        <w:t>签字）：</w:t>
      </w:r>
    </w:p>
    <w:p>
      <w:pPr>
        <w:ind w:firstLine="6360" w:firstLineChars="265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年 月 日</w:t>
      </w:r>
    </w:p>
    <w:p>
      <w:pP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br w:type="page"/>
      </w:r>
    </w:p>
    <w:p>
      <w:pPr>
        <w:spacing w:line="600" w:lineRule="exact"/>
        <w:jc w:val="center"/>
        <w:outlineLvl w:val="0"/>
        <w:rPr>
          <w:rFonts w:cs="仿宋" w:asciiTheme="minorEastAsia" w:hAnsiTheme="minorEastAsia" w:eastAsiaTheme="minorEastAsia"/>
          <w:sz w:val="24"/>
          <w:u w:val="none"/>
        </w:rPr>
      </w:pPr>
      <w:bookmarkStart w:id="36" w:name="_Toc18205"/>
      <w:r>
        <w:rPr>
          <w:rFonts w:hint="eastAsia" w:ascii="黑体" w:hAnsi="黑体" w:eastAsia="黑体" w:cs="仿宋"/>
          <w:sz w:val="36"/>
          <w:szCs w:val="36"/>
          <w:u w:val="none"/>
        </w:rPr>
        <w:t>二、授权委托书</w:t>
      </w:r>
      <w:bookmarkEnd w:id="36"/>
    </w:p>
    <w:p>
      <w:pPr>
        <w:adjustRightInd w:val="0"/>
        <w:snapToGrid w:val="0"/>
        <w:spacing w:line="600" w:lineRule="exact"/>
        <w:ind w:left="420" w:leftChars="200"/>
        <w:jc w:val="center"/>
        <w:rPr>
          <w:rFonts w:cs="仿宋" w:asciiTheme="minorEastAsia" w:hAnsiTheme="minorEastAsia" w:eastAsiaTheme="minorEastAsia"/>
          <w:color w:val="FF0000"/>
          <w:sz w:val="24"/>
          <w:u w:val="none"/>
        </w:rPr>
      </w:pPr>
      <w:r>
        <w:rPr>
          <w:rFonts w:hint="eastAsia" w:cs="仿宋" w:asciiTheme="minorEastAsia" w:hAnsiTheme="minorEastAsia" w:eastAsiaTheme="minorEastAsia"/>
          <w:color w:val="FF0000"/>
          <w:sz w:val="24"/>
          <w:u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委托期限:自本委托书签署之日起至采购项目签订采购合同之日止。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年_月日</w:t>
      </w:r>
    </w:p>
    <w:p>
      <w:pPr>
        <w:rPr>
          <w:u w:val="none"/>
          <w:lang w:val="zh-CN"/>
        </w:rPr>
      </w:pPr>
      <w:r>
        <w:rPr>
          <w:u w:val="none"/>
          <w:lang w:val="zh-CN"/>
        </w:rPr>
        <w:br w:type="page"/>
      </w:r>
    </w:p>
    <w:p>
      <w:pPr>
        <w:spacing w:line="600" w:lineRule="exact"/>
        <w:jc w:val="center"/>
        <w:outlineLvl w:val="0"/>
        <w:rPr>
          <w:rFonts w:ascii="黑体" w:hAnsi="黑体" w:eastAsia="黑体" w:cs="仿宋"/>
          <w:sz w:val="36"/>
          <w:szCs w:val="36"/>
          <w:u w:val="none"/>
        </w:rPr>
      </w:pPr>
      <w:bookmarkStart w:id="37" w:name="_Toc14688"/>
      <w:r>
        <w:rPr>
          <w:rFonts w:hint="eastAsia" w:ascii="黑体" w:hAnsi="黑体" w:eastAsia="黑体" w:cs="仿宋"/>
          <w:sz w:val="36"/>
          <w:szCs w:val="36"/>
          <w:u w:val="none"/>
        </w:rPr>
        <w:t>三、商务和技术偏差表</w:t>
      </w:r>
      <w:bookmarkEnd w:id="37"/>
    </w:p>
    <w:p>
      <w:pPr>
        <w:spacing w:line="600" w:lineRule="exact"/>
        <w:jc w:val="center"/>
        <w:rPr>
          <w:rFonts w:cs="仿宋" w:asciiTheme="minorEastAsia" w:hAnsiTheme="minorEastAsia" w:eastAsiaTheme="minorEastAsia"/>
          <w:sz w:val="24"/>
          <w:u w:val="none"/>
        </w:rPr>
      </w:pPr>
    </w:p>
    <w:tbl>
      <w:tblPr>
        <w:tblStyle w:val="1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880"/>
        <w:gridCol w:w="272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85" w:type="dxa"/>
            <w:vAlign w:val="center"/>
          </w:tcPr>
          <w:p>
            <w:pPr>
              <w:widowControl/>
              <w:spacing w:line="600" w:lineRule="exact"/>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序号</w:t>
            </w:r>
          </w:p>
        </w:tc>
        <w:tc>
          <w:tcPr>
            <w:tcW w:w="2880" w:type="dxa"/>
            <w:vAlign w:val="center"/>
          </w:tcPr>
          <w:p>
            <w:pPr>
              <w:widowControl/>
              <w:spacing w:line="600" w:lineRule="exact"/>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采购文件章节及条款号</w:t>
            </w:r>
          </w:p>
        </w:tc>
        <w:tc>
          <w:tcPr>
            <w:tcW w:w="2723" w:type="dxa"/>
            <w:vAlign w:val="center"/>
          </w:tcPr>
          <w:p>
            <w:pPr>
              <w:widowControl/>
              <w:spacing w:line="600" w:lineRule="exact"/>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响应文件章节及条款号</w:t>
            </w:r>
          </w:p>
        </w:tc>
        <w:tc>
          <w:tcPr>
            <w:tcW w:w="2230" w:type="dxa"/>
            <w:vAlign w:val="center"/>
          </w:tcPr>
          <w:p>
            <w:pPr>
              <w:widowControl/>
              <w:spacing w:line="600" w:lineRule="exact"/>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u w:val="none"/>
              </w:rPr>
            </w:pPr>
          </w:p>
        </w:tc>
        <w:tc>
          <w:tcPr>
            <w:tcW w:w="2880" w:type="dxa"/>
          </w:tcPr>
          <w:p>
            <w:pPr>
              <w:widowControl/>
              <w:spacing w:line="600" w:lineRule="exact"/>
              <w:jc w:val="both"/>
              <w:rPr>
                <w:rFonts w:cs="仿宋" w:asciiTheme="minorEastAsia" w:hAnsiTheme="minorEastAsia" w:eastAsiaTheme="minorEastAsia"/>
                <w:sz w:val="24"/>
                <w:u w:val="none"/>
              </w:rPr>
            </w:pPr>
          </w:p>
        </w:tc>
        <w:tc>
          <w:tcPr>
            <w:tcW w:w="2723" w:type="dxa"/>
          </w:tcPr>
          <w:p>
            <w:pPr>
              <w:widowControl/>
              <w:spacing w:line="600" w:lineRule="exact"/>
              <w:jc w:val="both"/>
              <w:rPr>
                <w:rFonts w:cs="仿宋" w:asciiTheme="minorEastAsia" w:hAnsiTheme="minorEastAsia" w:eastAsiaTheme="minorEastAsia"/>
                <w:sz w:val="24"/>
                <w:u w:val="none"/>
              </w:rPr>
            </w:pPr>
          </w:p>
        </w:tc>
        <w:tc>
          <w:tcPr>
            <w:tcW w:w="223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u w:val="none"/>
              </w:rPr>
            </w:pPr>
          </w:p>
        </w:tc>
        <w:tc>
          <w:tcPr>
            <w:tcW w:w="2880" w:type="dxa"/>
          </w:tcPr>
          <w:p>
            <w:pPr>
              <w:widowControl/>
              <w:spacing w:line="600" w:lineRule="exact"/>
              <w:jc w:val="both"/>
              <w:rPr>
                <w:rFonts w:cs="仿宋" w:asciiTheme="minorEastAsia" w:hAnsiTheme="minorEastAsia" w:eastAsiaTheme="minorEastAsia"/>
                <w:sz w:val="24"/>
                <w:u w:val="none"/>
              </w:rPr>
            </w:pPr>
          </w:p>
        </w:tc>
        <w:tc>
          <w:tcPr>
            <w:tcW w:w="2723" w:type="dxa"/>
          </w:tcPr>
          <w:p>
            <w:pPr>
              <w:widowControl/>
              <w:spacing w:line="600" w:lineRule="exact"/>
              <w:jc w:val="both"/>
              <w:rPr>
                <w:rFonts w:cs="仿宋" w:asciiTheme="minorEastAsia" w:hAnsiTheme="minorEastAsia" w:eastAsiaTheme="minorEastAsia"/>
                <w:sz w:val="24"/>
                <w:u w:val="none"/>
              </w:rPr>
            </w:pPr>
          </w:p>
        </w:tc>
        <w:tc>
          <w:tcPr>
            <w:tcW w:w="223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u w:val="none"/>
              </w:rPr>
            </w:pPr>
          </w:p>
        </w:tc>
        <w:tc>
          <w:tcPr>
            <w:tcW w:w="2880" w:type="dxa"/>
          </w:tcPr>
          <w:p>
            <w:pPr>
              <w:widowControl/>
              <w:spacing w:line="600" w:lineRule="exact"/>
              <w:jc w:val="both"/>
              <w:rPr>
                <w:rFonts w:cs="仿宋" w:asciiTheme="minorEastAsia" w:hAnsiTheme="minorEastAsia" w:eastAsiaTheme="minorEastAsia"/>
                <w:sz w:val="24"/>
                <w:u w:val="none"/>
              </w:rPr>
            </w:pPr>
          </w:p>
        </w:tc>
        <w:tc>
          <w:tcPr>
            <w:tcW w:w="2723" w:type="dxa"/>
          </w:tcPr>
          <w:p>
            <w:pPr>
              <w:widowControl/>
              <w:spacing w:line="600" w:lineRule="exact"/>
              <w:jc w:val="both"/>
              <w:rPr>
                <w:rFonts w:cs="仿宋" w:asciiTheme="minorEastAsia" w:hAnsiTheme="minorEastAsia" w:eastAsiaTheme="minorEastAsia"/>
                <w:sz w:val="24"/>
                <w:u w:val="none"/>
              </w:rPr>
            </w:pPr>
          </w:p>
        </w:tc>
        <w:tc>
          <w:tcPr>
            <w:tcW w:w="223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85" w:type="dxa"/>
          </w:tcPr>
          <w:p>
            <w:pPr>
              <w:widowControl/>
              <w:spacing w:line="600" w:lineRule="exact"/>
              <w:jc w:val="both"/>
              <w:rPr>
                <w:rFonts w:cs="仿宋" w:asciiTheme="minorEastAsia" w:hAnsiTheme="minorEastAsia" w:eastAsiaTheme="minorEastAsia"/>
                <w:sz w:val="24"/>
                <w:u w:val="none"/>
              </w:rPr>
            </w:pPr>
          </w:p>
        </w:tc>
        <w:tc>
          <w:tcPr>
            <w:tcW w:w="2880" w:type="dxa"/>
          </w:tcPr>
          <w:p>
            <w:pPr>
              <w:widowControl/>
              <w:spacing w:line="600" w:lineRule="exact"/>
              <w:jc w:val="both"/>
              <w:rPr>
                <w:rFonts w:cs="仿宋" w:asciiTheme="minorEastAsia" w:hAnsiTheme="minorEastAsia" w:eastAsiaTheme="minorEastAsia"/>
                <w:sz w:val="24"/>
                <w:u w:val="none"/>
              </w:rPr>
            </w:pPr>
          </w:p>
        </w:tc>
        <w:tc>
          <w:tcPr>
            <w:tcW w:w="2723" w:type="dxa"/>
          </w:tcPr>
          <w:p>
            <w:pPr>
              <w:widowControl/>
              <w:spacing w:line="600" w:lineRule="exact"/>
              <w:jc w:val="both"/>
              <w:rPr>
                <w:rFonts w:cs="仿宋" w:asciiTheme="minorEastAsia" w:hAnsiTheme="minorEastAsia" w:eastAsiaTheme="minorEastAsia"/>
                <w:sz w:val="24"/>
                <w:u w:val="none"/>
              </w:rPr>
            </w:pPr>
          </w:p>
        </w:tc>
        <w:tc>
          <w:tcPr>
            <w:tcW w:w="2230" w:type="dxa"/>
          </w:tcPr>
          <w:p>
            <w:pPr>
              <w:widowControl/>
              <w:spacing w:line="600" w:lineRule="exact"/>
              <w:jc w:val="both"/>
              <w:rPr>
                <w:rFonts w:cs="仿宋" w:asciiTheme="minorEastAsia" w:hAnsiTheme="minorEastAsia" w:eastAsiaTheme="minorEastAsia"/>
                <w:sz w:val="24"/>
                <w:u w:val="none"/>
              </w:rPr>
            </w:pPr>
          </w:p>
        </w:tc>
      </w:tr>
    </w:tbl>
    <w:p>
      <w:pPr>
        <w:spacing w:line="600" w:lineRule="exact"/>
        <w:ind w:left="420" w:leftChars="2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供应商保证：除商务和技术偏差表列出的偏差外，供应商响应采购文件的全部要求。</w:t>
      </w:r>
    </w:p>
    <w:p>
      <w:pPr>
        <w:rPr>
          <w:u w:val="none"/>
          <w:lang w:val="zh-CN"/>
        </w:rPr>
      </w:pPr>
      <w:r>
        <w:rPr>
          <w:u w:val="none"/>
          <w:lang w:val="zh-CN"/>
        </w:rPr>
        <w:br w:type="page"/>
      </w:r>
    </w:p>
    <w:p>
      <w:pPr>
        <w:spacing w:line="600" w:lineRule="exact"/>
        <w:jc w:val="center"/>
        <w:outlineLvl w:val="0"/>
        <w:rPr>
          <w:rFonts w:ascii="黑体" w:hAnsi="黑体" w:eastAsia="黑体" w:cs="仿宋"/>
          <w:sz w:val="36"/>
          <w:szCs w:val="36"/>
          <w:u w:val="none"/>
        </w:rPr>
      </w:pPr>
      <w:bookmarkStart w:id="38" w:name="_Toc423"/>
      <w:r>
        <w:rPr>
          <w:rFonts w:hint="eastAsia" w:ascii="黑体" w:hAnsi="黑体" w:eastAsia="黑体" w:cs="仿宋"/>
          <w:sz w:val="36"/>
          <w:szCs w:val="36"/>
          <w:u w:val="none"/>
          <w:lang w:val="en-US" w:eastAsia="zh-CN"/>
        </w:rPr>
        <w:t>四</w:t>
      </w:r>
      <w:r>
        <w:rPr>
          <w:rFonts w:hint="eastAsia" w:ascii="黑体" w:hAnsi="黑体" w:eastAsia="黑体" w:cs="仿宋"/>
          <w:sz w:val="36"/>
          <w:szCs w:val="36"/>
          <w:u w:val="none"/>
        </w:rPr>
        <w:t>、资格审查资料</w:t>
      </w:r>
      <w:bookmarkEnd w:id="38"/>
    </w:p>
    <w:p>
      <w:pPr>
        <w:spacing w:line="600" w:lineRule="exact"/>
        <w:jc w:val="both"/>
        <w:rPr>
          <w:rFonts w:ascii="黑体" w:hAnsi="黑体" w:eastAsia="黑体" w:cs="仿宋"/>
          <w:sz w:val="36"/>
          <w:szCs w:val="36"/>
          <w:u w:val="none"/>
        </w:rPr>
      </w:pP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（一）基本情况</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（二）近年的类似项目情况表（提供2个）</w:t>
      </w:r>
    </w:p>
    <w:tbl>
      <w:tblPr>
        <w:tblStyle w:val="1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项目名称</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服务内容</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委托人/发包人名称</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委托人/发包人联系人及电话</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合同价格</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服务是否完成</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项目负责人（如有）</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项目概况及供应商履约情况</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51" w:type="dxa"/>
          </w:tcPr>
          <w:p>
            <w:pPr>
              <w:widowControl/>
              <w:spacing w:line="288" w:lineRule="auto"/>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备注</w:t>
            </w:r>
          </w:p>
        </w:tc>
        <w:tc>
          <w:tcPr>
            <w:tcW w:w="2954" w:type="dxa"/>
          </w:tcPr>
          <w:p>
            <w:pPr>
              <w:widowControl/>
              <w:spacing w:line="288" w:lineRule="auto"/>
              <w:jc w:val="both"/>
              <w:rPr>
                <w:rFonts w:cs="仿宋" w:asciiTheme="minorEastAsia" w:hAnsiTheme="minorEastAsia" w:eastAsiaTheme="minorEastAsia"/>
                <w:sz w:val="24"/>
                <w:u w:val="none"/>
              </w:rPr>
            </w:pPr>
          </w:p>
        </w:tc>
        <w:tc>
          <w:tcPr>
            <w:tcW w:w="2954" w:type="dxa"/>
          </w:tcPr>
          <w:p>
            <w:pPr>
              <w:widowControl/>
              <w:spacing w:line="288" w:lineRule="auto"/>
              <w:jc w:val="both"/>
              <w:rPr>
                <w:rFonts w:cs="仿宋" w:asciiTheme="minorEastAsia" w:hAnsiTheme="minorEastAsia" w:eastAsiaTheme="minorEastAsia"/>
                <w:sz w:val="24"/>
                <w:u w:val="none"/>
              </w:rPr>
            </w:pPr>
          </w:p>
        </w:tc>
      </w:tr>
    </w:tbl>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注：供应商应根据供应商须知前附表第3.5（4）项的要求在本表后附相关证明材料。</w:t>
      </w:r>
    </w:p>
    <w:p>
      <w:pPr>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br w:type="page"/>
      </w:r>
    </w:p>
    <w:p>
      <w:pPr>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（三）拟委任的主要人员汇总表</w:t>
      </w: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70" w:type="dxa"/>
            <w:vAlign w:val="center"/>
          </w:tcPr>
          <w:p>
            <w:pPr>
              <w:widowControl/>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序号</w:t>
            </w:r>
          </w:p>
        </w:tc>
        <w:tc>
          <w:tcPr>
            <w:tcW w:w="1470" w:type="dxa"/>
            <w:vAlign w:val="center"/>
          </w:tcPr>
          <w:p>
            <w:pPr>
              <w:widowControl/>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本项目任职</w:t>
            </w:r>
          </w:p>
        </w:tc>
        <w:tc>
          <w:tcPr>
            <w:tcW w:w="1470" w:type="dxa"/>
            <w:vAlign w:val="center"/>
          </w:tcPr>
          <w:p>
            <w:pPr>
              <w:widowControl/>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姓名</w:t>
            </w:r>
          </w:p>
        </w:tc>
        <w:tc>
          <w:tcPr>
            <w:tcW w:w="1470" w:type="dxa"/>
            <w:vAlign w:val="center"/>
          </w:tcPr>
          <w:p>
            <w:pPr>
              <w:widowControl/>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职称</w:t>
            </w:r>
          </w:p>
        </w:tc>
        <w:tc>
          <w:tcPr>
            <w:tcW w:w="1470" w:type="dxa"/>
            <w:vAlign w:val="center"/>
          </w:tcPr>
          <w:p>
            <w:pPr>
              <w:widowControl/>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专业</w:t>
            </w:r>
          </w:p>
        </w:tc>
        <w:tc>
          <w:tcPr>
            <w:tcW w:w="1470" w:type="dxa"/>
            <w:vAlign w:val="center"/>
          </w:tcPr>
          <w:p>
            <w:pPr>
              <w:widowControl/>
              <w:spacing w:line="288" w:lineRule="auto"/>
              <w:jc w:val="cente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c>
          <w:tcPr>
            <w:tcW w:w="1470" w:type="dxa"/>
          </w:tcPr>
          <w:p>
            <w:pPr>
              <w:widowControl/>
              <w:spacing w:line="600" w:lineRule="exact"/>
              <w:jc w:val="both"/>
              <w:rPr>
                <w:rFonts w:cs="仿宋" w:asciiTheme="minorEastAsia" w:hAnsiTheme="minorEastAsia" w:eastAsiaTheme="minorEastAsia"/>
                <w:sz w:val="24"/>
                <w:u w:val="none"/>
              </w:rPr>
            </w:pPr>
          </w:p>
        </w:tc>
      </w:tr>
    </w:tbl>
    <w:p>
      <w:pPr>
        <w:jc w:val="both"/>
        <w:rPr>
          <w:rFonts w:asciiTheme="minorEastAsia" w:hAnsiTheme="minorEastAsia" w:eastAsiaTheme="minorEastAsia"/>
          <w:sz w:val="24"/>
          <w:u w:val="none"/>
        </w:rPr>
      </w:pPr>
      <w:r>
        <w:rPr>
          <w:rFonts w:asciiTheme="minorEastAsia" w:hAnsiTheme="minorEastAsia" w:eastAsiaTheme="minorEastAsia"/>
          <w:sz w:val="24"/>
          <w:u w:val="none"/>
        </w:rPr>
        <w:br w:type="page"/>
      </w:r>
    </w:p>
    <w:p>
      <w:pPr>
        <w:pStyle w:val="15"/>
        <w:numPr>
          <w:ilvl w:val="0"/>
          <w:numId w:val="0"/>
        </w:numPr>
        <w:ind w:left="420"/>
        <w:rPr>
          <w:u w:val="none"/>
        </w:rPr>
      </w:pPr>
    </w:p>
    <w:p>
      <w:pPr>
        <w:pStyle w:val="15"/>
        <w:numPr>
          <w:ilvl w:val="0"/>
          <w:numId w:val="0"/>
        </w:numPr>
        <w:ind w:left="840" w:leftChars="0"/>
        <w:jc w:val="center"/>
        <w:outlineLvl w:val="0"/>
        <w:rPr>
          <w:rFonts w:ascii="黑体" w:hAnsi="黑体" w:eastAsia="黑体" w:cs="仿宋"/>
          <w:sz w:val="36"/>
          <w:szCs w:val="36"/>
          <w:u w:val="none"/>
          <w:lang w:val="zh-CN"/>
        </w:rPr>
      </w:pPr>
      <w:bookmarkStart w:id="39" w:name="_Toc19025"/>
      <w:r>
        <w:rPr>
          <w:rFonts w:hint="eastAsia" w:ascii="黑体" w:hAnsi="黑体" w:eastAsia="黑体" w:cs="仿宋"/>
          <w:sz w:val="36"/>
          <w:szCs w:val="36"/>
          <w:u w:val="none"/>
          <w:lang w:val="en-US" w:eastAsia="zh-CN"/>
        </w:rPr>
        <w:t>五、</w:t>
      </w:r>
      <w:r>
        <w:rPr>
          <w:rFonts w:hint="eastAsia" w:ascii="黑体" w:hAnsi="黑体" w:eastAsia="黑体" w:cs="仿宋"/>
          <w:sz w:val="36"/>
          <w:szCs w:val="36"/>
          <w:u w:val="none"/>
        </w:rPr>
        <w:t>响应方案</w:t>
      </w:r>
      <w:bookmarkEnd w:id="39"/>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响应方案一般包括(但不限于)下列内容:</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(1)服务范围及内容；</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(2)服务工作的依据、工作目标；</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(3)服务机构设置(框图)、岗位职责；</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(4)拟投入本项目的服务人员；</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(5)服务质量、进度、保密等保证措施;</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(6)服务工作重点、难点分析;</w:t>
      </w:r>
    </w:p>
    <w:p>
      <w:pPr>
        <w:adjustRightInd w:val="0"/>
        <w:snapToGrid w:val="0"/>
        <w:spacing w:line="600" w:lineRule="exact"/>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(7)对本项目的合理化建议。</w:t>
      </w:r>
    </w:p>
    <w:p>
      <w:pPr>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br w:type="page"/>
      </w:r>
    </w:p>
    <w:p>
      <w:pPr>
        <w:pStyle w:val="15"/>
        <w:numPr>
          <w:ilvl w:val="0"/>
          <w:numId w:val="26"/>
        </w:numPr>
        <w:ind w:left="420" w:firstLine="420"/>
        <w:jc w:val="center"/>
        <w:outlineLvl w:val="0"/>
        <w:rPr>
          <w:rFonts w:ascii="黑体" w:hAnsi="黑体" w:eastAsia="黑体" w:cs="黑体"/>
          <w:sz w:val="36"/>
          <w:szCs w:val="36"/>
          <w:u w:val="none"/>
        </w:rPr>
      </w:pPr>
      <w:bookmarkStart w:id="40" w:name="_Toc20419"/>
      <w:r>
        <w:rPr>
          <w:rFonts w:hint="eastAsia" w:ascii="黑体" w:hAnsi="黑体" w:eastAsia="黑体" w:cs="黑体"/>
          <w:sz w:val="36"/>
          <w:szCs w:val="36"/>
          <w:u w:val="none"/>
        </w:rPr>
        <w:t>其他资料</w:t>
      </w:r>
      <w:bookmarkEnd w:id="40"/>
    </w:p>
    <w:p>
      <w:pPr>
        <w:pStyle w:val="15"/>
        <w:numPr>
          <w:ilvl w:val="0"/>
          <w:numId w:val="0"/>
        </w:numPr>
        <w:ind w:left="840"/>
        <w:jc w:val="both"/>
        <w:rPr>
          <w:rFonts w:ascii="黑体" w:hAnsi="黑体" w:eastAsia="黑体" w:cs="黑体"/>
          <w:sz w:val="36"/>
          <w:szCs w:val="36"/>
          <w:u w:val="none"/>
        </w:rPr>
      </w:pPr>
    </w:p>
    <w:p>
      <w:pPr>
        <w:pStyle w:val="15"/>
        <w:numPr>
          <w:ilvl w:val="0"/>
          <w:numId w:val="0"/>
        </w:numPr>
        <w:ind w:left="840"/>
        <w:jc w:val="both"/>
        <w:rPr>
          <w:rFonts w:ascii="黑体" w:hAnsi="黑体" w:eastAsia="黑体" w:cs="黑体"/>
          <w:sz w:val="36"/>
          <w:szCs w:val="36"/>
          <w:u w:val="none"/>
        </w:rPr>
      </w:pPr>
    </w:p>
    <w:p>
      <w:pPr>
        <w:pStyle w:val="15"/>
        <w:numPr>
          <w:ilvl w:val="0"/>
          <w:numId w:val="0"/>
        </w:numPr>
        <w:jc w:val="center"/>
        <w:outlineLvl w:val="0"/>
        <w:rPr>
          <w:rFonts w:hAnsi="宋体" w:cs="宋体"/>
          <w:sz w:val="28"/>
          <w:szCs w:val="28"/>
          <w:u w:val="none"/>
        </w:rPr>
      </w:pPr>
      <w:bookmarkStart w:id="41" w:name="_Toc22788"/>
      <w:bookmarkStart w:id="42" w:name="_Toc2860"/>
      <w:bookmarkStart w:id="43" w:name="_Toc5454"/>
      <w:r>
        <w:rPr>
          <w:rFonts w:hint="eastAsia" w:hAnsi="宋体" w:cs="宋体"/>
          <w:sz w:val="28"/>
          <w:szCs w:val="28"/>
          <w:u w:val="none"/>
        </w:rPr>
        <w:t>（供应商结合企业实际情况提供）</w:t>
      </w:r>
      <w:bookmarkEnd w:id="41"/>
      <w:bookmarkEnd w:id="42"/>
      <w:bookmarkEnd w:id="43"/>
    </w:p>
    <w:p>
      <w:pPr>
        <w:pStyle w:val="15"/>
        <w:numPr>
          <w:ilvl w:val="0"/>
          <w:numId w:val="0"/>
        </w:numPr>
        <w:ind w:left="840"/>
        <w:jc w:val="both"/>
        <w:rPr>
          <w:rFonts w:ascii="黑体" w:hAnsi="黑体" w:eastAsia="黑体" w:cs="仿宋"/>
          <w:sz w:val="36"/>
          <w:szCs w:val="36"/>
          <w:u w:val="none"/>
          <w:lang w:val="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2"/>
        <w:spacing w:line="280" w:lineRule="atLeast"/>
        <w:ind w:left="0" w:firstLine="0"/>
      </w:pPr>
    </w:p>
  </w:footnote>
  <w:footnote w:id="1">
    <w:p>
      <w:pPr>
        <w:pStyle w:val="12"/>
        <w:ind w:left="0" w:firstLine="0"/>
        <w:rPr>
          <w:sz w:val="24"/>
          <w:szCs w:val="24"/>
        </w:rPr>
      </w:pPr>
    </w:p>
  </w:footnote>
  <w:footnote w:id="2">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6"/>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0AC855EC"/>
    <w:multiLevelType w:val="multilevel"/>
    <w:tmpl w:val="0AC855EC"/>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12F156FB"/>
    <w:multiLevelType w:val="multilevel"/>
    <w:tmpl w:val="12F156FB"/>
    <w:lvl w:ilvl="0" w:tentative="0">
      <w:start w:val="1"/>
      <w:numFmt w:val="decimal"/>
      <w:lvlText w:val="4.%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6BD0095"/>
    <w:multiLevelType w:val="multilevel"/>
    <w:tmpl w:val="16BD00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0132373"/>
    <w:multiLevelType w:val="multilevel"/>
    <w:tmpl w:val="2013237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A432F5"/>
    <w:multiLevelType w:val="multilevel"/>
    <w:tmpl w:val="25A432F5"/>
    <w:lvl w:ilvl="0" w:tentative="0">
      <w:start w:val="1"/>
      <w:numFmt w:val="decimal"/>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BD6C2E"/>
    <w:multiLevelType w:val="multilevel"/>
    <w:tmpl w:val="29BD6C2E"/>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8">
    <w:nsid w:val="300A89A2"/>
    <w:multiLevelType w:val="singleLevel"/>
    <w:tmpl w:val="300A89A2"/>
    <w:lvl w:ilvl="0" w:tentative="0">
      <w:start w:val="6"/>
      <w:numFmt w:val="chineseCounting"/>
      <w:suff w:val="nothing"/>
      <w:lvlText w:val="%1、"/>
      <w:lvlJc w:val="left"/>
      <w:rPr>
        <w:rFonts w:hint="eastAsia"/>
      </w:rPr>
    </w:lvl>
  </w:abstractNum>
  <w:abstractNum w:abstractNumId="9">
    <w:nsid w:val="3601A173"/>
    <w:multiLevelType w:val="singleLevel"/>
    <w:tmpl w:val="3601A173"/>
    <w:lvl w:ilvl="0" w:tentative="0">
      <w:start w:val="1"/>
      <w:numFmt w:val="chineseCounting"/>
      <w:suff w:val="nothing"/>
      <w:lvlText w:val="%1、"/>
      <w:lvlJc w:val="left"/>
      <w:rPr>
        <w:rFonts w:hint="eastAsia"/>
      </w:rPr>
    </w:lvl>
  </w:abstractNum>
  <w:abstractNum w:abstractNumId="10">
    <w:nsid w:val="36583D00"/>
    <w:multiLevelType w:val="singleLevel"/>
    <w:tmpl w:val="36583D00"/>
    <w:lvl w:ilvl="0" w:tentative="0">
      <w:start w:val="5"/>
      <w:numFmt w:val="chineseCounting"/>
      <w:suff w:val="space"/>
      <w:lvlText w:val="第%1章"/>
      <w:lvlJc w:val="left"/>
      <w:rPr>
        <w:rFonts w:hint="eastAsia"/>
      </w:rPr>
    </w:lvl>
  </w:abstractNum>
  <w:abstractNum w:abstractNumId="11">
    <w:nsid w:val="391B0CB5"/>
    <w:multiLevelType w:val="multilevel"/>
    <w:tmpl w:val="391B0C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AD13690"/>
    <w:multiLevelType w:val="multilevel"/>
    <w:tmpl w:val="3AD13690"/>
    <w:lvl w:ilvl="0" w:tentative="0">
      <w:start w:val="1"/>
      <w:numFmt w:val="decimal"/>
      <w:lvlText w:val="%1."/>
      <w:lvlJc w:val="left"/>
      <w:pPr>
        <w:ind w:left="975" w:hanging="420"/>
      </w:p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3">
    <w:nsid w:val="40FB2E1C"/>
    <w:multiLevelType w:val="multilevel"/>
    <w:tmpl w:val="40FB2E1C"/>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4261ACD"/>
    <w:multiLevelType w:val="multilevel"/>
    <w:tmpl w:val="44261AC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4896B7C"/>
    <w:multiLevelType w:val="multilevel"/>
    <w:tmpl w:val="44896B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3E0E13"/>
    <w:multiLevelType w:val="multilevel"/>
    <w:tmpl w:val="493E0E13"/>
    <w:lvl w:ilvl="0" w:tentative="0">
      <w:start w:val="1"/>
      <w:numFmt w:val="decimal"/>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7">
    <w:nsid w:val="52892932"/>
    <w:multiLevelType w:val="singleLevel"/>
    <w:tmpl w:val="52892932"/>
    <w:lvl w:ilvl="0" w:tentative="0">
      <w:start w:val="1"/>
      <w:numFmt w:val="chineseCounting"/>
      <w:suff w:val="nothing"/>
      <w:lvlText w:val="%1、"/>
      <w:lvlJc w:val="left"/>
      <w:rPr>
        <w:rFonts w:hint="eastAsia"/>
      </w:rPr>
    </w:lvl>
  </w:abstractNum>
  <w:abstractNum w:abstractNumId="18">
    <w:nsid w:val="52FC52C0"/>
    <w:multiLevelType w:val="multilevel"/>
    <w:tmpl w:val="52FC52C0"/>
    <w:lvl w:ilvl="0" w:tentative="0">
      <w:start w:val="1"/>
      <w:numFmt w:val="decimal"/>
      <w:lvlText w:val="%1."/>
      <w:lvlJc w:val="left"/>
      <w:pPr>
        <w:ind w:left="13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6F0E17"/>
    <w:multiLevelType w:val="singleLevel"/>
    <w:tmpl w:val="556F0E17"/>
    <w:lvl w:ilvl="0" w:tentative="0">
      <w:start w:val="7"/>
      <w:numFmt w:val="chineseCounting"/>
      <w:suff w:val="nothing"/>
      <w:lvlText w:val="%1、"/>
      <w:lvlJc w:val="left"/>
      <w:rPr>
        <w:rFonts w:hint="eastAsia"/>
      </w:rPr>
    </w:lvl>
  </w:abstractNum>
  <w:abstractNum w:abstractNumId="20">
    <w:nsid w:val="5B150C7E"/>
    <w:multiLevelType w:val="multilevel"/>
    <w:tmpl w:val="5B150C7E"/>
    <w:lvl w:ilvl="0" w:tentative="0">
      <w:start w:val="1"/>
      <w:numFmt w:val="decimal"/>
      <w:lvlText w:val="第%1条"/>
      <w:lvlJc w:val="left"/>
      <w:pPr>
        <w:ind w:left="420" w:hanging="420"/>
      </w:pPr>
      <w:rPr>
        <w:rFonts w:hint="default"/>
        <w:b/>
        <w:bCs/>
      </w:rPr>
    </w:lvl>
    <w:lvl w:ilvl="1" w:tentative="0">
      <w:start w:val="1"/>
      <w:numFmt w:val="japaneseCounting"/>
      <w:lvlText w:val="第%2条"/>
      <w:lvlJc w:val="left"/>
      <w:pPr>
        <w:ind w:left="1725" w:hanging="1305"/>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AE5BC1"/>
    <w:multiLevelType w:val="multilevel"/>
    <w:tmpl w:val="5BAE5BC1"/>
    <w:lvl w:ilvl="0" w:tentative="0">
      <w:start w:val="1"/>
      <w:numFmt w:val="decimal"/>
      <w:lvlText w:val="5.%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2">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17244"/>
    <w:multiLevelType w:val="multilevel"/>
    <w:tmpl w:val="6BE17244"/>
    <w:lvl w:ilvl="0" w:tentative="0">
      <w:start w:val="1"/>
      <w:numFmt w:val="decimal"/>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4">
    <w:nsid w:val="6F211C38"/>
    <w:multiLevelType w:val="multilevel"/>
    <w:tmpl w:val="6F211C38"/>
    <w:lvl w:ilvl="0" w:tentative="0">
      <w:start w:val="1"/>
      <w:numFmt w:val="decimal"/>
      <w:lvlText w:val="%1."/>
      <w:lvlJc w:val="left"/>
      <w:pPr>
        <w:ind w:left="895" w:hanging="420"/>
      </w:pPr>
    </w:lvl>
    <w:lvl w:ilvl="1" w:tentative="0">
      <w:start w:val="1"/>
      <w:numFmt w:val="lowerLetter"/>
      <w:lvlText w:val="%2)"/>
      <w:lvlJc w:val="left"/>
      <w:pPr>
        <w:ind w:left="1315" w:hanging="420"/>
      </w:pPr>
    </w:lvl>
    <w:lvl w:ilvl="2" w:tentative="0">
      <w:start w:val="1"/>
      <w:numFmt w:val="decimal"/>
      <w:lvlText w:val="%3."/>
      <w:lvlJc w:val="lef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25">
    <w:nsid w:val="7BD43663"/>
    <w:multiLevelType w:val="multilevel"/>
    <w:tmpl w:val="7BD43663"/>
    <w:lvl w:ilvl="0" w:tentative="0">
      <w:start w:val="1"/>
      <w:numFmt w:val="decimal"/>
      <w:lvlText w:val="%1."/>
      <w:lvlJc w:val="left"/>
      <w:pPr>
        <w:ind w:left="13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2"/>
  </w:num>
  <w:num w:numId="3">
    <w:abstractNumId w:val="19"/>
  </w:num>
  <w:num w:numId="4">
    <w:abstractNumId w:val="20"/>
  </w:num>
  <w:num w:numId="5">
    <w:abstractNumId w:val="5"/>
  </w:num>
  <w:num w:numId="6">
    <w:abstractNumId w:val="25"/>
  </w:num>
  <w:num w:numId="7">
    <w:abstractNumId w:val="18"/>
  </w:num>
  <w:num w:numId="8">
    <w:abstractNumId w:val="15"/>
  </w:num>
  <w:num w:numId="9">
    <w:abstractNumId w:val="23"/>
  </w:num>
  <w:num w:numId="10">
    <w:abstractNumId w:val="16"/>
  </w:num>
  <w:num w:numId="11">
    <w:abstractNumId w:val="12"/>
  </w:num>
  <w:num w:numId="12">
    <w:abstractNumId w:val="13"/>
  </w:num>
  <w:num w:numId="13">
    <w:abstractNumId w:val="6"/>
  </w:num>
  <w:num w:numId="14">
    <w:abstractNumId w:val="3"/>
  </w:num>
  <w:num w:numId="15">
    <w:abstractNumId w:val="21"/>
  </w:num>
  <w:num w:numId="16">
    <w:abstractNumId w:val="4"/>
  </w:num>
  <w:num w:numId="17">
    <w:abstractNumId w:val="14"/>
  </w:num>
  <w:num w:numId="18">
    <w:abstractNumId w:val="2"/>
  </w:num>
  <w:num w:numId="19">
    <w:abstractNumId w:val="11"/>
  </w:num>
  <w:num w:numId="20">
    <w:abstractNumId w:val="7"/>
  </w:num>
  <w:num w:numId="21">
    <w:abstractNumId w:val="24"/>
  </w:num>
  <w:num w:numId="22">
    <w:abstractNumId w:val="10"/>
  </w:num>
  <w:num w:numId="23">
    <w:abstractNumId w:val="17"/>
  </w:num>
  <w:num w:numId="24">
    <w:abstractNumId w:val="9"/>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2"/>
    </o:shapelayout>
  </w:hdrShapeDefaults>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JkMDI1YzkyMWEwNWRjOThlNjFkYzkzZGIwNDk5ZTUifQ=="/>
  </w:docVars>
  <w:rsids>
    <w:rsidRoot w:val="6B1F3BFC"/>
    <w:rsid w:val="00075E3D"/>
    <w:rsid w:val="00094AEF"/>
    <w:rsid w:val="00096272"/>
    <w:rsid w:val="000B1C66"/>
    <w:rsid w:val="00124078"/>
    <w:rsid w:val="00154800"/>
    <w:rsid w:val="001F0EF5"/>
    <w:rsid w:val="002F431B"/>
    <w:rsid w:val="00312281"/>
    <w:rsid w:val="00335637"/>
    <w:rsid w:val="00366B33"/>
    <w:rsid w:val="00374EE4"/>
    <w:rsid w:val="004603F8"/>
    <w:rsid w:val="00474643"/>
    <w:rsid w:val="004E5C55"/>
    <w:rsid w:val="00504045"/>
    <w:rsid w:val="0056538A"/>
    <w:rsid w:val="005853A1"/>
    <w:rsid w:val="006435CA"/>
    <w:rsid w:val="006C59B9"/>
    <w:rsid w:val="006E4D2B"/>
    <w:rsid w:val="00721F24"/>
    <w:rsid w:val="0073317D"/>
    <w:rsid w:val="00831C1C"/>
    <w:rsid w:val="009B1225"/>
    <w:rsid w:val="00A2403C"/>
    <w:rsid w:val="00A273AE"/>
    <w:rsid w:val="00A7372B"/>
    <w:rsid w:val="00AA188C"/>
    <w:rsid w:val="00B4385A"/>
    <w:rsid w:val="00BA7ED7"/>
    <w:rsid w:val="00BB7A1D"/>
    <w:rsid w:val="00CC783C"/>
    <w:rsid w:val="00D65466"/>
    <w:rsid w:val="00E30ABE"/>
    <w:rsid w:val="00E46669"/>
    <w:rsid w:val="00EA75E6"/>
    <w:rsid w:val="00F11A20"/>
    <w:rsid w:val="00F6453C"/>
    <w:rsid w:val="05146D75"/>
    <w:rsid w:val="0559143D"/>
    <w:rsid w:val="09263EF3"/>
    <w:rsid w:val="0A596B5B"/>
    <w:rsid w:val="0D40255D"/>
    <w:rsid w:val="0D5046F7"/>
    <w:rsid w:val="0DA23B5C"/>
    <w:rsid w:val="0EA813EF"/>
    <w:rsid w:val="101E71B8"/>
    <w:rsid w:val="104007F8"/>
    <w:rsid w:val="105877A0"/>
    <w:rsid w:val="12D927D1"/>
    <w:rsid w:val="13365C72"/>
    <w:rsid w:val="16763D83"/>
    <w:rsid w:val="19FD11F2"/>
    <w:rsid w:val="1CDA5F8A"/>
    <w:rsid w:val="1D676E30"/>
    <w:rsid w:val="1E9C7A55"/>
    <w:rsid w:val="1FA03001"/>
    <w:rsid w:val="20FC2B5E"/>
    <w:rsid w:val="21551AAA"/>
    <w:rsid w:val="21B14A12"/>
    <w:rsid w:val="23311B9A"/>
    <w:rsid w:val="23BF0F9F"/>
    <w:rsid w:val="23C9146A"/>
    <w:rsid w:val="270900D9"/>
    <w:rsid w:val="2AB47A28"/>
    <w:rsid w:val="2D5D35C4"/>
    <w:rsid w:val="2F411A82"/>
    <w:rsid w:val="300813F3"/>
    <w:rsid w:val="30FE1004"/>
    <w:rsid w:val="3107065A"/>
    <w:rsid w:val="315D51B2"/>
    <w:rsid w:val="34914DA6"/>
    <w:rsid w:val="34FE0AEE"/>
    <w:rsid w:val="37811BEE"/>
    <w:rsid w:val="378510A5"/>
    <w:rsid w:val="385801FE"/>
    <w:rsid w:val="38665021"/>
    <w:rsid w:val="38CC7D23"/>
    <w:rsid w:val="3BF633D1"/>
    <w:rsid w:val="3C8A369E"/>
    <w:rsid w:val="3D5546D1"/>
    <w:rsid w:val="3D930D6F"/>
    <w:rsid w:val="40215770"/>
    <w:rsid w:val="40F328B0"/>
    <w:rsid w:val="41033D52"/>
    <w:rsid w:val="41567BB7"/>
    <w:rsid w:val="42FC5917"/>
    <w:rsid w:val="43A01B1B"/>
    <w:rsid w:val="44462187"/>
    <w:rsid w:val="464722B0"/>
    <w:rsid w:val="48B95743"/>
    <w:rsid w:val="4A1314DA"/>
    <w:rsid w:val="4A1A5E18"/>
    <w:rsid w:val="4B727641"/>
    <w:rsid w:val="4CC255DD"/>
    <w:rsid w:val="4D064117"/>
    <w:rsid w:val="4E0D3669"/>
    <w:rsid w:val="500F671C"/>
    <w:rsid w:val="52984B42"/>
    <w:rsid w:val="54631631"/>
    <w:rsid w:val="5A805ADD"/>
    <w:rsid w:val="5AA53FED"/>
    <w:rsid w:val="5B294816"/>
    <w:rsid w:val="5B573449"/>
    <w:rsid w:val="5BA423C0"/>
    <w:rsid w:val="5E14397E"/>
    <w:rsid w:val="5E502386"/>
    <w:rsid w:val="5E5932A6"/>
    <w:rsid w:val="5F73593B"/>
    <w:rsid w:val="5FA70B09"/>
    <w:rsid w:val="5FEA694B"/>
    <w:rsid w:val="61400757"/>
    <w:rsid w:val="61E873BF"/>
    <w:rsid w:val="623B7BE4"/>
    <w:rsid w:val="627F6342"/>
    <w:rsid w:val="651D5826"/>
    <w:rsid w:val="67287FDF"/>
    <w:rsid w:val="676B7FCA"/>
    <w:rsid w:val="697769D4"/>
    <w:rsid w:val="6A8B1010"/>
    <w:rsid w:val="6B1F3BFC"/>
    <w:rsid w:val="6C9A54AD"/>
    <w:rsid w:val="6DA00A50"/>
    <w:rsid w:val="6DC54D99"/>
    <w:rsid w:val="709C5869"/>
    <w:rsid w:val="70C6205C"/>
    <w:rsid w:val="72976EE5"/>
    <w:rsid w:val="771A66ED"/>
    <w:rsid w:val="78D4504A"/>
    <w:rsid w:val="7AE901D9"/>
    <w:rsid w:val="7EDE2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2"/>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numPr>
        <w:ilvl w:val="0"/>
        <w:numId w:val="1"/>
      </w:numPr>
      <w:spacing w:after="120"/>
      <w:ind w:left="0" w:firstLine="0"/>
    </w:p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Body Text Indent"/>
    <w:basedOn w:val="1"/>
    <w:unhideWhenUsed/>
    <w:qFormat/>
    <w:uiPriority w:val="99"/>
    <w:pPr>
      <w:spacing w:after="120"/>
      <w:ind w:left="420" w:leftChars="200"/>
    </w:p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Normal (Web)"/>
    <w:basedOn w:val="1"/>
    <w:unhideWhenUsed/>
    <w:qFormat/>
    <w:uiPriority w:val="99"/>
    <w:pPr>
      <w:spacing w:before="100" w:beforeAutospacing="1" w:after="100" w:afterAutospacing="1"/>
    </w:pPr>
    <w:rPr>
      <w:rFonts w:ascii="宋体" w:hAnsi="宋体" w:cs="宋体"/>
      <w:kern w:val="0"/>
      <w:sz w:val="24"/>
    </w:rPr>
  </w:style>
  <w:style w:type="paragraph" w:styleId="15">
    <w:name w:val="Body Text First Indent"/>
    <w:basedOn w:val="6"/>
    <w:qFormat/>
    <w:uiPriority w:val="0"/>
    <w:pPr>
      <w:autoSpaceDE w:val="0"/>
      <w:autoSpaceDN w:val="0"/>
      <w:adjustRightInd w:val="0"/>
      <w:ind w:firstLine="420"/>
      <w:textAlignment w:val="baseline"/>
    </w:pPr>
    <w:rPr>
      <w:rFonts w:ascii="宋体"/>
      <w:sz w:val="3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qFormat/>
    <w:uiPriority w:val="99"/>
    <w:rPr>
      <w:color w:val="0000FF"/>
      <w:spacing w:val="0"/>
      <w:w w:val="100"/>
      <w:szCs w:val="21"/>
      <w:u w:val="single"/>
      <w:lang w:val="en-US" w:eastAsia="zh-CN"/>
    </w:rPr>
  </w:style>
  <w:style w:type="character" w:styleId="21">
    <w:name w:val="footnote reference"/>
    <w:qFormat/>
    <w:uiPriority w:val="0"/>
    <w:rPr>
      <w:vertAlign w:val="superscript"/>
    </w:rPr>
  </w:style>
  <w:style w:type="paragraph" w:customStyle="1" w:styleId="22">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styleId="23">
    <w:name w:val="List Paragraph"/>
    <w:basedOn w:val="1"/>
    <w:qFormat/>
    <w:uiPriority w:val="34"/>
    <w:pPr>
      <w:ind w:firstLine="420" w:firstLineChars="200"/>
    </w:pPr>
    <w:rPr>
      <w:rFonts w:ascii="宋体" w:hAnsi="宋体" w:cs="宋体"/>
      <w:kern w:val="0"/>
      <w:sz w:val="24"/>
    </w:rPr>
  </w:style>
  <w:style w:type="paragraph" w:customStyle="1" w:styleId="24">
    <w:name w:val="一级条标题"/>
    <w:next w:val="2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24370</Words>
  <Characters>25812</Characters>
  <Lines>199</Lines>
  <Paragraphs>56</Paragraphs>
  <TotalTime>7</TotalTime>
  <ScaleCrop>false</ScaleCrop>
  <LinksUpToDate>false</LinksUpToDate>
  <CharactersWithSpaces>26453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2021-09-16T06:44:00Z</dcterms:created>
  <dc:creator>LILY</dc:creator>
  <cp:lastModifiedBy>蔡艳</cp:lastModifiedBy>
  <dcterms:modified xsi:type="dcterms:W3CDTF">2022-08-08T07:36:01Z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9935DBA3924C413A8FCA0CA16DE4449F</vt:lpwstr>
  </property>
</Properties>
</file>