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both"/>
        <w:rPr>
          <w:rFonts w:ascii="黑体" w:hAnsi="黑体" w:eastAsia="黑体"/>
          <w:sz w:val="36"/>
          <w:szCs w:val="36"/>
        </w:rPr>
      </w:pPr>
      <w:r>
        <w:rPr>
          <w:rFonts w:hint="eastAsia" w:ascii="黑体" w:hAnsi="黑体" w:eastAsia="黑体"/>
          <w:sz w:val="36"/>
          <w:szCs w:val="36"/>
        </w:rPr>
        <w:t xml:space="preserve">                     </w:t>
      </w:r>
    </w:p>
    <w:p>
      <w:pPr>
        <w:snapToGrid w:val="0"/>
        <w:spacing w:line="900" w:lineRule="exact"/>
        <w:jc w:val="center"/>
        <w:rPr>
          <w:rFonts w:ascii="黑体" w:hAnsi="黑体" w:eastAsia="黑体"/>
          <w:sz w:val="40"/>
          <w:szCs w:val="40"/>
        </w:rPr>
      </w:pPr>
      <w:r>
        <w:rPr>
          <w:rFonts w:hint="eastAsia" w:ascii="黑体" w:hAnsi="黑体" w:eastAsia="黑体"/>
          <w:sz w:val="40"/>
          <w:szCs w:val="40"/>
        </w:rPr>
        <w:t>长沙集星集装箱码头有限公司</w:t>
      </w:r>
    </w:p>
    <w:p>
      <w:pPr>
        <w:snapToGrid w:val="0"/>
        <w:spacing w:line="900" w:lineRule="exact"/>
        <w:jc w:val="center"/>
        <w:rPr>
          <w:rFonts w:hint="eastAsia" w:ascii="黑体" w:hAnsi="黑体" w:eastAsia="黑体"/>
          <w:sz w:val="40"/>
          <w:szCs w:val="40"/>
          <w:lang w:val="en-US" w:eastAsia="zh-CN"/>
        </w:rPr>
      </w:pPr>
      <w:r>
        <w:rPr>
          <w:rFonts w:hint="eastAsia" w:ascii="黑体" w:hAnsi="黑体" w:eastAsia="黑体"/>
          <w:sz w:val="40"/>
          <w:szCs w:val="40"/>
        </w:rPr>
        <w:t>生产系统电脑采购</w:t>
      </w:r>
      <w:r>
        <w:rPr>
          <w:rFonts w:hint="eastAsia" w:ascii="黑体" w:hAnsi="黑体" w:eastAsia="黑体"/>
          <w:sz w:val="40"/>
          <w:szCs w:val="40"/>
          <w:lang w:eastAsia="zh-CN"/>
        </w:rPr>
        <w:t>项目</w:t>
      </w:r>
    </w:p>
    <w:p>
      <w:pPr>
        <w:snapToGrid w:val="0"/>
        <w:spacing w:line="900" w:lineRule="exact"/>
        <w:jc w:val="both"/>
        <w:rPr>
          <w:rFonts w:ascii="黑体" w:hAnsi="黑体" w:eastAsia="黑体"/>
          <w:sz w:val="36"/>
          <w:szCs w:val="36"/>
        </w:rPr>
      </w:pPr>
    </w:p>
    <w:p>
      <w:pPr>
        <w:pStyle w:val="2"/>
        <w:rPr>
          <w:rFonts w:ascii="黑体" w:hAnsi="黑体" w:eastAsia="黑体"/>
          <w:sz w:val="36"/>
          <w:szCs w:val="36"/>
        </w:rPr>
      </w:pPr>
    </w:p>
    <w:p>
      <w:pPr>
        <w:pStyle w:val="2"/>
        <w:rPr>
          <w:rFonts w:ascii="黑体" w:hAnsi="黑体" w:eastAsia="黑体"/>
          <w:sz w:val="36"/>
          <w:szCs w:val="36"/>
        </w:rPr>
      </w:pPr>
    </w:p>
    <w:p>
      <w:pPr>
        <w:pStyle w:val="2"/>
        <w:rPr>
          <w:rFonts w:ascii="黑体" w:hAnsi="黑体" w:eastAsia="黑体"/>
          <w:sz w:val="36"/>
          <w:szCs w:val="36"/>
        </w:rPr>
      </w:pPr>
    </w:p>
    <w:p>
      <w:pPr>
        <w:pStyle w:val="2"/>
        <w:rPr>
          <w:rFonts w:ascii="黑体" w:hAnsi="黑体" w:eastAsia="黑体"/>
          <w:sz w:val="36"/>
          <w:szCs w:val="36"/>
        </w:rPr>
      </w:pPr>
    </w:p>
    <w:p>
      <w:pPr>
        <w:pStyle w:val="2"/>
        <w:rPr>
          <w:rFonts w:ascii="黑体" w:hAnsi="黑体" w:eastAsia="黑体"/>
          <w:sz w:val="36"/>
          <w:szCs w:val="36"/>
        </w:rPr>
      </w:pPr>
    </w:p>
    <w:p>
      <w:pPr>
        <w:snapToGrid w:val="0"/>
        <w:spacing w:line="360" w:lineRule="auto"/>
        <w:jc w:val="center"/>
        <w:rPr>
          <w:sz w:val="72"/>
          <w:szCs w:val="72"/>
        </w:rPr>
      </w:pPr>
      <w:r>
        <w:rPr>
          <w:rFonts w:hint="eastAsia" w:ascii="黑体" w:hAnsi="黑体" w:eastAsia="黑体" w:cs="宋体"/>
          <w:b/>
          <w:color w:val="000000"/>
          <w:kern w:val="0"/>
          <w:sz w:val="72"/>
          <w:szCs w:val="72"/>
        </w:rPr>
        <w:t>询价文件</w:t>
      </w:r>
    </w:p>
    <w:p>
      <w:pPr>
        <w:spacing w:line="360" w:lineRule="auto"/>
        <w:jc w:val="center"/>
        <w:rPr>
          <w:rFonts w:ascii="宋体" w:hAnsi="宋体" w:cs="宋体"/>
          <w:b/>
          <w:color w:val="000000"/>
          <w:kern w:val="0"/>
          <w:sz w:val="28"/>
          <w:szCs w:val="28"/>
          <w:highlight w:val="none"/>
        </w:rPr>
      </w:pPr>
      <w:r>
        <w:rPr>
          <w:rFonts w:hint="eastAsia"/>
          <w:lang w:val="en-US" w:eastAsia="zh-CN"/>
        </w:rPr>
        <w:t xml:space="preserve"> </w:t>
      </w:r>
      <w:r>
        <w:rPr>
          <w:rFonts w:hint="eastAsia" w:ascii="宋体" w:hAnsi="宋体" w:cs="宋体"/>
          <w:b/>
          <w:color w:val="000000"/>
          <w:kern w:val="0"/>
          <w:sz w:val="28"/>
          <w:szCs w:val="28"/>
        </w:rPr>
        <w:t>省港货（2022）年</w:t>
      </w:r>
      <w:r>
        <w:rPr>
          <w:rFonts w:hint="eastAsia" w:ascii="宋体" w:hAnsi="宋体" w:cs="宋体"/>
          <w:b/>
          <w:color w:val="000000"/>
          <w:kern w:val="0"/>
          <w:sz w:val="28"/>
          <w:szCs w:val="28"/>
          <w:highlight w:val="none"/>
        </w:rPr>
        <w:t>询第</w:t>
      </w:r>
      <w:r>
        <w:rPr>
          <w:rFonts w:hint="eastAsia" w:ascii="宋体" w:hAnsi="宋体" w:cs="宋体"/>
          <w:b/>
          <w:color w:val="000000"/>
          <w:kern w:val="0"/>
          <w:sz w:val="28"/>
          <w:szCs w:val="28"/>
          <w:highlight w:val="none"/>
          <w:lang w:val="en-US" w:eastAsia="zh-CN"/>
        </w:rPr>
        <w:t>22</w:t>
      </w:r>
      <w:r>
        <w:rPr>
          <w:rFonts w:hint="eastAsia" w:ascii="宋体" w:hAnsi="宋体" w:cs="宋体"/>
          <w:b/>
          <w:color w:val="000000"/>
          <w:kern w:val="0"/>
          <w:sz w:val="28"/>
          <w:szCs w:val="28"/>
          <w:highlight w:val="none"/>
        </w:rPr>
        <w:t>号[</w:t>
      </w:r>
      <w:r>
        <w:rPr>
          <w:rFonts w:hint="eastAsia" w:ascii="宋体" w:hAnsi="宋体" w:cs="宋体"/>
          <w:b/>
          <w:color w:val="000000"/>
          <w:kern w:val="0"/>
          <w:sz w:val="28"/>
          <w:szCs w:val="28"/>
          <w:highlight w:val="none"/>
          <w:lang w:eastAsia="zh-CN"/>
        </w:rPr>
        <w:t>集星</w:t>
      </w:r>
      <w:r>
        <w:rPr>
          <w:rFonts w:hint="eastAsia" w:ascii="宋体" w:hAnsi="宋体" w:cs="宋体"/>
          <w:b/>
          <w:color w:val="000000"/>
          <w:kern w:val="0"/>
          <w:sz w:val="28"/>
          <w:szCs w:val="28"/>
          <w:highlight w:val="none"/>
        </w:rPr>
        <w:t>]</w:t>
      </w:r>
    </w:p>
    <w:p>
      <w:pPr>
        <w:spacing w:line="600" w:lineRule="exact"/>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ind w:left="0" w:leftChars="0" w:firstLine="0" w:firstLineChars="0"/>
        <w:rPr>
          <w:rFonts w:hint="eastAsia" w:eastAsia="宋体"/>
          <w:lang w:val="en-US" w:eastAsia="zh-CN"/>
        </w:rPr>
      </w:pPr>
    </w:p>
    <w:p>
      <w:pPr>
        <w:snapToGrid w:val="0"/>
        <w:spacing w:line="900" w:lineRule="exact"/>
        <w:jc w:val="center"/>
        <w:rPr>
          <w:rFonts w:ascii="黑体" w:hAnsi="黑体" w:eastAsia="黑体"/>
          <w:bCs/>
          <w:sz w:val="40"/>
          <w:szCs w:val="40"/>
        </w:rPr>
      </w:pPr>
      <w:r>
        <w:rPr>
          <w:rFonts w:hint="eastAsia" w:ascii="黑体" w:hAnsi="黑体" w:eastAsia="黑体"/>
          <w:bCs/>
          <w:sz w:val="40"/>
          <w:szCs w:val="40"/>
        </w:rPr>
        <w:t>长沙集星集装箱码头有限公司</w:t>
      </w:r>
    </w:p>
    <w:p>
      <w:pPr>
        <w:tabs>
          <w:tab w:val="left" w:pos="0"/>
          <w:tab w:val="left" w:pos="4185"/>
        </w:tabs>
        <w:spacing w:line="288" w:lineRule="auto"/>
        <w:ind w:right="-6"/>
        <w:jc w:val="center"/>
        <w:rPr>
          <w:rFonts w:ascii="方正小标宋简体" w:hAnsi="黑体" w:eastAsia="方正小标宋简体"/>
          <w:sz w:val="28"/>
          <w:szCs w:val="28"/>
        </w:rPr>
      </w:pPr>
      <w:r>
        <w:rPr>
          <w:rFonts w:hint="eastAsia" w:ascii="黑体" w:hAnsi="黑体" w:eastAsia="黑体"/>
          <w:bCs/>
          <w:sz w:val="40"/>
          <w:szCs w:val="40"/>
        </w:rPr>
        <w:t>二О二二年</w:t>
      </w:r>
      <w:r>
        <w:rPr>
          <w:rFonts w:hint="eastAsia" w:ascii="黑体" w:hAnsi="黑体" w:eastAsia="黑体"/>
          <w:bCs/>
          <w:sz w:val="40"/>
          <w:szCs w:val="40"/>
          <w:lang w:eastAsia="zh-CN"/>
        </w:rPr>
        <w:t>八</w:t>
      </w:r>
      <w:r>
        <w:rPr>
          <w:rFonts w:hint="eastAsia" w:ascii="黑体" w:hAnsi="黑体" w:eastAsia="黑体"/>
          <w:bCs/>
          <w:sz w:val="40"/>
          <w:szCs w:val="40"/>
        </w:rPr>
        <w:t>月</w:t>
      </w:r>
    </w:p>
    <w:p>
      <w:pPr>
        <w:rPr>
          <w:rFonts w:ascii="黑体" w:hAnsi="黑体" w:eastAsia="黑体"/>
          <w:b w:val="0"/>
          <w:color w:val="auto"/>
          <w:sz w:val="44"/>
          <w:szCs w:val="44"/>
          <w:lang w:val="zh-CN"/>
        </w:rPr>
      </w:pPr>
    </w:p>
    <w:p>
      <w:pPr>
        <w:pStyle w:val="191"/>
        <w:keepNext w:val="0"/>
        <w:keepLines w:val="0"/>
        <w:widowControl w:val="0"/>
        <w:spacing w:before="0" w:line="600" w:lineRule="exact"/>
        <w:ind w:left="440"/>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jc w:val="center"/>
        <w:rPr>
          <w:rFonts w:eastAsia="STKaiti"/>
          <w:sz w:val="28"/>
          <w:szCs w:val="28"/>
          <w:lang w:val="zh-CN"/>
        </w:rPr>
      </w:pPr>
    </w:p>
    <w:p>
      <w:pPr>
        <w:pStyle w:val="29"/>
        <w:tabs>
          <w:tab w:val="left" w:pos="1050"/>
          <w:tab w:val="right" w:leader="dot" w:pos="9660"/>
          <w:tab w:val="clear" w:pos="9242"/>
        </w:tabs>
        <w:spacing w:before="60" w:after="6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TOC \o "1-3" \h \z \u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"_Toc106039321" </w:instrText>
      </w:r>
      <w:r>
        <w:rPr>
          <w:rFonts w:hint="eastAsia" w:ascii="宋体" w:hAnsi="宋体" w:eastAsia="宋体" w:cs="宋体"/>
          <w:b w:val="0"/>
          <w:bCs w:val="0"/>
          <w:sz w:val="24"/>
          <w:szCs w:val="24"/>
        </w:rPr>
        <w:fldChar w:fldCharType="separate"/>
      </w:r>
      <w:r>
        <w:rPr>
          <w:rStyle w:val="49"/>
          <w:rFonts w:hint="eastAsia" w:ascii="宋体" w:hAnsi="宋体" w:eastAsia="宋体" w:cs="宋体"/>
          <w:b w:val="0"/>
          <w:bCs w:val="0"/>
          <w:sz w:val="24"/>
          <w:szCs w:val="24"/>
        </w:rPr>
        <w:t>第一章</w:t>
      </w:r>
      <w:r>
        <w:rPr>
          <w:rFonts w:hint="eastAsia" w:ascii="宋体" w:hAnsi="宋体" w:eastAsia="宋体" w:cs="宋体"/>
          <w:b w:val="0"/>
          <w:bCs w:val="0"/>
          <w:sz w:val="24"/>
          <w:szCs w:val="24"/>
        </w:rPr>
        <w:tab/>
      </w:r>
      <w:r>
        <w:rPr>
          <w:rStyle w:val="49"/>
          <w:rFonts w:hint="eastAsia" w:ascii="宋体" w:hAnsi="宋体" w:eastAsia="宋体" w:cs="宋体"/>
          <w:b w:val="0"/>
          <w:bCs w:val="0"/>
          <w:sz w:val="24"/>
          <w:szCs w:val="24"/>
        </w:rPr>
        <w:t>采购公告</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_Toc106039321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9"/>
        <w:tabs>
          <w:tab w:val="right" w:leader="dot" w:pos="9660"/>
          <w:tab w:val="clear" w:pos="9242"/>
        </w:tabs>
        <w:spacing w:before="60" w:after="6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"_Toc106039332" </w:instrText>
      </w:r>
      <w:r>
        <w:rPr>
          <w:rFonts w:hint="eastAsia" w:ascii="宋体" w:hAnsi="宋体" w:eastAsia="宋体" w:cs="宋体"/>
          <w:b w:val="0"/>
          <w:bCs w:val="0"/>
          <w:sz w:val="24"/>
          <w:szCs w:val="24"/>
        </w:rPr>
        <w:fldChar w:fldCharType="separate"/>
      </w:r>
      <w:r>
        <w:rPr>
          <w:rStyle w:val="49"/>
          <w:rFonts w:hint="eastAsia" w:ascii="宋体" w:hAnsi="宋体" w:eastAsia="宋体" w:cs="宋体"/>
          <w:b w:val="0"/>
          <w:bCs w:val="0"/>
          <w:sz w:val="24"/>
          <w:szCs w:val="24"/>
        </w:rPr>
        <w:t>第二章  供应商须知</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_Toc106039332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9"/>
        <w:tabs>
          <w:tab w:val="right" w:leader="dot" w:pos="9660"/>
          <w:tab w:val="clear" w:pos="9242"/>
        </w:tabs>
        <w:spacing w:before="60" w:after="6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"_Toc106039350" </w:instrText>
      </w:r>
      <w:r>
        <w:rPr>
          <w:rFonts w:hint="eastAsia" w:ascii="宋体" w:hAnsi="宋体" w:eastAsia="宋体" w:cs="宋体"/>
          <w:b w:val="0"/>
          <w:bCs w:val="0"/>
          <w:sz w:val="24"/>
          <w:szCs w:val="24"/>
        </w:rPr>
        <w:fldChar w:fldCharType="separate"/>
      </w:r>
      <w:r>
        <w:rPr>
          <w:rStyle w:val="49"/>
          <w:rFonts w:hint="eastAsia" w:ascii="宋体" w:hAnsi="宋体" w:eastAsia="宋体" w:cs="宋体"/>
          <w:b w:val="0"/>
          <w:bCs w:val="0"/>
          <w:sz w:val="24"/>
          <w:szCs w:val="24"/>
        </w:rPr>
        <w:t>第三章 评审办法</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_Toc106039350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9"/>
        <w:tabs>
          <w:tab w:val="right" w:leader="dot" w:pos="9660"/>
          <w:tab w:val="clear" w:pos="9242"/>
        </w:tabs>
        <w:spacing w:before="60" w:after="6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"_Toc106039357" </w:instrText>
      </w:r>
      <w:r>
        <w:rPr>
          <w:rFonts w:hint="eastAsia" w:ascii="宋体" w:hAnsi="宋体" w:eastAsia="宋体" w:cs="宋体"/>
          <w:b w:val="0"/>
          <w:bCs w:val="0"/>
          <w:sz w:val="24"/>
          <w:szCs w:val="24"/>
        </w:rPr>
        <w:fldChar w:fldCharType="separate"/>
      </w:r>
      <w:r>
        <w:rPr>
          <w:rStyle w:val="49"/>
          <w:rFonts w:hint="eastAsia" w:ascii="宋体" w:hAnsi="宋体" w:eastAsia="宋体" w:cs="宋体"/>
          <w:b w:val="0"/>
          <w:bCs w:val="0"/>
          <w:sz w:val="24"/>
          <w:szCs w:val="24"/>
        </w:rPr>
        <w:t>第四章  合同条款及格式</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_Toc106039357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9"/>
        <w:tabs>
          <w:tab w:val="right" w:leader="dot" w:pos="9660"/>
          <w:tab w:val="clear" w:pos="9242"/>
        </w:tabs>
        <w:spacing w:before="60" w:after="6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"_Toc106039362" </w:instrText>
      </w:r>
      <w:r>
        <w:rPr>
          <w:rFonts w:hint="eastAsia" w:ascii="宋体" w:hAnsi="宋体" w:eastAsia="宋体" w:cs="宋体"/>
          <w:b w:val="0"/>
          <w:bCs w:val="0"/>
          <w:sz w:val="24"/>
          <w:szCs w:val="24"/>
        </w:rPr>
        <w:fldChar w:fldCharType="separate"/>
      </w:r>
      <w:r>
        <w:rPr>
          <w:rStyle w:val="49"/>
          <w:rFonts w:hint="eastAsia" w:ascii="宋体" w:hAnsi="宋体" w:eastAsia="宋体" w:cs="宋体"/>
          <w:b w:val="0"/>
          <w:bCs w:val="0"/>
          <w:sz w:val="24"/>
          <w:szCs w:val="24"/>
        </w:rPr>
        <w:t>第五章  采购需求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_Toc106039362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9"/>
        <w:tabs>
          <w:tab w:val="right" w:leader="dot" w:pos="9660"/>
          <w:tab w:val="clear" w:pos="9242"/>
        </w:tabs>
        <w:spacing w:before="60" w:after="6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"_Toc106039363" </w:instrText>
      </w:r>
      <w:r>
        <w:rPr>
          <w:rFonts w:hint="eastAsia" w:ascii="宋体" w:hAnsi="宋体" w:eastAsia="宋体" w:cs="宋体"/>
          <w:b w:val="0"/>
          <w:bCs w:val="0"/>
          <w:sz w:val="24"/>
          <w:szCs w:val="24"/>
        </w:rPr>
        <w:fldChar w:fldCharType="separate"/>
      </w:r>
      <w:r>
        <w:rPr>
          <w:rStyle w:val="49"/>
          <w:rFonts w:hint="eastAsia" w:ascii="宋体" w:hAnsi="宋体" w:eastAsia="宋体" w:cs="宋体"/>
          <w:b w:val="0"/>
          <w:bCs w:val="0"/>
          <w:sz w:val="24"/>
          <w:szCs w:val="24"/>
        </w:rPr>
        <w:t>第六章  响应文件格式</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_Toc106039363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35"/>
        <w:tabs>
          <w:tab w:val="right" w:leader="dot" w:pos="9736"/>
        </w:tabs>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"_Toc106039364" </w:instrText>
      </w:r>
      <w:r>
        <w:rPr>
          <w:rFonts w:hint="eastAsia" w:ascii="宋体" w:hAnsi="宋体" w:eastAsia="宋体" w:cs="宋体"/>
          <w:b w:val="0"/>
          <w:bCs w:val="0"/>
          <w:sz w:val="24"/>
          <w:szCs w:val="24"/>
        </w:rPr>
        <w:fldChar w:fldCharType="separate"/>
      </w:r>
      <w:r>
        <w:rPr>
          <w:rStyle w:val="49"/>
          <w:rFonts w:hint="eastAsia" w:ascii="宋体" w:hAnsi="宋体" w:eastAsia="宋体" w:cs="宋体"/>
          <w:b w:val="0"/>
          <w:bCs w:val="0"/>
          <w:sz w:val="24"/>
          <w:szCs w:val="24"/>
        </w:rPr>
        <w:t>一、响应函</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_Toc106039364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35"/>
        <w:tabs>
          <w:tab w:val="right" w:leader="dot" w:pos="9736"/>
        </w:tabs>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"_Toc106039365" </w:instrText>
      </w:r>
      <w:r>
        <w:rPr>
          <w:rFonts w:hint="eastAsia" w:ascii="宋体" w:hAnsi="宋体" w:eastAsia="宋体" w:cs="宋体"/>
          <w:b w:val="0"/>
          <w:bCs w:val="0"/>
          <w:sz w:val="24"/>
          <w:szCs w:val="24"/>
        </w:rPr>
        <w:fldChar w:fldCharType="separate"/>
      </w:r>
      <w:r>
        <w:rPr>
          <w:rStyle w:val="49"/>
          <w:rFonts w:hint="eastAsia" w:ascii="宋体" w:hAnsi="宋体" w:eastAsia="宋体" w:cs="宋体"/>
          <w:b w:val="0"/>
          <w:bCs w:val="0"/>
          <w:sz w:val="24"/>
          <w:szCs w:val="24"/>
        </w:rPr>
        <w:t>二、授权委托书</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_Toc106039365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35"/>
        <w:tabs>
          <w:tab w:val="right" w:leader="dot" w:pos="9736"/>
        </w:tabs>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"_Toc106039366" </w:instrText>
      </w:r>
      <w:r>
        <w:rPr>
          <w:rFonts w:hint="eastAsia" w:ascii="宋体" w:hAnsi="宋体" w:eastAsia="宋体" w:cs="宋体"/>
          <w:b w:val="0"/>
          <w:bCs w:val="0"/>
          <w:sz w:val="24"/>
          <w:szCs w:val="24"/>
        </w:rPr>
        <w:fldChar w:fldCharType="separate"/>
      </w:r>
      <w:r>
        <w:rPr>
          <w:rStyle w:val="49"/>
          <w:rFonts w:hint="eastAsia" w:ascii="宋体" w:hAnsi="宋体" w:eastAsia="宋体" w:cs="宋体"/>
          <w:b w:val="0"/>
          <w:bCs w:val="0"/>
          <w:sz w:val="24"/>
          <w:szCs w:val="24"/>
        </w:rPr>
        <w:t>三、商务和技术偏差表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_Toc106039366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35"/>
        <w:tabs>
          <w:tab w:val="right" w:leader="dot" w:pos="973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"_Toc106039367" </w:instrText>
      </w:r>
      <w:r>
        <w:rPr>
          <w:rFonts w:hint="eastAsia" w:ascii="宋体" w:hAnsi="宋体" w:eastAsia="宋体" w:cs="宋体"/>
          <w:b w:val="0"/>
          <w:bCs w:val="0"/>
          <w:sz w:val="24"/>
          <w:szCs w:val="24"/>
        </w:rPr>
        <w:fldChar w:fldCharType="separate"/>
      </w:r>
      <w:r>
        <w:rPr>
          <w:rStyle w:val="49"/>
          <w:rFonts w:hint="eastAsia" w:ascii="宋体" w:hAnsi="宋体" w:eastAsia="宋体" w:cs="宋体"/>
          <w:b w:val="0"/>
          <w:bCs w:val="0"/>
          <w:sz w:val="24"/>
          <w:szCs w:val="24"/>
        </w:rPr>
        <w:t>四、报价表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_Toc106039367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35"/>
        <w:tabs>
          <w:tab w:val="right" w:leader="dot" w:pos="9736"/>
        </w:tabs>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"_Toc106039369" </w:instrText>
      </w:r>
      <w:r>
        <w:rPr>
          <w:rFonts w:hint="eastAsia" w:ascii="宋体" w:hAnsi="宋体" w:eastAsia="宋体" w:cs="宋体"/>
          <w:b w:val="0"/>
          <w:bCs w:val="0"/>
          <w:sz w:val="24"/>
          <w:szCs w:val="24"/>
        </w:rPr>
        <w:fldChar w:fldCharType="separate"/>
      </w:r>
      <w:r>
        <w:rPr>
          <w:rStyle w:val="49"/>
          <w:rFonts w:hint="eastAsia" w:ascii="宋体" w:hAnsi="宋体" w:eastAsia="宋体" w:cs="宋体"/>
          <w:b w:val="0"/>
          <w:bCs w:val="0"/>
          <w:sz w:val="24"/>
          <w:szCs w:val="24"/>
        </w:rPr>
        <w:t>五、资格审查资料</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_Toc106039369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35"/>
        <w:tabs>
          <w:tab w:val="right" w:leader="dot" w:pos="9736"/>
        </w:tabs>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"_Toc106039375" </w:instrText>
      </w:r>
      <w:r>
        <w:rPr>
          <w:rFonts w:hint="eastAsia" w:ascii="宋体" w:hAnsi="宋体" w:eastAsia="宋体" w:cs="宋体"/>
          <w:b w:val="0"/>
          <w:bCs w:val="0"/>
          <w:sz w:val="24"/>
          <w:szCs w:val="24"/>
        </w:rPr>
        <w:fldChar w:fldCharType="separate"/>
      </w:r>
      <w:r>
        <w:rPr>
          <w:rStyle w:val="49"/>
          <w:rFonts w:hint="eastAsia" w:ascii="宋体" w:hAnsi="宋体" w:eastAsia="宋体" w:cs="宋体"/>
          <w:b w:val="0"/>
          <w:bCs w:val="0"/>
          <w:sz w:val="24"/>
          <w:szCs w:val="24"/>
        </w:rPr>
        <w:t>六、响应方案</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_Toc106039375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35"/>
        <w:tabs>
          <w:tab w:val="right" w:leader="dot" w:pos="9736"/>
        </w:tabs>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"_Toc106039376" </w:instrText>
      </w:r>
      <w:r>
        <w:rPr>
          <w:rFonts w:hint="eastAsia" w:ascii="宋体" w:hAnsi="宋体" w:eastAsia="宋体" w:cs="宋体"/>
          <w:b w:val="0"/>
          <w:bCs w:val="0"/>
          <w:sz w:val="24"/>
          <w:szCs w:val="24"/>
        </w:rPr>
        <w:fldChar w:fldCharType="separate"/>
      </w:r>
      <w:r>
        <w:rPr>
          <w:rStyle w:val="49"/>
          <w:rFonts w:hint="eastAsia" w:ascii="宋体" w:hAnsi="宋体" w:eastAsia="宋体" w:cs="宋体"/>
          <w:b w:val="0"/>
          <w:bCs w:val="0"/>
          <w:sz w:val="24"/>
          <w:szCs w:val="24"/>
        </w:rPr>
        <w:t>七、其他资料</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_Toc106039376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9"/>
        <w:widowControl w:val="0"/>
        <w:tabs>
          <w:tab w:val="right" w:leader="dot" w:pos="8948"/>
          <w:tab w:val="clear" w:pos="9242"/>
        </w:tabs>
        <w:adjustRightInd w:val="0"/>
        <w:snapToGrid w:val="0"/>
        <w:spacing w:before="60" w:after="60" w:line="360" w:lineRule="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fldChar w:fldCharType="end"/>
      </w:r>
    </w:p>
    <w:p>
      <w:pPr>
        <w:pStyle w:val="7"/>
        <w:rPr>
          <w:lang w:val="zh-CN"/>
        </w:rPr>
      </w:pPr>
      <w:r>
        <w:rPr>
          <w:lang w:val="zh-CN"/>
        </w:rPr>
        <w:br w:type="page"/>
      </w:r>
    </w:p>
    <w:p>
      <w:pPr>
        <w:pStyle w:val="81"/>
        <w:numPr>
          <w:ilvl w:val="0"/>
          <w:numId w:val="1"/>
        </w:numPr>
        <w:spacing w:line="360" w:lineRule="auto"/>
        <w:ind w:left="0" w:firstLine="0" w:firstLineChars="0"/>
        <w:jc w:val="center"/>
        <w:outlineLvl w:val="0"/>
        <w:rPr>
          <w:rFonts w:ascii="黑体" w:hAnsi="黑体" w:eastAsia="黑体" w:cs="仿宋"/>
          <w:b/>
          <w:color w:val="000000"/>
          <w:sz w:val="44"/>
          <w:szCs w:val="44"/>
        </w:rPr>
      </w:pPr>
      <w:bookmarkStart w:id="0" w:name="_Toc106039321"/>
      <w:r>
        <w:rPr>
          <w:rFonts w:hint="eastAsia" w:ascii="黑体" w:hAnsi="黑体" w:eastAsia="黑体" w:cs="仿宋"/>
          <w:b/>
          <w:color w:val="000000"/>
          <w:sz w:val="44"/>
          <w:szCs w:val="44"/>
        </w:rPr>
        <w:t>采购公告</w:t>
      </w:r>
      <w:bookmarkEnd w:id="0"/>
    </w:p>
    <w:p>
      <w:pPr>
        <w:pStyle w:val="38"/>
        <w:spacing w:before="0" w:beforeAutospacing="0" w:after="0" w:afterAutospacing="0" w:line="360" w:lineRule="auto"/>
        <w:jc w:val="center"/>
        <w:rPr>
          <w:rFonts w:ascii="黑体" w:hAnsi="黑体" w:eastAsia="黑体"/>
          <w:sz w:val="32"/>
          <w:szCs w:val="32"/>
        </w:rPr>
      </w:pPr>
      <w:r>
        <w:rPr>
          <w:rFonts w:hint="eastAsia" w:ascii="黑体" w:hAnsi="黑体" w:eastAsia="黑体"/>
          <w:sz w:val="32"/>
          <w:szCs w:val="32"/>
        </w:rPr>
        <w:t>长沙集星集装箱码头有限公司生产系统电脑采购</w:t>
      </w:r>
    </w:p>
    <w:p>
      <w:pPr>
        <w:pStyle w:val="38"/>
        <w:spacing w:before="0" w:beforeAutospacing="0" w:after="0" w:afterAutospacing="0" w:line="360" w:lineRule="auto"/>
        <w:jc w:val="center"/>
        <w:rPr>
          <w:rFonts w:ascii="黑体" w:hAnsi="黑体" w:eastAsia="黑体"/>
          <w:sz w:val="32"/>
          <w:szCs w:val="32"/>
        </w:rPr>
      </w:pPr>
      <w:r>
        <w:rPr>
          <w:rFonts w:hint="eastAsia" w:ascii="黑体" w:hAnsi="黑体" w:eastAsia="黑体"/>
          <w:sz w:val="32"/>
          <w:szCs w:val="32"/>
        </w:rPr>
        <w:t>询价采购公告</w:t>
      </w:r>
    </w:p>
    <w:p>
      <w:pPr>
        <w:pStyle w:val="38"/>
        <w:spacing w:before="0" w:beforeAutospacing="0" w:after="0" w:afterAutospacing="0" w:line="360" w:lineRule="auto"/>
        <w:ind w:firstLine="2880" w:firstLineChars="1200"/>
        <w:jc w:val="both"/>
        <w:rPr>
          <w:rFonts w:cs="Times New Roman"/>
          <w:kern w:val="2"/>
        </w:rPr>
      </w:pPr>
      <w:r>
        <w:rPr>
          <w:rFonts w:hint="eastAsia" w:cs="Times New Roman"/>
          <w:kern w:val="2"/>
        </w:rPr>
        <w:t xml:space="preserve"> </w:t>
      </w:r>
    </w:p>
    <w:p>
      <w:pPr>
        <w:pStyle w:val="38"/>
        <w:spacing w:before="0" w:beforeAutospacing="0" w:after="0" w:afterAutospacing="0"/>
        <w:ind w:firstLine="480" w:firstLineChars="200"/>
        <w:jc w:val="both"/>
        <w:rPr>
          <w:rFonts w:cs="Times New Roman"/>
          <w:kern w:val="2"/>
        </w:rPr>
      </w:pPr>
      <w:r>
        <w:rPr>
          <w:rFonts w:hint="eastAsia" w:cs="Times New Roman"/>
          <w:kern w:val="2"/>
        </w:rPr>
        <w:t xml:space="preserve">长沙集星集装箱码头有限公司生产系统电脑采购已具备采购条件，现公开邀请供应商参加采购活动。 </w:t>
      </w:r>
    </w:p>
    <w:p>
      <w:pPr>
        <w:pStyle w:val="6"/>
        <w:rPr>
          <w:rFonts w:ascii="Arial" w:hAnsi="Arial"/>
        </w:rPr>
      </w:pPr>
      <w:bookmarkStart w:id="1" w:name="_Toc106039322"/>
      <w:r>
        <w:rPr>
          <w:rFonts w:hint="eastAsia"/>
        </w:rPr>
        <w:t xml:space="preserve">1 </w:t>
      </w:r>
      <w:r>
        <w:rPr>
          <w:rFonts w:hint="eastAsia" w:ascii="黑体" w:hAnsi="黑体"/>
        </w:rPr>
        <w:t>采购项目简介</w:t>
      </w:r>
      <w:bookmarkEnd w:id="1"/>
      <w:r>
        <w:rPr>
          <w:rFonts w:hint="eastAsia" w:ascii="黑体" w:hAnsi="黑体"/>
        </w:rPr>
        <w:t xml:space="preserve"> </w:t>
      </w:r>
    </w:p>
    <w:p>
      <w:pPr>
        <w:autoSpaceDE w:val="0"/>
        <w:spacing w:line="400" w:lineRule="exact"/>
        <w:jc w:val="both"/>
        <w:rPr>
          <w:rFonts w:ascii="宋体" w:hAnsi="宋体"/>
          <w:sz w:val="24"/>
        </w:rPr>
      </w:pPr>
      <w:r>
        <w:rPr>
          <w:rFonts w:hint="eastAsia" w:ascii="宋体" w:hAnsi="宋体"/>
          <w:b/>
          <w:bCs/>
          <w:sz w:val="24"/>
        </w:rPr>
        <w:t>1.1</w:t>
      </w:r>
      <w:r>
        <w:rPr>
          <w:rFonts w:hint="eastAsia" w:ascii="宋体" w:hAnsi="宋体"/>
          <w:sz w:val="24"/>
        </w:rPr>
        <w:t xml:space="preserve"> 采购项目名称:_</w:t>
      </w:r>
      <w:r>
        <w:rPr>
          <w:rFonts w:hint="eastAsia"/>
        </w:rPr>
        <w:t xml:space="preserve"> </w:t>
      </w:r>
      <w:r>
        <w:rPr>
          <w:rFonts w:hint="eastAsia" w:ascii="宋体" w:hAnsi="宋体"/>
          <w:sz w:val="24"/>
        </w:rPr>
        <w:t>长沙集星集装箱码头有限公司生产系统电脑采购</w:t>
      </w:r>
    </w:p>
    <w:p>
      <w:pPr>
        <w:autoSpaceDE w:val="0"/>
        <w:spacing w:line="400" w:lineRule="exact"/>
        <w:rPr>
          <w:rFonts w:ascii="宋体" w:hAnsi="宋体"/>
          <w:sz w:val="24"/>
        </w:rPr>
      </w:pPr>
      <w:r>
        <w:rPr>
          <w:rFonts w:hint="eastAsia" w:ascii="宋体" w:hAnsi="宋体"/>
          <w:b/>
          <w:bCs/>
          <w:sz w:val="24"/>
        </w:rPr>
        <w:t>1.2</w:t>
      </w:r>
      <w:r>
        <w:rPr>
          <w:rFonts w:hint="eastAsia" w:ascii="宋体" w:hAnsi="宋体"/>
          <w:sz w:val="24"/>
        </w:rPr>
        <w:t xml:space="preserve"> 采购人: _长沙集星集装箱码头有限公司</w:t>
      </w:r>
    </w:p>
    <w:p>
      <w:pPr>
        <w:autoSpaceDE w:val="0"/>
        <w:spacing w:line="400" w:lineRule="exact"/>
        <w:rPr>
          <w:rFonts w:ascii="宋体" w:hAnsi="宋体"/>
          <w:sz w:val="24"/>
        </w:rPr>
      </w:pPr>
      <w:r>
        <w:rPr>
          <w:rFonts w:hint="eastAsia" w:ascii="宋体" w:hAnsi="宋体"/>
          <w:b/>
          <w:bCs/>
          <w:sz w:val="24"/>
        </w:rPr>
        <w:t>1.3</w:t>
      </w:r>
      <w:r>
        <w:rPr>
          <w:rFonts w:hint="eastAsia" w:ascii="宋体" w:hAnsi="宋体"/>
          <w:sz w:val="24"/>
        </w:rPr>
        <w:t xml:space="preserve"> 采购代理机构:_无____</w:t>
      </w:r>
    </w:p>
    <w:p>
      <w:pPr>
        <w:autoSpaceDE w:val="0"/>
        <w:spacing w:line="400" w:lineRule="exact"/>
        <w:rPr>
          <w:rFonts w:ascii="宋体" w:hAnsi="宋体"/>
          <w:sz w:val="24"/>
        </w:rPr>
      </w:pPr>
      <w:r>
        <w:rPr>
          <w:rFonts w:hint="eastAsia" w:ascii="宋体" w:hAnsi="宋体"/>
          <w:b/>
          <w:bCs/>
          <w:sz w:val="24"/>
        </w:rPr>
        <w:t xml:space="preserve">1.4 </w:t>
      </w:r>
      <w:r>
        <w:rPr>
          <w:rFonts w:hint="eastAsia" w:ascii="宋体" w:hAnsi="宋体"/>
          <w:sz w:val="24"/>
        </w:rPr>
        <w:t>采购项目资金落实情况:_已落实_</w:t>
      </w:r>
    </w:p>
    <w:p>
      <w:pPr>
        <w:autoSpaceDE w:val="0"/>
        <w:spacing w:line="400" w:lineRule="exact"/>
        <w:rPr>
          <w:rFonts w:ascii="宋体" w:hAnsi="宋体"/>
          <w:sz w:val="24"/>
        </w:rPr>
      </w:pPr>
      <w:r>
        <w:rPr>
          <w:rFonts w:hint="eastAsia" w:ascii="宋体" w:hAnsi="宋体"/>
          <w:b/>
          <w:bCs/>
          <w:sz w:val="24"/>
        </w:rPr>
        <w:t xml:space="preserve">1.5 </w:t>
      </w:r>
      <w:r>
        <w:rPr>
          <w:rFonts w:hint="eastAsia" w:ascii="宋体" w:hAnsi="宋体"/>
          <w:sz w:val="24"/>
        </w:rPr>
        <w:t>采购项目概况:</w:t>
      </w:r>
      <w:r>
        <w:rPr>
          <w:rFonts w:hint="eastAsia" w:eastAsiaTheme="minorEastAsia"/>
          <w:sz w:val="24"/>
        </w:rPr>
        <w:t>本项目需采购用于</w:t>
      </w:r>
      <w:r>
        <w:rPr>
          <w:rFonts w:hint="eastAsia" w:ascii="宋体" w:hAnsi="宋体" w:eastAsiaTheme="minorEastAsia"/>
          <w:sz w:val="24"/>
        </w:rPr>
        <w:t>长沙集星集装箱码头有限公司</w:t>
      </w:r>
      <w:r>
        <w:rPr>
          <w:rFonts w:hint="eastAsia" w:eastAsiaTheme="minorEastAsia"/>
          <w:sz w:val="24"/>
        </w:rPr>
        <w:t>生产管理系统的24台电脑</w:t>
      </w:r>
      <w:r>
        <w:rPr>
          <w:rFonts w:hint="eastAsia" w:eastAsiaTheme="minorEastAsia"/>
          <w:sz w:val="24"/>
          <w:lang w:eastAsia="zh-CN"/>
        </w:rPr>
        <w:t>及两台显示器</w:t>
      </w:r>
      <w:r>
        <w:rPr>
          <w:rFonts w:hint="eastAsia" w:eastAsiaTheme="minorEastAsia"/>
          <w:sz w:val="24"/>
        </w:rPr>
        <w:t>设备</w:t>
      </w:r>
      <w:r>
        <w:rPr>
          <w:rFonts w:eastAsiaTheme="minorEastAsia"/>
          <w:sz w:val="24"/>
        </w:rPr>
        <w:t>。</w:t>
      </w:r>
      <w:r>
        <w:rPr>
          <w:rFonts w:hint="eastAsia" w:ascii="宋体" w:hAnsi="宋体"/>
          <w:sz w:val="24"/>
        </w:rPr>
        <w:t>_</w:t>
      </w:r>
    </w:p>
    <w:p>
      <w:pPr>
        <w:pStyle w:val="6"/>
        <w:rPr>
          <w:rFonts w:ascii="Arial" w:hAnsi="Arial"/>
        </w:rPr>
      </w:pPr>
      <w:bookmarkStart w:id="2" w:name="_Toc106039323"/>
      <w:r>
        <w:rPr>
          <w:rFonts w:hint="eastAsia"/>
        </w:rPr>
        <w:t>2．</w:t>
      </w:r>
      <w:r>
        <w:rPr>
          <w:rFonts w:hint="eastAsia" w:ascii="黑体" w:hAnsi="黑体"/>
        </w:rPr>
        <w:t>采购范围及相关要求</w:t>
      </w:r>
      <w:bookmarkEnd w:id="2"/>
    </w:p>
    <w:p>
      <w:pPr>
        <w:jc w:val="both"/>
        <w:rPr>
          <w:rFonts w:ascii="宋体" w:hAnsi="宋体"/>
          <w:sz w:val="24"/>
        </w:rPr>
      </w:pPr>
      <w:r>
        <w:rPr>
          <w:rFonts w:hint="eastAsia" w:ascii="宋体" w:hAnsi="宋体"/>
          <w:b/>
          <w:bCs/>
          <w:sz w:val="24"/>
        </w:rPr>
        <w:t xml:space="preserve">2.1 </w:t>
      </w:r>
      <w:r>
        <w:rPr>
          <w:rFonts w:hint="eastAsia" w:ascii="宋体" w:hAnsi="宋体"/>
          <w:sz w:val="24"/>
        </w:rPr>
        <w:t>采购范围: 长沙集星集装箱码头有限公司生产管理系统所需的24台电脑</w:t>
      </w:r>
      <w:r>
        <w:rPr>
          <w:rFonts w:hint="eastAsia" w:ascii="宋体" w:hAnsi="宋体"/>
          <w:sz w:val="24"/>
          <w:lang w:eastAsia="zh-CN"/>
        </w:rPr>
        <w:t>及两台显示器</w:t>
      </w:r>
      <w:r>
        <w:rPr>
          <w:rFonts w:hint="eastAsia" w:ascii="宋体" w:hAnsi="宋体"/>
          <w:sz w:val="24"/>
        </w:rPr>
        <w:t>，供应商应提供相应的电脑组装、调试、系统安装及相应的售后服务。</w:t>
      </w:r>
    </w:p>
    <w:p>
      <w:pPr>
        <w:jc w:val="both"/>
        <w:rPr>
          <w:color w:val="000000" w:themeColor="text1"/>
          <w:sz w:val="24"/>
          <w14:textFill>
            <w14:solidFill>
              <w14:schemeClr w14:val="tx1"/>
            </w14:solidFill>
          </w14:textFill>
        </w:rPr>
      </w:pPr>
      <w:r>
        <w:rPr>
          <w:rFonts w:hint="eastAsia" w:ascii="宋体" w:hAnsi="宋体"/>
          <w:b/>
          <w:bCs/>
          <w:sz w:val="24"/>
        </w:rPr>
        <w:t xml:space="preserve">2.2 </w:t>
      </w:r>
      <w:r>
        <w:rPr>
          <w:rFonts w:hint="eastAsia" w:ascii="宋体" w:hAnsi="宋体"/>
          <w:sz w:val="24"/>
        </w:rPr>
        <w:t>交货期限: 合同签订后10个工作日内向采购人提交电脑设备，并完成安装调试。</w:t>
      </w:r>
    </w:p>
    <w:p>
      <w:pPr>
        <w:spacing w:line="312" w:lineRule="auto"/>
        <w:rPr>
          <w:rFonts w:ascii="宋体" w:hAnsi="宋体" w:cs="宋体"/>
          <w:b/>
          <w:bCs/>
          <w:sz w:val="28"/>
          <w:szCs w:val="28"/>
        </w:rPr>
      </w:pPr>
      <w:r>
        <w:rPr>
          <w:rFonts w:hint="eastAsia" w:ascii="宋体" w:hAnsi="宋体"/>
          <w:b/>
          <w:bCs/>
          <w:sz w:val="24"/>
        </w:rPr>
        <w:t xml:space="preserve">2.3 </w:t>
      </w:r>
      <w:r>
        <w:rPr>
          <w:rFonts w:hint="eastAsia" w:ascii="宋体" w:hAnsi="宋体"/>
          <w:sz w:val="24"/>
        </w:rPr>
        <w:t>交货地点及方式:</w:t>
      </w:r>
      <w:r>
        <w:rPr>
          <w:rFonts w:hint="eastAsia" w:ascii="宋体" w:hAnsi="宋体"/>
          <w:color w:val="000000"/>
          <w:sz w:val="24"/>
        </w:rPr>
        <w:t>由供应商负责运输至长沙集星集装箱码头有限公司交货，运费由供应商承担。</w:t>
      </w:r>
    </w:p>
    <w:p>
      <w:pPr>
        <w:autoSpaceDE w:val="0"/>
        <w:spacing w:line="400" w:lineRule="exact"/>
        <w:rPr>
          <w:rFonts w:ascii="宋体" w:hAnsi="宋体"/>
          <w:b/>
          <w:bCs/>
          <w:sz w:val="24"/>
        </w:rPr>
      </w:pPr>
      <w:r>
        <w:rPr>
          <w:rFonts w:ascii="宋体" w:hAnsi="宋体"/>
          <w:b/>
          <w:bCs/>
          <w:sz w:val="24"/>
        </w:rPr>
        <w:t xml:space="preserve">2.4 </w:t>
      </w:r>
      <w:r>
        <w:rPr>
          <w:rFonts w:hint="eastAsia" w:ascii="宋体" w:hAnsi="宋体"/>
          <w:bCs/>
          <w:sz w:val="24"/>
        </w:rPr>
        <w:t>质保期：</w:t>
      </w:r>
      <w:r>
        <w:rPr>
          <w:rFonts w:hint="eastAsia" w:ascii="宋体" w:hAnsi="宋体" w:cs="宋体"/>
          <w:color w:val="000000"/>
          <w:sz w:val="24"/>
          <w:szCs w:val="22"/>
        </w:rPr>
        <w:t>质保期从验收合格签字之日算起，</w:t>
      </w:r>
      <w:r>
        <w:rPr>
          <w:rFonts w:hint="eastAsia" w:hAnsi="宋体" w:cs="宋体"/>
          <w:color w:val="000000"/>
          <w:sz w:val="24"/>
          <w:szCs w:val="22"/>
        </w:rPr>
        <w:t>期限为1年</w:t>
      </w:r>
      <w:r>
        <w:rPr>
          <w:rFonts w:hint="eastAsia" w:ascii="宋体" w:hAnsi="宋体" w:cs="宋体"/>
          <w:color w:val="000000"/>
          <w:sz w:val="24"/>
          <w:szCs w:val="22"/>
        </w:rPr>
        <w:t>。</w:t>
      </w:r>
    </w:p>
    <w:p>
      <w:pPr>
        <w:autoSpaceDE w:val="0"/>
        <w:spacing w:line="400" w:lineRule="exact"/>
        <w:rPr>
          <w:rFonts w:ascii="宋体" w:hAnsi="宋体"/>
          <w:sz w:val="24"/>
        </w:rPr>
      </w:pPr>
      <w:r>
        <w:rPr>
          <w:rFonts w:hint="eastAsia" w:ascii="宋体" w:hAnsi="宋体"/>
          <w:b/>
          <w:bCs/>
          <w:sz w:val="24"/>
        </w:rPr>
        <w:t xml:space="preserve">2.4 </w:t>
      </w:r>
      <w:r>
        <w:rPr>
          <w:rFonts w:hint="eastAsia" w:ascii="宋体" w:hAnsi="宋体"/>
          <w:sz w:val="24"/>
        </w:rPr>
        <w:t>相关要求: 详见“第五章 采购要求”</w:t>
      </w:r>
    </w:p>
    <w:p>
      <w:pPr>
        <w:pStyle w:val="6"/>
        <w:rPr>
          <w:rFonts w:ascii="Arial" w:hAnsi="Arial"/>
        </w:rPr>
      </w:pPr>
      <w:bookmarkStart w:id="3" w:name="_Toc106039324"/>
      <w:r>
        <w:rPr>
          <w:rFonts w:hint="eastAsia"/>
        </w:rPr>
        <w:t xml:space="preserve">3 </w:t>
      </w:r>
      <w:r>
        <w:rPr>
          <w:rFonts w:hint="eastAsia" w:ascii="黑体" w:hAnsi="黑体"/>
        </w:rPr>
        <w:t>供应商资格要求</w:t>
      </w:r>
      <w:bookmarkEnd w:id="3"/>
    </w:p>
    <w:p>
      <w:pPr>
        <w:autoSpaceDE w:val="0"/>
        <w:spacing w:line="400" w:lineRule="exact"/>
        <w:jc w:val="both"/>
        <w:rPr>
          <w:rFonts w:ascii="宋体" w:hAnsi="宋体"/>
          <w:sz w:val="24"/>
        </w:rPr>
      </w:pPr>
      <w:r>
        <w:rPr>
          <w:rFonts w:hint="eastAsia" w:ascii="宋体" w:hAnsi="宋体"/>
          <w:b/>
          <w:bCs/>
          <w:sz w:val="24"/>
        </w:rPr>
        <w:t>3.1</w:t>
      </w:r>
      <w:r>
        <w:rPr>
          <w:rFonts w:hint="eastAsia" w:ascii="宋体" w:hAnsi="宋体"/>
          <w:sz w:val="24"/>
        </w:rPr>
        <w:t>供应商不得存在下列情形之一:</w:t>
      </w:r>
    </w:p>
    <w:p>
      <w:pPr>
        <w:autoSpaceDE w:val="0"/>
        <w:spacing w:line="400" w:lineRule="exact"/>
        <w:ind w:firstLine="240" w:firstLineChars="100"/>
        <w:jc w:val="both"/>
        <w:rPr>
          <w:rFonts w:ascii="宋体" w:hAnsi="宋体"/>
          <w:sz w:val="24"/>
        </w:rPr>
      </w:pPr>
      <w:r>
        <w:rPr>
          <w:rFonts w:hint="eastAsia" w:ascii="宋体" w:hAnsi="宋体"/>
          <w:sz w:val="24"/>
        </w:rPr>
        <w:t>（1）处于被责令停产停业、暂扣或者吊销执照、暂扣或者吊销许可证、吊销资质证书状态;</w:t>
      </w:r>
    </w:p>
    <w:p>
      <w:pPr>
        <w:autoSpaceDE w:val="0"/>
        <w:spacing w:line="400" w:lineRule="exact"/>
        <w:ind w:firstLine="240" w:firstLineChars="100"/>
        <w:jc w:val="both"/>
        <w:rPr>
          <w:rFonts w:ascii="宋体" w:hAnsi="宋体"/>
          <w:sz w:val="24"/>
        </w:rPr>
      </w:pPr>
      <w:r>
        <w:rPr>
          <w:rFonts w:hint="eastAsia" w:ascii="宋体" w:hAnsi="宋体"/>
          <w:sz w:val="24"/>
        </w:rPr>
        <w:t>（2）进入清算程序，或被宣告破产，或其他丧失履约能力的情形;</w:t>
      </w:r>
    </w:p>
    <w:p>
      <w:pPr>
        <w:autoSpaceDE w:val="0"/>
        <w:spacing w:line="400" w:lineRule="exact"/>
        <w:ind w:firstLine="240" w:firstLineChars="100"/>
        <w:jc w:val="both"/>
        <w:rPr>
          <w:rFonts w:ascii="宋体" w:hAnsi="宋体"/>
          <w:sz w:val="24"/>
        </w:rPr>
      </w:pPr>
      <w:r>
        <w:rPr>
          <w:rFonts w:hint="eastAsia" w:ascii="宋体" w:hAnsi="宋体"/>
          <w:sz w:val="24"/>
        </w:rPr>
        <w:t>（3）被采购人或采购人上级单位纳入黑名单；</w:t>
      </w:r>
    </w:p>
    <w:p>
      <w:pPr>
        <w:autoSpaceDE w:val="0"/>
        <w:spacing w:line="400" w:lineRule="exact"/>
        <w:ind w:firstLine="240" w:firstLineChars="100"/>
        <w:jc w:val="both"/>
        <w:rPr>
          <w:rFonts w:ascii="宋体" w:hAnsi="宋体"/>
          <w:sz w:val="24"/>
        </w:rPr>
      </w:pPr>
      <w:r>
        <w:rPr>
          <w:rFonts w:hint="eastAsia" w:ascii="宋体" w:hAnsi="宋体"/>
          <w:sz w:val="24"/>
        </w:rPr>
        <w:t>（4）为投资参股本项目的法人单位；</w:t>
      </w:r>
    </w:p>
    <w:p>
      <w:pPr>
        <w:autoSpaceDE w:val="0"/>
        <w:spacing w:line="400" w:lineRule="exact"/>
        <w:ind w:firstLine="240" w:firstLineChars="100"/>
        <w:jc w:val="both"/>
        <w:rPr>
          <w:rFonts w:ascii="宋体" w:hAnsi="宋体"/>
          <w:sz w:val="24"/>
        </w:rPr>
      </w:pPr>
      <w:r>
        <w:rPr>
          <w:rFonts w:hint="eastAsia" w:ascii="宋体" w:hAnsi="宋体"/>
          <w:sz w:val="24"/>
        </w:rPr>
        <w:t>（5）具有直接管理和被管理关系的母子(分)公司，或同一母公司的子(分)公司，或法定代表人为同一人的两个或两个以上法人，同时投同一标段。</w:t>
      </w:r>
    </w:p>
    <w:p>
      <w:pPr>
        <w:autoSpaceDE w:val="0"/>
        <w:spacing w:line="400" w:lineRule="exact"/>
        <w:jc w:val="both"/>
        <w:rPr>
          <w:rFonts w:ascii="宋体" w:hAnsi="宋体"/>
          <w:sz w:val="24"/>
        </w:rPr>
      </w:pPr>
      <w:r>
        <w:rPr>
          <w:rFonts w:hint="eastAsia" w:ascii="宋体" w:hAnsi="宋体"/>
          <w:sz w:val="24"/>
        </w:rPr>
        <w:t>3.2供应商应满足如下要求:</w:t>
      </w:r>
    </w:p>
    <w:tbl>
      <w:tblPr>
        <w:tblStyle w:val="4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8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center"/>
              <w:rPr>
                <w:rFonts w:ascii="宋体" w:hAnsi="宋体"/>
                <w:sz w:val="24"/>
              </w:rPr>
            </w:pPr>
            <w:r>
              <w:rPr>
                <w:rFonts w:hint="eastAsia" w:ascii="宋体" w:hAnsi="宋体"/>
                <w:sz w:val="24"/>
              </w:rPr>
              <w:t>资格条件</w:t>
            </w:r>
          </w:p>
        </w:tc>
        <w:tc>
          <w:tcPr>
            <w:tcW w:w="1786" w:type="dxa"/>
          </w:tcPr>
          <w:p>
            <w:pPr>
              <w:widowControl w:val="0"/>
              <w:spacing w:line="320" w:lineRule="exact"/>
              <w:jc w:val="center"/>
              <w:rPr>
                <w:rFonts w:ascii="宋体" w:hAnsi="宋体"/>
                <w:sz w:val="24"/>
              </w:rPr>
            </w:pPr>
            <w:r>
              <w:rPr>
                <w:rFonts w:hint="eastAsia" w:ascii="宋体" w:hAnsi="宋体"/>
                <w:sz w:val="24"/>
              </w:rPr>
              <w:t>对供应商要求</w:t>
            </w:r>
          </w:p>
        </w:tc>
        <w:tc>
          <w:tcPr>
            <w:tcW w:w="5443" w:type="dxa"/>
          </w:tcPr>
          <w:p>
            <w:pPr>
              <w:widowControl w:val="0"/>
              <w:spacing w:line="320" w:lineRule="exact"/>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660" w:type="dxa"/>
            <w:vAlign w:val="center"/>
          </w:tcPr>
          <w:p>
            <w:pPr>
              <w:widowControl w:val="0"/>
              <w:spacing w:line="320" w:lineRule="exact"/>
              <w:jc w:val="both"/>
              <w:rPr>
                <w:rFonts w:ascii="宋体" w:hAnsi="宋体"/>
                <w:b w:val="0"/>
                <w:bCs w:val="0"/>
                <w:sz w:val="24"/>
              </w:rPr>
            </w:pPr>
            <w:r>
              <w:rPr>
                <w:rFonts w:hint="eastAsia" w:ascii="宋体" w:hAnsi="宋体"/>
                <w:b w:val="0"/>
                <w:bCs w:val="0"/>
                <w:sz w:val="24"/>
              </w:rPr>
              <w:t>（1）依法设立</w:t>
            </w:r>
          </w:p>
        </w:tc>
        <w:tc>
          <w:tcPr>
            <w:tcW w:w="1786" w:type="dxa"/>
            <w:vAlign w:val="center"/>
          </w:tcPr>
          <w:p>
            <w:pPr>
              <w:widowControl w:val="0"/>
              <w:spacing w:line="320" w:lineRule="exact"/>
              <w:jc w:val="both"/>
              <w:rPr>
                <w:rFonts w:ascii="宋体" w:hAnsi="宋体"/>
                <w:b w:val="0"/>
                <w:bCs w:val="0"/>
                <w:sz w:val="24"/>
                <w:u w:val="none"/>
              </w:rPr>
            </w:pPr>
            <w:r>
              <w:rPr>
                <w:rStyle w:val="45"/>
                <w:rFonts w:hint="eastAsia"/>
                <w:b/>
                <w:bCs/>
                <w:u w:val="none"/>
              </w:rPr>
              <w:sym w:font="Wingdings 2" w:char="0052"/>
            </w:r>
            <w:r>
              <w:rPr>
                <w:rStyle w:val="45"/>
                <w:rFonts w:hint="eastAsia"/>
                <w:b/>
                <w:bCs/>
                <w:u w:val="none"/>
              </w:rPr>
              <w:t>适用</w:t>
            </w:r>
          </w:p>
        </w:tc>
        <w:tc>
          <w:tcPr>
            <w:tcW w:w="5443" w:type="dxa"/>
            <w:vAlign w:val="center"/>
          </w:tcPr>
          <w:p>
            <w:pPr>
              <w:widowControl w:val="0"/>
              <w:spacing w:line="320" w:lineRule="exact"/>
              <w:jc w:val="both"/>
              <w:rPr>
                <w:rFonts w:ascii="宋体" w:hAnsi="宋体"/>
                <w:b w:val="0"/>
                <w:bCs w:val="0"/>
                <w:sz w:val="24"/>
                <w:u w:val="none"/>
              </w:rPr>
            </w:pPr>
            <w:r>
              <w:rPr>
                <w:rStyle w:val="45"/>
                <w:rFonts w:hint="eastAsia"/>
                <w:b w:val="0"/>
                <w:bCs w:val="0"/>
                <w:u w:val="none"/>
              </w:rPr>
              <w:sym w:font="Wingdings 2" w:char="0052"/>
            </w:r>
            <w:r>
              <w:rPr>
                <w:rStyle w:val="45"/>
                <w:rFonts w:hint="eastAsia"/>
                <w:b w:val="0"/>
                <w:bCs w:val="0"/>
                <w:u w:val="non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660" w:type="dxa"/>
            <w:vAlign w:val="center"/>
          </w:tcPr>
          <w:p>
            <w:pPr>
              <w:widowControl w:val="0"/>
              <w:spacing w:line="320" w:lineRule="exact"/>
              <w:jc w:val="both"/>
              <w:rPr>
                <w:rFonts w:ascii="宋体" w:hAnsi="宋体"/>
                <w:b w:val="0"/>
                <w:bCs w:val="0"/>
                <w:sz w:val="24"/>
              </w:rPr>
            </w:pPr>
            <w:r>
              <w:rPr>
                <w:rFonts w:hint="eastAsia" w:ascii="宋体" w:hAnsi="宋体"/>
                <w:b w:val="0"/>
                <w:bCs w:val="0"/>
                <w:sz w:val="24"/>
              </w:rPr>
              <w:t>（2）资质要求</w:t>
            </w:r>
          </w:p>
        </w:tc>
        <w:tc>
          <w:tcPr>
            <w:tcW w:w="1786" w:type="dxa"/>
            <w:vAlign w:val="center"/>
          </w:tcPr>
          <w:p>
            <w:pPr>
              <w:widowControl w:val="0"/>
              <w:spacing w:line="320" w:lineRule="exact"/>
              <w:jc w:val="both"/>
              <w:rPr>
                <w:rFonts w:ascii="宋体" w:hAnsi="宋体"/>
                <w:b w:val="0"/>
                <w:bCs w:val="0"/>
                <w:sz w:val="24"/>
                <w:highlight w:val="none"/>
                <w:u w:val="none"/>
              </w:rPr>
            </w:pPr>
            <w:r>
              <w:rPr>
                <w:rStyle w:val="45"/>
                <w:rFonts w:hint="eastAsia"/>
                <w:b w:val="0"/>
                <w:bCs w:val="0"/>
                <w:highlight w:val="none"/>
                <w:u w:val="none"/>
              </w:rPr>
              <w:sym w:font="Wingdings 2" w:char="0052"/>
            </w:r>
            <w:r>
              <w:rPr>
                <w:rStyle w:val="45"/>
                <w:rFonts w:hint="eastAsia"/>
                <w:b w:val="0"/>
                <w:bCs w:val="0"/>
                <w:highlight w:val="none"/>
                <w:u w:val="none"/>
              </w:rPr>
              <w:t xml:space="preserve">不适用  </w:t>
            </w:r>
          </w:p>
        </w:tc>
        <w:tc>
          <w:tcPr>
            <w:tcW w:w="5443" w:type="dxa"/>
            <w:vAlign w:val="center"/>
          </w:tcPr>
          <w:p>
            <w:pPr>
              <w:widowControl w:val="0"/>
              <w:spacing w:line="320" w:lineRule="exact"/>
              <w:jc w:val="both"/>
              <w:rPr>
                <w:rFonts w:ascii="宋体" w:hAnsi="宋体"/>
                <w:b w:val="0"/>
                <w:bCs w:val="0"/>
                <w:sz w:val="24"/>
                <w:highlight w:val="none"/>
                <w:u w:val="none"/>
              </w:rPr>
            </w:pPr>
            <w:r>
              <w:rPr>
                <w:rStyle w:val="45"/>
                <w:rFonts w:hint="eastAsia"/>
                <w:b w:val="0"/>
                <w:bCs w:val="0"/>
                <w:highlight w:val="none"/>
                <w:u w:val="none"/>
              </w:rPr>
              <w:sym w:font="Wingdings 2" w:char="0052"/>
            </w:r>
            <w:r>
              <w:rPr>
                <w:rStyle w:val="45"/>
                <w:rFonts w:hint="eastAsia"/>
                <w:b w:val="0"/>
                <w:bCs w:val="0"/>
                <w:highlight w:val="none"/>
                <w:u w:val="non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660" w:type="dxa"/>
            <w:vAlign w:val="center"/>
          </w:tcPr>
          <w:p>
            <w:pPr>
              <w:widowControl w:val="0"/>
              <w:spacing w:line="320" w:lineRule="exact"/>
              <w:jc w:val="both"/>
              <w:rPr>
                <w:rFonts w:ascii="宋体" w:hAnsi="宋体"/>
                <w:b w:val="0"/>
                <w:bCs w:val="0"/>
                <w:sz w:val="24"/>
              </w:rPr>
            </w:pPr>
            <w:r>
              <w:rPr>
                <w:rFonts w:hint="eastAsia" w:ascii="宋体" w:hAnsi="宋体"/>
                <w:b w:val="0"/>
                <w:bCs w:val="0"/>
                <w:sz w:val="24"/>
              </w:rPr>
              <w:t>（3）财务要求</w:t>
            </w:r>
          </w:p>
        </w:tc>
        <w:tc>
          <w:tcPr>
            <w:tcW w:w="1786" w:type="dxa"/>
            <w:vAlign w:val="center"/>
          </w:tcPr>
          <w:p>
            <w:pPr>
              <w:widowControl w:val="0"/>
              <w:spacing w:line="320" w:lineRule="exact"/>
              <w:jc w:val="both"/>
              <w:rPr>
                <w:rFonts w:ascii="宋体" w:hAnsi="宋体"/>
                <w:b w:val="0"/>
                <w:bCs w:val="0"/>
                <w:sz w:val="24"/>
                <w:u w:val="none"/>
              </w:rPr>
            </w:pPr>
            <w:r>
              <w:rPr>
                <w:rStyle w:val="45"/>
                <w:rFonts w:hint="eastAsia"/>
                <w:b w:val="0"/>
                <w:bCs w:val="0"/>
                <w:u w:val="none"/>
              </w:rPr>
              <w:sym w:font="Wingdings 2" w:char="0052"/>
            </w:r>
            <w:r>
              <w:rPr>
                <w:rStyle w:val="45"/>
                <w:rFonts w:hint="eastAsia"/>
                <w:b w:val="0"/>
                <w:bCs w:val="0"/>
                <w:u w:val="none"/>
              </w:rPr>
              <w:t xml:space="preserve">不适用 </w:t>
            </w:r>
          </w:p>
        </w:tc>
        <w:tc>
          <w:tcPr>
            <w:tcW w:w="5443" w:type="dxa"/>
            <w:vAlign w:val="center"/>
          </w:tcPr>
          <w:p>
            <w:pPr>
              <w:widowControl w:val="0"/>
              <w:spacing w:line="320" w:lineRule="exact"/>
              <w:jc w:val="both"/>
              <w:rPr>
                <w:rFonts w:ascii="宋体" w:hAnsi="宋体"/>
                <w:b w:val="0"/>
                <w:bCs w:val="0"/>
                <w:sz w:val="24"/>
                <w:u w:val="none"/>
              </w:rPr>
            </w:pPr>
            <w:r>
              <w:rPr>
                <w:rStyle w:val="45"/>
                <w:rFonts w:hint="eastAsia"/>
                <w:b w:val="0"/>
                <w:bCs w:val="0"/>
                <w:u w:val="none"/>
              </w:rPr>
              <w:sym w:font="Wingdings 2" w:char="0052"/>
            </w:r>
            <w:r>
              <w:rPr>
                <w:rStyle w:val="45"/>
                <w:rFonts w:hint="eastAsia"/>
                <w:b w:val="0"/>
                <w:bCs w:val="0"/>
                <w:u w:val="non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660" w:type="dxa"/>
            <w:vAlign w:val="center"/>
          </w:tcPr>
          <w:p>
            <w:pPr>
              <w:widowControl w:val="0"/>
              <w:spacing w:line="320" w:lineRule="exact"/>
              <w:jc w:val="both"/>
              <w:rPr>
                <w:rFonts w:ascii="宋体" w:hAnsi="宋体"/>
                <w:b w:val="0"/>
                <w:bCs w:val="0"/>
                <w:sz w:val="24"/>
              </w:rPr>
            </w:pPr>
            <w:r>
              <w:rPr>
                <w:rFonts w:hint="eastAsia" w:ascii="宋体" w:hAnsi="宋体"/>
                <w:b w:val="0"/>
                <w:bCs w:val="0"/>
                <w:sz w:val="24"/>
              </w:rPr>
              <w:t>（4）业绩要求</w:t>
            </w:r>
          </w:p>
        </w:tc>
        <w:tc>
          <w:tcPr>
            <w:tcW w:w="1786" w:type="dxa"/>
            <w:vAlign w:val="center"/>
          </w:tcPr>
          <w:p>
            <w:pPr>
              <w:widowControl w:val="0"/>
              <w:spacing w:line="320" w:lineRule="exact"/>
              <w:jc w:val="both"/>
              <w:rPr>
                <w:rFonts w:ascii="宋体" w:hAnsi="宋体"/>
                <w:b w:val="0"/>
                <w:bCs w:val="0"/>
                <w:sz w:val="24"/>
                <w:u w:val="none"/>
              </w:rPr>
            </w:pPr>
            <w:r>
              <w:rPr>
                <w:rStyle w:val="45"/>
                <w:rFonts w:hint="eastAsia"/>
                <w:b/>
                <w:bCs/>
                <w:u w:val="none"/>
              </w:rPr>
              <w:sym w:font="Wingdings 2" w:char="0052"/>
            </w:r>
            <w:r>
              <w:rPr>
                <w:rStyle w:val="45"/>
                <w:rFonts w:hint="eastAsia"/>
                <w:b/>
                <w:bCs/>
                <w:u w:val="none"/>
              </w:rPr>
              <w:t>适用</w:t>
            </w:r>
          </w:p>
        </w:tc>
        <w:tc>
          <w:tcPr>
            <w:tcW w:w="5443" w:type="dxa"/>
            <w:vAlign w:val="center"/>
          </w:tcPr>
          <w:p>
            <w:pPr>
              <w:widowControl w:val="0"/>
              <w:spacing w:line="320" w:lineRule="exact"/>
              <w:jc w:val="both"/>
              <w:rPr>
                <w:rFonts w:ascii="宋体" w:hAnsi="宋体"/>
                <w:b w:val="0"/>
                <w:bCs w:val="0"/>
                <w:sz w:val="24"/>
                <w:u w:val="none"/>
              </w:rPr>
            </w:pPr>
            <w:r>
              <w:rPr>
                <w:rStyle w:val="45"/>
                <w:rFonts w:hint="eastAsia"/>
                <w:b w:val="0"/>
                <w:bCs w:val="0"/>
                <w:u w:val="none"/>
              </w:rPr>
              <w:sym w:font="Wingdings 2" w:char="0052"/>
            </w:r>
            <w:r>
              <w:rPr>
                <w:rStyle w:val="45"/>
                <w:rFonts w:hint="eastAsia"/>
                <w:b w:val="0"/>
                <w:bCs w:val="0"/>
                <w:u w:val="non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660" w:type="dxa"/>
            <w:vAlign w:val="center"/>
          </w:tcPr>
          <w:p>
            <w:pPr>
              <w:widowControl w:val="0"/>
              <w:spacing w:line="320" w:lineRule="exact"/>
              <w:jc w:val="both"/>
              <w:rPr>
                <w:rFonts w:ascii="宋体" w:hAnsi="宋体"/>
                <w:b w:val="0"/>
                <w:bCs w:val="0"/>
                <w:sz w:val="24"/>
              </w:rPr>
            </w:pPr>
            <w:r>
              <w:rPr>
                <w:rFonts w:hint="eastAsia" w:ascii="宋体" w:hAnsi="宋体"/>
                <w:b w:val="0"/>
                <w:bCs w:val="0"/>
                <w:sz w:val="24"/>
              </w:rPr>
              <w:t>（5）信誉要求</w:t>
            </w:r>
          </w:p>
        </w:tc>
        <w:tc>
          <w:tcPr>
            <w:tcW w:w="1786" w:type="dxa"/>
            <w:vAlign w:val="center"/>
          </w:tcPr>
          <w:p>
            <w:pPr>
              <w:widowControl w:val="0"/>
              <w:spacing w:line="320" w:lineRule="exact"/>
              <w:jc w:val="both"/>
              <w:rPr>
                <w:rFonts w:ascii="宋体" w:hAnsi="宋体"/>
                <w:b w:val="0"/>
                <w:bCs w:val="0"/>
                <w:sz w:val="24"/>
                <w:u w:val="none"/>
              </w:rPr>
            </w:pPr>
            <w:r>
              <w:rPr>
                <w:rStyle w:val="45"/>
                <w:rFonts w:hint="eastAsia"/>
                <w:b/>
                <w:bCs/>
                <w:u w:val="none"/>
              </w:rPr>
              <w:sym w:font="Wingdings 2" w:char="0052"/>
            </w:r>
            <w:r>
              <w:rPr>
                <w:rStyle w:val="45"/>
                <w:rFonts w:hint="eastAsia"/>
                <w:b/>
                <w:bCs/>
                <w:u w:val="none"/>
              </w:rPr>
              <w:t>适用</w:t>
            </w:r>
          </w:p>
        </w:tc>
        <w:tc>
          <w:tcPr>
            <w:tcW w:w="5443" w:type="dxa"/>
            <w:vAlign w:val="center"/>
          </w:tcPr>
          <w:p>
            <w:pPr>
              <w:widowControl w:val="0"/>
              <w:spacing w:line="320" w:lineRule="exact"/>
              <w:jc w:val="both"/>
              <w:rPr>
                <w:rFonts w:ascii="宋体" w:hAnsi="宋体"/>
                <w:b w:val="0"/>
                <w:bCs w:val="0"/>
                <w:sz w:val="24"/>
                <w:u w:val="none"/>
              </w:rPr>
            </w:pPr>
            <w:r>
              <w:rPr>
                <w:rStyle w:val="45"/>
                <w:rFonts w:hint="eastAsia"/>
                <w:b w:val="0"/>
                <w:bCs w:val="0"/>
                <w:u w:val="none"/>
              </w:rPr>
              <w:sym w:font="Wingdings 2" w:char="0052"/>
            </w:r>
            <w:r>
              <w:rPr>
                <w:rStyle w:val="45"/>
                <w:rFonts w:hint="eastAsia"/>
                <w:b w:val="0"/>
                <w:bCs w:val="0"/>
                <w:u w:val="none"/>
              </w:rPr>
              <w:t>适用,见采购文件供应商须知前附表3.5（</w:t>
            </w:r>
            <w:r>
              <w:rPr>
                <w:rStyle w:val="45"/>
                <w:rFonts w:hint="eastAsia"/>
                <w:b w:val="0"/>
                <w:bCs w:val="0"/>
                <w:u w:val="none"/>
                <w:lang w:val="en-US" w:eastAsia="zh-CN"/>
              </w:rPr>
              <w:t>5</w:t>
            </w:r>
            <w:r>
              <w:rPr>
                <w:rStyle w:val="45"/>
                <w:rFonts w:hint="eastAsia"/>
                <w:b w:val="0"/>
                <w:bCs w:val="0"/>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spacing w:line="288" w:lineRule="auto"/>
              <w:jc w:val="both"/>
              <w:rPr>
                <w:rFonts w:ascii="宋体" w:hAnsi="宋体"/>
                <w:b w:val="0"/>
                <w:bCs w:val="0"/>
                <w:sz w:val="24"/>
              </w:rPr>
            </w:pPr>
            <w:r>
              <w:rPr>
                <w:rFonts w:hint="eastAsia" w:ascii="宋体" w:hAnsi="宋体"/>
                <w:b w:val="0"/>
                <w:bCs w:val="0"/>
                <w:sz w:val="24"/>
              </w:rPr>
              <w:t>（6）承担本项目的主要人员要求</w:t>
            </w:r>
          </w:p>
        </w:tc>
        <w:tc>
          <w:tcPr>
            <w:tcW w:w="1786" w:type="dxa"/>
            <w:vAlign w:val="center"/>
          </w:tcPr>
          <w:p>
            <w:pPr>
              <w:widowControl w:val="0"/>
              <w:spacing w:line="320" w:lineRule="exact"/>
              <w:jc w:val="both"/>
              <w:rPr>
                <w:rFonts w:hint="eastAsia" w:ascii="宋体" w:hAnsi="宋体" w:eastAsia="宋体"/>
                <w:b w:val="0"/>
                <w:bCs w:val="0"/>
                <w:sz w:val="24"/>
                <w:u w:val="none"/>
                <w:lang w:eastAsia="zh-CN"/>
              </w:rPr>
            </w:pPr>
            <w:r>
              <w:rPr>
                <w:rStyle w:val="45"/>
                <w:rFonts w:hint="eastAsia"/>
                <w:b w:val="0"/>
                <w:bCs w:val="0"/>
                <w:u w:val="none"/>
              </w:rPr>
              <w:sym w:font="Wingdings 2" w:char="0052"/>
            </w:r>
            <w:r>
              <w:rPr>
                <w:rStyle w:val="45"/>
                <w:rFonts w:hint="eastAsia"/>
                <w:b w:val="0"/>
                <w:bCs w:val="0"/>
                <w:u w:val="none"/>
              </w:rPr>
              <w:t xml:space="preserve">不适用  </w:t>
            </w:r>
          </w:p>
        </w:tc>
        <w:tc>
          <w:tcPr>
            <w:tcW w:w="5443" w:type="dxa"/>
            <w:vAlign w:val="center"/>
          </w:tcPr>
          <w:p>
            <w:pPr>
              <w:widowControl w:val="0"/>
              <w:spacing w:line="320" w:lineRule="exact"/>
              <w:jc w:val="both"/>
              <w:rPr>
                <w:rFonts w:ascii="宋体" w:hAnsi="宋体"/>
                <w:b w:val="0"/>
                <w:bCs w:val="0"/>
                <w:sz w:val="24"/>
                <w:u w:val="none"/>
              </w:rPr>
            </w:pPr>
            <w:r>
              <w:rPr>
                <w:rStyle w:val="45"/>
                <w:rFonts w:hint="eastAsia"/>
                <w:b w:val="0"/>
                <w:bCs w:val="0"/>
                <w:u w:val="none"/>
              </w:rPr>
              <w:sym w:font="Wingdings 2" w:char="0052"/>
            </w:r>
            <w:r>
              <w:rPr>
                <w:rStyle w:val="45"/>
                <w:rFonts w:hint="eastAsia"/>
                <w:b w:val="0"/>
                <w:bCs w:val="0"/>
                <w:u w:val="non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660" w:type="dxa"/>
            <w:vAlign w:val="center"/>
          </w:tcPr>
          <w:p>
            <w:pPr>
              <w:widowControl w:val="0"/>
              <w:spacing w:line="320" w:lineRule="exact"/>
              <w:jc w:val="both"/>
              <w:rPr>
                <w:rFonts w:ascii="宋体" w:hAnsi="宋体"/>
                <w:b w:val="0"/>
                <w:bCs w:val="0"/>
                <w:sz w:val="24"/>
              </w:rPr>
            </w:pPr>
            <w:r>
              <w:rPr>
                <w:rFonts w:hint="eastAsia" w:ascii="宋体" w:hAnsi="宋体"/>
                <w:b w:val="0"/>
                <w:bCs w:val="0"/>
                <w:sz w:val="24"/>
              </w:rPr>
              <w:t>（7）其他要求</w:t>
            </w:r>
          </w:p>
        </w:tc>
        <w:tc>
          <w:tcPr>
            <w:tcW w:w="1786" w:type="dxa"/>
            <w:vAlign w:val="center"/>
          </w:tcPr>
          <w:p>
            <w:pPr>
              <w:widowControl w:val="0"/>
              <w:spacing w:line="320" w:lineRule="exact"/>
              <w:jc w:val="both"/>
              <w:rPr>
                <w:rFonts w:ascii="宋体" w:hAnsi="宋体"/>
                <w:b w:val="0"/>
                <w:bCs w:val="0"/>
                <w:sz w:val="24"/>
                <w:u w:val="none"/>
              </w:rPr>
            </w:pPr>
            <w:r>
              <w:rPr>
                <w:rStyle w:val="45"/>
                <w:rFonts w:hint="eastAsia"/>
                <w:b w:val="0"/>
                <w:bCs w:val="0"/>
                <w:u w:val="none"/>
              </w:rPr>
              <w:sym w:font="Wingdings 2" w:char="0052"/>
            </w:r>
            <w:r>
              <w:rPr>
                <w:rStyle w:val="45"/>
                <w:rFonts w:hint="eastAsia"/>
                <w:b w:val="0"/>
                <w:bCs w:val="0"/>
                <w:u w:val="none"/>
              </w:rPr>
              <w:t xml:space="preserve">不适用  </w:t>
            </w:r>
          </w:p>
        </w:tc>
        <w:tc>
          <w:tcPr>
            <w:tcW w:w="5443" w:type="dxa"/>
            <w:vAlign w:val="center"/>
          </w:tcPr>
          <w:p>
            <w:pPr>
              <w:widowControl w:val="0"/>
              <w:spacing w:line="320" w:lineRule="exact"/>
              <w:jc w:val="both"/>
              <w:rPr>
                <w:rFonts w:ascii="宋体" w:hAnsi="宋体"/>
                <w:b w:val="0"/>
                <w:bCs w:val="0"/>
                <w:sz w:val="24"/>
                <w:u w:val="none"/>
              </w:rPr>
            </w:pPr>
            <w:r>
              <w:rPr>
                <w:rStyle w:val="45"/>
                <w:rFonts w:hint="eastAsia"/>
                <w:b w:val="0"/>
                <w:bCs w:val="0"/>
                <w:u w:val="none"/>
              </w:rPr>
              <w:sym w:font="Wingdings 2" w:char="0052"/>
            </w:r>
            <w:r>
              <w:rPr>
                <w:rStyle w:val="45"/>
                <w:rFonts w:hint="eastAsia"/>
                <w:b w:val="0"/>
                <w:bCs w:val="0"/>
                <w:u w:val="non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spacing w:line="288" w:lineRule="auto"/>
              <w:jc w:val="both"/>
              <w:rPr>
                <w:rFonts w:ascii="宋体" w:hAnsi="宋体"/>
                <w:b w:val="0"/>
                <w:bCs w:val="0"/>
                <w:sz w:val="24"/>
              </w:rPr>
            </w:pPr>
            <w:r>
              <w:rPr>
                <w:rFonts w:hint="eastAsia" w:ascii="宋体" w:hAnsi="宋体"/>
                <w:b w:val="0"/>
                <w:bCs w:val="0"/>
                <w:sz w:val="24"/>
              </w:rPr>
              <w:t>（8）供应商不存在第一章3.1款情形的证明材料</w:t>
            </w:r>
          </w:p>
        </w:tc>
        <w:tc>
          <w:tcPr>
            <w:tcW w:w="1786" w:type="dxa"/>
            <w:vAlign w:val="center"/>
          </w:tcPr>
          <w:p>
            <w:pPr>
              <w:widowControl w:val="0"/>
              <w:spacing w:line="320" w:lineRule="exact"/>
              <w:jc w:val="both"/>
              <w:rPr>
                <w:rFonts w:ascii="宋体" w:hAnsi="宋体"/>
                <w:b w:val="0"/>
                <w:bCs w:val="0"/>
                <w:sz w:val="24"/>
                <w:u w:val="none"/>
              </w:rPr>
            </w:pPr>
            <w:r>
              <w:rPr>
                <w:rStyle w:val="45"/>
                <w:rFonts w:hint="eastAsia"/>
                <w:b/>
                <w:bCs/>
                <w:u w:val="none"/>
              </w:rPr>
              <w:sym w:font="Wingdings 2" w:char="0052"/>
            </w:r>
            <w:r>
              <w:rPr>
                <w:rStyle w:val="45"/>
                <w:rFonts w:hint="eastAsia"/>
                <w:b/>
                <w:bCs/>
                <w:u w:val="none"/>
              </w:rPr>
              <w:t>适用</w:t>
            </w:r>
          </w:p>
        </w:tc>
        <w:tc>
          <w:tcPr>
            <w:tcW w:w="5443" w:type="dxa"/>
            <w:vAlign w:val="center"/>
          </w:tcPr>
          <w:p>
            <w:pPr>
              <w:widowControl w:val="0"/>
              <w:spacing w:line="320" w:lineRule="exact"/>
              <w:jc w:val="both"/>
              <w:rPr>
                <w:rFonts w:ascii="宋体" w:hAnsi="宋体"/>
                <w:b w:val="0"/>
                <w:bCs w:val="0"/>
                <w:sz w:val="24"/>
                <w:u w:val="none"/>
              </w:rPr>
            </w:pPr>
            <w:r>
              <w:rPr>
                <w:rStyle w:val="45"/>
                <w:rFonts w:hint="eastAsia"/>
                <w:b w:val="0"/>
                <w:bCs w:val="0"/>
                <w:u w:val="none"/>
              </w:rPr>
              <w:sym w:font="Wingdings 2" w:char="0052"/>
            </w:r>
            <w:r>
              <w:rPr>
                <w:rStyle w:val="45"/>
                <w:rFonts w:hint="eastAsia"/>
                <w:b w:val="0"/>
                <w:bCs w:val="0"/>
                <w:u w:val="none"/>
              </w:rPr>
              <w:t>适用,见采购文件供应商须知前附表3.5（8）。</w:t>
            </w:r>
          </w:p>
        </w:tc>
      </w:tr>
    </w:tbl>
    <w:p>
      <w:pPr>
        <w:pStyle w:val="6"/>
        <w:rPr>
          <w:rFonts w:ascii="Arial" w:hAnsi="Arial"/>
        </w:rPr>
      </w:pPr>
      <w:bookmarkStart w:id="4" w:name="_Toc106039325"/>
      <w:r>
        <w:rPr>
          <w:rFonts w:hint="eastAsia"/>
        </w:rPr>
        <w:t xml:space="preserve">4 </w:t>
      </w:r>
      <w:r>
        <w:rPr>
          <w:rFonts w:hint="eastAsia" w:ascii="黑体" w:hAnsi="黑体"/>
        </w:rPr>
        <w:t>响应保证金</w:t>
      </w:r>
      <w:bookmarkEnd w:id="4"/>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597"/>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黑体" w:hAnsi="黑体"/>
              </w:rPr>
            </w:pPr>
            <w:r>
              <w:rPr>
                <w:rFonts w:hint="eastAsia" w:ascii="黑体" w:hAnsi="黑体"/>
              </w:rPr>
              <w:t>响应</w:t>
            </w:r>
            <w:r>
              <w:rPr>
                <w:rFonts w:hint="eastAsia" w:ascii="宋体" w:hAnsi="宋体"/>
                <w:sz w:val="24"/>
              </w:rPr>
              <w:t>保证金的递交</w:t>
            </w:r>
          </w:p>
        </w:tc>
        <w:tc>
          <w:tcPr>
            <w:tcW w:w="3597" w:type="dxa"/>
          </w:tcPr>
          <w:p>
            <w:pPr>
              <w:widowControl w:val="0"/>
              <w:autoSpaceDE w:val="0"/>
              <w:spacing w:line="400" w:lineRule="exact"/>
              <w:jc w:val="both"/>
              <w:rPr>
                <w:rFonts w:ascii="黑体" w:hAnsi="黑体"/>
              </w:rPr>
            </w:pPr>
            <w:r>
              <w:rPr>
                <w:rFonts w:hint="eastAsia" w:ascii="宋体" w:hAnsi="宋体"/>
                <w:sz w:val="24"/>
              </w:rPr>
              <w:t>不退还响应保证金的其他情形</w:t>
            </w:r>
          </w:p>
        </w:tc>
        <w:tc>
          <w:tcPr>
            <w:tcW w:w="3285" w:type="dxa"/>
          </w:tcPr>
          <w:p>
            <w:pPr>
              <w:widowControl w:val="0"/>
              <w:autoSpaceDE w:val="0"/>
              <w:spacing w:line="400" w:lineRule="exact"/>
              <w:jc w:val="both"/>
              <w:rPr>
                <w:rFonts w:ascii="黑体" w:hAnsi="黑体"/>
              </w:rPr>
            </w:pPr>
            <w:r>
              <w:rPr>
                <w:rFonts w:hint="eastAsia" w:ascii="宋体" w:hAnsi="宋体"/>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宋体" w:hAnsi="宋体"/>
                <w:sz w:val="24"/>
              </w:rPr>
            </w:pPr>
            <w:r>
              <w:rPr>
                <w:rStyle w:val="45"/>
                <w:rFonts w:hint="eastAsia"/>
              </w:rPr>
              <w:sym w:font="Wingdings 2" w:char="0052"/>
            </w:r>
            <w:r>
              <w:rPr>
                <w:rFonts w:hint="eastAsia" w:ascii="宋体" w:hAnsi="宋体"/>
                <w:sz w:val="24"/>
              </w:rPr>
              <w:t>不要求递交</w:t>
            </w:r>
          </w:p>
        </w:tc>
        <w:tc>
          <w:tcPr>
            <w:tcW w:w="3597" w:type="dxa"/>
          </w:tcPr>
          <w:p>
            <w:pPr>
              <w:widowControl w:val="0"/>
              <w:autoSpaceDE w:val="0"/>
              <w:spacing w:line="400" w:lineRule="exact"/>
              <w:jc w:val="both"/>
              <w:rPr>
                <w:rFonts w:ascii="黑体" w:hAnsi="黑体"/>
              </w:rPr>
            </w:pPr>
            <w:r>
              <w:rPr>
                <w:rStyle w:val="45"/>
                <w:rFonts w:hint="eastAsia"/>
              </w:rPr>
              <w:sym w:font="Wingdings 2" w:char="0052"/>
            </w:r>
            <w:r>
              <w:rPr>
                <w:rFonts w:hint="eastAsia" w:ascii="宋体" w:hAnsi="宋体"/>
                <w:sz w:val="24"/>
              </w:rPr>
              <w:t>不适用</w:t>
            </w:r>
          </w:p>
        </w:tc>
        <w:tc>
          <w:tcPr>
            <w:tcW w:w="3285" w:type="dxa"/>
          </w:tcPr>
          <w:p>
            <w:pPr>
              <w:widowControl w:val="0"/>
              <w:autoSpaceDE w:val="0"/>
              <w:spacing w:line="400" w:lineRule="exact"/>
              <w:jc w:val="both"/>
              <w:rPr>
                <w:rFonts w:ascii="黑体" w:hAnsi="黑体"/>
              </w:rPr>
            </w:pPr>
            <w:r>
              <w:rPr>
                <w:rStyle w:val="45"/>
                <w:rFonts w:hint="eastAsia"/>
              </w:rPr>
              <w:sym w:font="Wingdings 2" w:char="0052"/>
            </w:r>
            <w:r>
              <w:rPr>
                <w:rFonts w:hint="eastAsia" w:ascii="宋体" w:hAnsi="宋体"/>
                <w:sz w:val="24"/>
              </w:rPr>
              <w:t>不适用</w:t>
            </w:r>
          </w:p>
        </w:tc>
      </w:tr>
    </w:tbl>
    <w:p>
      <w:pPr>
        <w:pStyle w:val="6"/>
        <w:rPr>
          <w:rFonts w:ascii="Arial" w:hAnsi="Arial"/>
        </w:rPr>
      </w:pPr>
      <w:bookmarkStart w:id="5" w:name="_Toc106039326"/>
      <w:r>
        <w:rPr>
          <w:rFonts w:hint="eastAsia"/>
        </w:rPr>
        <w:t>5</w:t>
      </w:r>
      <w:r>
        <w:t xml:space="preserve"> </w:t>
      </w:r>
      <w:r>
        <w:rPr>
          <w:rFonts w:hint="eastAsia" w:ascii="黑体" w:hAnsi="黑体"/>
        </w:rPr>
        <w:t>确定成交供应商的方法</w:t>
      </w:r>
      <w:bookmarkEnd w:id="5"/>
    </w:p>
    <w:p>
      <w:pPr>
        <w:autoSpaceDE w:val="0"/>
        <w:spacing w:line="400" w:lineRule="exact"/>
        <w:ind w:firstLine="482" w:firstLineChars="200"/>
        <w:jc w:val="both"/>
        <w:rPr>
          <w:rFonts w:ascii="宋体" w:hAnsi="宋体"/>
          <w:sz w:val="24"/>
        </w:rPr>
      </w:pPr>
      <w:r>
        <w:rPr>
          <w:rFonts w:hint="eastAsia" w:ascii="宋体" w:hAnsi="宋体"/>
          <w:b/>
          <w:bCs/>
          <w:sz w:val="24"/>
        </w:rPr>
        <w:t>5.1</w:t>
      </w:r>
      <w:r>
        <w:rPr>
          <w:rStyle w:val="45"/>
          <w:rFonts w:hint="eastAsia"/>
        </w:rPr>
        <w:t>最低价法</w:t>
      </w:r>
    </w:p>
    <w:p>
      <w:pPr>
        <w:autoSpaceDE w:val="0"/>
        <w:spacing w:line="400" w:lineRule="exact"/>
        <w:ind w:firstLine="482" w:firstLineChars="200"/>
        <w:jc w:val="both"/>
        <w:rPr>
          <w:rFonts w:ascii="宋体" w:hAnsi="宋体"/>
          <w:sz w:val="24"/>
        </w:rPr>
      </w:pPr>
      <w:r>
        <w:rPr>
          <w:rFonts w:hint="eastAsia" w:ascii="宋体" w:hAnsi="宋体"/>
          <w:b/>
          <w:bCs/>
          <w:sz w:val="24"/>
        </w:rPr>
        <w:t>5.2</w:t>
      </w:r>
      <w:r>
        <w:rPr>
          <w:rFonts w:hint="eastAsia" w:ascii="宋体" w:hAnsi="宋体"/>
          <w:sz w:val="24"/>
        </w:rPr>
        <w:t xml:space="preserve"> 采购人将确定排名第一的成交候选供应商为成交供应商。若排名第一的成交候选供应商未通过履约能力和报价核查，采购人应按推荐的名单排序依次确定其他成交候选供应商为成交供应商，评标价低于理论成本价视为废标。</w:t>
      </w:r>
    </w:p>
    <w:p>
      <w:pPr>
        <w:pStyle w:val="6"/>
      </w:pPr>
      <w:bookmarkStart w:id="6" w:name="_Toc106039327"/>
      <w:r>
        <w:rPr>
          <w:rFonts w:hint="eastAsia"/>
        </w:rPr>
        <w:t>6</w:t>
      </w:r>
      <w:r>
        <w:rPr>
          <w:rFonts w:hint="eastAsia"/>
          <w:color w:val="000000"/>
        </w:rPr>
        <w:t>．最高投标限价</w:t>
      </w:r>
      <w:bookmarkEnd w:id="6"/>
    </w:p>
    <w:p>
      <w:pPr>
        <w:autoSpaceDE w:val="0"/>
        <w:spacing w:line="400" w:lineRule="exact"/>
        <w:ind w:firstLine="482" w:firstLineChars="200"/>
        <w:jc w:val="both"/>
        <w:rPr>
          <w:rFonts w:ascii="宋体" w:hAnsi="宋体"/>
          <w:sz w:val="24"/>
        </w:rPr>
      </w:pPr>
      <w:bookmarkStart w:id="7" w:name="_Toc38287094"/>
      <w:bookmarkStart w:id="8" w:name="_Toc40274970"/>
      <w:r>
        <w:rPr>
          <w:rFonts w:hint="eastAsia" w:ascii="宋体" w:hAnsi="宋体"/>
          <w:b/>
          <w:bCs/>
          <w:sz w:val="24"/>
        </w:rPr>
        <w:t>6.1</w:t>
      </w:r>
      <w:r>
        <w:rPr>
          <w:rFonts w:hint="eastAsia" w:ascii="宋体" w:hAnsi="宋体"/>
          <w:sz w:val="24"/>
        </w:rPr>
        <w:t>询价人为本次招标编制了最高投标限价，最高限价：贰拾</w:t>
      </w:r>
      <w:r>
        <w:rPr>
          <w:rFonts w:hint="eastAsia" w:ascii="宋体" w:hAnsi="宋体"/>
          <w:sz w:val="24"/>
          <w:lang w:eastAsia="zh-CN"/>
        </w:rPr>
        <w:t>壹</w:t>
      </w:r>
      <w:r>
        <w:rPr>
          <w:rFonts w:hint="eastAsia" w:ascii="宋体" w:hAnsi="宋体"/>
          <w:sz w:val="24"/>
        </w:rPr>
        <w:t>万</w:t>
      </w:r>
      <w:r>
        <w:rPr>
          <w:rFonts w:hint="eastAsia" w:ascii="宋体" w:hAnsi="宋体"/>
          <w:sz w:val="24"/>
          <w:lang w:eastAsia="zh-CN"/>
        </w:rPr>
        <w:t>壹仟肆佰玖拾肆</w:t>
      </w:r>
      <w:r>
        <w:rPr>
          <w:rFonts w:hint="eastAsia" w:ascii="宋体" w:hAnsi="宋体"/>
          <w:sz w:val="24"/>
        </w:rPr>
        <w:t>元</w:t>
      </w:r>
      <w:r>
        <w:rPr>
          <w:rFonts w:hint="eastAsia" w:ascii="宋体" w:hAnsi="宋体"/>
          <w:sz w:val="24"/>
          <w:lang w:eastAsia="zh-CN"/>
        </w:rPr>
        <w:t>贰角</w:t>
      </w:r>
      <w:r>
        <w:rPr>
          <w:rFonts w:hint="eastAsia" w:ascii="宋体" w:hAnsi="宋体"/>
          <w:sz w:val="24"/>
        </w:rPr>
        <w:t xml:space="preserve"> （小写：￥ </w:t>
      </w:r>
      <w:r>
        <w:rPr>
          <w:rFonts w:hint="eastAsia" w:ascii="宋体" w:hAnsi="宋体"/>
          <w:sz w:val="24"/>
          <w:lang w:val="en-US" w:eastAsia="zh-CN"/>
        </w:rPr>
        <w:t>211494.2</w:t>
      </w:r>
      <w:r>
        <w:rPr>
          <w:rFonts w:hint="eastAsia" w:ascii="宋体" w:hAnsi="宋体"/>
          <w:sz w:val="24"/>
        </w:rPr>
        <w:t>），含13%的增值税和运费、安装调试费等。</w:t>
      </w:r>
    </w:p>
    <w:p>
      <w:pPr>
        <w:autoSpaceDE w:val="0"/>
        <w:spacing w:line="400" w:lineRule="exact"/>
        <w:ind w:firstLine="482" w:firstLineChars="200"/>
        <w:jc w:val="both"/>
        <w:rPr>
          <w:rFonts w:ascii="宋体" w:hAnsi="宋体"/>
          <w:sz w:val="24"/>
        </w:rPr>
      </w:pPr>
      <w:r>
        <w:rPr>
          <w:rFonts w:hint="eastAsia" w:ascii="宋体" w:hAnsi="宋体"/>
          <w:b/>
          <w:bCs/>
          <w:sz w:val="24"/>
        </w:rPr>
        <w:t>6.2</w:t>
      </w:r>
      <w:r>
        <w:rPr>
          <w:rFonts w:hint="eastAsia" w:ascii="宋体" w:hAnsi="宋体"/>
          <w:sz w:val="24"/>
        </w:rPr>
        <w:t>报价人投标报价应不高于最高投标限价，否则其投标将被否决。</w:t>
      </w:r>
      <w:bookmarkEnd w:id="7"/>
      <w:bookmarkEnd w:id="8"/>
    </w:p>
    <w:p>
      <w:pPr>
        <w:pStyle w:val="6"/>
        <w:rPr>
          <w:rFonts w:ascii="Arial" w:hAnsi="Arial"/>
        </w:rPr>
      </w:pPr>
      <w:bookmarkStart w:id="9" w:name="_Toc106039328"/>
      <w:r>
        <w:rPr>
          <w:rFonts w:hint="eastAsia"/>
        </w:rPr>
        <w:t>7.</w:t>
      </w:r>
      <w:r>
        <w:rPr>
          <w:rFonts w:hint="eastAsia" w:ascii="黑体" w:hAnsi="黑体"/>
        </w:rPr>
        <w:t>采购文件获取</w:t>
      </w:r>
      <w:bookmarkEnd w:id="9"/>
    </w:p>
    <w:p>
      <w:pPr>
        <w:autoSpaceDE w:val="0"/>
        <w:spacing w:line="400" w:lineRule="exact"/>
        <w:ind w:firstLine="482" w:firstLineChars="200"/>
        <w:jc w:val="both"/>
        <w:rPr>
          <w:rFonts w:ascii="宋体" w:hAnsi="宋体"/>
          <w:sz w:val="24"/>
          <w:highlight w:val="none"/>
        </w:rPr>
      </w:pPr>
      <w:r>
        <w:rPr>
          <w:rFonts w:hint="eastAsia" w:ascii="宋体" w:hAnsi="宋体"/>
          <w:b/>
          <w:bCs/>
          <w:sz w:val="24"/>
        </w:rPr>
        <w:t>7.1</w:t>
      </w:r>
      <w:r>
        <w:rPr>
          <w:rFonts w:hint="eastAsia" w:ascii="宋体" w:hAnsi="宋体"/>
          <w:sz w:val="24"/>
        </w:rPr>
        <w:t xml:space="preserve"> 供应</w:t>
      </w:r>
      <w:r>
        <w:rPr>
          <w:rFonts w:hint="eastAsia" w:ascii="宋体" w:hAnsi="宋体"/>
          <w:sz w:val="24"/>
          <w:highlight w:val="none"/>
        </w:rPr>
        <w:t>商应当于</w:t>
      </w:r>
      <w:r>
        <w:rPr>
          <w:rFonts w:hint="eastAsia" w:ascii="宋体" w:hAnsi="宋体"/>
          <w:sz w:val="24"/>
          <w:highlight w:val="none"/>
          <w:u w:val="single"/>
        </w:rPr>
        <w:t>2022</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lang w:val="en-US" w:eastAsia="zh-CN"/>
        </w:rPr>
        <w:t>8</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lang w:val="en-US" w:eastAsia="zh-CN"/>
        </w:rPr>
        <w:t>6</w:t>
      </w:r>
      <w:r>
        <w:rPr>
          <w:rFonts w:ascii="宋体" w:hAnsi="宋体"/>
          <w:sz w:val="24"/>
          <w:highlight w:val="none"/>
          <w:u w:val="single"/>
        </w:rPr>
        <w:t xml:space="preserve"> </w:t>
      </w:r>
      <w:r>
        <w:rPr>
          <w:rFonts w:hint="eastAsia" w:ascii="宋体" w:hAnsi="宋体"/>
          <w:sz w:val="24"/>
          <w:highlight w:val="none"/>
        </w:rPr>
        <w:t>日至</w:t>
      </w:r>
      <w:r>
        <w:rPr>
          <w:rFonts w:hint="eastAsia" w:ascii="宋体" w:hAnsi="宋体"/>
          <w:sz w:val="24"/>
          <w:highlight w:val="none"/>
          <w:u w:val="single"/>
        </w:rPr>
        <w:t>2022</w:t>
      </w:r>
      <w:r>
        <w:rPr>
          <w:rFonts w:hint="eastAsia" w:ascii="宋体" w:hAnsi="宋体"/>
          <w:sz w:val="24"/>
          <w:highlight w:val="none"/>
        </w:rPr>
        <w:t>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10</w:t>
      </w:r>
      <w:r>
        <w:rPr>
          <w:rFonts w:ascii="宋体" w:hAnsi="宋体"/>
          <w:sz w:val="24"/>
          <w:highlight w:val="none"/>
          <w:u w:val="single"/>
        </w:rPr>
        <w:t xml:space="preserve"> </w:t>
      </w:r>
      <w:r>
        <w:rPr>
          <w:rFonts w:hint="eastAsia" w:ascii="宋体" w:hAnsi="宋体"/>
          <w:sz w:val="24"/>
          <w:highlight w:val="none"/>
        </w:rPr>
        <w:t>日</w:t>
      </w:r>
      <w:r>
        <w:rPr>
          <w:rFonts w:hint="eastAsia" w:ascii="宋体" w:hAnsi="宋体"/>
          <w:sz w:val="24"/>
          <w:highlight w:val="none"/>
          <w:u w:val="single"/>
        </w:rPr>
        <w:t>17</w:t>
      </w:r>
      <w:r>
        <w:rPr>
          <w:rFonts w:hint="eastAsia" w:ascii="宋体" w:hAnsi="宋体"/>
          <w:sz w:val="24"/>
          <w:highlight w:val="none"/>
        </w:rPr>
        <w:t>时</w:t>
      </w:r>
      <w:r>
        <w:rPr>
          <w:rFonts w:hint="eastAsia" w:ascii="宋体" w:hAnsi="宋体"/>
          <w:sz w:val="24"/>
          <w:highlight w:val="none"/>
          <w:u w:val="single"/>
        </w:rPr>
        <w:t>30</w:t>
      </w:r>
      <w:r>
        <w:rPr>
          <w:rFonts w:hint="eastAsia" w:ascii="宋体" w:hAnsi="宋体"/>
          <w:sz w:val="24"/>
          <w:highlight w:val="none"/>
        </w:rPr>
        <w:t>分，</w:t>
      </w:r>
      <w:r>
        <w:rPr>
          <w:rFonts w:hint="eastAsia" w:ascii="宋体" w:hAnsi="宋体"/>
          <w:sz w:val="24"/>
          <w:highlight w:val="none"/>
          <w:u w:val="single"/>
        </w:rPr>
        <w:t>网上直接下载</w:t>
      </w:r>
      <w:r>
        <w:rPr>
          <w:rFonts w:hint="eastAsia" w:ascii="宋体" w:hAnsi="宋体"/>
          <w:sz w:val="24"/>
          <w:highlight w:val="none"/>
        </w:rPr>
        <w:t>获取采购文件，报价文件最迟应于</w:t>
      </w:r>
      <w:r>
        <w:rPr>
          <w:rFonts w:hint="eastAsia" w:ascii="宋体" w:hAnsi="宋体"/>
          <w:sz w:val="24"/>
          <w:highlight w:val="none"/>
          <w:u w:val="single"/>
        </w:rPr>
        <w:t>2022</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lang w:val="en-US" w:eastAsia="zh-CN"/>
        </w:rPr>
        <w:t>8</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lang w:val="en-US" w:eastAsia="zh-CN"/>
        </w:rPr>
        <w:t>10</w:t>
      </w:r>
      <w:r>
        <w:rPr>
          <w:rFonts w:ascii="宋体" w:hAnsi="宋体"/>
          <w:sz w:val="24"/>
          <w:highlight w:val="none"/>
          <w:u w:val="single"/>
        </w:rPr>
        <w:t xml:space="preserve"> </w:t>
      </w:r>
      <w:r>
        <w:rPr>
          <w:rFonts w:hint="eastAsia" w:ascii="宋体" w:hAnsi="宋体"/>
          <w:sz w:val="24"/>
          <w:highlight w:val="none"/>
        </w:rPr>
        <w:t>日</w:t>
      </w:r>
      <w:r>
        <w:rPr>
          <w:rFonts w:hint="eastAsia" w:ascii="宋体" w:hAnsi="宋体"/>
          <w:sz w:val="24"/>
          <w:highlight w:val="none"/>
          <w:u w:val="single"/>
        </w:rPr>
        <w:t>17</w:t>
      </w:r>
      <w:r>
        <w:rPr>
          <w:rFonts w:hint="eastAsia" w:ascii="宋体" w:hAnsi="宋体"/>
          <w:sz w:val="24"/>
          <w:highlight w:val="none"/>
        </w:rPr>
        <w:t>时</w:t>
      </w:r>
      <w:r>
        <w:rPr>
          <w:rFonts w:hint="eastAsia" w:ascii="宋体" w:hAnsi="宋体"/>
          <w:sz w:val="24"/>
          <w:highlight w:val="none"/>
          <w:u w:val="single"/>
        </w:rPr>
        <w:t>30</w:t>
      </w:r>
      <w:r>
        <w:rPr>
          <w:rFonts w:hint="eastAsia" w:ascii="宋体" w:hAnsi="宋体"/>
          <w:sz w:val="24"/>
          <w:highlight w:val="none"/>
        </w:rPr>
        <w:t>分送达</w:t>
      </w:r>
      <w:r>
        <w:rPr>
          <w:rFonts w:hint="eastAsia" w:ascii="宋体" w:hAnsi="宋体"/>
          <w:sz w:val="24"/>
          <w:highlight w:val="none"/>
          <w:u w:val="single"/>
        </w:rPr>
        <w:t>长沙集星集装箱码头有限公司319室</w:t>
      </w:r>
      <w:r>
        <w:rPr>
          <w:rFonts w:hint="eastAsia" w:ascii="宋体" w:hAnsi="宋体"/>
          <w:sz w:val="24"/>
          <w:highlight w:val="none"/>
        </w:rPr>
        <w:t>，逾期送达的或者未送达指定地点的文件，不予受理。</w:t>
      </w:r>
    </w:p>
    <w:p>
      <w:pPr>
        <w:widowControl w:val="0"/>
        <w:spacing w:line="312" w:lineRule="auto"/>
        <w:ind w:firstLine="482" w:firstLineChars="200"/>
        <w:jc w:val="both"/>
        <w:rPr>
          <w:rFonts w:ascii="宋体" w:hAnsi="宋体"/>
          <w:sz w:val="24"/>
          <w:highlight w:val="none"/>
        </w:rPr>
      </w:pPr>
      <w:r>
        <w:rPr>
          <w:rFonts w:hint="eastAsia" w:ascii="宋体" w:hAnsi="宋体"/>
          <w:b/>
          <w:bCs/>
          <w:sz w:val="24"/>
          <w:highlight w:val="none"/>
        </w:rPr>
        <w:t xml:space="preserve">7.2 </w:t>
      </w:r>
      <w:r>
        <w:rPr>
          <w:rFonts w:hint="eastAsia" w:ascii="宋体" w:hAnsi="宋体"/>
          <w:sz w:val="24"/>
          <w:highlight w:val="none"/>
        </w:rPr>
        <w:t>供应商若对本项目采购需求、资格要求等有疑问的，应当于2022年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10</w:t>
      </w:r>
      <w:r>
        <w:rPr>
          <w:rFonts w:hint="eastAsia" w:ascii="宋体" w:hAnsi="宋体"/>
          <w:sz w:val="24"/>
          <w:highlight w:val="none"/>
        </w:rPr>
        <w:t>日17时30分前向采购人提出澄清要求（</w:t>
      </w:r>
      <w:r>
        <w:rPr>
          <w:rFonts w:hint="eastAsia" w:ascii="宋体" w:hAnsi="宋体"/>
          <w:bCs/>
          <w:sz w:val="24"/>
          <w:highlight w:val="none"/>
        </w:rPr>
        <w:t>公休日除外</w:t>
      </w:r>
      <w:r>
        <w:rPr>
          <w:rFonts w:hint="eastAsia" w:ascii="宋体" w:hAnsi="宋体"/>
          <w:sz w:val="24"/>
          <w:highlight w:val="none"/>
        </w:rPr>
        <w:t>）。</w:t>
      </w:r>
    </w:p>
    <w:p>
      <w:pPr>
        <w:widowControl w:val="0"/>
        <w:spacing w:line="312" w:lineRule="auto"/>
        <w:ind w:firstLine="482" w:firstLineChars="200"/>
        <w:jc w:val="both"/>
        <w:rPr>
          <w:rFonts w:ascii="宋体" w:hAnsi="宋体"/>
          <w:sz w:val="24"/>
          <w:highlight w:val="none"/>
        </w:rPr>
      </w:pPr>
      <w:r>
        <w:rPr>
          <w:rFonts w:hint="eastAsia" w:ascii="宋体" w:hAnsi="宋体"/>
          <w:b/>
          <w:bCs/>
          <w:sz w:val="24"/>
          <w:highlight w:val="none"/>
        </w:rPr>
        <w:t xml:space="preserve">7.3 </w:t>
      </w:r>
      <w:r>
        <w:rPr>
          <w:rFonts w:hint="eastAsia" w:ascii="宋体" w:hAnsi="宋体"/>
          <w:sz w:val="24"/>
          <w:highlight w:val="none"/>
        </w:rPr>
        <w:t>本次询价不接受联合体报价。</w:t>
      </w:r>
    </w:p>
    <w:p>
      <w:pPr>
        <w:pStyle w:val="6"/>
        <w:rPr>
          <w:highlight w:val="none"/>
        </w:rPr>
      </w:pPr>
      <w:bookmarkStart w:id="10" w:name="_Toc106039329"/>
      <w:r>
        <w:rPr>
          <w:rFonts w:hint="eastAsia"/>
          <w:highlight w:val="none"/>
        </w:rPr>
        <w:t>8.发布</w:t>
      </w:r>
      <w:r>
        <w:rPr>
          <w:rFonts w:hint="eastAsia" w:ascii="黑体" w:hAnsi="黑体"/>
          <w:highlight w:val="none"/>
        </w:rPr>
        <w:t>公告的</w:t>
      </w:r>
      <w:r>
        <w:rPr>
          <w:rFonts w:hint="eastAsia"/>
          <w:highlight w:val="none"/>
        </w:rPr>
        <w:t>媒介</w:t>
      </w:r>
      <w:bookmarkEnd w:id="10"/>
    </w:p>
    <w:p>
      <w:pPr>
        <w:widowControl w:val="0"/>
        <w:spacing w:line="312" w:lineRule="auto"/>
        <w:ind w:firstLine="480" w:firstLineChars="200"/>
        <w:jc w:val="both"/>
        <w:rPr>
          <w:rFonts w:ascii="宋体" w:hAnsi="宋体" w:cs="宋体"/>
          <w:sz w:val="24"/>
          <w:highlight w:val="none"/>
        </w:rPr>
      </w:pPr>
      <w:r>
        <w:rPr>
          <w:rFonts w:hint="eastAsia" w:ascii="宋体" w:hAnsi="宋体"/>
          <w:bCs/>
          <w:sz w:val="24"/>
          <w:highlight w:val="none"/>
        </w:rPr>
        <w:t>本次采购公告</w:t>
      </w:r>
      <w:r>
        <w:rPr>
          <w:rFonts w:hint="eastAsia" w:ascii="宋体" w:hAnsi="宋体"/>
          <w:sz w:val="24"/>
          <w:highlight w:val="none"/>
        </w:rPr>
        <w:t>发布的媒介:</w:t>
      </w:r>
      <w:r>
        <w:rPr>
          <w:rFonts w:hint="eastAsia" w:ascii="宋体" w:hAnsi="宋体" w:cs="宋体"/>
          <w:sz w:val="24"/>
          <w:highlight w:val="none"/>
        </w:rPr>
        <w:t xml:space="preserve"> 中国招标投标公共服务平台（http：//www.cebpubservice.com）、湖南省湘水集团有限公司网站（http：//www.hnsxsjt.com）、</w:t>
      </w:r>
      <w:r>
        <w:rPr>
          <w:rFonts w:hint="eastAsia" w:ascii="宋体" w:hAnsi="宋体" w:cs="宋体"/>
          <w:sz w:val="24"/>
          <w:highlight w:val="none"/>
          <w:u w:val="single"/>
        </w:rPr>
        <w:t xml:space="preserve">                                   湖南省港务集团有限公司</w:t>
      </w:r>
      <w:r>
        <w:rPr>
          <w:rFonts w:hint="eastAsia" w:ascii="宋体" w:hAnsi="宋体" w:cs="宋体"/>
          <w:sz w:val="24"/>
          <w:highlight w:val="none"/>
        </w:rPr>
        <w:t>（http://www.hnsgwjt.com）上发布。</w:t>
      </w:r>
    </w:p>
    <w:p>
      <w:pPr>
        <w:pStyle w:val="6"/>
        <w:rPr>
          <w:highlight w:val="none"/>
        </w:rPr>
      </w:pPr>
      <w:bookmarkStart w:id="11" w:name="_Toc76635692"/>
      <w:bookmarkStart w:id="12" w:name="_Toc512257471"/>
      <w:bookmarkStart w:id="13" w:name="_Toc77254104"/>
      <w:bookmarkStart w:id="14" w:name="_Toc106039330"/>
      <w:bookmarkStart w:id="15" w:name="_Toc79596547"/>
      <w:r>
        <w:rPr>
          <w:rFonts w:hint="eastAsia"/>
          <w:highlight w:val="none"/>
        </w:rPr>
        <w:t>9.</w:t>
      </w:r>
      <w:r>
        <w:rPr>
          <w:highlight w:val="none"/>
        </w:rPr>
        <w:t>监督</w:t>
      </w:r>
      <w:bookmarkEnd w:id="11"/>
      <w:bookmarkEnd w:id="12"/>
      <w:bookmarkEnd w:id="13"/>
      <w:r>
        <w:rPr>
          <w:rFonts w:hint="eastAsia"/>
          <w:highlight w:val="none"/>
        </w:rPr>
        <w:t>部门</w:t>
      </w:r>
      <w:bookmarkEnd w:id="14"/>
      <w:bookmarkEnd w:id="15"/>
    </w:p>
    <w:p>
      <w:pPr>
        <w:pStyle w:val="38"/>
        <w:widowControl w:val="0"/>
        <w:adjustRightInd w:val="0"/>
        <w:snapToGrid w:val="0"/>
        <w:spacing w:before="0" w:beforeAutospacing="0" w:after="0" w:afterAutospacing="0" w:line="360" w:lineRule="auto"/>
        <w:ind w:firstLine="240" w:firstLineChars="100"/>
        <w:jc w:val="both"/>
        <w:rPr>
          <w:rFonts w:ascii="宋体" w:hAnsi="宋体"/>
          <w:bCs/>
          <w:sz w:val="24"/>
          <w:highlight w:val="none"/>
        </w:rPr>
      </w:pPr>
      <w:r>
        <w:rPr>
          <w:rFonts w:hint="eastAsia"/>
          <w:bCs/>
          <w:highlight w:val="none"/>
        </w:rPr>
        <w:t>本次采购监督部门为长沙集星集装箱码头有限公司党政办公室，电话：</w:t>
      </w:r>
      <w:r>
        <w:rPr>
          <w:rFonts w:hint="eastAsia" w:cs="Times New Roman"/>
          <w:highlight w:val="none"/>
        </w:rPr>
        <w:t>13507318311</w:t>
      </w:r>
      <w:r>
        <w:rPr>
          <w:rFonts w:hint="eastAsia" w:ascii="宋体" w:hAnsi="宋体"/>
          <w:bCs/>
          <w:sz w:val="24"/>
          <w:highlight w:val="none"/>
        </w:rPr>
        <w:t>。</w:t>
      </w:r>
    </w:p>
    <w:p>
      <w:pPr>
        <w:pStyle w:val="6"/>
        <w:rPr>
          <w:rFonts w:ascii="Arial" w:hAnsi="Arial"/>
          <w:highlight w:val="none"/>
        </w:rPr>
      </w:pPr>
      <w:bookmarkStart w:id="16" w:name="_Toc106039331"/>
      <w:r>
        <w:rPr>
          <w:rFonts w:hint="eastAsia"/>
          <w:highlight w:val="none"/>
        </w:rPr>
        <w:t>10.</w:t>
      </w:r>
      <w:r>
        <w:rPr>
          <w:rFonts w:hint="eastAsia" w:ascii="黑体" w:hAnsi="黑体"/>
          <w:highlight w:val="none"/>
        </w:rPr>
        <w:t>联系方式</w:t>
      </w:r>
      <w:bookmarkEnd w:id="16"/>
    </w:p>
    <w:p>
      <w:pPr>
        <w:autoSpaceDE w:val="0"/>
        <w:spacing w:line="400" w:lineRule="exact"/>
        <w:ind w:firstLine="240" w:firstLineChars="100"/>
        <w:rPr>
          <w:rFonts w:ascii="宋体" w:hAnsi="宋体"/>
          <w:sz w:val="24"/>
          <w:highlight w:val="none"/>
        </w:rPr>
      </w:pPr>
      <w:r>
        <w:rPr>
          <w:rFonts w:hint="eastAsia" w:ascii="宋体" w:hAnsi="宋体"/>
          <w:sz w:val="24"/>
          <w:highlight w:val="none"/>
        </w:rPr>
        <w:t xml:space="preserve">采 购 人: </w:t>
      </w:r>
      <w:r>
        <w:rPr>
          <w:rFonts w:hint="eastAsia" w:ascii="宋体" w:hAnsi="宋体"/>
          <w:sz w:val="24"/>
          <w:highlight w:val="none"/>
          <w:u w:val="single"/>
        </w:rPr>
        <w:t xml:space="preserve"> 长沙集星集装箱码头有限公司    </w:t>
      </w:r>
    </w:p>
    <w:p>
      <w:pPr>
        <w:autoSpaceDE w:val="0"/>
        <w:spacing w:line="400" w:lineRule="exact"/>
        <w:ind w:firstLine="240" w:firstLineChars="100"/>
        <w:rPr>
          <w:rFonts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 xml:space="preserve">  长沙市开福区新港镇新港路80号   </w:t>
      </w:r>
    </w:p>
    <w:p>
      <w:pPr>
        <w:autoSpaceDE w:val="0"/>
        <w:spacing w:line="400" w:lineRule="exact"/>
        <w:ind w:firstLine="240" w:firstLineChars="100"/>
        <w:jc w:val="both"/>
        <w:rPr>
          <w:rFonts w:ascii="宋体" w:hAnsi="宋体"/>
          <w:sz w:val="24"/>
          <w:highlight w:val="none"/>
        </w:rPr>
      </w:pPr>
      <w:r>
        <w:rPr>
          <w:rFonts w:hint="eastAsia" w:ascii="宋体" w:hAnsi="宋体"/>
          <w:sz w:val="24"/>
          <w:highlight w:val="none"/>
        </w:rPr>
        <w:t xml:space="preserve">联 系 人: </w:t>
      </w:r>
      <w:r>
        <w:rPr>
          <w:rFonts w:hint="eastAsia" w:ascii="宋体" w:hAnsi="宋体"/>
          <w:sz w:val="24"/>
          <w:highlight w:val="none"/>
          <w:u w:val="single"/>
        </w:rPr>
        <w:t xml:space="preserve"> 唐先生                     </w:t>
      </w:r>
      <w:r>
        <w:rPr>
          <w:rFonts w:hint="eastAsia" w:ascii="宋体" w:hAnsi="宋体"/>
          <w:sz w:val="24"/>
          <w:highlight w:val="none"/>
        </w:rPr>
        <w:t xml:space="preserve">     </w:t>
      </w:r>
    </w:p>
    <w:p>
      <w:pPr>
        <w:spacing w:line="440" w:lineRule="exact"/>
        <w:ind w:firstLine="240" w:firstLineChars="100"/>
        <w:rPr>
          <w:color w:val="000000" w:themeColor="text1"/>
          <w:sz w:val="24"/>
          <w:highlight w:val="none"/>
          <w:u w:val="single"/>
          <w14:textFill>
            <w14:solidFill>
              <w14:schemeClr w14:val="tx1"/>
            </w14:solidFill>
          </w14:textFill>
        </w:rPr>
      </w:pPr>
      <w:r>
        <w:rPr>
          <w:rFonts w:hint="eastAsia" w:ascii="宋体" w:hAnsi="宋体"/>
          <w:sz w:val="24"/>
          <w:highlight w:val="none"/>
        </w:rPr>
        <w:t xml:space="preserve">电    话: </w:t>
      </w:r>
      <w:r>
        <w:rPr>
          <w:rFonts w:hint="eastAsia" w:ascii="宋体" w:hAnsi="宋体"/>
          <w:sz w:val="24"/>
          <w:highlight w:val="none"/>
          <w:u w:val="single"/>
        </w:rPr>
        <w:t xml:space="preserve"> </w:t>
      </w:r>
      <w:r>
        <w:rPr>
          <w:rFonts w:hint="eastAsia"/>
          <w:color w:val="000000" w:themeColor="text1"/>
          <w:sz w:val="24"/>
          <w:highlight w:val="none"/>
          <w:u w:val="single"/>
          <w14:textFill>
            <w14:solidFill>
              <w14:schemeClr w14:val="tx1"/>
            </w14:solidFill>
          </w14:textFill>
        </w:rPr>
        <w:t>13637494623</w:t>
      </w:r>
    </w:p>
    <w:p>
      <w:pPr>
        <w:spacing w:line="240" w:lineRule="auto"/>
        <w:jc w:val="both"/>
        <w:rPr>
          <w:rFonts w:ascii="黑体" w:hAnsi="黑体" w:eastAsia="黑体"/>
          <w:sz w:val="32"/>
          <w:szCs w:val="32"/>
          <w:highlight w:val="none"/>
        </w:rPr>
      </w:pPr>
      <w:bookmarkStart w:id="17" w:name="_Toc234832861"/>
      <w:bookmarkStart w:id="18" w:name="_Toc517787494"/>
    </w:p>
    <w:p>
      <w:pPr>
        <w:spacing w:line="240" w:lineRule="auto"/>
        <w:jc w:val="center"/>
        <w:rPr>
          <w:rFonts w:ascii="黑体" w:hAnsi="黑体" w:eastAsia="黑体"/>
          <w:sz w:val="32"/>
          <w:szCs w:val="32"/>
          <w:highlight w:val="none"/>
        </w:rPr>
      </w:pPr>
    </w:p>
    <w:p>
      <w:pPr>
        <w:spacing w:line="240" w:lineRule="auto"/>
        <w:jc w:val="both"/>
        <w:rPr>
          <w:rFonts w:ascii="黑体" w:hAnsi="黑体" w:eastAsia="黑体"/>
          <w:sz w:val="32"/>
          <w:szCs w:val="32"/>
          <w:highlight w:val="none"/>
        </w:rPr>
      </w:pPr>
    </w:p>
    <w:p>
      <w:pPr>
        <w:rPr>
          <w:rFonts w:ascii="黑体" w:hAnsi="黑体" w:eastAsia="黑体"/>
          <w:sz w:val="32"/>
          <w:szCs w:val="32"/>
          <w:highlight w:val="none"/>
        </w:rPr>
      </w:pPr>
      <w:bookmarkStart w:id="19" w:name="_Toc106039332"/>
      <w:r>
        <w:rPr>
          <w:rFonts w:hint="eastAsia" w:ascii="黑体" w:hAnsi="黑体" w:eastAsia="黑体"/>
          <w:sz w:val="32"/>
          <w:szCs w:val="32"/>
          <w:highlight w:val="none"/>
        </w:rPr>
        <w:br w:type="page"/>
      </w:r>
    </w:p>
    <w:p>
      <w:pPr>
        <w:pStyle w:val="5"/>
        <w:keepNext/>
        <w:keepLines/>
        <w:pageBreakBefore w:val="0"/>
        <w:widowControl/>
        <w:kinsoku/>
        <w:wordWrap/>
        <w:overflowPunct/>
        <w:topLinePunct w:val="0"/>
        <w:autoSpaceDE/>
        <w:autoSpaceDN/>
        <w:bidi w:val="0"/>
        <w:adjustRightInd/>
        <w:snapToGrid/>
        <w:spacing w:before="40" w:after="40" w:line="360" w:lineRule="auto"/>
        <w:jc w:val="center"/>
        <w:textAlignment w:val="auto"/>
        <w:rPr>
          <w:rFonts w:ascii="黑体" w:hAnsi="黑体" w:eastAsia="黑体"/>
          <w:sz w:val="32"/>
          <w:szCs w:val="32"/>
          <w:highlight w:val="none"/>
        </w:rPr>
      </w:pPr>
      <w:r>
        <w:rPr>
          <w:rFonts w:hint="eastAsia" w:ascii="黑体" w:hAnsi="黑体" w:eastAsia="黑体"/>
          <w:sz w:val="32"/>
          <w:szCs w:val="32"/>
          <w:highlight w:val="none"/>
        </w:rPr>
        <w:t>第二章  供应商须知</w:t>
      </w:r>
      <w:bookmarkEnd w:id="17"/>
      <w:bookmarkEnd w:id="18"/>
      <w:bookmarkEnd w:id="19"/>
    </w:p>
    <w:p>
      <w:pPr>
        <w:pStyle w:val="6"/>
        <w:jc w:val="center"/>
        <w:rPr>
          <w:rFonts w:cs="仿宋" w:asciiTheme="minorEastAsia" w:hAnsiTheme="minorEastAsia" w:eastAsiaTheme="minorEastAsia"/>
          <w:sz w:val="30"/>
          <w:szCs w:val="30"/>
          <w:highlight w:val="none"/>
        </w:rPr>
      </w:pPr>
      <w:bookmarkStart w:id="20" w:name="_Toc517787495"/>
      <w:bookmarkStart w:id="21" w:name="_Toc234832862"/>
      <w:bookmarkStart w:id="22" w:name="_Toc106039333"/>
      <w:r>
        <w:rPr>
          <w:rFonts w:hint="eastAsia" w:cs="仿宋" w:asciiTheme="minorEastAsia" w:hAnsiTheme="minorEastAsia" w:eastAsiaTheme="minorEastAsia"/>
          <w:sz w:val="30"/>
          <w:szCs w:val="30"/>
          <w:highlight w:val="none"/>
        </w:rPr>
        <w:t>供应商须知前附表</w:t>
      </w:r>
      <w:bookmarkEnd w:id="20"/>
      <w:bookmarkEnd w:id="21"/>
      <w:bookmarkEnd w:id="22"/>
    </w:p>
    <w:tbl>
      <w:tblPr>
        <w:tblStyle w:val="42"/>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sym w:font="Wingdings 2" w:char="0052"/>
            </w:r>
            <w:r>
              <w:rPr>
                <w:rFonts w:hint="eastAsia" w:cs="仿宋" w:asciiTheme="minorEastAsia" w:hAnsiTheme="minorEastAsia" w:eastAsiaTheme="minorEastAsia"/>
                <w:sz w:val="24"/>
                <w:highlight w:val="none"/>
              </w:rPr>
              <w:t>询价</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sym w:font="Wingdings 2" w:char="0052"/>
            </w:r>
            <w:r>
              <w:rPr>
                <w:rFonts w:hint="eastAsia" w:cs="仿宋" w:asciiTheme="minorEastAsia" w:hAnsiTheme="minorEastAsia" w:eastAsiaTheme="minorEastAsia"/>
                <w:sz w:val="24"/>
                <w:highlight w:val="none"/>
              </w:rPr>
              <w:t>最低价法（同质比价法和同价比质法）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sym w:font="Wingdings 2" w:char="0052"/>
            </w:r>
            <w:r>
              <w:rPr>
                <w:rFonts w:hint="eastAsia" w:cs="仿宋" w:asciiTheme="minorEastAsia" w:hAnsiTheme="minorEastAsia" w:eastAsiaTheme="minorEastAsia"/>
                <w:sz w:val="24"/>
                <w:highlight w:val="none"/>
              </w:rPr>
              <w:t xml:space="preserve">不组织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sym w:font="Wingdings 2" w:char="0052"/>
            </w:r>
            <w:r>
              <w:rPr>
                <w:rFonts w:hint="eastAsia" w:cs="仿宋" w:asciiTheme="minorEastAsia" w:hAnsiTheme="minorEastAsia" w:eastAsiaTheme="minorEastAsia"/>
                <w:sz w:val="24"/>
                <w:highlight w:val="none"/>
              </w:rPr>
              <w:t xml:space="preserve">不召开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不得分包的内容：不允许分包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允许偏差的范围：不允许重大偏差，允许细微偏差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截止时间：2022年</w:t>
            </w:r>
            <w:r>
              <w:rPr>
                <w:rFonts w:hint="eastAsia" w:cs="仿宋" w:asciiTheme="minorEastAsia" w:hAnsiTheme="minorEastAsia" w:eastAsiaTheme="minorEastAsia"/>
                <w:color w:val="auto"/>
                <w:sz w:val="24"/>
                <w:highlight w:val="none"/>
                <w:lang w:val="en-US" w:eastAsia="zh-CN"/>
              </w:rPr>
              <w:t>8</w:t>
            </w:r>
            <w:r>
              <w:rPr>
                <w:rFonts w:hint="eastAsia" w:cs="仿宋" w:asciiTheme="minorEastAsia" w:hAnsiTheme="minorEastAsia" w:eastAsiaTheme="minorEastAsia"/>
                <w:color w:val="auto"/>
                <w:sz w:val="24"/>
                <w:highlight w:val="none"/>
              </w:rPr>
              <w:t>月</w:t>
            </w:r>
            <w:r>
              <w:rPr>
                <w:rFonts w:hint="eastAsia" w:cs="仿宋" w:asciiTheme="minorEastAsia" w:hAnsiTheme="minorEastAsia" w:eastAsiaTheme="minorEastAsia"/>
                <w:color w:val="auto"/>
                <w:sz w:val="24"/>
                <w:highlight w:val="none"/>
                <w:lang w:val="en-US" w:eastAsia="zh-CN"/>
              </w:rPr>
              <w:t>10</w:t>
            </w:r>
            <w:r>
              <w:rPr>
                <w:rFonts w:hint="eastAsia" w:cs="仿宋" w:asciiTheme="minorEastAsia" w:hAnsiTheme="minorEastAsia" w:eastAsiaTheme="minorEastAsia"/>
                <w:color w:val="auto"/>
                <w:sz w:val="24"/>
                <w:highlight w:val="none"/>
              </w:rPr>
              <w:t>日17时30分前。</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确认的最晚时间：2022年</w:t>
            </w:r>
            <w:r>
              <w:rPr>
                <w:rFonts w:hint="eastAsia" w:cs="仿宋" w:asciiTheme="minorEastAsia" w:hAnsiTheme="minorEastAsia" w:eastAsiaTheme="minorEastAsia"/>
                <w:color w:val="auto"/>
                <w:sz w:val="24"/>
                <w:highlight w:val="none"/>
                <w:lang w:val="en-US" w:eastAsia="zh-CN"/>
              </w:rPr>
              <w:t>8</w:t>
            </w:r>
            <w:r>
              <w:rPr>
                <w:rFonts w:hint="eastAsia" w:cs="仿宋" w:asciiTheme="minorEastAsia" w:hAnsiTheme="minorEastAsia" w:eastAsiaTheme="minorEastAsia"/>
                <w:color w:val="auto"/>
                <w:sz w:val="24"/>
                <w:highlight w:val="none"/>
              </w:rPr>
              <w:t>月</w:t>
            </w:r>
            <w:r>
              <w:rPr>
                <w:rFonts w:hint="eastAsia" w:cs="仿宋" w:asciiTheme="minorEastAsia" w:hAnsiTheme="minorEastAsia" w:eastAsiaTheme="minorEastAsia"/>
                <w:color w:val="auto"/>
                <w:sz w:val="24"/>
                <w:highlight w:val="none"/>
                <w:lang w:val="en-US" w:eastAsia="zh-CN"/>
              </w:rPr>
              <w:t>10</w:t>
            </w:r>
            <w:r>
              <w:rPr>
                <w:rFonts w:hint="eastAsia" w:cs="仿宋" w:asciiTheme="minorEastAsia" w:hAnsiTheme="minorEastAsia" w:eastAsiaTheme="minorEastAsia"/>
                <w:color w:val="auto"/>
                <w:sz w:val="24"/>
                <w:highlight w:val="none"/>
              </w:rPr>
              <w:t>日17时30分前。</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确定的方式：收到纸质版文件为准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资料名称：无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sym w:font="Wingdings 2" w:char="0052"/>
            </w:r>
            <w:r>
              <w:rPr>
                <w:rFonts w:hint="eastAsia" w:cs="仿宋" w:asciiTheme="minorEastAsia" w:hAnsiTheme="minorEastAsia" w:eastAsiaTheme="minorEastAsia"/>
                <w:sz w:val="24"/>
                <w:highlight w:val="none"/>
              </w:rPr>
              <w:t>有，</w:t>
            </w:r>
            <w:r>
              <w:rPr>
                <w:rFonts w:hint="eastAsia" w:ascii="宋体" w:hAnsi="宋体"/>
                <w:sz w:val="24"/>
                <w:highlight w:val="none"/>
              </w:rPr>
              <w:t>贰拾</w:t>
            </w:r>
            <w:r>
              <w:rPr>
                <w:rFonts w:hint="eastAsia" w:ascii="宋体" w:hAnsi="宋体"/>
                <w:sz w:val="24"/>
                <w:highlight w:val="none"/>
                <w:lang w:eastAsia="zh-CN"/>
              </w:rPr>
              <w:t>壹</w:t>
            </w:r>
            <w:r>
              <w:rPr>
                <w:rFonts w:hint="eastAsia" w:ascii="宋体" w:hAnsi="宋体"/>
                <w:sz w:val="24"/>
                <w:highlight w:val="none"/>
              </w:rPr>
              <w:t>万</w:t>
            </w:r>
            <w:r>
              <w:rPr>
                <w:rFonts w:hint="eastAsia" w:ascii="宋体" w:hAnsi="宋体"/>
                <w:sz w:val="24"/>
                <w:highlight w:val="none"/>
                <w:lang w:eastAsia="zh-CN"/>
              </w:rPr>
              <w:t>壹仟肆佰玖拾肆</w:t>
            </w:r>
            <w:r>
              <w:rPr>
                <w:rFonts w:hint="eastAsia" w:ascii="宋体" w:hAnsi="宋体"/>
                <w:sz w:val="24"/>
                <w:highlight w:val="none"/>
              </w:rPr>
              <w:t>元</w:t>
            </w:r>
            <w:r>
              <w:rPr>
                <w:rFonts w:hint="eastAsia" w:ascii="宋体" w:hAnsi="宋体"/>
                <w:sz w:val="24"/>
                <w:highlight w:val="none"/>
                <w:lang w:eastAsia="zh-CN"/>
              </w:rPr>
              <w:t>贰角</w:t>
            </w:r>
            <w:r>
              <w:rPr>
                <w:rFonts w:hint="eastAsia" w:ascii="宋体" w:hAnsi="宋体"/>
                <w:sz w:val="24"/>
                <w:highlight w:val="none"/>
              </w:rPr>
              <w:t xml:space="preserve"> （小写：￥ </w:t>
            </w:r>
            <w:r>
              <w:rPr>
                <w:rFonts w:hint="eastAsia" w:ascii="宋体" w:hAnsi="宋体"/>
                <w:sz w:val="24"/>
                <w:highlight w:val="none"/>
                <w:lang w:val="en-US" w:eastAsia="zh-CN"/>
              </w:rPr>
              <w:t>211494.2</w:t>
            </w:r>
            <w:r>
              <w:rPr>
                <w:rFonts w:hint="eastAsia" w:ascii="宋体" w:hAnsi="宋体"/>
                <w:sz w:val="24"/>
                <w:highlight w:val="none"/>
              </w:rPr>
              <w:t>）</w:t>
            </w: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报价唯一，报价需包含税金。</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递交响应文件截止之日起90日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sym w:font="Wingdings 2" w:char="0052"/>
            </w:r>
            <w:r>
              <w:rPr>
                <w:rFonts w:hint="eastAsia" w:cs="仿宋" w:asciiTheme="minorEastAsia" w:hAnsiTheme="minorEastAsia" w:eastAsiaTheme="minorEastAsia"/>
                <w:sz w:val="24"/>
                <w:highlight w:val="none"/>
              </w:rPr>
              <w:t xml:space="preserve">不要求递交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5"/>
                <w:rFonts w:asciiTheme="minorEastAsia" w:hAnsiTheme="minorEastAsia" w:eastAsiaTheme="minorEastAsia"/>
                <w:b w:val="0"/>
                <w:color w:val="000000"/>
                <w:sz w:val="24"/>
                <w:highlight w:val="none"/>
              </w:rPr>
            </w:pPr>
            <w:r>
              <w:rPr>
                <w:rStyle w:val="45"/>
                <w:rFonts w:hint="eastAsia" w:asciiTheme="minorEastAsia" w:hAnsiTheme="minorEastAsia" w:eastAsiaTheme="minorEastAsia"/>
                <w:b w:val="0"/>
                <w:color w:val="000000"/>
                <w:sz w:val="24"/>
                <w:highlight w:val="none"/>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440" w:lineRule="exact"/>
              <w:rPr>
                <w:sz w:val="24"/>
                <w:highlight w:val="none"/>
              </w:rPr>
            </w:pPr>
            <w:r>
              <w:rPr>
                <w:rFonts w:hint="eastAsia"/>
                <w:b/>
                <w:bCs/>
                <w:sz w:val="24"/>
                <w:highlight w:val="none"/>
              </w:rPr>
              <w:sym w:font="Wingdings 2" w:char="0052"/>
            </w:r>
            <w:r>
              <w:rPr>
                <w:rFonts w:hint="eastAsia"/>
                <w:b/>
                <w:bCs/>
                <w:sz w:val="24"/>
                <w:highlight w:val="none"/>
              </w:rPr>
              <w:t>适用。</w:t>
            </w:r>
            <w:r>
              <w:rPr>
                <w:rFonts w:hint="eastAsia"/>
                <w:sz w:val="24"/>
                <w:highlight w:val="none"/>
              </w:rPr>
              <w:t>在中华人民共和国合法注册、具有独立法人资格，具有有效的营业执照，符合本次招标采购项目的营业范围，有能力完成本次采购项目；需提供法人营业执照(或事业单位法人证书)副本（全本）的复印件（并加盖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Style w:val="45"/>
                <w:rFonts w:hint="eastAsia" w:asciiTheme="minorEastAsia" w:hAnsiTheme="minorEastAsia" w:eastAsiaTheme="minorEastAsia"/>
                <w:b w:val="0"/>
                <w:color w:val="000000"/>
                <w:sz w:val="24"/>
                <w:highlight w:val="none"/>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color w:val="000000"/>
                <w:sz w:val="24"/>
                <w:highlight w:val="none"/>
              </w:rPr>
            </w:pPr>
            <w:r>
              <w:rPr>
                <w:rFonts w:hint="eastAsia" w:cs="宋体" w:asciiTheme="minorEastAsia" w:hAnsiTheme="minorEastAsia" w:eastAsiaTheme="minorEastAsia"/>
                <w:color w:val="000000"/>
                <w:sz w:val="24"/>
                <w:highlight w:val="none"/>
              </w:rPr>
              <w:sym w:font="Wingdings 2" w:char="0052"/>
            </w:r>
            <w:r>
              <w:rPr>
                <w:rFonts w:hint="eastAsia" w:cs="宋体" w:asciiTheme="minorEastAsia" w:hAnsiTheme="minorEastAsia" w:eastAsiaTheme="minorEastAsia"/>
                <w:color w:val="000000"/>
                <w:sz w:val="24"/>
                <w:highlight w:val="none"/>
              </w:rPr>
              <w:t>不适用</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5"/>
                <w:rFonts w:asciiTheme="minorEastAsia" w:hAnsiTheme="minorEastAsia" w:eastAsiaTheme="minorEastAsia"/>
                <w:b w:val="0"/>
                <w:color w:val="000000"/>
                <w:sz w:val="24"/>
                <w:highlight w:val="none"/>
              </w:rPr>
            </w:pPr>
            <w:r>
              <w:rPr>
                <w:rStyle w:val="45"/>
                <w:rFonts w:hint="eastAsia" w:asciiTheme="minorEastAsia" w:hAnsiTheme="minorEastAsia" w:eastAsiaTheme="minorEastAsia"/>
                <w:b w:val="0"/>
                <w:color w:val="000000"/>
                <w:sz w:val="24"/>
                <w:highlight w:val="none"/>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sym w:font="Wingdings 2" w:char="0052"/>
            </w:r>
            <w:r>
              <w:rPr>
                <w:rFonts w:hint="eastAsia" w:cs="宋体" w:asciiTheme="minorEastAsia" w:hAnsiTheme="minorEastAsia" w:eastAsiaTheme="minorEastAsia"/>
                <w:color w:val="000000"/>
                <w:sz w:val="24"/>
                <w:highlight w:val="none"/>
              </w:rPr>
              <w:t>不适用</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widowControl w:val="0"/>
              <w:spacing w:line="288" w:lineRule="auto"/>
              <w:jc w:val="both"/>
              <w:rPr>
                <w:rFonts w:cs="宋体" w:asciiTheme="minorEastAsia" w:hAnsiTheme="minorEastAsia" w:eastAsiaTheme="minorEastAsia"/>
                <w:color w:val="000000"/>
                <w:sz w:val="24"/>
                <w:highlight w:val="none"/>
                <w:u w:val="single"/>
              </w:rPr>
            </w:pPr>
            <w:r>
              <w:rPr>
                <w:rFonts w:hint="eastAsia" w:cs="宋体" w:asciiTheme="minorEastAsia" w:hAnsiTheme="minorEastAsia" w:eastAsiaTheme="minorEastAsia"/>
                <w:b/>
                <w:bCs/>
                <w:color w:val="000000"/>
                <w:sz w:val="24"/>
                <w:highlight w:val="none"/>
              </w:rPr>
              <w:sym w:font="Wingdings 2" w:char="0052"/>
            </w:r>
            <w:r>
              <w:rPr>
                <w:rFonts w:hint="eastAsia" w:cs="宋体" w:asciiTheme="minorEastAsia" w:hAnsiTheme="minorEastAsia" w:eastAsiaTheme="minorEastAsia"/>
                <w:b/>
                <w:bCs/>
                <w:color w:val="000000"/>
                <w:sz w:val="24"/>
                <w:highlight w:val="none"/>
              </w:rPr>
              <w:t>适用。</w:t>
            </w:r>
            <w:r>
              <w:rPr>
                <w:rFonts w:hint="eastAsia" w:cs="宋体" w:asciiTheme="minorEastAsia" w:hAnsiTheme="minorEastAsia" w:eastAsiaTheme="minorEastAsia"/>
                <w:color w:val="000000"/>
                <w:sz w:val="24"/>
                <w:highlight w:val="none"/>
              </w:rPr>
              <w:t>供应商在近3年内（从报价文件递交截止日期往前推算）至少承担过1项电脑集中采购项目，且单笔采购合同金额大于10万元。供</w:t>
            </w:r>
            <w:r>
              <w:rPr>
                <w:rFonts w:hint="eastAsia" w:cs="宋体" w:asciiTheme="minorEastAsia" w:hAnsiTheme="minorEastAsia" w:eastAsiaTheme="minorEastAsia"/>
                <w:color w:val="000000" w:themeColor="text1"/>
                <w:sz w:val="24"/>
                <w:highlight w:val="none"/>
                <w14:textFill>
                  <w14:solidFill>
                    <w14:schemeClr w14:val="tx1"/>
                  </w14:solidFill>
                </w14:textFill>
              </w:rPr>
              <w:t>应</w:t>
            </w:r>
            <w:r>
              <w:rPr>
                <w:rFonts w:hint="eastAsia" w:cs="宋体" w:asciiTheme="minorEastAsia" w:hAnsiTheme="minorEastAsia" w:eastAsiaTheme="minorEastAsia"/>
                <w:color w:val="000000"/>
                <w:sz w:val="24"/>
                <w:highlight w:val="none"/>
              </w:rPr>
              <w:t>商应提供近年的类似项目情况表（格式见第六章“响应文件格式”五、资格审查资料（三）近年的类似项目情况表），以证明供应商具有承担本项目要求的业绩。近3年是指</w:t>
            </w:r>
            <w:r>
              <w:rPr>
                <w:rFonts w:hint="eastAsia" w:cs="宋体" w:asciiTheme="minorEastAsia" w:hAnsiTheme="minorEastAsia" w:eastAsiaTheme="minorEastAsia"/>
                <w:color w:val="000000"/>
                <w:sz w:val="24"/>
                <w:highlight w:val="none"/>
                <w:u w:val="single"/>
              </w:rPr>
              <w:t xml:space="preserve"> 2019年</w:t>
            </w:r>
            <w:r>
              <w:rPr>
                <w:rFonts w:cs="宋体" w:asciiTheme="minorEastAsia" w:hAnsiTheme="minorEastAsia" w:eastAsiaTheme="minorEastAsia"/>
                <w:color w:val="000000"/>
                <w:sz w:val="24"/>
                <w:highlight w:val="none"/>
                <w:u w:val="single"/>
              </w:rPr>
              <w:t>7</w:t>
            </w:r>
            <w:r>
              <w:rPr>
                <w:rFonts w:hint="eastAsia" w:cs="宋体" w:asciiTheme="minorEastAsia" w:hAnsiTheme="minorEastAsia" w:eastAsiaTheme="minorEastAsia"/>
                <w:color w:val="000000"/>
                <w:sz w:val="24"/>
                <w:highlight w:val="none"/>
                <w:u w:val="single"/>
              </w:rPr>
              <w:t xml:space="preserve">月 </w:t>
            </w:r>
            <w:r>
              <w:rPr>
                <w:rFonts w:cs="宋体" w:asciiTheme="minorEastAsia" w:hAnsiTheme="minorEastAsia" w:eastAsiaTheme="minorEastAsia"/>
                <w:color w:val="000000"/>
                <w:sz w:val="24"/>
                <w:highlight w:val="none"/>
                <w:u w:val="single"/>
              </w:rPr>
              <w:t xml:space="preserve"> </w:t>
            </w:r>
            <w:r>
              <w:rPr>
                <w:rFonts w:hint="eastAsia" w:cs="宋体" w:asciiTheme="minorEastAsia" w:hAnsiTheme="minorEastAsia" w:eastAsiaTheme="minorEastAsia"/>
                <w:color w:val="000000"/>
                <w:sz w:val="24"/>
                <w:highlight w:val="none"/>
              </w:rPr>
              <w:t>至</w:t>
            </w:r>
            <w:r>
              <w:rPr>
                <w:rFonts w:hint="eastAsia" w:cs="宋体" w:asciiTheme="minorEastAsia" w:hAnsiTheme="minorEastAsia" w:eastAsiaTheme="minorEastAsia"/>
                <w:color w:val="000000"/>
                <w:sz w:val="24"/>
                <w:highlight w:val="none"/>
                <w:u w:val="single"/>
              </w:rPr>
              <w:t xml:space="preserve">  2022年7</w:t>
            </w:r>
            <w:r>
              <w:rPr>
                <w:rFonts w:cs="宋体" w:asciiTheme="minorEastAsia" w:hAnsiTheme="minorEastAsia" w:eastAsiaTheme="minorEastAsia"/>
                <w:color w:val="000000"/>
                <w:sz w:val="24"/>
                <w:highlight w:val="none"/>
                <w:u w:val="single"/>
              </w:rPr>
              <w:t xml:space="preserve"> </w:t>
            </w:r>
            <w:r>
              <w:rPr>
                <w:rFonts w:hint="eastAsia" w:cs="宋体" w:asciiTheme="minorEastAsia" w:hAnsiTheme="minorEastAsia" w:eastAsiaTheme="minorEastAsia"/>
                <w:color w:val="000000"/>
                <w:sz w:val="24"/>
                <w:highlight w:val="none"/>
                <w:u w:val="single"/>
              </w:rPr>
              <w:t>月</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业绩证明材料：</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sym w:font="Wingdings 2" w:char="0052"/>
            </w:r>
            <w:r>
              <w:rPr>
                <w:rFonts w:hint="eastAsia" w:cs="宋体" w:asciiTheme="minorEastAsia" w:hAnsiTheme="minorEastAsia" w:eastAsiaTheme="minorEastAsia"/>
                <w:color w:val="000000"/>
                <w:sz w:val="24"/>
                <w:highlight w:val="none"/>
              </w:rPr>
              <w:t>合同复印件</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业绩证明材料种类要求：</w:t>
            </w:r>
          </w:p>
          <w:p>
            <w:pPr>
              <w:spacing w:line="288" w:lineRule="auto"/>
              <w:jc w:val="both"/>
              <w:rPr>
                <w:rFonts w:cs="仿宋" w:asciiTheme="minorEastAsia" w:hAnsiTheme="minorEastAsia" w:eastAsiaTheme="minorEastAsia"/>
                <w:sz w:val="24"/>
                <w:highlight w:val="none"/>
              </w:rPr>
            </w:pPr>
            <w:r>
              <w:rPr>
                <w:rFonts w:hint="eastAsia" w:cs="宋体" w:asciiTheme="minorEastAsia" w:hAnsiTheme="minorEastAsia" w:eastAsiaTheme="minorEastAsia"/>
                <w:color w:val="000000"/>
                <w:sz w:val="24"/>
                <w:highlight w:val="none"/>
              </w:rPr>
              <w:sym w:font="Wingdings 2" w:char="0052"/>
            </w:r>
            <w:r>
              <w:rPr>
                <w:rFonts w:hint="eastAsia" w:cs="宋体" w:asciiTheme="minorEastAsia" w:hAnsiTheme="minorEastAsia" w:eastAsiaTheme="minorEastAsia"/>
                <w:color w:val="000000"/>
                <w:sz w:val="24"/>
                <w:highlight w:val="none"/>
              </w:rPr>
              <w:t xml:space="preserve">需同时提供上述勾选的所有证明材料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pStyle w:val="18"/>
              <w:spacing w:after="0" w:line="312" w:lineRule="auto"/>
              <w:ind w:left="0" w:leftChars="0"/>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b/>
                <w:bCs/>
                <w:color w:val="000000"/>
                <w:sz w:val="24"/>
                <w:highlight w:val="none"/>
              </w:rPr>
              <w:sym w:font="Wingdings 2" w:char="00A3"/>
            </w:r>
            <w:r>
              <w:rPr>
                <w:rFonts w:cs="宋体" w:asciiTheme="minorEastAsia" w:hAnsiTheme="minorEastAsia" w:eastAsiaTheme="minorEastAsia"/>
                <w:b/>
                <w:bCs/>
                <w:color w:val="000000"/>
                <w:sz w:val="24"/>
                <w:highlight w:val="none"/>
              </w:rPr>
              <w:t xml:space="preserve"> </w:t>
            </w:r>
            <w:r>
              <w:rPr>
                <w:rFonts w:hint="eastAsia" w:cs="宋体" w:asciiTheme="minorEastAsia" w:hAnsiTheme="minorEastAsia" w:eastAsiaTheme="minorEastAsia"/>
                <w:b/>
                <w:bCs/>
                <w:color w:val="000000"/>
                <w:sz w:val="24"/>
                <w:highlight w:val="none"/>
              </w:rPr>
              <w:t>适用。</w:t>
            </w:r>
            <w:r>
              <w:rPr>
                <w:rFonts w:hint="eastAsia" w:cs="宋体" w:asciiTheme="minorEastAsia" w:hAnsiTheme="minorEastAsia" w:eastAsiaTheme="minorEastAsia"/>
                <w:color w:val="000000"/>
                <w:sz w:val="24"/>
                <w:highlight w:val="none"/>
              </w:rPr>
              <w:t>供应商应提供相关信誉情况的证明材料，  包括：1．全国企业信用信息公示系统中未列入严重违法失信企业名单的网页截图，加盖公章。</w:t>
            </w:r>
          </w:p>
          <w:p>
            <w:pPr>
              <w:spacing w:line="288" w:lineRule="auto"/>
              <w:jc w:val="both"/>
              <w:rPr>
                <w:rFonts w:cs="仿宋" w:asciiTheme="minorEastAsia" w:hAnsiTheme="minorEastAsia" w:eastAsiaTheme="minorEastAsia"/>
                <w:sz w:val="24"/>
                <w:highlight w:val="none"/>
              </w:rPr>
            </w:pPr>
            <w:r>
              <w:rPr>
                <w:rFonts w:hint="eastAsia" w:cs="宋体" w:asciiTheme="minorEastAsia" w:hAnsiTheme="minorEastAsia" w:eastAsiaTheme="minorEastAsia"/>
                <w:color w:val="000000"/>
                <w:sz w:val="24"/>
                <w:highlight w:val="none"/>
              </w:rPr>
              <w:t>2．被最高人民法院在“信用中国”网站（www.creditchina.gov.cn）中未列入失信被执行人名单的网页截图，加盖公章。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b w:val="0"/>
                <w:bCs w:val="0"/>
                <w:color w:val="000000"/>
                <w:sz w:val="24"/>
                <w:highlight w:val="none"/>
              </w:rPr>
            </w:pPr>
            <w:r>
              <w:rPr>
                <w:rFonts w:hint="eastAsia" w:cs="宋体" w:asciiTheme="minorEastAsia" w:hAnsiTheme="minorEastAsia" w:eastAsiaTheme="minorEastAsia"/>
                <w:b w:val="0"/>
                <w:bCs w:val="0"/>
                <w:color w:val="000000"/>
                <w:sz w:val="24"/>
                <w:highlight w:val="none"/>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b w:val="0"/>
                <w:bCs w:val="0"/>
                <w:highlight w:val="none"/>
              </w:rPr>
            </w:pPr>
            <w:r>
              <w:rPr>
                <w:rFonts w:hint="eastAsia" w:cs="宋体" w:asciiTheme="minorEastAsia" w:hAnsiTheme="minorEastAsia" w:eastAsiaTheme="minorEastAsia"/>
                <w:b w:val="0"/>
                <w:bCs w:val="0"/>
                <w:color w:val="000000"/>
                <w:sz w:val="24"/>
                <w:highlight w:val="none"/>
              </w:rPr>
              <w:sym w:font="Wingdings 2" w:char="00A3"/>
            </w:r>
            <w:r>
              <w:rPr>
                <w:rFonts w:cs="宋体" w:asciiTheme="minorEastAsia" w:hAnsiTheme="minorEastAsia" w:eastAsiaTheme="minorEastAsia"/>
                <w:b w:val="0"/>
                <w:bCs w:val="0"/>
                <w:color w:val="000000"/>
                <w:sz w:val="24"/>
                <w:highlight w:val="none"/>
              </w:rPr>
              <w:t xml:space="preserve"> </w:t>
            </w:r>
            <w:r>
              <w:rPr>
                <w:rFonts w:hint="eastAsia" w:cs="宋体" w:asciiTheme="minorEastAsia" w:hAnsiTheme="minorEastAsia" w:eastAsiaTheme="minorEastAsia"/>
                <w:b w:val="0"/>
                <w:bCs w:val="0"/>
                <w:color w:val="000000"/>
                <w:sz w:val="24"/>
                <w:highlight w:val="none"/>
                <w:lang w:eastAsia="zh-CN"/>
              </w:rPr>
              <w:t>不</w:t>
            </w:r>
            <w:r>
              <w:rPr>
                <w:rFonts w:hint="eastAsia" w:cs="宋体" w:asciiTheme="minorEastAsia" w:hAnsiTheme="minorEastAsia" w:eastAsiaTheme="minorEastAsia"/>
                <w:b w:val="0"/>
                <w:bCs w:val="0"/>
                <w:color w:val="000000"/>
                <w:sz w:val="24"/>
                <w:highlight w:val="none"/>
              </w:rPr>
              <w:t xml:space="preserve">适用。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b/>
                <w:bCs/>
                <w:color w:val="000000"/>
                <w:sz w:val="24"/>
                <w:highlight w:val="none"/>
              </w:rPr>
              <w:sym w:font="Wingdings 2" w:char="0052"/>
            </w:r>
            <w:r>
              <w:rPr>
                <w:rFonts w:hint="eastAsia" w:cs="宋体" w:asciiTheme="minorEastAsia" w:hAnsiTheme="minorEastAsia" w:eastAsiaTheme="minorEastAsia"/>
                <w:b/>
                <w:bCs/>
                <w:color w:val="000000"/>
                <w:sz w:val="24"/>
                <w:highlight w:val="none"/>
              </w:rPr>
              <w:t>需要提供证明材料</w:t>
            </w:r>
            <w:r>
              <w:rPr>
                <w:rFonts w:hint="eastAsia" w:cs="宋体" w:asciiTheme="minorEastAsia" w:hAnsiTheme="minorEastAsia" w:eastAsiaTheme="minorEastAsia"/>
                <w:color w:val="000000"/>
                <w:sz w:val="24"/>
                <w:highlight w:val="none"/>
              </w:rPr>
              <w:t>，包括：</w:t>
            </w:r>
            <w:r>
              <w:rPr>
                <w:rFonts w:hint="eastAsia" w:cs="宋体" w:asciiTheme="minorEastAsia" w:hAnsiTheme="minorEastAsia" w:eastAsiaTheme="minorEastAsia"/>
                <w:color w:val="000000"/>
                <w:sz w:val="24"/>
                <w:highlight w:val="none"/>
                <w:u w:val="single"/>
              </w:rPr>
              <w:t xml:space="preserve">  提供承诺函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sym w:font="Wingdings 2" w:char="0052"/>
            </w:r>
            <w:r>
              <w:rPr>
                <w:rFonts w:hint="eastAsia" w:cs="宋体" w:asciiTheme="minorEastAsia" w:hAnsiTheme="minorEastAsia" w:eastAsiaTheme="minorEastAsia"/>
                <w:color w:val="000000"/>
                <w:sz w:val="24"/>
                <w:highlight w:val="none"/>
              </w:rPr>
              <w:t>供应商只能提出唯一响应方案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提供纸质版响应文件三</w:t>
            </w:r>
            <w:r>
              <w:rPr>
                <w:rFonts w:hint="eastAsia" w:cs="宋体" w:asciiTheme="minorEastAsia" w:hAnsiTheme="minorEastAsia" w:eastAsiaTheme="minorEastAsia"/>
                <w:b w:val="0"/>
                <w:bCs w:val="0"/>
                <w:color w:val="000000"/>
                <w:sz w:val="24"/>
                <w:highlight w:val="none"/>
              </w:rPr>
              <w:t>份：</w:t>
            </w:r>
            <w:r>
              <w:rPr>
                <w:rFonts w:hint="eastAsia" w:cs="宋体" w:asciiTheme="minorEastAsia" w:hAnsiTheme="minorEastAsia" w:eastAsiaTheme="minorEastAsia"/>
                <w:b/>
                <w:bCs/>
                <w:color w:val="000000"/>
                <w:sz w:val="24"/>
                <w:highlight w:val="none"/>
              </w:rPr>
              <w:t>一正两副</w:t>
            </w:r>
            <w:r>
              <w:rPr>
                <w:rFonts w:hint="eastAsia" w:cs="宋体" w:asciiTheme="minorEastAsia" w:hAnsiTheme="minorEastAsia" w:eastAsiaTheme="minorEastAsia"/>
                <w:color w:val="000000"/>
                <w:sz w:val="24"/>
                <w:highlight w:val="none"/>
              </w:rPr>
              <w:t xml:space="preserve">          是否要求提供电子版响应文件：</w:t>
            </w:r>
          </w:p>
          <w:p>
            <w:pPr>
              <w:spacing w:line="288" w:lineRule="auto"/>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sym w:font="Wingdings 2" w:char="0052"/>
            </w:r>
            <w:r>
              <w:rPr>
                <w:rFonts w:hint="eastAsia" w:cs="宋体" w:asciiTheme="minorEastAsia" w:hAnsiTheme="minorEastAsia" w:eastAsiaTheme="minorEastAsia"/>
                <w:color w:val="000000"/>
                <w:sz w:val="24"/>
                <w:highlight w:val="none"/>
              </w:rPr>
              <w:t>要求，提供电子版响应文件壹份（U盘）</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响应文件须密封包装，并在封套的封口处加盖供应商单位章。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sym w:font="Wingdings 2" w:char="0052"/>
            </w:r>
            <w:r>
              <w:rPr>
                <w:rFonts w:hint="eastAsia" w:cs="宋体" w:asciiTheme="minorEastAsia" w:hAnsiTheme="minorEastAsia" w:eastAsiaTheme="minorEastAsia"/>
                <w:color w:val="000000"/>
                <w:sz w:val="24"/>
                <w:highlight w:val="none"/>
              </w:rPr>
              <w:t>适用，供应商名称、</w:t>
            </w:r>
            <w:r>
              <w:rPr>
                <w:rFonts w:hint="eastAsia" w:cs="宋体" w:asciiTheme="minorEastAsia" w:hAnsiTheme="minorEastAsia" w:eastAsiaTheme="minorEastAsia"/>
                <w:color w:val="000000"/>
                <w:sz w:val="24"/>
                <w:highlight w:val="none"/>
                <w:u w:val="single"/>
              </w:rPr>
              <w:t xml:space="preserve">（项目名称）响应文件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u w:val="single"/>
              </w:rPr>
            </w:pPr>
            <w:r>
              <w:rPr>
                <w:rFonts w:hint="eastAsia" w:cs="宋体" w:asciiTheme="minorEastAsia" w:hAnsiTheme="minorEastAsia" w:eastAsiaTheme="minorEastAsia"/>
                <w:color w:val="000000"/>
                <w:sz w:val="24"/>
                <w:highlight w:val="none"/>
              </w:rPr>
              <w:t>截止</w:t>
            </w:r>
            <w:r>
              <w:rPr>
                <w:rFonts w:hint="eastAsia" w:cs="宋体" w:asciiTheme="minorEastAsia" w:hAnsiTheme="minorEastAsia" w:eastAsiaTheme="minorEastAsia"/>
                <w:sz w:val="24"/>
                <w:highlight w:val="none"/>
              </w:rPr>
              <w:t>时间：</w:t>
            </w:r>
            <w:r>
              <w:rPr>
                <w:rFonts w:hint="eastAsia" w:cs="宋体" w:asciiTheme="minorEastAsia" w:hAnsiTheme="minorEastAsia" w:eastAsiaTheme="minorEastAsia"/>
                <w:sz w:val="24"/>
                <w:highlight w:val="none"/>
                <w:u w:val="single"/>
              </w:rPr>
              <w:t xml:space="preserve"> 2022年</w:t>
            </w:r>
            <w:r>
              <w:rPr>
                <w:rFonts w:hint="eastAsia" w:cs="宋体" w:asciiTheme="minorEastAsia" w:hAnsiTheme="minorEastAsia" w:eastAsiaTheme="minorEastAsia"/>
                <w:sz w:val="24"/>
                <w:highlight w:val="none"/>
                <w:u w:val="single"/>
                <w:lang w:val="en-US" w:eastAsia="zh-CN"/>
              </w:rPr>
              <w:t>8</w:t>
            </w:r>
            <w:r>
              <w:rPr>
                <w:rFonts w:hint="eastAsia" w:cs="宋体" w:asciiTheme="minorEastAsia" w:hAnsiTheme="minorEastAsia" w:eastAsiaTheme="minorEastAsia"/>
                <w:sz w:val="24"/>
                <w:highlight w:val="none"/>
                <w:u w:val="single"/>
              </w:rPr>
              <w:t>月</w:t>
            </w:r>
            <w:r>
              <w:rPr>
                <w:rFonts w:hint="eastAsia" w:cs="宋体" w:asciiTheme="minorEastAsia" w:hAnsiTheme="minorEastAsia" w:eastAsiaTheme="minorEastAsia"/>
                <w:sz w:val="24"/>
                <w:highlight w:val="none"/>
                <w:u w:val="single"/>
                <w:lang w:val="en-US" w:eastAsia="zh-CN"/>
              </w:rPr>
              <w:t>10</w:t>
            </w:r>
            <w:bookmarkStart w:id="95" w:name="_GoBack"/>
            <w:bookmarkEnd w:id="95"/>
            <w:r>
              <w:rPr>
                <w:rFonts w:hint="eastAsia" w:cs="宋体" w:asciiTheme="minorEastAsia" w:hAnsiTheme="minorEastAsia" w:eastAsiaTheme="minorEastAsia"/>
                <w:sz w:val="24"/>
                <w:highlight w:val="none"/>
                <w:u w:val="single"/>
              </w:rPr>
              <w:t xml:space="preserve">日17时30分        </w:t>
            </w:r>
            <w:r>
              <w:rPr>
                <w:rFonts w:hint="eastAsia" w:cs="宋体" w:asciiTheme="minorEastAsia" w:hAnsiTheme="minorEastAsia" w:eastAsiaTheme="minorEastAsia"/>
                <w:color w:val="000000"/>
                <w:sz w:val="24"/>
                <w:highlight w:val="none"/>
                <w:u w:val="single"/>
              </w:rPr>
              <w:t xml:space="preserve">          </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递交响应文件的地点：</w:t>
            </w:r>
            <w:r>
              <w:rPr>
                <w:rFonts w:hint="eastAsia" w:cs="宋体" w:asciiTheme="minorEastAsia" w:hAnsiTheme="minorEastAsia" w:eastAsiaTheme="minorEastAsia"/>
                <w:color w:val="000000"/>
                <w:sz w:val="24"/>
                <w:highlight w:val="none"/>
                <w:u w:val="single"/>
              </w:rPr>
              <w:t xml:space="preserve"> </w:t>
            </w:r>
            <w:r>
              <w:rPr>
                <w:rFonts w:hint="eastAsia" w:asciiTheme="minorEastAsia" w:hAnsiTheme="minorEastAsia" w:eastAsiaTheme="minorEastAsia"/>
                <w:snapToGrid w:val="0"/>
                <w:sz w:val="24"/>
                <w:highlight w:val="none"/>
                <w:u w:val="single"/>
              </w:rPr>
              <w:t>长沙集星集装箱码头有限公司319室</w:t>
            </w:r>
            <w:r>
              <w:rPr>
                <w:rFonts w:hint="eastAsia" w:cs="宋体" w:asciiTheme="minorEastAsia" w:hAnsiTheme="minorEastAsia" w:eastAsiaTheme="minorEastAsia"/>
                <w:color w:val="000000"/>
                <w:sz w:val="24"/>
                <w:highlight w:val="none"/>
                <w:u w:val="single"/>
              </w:rPr>
              <w:t xml:space="preserve">  </w:t>
            </w:r>
            <w:r>
              <w:rPr>
                <w:rFonts w:hint="eastAsia" w:cs="宋体" w:asciiTheme="minorEastAsia" w:hAnsiTheme="minorEastAsia" w:eastAsiaTheme="minorEastAsia"/>
                <w:color w:val="000000"/>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sym w:font="Wingdings 2" w:char="0052"/>
            </w:r>
            <w:r>
              <w:rPr>
                <w:rFonts w:hint="eastAsia" w:cs="宋体" w:asciiTheme="minorEastAsia" w:hAnsiTheme="minorEastAsia" w:eastAsiaTheme="minorEastAsia"/>
                <w:color w:val="000000"/>
                <w:sz w:val="24"/>
                <w:highlight w:val="none"/>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sym w:font="Wingdings 2" w:char="0052"/>
            </w:r>
            <w:r>
              <w:rPr>
                <w:rFonts w:hint="eastAsia" w:cs="宋体" w:asciiTheme="minorEastAsia" w:hAnsiTheme="minorEastAsia" w:eastAsiaTheme="minorEastAsia"/>
                <w:color w:val="000000"/>
                <w:sz w:val="24"/>
                <w:highlight w:val="none"/>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湖南省港务集团有限公司602开标室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开启顺序：</w:t>
            </w:r>
            <w:r>
              <w:rPr>
                <w:rFonts w:hint="eastAsia" w:cs="宋体" w:asciiTheme="minorEastAsia" w:hAnsiTheme="minorEastAsia" w:eastAsiaTheme="minorEastAsia"/>
                <w:color w:val="000000"/>
                <w:sz w:val="24"/>
                <w:highlight w:val="none"/>
                <w:u w:val="single"/>
              </w:rPr>
              <w:t xml:space="preserve">   随机 </w:t>
            </w:r>
            <w:r>
              <w:rPr>
                <w:rFonts w:cs="宋体" w:asciiTheme="minorEastAsia" w:hAnsiTheme="minorEastAsia" w:eastAsiaTheme="minorEastAsia"/>
                <w:color w:val="000000"/>
                <w:sz w:val="24"/>
                <w:highlight w:val="none"/>
                <w:u w:val="single"/>
              </w:rPr>
              <w:t xml:space="preserve"> </w:t>
            </w:r>
            <w:r>
              <w:rPr>
                <w:rFonts w:hint="eastAsia" w:cs="宋体" w:asciiTheme="minorEastAsia" w:hAnsiTheme="minorEastAsia" w:eastAsiaTheme="minorEastAsia"/>
                <w:color w:val="000000"/>
                <w:sz w:val="24"/>
                <w:highlight w:val="none"/>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评审小组的组建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评标小组构成：3人。</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评审专家确定方式：采购代表1人，在湖南省港务集团有限公司综合评标专家库中随机抽取2人。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不超过</w:t>
            </w:r>
            <w:r>
              <w:rPr>
                <w:rFonts w:hint="eastAsia" w:cs="宋体" w:asciiTheme="minorEastAsia" w:hAnsiTheme="minorEastAsia" w:eastAsiaTheme="minorEastAsia"/>
                <w:color w:val="000000"/>
                <w:sz w:val="24"/>
                <w:highlight w:val="none"/>
                <w:lang w:val="en-US" w:eastAsia="zh-CN"/>
              </w:rPr>
              <w:t>2-</w:t>
            </w:r>
            <w:r>
              <w:rPr>
                <w:rFonts w:hint="eastAsia" w:cs="宋体" w:asciiTheme="minorEastAsia" w:hAnsiTheme="minorEastAsia" w:eastAsiaTheme="minorEastAsia"/>
                <w:color w:val="000000"/>
                <w:sz w:val="24"/>
                <w:highlight w:val="none"/>
              </w:rPr>
              <w:t>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是否排序：</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sym w:font="Wingdings 2" w:char="0052"/>
            </w:r>
            <w:r>
              <w:rPr>
                <w:rFonts w:hint="eastAsia" w:cs="宋体" w:asciiTheme="minorEastAsia" w:hAnsiTheme="minorEastAsia" w:eastAsiaTheme="minorEastAsia"/>
                <w:color w:val="000000"/>
                <w:sz w:val="24"/>
                <w:highlight w:val="none"/>
              </w:rPr>
              <w:t>排序</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数量：</w:t>
            </w:r>
            <w:r>
              <w:rPr>
                <w:rFonts w:hint="eastAsia" w:cs="宋体" w:asciiTheme="minorEastAsia" w:hAnsiTheme="minorEastAsia" w:eastAsiaTheme="minorEastAsia"/>
                <w:color w:val="000000"/>
                <w:sz w:val="24"/>
                <w:highlight w:val="none"/>
                <w:u w:val="single"/>
              </w:rPr>
              <w:t xml:space="preserve"> 2-3 家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u w:val="single"/>
              </w:rPr>
            </w:pPr>
            <w:r>
              <w:rPr>
                <w:rFonts w:hint="eastAsia" w:cs="宋体" w:asciiTheme="minorEastAsia" w:hAnsiTheme="minorEastAsia" w:eastAsiaTheme="minorEastAsia"/>
                <w:color w:val="000000"/>
                <w:sz w:val="24"/>
                <w:highlight w:val="none"/>
              </w:rPr>
              <w:t>公示媒介：</w:t>
            </w:r>
            <w:r>
              <w:rPr>
                <w:rFonts w:hint="eastAsia" w:ascii="宋体" w:hAnsi="宋体" w:cs="宋体"/>
                <w:sz w:val="24"/>
                <w:highlight w:val="none"/>
              </w:rPr>
              <w:t>中国招标投标公共服务平台（http：//www.cebpubservice.com）、湖南省湘水集团有限公司网站（http：//www.hnsxsjt.com）、</w:t>
            </w:r>
            <w:r>
              <w:rPr>
                <w:rFonts w:hint="eastAsia" w:ascii="宋体" w:hAnsi="宋体" w:cs="宋体"/>
                <w:sz w:val="24"/>
                <w:highlight w:val="none"/>
                <w:u w:val="single"/>
              </w:rPr>
              <w:t xml:space="preserve">                                   湖南省港务集团有限公司</w:t>
            </w:r>
            <w:r>
              <w:rPr>
                <w:rFonts w:hint="eastAsia" w:ascii="宋体" w:hAnsi="宋体" w:cs="宋体"/>
                <w:sz w:val="24"/>
                <w:highlight w:val="none"/>
              </w:rPr>
              <w:t>（http://www.hnsgwjt.com）上发布。</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公示期限：</w:t>
            </w:r>
            <w:r>
              <w:rPr>
                <w:rFonts w:hint="eastAsia" w:cs="宋体" w:asciiTheme="minorEastAsia" w:hAnsiTheme="minorEastAsia" w:eastAsiaTheme="minorEastAsia"/>
                <w:color w:val="000000"/>
                <w:sz w:val="24"/>
                <w:highlight w:val="none"/>
                <w:u w:val="single"/>
              </w:rPr>
              <w:t xml:space="preserve"> 3个工作日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sym w:font="Wingdings 2" w:char="0052"/>
            </w:r>
            <w:r>
              <w:rPr>
                <w:rFonts w:hint="eastAsia" w:cs="宋体" w:asciiTheme="minorEastAsia" w:hAnsiTheme="minorEastAsia" w:eastAsiaTheme="minorEastAsia"/>
                <w:color w:val="000000"/>
                <w:sz w:val="24"/>
                <w:highlight w:val="none"/>
              </w:rPr>
              <w:t>不要求提交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FF0000"/>
                <w:sz w:val="24"/>
                <w:highlight w:val="none"/>
              </w:rPr>
            </w:pPr>
            <w:r>
              <w:rPr>
                <w:rFonts w:hint="eastAsia" w:cs="宋体" w:asciiTheme="minorEastAsia" w:hAnsiTheme="minorEastAsia" w:eastAsiaTheme="minorEastAsia"/>
                <w:color w:val="000000"/>
                <w:sz w:val="24"/>
                <w:highlight w:val="none"/>
              </w:rPr>
              <w:t>联系人：</w:t>
            </w:r>
            <w:r>
              <w:rPr>
                <w:rFonts w:hint="eastAsia" w:cs="宋体" w:asciiTheme="minorEastAsia" w:hAnsiTheme="minorEastAsia" w:eastAsiaTheme="minorEastAsia"/>
                <w:color w:val="000000"/>
                <w:sz w:val="24"/>
                <w:highlight w:val="none"/>
                <w:u w:val="single"/>
              </w:rPr>
              <w:t xml:space="preserve"> 长沙集星集装箱码头党政办公室   </w:t>
            </w:r>
          </w:p>
          <w:p>
            <w:pPr>
              <w:spacing w:line="288" w:lineRule="auto"/>
              <w:jc w:val="both"/>
              <w:rPr>
                <w:highlight w:val="none"/>
                <w:lang w:val="zh-CN"/>
              </w:rPr>
            </w:pPr>
            <w:r>
              <w:rPr>
                <w:rFonts w:hint="eastAsia" w:cs="宋体" w:asciiTheme="minorEastAsia" w:hAnsiTheme="minorEastAsia" w:eastAsiaTheme="minorEastAsia"/>
                <w:color w:val="000000"/>
                <w:sz w:val="24"/>
                <w:highlight w:val="none"/>
              </w:rPr>
              <w:t>联系电话：</w:t>
            </w:r>
            <w:r>
              <w:rPr>
                <w:rFonts w:hint="eastAsia" w:cs="宋体" w:asciiTheme="minorEastAsia" w:hAnsiTheme="minorEastAsia" w:eastAsiaTheme="minorEastAsia"/>
                <w:color w:val="000000"/>
                <w:sz w:val="24"/>
                <w:highlight w:val="none"/>
                <w:u w:val="single"/>
              </w:rPr>
              <w:t xml:space="preserve"> </w:t>
            </w:r>
            <w:r>
              <w:rPr>
                <w:rFonts w:cs="宋体" w:asciiTheme="minorEastAsia" w:hAnsiTheme="minorEastAsia" w:eastAsiaTheme="minorEastAsia"/>
                <w:color w:val="000000"/>
                <w:sz w:val="24"/>
                <w:highlight w:val="none"/>
                <w:u w:val="single"/>
                <w:lang w:val="zh-CN"/>
              </w:rPr>
              <w:t>13507318311</w:t>
            </w:r>
          </w:p>
          <w:p>
            <w:pPr>
              <w:spacing w:line="288" w:lineRule="auto"/>
              <w:jc w:val="both"/>
              <w:rPr>
                <w:rFonts w:cs="宋体" w:asciiTheme="minorEastAsia" w:hAnsiTheme="minorEastAsia" w:eastAsiaTheme="minorEastAsia"/>
                <w:color w:val="000000"/>
                <w:sz w:val="24"/>
                <w:highlight w:val="none"/>
                <w:u w:val="single"/>
              </w:rPr>
            </w:pPr>
            <w:r>
              <w:rPr>
                <w:rFonts w:hint="eastAsia" w:cs="宋体" w:asciiTheme="minorEastAsia" w:hAnsiTheme="minorEastAsia" w:eastAsiaTheme="minorEastAsia"/>
                <w:color w:val="000000"/>
                <w:sz w:val="24"/>
                <w:highlight w:val="none"/>
              </w:rPr>
              <w:t>通信地址：</w:t>
            </w:r>
            <w:r>
              <w:rPr>
                <w:rFonts w:hint="eastAsia" w:cs="宋体" w:asciiTheme="minorEastAsia" w:hAnsiTheme="minorEastAsia" w:eastAsiaTheme="minorEastAsia"/>
                <w:color w:val="000000"/>
                <w:sz w:val="24"/>
                <w:highlight w:val="none"/>
                <w:u w:val="single"/>
              </w:rPr>
              <w:t>湖南省长沙市开福区新港路8</w:t>
            </w:r>
            <w:r>
              <w:rPr>
                <w:rFonts w:cs="宋体" w:asciiTheme="minorEastAsia" w:hAnsiTheme="minorEastAsia" w:eastAsiaTheme="minorEastAsia"/>
                <w:color w:val="000000"/>
                <w:sz w:val="24"/>
                <w:highlight w:val="none"/>
                <w:u w:val="single"/>
              </w:rPr>
              <w:t>0</w:t>
            </w:r>
            <w:r>
              <w:rPr>
                <w:rFonts w:hint="eastAsia" w:cs="宋体" w:asciiTheme="minorEastAsia" w:hAnsiTheme="minorEastAsia" w:eastAsiaTheme="minorEastAsia"/>
                <w:color w:val="000000"/>
                <w:sz w:val="24"/>
                <w:highlight w:val="none"/>
                <w:u w:val="single"/>
              </w:rPr>
              <w:t xml:space="preserve">号  </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10.1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sym w:font="Wingdings 2" w:char="0052"/>
            </w:r>
            <w:r>
              <w:rPr>
                <w:rFonts w:hint="eastAsia" w:cs="宋体" w:asciiTheme="minorEastAsia" w:hAnsiTheme="minorEastAsia" w:eastAsiaTheme="minorEastAsia"/>
                <w:color w:val="000000"/>
                <w:sz w:val="24"/>
                <w:highlight w:val="none"/>
              </w:rPr>
              <w:t>不要求承担</w:t>
            </w:r>
          </w:p>
        </w:tc>
      </w:tr>
    </w:tbl>
    <w:p>
      <w:pPr>
        <w:spacing w:line="240" w:lineRule="auto"/>
        <w:jc w:val="center"/>
        <w:rPr>
          <w:rFonts w:ascii="仿宋" w:hAnsi="仿宋" w:eastAsia="仿宋" w:cs="仿宋"/>
          <w:sz w:val="30"/>
          <w:szCs w:val="30"/>
          <w:highlight w:val="none"/>
        </w:rPr>
      </w:pPr>
      <w:r>
        <w:rPr>
          <w:rFonts w:ascii="仿宋" w:hAnsi="仿宋" w:eastAsia="仿宋" w:cs="仿宋"/>
          <w:b/>
          <w:bCs/>
          <w:sz w:val="30"/>
          <w:szCs w:val="30"/>
          <w:highlight w:val="none"/>
        </w:rPr>
        <w:br w:type="page"/>
      </w:r>
      <w:r>
        <w:rPr>
          <w:rFonts w:hint="eastAsia" w:ascii="STZhongsong" w:hAnsi="STZhongsong" w:eastAsia="STZhongsong" w:cs="仿宋"/>
          <w:b/>
          <w:bCs/>
          <w:sz w:val="30"/>
          <w:szCs w:val="30"/>
          <w:highlight w:val="none"/>
        </w:rPr>
        <w:t>第二章 供应商须知正文</w:t>
      </w:r>
    </w:p>
    <w:p>
      <w:pPr>
        <w:pStyle w:val="6"/>
        <w:spacing w:before="0" w:beforeAutospacing="0" w:after="0" w:afterAutospacing="0"/>
        <w:rPr>
          <w:rFonts w:cs="仿宋"/>
          <w:bCs w:val="0"/>
          <w:sz w:val="24"/>
          <w:highlight w:val="none"/>
        </w:rPr>
      </w:pPr>
      <w:bookmarkStart w:id="23" w:name="_Toc106039335"/>
      <w:r>
        <w:rPr>
          <w:rFonts w:hint="eastAsia" w:cs="仿宋"/>
          <w:bCs w:val="0"/>
          <w:sz w:val="24"/>
          <w:highlight w:val="none"/>
        </w:rPr>
        <w:t>1 总则</w:t>
      </w:r>
      <w:bookmarkEnd w:id="23"/>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1.1采购方法和评审办法</w:t>
      </w:r>
    </w:p>
    <w:p>
      <w:pPr>
        <w:pStyle w:val="76"/>
        <w:spacing w:beforeLines="0" w:afterLines="0" w:line="312" w:lineRule="auto"/>
        <w:ind w:left="426" w:firstLine="48" w:firstLineChars="20"/>
        <w:jc w:val="both"/>
        <w:outlineLvl w:val="9"/>
        <w:rPr>
          <w:rFonts w:ascii="宋体" w:hAnsi="宋体" w:eastAsia="宋体" w:cs="仿宋"/>
          <w:sz w:val="24"/>
          <w:szCs w:val="24"/>
          <w:highlight w:val="none"/>
        </w:rPr>
      </w:pPr>
      <w:r>
        <w:rPr>
          <w:rFonts w:hint="eastAsia" w:ascii="宋体" w:hAnsi="宋体" w:eastAsia="宋体" w:cs="仿宋"/>
          <w:sz w:val="24"/>
          <w:szCs w:val="24"/>
          <w:highlight w:val="none"/>
        </w:rPr>
        <w:t>本项目采用供应商须知前附表规定的采购方式和评审办法。</w:t>
      </w:r>
    </w:p>
    <w:p>
      <w:pPr>
        <w:pStyle w:val="70"/>
        <w:spacing w:line="312" w:lineRule="auto"/>
        <w:ind w:firstLine="0" w:firstLineChars="0"/>
        <w:rPr>
          <w:rFonts w:hAnsi="宋体" w:eastAsia="宋体" w:cs="仿宋"/>
          <w:sz w:val="24"/>
          <w:szCs w:val="24"/>
          <w:highlight w:val="none"/>
        </w:rPr>
      </w:pPr>
      <w:r>
        <w:rPr>
          <w:rFonts w:hint="eastAsia" w:hAnsi="宋体" w:eastAsia="宋体" w:cs="仿宋"/>
          <w:sz w:val="24"/>
          <w:szCs w:val="24"/>
          <w:highlight w:val="none"/>
        </w:rPr>
        <w:t>1.1.1采购方法</w:t>
      </w:r>
    </w:p>
    <w:p>
      <w:pPr>
        <w:pStyle w:val="70"/>
        <w:spacing w:line="312" w:lineRule="auto"/>
        <w:ind w:firstLine="453" w:firstLineChars="189"/>
        <w:rPr>
          <w:rFonts w:hAnsi="宋体" w:eastAsia="宋体" w:cs="仿宋"/>
          <w:sz w:val="24"/>
          <w:szCs w:val="24"/>
          <w:highlight w:val="none"/>
        </w:rPr>
      </w:pPr>
      <w:r>
        <w:rPr>
          <w:rFonts w:hint="eastAsia" w:hAnsi="宋体" w:eastAsia="宋体" w:cs="仿宋"/>
          <w:sz w:val="24"/>
          <w:szCs w:val="24"/>
          <w:highlight w:val="none"/>
        </w:rPr>
        <w:t>询价采购，是指按照规定程序就采购项目向符合资格要求的供应商进行询价，通过评审、比较确定成交供应商的采购方式。</w:t>
      </w:r>
    </w:p>
    <w:p>
      <w:pPr>
        <w:pStyle w:val="70"/>
        <w:spacing w:line="312" w:lineRule="auto"/>
        <w:ind w:firstLine="0" w:firstLineChars="0"/>
        <w:rPr>
          <w:rFonts w:hAnsi="宋体" w:eastAsia="宋体" w:cs="仿宋"/>
          <w:sz w:val="24"/>
          <w:szCs w:val="24"/>
          <w:highlight w:val="none"/>
        </w:rPr>
      </w:pPr>
      <w:r>
        <w:rPr>
          <w:rFonts w:hint="eastAsia" w:hAnsi="宋体" w:eastAsia="宋体" w:cs="仿宋"/>
          <w:sz w:val="24"/>
          <w:szCs w:val="24"/>
          <w:highlight w:val="none"/>
        </w:rPr>
        <w:t>1.1.2评审办法</w:t>
      </w:r>
    </w:p>
    <w:p>
      <w:pPr>
        <w:pStyle w:val="70"/>
        <w:spacing w:line="312" w:lineRule="auto"/>
        <w:ind w:firstLine="453" w:firstLineChars="189"/>
        <w:rPr>
          <w:rFonts w:hAnsi="宋体" w:eastAsia="宋体" w:cs="仿宋"/>
          <w:sz w:val="24"/>
          <w:szCs w:val="24"/>
        </w:rPr>
      </w:pPr>
      <w:r>
        <w:rPr>
          <w:rFonts w:hint="eastAsia" w:hAnsi="宋体" w:eastAsia="宋体" w:cs="仿宋"/>
          <w:sz w:val="24"/>
          <w:szCs w:val="24"/>
          <w:highlight w:val="none"/>
        </w:rPr>
        <w:t>最低价法，是指在资质、业绩、信誉等条件</w:t>
      </w:r>
      <w:r>
        <w:rPr>
          <w:rFonts w:hint="eastAsia" w:hAnsi="宋体" w:eastAsia="宋体" w:cs="仿宋"/>
          <w:sz w:val="24"/>
          <w:szCs w:val="24"/>
        </w:rPr>
        <w:t>均满足询价文件要求的前提下，按单项或总价价格最低原则确定成交供应商。包括同质比价法和同价比质法。</w:t>
      </w:r>
    </w:p>
    <w:p>
      <w:pPr>
        <w:pStyle w:val="70"/>
        <w:spacing w:line="312" w:lineRule="auto"/>
        <w:ind w:firstLine="453" w:firstLineChars="189"/>
        <w:rPr>
          <w:rFonts w:hAnsi="宋体" w:eastAsia="宋体" w:cs="仿宋"/>
          <w:sz w:val="24"/>
          <w:szCs w:val="24"/>
        </w:rPr>
      </w:pPr>
      <w:r>
        <w:rPr>
          <w:rFonts w:hint="eastAsia" w:hAnsi="宋体" w:eastAsia="宋体" w:cs="仿宋"/>
          <w:sz w:val="24"/>
          <w:szCs w:val="24"/>
        </w:rPr>
        <w:t>同质比价法，遵循最低价法评审原则，在资质、业绩、信誉等条件均满足询价文件要求的前提下，按价格最低原则确定成交供应商。</w:t>
      </w:r>
    </w:p>
    <w:p>
      <w:pPr>
        <w:pStyle w:val="70"/>
        <w:spacing w:line="312" w:lineRule="auto"/>
        <w:ind w:firstLine="453" w:firstLineChars="189"/>
        <w:rPr>
          <w:rFonts w:hAnsi="宋体" w:eastAsia="宋体" w:cs="仿宋"/>
          <w:sz w:val="24"/>
          <w:szCs w:val="24"/>
        </w:rPr>
      </w:pPr>
      <w:r>
        <w:rPr>
          <w:rFonts w:hint="eastAsia" w:hAnsi="宋体" w:eastAsia="宋体" w:cs="仿宋"/>
          <w:sz w:val="24"/>
          <w:szCs w:val="24"/>
        </w:rPr>
        <w:t>同价比质法，遵循最低价法评审原则，若报价相同，应选择质量、服务承诺及优惠条件较优的供应商。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1.9分包(A、C)</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pStyle w:val="6"/>
        <w:spacing w:before="0" w:beforeAutospacing="0" w:after="0" w:afterAutospacing="0"/>
        <w:rPr>
          <w:rFonts w:cs="仿宋"/>
          <w:bCs w:val="0"/>
          <w:sz w:val="24"/>
        </w:rPr>
      </w:pPr>
      <w:bookmarkStart w:id="24" w:name="_Toc106039336"/>
      <w:r>
        <w:rPr>
          <w:rFonts w:hint="eastAsia" w:cs="仿宋"/>
          <w:bCs w:val="0"/>
          <w:sz w:val="24"/>
        </w:rPr>
        <w:t>2采购文件</w:t>
      </w:r>
      <w:bookmarkEnd w:id="24"/>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pStyle w:val="6"/>
        <w:spacing w:before="0" w:beforeAutospacing="0" w:after="0" w:afterAutospacing="0"/>
        <w:rPr>
          <w:rFonts w:cs="仿宋"/>
          <w:bCs w:val="0"/>
          <w:sz w:val="24"/>
        </w:rPr>
      </w:pPr>
      <w:bookmarkStart w:id="25" w:name="_Toc106039337"/>
      <w:r>
        <w:rPr>
          <w:rFonts w:hint="eastAsia" w:cs="仿宋"/>
          <w:bCs w:val="0"/>
          <w:sz w:val="24"/>
        </w:rPr>
        <w:t>3响应文件</w:t>
      </w:r>
      <w:bookmarkEnd w:id="25"/>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(3)联合体协议书(如有);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(4)响应保证金(如有);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(5)商务和技术偏差表;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(6)报价表;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(8)响应方案;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(9)供应商须知前附表规定的其他资料。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12" w:lineRule="auto"/>
        <w:jc w:val="both"/>
        <w:rPr>
          <w:rFonts w:ascii="宋体" w:hAnsi="宋体" w:cs="仿宋"/>
          <w:sz w:val="24"/>
        </w:rPr>
      </w:pPr>
      <w:r>
        <w:rPr>
          <w:rFonts w:hint="eastAsia" w:ascii="宋体" w:hAnsi="宋体" w:cs="仿宋"/>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rPr>
      </w:pPr>
      <w:r>
        <w:rPr>
          <w:rFonts w:hint="eastAsia" w:ascii="宋体" w:hAnsi="宋体" w:cs="仿宋"/>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rPr>
      </w:pPr>
      <w:r>
        <w:rPr>
          <w:rFonts w:hint="eastAsia" w:ascii="宋体" w:hAnsi="宋体" w:cs="仿宋"/>
          <w:sz w:val="24"/>
        </w:rPr>
        <w:t>3.4.3有下列情形之一的，响应保证金将不予退还:</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(1)供应商在响应文件有效期内撤销响应文件；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pStyle w:val="6"/>
        <w:spacing w:before="0" w:beforeAutospacing="0" w:after="0" w:afterAutospacing="0"/>
        <w:rPr>
          <w:rFonts w:cs="仿宋"/>
          <w:bCs w:val="0"/>
          <w:sz w:val="24"/>
        </w:rPr>
      </w:pPr>
      <w:bookmarkStart w:id="26" w:name="_Toc106039338"/>
      <w:r>
        <w:rPr>
          <w:rFonts w:hint="eastAsia" w:cs="仿宋"/>
          <w:bCs w:val="0"/>
          <w:sz w:val="24"/>
        </w:rPr>
        <w:t>4响应文件的递交</w:t>
      </w:r>
      <w:bookmarkEnd w:id="26"/>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pStyle w:val="6"/>
        <w:spacing w:before="0" w:beforeAutospacing="0" w:after="0" w:afterAutospacing="0"/>
        <w:rPr>
          <w:rFonts w:cs="仿宋"/>
          <w:bCs w:val="0"/>
          <w:sz w:val="24"/>
        </w:rPr>
      </w:pPr>
      <w:bookmarkStart w:id="27" w:name="_Toc106039339"/>
      <w:r>
        <w:rPr>
          <w:rFonts w:hint="eastAsia" w:cs="仿宋"/>
          <w:bCs w:val="0"/>
          <w:sz w:val="24"/>
        </w:rPr>
        <w:t>5开启响应文件</w:t>
      </w:r>
      <w:bookmarkEnd w:id="27"/>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Cs/>
          <w:sz w:val="24"/>
        </w:rPr>
        <w:t>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pStyle w:val="6"/>
        <w:spacing w:before="0" w:beforeAutospacing="0" w:after="0" w:afterAutospacing="0"/>
        <w:rPr>
          <w:rFonts w:cs="仿宋"/>
          <w:bCs w:val="0"/>
          <w:sz w:val="24"/>
        </w:rPr>
      </w:pPr>
      <w:bookmarkStart w:id="28" w:name="_Toc106039340"/>
      <w:r>
        <w:rPr>
          <w:rFonts w:hint="eastAsia" w:cs="仿宋"/>
          <w:bCs w:val="0"/>
          <w:sz w:val="24"/>
        </w:rPr>
        <w:t>6评审（适用于询价采购）</w:t>
      </w:r>
      <w:bookmarkEnd w:id="28"/>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pStyle w:val="6"/>
        <w:spacing w:before="0" w:beforeAutospacing="0" w:after="0" w:afterAutospacing="0"/>
        <w:rPr>
          <w:rFonts w:cs="仿宋"/>
          <w:bCs w:val="0"/>
          <w:sz w:val="24"/>
        </w:rPr>
      </w:pPr>
      <w:bookmarkStart w:id="29" w:name="_Toc106039341"/>
      <w:r>
        <w:rPr>
          <w:rFonts w:hint="eastAsia" w:cs="仿宋"/>
          <w:bCs w:val="0"/>
          <w:sz w:val="24"/>
        </w:rPr>
        <w:t>7合同授予</w:t>
      </w:r>
      <w:bookmarkEnd w:id="29"/>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7.1成交候选供应商报价核查(B)</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bookmarkStart w:id="30" w:name="_Toc24135"/>
      <w:r>
        <w:rPr>
          <w:rFonts w:hint="eastAsia" w:ascii="宋体" w:hAnsi="宋体" w:cs="宋体"/>
          <w:b/>
          <w:bCs/>
          <w:sz w:val="24"/>
        </w:rPr>
        <w:t>7.3成交结果异议</w:t>
      </w:r>
      <w:bookmarkEnd w:id="30"/>
      <w:r>
        <w:rPr>
          <w:rFonts w:hint="eastAsia" w:ascii="宋体" w:hAnsi="宋体" w:cs="宋体"/>
          <w:b/>
          <w:bCs/>
          <w:sz w:val="24"/>
        </w:rPr>
        <w:t xml:space="preserve">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pStyle w:val="6"/>
        <w:spacing w:before="0" w:beforeAutospacing="0" w:after="0" w:afterAutospacing="0"/>
        <w:rPr>
          <w:rFonts w:cs="仿宋"/>
          <w:bCs w:val="0"/>
          <w:sz w:val="24"/>
        </w:rPr>
      </w:pPr>
      <w:bookmarkStart w:id="31" w:name="_Toc106039342"/>
      <w:r>
        <w:rPr>
          <w:rFonts w:hint="eastAsia" w:cs="仿宋"/>
          <w:bCs w:val="0"/>
          <w:sz w:val="24"/>
        </w:rPr>
        <w:t>8异议</w:t>
      </w:r>
      <w:bookmarkEnd w:id="31"/>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pStyle w:val="6"/>
        <w:spacing w:before="0" w:beforeAutospacing="0" w:after="0" w:afterAutospacing="0"/>
        <w:rPr>
          <w:rFonts w:cs="仿宋"/>
          <w:bCs w:val="0"/>
          <w:sz w:val="24"/>
        </w:rPr>
      </w:pPr>
      <w:bookmarkStart w:id="32" w:name="_Toc106039343"/>
      <w:r>
        <w:rPr>
          <w:rFonts w:hint="eastAsia" w:cs="仿宋"/>
          <w:bCs w:val="0"/>
          <w:sz w:val="24"/>
        </w:rPr>
        <w:t>9纪律要求</w:t>
      </w:r>
      <w:bookmarkEnd w:id="32"/>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pStyle w:val="6"/>
        <w:spacing w:before="0" w:beforeAutospacing="0" w:after="0" w:afterAutospacing="0"/>
        <w:rPr>
          <w:rFonts w:cs="仿宋"/>
          <w:bCs w:val="0"/>
          <w:sz w:val="24"/>
        </w:rPr>
      </w:pPr>
      <w:bookmarkStart w:id="33" w:name="_Toc106039344"/>
      <w:r>
        <w:rPr>
          <w:rFonts w:hint="eastAsia" w:cs="仿宋"/>
          <w:bCs w:val="0"/>
          <w:sz w:val="24"/>
        </w:rPr>
        <w:t>10</w:t>
      </w:r>
      <w:r>
        <w:rPr>
          <w:rFonts w:cs="仿宋"/>
          <w:bCs w:val="0"/>
          <w:sz w:val="24"/>
        </w:rPr>
        <w:t xml:space="preserve"> </w:t>
      </w:r>
      <w:r>
        <w:rPr>
          <w:rFonts w:hint="eastAsia" w:cs="仿宋"/>
          <w:bCs w:val="0"/>
          <w:sz w:val="24"/>
        </w:rPr>
        <w:t>需要补充的其他内容</w:t>
      </w:r>
      <w:bookmarkEnd w:id="33"/>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pStyle w:val="6"/>
        <w:rPr>
          <w:rFonts w:cs="仿宋"/>
          <w:sz w:val="30"/>
          <w:szCs w:val="30"/>
        </w:rPr>
      </w:pPr>
      <w:bookmarkStart w:id="34" w:name="_Toc106039345"/>
      <w:r>
        <w:rPr>
          <w:rFonts w:hint="eastAsia" w:cs="仿宋"/>
          <w:sz w:val="30"/>
          <w:szCs w:val="30"/>
        </w:rPr>
        <w:t>附件1  开启记录表</w:t>
      </w:r>
      <w:bookmarkEnd w:id="34"/>
    </w:p>
    <w:p>
      <w:pPr>
        <w:adjustRightInd w:val="0"/>
        <w:snapToGrid w:val="0"/>
        <w:spacing w:line="600" w:lineRule="exact"/>
        <w:ind w:firstLine="723" w:firstLineChars="200"/>
        <w:jc w:val="center"/>
        <w:rPr>
          <w:rFonts w:ascii="STZhongsong" w:hAnsi="STZhongsong" w:eastAsia="STZhongsong" w:cs="仿宋"/>
          <w:b/>
          <w:bCs/>
          <w:sz w:val="36"/>
          <w:szCs w:val="36"/>
        </w:rPr>
      </w:pPr>
    </w:p>
    <w:p>
      <w:pPr>
        <w:adjustRightInd w:val="0"/>
        <w:snapToGrid w:val="0"/>
        <w:spacing w:line="600" w:lineRule="exact"/>
        <w:ind w:firstLine="723" w:firstLineChars="200"/>
        <w:jc w:val="center"/>
        <w:rPr>
          <w:rFonts w:ascii="STZhongsong" w:hAnsi="STZhongsong" w:eastAsia="STZhongsong" w:cs="仿宋"/>
          <w:b/>
          <w:bCs/>
          <w:sz w:val="36"/>
          <w:szCs w:val="36"/>
        </w:rPr>
      </w:pPr>
      <w:r>
        <w:rPr>
          <w:rFonts w:hint="eastAsia" w:ascii="STZhongsong" w:hAnsi="STZhongsong" w:eastAsia="STZhongsong" w:cs="仿宋"/>
          <w:b/>
          <w:bCs/>
          <w:sz w:val="36"/>
          <w:szCs w:val="36"/>
        </w:rPr>
        <w:t>开启记录表</w:t>
      </w:r>
    </w:p>
    <w:p>
      <w:pPr>
        <w:adjustRightInd w:val="0"/>
        <w:snapToGrid w:val="0"/>
        <w:spacing w:line="600" w:lineRule="exact"/>
        <w:ind w:firstLine="723" w:firstLineChars="200"/>
        <w:jc w:val="center"/>
        <w:rPr>
          <w:rFonts w:ascii="STZhongsong" w:hAnsi="STZhongsong" w:eastAsia="STZhongsong"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3"/>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2327"/>
        <w:gridCol w:w="1934"/>
        <w:gridCol w:w="1934"/>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pStyle w:val="6"/>
        <w:rPr>
          <w:rFonts w:cs="仿宋"/>
          <w:sz w:val="30"/>
          <w:szCs w:val="30"/>
        </w:rPr>
      </w:pPr>
      <w:bookmarkStart w:id="35" w:name="_Toc106039346"/>
      <w:r>
        <w:rPr>
          <w:rFonts w:hint="eastAsia" w:cs="仿宋"/>
          <w:sz w:val="30"/>
          <w:szCs w:val="30"/>
        </w:rPr>
        <w:t>附件2  问题澄清通知</w:t>
      </w:r>
      <w:bookmarkEnd w:id="35"/>
    </w:p>
    <w:p>
      <w:pPr>
        <w:adjustRightInd w:val="0"/>
        <w:snapToGrid w:val="0"/>
        <w:spacing w:line="600" w:lineRule="exact"/>
        <w:ind w:firstLine="723" w:firstLineChars="200"/>
        <w:jc w:val="center"/>
        <w:rPr>
          <w:rFonts w:ascii="STZhongsong" w:hAnsi="STZhongsong" w:eastAsia="STZhongsong" w:cs="仿宋"/>
          <w:b/>
          <w:bCs/>
          <w:sz w:val="36"/>
          <w:szCs w:val="36"/>
        </w:rPr>
      </w:pPr>
    </w:p>
    <w:p>
      <w:pPr>
        <w:adjustRightInd w:val="0"/>
        <w:snapToGrid w:val="0"/>
        <w:spacing w:line="600" w:lineRule="exact"/>
        <w:ind w:firstLine="723" w:firstLineChars="200"/>
        <w:jc w:val="center"/>
        <w:rPr>
          <w:rFonts w:ascii="STZhongsong" w:hAnsi="STZhongsong" w:eastAsia="STZhongsong" w:cs="仿宋"/>
          <w:b/>
          <w:bCs/>
          <w:sz w:val="36"/>
          <w:szCs w:val="36"/>
        </w:rPr>
      </w:pPr>
      <w:r>
        <w:rPr>
          <w:rFonts w:hint="eastAsia" w:ascii="STZhongsong" w:hAnsi="STZhongsong" w:eastAsia="STZhongsong"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pStyle w:val="6"/>
        <w:rPr>
          <w:rFonts w:cs="仿宋"/>
          <w:sz w:val="30"/>
          <w:szCs w:val="30"/>
        </w:rPr>
      </w:pPr>
      <w:bookmarkStart w:id="36" w:name="_Toc106039347"/>
      <w:r>
        <w:rPr>
          <w:rFonts w:hint="eastAsia" w:cs="仿宋"/>
          <w:sz w:val="30"/>
          <w:szCs w:val="30"/>
        </w:rPr>
        <w:t>附件3  问题的澄清</w:t>
      </w:r>
      <w:bookmarkEnd w:id="36"/>
    </w:p>
    <w:p>
      <w:pPr>
        <w:adjustRightInd w:val="0"/>
        <w:snapToGrid w:val="0"/>
        <w:spacing w:line="600" w:lineRule="exact"/>
        <w:jc w:val="center"/>
        <w:rPr>
          <w:rFonts w:ascii="STZhongsong" w:hAnsi="STZhongsong" w:eastAsia="STZhongsong" w:cs="仿宋"/>
          <w:b/>
          <w:bCs/>
          <w:sz w:val="36"/>
          <w:szCs w:val="36"/>
        </w:rPr>
      </w:pPr>
    </w:p>
    <w:p>
      <w:pPr>
        <w:adjustRightInd w:val="0"/>
        <w:snapToGrid w:val="0"/>
        <w:spacing w:line="600" w:lineRule="exact"/>
        <w:jc w:val="center"/>
        <w:rPr>
          <w:rFonts w:ascii="STZhongsong" w:hAnsi="STZhongsong" w:eastAsia="STZhongsong" w:cs="仿宋"/>
          <w:b/>
          <w:bCs/>
          <w:sz w:val="36"/>
          <w:szCs w:val="36"/>
        </w:rPr>
      </w:pPr>
      <w:r>
        <w:rPr>
          <w:rFonts w:hint="eastAsia" w:ascii="STZhongsong" w:hAnsi="STZhongsong" w:eastAsia="STZhongsong"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pStyle w:val="6"/>
        <w:rPr>
          <w:rFonts w:cs="仿宋"/>
          <w:sz w:val="30"/>
          <w:szCs w:val="30"/>
        </w:rPr>
      </w:pPr>
      <w:bookmarkStart w:id="37" w:name="_Toc106039348"/>
      <w:r>
        <w:rPr>
          <w:rFonts w:hint="eastAsia" w:cs="仿宋"/>
          <w:sz w:val="30"/>
          <w:szCs w:val="30"/>
        </w:rPr>
        <w:t>附件4  成交通知书</w:t>
      </w:r>
      <w:bookmarkEnd w:id="37"/>
    </w:p>
    <w:p>
      <w:pPr>
        <w:adjustRightInd w:val="0"/>
        <w:snapToGrid w:val="0"/>
        <w:spacing w:line="600" w:lineRule="exact"/>
        <w:jc w:val="center"/>
        <w:rPr>
          <w:rFonts w:ascii="STZhongsong" w:hAnsi="STZhongsong" w:eastAsia="STZhongsong" w:cs="仿宋"/>
          <w:b/>
          <w:bCs/>
          <w:sz w:val="36"/>
          <w:szCs w:val="36"/>
        </w:rPr>
      </w:pPr>
    </w:p>
    <w:p>
      <w:pPr>
        <w:adjustRightInd w:val="0"/>
        <w:snapToGrid w:val="0"/>
        <w:spacing w:line="600" w:lineRule="exact"/>
        <w:jc w:val="center"/>
        <w:rPr>
          <w:rFonts w:ascii="STZhongsong" w:hAnsi="STZhongsong" w:eastAsia="STZhongsong" w:cs="仿宋"/>
          <w:b/>
          <w:bCs/>
          <w:sz w:val="36"/>
          <w:szCs w:val="36"/>
        </w:rPr>
      </w:pPr>
      <w:r>
        <w:rPr>
          <w:rFonts w:hint="eastAsia" w:ascii="STZhongsong" w:hAnsi="STZhongsong" w:eastAsia="STZhongsong" w:cs="仿宋"/>
          <w:b/>
          <w:bCs/>
          <w:sz w:val="36"/>
          <w:szCs w:val="36"/>
        </w:rPr>
        <w:t>成交通知书</w:t>
      </w:r>
    </w:p>
    <w:p>
      <w:pPr>
        <w:adjustRightInd w:val="0"/>
        <w:snapToGrid w:val="0"/>
        <w:spacing w:line="600" w:lineRule="exact"/>
        <w:ind w:firstLine="723" w:firstLineChars="200"/>
        <w:jc w:val="both"/>
        <w:rPr>
          <w:rFonts w:ascii="STZhongsong" w:hAnsi="STZhongsong" w:eastAsia="STZhongsong"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pStyle w:val="6"/>
        <w:rPr>
          <w:rFonts w:cs="仿宋"/>
          <w:sz w:val="30"/>
          <w:szCs w:val="30"/>
        </w:rPr>
      </w:pPr>
      <w:bookmarkStart w:id="38" w:name="_Toc106039349"/>
      <w:r>
        <w:rPr>
          <w:rFonts w:hint="eastAsia" w:cs="仿宋"/>
          <w:sz w:val="30"/>
          <w:szCs w:val="30"/>
        </w:rPr>
        <w:t>附件5  确认通知</w:t>
      </w:r>
      <w:bookmarkEnd w:id="38"/>
    </w:p>
    <w:p>
      <w:pPr>
        <w:adjustRightInd w:val="0"/>
        <w:snapToGrid w:val="0"/>
        <w:spacing w:line="600" w:lineRule="exact"/>
        <w:ind w:firstLine="723" w:firstLineChars="200"/>
        <w:jc w:val="both"/>
        <w:rPr>
          <w:rFonts w:ascii="STZhongsong" w:hAnsi="STZhongsong" w:eastAsia="STZhongsong" w:cs="仿宋"/>
          <w:b/>
          <w:bCs/>
          <w:sz w:val="36"/>
          <w:szCs w:val="36"/>
        </w:rPr>
      </w:pPr>
    </w:p>
    <w:p>
      <w:pPr>
        <w:adjustRightInd w:val="0"/>
        <w:snapToGrid w:val="0"/>
        <w:spacing w:line="600" w:lineRule="exact"/>
        <w:ind w:firstLine="723" w:firstLineChars="200"/>
        <w:jc w:val="center"/>
        <w:rPr>
          <w:rFonts w:ascii="STZhongsong" w:hAnsi="STZhongsong" w:eastAsia="STZhongsong" w:cs="仿宋"/>
          <w:b/>
          <w:bCs/>
          <w:sz w:val="36"/>
          <w:szCs w:val="36"/>
        </w:rPr>
      </w:pPr>
      <w:r>
        <w:rPr>
          <w:rFonts w:hint="eastAsia" w:ascii="STZhongsong" w:hAnsi="STZhongsong" w:eastAsia="STZhongsong" w:cs="仿宋"/>
          <w:b/>
          <w:bCs/>
          <w:sz w:val="36"/>
          <w:szCs w:val="36"/>
        </w:rPr>
        <w:t>确认通知</w:t>
      </w:r>
    </w:p>
    <w:p>
      <w:pPr>
        <w:adjustRightInd w:val="0"/>
        <w:snapToGrid w:val="0"/>
        <w:spacing w:line="600" w:lineRule="exact"/>
        <w:ind w:firstLine="723" w:firstLineChars="200"/>
        <w:jc w:val="both"/>
        <w:rPr>
          <w:rFonts w:ascii="STZhongsong" w:hAnsi="STZhongsong" w:eastAsia="STZhongsong"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81"/>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pStyle w:val="5"/>
        <w:spacing w:before="0" w:after="0"/>
        <w:jc w:val="center"/>
        <w:rPr>
          <w:rFonts w:ascii="黑体" w:hAnsi="黑体" w:eastAsia="黑体" w:cs="仿宋"/>
          <w:bCs w:val="0"/>
          <w:sz w:val="36"/>
          <w:szCs w:val="36"/>
        </w:rPr>
      </w:pPr>
      <w:bookmarkStart w:id="39" w:name="_Toc106039350"/>
      <w:bookmarkStart w:id="40" w:name="_Toc76635709"/>
      <w:bookmarkStart w:id="41" w:name="_Toc77254130"/>
      <w:r>
        <w:rPr>
          <w:rFonts w:hint="eastAsia" w:ascii="黑体" w:hAnsi="黑体" w:eastAsia="黑体" w:cs="仿宋"/>
          <w:bCs w:val="0"/>
          <w:sz w:val="36"/>
          <w:szCs w:val="36"/>
        </w:rPr>
        <w:t>第三章 评审办法</w:t>
      </w:r>
      <w:bookmarkEnd w:id="39"/>
    </w:p>
    <w:p>
      <w:pPr>
        <w:pStyle w:val="6"/>
        <w:spacing w:before="0" w:beforeAutospacing="0" w:after="0" w:afterAutospacing="0"/>
        <w:jc w:val="center"/>
        <w:rPr>
          <w:rFonts w:ascii="黑体" w:hAnsi="黑体" w:eastAsia="黑体" w:cs="仿宋"/>
          <w:bCs w:val="0"/>
          <w:sz w:val="32"/>
          <w:szCs w:val="32"/>
        </w:rPr>
      </w:pPr>
      <w:bookmarkStart w:id="42" w:name="_Toc106039351"/>
      <w:r>
        <w:rPr>
          <w:rFonts w:hint="eastAsia" w:ascii="黑体" w:hAnsi="黑体" w:eastAsia="黑体" w:cs="仿宋"/>
          <w:bCs w:val="0"/>
          <w:sz w:val="32"/>
          <w:szCs w:val="32"/>
        </w:rPr>
        <w:t>评审办法前附表</w:t>
      </w:r>
      <w:bookmarkEnd w:id="42"/>
    </w:p>
    <w:tbl>
      <w:tblPr>
        <w:tblStyle w:val="43"/>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573"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与</w:t>
            </w:r>
            <w:r>
              <w:rPr>
                <w:rFonts w:ascii="宋体" w:hAnsi="宋体"/>
                <w:szCs w:val="21"/>
              </w:rPr>
              <w:t>营业执照</w:t>
            </w:r>
            <w:r>
              <w:rPr>
                <w:rFonts w:hint="eastAsia" w:ascii="宋体" w:hAnsi="宋体"/>
                <w:szCs w:val="21"/>
              </w:rPr>
              <w:t>或事业单位法人证书</w:t>
            </w:r>
            <w:r>
              <w:rPr>
                <w:rFonts w:ascii="宋体" w:hAnsi="宋体"/>
                <w:szCs w:val="21"/>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响应文件格式</w:t>
            </w:r>
          </w:p>
        </w:tc>
        <w:tc>
          <w:tcPr>
            <w:tcW w:w="5676"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报价唯一</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不存在第一章第3.2款情形</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采购要求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ascii="宋体" w:hAnsi="宋体"/>
                <w:szCs w:val="21"/>
              </w:rPr>
              <w:t>权利义务</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ascii="宋体" w:hAnsi="宋体"/>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2825"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2" w:hRule="exact"/>
        </w:trPr>
        <w:tc>
          <w:tcPr>
            <w:tcW w:w="1270" w:type="dxa"/>
          </w:tcPr>
          <w:p>
            <w:pPr>
              <w:widowControl w:val="0"/>
              <w:adjustRightInd w:val="0"/>
              <w:snapToGrid w:val="0"/>
              <w:spacing w:line="288" w:lineRule="auto"/>
              <w:jc w:val="both"/>
              <w:rPr>
                <w:rFonts w:cs="仿宋" w:asciiTheme="minorEastAsia" w:hAnsiTheme="minorEastAsia" w:eastAsiaTheme="minorEastAsia"/>
                <w:szCs w:val="21"/>
              </w:rPr>
            </w:pPr>
          </w:p>
        </w:tc>
        <w:tc>
          <w:tcPr>
            <w:tcW w:w="2825" w:type="dxa"/>
            <w:gridSpan w:val="2"/>
            <w:vAlign w:val="center"/>
          </w:tcPr>
          <w:p>
            <w:pPr>
              <w:widowControl w:val="0"/>
              <w:spacing w:line="288" w:lineRule="auto"/>
              <w:jc w:val="center"/>
              <w:rPr>
                <w:rFonts w:hint="eastAsia" w:asciiTheme="minorEastAsia" w:hAnsiTheme="minorEastAsia" w:eastAsiaTheme="minorEastAsia"/>
                <w:szCs w:val="21"/>
                <w:lang w:eastAsia="zh-CN"/>
              </w:rPr>
            </w:pPr>
            <w:r>
              <w:rPr>
                <w:rFonts w:hint="eastAsia" w:ascii="宋体" w:hAnsi="宋体" w:cs="宋体"/>
                <w:szCs w:val="21"/>
              </w:rPr>
              <w:t>报价</w:t>
            </w:r>
          </w:p>
        </w:tc>
        <w:tc>
          <w:tcPr>
            <w:tcW w:w="5676" w:type="dxa"/>
            <w:vAlign w:val="center"/>
          </w:tcPr>
          <w:p>
            <w:pPr>
              <w:widowControl w:val="0"/>
              <w:adjustRightInd w:val="0"/>
              <w:snapToGrid w:val="0"/>
              <w:spacing w:line="288" w:lineRule="auto"/>
              <w:jc w:val="both"/>
              <w:rPr>
                <w:rFonts w:hint="eastAsia" w:ascii="宋体" w:hAnsi="宋体" w:eastAsia="宋体" w:cs="宋体"/>
                <w:szCs w:val="21"/>
                <w:lang w:eastAsia="zh-CN"/>
              </w:rPr>
            </w:pPr>
            <w:r>
              <w:rPr>
                <w:rFonts w:hint="eastAsia" w:ascii="宋体" w:hAnsi="宋体" w:cs="宋体"/>
                <w:szCs w:val="21"/>
                <w:lang w:eastAsia="zh-CN"/>
              </w:rPr>
              <w:t>成交</w:t>
            </w:r>
            <w:r>
              <w:rPr>
                <w:rFonts w:hint="eastAsia" w:ascii="宋体" w:hAnsi="宋体" w:cs="宋体"/>
                <w:szCs w:val="21"/>
              </w:rPr>
              <w:t>候选人确定方式：从合格的报价人当中，按照报价由低到高的顺序确定</w:t>
            </w:r>
            <w:r>
              <w:rPr>
                <w:rFonts w:hint="eastAsia" w:ascii="宋体" w:hAnsi="宋体" w:cs="宋体"/>
                <w:szCs w:val="21"/>
                <w:lang w:eastAsia="zh-CN"/>
              </w:rPr>
              <w:t>成交</w:t>
            </w:r>
            <w:r>
              <w:rPr>
                <w:rFonts w:hint="eastAsia" w:ascii="宋体" w:hAnsi="宋体" w:cs="宋体"/>
                <w:szCs w:val="21"/>
              </w:rPr>
              <w:t>候选人，报价最低者为第一</w:t>
            </w:r>
            <w:r>
              <w:rPr>
                <w:rFonts w:hint="eastAsia" w:ascii="宋体" w:hAnsi="宋体" w:cs="宋体"/>
                <w:szCs w:val="21"/>
                <w:lang w:eastAsia="zh-CN"/>
              </w:rPr>
              <w:t>成交</w:t>
            </w:r>
            <w:r>
              <w:rPr>
                <w:rFonts w:hint="eastAsia" w:ascii="宋体" w:hAnsi="宋体" w:cs="宋体"/>
                <w:szCs w:val="21"/>
              </w:rPr>
              <w:t>候选人</w:t>
            </w:r>
            <w:r>
              <w:rPr>
                <w:rFonts w:hint="eastAsia" w:ascii="宋体" w:hAnsi="宋体" w:cs="宋体"/>
                <w:szCs w:val="21"/>
                <w:lang w:eastAsia="zh-CN"/>
              </w:rPr>
              <w:t>。</w:t>
            </w:r>
          </w:p>
        </w:tc>
      </w:tr>
    </w:tbl>
    <w:p>
      <w:pPr>
        <w:spacing w:line="288" w:lineRule="auto"/>
        <w:jc w:val="both"/>
        <w:rPr>
          <w:rFonts w:ascii="宋体" w:hAnsi="宋体" w:cs="仿宋"/>
          <w:sz w:val="24"/>
        </w:rPr>
      </w:pPr>
      <w:r>
        <w:rPr>
          <w:rFonts w:hint="eastAsia" w:ascii="宋体" w:hAnsi="宋体" w:cs="仿宋"/>
          <w:sz w:val="24"/>
        </w:rPr>
        <w:br w:type="page"/>
      </w:r>
    </w:p>
    <w:p>
      <w:pPr>
        <w:pStyle w:val="6"/>
        <w:spacing w:before="0" w:beforeAutospacing="0" w:after="0" w:afterAutospacing="0"/>
        <w:jc w:val="center"/>
        <w:rPr>
          <w:rFonts w:cs="仿宋"/>
          <w:bCs w:val="0"/>
        </w:rPr>
      </w:pPr>
      <w:bookmarkStart w:id="43" w:name="_Toc106039352"/>
      <w:r>
        <w:rPr>
          <w:rFonts w:hint="eastAsia" w:cs="仿宋"/>
          <w:bCs w:val="0"/>
        </w:rPr>
        <w:t>评审办法正文</w:t>
      </w:r>
      <w:bookmarkEnd w:id="43"/>
    </w:p>
    <w:p>
      <w:pPr>
        <w:pStyle w:val="6"/>
        <w:spacing w:before="0" w:beforeAutospacing="0" w:after="0" w:afterAutospacing="0"/>
        <w:rPr>
          <w:rFonts w:cs="仿宋"/>
          <w:bCs w:val="0"/>
          <w:sz w:val="24"/>
        </w:rPr>
      </w:pPr>
      <w:bookmarkStart w:id="44" w:name="_Toc106039353"/>
      <w:r>
        <w:rPr>
          <w:rFonts w:hint="eastAsia" w:cs="仿宋"/>
          <w:bCs w:val="0"/>
          <w:sz w:val="24"/>
        </w:rPr>
        <w:t>1评审方法(最低价法)</w:t>
      </w:r>
      <w:bookmarkEnd w:id="44"/>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评标价低于理论成本价视为废标。</w:t>
      </w:r>
    </w:p>
    <w:p>
      <w:pPr>
        <w:pStyle w:val="6"/>
        <w:spacing w:before="0" w:beforeAutospacing="0" w:after="0" w:afterAutospacing="0"/>
        <w:rPr>
          <w:rFonts w:cs="仿宋"/>
          <w:bCs w:val="0"/>
          <w:sz w:val="24"/>
        </w:rPr>
      </w:pPr>
      <w:bookmarkStart w:id="45" w:name="_Toc106039354"/>
      <w:r>
        <w:rPr>
          <w:rFonts w:hint="eastAsia" w:cs="仿宋"/>
          <w:bCs w:val="0"/>
          <w:sz w:val="24"/>
        </w:rPr>
        <w:t>2初步评审标准和程序</w:t>
      </w:r>
      <w:bookmarkEnd w:id="45"/>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pStyle w:val="6"/>
        <w:spacing w:before="0" w:beforeAutospacing="0" w:after="0" w:afterAutospacing="0"/>
        <w:rPr>
          <w:rFonts w:cs="仿宋"/>
          <w:bCs w:val="0"/>
          <w:sz w:val="24"/>
        </w:rPr>
      </w:pPr>
      <w:bookmarkStart w:id="46" w:name="_Toc106039355"/>
      <w:r>
        <w:rPr>
          <w:rFonts w:hint="eastAsia" w:cs="仿宋"/>
          <w:bCs w:val="0"/>
          <w:sz w:val="24"/>
        </w:rPr>
        <w:t>3详细评审标准和程序(合理低价法)</w:t>
      </w:r>
      <w:bookmarkEnd w:id="46"/>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定标：评审小组对评审价格进行比较后，按照评审价格由低到高的顺序对供应商排序。供应商评审价格相等时，按照评审办法前附表的规定确定供应商优先顺序，评标价低于理论成本价视为废标。</w:t>
      </w:r>
    </w:p>
    <w:p>
      <w:pPr>
        <w:pStyle w:val="6"/>
        <w:spacing w:before="0" w:beforeAutospacing="0" w:after="0" w:afterAutospacing="0"/>
        <w:rPr>
          <w:rFonts w:cs="仿宋"/>
          <w:bCs w:val="0"/>
          <w:sz w:val="24"/>
        </w:rPr>
      </w:pPr>
      <w:bookmarkStart w:id="47" w:name="_Toc106039356"/>
      <w:r>
        <w:rPr>
          <w:rFonts w:hint="eastAsia" w:cs="仿宋"/>
          <w:bCs w:val="0"/>
          <w:sz w:val="24"/>
        </w:rPr>
        <w:t>4评审结果</w:t>
      </w:r>
      <w:bookmarkEnd w:id="47"/>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bookmarkEnd w:id="40"/>
    <w:bookmarkEnd w:id="41"/>
    <w:p>
      <w:pPr>
        <w:spacing w:line="240" w:lineRule="auto"/>
        <w:rPr>
          <w:rFonts w:ascii="黑体" w:hAnsi="黑体" w:eastAsia="黑体" w:cs="仿宋"/>
          <w:b/>
          <w:color w:val="000000"/>
          <w:kern w:val="0"/>
          <w:sz w:val="36"/>
          <w:szCs w:val="36"/>
        </w:rPr>
      </w:pPr>
      <w:r>
        <w:rPr>
          <w:rFonts w:ascii="黑体" w:hAnsi="黑体" w:eastAsia="黑体" w:cs="仿宋"/>
          <w:b/>
          <w:color w:val="000000"/>
          <w:sz w:val="36"/>
          <w:szCs w:val="36"/>
        </w:rPr>
        <w:br w:type="page"/>
      </w:r>
    </w:p>
    <w:p>
      <w:pPr>
        <w:pStyle w:val="81"/>
        <w:spacing w:line="600" w:lineRule="exact"/>
        <w:ind w:left="420" w:firstLine="0" w:firstLineChars="0"/>
        <w:jc w:val="center"/>
        <w:outlineLvl w:val="0"/>
        <w:rPr>
          <w:rFonts w:ascii="黑体" w:hAnsi="黑体" w:eastAsia="黑体" w:cs="仿宋"/>
          <w:b/>
          <w:color w:val="000000"/>
          <w:sz w:val="36"/>
          <w:szCs w:val="36"/>
        </w:rPr>
      </w:pPr>
      <w:bookmarkStart w:id="48" w:name="_Toc106039357"/>
      <w:r>
        <w:rPr>
          <w:rFonts w:hint="eastAsia" w:ascii="黑体" w:hAnsi="黑体" w:eastAsia="黑体" w:cs="仿宋"/>
          <w:b/>
          <w:color w:val="000000"/>
          <w:sz w:val="36"/>
          <w:szCs w:val="36"/>
        </w:rPr>
        <w:t>第四章  合同条款及格式</w:t>
      </w:r>
      <w:bookmarkEnd w:id="48"/>
    </w:p>
    <w:p>
      <w:pPr>
        <w:spacing w:line="312" w:lineRule="auto"/>
        <w:ind w:firstLine="544" w:firstLineChars="227"/>
        <w:jc w:val="both"/>
        <w:rPr>
          <w:rFonts w:cs="仿宋" w:asciiTheme="minorEastAsia" w:hAnsiTheme="minorEastAsia" w:eastAsiaTheme="minorEastAsia"/>
          <w:sz w:val="24"/>
        </w:rPr>
      </w:pPr>
    </w:p>
    <w:p>
      <w:pPr>
        <w:pStyle w:val="6"/>
        <w:jc w:val="center"/>
      </w:pPr>
      <w:bookmarkStart w:id="49" w:name="_Toc32056"/>
      <w:bookmarkStart w:id="50" w:name="_Toc246997080"/>
      <w:bookmarkStart w:id="51" w:name="_Toc247085852"/>
      <w:bookmarkStart w:id="52" w:name="_Toc144974827"/>
      <w:bookmarkStart w:id="53" w:name="_Toc152045768"/>
      <w:bookmarkStart w:id="54" w:name="_Toc246996337"/>
      <w:bookmarkStart w:id="55" w:name="_Toc179632786"/>
      <w:bookmarkStart w:id="56" w:name="_Toc152042547"/>
      <w:r>
        <w:rPr>
          <w:rFonts w:hint="eastAsia"/>
        </w:rPr>
        <w:t>一、正  文</w:t>
      </w:r>
    </w:p>
    <w:p>
      <w:pPr>
        <w:spacing w:line="360" w:lineRule="auto"/>
        <w:ind w:firstLine="482" w:firstLineChars="200"/>
        <w:jc w:val="both"/>
        <w:rPr>
          <w:rFonts w:ascii="宋体" w:hAnsi="宋体"/>
          <w:b/>
          <w:sz w:val="24"/>
        </w:rPr>
      </w:pPr>
      <w:r>
        <w:rPr>
          <w:rFonts w:hint="eastAsia" w:ascii="宋体" w:hAnsi="宋体"/>
          <w:b/>
          <w:sz w:val="24"/>
        </w:rPr>
        <w:t xml:space="preserve">第一条 </w:t>
      </w:r>
      <w:r>
        <w:rPr>
          <w:rFonts w:ascii="宋体" w:hAnsi="宋体"/>
          <w:b/>
          <w:sz w:val="24"/>
        </w:rPr>
        <w:t xml:space="preserve"> </w:t>
      </w:r>
      <w:r>
        <w:rPr>
          <w:rFonts w:hint="eastAsia" w:ascii="宋体" w:hAnsi="宋体"/>
          <w:b/>
          <w:sz w:val="24"/>
        </w:rPr>
        <w:t>采购产品清单</w:t>
      </w:r>
    </w:p>
    <w:p>
      <w:pPr>
        <w:spacing w:line="360" w:lineRule="auto"/>
        <w:ind w:firstLine="480" w:firstLineChars="200"/>
        <w:jc w:val="both"/>
        <w:rPr>
          <w:rFonts w:ascii="宋体" w:hAnsi="宋体"/>
          <w:sz w:val="24"/>
        </w:rPr>
      </w:pPr>
      <w:r>
        <w:rPr>
          <w:rFonts w:hint="eastAsia" w:ascii="宋体" w:hAnsi="宋体"/>
          <w:sz w:val="24"/>
        </w:rPr>
        <w:t>详见第六章“四、报价表”</w:t>
      </w:r>
    </w:p>
    <w:p>
      <w:pPr>
        <w:spacing w:line="360" w:lineRule="auto"/>
        <w:ind w:firstLine="482" w:firstLineChars="200"/>
        <w:jc w:val="both"/>
        <w:rPr>
          <w:rFonts w:ascii="宋体" w:hAnsi="宋体"/>
          <w:b/>
          <w:sz w:val="24"/>
        </w:rPr>
      </w:pPr>
      <w:r>
        <w:rPr>
          <w:rFonts w:hint="eastAsia" w:ascii="宋体" w:hAnsi="宋体"/>
          <w:b/>
          <w:sz w:val="24"/>
        </w:rPr>
        <w:t>第二条  产品交付</w:t>
      </w:r>
    </w:p>
    <w:p>
      <w:pPr>
        <w:spacing w:line="360" w:lineRule="auto"/>
        <w:ind w:firstLine="480" w:firstLineChars="200"/>
        <w:jc w:val="both"/>
        <w:rPr>
          <w:rFonts w:ascii="宋体" w:hAnsi="宋体"/>
          <w:sz w:val="24"/>
        </w:rPr>
      </w:pPr>
      <w:r>
        <w:rPr>
          <w:rFonts w:hint="eastAsia" w:ascii="宋体" w:hAnsi="宋体"/>
          <w:sz w:val="24"/>
        </w:rPr>
        <w:t>1.合同交货期为合同签订后10个工作日内到，由卖方将设备运至买方指定地点。</w:t>
      </w:r>
    </w:p>
    <w:p>
      <w:pPr>
        <w:spacing w:line="360" w:lineRule="auto"/>
        <w:ind w:firstLine="480" w:firstLineChars="200"/>
        <w:jc w:val="both"/>
        <w:rPr>
          <w:rFonts w:ascii="宋体" w:hAnsi="宋体"/>
          <w:sz w:val="24"/>
        </w:rPr>
      </w:pPr>
      <w:r>
        <w:rPr>
          <w:rFonts w:hint="eastAsia" w:ascii="宋体" w:hAnsi="宋体"/>
          <w:sz w:val="24"/>
        </w:rPr>
        <w:t>2.交货地点：长沙集星集装箱码头有限公司</w:t>
      </w:r>
    </w:p>
    <w:p>
      <w:pPr>
        <w:spacing w:line="360" w:lineRule="auto"/>
        <w:ind w:firstLine="480" w:firstLineChars="200"/>
        <w:jc w:val="both"/>
        <w:rPr>
          <w:rFonts w:ascii="宋体" w:hAnsi="宋体"/>
          <w:sz w:val="24"/>
        </w:rPr>
      </w:pPr>
      <w:r>
        <w:rPr>
          <w:rFonts w:hint="eastAsia" w:ascii="宋体" w:hAnsi="宋体"/>
          <w:sz w:val="24"/>
        </w:rPr>
        <w:t>3.包装方式：卖方应当严格执行现行包装标准,确保设备无任何损毁瑕疵，包装费用由卖方承担。</w:t>
      </w:r>
    </w:p>
    <w:p>
      <w:pPr>
        <w:spacing w:line="360" w:lineRule="auto"/>
        <w:ind w:firstLine="480" w:firstLineChars="200"/>
        <w:jc w:val="both"/>
        <w:rPr>
          <w:rFonts w:ascii="宋体" w:hAnsi="宋体"/>
          <w:sz w:val="24"/>
        </w:rPr>
      </w:pPr>
      <w:r>
        <w:rPr>
          <w:rFonts w:hint="eastAsia" w:ascii="宋体" w:hAnsi="宋体"/>
          <w:sz w:val="24"/>
        </w:rPr>
        <w:t xml:space="preserve">4.产品在运送至买方指定地点并经买方验收合格之前的毁损、灭失的风险由卖方承担。   </w:t>
      </w:r>
    </w:p>
    <w:p>
      <w:pPr>
        <w:spacing w:line="360" w:lineRule="auto"/>
        <w:ind w:firstLine="480" w:firstLineChars="200"/>
        <w:jc w:val="both"/>
        <w:rPr>
          <w:rFonts w:ascii="宋体" w:hAnsi="宋体"/>
          <w:sz w:val="24"/>
        </w:rPr>
      </w:pPr>
      <w:r>
        <w:rPr>
          <w:rFonts w:hint="eastAsia" w:ascii="宋体" w:hAnsi="宋体"/>
          <w:sz w:val="24"/>
        </w:rPr>
        <w:t>5.交付:产品运送至买方指定地点，买方接收后并经买方查验合格，视为卖方已交付。</w:t>
      </w:r>
    </w:p>
    <w:p>
      <w:pPr>
        <w:spacing w:line="360" w:lineRule="auto"/>
        <w:ind w:firstLine="482" w:firstLineChars="200"/>
        <w:jc w:val="both"/>
        <w:rPr>
          <w:rFonts w:ascii="宋体" w:hAnsi="宋体"/>
          <w:b/>
          <w:sz w:val="24"/>
        </w:rPr>
      </w:pPr>
      <w:r>
        <w:rPr>
          <w:rFonts w:hint="eastAsia" w:ascii="宋体" w:hAnsi="宋体"/>
          <w:b/>
          <w:sz w:val="24"/>
        </w:rPr>
        <w:t>第三条  产品质量异议及保修</w:t>
      </w:r>
    </w:p>
    <w:p>
      <w:pPr>
        <w:spacing w:line="360" w:lineRule="auto"/>
        <w:ind w:firstLine="480" w:firstLineChars="200"/>
        <w:jc w:val="both"/>
        <w:rPr>
          <w:rFonts w:ascii="宋体" w:hAnsi="宋体"/>
          <w:sz w:val="24"/>
        </w:rPr>
      </w:pPr>
      <w:r>
        <w:rPr>
          <w:rFonts w:hint="eastAsia" w:ascii="宋体" w:hAnsi="宋体"/>
          <w:sz w:val="24"/>
        </w:rPr>
        <w:t>1.卖方应保证合同项下所供货物是合同签订之后生产的、全新、未使用过的；</w:t>
      </w:r>
    </w:p>
    <w:p>
      <w:pPr>
        <w:spacing w:line="360" w:lineRule="auto"/>
        <w:ind w:firstLine="480" w:firstLineChars="200"/>
        <w:jc w:val="both"/>
        <w:rPr>
          <w:rFonts w:ascii="宋体" w:hAnsi="宋体"/>
          <w:sz w:val="24"/>
        </w:rPr>
      </w:pPr>
      <w:r>
        <w:rPr>
          <w:rFonts w:hint="eastAsia" w:ascii="宋体" w:hAnsi="宋体"/>
          <w:sz w:val="24"/>
        </w:rPr>
        <w:t>2.对除上述货品表面情况及数量外的其他质量异议，买方应在产品验收合格之日起7日内以书面形式向卖方提出，经卖方查验属实的，负担退换货责任。</w:t>
      </w:r>
    </w:p>
    <w:p>
      <w:pPr>
        <w:spacing w:line="360" w:lineRule="auto"/>
        <w:ind w:firstLine="480" w:firstLineChars="200"/>
        <w:jc w:val="both"/>
        <w:rPr>
          <w:rFonts w:ascii="宋体" w:hAnsi="宋体"/>
          <w:sz w:val="24"/>
        </w:rPr>
      </w:pPr>
      <w:r>
        <w:rPr>
          <w:rFonts w:hint="eastAsia" w:ascii="宋体" w:hAnsi="宋体"/>
          <w:sz w:val="24"/>
        </w:rPr>
        <w:t>3.卖方承诺，自买方验收产品合格后的一年内，除使用不当所造成的损坏以外的影响产品正常使用的质量问题，卖方应在收到买方通知后_2_日内免费负责修复或更换，所造成的损失由卖方承担。</w:t>
      </w:r>
    </w:p>
    <w:p>
      <w:pPr>
        <w:spacing w:line="360" w:lineRule="auto"/>
        <w:ind w:firstLine="482" w:firstLineChars="200"/>
        <w:jc w:val="both"/>
        <w:rPr>
          <w:rFonts w:ascii="宋体" w:hAnsi="宋体"/>
          <w:b/>
          <w:sz w:val="24"/>
        </w:rPr>
      </w:pPr>
      <w:r>
        <w:rPr>
          <w:rFonts w:hint="eastAsia" w:ascii="宋体" w:hAnsi="宋体"/>
          <w:b/>
          <w:sz w:val="24"/>
        </w:rPr>
        <w:t>第四条  支付</w:t>
      </w:r>
    </w:p>
    <w:p>
      <w:pPr>
        <w:spacing w:line="360" w:lineRule="auto"/>
        <w:ind w:firstLine="480" w:firstLineChars="200"/>
        <w:rPr>
          <w:rFonts w:ascii="宋体" w:hAnsi="宋体"/>
          <w:sz w:val="24"/>
          <w:u w:val="single"/>
        </w:rPr>
      </w:pPr>
      <w:r>
        <w:rPr>
          <w:rFonts w:ascii="宋体" w:hAnsi="宋体"/>
          <w:sz w:val="24"/>
        </w:rPr>
        <w:t>1.支付方式：</w:t>
      </w:r>
      <w:r>
        <w:rPr>
          <w:rFonts w:hint="eastAsia" w:ascii="宋体" w:hAnsi="宋体"/>
          <w:sz w:val="24"/>
          <w:u w:val="single"/>
        </w:rPr>
        <w:t>采购人分阶段支付。</w:t>
      </w:r>
    </w:p>
    <w:p>
      <w:pPr>
        <w:spacing w:line="360" w:lineRule="auto"/>
        <w:ind w:firstLine="480" w:firstLineChars="200"/>
        <w:rPr>
          <w:rFonts w:ascii="宋体" w:hAnsi="宋体"/>
          <w:sz w:val="24"/>
          <w:u w:val="single"/>
        </w:rPr>
      </w:pPr>
      <w:r>
        <w:rPr>
          <w:rFonts w:hint="eastAsia" w:ascii="宋体" w:hAnsi="宋体"/>
          <w:sz w:val="24"/>
          <w:u w:val="single"/>
        </w:rPr>
        <w:t>a、产品全部交付并验收合格后支付合同总价的97%。</w:t>
      </w:r>
    </w:p>
    <w:p>
      <w:pPr>
        <w:spacing w:line="360" w:lineRule="auto"/>
        <w:ind w:firstLine="480" w:firstLineChars="200"/>
        <w:rPr>
          <w:rFonts w:ascii="宋体" w:hAnsi="宋体"/>
          <w:sz w:val="24"/>
          <w:u w:val="single"/>
        </w:rPr>
      </w:pPr>
      <w:r>
        <w:rPr>
          <w:rFonts w:hint="eastAsia" w:ascii="宋体" w:hAnsi="宋体"/>
          <w:sz w:val="24"/>
          <w:u w:val="single"/>
        </w:rPr>
        <w:t>b、产品验收合格后满一年后支付合同总价的3%。</w:t>
      </w:r>
    </w:p>
    <w:p>
      <w:pPr>
        <w:spacing w:line="360" w:lineRule="auto"/>
        <w:ind w:firstLine="480" w:firstLineChars="200"/>
        <w:rPr>
          <w:rFonts w:ascii="宋体" w:hAnsi="宋体"/>
          <w:sz w:val="24"/>
        </w:rPr>
      </w:pPr>
      <w:r>
        <w:rPr>
          <w:rFonts w:hint="eastAsia" w:ascii="宋体" w:hAnsi="宋体"/>
          <w:sz w:val="24"/>
          <w:u w:val="single"/>
        </w:rPr>
        <w:t>支付前，供应商需向采购人提供等额增值税（专用）发票，否则采购人有权拒绝支付。</w:t>
      </w:r>
    </w:p>
    <w:p>
      <w:pPr>
        <w:spacing w:line="360" w:lineRule="auto"/>
        <w:ind w:firstLine="482" w:firstLineChars="200"/>
        <w:jc w:val="both"/>
        <w:rPr>
          <w:rFonts w:ascii="宋体" w:hAnsi="宋体"/>
          <w:b/>
          <w:sz w:val="24"/>
        </w:rPr>
      </w:pPr>
      <w:r>
        <w:rPr>
          <w:rFonts w:hint="eastAsia" w:ascii="宋体" w:hAnsi="宋体"/>
          <w:b/>
          <w:sz w:val="24"/>
        </w:rPr>
        <w:t>第五条  违约责任</w:t>
      </w:r>
    </w:p>
    <w:p>
      <w:pPr>
        <w:spacing w:line="360" w:lineRule="auto"/>
        <w:ind w:firstLine="480" w:firstLineChars="200"/>
        <w:jc w:val="both"/>
        <w:rPr>
          <w:rFonts w:ascii="宋体" w:hAnsi="宋体"/>
          <w:sz w:val="24"/>
        </w:rPr>
      </w:pPr>
      <w:r>
        <w:rPr>
          <w:rFonts w:hint="eastAsia" w:ascii="宋体" w:hAnsi="宋体"/>
          <w:sz w:val="24"/>
        </w:rPr>
        <w:t>1.供应商超过合同约定交货日期按逾期交货处理，违约金按逾期交货部分货款的</w:t>
      </w:r>
      <w:r>
        <w:rPr>
          <w:rFonts w:hint="eastAsia" w:ascii="宋体" w:hAnsi="宋体"/>
          <w:sz w:val="24"/>
          <w:u w:val="single"/>
        </w:rPr>
        <w:t xml:space="preserve">  1 %</w:t>
      </w:r>
      <w:r>
        <w:rPr>
          <w:rFonts w:hint="eastAsia" w:ascii="宋体" w:hAnsi="宋体"/>
          <w:sz w:val="24"/>
        </w:rPr>
        <w:t>/日向买方赔付。逾期交货超过10日的，采购人有权解除合同，采购人已付款项，供应商予以退还，并按合同总额的20%向买方承担违约金，违约金不足以弥补买方损失的，采购人有权继续追偿。</w:t>
      </w:r>
    </w:p>
    <w:p>
      <w:pPr>
        <w:spacing w:line="360" w:lineRule="auto"/>
        <w:ind w:firstLine="480" w:firstLineChars="200"/>
        <w:jc w:val="both"/>
        <w:rPr>
          <w:rFonts w:ascii="宋体" w:hAnsi="宋体"/>
          <w:sz w:val="24"/>
        </w:rPr>
      </w:pPr>
      <w:r>
        <w:rPr>
          <w:rFonts w:hint="eastAsia" w:ascii="宋体" w:hAnsi="宋体"/>
          <w:sz w:val="24"/>
        </w:rPr>
        <w:t>2.供应商明确表示或者以自己的行为表明不能交货的，违约金按不能交货部分货款的</w:t>
      </w:r>
      <w:r>
        <w:rPr>
          <w:rFonts w:hint="eastAsia" w:ascii="宋体" w:hAnsi="宋体"/>
          <w:sz w:val="24"/>
          <w:u w:val="single"/>
        </w:rPr>
        <w:t xml:space="preserve"> 5 </w:t>
      </w:r>
      <w:r>
        <w:rPr>
          <w:rFonts w:hint="eastAsia" w:ascii="宋体" w:hAnsi="宋体"/>
          <w:sz w:val="24"/>
        </w:rPr>
        <w:t>%向买方赔付，并承担采购人因此所受的损失费用。</w:t>
      </w:r>
    </w:p>
    <w:p>
      <w:pPr>
        <w:spacing w:line="360" w:lineRule="auto"/>
        <w:ind w:firstLine="480" w:firstLineChars="200"/>
        <w:jc w:val="both"/>
        <w:rPr>
          <w:rFonts w:ascii="宋体" w:hAnsi="宋体"/>
          <w:sz w:val="24"/>
        </w:rPr>
      </w:pPr>
      <w:r>
        <w:rPr>
          <w:rFonts w:hint="eastAsia" w:ascii="宋体" w:hAnsi="宋体"/>
          <w:sz w:val="24"/>
        </w:rPr>
        <w:t>3.供应商所交产品不符合合同规定的，由供应商按照采购人要求负责包换或维修，并承担调换或退货支付的实际费用，供应商不能修理或调换，按不能交货处理。采购人另行向第三方购买产品所导致的损失由卖方承担。</w:t>
      </w:r>
    </w:p>
    <w:p>
      <w:pPr>
        <w:spacing w:line="360" w:lineRule="auto"/>
        <w:ind w:firstLine="480" w:firstLineChars="200"/>
        <w:jc w:val="both"/>
        <w:rPr>
          <w:rFonts w:ascii="宋体" w:hAnsi="宋体"/>
          <w:sz w:val="24"/>
        </w:rPr>
      </w:pPr>
      <w:r>
        <w:rPr>
          <w:rFonts w:hint="eastAsia" w:ascii="宋体" w:hAnsi="宋体"/>
          <w:sz w:val="24"/>
        </w:rPr>
        <w:t>4.供应商如提供冒牌产品，一经确认，采购人有权取消卖方供货资格，供应商按照合同总价的3倍向采购人赔偿，并承担采购人因此遭受的所有损失。同时追究供应商相关法律责任。</w:t>
      </w:r>
    </w:p>
    <w:p>
      <w:pPr>
        <w:spacing w:line="360" w:lineRule="auto"/>
        <w:ind w:firstLine="482" w:firstLineChars="200"/>
        <w:jc w:val="both"/>
        <w:rPr>
          <w:rFonts w:ascii="宋体" w:hAnsi="宋体"/>
          <w:b/>
          <w:sz w:val="24"/>
        </w:rPr>
      </w:pPr>
      <w:r>
        <w:rPr>
          <w:rFonts w:hint="eastAsia" w:ascii="宋体" w:hAnsi="宋体"/>
          <w:b/>
          <w:sz w:val="24"/>
        </w:rPr>
        <w:t>第六条  争议解决</w:t>
      </w:r>
    </w:p>
    <w:p>
      <w:pPr>
        <w:spacing w:line="360" w:lineRule="auto"/>
        <w:ind w:firstLine="480" w:firstLineChars="200"/>
        <w:rPr>
          <w:rFonts w:ascii="宋体" w:hAnsi="宋体"/>
          <w:sz w:val="24"/>
        </w:rPr>
      </w:pPr>
      <w:r>
        <w:rPr>
          <w:rFonts w:hint="eastAsia" w:ascii="宋体" w:hAnsi="宋体"/>
          <w:sz w:val="24"/>
        </w:rPr>
        <w:t>本款约定为：争议的最终解决方式：</w:t>
      </w:r>
      <w:r>
        <w:rPr>
          <w:rFonts w:hint="eastAsia" w:ascii="MS Mincho" w:hAnsi="MS Mincho" w:cs="MS Mincho"/>
          <w:sz w:val="24"/>
          <w:u w:val="single"/>
        </w:rPr>
        <w:t>□</w:t>
      </w:r>
      <w:r>
        <w:rPr>
          <w:rFonts w:hint="eastAsia" w:ascii="宋体" w:hAnsi="宋体"/>
          <w:sz w:val="24"/>
          <w:u w:val="single"/>
        </w:rPr>
        <w:t>仲裁/</w:t>
      </w:r>
      <w:r>
        <w:rPr>
          <w:rFonts w:hint="eastAsia" w:ascii="宋体" w:hAnsi="宋体"/>
          <w:sz w:val="24"/>
          <w:u w:val="single"/>
        </w:rPr>
        <w:sym w:font="Wingdings 2" w:char="0052"/>
      </w:r>
      <w:r>
        <w:rPr>
          <w:rFonts w:hint="eastAsia" w:ascii="宋体" w:hAnsi="宋体"/>
          <w:sz w:val="24"/>
          <w:u w:val="single"/>
        </w:rPr>
        <w:t>诉讼</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如采用仲裁，仲裁机构名称：</w:t>
      </w:r>
      <w:r>
        <w:rPr>
          <w:rFonts w:hint="eastAsia" w:ascii="宋体" w:hAnsi="宋体"/>
          <w:sz w:val="24"/>
          <w:u w:val="single"/>
        </w:rPr>
        <w:t>长沙市仲裁委员会</w:t>
      </w:r>
      <w:r>
        <w:rPr>
          <w:rFonts w:hint="eastAsia" w:ascii="宋体" w:hAnsi="宋体"/>
          <w:sz w:val="24"/>
        </w:rPr>
        <w:t>。</w:t>
      </w:r>
    </w:p>
    <w:p>
      <w:pPr>
        <w:spacing w:line="360" w:lineRule="auto"/>
        <w:ind w:firstLine="480" w:firstLineChars="200"/>
        <w:rPr>
          <w:sz w:val="24"/>
        </w:rPr>
      </w:pPr>
      <w:r>
        <w:rPr>
          <w:rFonts w:hint="eastAsia" w:ascii="宋体" w:hAnsi="宋体"/>
          <w:sz w:val="24"/>
        </w:rPr>
        <w:t>如果用诉讼，诉讼机构名称：</w:t>
      </w:r>
      <w:r>
        <w:rPr>
          <w:rFonts w:hint="eastAsia" w:ascii="宋体" w:hAnsi="宋体"/>
          <w:sz w:val="24"/>
          <w:u w:val="single"/>
        </w:rPr>
        <w:t xml:space="preserve"> 长沙市开福区 </w:t>
      </w:r>
      <w:r>
        <w:rPr>
          <w:rFonts w:hint="eastAsia" w:ascii="宋体" w:hAnsi="宋体"/>
          <w:sz w:val="24"/>
        </w:rPr>
        <w:t>人民法院。</w:t>
      </w:r>
    </w:p>
    <w:p>
      <w:pPr>
        <w:spacing w:line="240" w:lineRule="auto"/>
        <w:rPr>
          <w:rFonts w:ascii="宋体" w:hAnsi="宋体"/>
          <w:b/>
          <w:bCs/>
          <w:kern w:val="0"/>
          <w:sz w:val="24"/>
        </w:rPr>
      </w:pPr>
      <w:r>
        <w:rPr>
          <w:sz w:val="24"/>
        </w:rPr>
        <w:br w:type="page"/>
      </w:r>
    </w:p>
    <w:p>
      <w:pPr>
        <w:pStyle w:val="6"/>
      </w:pPr>
      <w:bookmarkStart w:id="57" w:name="_Toc106039358"/>
      <w:r>
        <w:rPr>
          <w:rFonts w:hint="eastAsia"/>
        </w:rPr>
        <w:t>二、附件（中标后填写）</w:t>
      </w:r>
      <w:bookmarkEnd w:id="49"/>
      <w:bookmarkEnd w:id="57"/>
    </w:p>
    <w:p>
      <w:pPr>
        <w:pStyle w:val="7"/>
      </w:pPr>
      <w:bookmarkStart w:id="58" w:name="_Toc4098"/>
      <w:bookmarkStart w:id="59" w:name="_Toc106039359"/>
      <w:r>
        <w:rPr>
          <w:rFonts w:hint="eastAsia"/>
        </w:rPr>
        <w:t>附件一：合同协议书</w:t>
      </w:r>
      <w:bookmarkEnd w:id="50"/>
      <w:bookmarkEnd w:id="51"/>
      <w:bookmarkEnd w:id="52"/>
      <w:bookmarkEnd w:id="53"/>
      <w:bookmarkEnd w:id="54"/>
      <w:bookmarkEnd w:id="55"/>
      <w:bookmarkEnd w:id="56"/>
      <w:bookmarkEnd w:id="58"/>
      <w:bookmarkEnd w:id="59"/>
    </w:p>
    <w:p>
      <w:pPr>
        <w:spacing w:line="440" w:lineRule="exact"/>
        <w:jc w:val="center"/>
        <w:rPr>
          <w:rFonts w:ascii="黑体" w:hAnsi="黑体" w:eastAsia="黑体"/>
          <w:b/>
          <w:color w:val="000000"/>
          <w:kern w:val="0"/>
          <w:sz w:val="32"/>
          <w:szCs w:val="32"/>
        </w:rPr>
      </w:pPr>
      <w:r>
        <w:rPr>
          <w:rFonts w:ascii="黑体" w:hAnsi="黑体" w:eastAsia="黑体"/>
          <w:b/>
          <w:color w:val="000000"/>
          <w:kern w:val="0"/>
          <w:sz w:val="32"/>
          <w:szCs w:val="32"/>
        </w:rPr>
        <w:t>合同协议书</w:t>
      </w:r>
    </w:p>
    <w:p>
      <w:pPr>
        <w:spacing w:line="360" w:lineRule="auto"/>
        <w:ind w:firstLine="480" w:firstLineChars="200"/>
        <w:rPr>
          <w:sz w:val="24"/>
        </w:rPr>
      </w:pPr>
    </w:p>
    <w:p>
      <w:pPr>
        <w:spacing w:line="360" w:lineRule="auto"/>
        <w:ind w:firstLine="480" w:firstLineChars="200"/>
        <w:rPr>
          <w:sz w:val="24"/>
        </w:rPr>
      </w:pPr>
      <w:r>
        <w:rPr>
          <w:sz w:val="24"/>
        </w:rPr>
        <w:t>（</w:t>
      </w:r>
      <w:r>
        <w:rPr>
          <w:rFonts w:hint="eastAsia"/>
          <w:sz w:val="24"/>
        </w:rPr>
        <w:t>采购人</w:t>
      </w:r>
      <w:r>
        <w:rPr>
          <w:sz w:val="24"/>
        </w:rPr>
        <w:t>名称，以下简称“发包人”）为实施（项目名称）</w:t>
      </w:r>
      <w:r>
        <w:rPr>
          <w:rFonts w:hint="eastAsia" w:ascii="宋体" w:hAnsi="宋体"/>
          <w:sz w:val="24"/>
          <w:u w:val="single"/>
        </w:rPr>
        <w:t>长沙集星集装箱码头有限公司生产系统电脑采购</w:t>
      </w:r>
      <w:r>
        <w:rPr>
          <w:sz w:val="24"/>
        </w:rPr>
        <w:t>，已接受（</w:t>
      </w:r>
      <w:r>
        <w:rPr>
          <w:rFonts w:hint="eastAsia"/>
          <w:sz w:val="24"/>
        </w:rPr>
        <w:t>供应商</w:t>
      </w:r>
      <w:r>
        <w:rPr>
          <w:sz w:val="24"/>
        </w:rPr>
        <w:t>名称，以下简称“</w:t>
      </w:r>
      <w:r>
        <w:rPr>
          <w:rFonts w:hint="eastAsia"/>
          <w:sz w:val="24"/>
        </w:rPr>
        <w:t>供应商</w:t>
      </w:r>
      <w:r>
        <w:rPr>
          <w:sz w:val="24"/>
        </w:rPr>
        <w:t>”）对该项目</w:t>
      </w:r>
      <w:r>
        <w:rPr>
          <w:rFonts w:hint="eastAsia"/>
          <w:sz w:val="24"/>
        </w:rPr>
        <w:t>的</w:t>
      </w:r>
      <w:r>
        <w:rPr>
          <w:sz w:val="24"/>
        </w:rPr>
        <w:t>投标。</w:t>
      </w:r>
      <w:r>
        <w:rPr>
          <w:rFonts w:hint="eastAsia"/>
          <w:sz w:val="24"/>
        </w:rPr>
        <w:t>采购人</w:t>
      </w:r>
      <w:r>
        <w:rPr>
          <w:sz w:val="24"/>
        </w:rPr>
        <w:t>和</w:t>
      </w:r>
      <w:r>
        <w:rPr>
          <w:rFonts w:hint="eastAsia"/>
          <w:sz w:val="24"/>
        </w:rPr>
        <w:t>供应商</w:t>
      </w:r>
      <w:r>
        <w:rPr>
          <w:sz w:val="24"/>
        </w:rPr>
        <w:t>共同达成如下协议。</w:t>
      </w:r>
    </w:p>
    <w:p>
      <w:pPr>
        <w:spacing w:line="360" w:lineRule="auto"/>
        <w:ind w:firstLine="480" w:firstLineChars="200"/>
        <w:rPr>
          <w:sz w:val="24"/>
        </w:rPr>
      </w:pPr>
      <w:bookmarkStart w:id="60" w:name="_Toc152042548"/>
      <w:bookmarkStart w:id="61" w:name="_Toc144974828"/>
      <w:r>
        <w:rPr>
          <w:sz w:val="24"/>
        </w:rPr>
        <w:t>1</w:t>
      </w:r>
      <w:r>
        <w:rPr>
          <w:rFonts w:hint="eastAsia"/>
          <w:sz w:val="24"/>
        </w:rPr>
        <w:t>．下列文件应被视为构成并作为阅读和理解本协议书的组成部分，即</w:t>
      </w:r>
      <w:r>
        <w:rPr>
          <w:sz w:val="24"/>
        </w:rPr>
        <w:t>：</w:t>
      </w:r>
      <w:bookmarkEnd w:id="60"/>
      <w:bookmarkEnd w:id="61"/>
    </w:p>
    <w:p>
      <w:pPr>
        <w:spacing w:line="360" w:lineRule="auto"/>
        <w:ind w:firstLine="480" w:firstLineChars="200"/>
        <w:rPr>
          <w:sz w:val="24"/>
        </w:rPr>
      </w:pPr>
      <w:bookmarkStart w:id="62" w:name="_Toc1556"/>
      <w:bookmarkStart w:id="63" w:name="_Toc1224"/>
      <w:r>
        <w:rPr>
          <w:rFonts w:hint="eastAsia"/>
          <w:sz w:val="24"/>
        </w:rPr>
        <w:t>（</w:t>
      </w:r>
      <w:r>
        <w:rPr>
          <w:sz w:val="24"/>
        </w:rPr>
        <w:t>1</w:t>
      </w:r>
      <w:r>
        <w:rPr>
          <w:rFonts w:hint="eastAsia"/>
          <w:sz w:val="24"/>
        </w:rPr>
        <w:t>）在合同履行期间，采购人</w:t>
      </w:r>
      <w:r>
        <w:rPr>
          <w:sz w:val="24"/>
        </w:rPr>
        <w:t>和</w:t>
      </w:r>
      <w:r>
        <w:rPr>
          <w:rFonts w:hint="eastAsia"/>
          <w:sz w:val="24"/>
        </w:rPr>
        <w:t>供应商签订的补充协议（如果有）；</w:t>
      </w:r>
      <w:bookmarkEnd w:id="62"/>
      <w:bookmarkEnd w:id="63"/>
    </w:p>
    <w:p>
      <w:pPr>
        <w:spacing w:line="360" w:lineRule="auto"/>
        <w:ind w:firstLine="480" w:firstLineChars="200"/>
        <w:rPr>
          <w:sz w:val="24"/>
        </w:rPr>
      </w:pPr>
      <w:r>
        <w:rPr>
          <w:rFonts w:hint="eastAsia"/>
          <w:sz w:val="24"/>
        </w:rPr>
        <w:t>（2）本合同协议书及合同附件（含合同谈判中澄清文件，如果有）；</w:t>
      </w:r>
    </w:p>
    <w:p>
      <w:pPr>
        <w:spacing w:line="360" w:lineRule="auto"/>
        <w:ind w:firstLine="480" w:firstLineChars="200"/>
        <w:rPr>
          <w:sz w:val="24"/>
        </w:rPr>
      </w:pPr>
      <w:r>
        <w:rPr>
          <w:rFonts w:hint="eastAsia"/>
          <w:sz w:val="24"/>
        </w:rPr>
        <w:t>（3）成交</w:t>
      </w:r>
      <w:r>
        <w:rPr>
          <w:sz w:val="24"/>
        </w:rPr>
        <w:t>通知书；</w:t>
      </w:r>
    </w:p>
    <w:p>
      <w:pPr>
        <w:spacing w:line="360" w:lineRule="auto"/>
        <w:ind w:firstLine="480" w:firstLineChars="200"/>
        <w:rPr>
          <w:sz w:val="24"/>
        </w:rPr>
      </w:pPr>
      <w:r>
        <w:rPr>
          <w:rFonts w:hint="eastAsia"/>
          <w:sz w:val="24"/>
        </w:rPr>
        <w:t>（4）响应文件；</w:t>
      </w:r>
    </w:p>
    <w:p>
      <w:pPr>
        <w:spacing w:line="360" w:lineRule="auto"/>
        <w:ind w:firstLine="480" w:firstLineChars="200"/>
        <w:rPr>
          <w:sz w:val="24"/>
        </w:rPr>
      </w:pPr>
      <w:r>
        <w:rPr>
          <w:rFonts w:hint="eastAsia"/>
          <w:sz w:val="24"/>
        </w:rPr>
        <w:t>（5）采购人要求</w:t>
      </w:r>
      <w:r>
        <w:rPr>
          <w:sz w:val="24"/>
        </w:rPr>
        <w:t>；</w:t>
      </w:r>
    </w:p>
    <w:p>
      <w:pPr>
        <w:spacing w:line="360" w:lineRule="auto"/>
        <w:ind w:firstLine="480" w:firstLineChars="200"/>
        <w:rPr>
          <w:sz w:val="24"/>
        </w:rPr>
      </w:pPr>
      <w:r>
        <w:rPr>
          <w:rFonts w:hint="eastAsia"/>
          <w:sz w:val="24"/>
        </w:rPr>
        <w:t>（6）其他合同文件；</w:t>
      </w:r>
    </w:p>
    <w:p>
      <w:pPr>
        <w:spacing w:line="360" w:lineRule="auto"/>
        <w:ind w:firstLine="480" w:firstLineChars="200"/>
        <w:rPr>
          <w:sz w:val="24"/>
        </w:rPr>
      </w:pPr>
      <w:bookmarkStart w:id="64" w:name="_Toc144974829"/>
      <w:bookmarkStart w:id="65" w:name="_Toc152042549"/>
      <w:r>
        <w:rPr>
          <w:rFonts w:hint="eastAsia"/>
          <w:sz w:val="24"/>
        </w:rPr>
        <w:t>上述文件互相补充和解释，如有不明确或不一致之处，按时间顺序以最新文件为准。</w:t>
      </w:r>
      <w:bookmarkEnd w:id="64"/>
      <w:bookmarkEnd w:id="65"/>
    </w:p>
    <w:p>
      <w:pPr>
        <w:spacing w:line="360" w:lineRule="auto"/>
        <w:ind w:firstLine="480" w:firstLineChars="200"/>
        <w:rPr>
          <w:sz w:val="24"/>
        </w:rPr>
      </w:pPr>
      <w:r>
        <w:rPr>
          <w:rFonts w:hint="eastAsia"/>
          <w:sz w:val="24"/>
        </w:rPr>
        <w:t>2．签约合同价：人民币（大写）（   ¥），已含13%增值税、运输、安装调试、电脑组装、调试、系统安装及相应的售后服务费用。</w:t>
      </w:r>
    </w:p>
    <w:p>
      <w:pPr>
        <w:spacing w:line="360" w:lineRule="auto"/>
        <w:ind w:firstLine="480" w:firstLineChars="200"/>
        <w:rPr>
          <w:sz w:val="24"/>
        </w:rPr>
      </w:pPr>
      <w:r>
        <w:rPr>
          <w:rFonts w:hint="eastAsia"/>
          <w:sz w:val="24"/>
        </w:rPr>
        <w:t>3．供应商在此立约：保证在所有方面按合同文件的规定，承担本合同项目的实施和完成工作。</w:t>
      </w:r>
    </w:p>
    <w:p>
      <w:pPr>
        <w:spacing w:line="360" w:lineRule="auto"/>
        <w:ind w:firstLine="480" w:firstLineChars="200"/>
        <w:rPr>
          <w:sz w:val="24"/>
        </w:rPr>
      </w:pPr>
      <w:r>
        <w:rPr>
          <w:rFonts w:hint="eastAsia"/>
          <w:sz w:val="24"/>
        </w:rPr>
        <w:t>4．供货时间：同签订后10个工作日内向采购人提交电脑设备，并完成安装调试。。</w:t>
      </w:r>
    </w:p>
    <w:p>
      <w:pPr>
        <w:spacing w:line="360" w:lineRule="auto"/>
        <w:ind w:firstLine="480" w:firstLineChars="200"/>
        <w:rPr>
          <w:sz w:val="24"/>
        </w:rPr>
      </w:pPr>
      <w:r>
        <w:rPr>
          <w:rFonts w:hint="eastAsia"/>
          <w:sz w:val="24"/>
        </w:rPr>
        <w:t>5．采购人承诺按合同条款规定的时间和方式向供应商人支付合同价款。</w:t>
      </w:r>
    </w:p>
    <w:p>
      <w:pPr>
        <w:spacing w:line="360" w:lineRule="auto"/>
        <w:ind w:firstLine="480" w:firstLineChars="200"/>
        <w:rPr>
          <w:sz w:val="24"/>
        </w:rPr>
      </w:pPr>
      <w:r>
        <w:rPr>
          <w:rFonts w:hint="eastAsia"/>
          <w:sz w:val="24"/>
        </w:rPr>
        <w:t>6．违约金或赔偿损失的方式</w:t>
      </w:r>
    </w:p>
    <w:p>
      <w:pPr>
        <w:spacing w:line="360" w:lineRule="auto"/>
        <w:ind w:firstLine="480" w:firstLineChars="200"/>
        <w:rPr>
          <w:sz w:val="24"/>
        </w:rPr>
      </w:pPr>
      <w:r>
        <w:rPr>
          <w:rFonts w:hint="eastAsia"/>
          <w:sz w:val="24"/>
        </w:rPr>
        <w:t>6.1违反本合同约定，违约方应当承担违约责任。</w:t>
      </w:r>
    </w:p>
    <w:p>
      <w:pPr>
        <w:spacing w:line="360" w:lineRule="auto"/>
        <w:ind w:firstLine="480" w:firstLineChars="200"/>
        <w:rPr>
          <w:sz w:val="24"/>
        </w:rPr>
      </w:pPr>
      <w:r>
        <w:rPr>
          <w:rFonts w:hint="eastAsia"/>
          <w:sz w:val="24"/>
        </w:rPr>
        <w:t>7</w:t>
      </w:r>
      <w:r>
        <w:rPr>
          <w:sz w:val="24"/>
        </w:rPr>
        <w:t>.本协议书一式</w:t>
      </w:r>
      <w:r>
        <w:rPr>
          <w:rFonts w:hint="eastAsia"/>
          <w:sz w:val="24"/>
          <w:u w:val="single"/>
        </w:rPr>
        <w:t xml:space="preserve"> 陆 </w:t>
      </w:r>
      <w:r>
        <w:rPr>
          <w:sz w:val="24"/>
        </w:rPr>
        <w:t>份，合同双方各执</w:t>
      </w:r>
      <w:r>
        <w:rPr>
          <w:rFonts w:hint="eastAsia"/>
          <w:sz w:val="24"/>
          <w:u w:val="single"/>
        </w:rPr>
        <w:t xml:space="preserve"> 叁 </w:t>
      </w:r>
      <w:r>
        <w:rPr>
          <w:sz w:val="24"/>
        </w:rPr>
        <w:t>份。</w:t>
      </w:r>
    </w:p>
    <w:p>
      <w:pPr>
        <w:spacing w:line="360" w:lineRule="auto"/>
        <w:ind w:firstLine="480" w:firstLineChars="200"/>
        <w:rPr>
          <w:sz w:val="24"/>
        </w:rPr>
      </w:pPr>
      <w:bookmarkStart w:id="66" w:name="_Toc152042550"/>
      <w:bookmarkStart w:id="67" w:name="_Toc144974830"/>
      <w:r>
        <w:rPr>
          <w:rFonts w:hint="eastAsia"/>
          <w:sz w:val="24"/>
        </w:rPr>
        <w:t>8</w:t>
      </w:r>
      <w:r>
        <w:rPr>
          <w:sz w:val="24"/>
        </w:rPr>
        <w:t>. 合同未尽事宜，双方另行签订补充协议。补充协议是合同的组成部分。</w:t>
      </w:r>
      <w:bookmarkEnd w:id="66"/>
      <w:bookmarkEnd w:id="67"/>
    </w:p>
    <w:p>
      <w:pPr>
        <w:spacing w:line="360" w:lineRule="auto"/>
        <w:ind w:firstLine="480" w:firstLineChars="200"/>
        <w:rPr>
          <w:sz w:val="24"/>
        </w:rPr>
      </w:pPr>
    </w:p>
    <w:p>
      <w:pPr>
        <w:spacing w:line="360" w:lineRule="auto"/>
        <w:ind w:firstLine="480" w:firstLineChars="200"/>
        <w:rPr>
          <w:sz w:val="24"/>
        </w:rPr>
      </w:pPr>
      <w:r>
        <w:rPr>
          <w:rFonts w:hint="eastAsia"/>
          <w:sz w:val="24"/>
        </w:rPr>
        <w:t>采购人</w:t>
      </w:r>
      <w:r>
        <w:rPr>
          <w:sz w:val="24"/>
        </w:rPr>
        <w:t>：（盖单位章）</w:t>
      </w:r>
      <w:r>
        <w:rPr>
          <w:rFonts w:hint="eastAsia"/>
          <w:sz w:val="24"/>
        </w:rPr>
        <w:t xml:space="preserve">                            供应商</w:t>
      </w:r>
      <w:r>
        <w:rPr>
          <w:sz w:val="24"/>
        </w:rPr>
        <w:t>：（盖单位章）</w:t>
      </w:r>
    </w:p>
    <w:p>
      <w:pPr>
        <w:spacing w:line="360" w:lineRule="auto"/>
        <w:ind w:firstLine="480" w:firstLineChars="200"/>
        <w:rPr>
          <w:sz w:val="24"/>
        </w:rPr>
      </w:pPr>
    </w:p>
    <w:p>
      <w:pPr>
        <w:spacing w:line="360" w:lineRule="auto"/>
        <w:ind w:firstLine="480" w:firstLineChars="200"/>
        <w:rPr>
          <w:sz w:val="24"/>
        </w:rPr>
      </w:pPr>
      <w:r>
        <w:rPr>
          <w:sz w:val="24"/>
        </w:rPr>
        <w:t>法定代表人或其委托代理人：（签字）</w:t>
      </w:r>
      <w:r>
        <w:rPr>
          <w:rFonts w:hint="eastAsia"/>
          <w:sz w:val="24"/>
        </w:rPr>
        <w:t xml:space="preserve">           </w:t>
      </w:r>
      <w:r>
        <w:rPr>
          <w:sz w:val="24"/>
        </w:rPr>
        <w:t>法定代表人或其委托代理人：（签字）</w:t>
      </w:r>
    </w:p>
    <w:p>
      <w:pPr>
        <w:spacing w:line="360" w:lineRule="auto"/>
        <w:ind w:firstLine="720" w:firstLineChars="300"/>
        <w:rPr>
          <w:sz w:val="24"/>
        </w:rPr>
      </w:pPr>
    </w:p>
    <w:p>
      <w:pPr>
        <w:spacing w:line="360" w:lineRule="auto"/>
        <w:ind w:firstLine="1200" w:firstLineChars="500"/>
        <w:rPr>
          <w:sz w:val="24"/>
        </w:rPr>
      </w:pPr>
      <w:r>
        <w:rPr>
          <w:sz w:val="24"/>
        </w:rPr>
        <w:t>年</w:t>
      </w:r>
      <w:r>
        <w:rPr>
          <w:rFonts w:hint="eastAsia"/>
          <w:sz w:val="24"/>
        </w:rPr>
        <w:t xml:space="preserve">   </w:t>
      </w:r>
      <w:r>
        <w:rPr>
          <w:sz w:val="24"/>
        </w:rPr>
        <w:t>月</w:t>
      </w:r>
      <w:r>
        <w:rPr>
          <w:rFonts w:hint="eastAsia"/>
          <w:sz w:val="24"/>
        </w:rPr>
        <w:t xml:space="preserve">   </w:t>
      </w:r>
      <w:r>
        <w:rPr>
          <w:sz w:val="24"/>
        </w:rPr>
        <w:t>日</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pPr>
        <w:spacing w:line="360" w:lineRule="auto"/>
        <w:ind w:firstLine="480" w:firstLineChars="200"/>
        <w:rPr>
          <w:sz w:val="24"/>
        </w:rPr>
      </w:pPr>
      <w:r>
        <w:rPr>
          <w:rFonts w:hint="eastAsia"/>
          <w:sz w:val="24"/>
        </w:rPr>
        <w:br w:type="page"/>
      </w:r>
    </w:p>
    <w:p>
      <w:pPr>
        <w:pStyle w:val="7"/>
        <w:rPr>
          <w:rFonts w:ascii="Times New Roman"/>
        </w:rPr>
      </w:pPr>
      <w:bookmarkStart w:id="68" w:name="_Toc106039360"/>
      <w:bookmarkStart w:id="69" w:name="_Hlk79957878"/>
      <w:r>
        <w:rPr>
          <w:rFonts w:hint="eastAsia" w:ascii="Times New Roman"/>
        </w:rPr>
        <w:t>附件</w:t>
      </w:r>
      <w:r>
        <w:rPr>
          <w:rFonts w:hint="eastAsia"/>
        </w:rPr>
        <w:t>二</w:t>
      </w:r>
      <w:r>
        <w:rPr>
          <w:rFonts w:hint="eastAsia" w:ascii="Times New Roman"/>
        </w:rPr>
        <w:t>：廉政责任书</w:t>
      </w:r>
      <w:bookmarkEnd w:id="68"/>
    </w:p>
    <w:p>
      <w:pPr>
        <w:pStyle w:val="194"/>
        <w:autoSpaceDE/>
        <w:autoSpaceDN/>
        <w:adjustRightInd/>
        <w:spacing w:before="240" w:after="240" w:line="490" w:lineRule="exact"/>
        <w:jc w:val="center"/>
        <w:rPr>
          <w:rFonts w:cs="Times New Roman"/>
          <w:b/>
          <w:color w:val="000000"/>
          <w:sz w:val="32"/>
          <w:szCs w:val="32"/>
        </w:rPr>
      </w:pPr>
      <w:r>
        <w:rPr>
          <w:rFonts w:cs="Times New Roman"/>
          <w:b/>
          <w:color w:val="000000"/>
          <w:sz w:val="32"/>
          <w:szCs w:val="32"/>
        </w:rPr>
        <w:t>廉政责任书（格式）</w:t>
      </w:r>
    </w:p>
    <w:p>
      <w:pPr>
        <w:spacing w:line="312" w:lineRule="auto"/>
        <w:ind w:firstLine="480" w:firstLineChars="200"/>
        <w:rPr>
          <w:rFonts w:ascii="宋体" w:hAnsi="宋体"/>
          <w:color w:val="000000"/>
          <w:sz w:val="24"/>
          <w:u w:val="single"/>
        </w:rPr>
      </w:pPr>
      <w:r>
        <w:rPr>
          <w:rFonts w:hint="eastAsia" w:ascii="宋体" w:hAnsi="宋体"/>
          <w:color w:val="000000"/>
          <w:sz w:val="24"/>
        </w:rPr>
        <w:t>采购</w:t>
      </w:r>
      <w:r>
        <w:rPr>
          <w:rFonts w:ascii="宋体" w:hAnsi="宋体"/>
          <w:color w:val="000000"/>
          <w:sz w:val="24"/>
        </w:rPr>
        <w:t>项目名称：</w:t>
      </w:r>
      <w:r>
        <w:rPr>
          <w:rFonts w:ascii="宋体" w:hAnsi="宋体"/>
          <w:color w:val="000000"/>
          <w:sz w:val="24"/>
          <w:u w:val="single"/>
        </w:rPr>
        <w:t xml:space="preserve">                                        </w:t>
      </w:r>
    </w:p>
    <w:p>
      <w:pPr>
        <w:spacing w:line="312" w:lineRule="auto"/>
        <w:ind w:firstLine="480" w:firstLineChars="200"/>
        <w:rPr>
          <w:rFonts w:ascii="宋体" w:hAnsi="宋体"/>
          <w:color w:val="000000"/>
          <w:sz w:val="24"/>
          <w:u w:val="single"/>
        </w:rPr>
      </w:pPr>
      <w:r>
        <w:rPr>
          <w:rFonts w:hint="eastAsia" w:ascii="宋体" w:hAnsi="宋体"/>
          <w:color w:val="000000"/>
          <w:sz w:val="24"/>
        </w:rPr>
        <w:t>采购</w:t>
      </w:r>
      <w:r>
        <w:rPr>
          <w:rFonts w:ascii="宋体" w:hAnsi="宋体"/>
          <w:color w:val="000000"/>
          <w:sz w:val="24"/>
        </w:rPr>
        <w:t>项目地址：</w:t>
      </w:r>
      <w:r>
        <w:rPr>
          <w:rFonts w:ascii="宋体" w:hAnsi="宋体"/>
          <w:color w:val="000000"/>
          <w:sz w:val="24"/>
          <w:u w:val="single"/>
        </w:rPr>
        <w:t xml:space="preserve">                                        </w:t>
      </w:r>
    </w:p>
    <w:p>
      <w:pPr>
        <w:spacing w:line="312" w:lineRule="auto"/>
        <w:ind w:firstLine="480" w:firstLineChars="200"/>
        <w:rPr>
          <w:rFonts w:ascii="宋体" w:hAnsi="宋体"/>
          <w:color w:val="000000"/>
          <w:sz w:val="24"/>
          <w:u w:val="single"/>
        </w:rPr>
      </w:pPr>
      <w:r>
        <w:rPr>
          <w:rFonts w:hint="eastAsia" w:ascii="宋体" w:hAnsi="宋体"/>
          <w:color w:val="000000"/>
          <w:sz w:val="24"/>
        </w:rPr>
        <w:t>采购</w:t>
      </w:r>
      <w:r>
        <w:rPr>
          <w:rFonts w:ascii="宋体" w:hAnsi="宋体"/>
          <w:color w:val="000000"/>
          <w:sz w:val="24"/>
        </w:rPr>
        <w:t>人（甲方）：</w:t>
      </w:r>
      <w:r>
        <w:rPr>
          <w:rFonts w:ascii="宋体" w:hAnsi="宋体"/>
          <w:color w:val="000000"/>
          <w:sz w:val="24"/>
          <w:u w:val="single"/>
        </w:rPr>
        <w:t xml:space="preserve">                                       </w:t>
      </w:r>
    </w:p>
    <w:p>
      <w:pPr>
        <w:spacing w:line="312" w:lineRule="auto"/>
        <w:ind w:firstLine="480" w:firstLineChars="200"/>
        <w:rPr>
          <w:rFonts w:ascii="宋体" w:hAnsi="宋体"/>
          <w:color w:val="000000"/>
          <w:sz w:val="24"/>
        </w:rPr>
      </w:pPr>
      <w:r>
        <w:rPr>
          <w:rFonts w:hint="eastAsia" w:ascii="宋体" w:hAnsi="宋体"/>
          <w:color w:val="000000"/>
          <w:sz w:val="24"/>
        </w:rPr>
        <w:t>供应商</w:t>
      </w:r>
      <w:r>
        <w:rPr>
          <w:rFonts w:ascii="宋体" w:hAnsi="宋体"/>
          <w:color w:val="000000"/>
          <w:sz w:val="24"/>
        </w:rPr>
        <w:t>（乙方）：</w:t>
      </w:r>
      <w:r>
        <w:rPr>
          <w:rFonts w:ascii="宋体" w:hAnsi="宋体"/>
          <w:color w:val="000000"/>
          <w:sz w:val="24"/>
          <w:u w:val="single"/>
        </w:rPr>
        <w:t xml:space="preserve">                                       </w:t>
      </w:r>
    </w:p>
    <w:p>
      <w:pPr>
        <w:spacing w:line="312" w:lineRule="auto"/>
        <w:ind w:firstLine="480" w:firstLineChars="200"/>
        <w:rPr>
          <w:rFonts w:ascii="宋体" w:hAnsi="宋体"/>
          <w:color w:val="000000"/>
          <w:sz w:val="24"/>
        </w:rPr>
      </w:pPr>
    </w:p>
    <w:p>
      <w:pPr>
        <w:spacing w:line="312" w:lineRule="auto"/>
        <w:ind w:firstLine="480" w:firstLineChars="200"/>
        <w:rPr>
          <w:rFonts w:ascii="宋体" w:hAnsi="宋体"/>
          <w:color w:val="000000"/>
          <w:sz w:val="24"/>
        </w:rPr>
      </w:pPr>
      <w:r>
        <w:rPr>
          <w:rFonts w:ascii="宋体" w:hAnsi="宋体"/>
          <w:color w:val="000000"/>
          <w:sz w:val="24"/>
        </w:rPr>
        <w:t>为加强</w:t>
      </w:r>
      <w:r>
        <w:rPr>
          <w:rFonts w:hint="eastAsia" w:ascii="宋体" w:hAnsi="宋体"/>
          <w:color w:val="000000"/>
          <w:sz w:val="24"/>
        </w:rPr>
        <w:t>项目实施过程中</w:t>
      </w:r>
      <w:r>
        <w:rPr>
          <w:rFonts w:ascii="宋体" w:hAnsi="宋体"/>
          <w:color w:val="000000"/>
          <w:sz w:val="24"/>
        </w:rPr>
        <w:t>的廉政建设，规范承发包双方的各项活动，防止发生各种谋取不正当利益的违法违纪行为，保护国家、集体和当事人的合法权益，根据国家有关法律法规和廉政建设责任制规定，特订立本廉政责任书。</w:t>
      </w:r>
    </w:p>
    <w:p>
      <w:pPr>
        <w:spacing w:line="312" w:lineRule="auto"/>
        <w:ind w:firstLine="480" w:firstLineChars="200"/>
        <w:rPr>
          <w:rFonts w:ascii="宋体" w:hAnsi="宋体"/>
          <w:color w:val="000000"/>
          <w:sz w:val="24"/>
        </w:rPr>
      </w:pPr>
      <w:r>
        <w:rPr>
          <w:rFonts w:ascii="宋体" w:hAnsi="宋体"/>
          <w:color w:val="000000"/>
          <w:sz w:val="24"/>
        </w:rPr>
        <w:t>第一条  甲乙双方的责任</w:t>
      </w:r>
    </w:p>
    <w:p>
      <w:pPr>
        <w:spacing w:line="312" w:lineRule="auto"/>
        <w:ind w:firstLine="480" w:firstLineChars="200"/>
        <w:rPr>
          <w:rFonts w:ascii="宋体" w:hAnsi="宋体"/>
          <w:color w:val="000000"/>
          <w:sz w:val="24"/>
        </w:rPr>
      </w:pPr>
      <w:r>
        <w:rPr>
          <w:rFonts w:ascii="宋体" w:hAnsi="宋体"/>
          <w:color w:val="000000"/>
          <w:sz w:val="24"/>
        </w:rPr>
        <w:t>（一）应严格遵守国家关于市场准入、项目招标投标、工程建设、施工安装和市场活动等有关法律、法规，相关政策，以及廉政建设的各项规定。</w:t>
      </w:r>
    </w:p>
    <w:p>
      <w:pPr>
        <w:spacing w:line="312" w:lineRule="auto"/>
        <w:ind w:firstLine="480" w:firstLineChars="200"/>
        <w:rPr>
          <w:rFonts w:ascii="宋体" w:hAnsi="宋体"/>
          <w:color w:val="000000"/>
          <w:sz w:val="24"/>
        </w:rPr>
      </w:pPr>
      <w:r>
        <w:rPr>
          <w:rFonts w:ascii="宋体" w:hAnsi="宋体"/>
          <w:color w:val="000000"/>
          <w:sz w:val="24"/>
        </w:rPr>
        <w:t>（二）严格执行项目承发包合同文件，自觉按合同办事。</w:t>
      </w:r>
    </w:p>
    <w:p>
      <w:pPr>
        <w:spacing w:line="312" w:lineRule="auto"/>
        <w:ind w:firstLine="480" w:firstLineChars="200"/>
        <w:rPr>
          <w:rFonts w:ascii="宋体" w:hAnsi="宋体"/>
          <w:color w:val="000000"/>
          <w:sz w:val="24"/>
        </w:rPr>
      </w:pPr>
      <w:r>
        <w:rPr>
          <w:rFonts w:ascii="宋体" w:hAnsi="宋体"/>
          <w:color w:val="000000"/>
          <w:sz w:val="24"/>
        </w:rPr>
        <w:t>（三）业务活动必须坚持公开、公平、公正、诚信、透明的原则（除法律法规另有规定者外）。不得为获取不正当的利益，损害国家、集体和对方利益，不得违反工程建设管理、施工安装的规章制度。</w:t>
      </w:r>
    </w:p>
    <w:p>
      <w:pPr>
        <w:spacing w:line="312" w:lineRule="auto"/>
        <w:ind w:firstLine="480" w:firstLineChars="200"/>
        <w:rPr>
          <w:rFonts w:ascii="宋体" w:hAnsi="宋体"/>
          <w:color w:val="000000"/>
          <w:sz w:val="24"/>
        </w:rPr>
      </w:pPr>
      <w:r>
        <w:rPr>
          <w:rFonts w:ascii="宋体" w:hAnsi="宋体"/>
          <w:color w:val="000000"/>
          <w:sz w:val="24"/>
        </w:rPr>
        <w:t>（四）发现对方在业务活动中有违规、违纪、违法行为的，应及时提醒对方，情节严重的，应向其上级主管部门或纪检监察、司法等有关机关举报。</w:t>
      </w:r>
    </w:p>
    <w:p>
      <w:pPr>
        <w:spacing w:line="312" w:lineRule="auto"/>
        <w:ind w:firstLine="480" w:firstLineChars="200"/>
        <w:rPr>
          <w:rFonts w:ascii="宋体" w:hAnsi="宋体"/>
          <w:color w:val="000000"/>
          <w:sz w:val="24"/>
        </w:rPr>
      </w:pPr>
      <w:r>
        <w:rPr>
          <w:rFonts w:ascii="宋体" w:hAnsi="宋体"/>
          <w:color w:val="000000"/>
          <w:sz w:val="24"/>
        </w:rPr>
        <w:t>第二条  甲方的责任</w:t>
      </w:r>
    </w:p>
    <w:p>
      <w:pPr>
        <w:spacing w:line="312" w:lineRule="auto"/>
        <w:ind w:firstLine="480" w:firstLineChars="200"/>
        <w:rPr>
          <w:rFonts w:ascii="宋体" w:hAnsi="宋体"/>
          <w:color w:val="000000"/>
          <w:sz w:val="24"/>
        </w:rPr>
      </w:pPr>
      <w:r>
        <w:rPr>
          <w:rFonts w:ascii="宋体" w:hAnsi="宋体"/>
          <w:color w:val="000000"/>
          <w:sz w:val="24"/>
        </w:rPr>
        <w:t>甲方</w:t>
      </w:r>
      <w:r>
        <w:rPr>
          <w:rFonts w:hint="eastAsia" w:ascii="宋体" w:hAnsi="宋体"/>
          <w:color w:val="000000"/>
          <w:sz w:val="24"/>
        </w:rPr>
        <w:t>及其</w:t>
      </w:r>
      <w:r>
        <w:rPr>
          <w:rFonts w:ascii="宋体" w:hAnsi="宋体"/>
          <w:color w:val="000000"/>
          <w:sz w:val="24"/>
        </w:rPr>
        <w:t>工作人员，在</w:t>
      </w:r>
      <w:r>
        <w:rPr>
          <w:rFonts w:hint="eastAsia" w:ascii="宋体" w:hAnsi="宋体"/>
          <w:color w:val="000000"/>
          <w:sz w:val="24"/>
        </w:rPr>
        <w:t>项目执行过程中</w:t>
      </w:r>
      <w:r>
        <w:rPr>
          <w:rFonts w:ascii="宋体" w:hAnsi="宋体"/>
          <w:color w:val="000000"/>
          <w:sz w:val="24"/>
        </w:rPr>
        <w:t>应遵守以下规定：</w:t>
      </w:r>
    </w:p>
    <w:p>
      <w:pPr>
        <w:spacing w:line="312" w:lineRule="auto"/>
        <w:ind w:firstLine="480" w:firstLineChars="200"/>
        <w:rPr>
          <w:rFonts w:ascii="宋体" w:hAnsi="宋体"/>
          <w:color w:val="000000"/>
          <w:sz w:val="24"/>
        </w:rPr>
      </w:pPr>
      <w:r>
        <w:rPr>
          <w:rFonts w:ascii="宋体" w:hAnsi="宋体"/>
          <w:color w:val="000000"/>
          <w:sz w:val="24"/>
        </w:rPr>
        <w:t>（一）不准向乙方和相关单位索要或接受回扣、礼金、有价证券、贵重物品和好处费、感谢费等。</w:t>
      </w:r>
    </w:p>
    <w:p>
      <w:pPr>
        <w:spacing w:line="312" w:lineRule="auto"/>
        <w:ind w:firstLine="480" w:firstLineChars="200"/>
        <w:rPr>
          <w:rFonts w:ascii="宋体" w:hAnsi="宋体"/>
          <w:color w:val="000000"/>
          <w:sz w:val="24"/>
        </w:rPr>
      </w:pPr>
      <w:r>
        <w:rPr>
          <w:rFonts w:ascii="宋体" w:hAnsi="宋体"/>
          <w:color w:val="000000"/>
          <w:sz w:val="24"/>
        </w:rPr>
        <w:t>（二）不准在乙方和相关单位报销任何应由甲方或个人支付的费人。</w:t>
      </w:r>
    </w:p>
    <w:p>
      <w:pPr>
        <w:spacing w:line="312" w:lineRule="auto"/>
        <w:ind w:firstLine="480" w:firstLineChars="200"/>
        <w:rPr>
          <w:rFonts w:ascii="宋体" w:hAnsi="宋体"/>
          <w:color w:val="000000"/>
          <w:sz w:val="24"/>
        </w:rPr>
      </w:pPr>
      <w:r>
        <w:rPr>
          <w:rFonts w:ascii="宋体" w:hAnsi="宋体"/>
          <w:color w:val="000000"/>
          <w:sz w:val="24"/>
        </w:rPr>
        <w:t>（三）不准要求、暗示或接受乙方和相关单位为个人装修住房、婚丧嫁娶、配偶子女的工作安排以及出国（境）、旅游等提供方便。</w:t>
      </w:r>
    </w:p>
    <w:p>
      <w:pPr>
        <w:spacing w:line="312" w:lineRule="auto"/>
        <w:ind w:firstLine="480" w:firstLineChars="200"/>
        <w:rPr>
          <w:rFonts w:ascii="宋体" w:hAnsi="宋体"/>
          <w:color w:val="000000"/>
          <w:sz w:val="24"/>
        </w:rPr>
      </w:pPr>
      <w:r>
        <w:rPr>
          <w:rFonts w:ascii="宋体" w:hAnsi="宋体"/>
          <w:color w:val="000000"/>
          <w:sz w:val="24"/>
        </w:rPr>
        <w:t>（四）不准参加有可能影响公正执行公务的乙方和相关单位的宴请和健身、娱乐等活动。</w:t>
      </w:r>
    </w:p>
    <w:p>
      <w:pPr>
        <w:spacing w:line="312" w:lineRule="auto"/>
        <w:ind w:firstLine="480" w:firstLineChars="200"/>
        <w:rPr>
          <w:rFonts w:ascii="宋体" w:hAnsi="宋体"/>
          <w:color w:val="000000"/>
          <w:sz w:val="24"/>
        </w:rPr>
      </w:pPr>
      <w:r>
        <w:rPr>
          <w:rFonts w:ascii="宋体" w:hAnsi="宋体"/>
          <w:color w:val="000000"/>
          <w:sz w:val="24"/>
        </w:rPr>
        <w:t>（五）不准向乙方介绍或为配偶、子女、亲属参与同甲方项目合同有关的设备、材料、工程分包、劳务等经济活动。不得以任何理由向乙方和相关单位推荐分包单位和要求乙方购买项目合同规定以外的材料、设备等。</w:t>
      </w:r>
    </w:p>
    <w:p>
      <w:pPr>
        <w:spacing w:line="312" w:lineRule="auto"/>
        <w:ind w:firstLine="480" w:firstLineChars="200"/>
        <w:rPr>
          <w:rFonts w:ascii="宋体" w:hAnsi="宋体"/>
          <w:color w:val="000000"/>
          <w:sz w:val="24"/>
        </w:rPr>
      </w:pPr>
      <w:r>
        <w:rPr>
          <w:rFonts w:ascii="宋体" w:hAnsi="宋体"/>
          <w:color w:val="000000"/>
          <w:sz w:val="24"/>
        </w:rPr>
        <w:t>第三条  乙方的责任</w:t>
      </w:r>
    </w:p>
    <w:p>
      <w:pPr>
        <w:spacing w:line="312" w:lineRule="auto"/>
        <w:ind w:firstLine="480" w:firstLineChars="200"/>
        <w:rPr>
          <w:rFonts w:ascii="宋体" w:hAnsi="宋体"/>
          <w:color w:val="000000"/>
          <w:sz w:val="24"/>
        </w:rPr>
      </w:pPr>
      <w:r>
        <w:rPr>
          <w:rFonts w:ascii="宋体" w:hAnsi="宋体"/>
          <w:color w:val="000000"/>
          <w:sz w:val="24"/>
        </w:rPr>
        <w:t>应与甲方保持正常的业务交往，按照有关法律法规和程序开展业务工作，</w:t>
      </w:r>
      <w:r>
        <w:rPr>
          <w:rFonts w:hint="eastAsia" w:ascii="宋体" w:hAnsi="宋体"/>
          <w:color w:val="000000"/>
          <w:sz w:val="24"/>
        </w:rPr>
        <w:t>并</w:t>
      </w:r>
      <w:r>
        <w:rPr>
          <w:rFonts w:ascii="宋体" w:hAnsi="宋体"/>
          <w:color w:val="000000"/>
          <w:sz w:val="24"/>
        </w:rPr>
        <w:t>遵守以下规定：</w:t>
      </w:r>
    </w:p>
    <w:p>
      <w:pPr>
        <w:spacing w:line="312" w:lineRule="auto"/>
        <w:ind w:firstLine="480" w:firstLineChars="200"/>
        <w:rPr>
          <w:rFonts w:ascii="宋体" w:hAnsi="宋体"/>
          <w:color w:val="000000"/>
          <w:sz w:val="24"/>
        </w:rPr>
      </w:pPr>
      <w:r>
        <w:rPr>
          <w:rFonts w:ascii="宋体" w:hAnsi="宋体"/>
          <w:color w:val="000000"/>
          <w:sz w:val="24"/>
        </w:rPr>
        <w:t>（一）不准以任何理由向甲方、相关单位及其工作人员索要、接受或赠送礼、有价证券、贵重物品和回扣、好处费、感谢费等。</w:t>
      </w:r>
    </w:p>
    <w:p>
      <w:pPr>
        <w:spacing w:line="312" w:lineRule="auto"/>
        <w:ind w:firstLine="480" w:firstLineChars="200"/>
        <w:rPr>
          <w:rFonts w:ascii="宋体" w:hAnsi="宋体"/>
          <w:color w:val="000000"/>
          <w:sz w:val="24"/>
        </w:rPr>
      </w:pPr>
      <w:r>
        <w:rPr>
          <w:rFonts w:ascii="宋体" w:hAnsi="宋体"/>
          <w:color w:val="000000"/>
          <w:sz w:val="24"/>
        </w:rPr>
        <w:t>（二）不准以任何理由为甲方和相关单位报销应由对方或个人支付的费用。</w:t>
      </w:r>
    </w:p>
    <w:p>
      <w:pPr>
        <w:spacing w:line="312" w:lineRule="auto"/>
        <w:ind w:firstLine="480" w:firstLineChars="200"/>
        <w:rPr>
          <w:rFonts w:ascii="宋体" w:hAnsi="宋体"/>
          <w:color w:val="000000"/>
          <w:sz w:val="24"/>
        </w:rPr>
      </w:pPr>
      <w:r>
        <w:rPr>
          <w:rFonts w:ascii="宋体" w:hAnsi="宋体"/>
          <w:color w:val="000000"/>
          <w:sz w:val="24"/>
        </w:rPr>
        <w:t>（三）不准接受或暗示为甲方、相关单位或个人装修住房、婚丧嫁娶、配偶子女的工作安排以及出国（境）、旅游等提供方便。</w:t>
      </w:r>
    </w:p>
    <w:p>
      <w:pPr>
        <w:spacing w:line="312" w:lineRule="auto"/>
        <w:ind w:firstLine="480" w:firstLineChars="200"/>
        <w:rPr>
          <w:rFonts w:ascii="宋体" w:hAnsi="宋体"/>
          <w:color w:val="000000"/>
          <w:sz w:val="24"/>
        </w:rPr>
      </w:pPr>
      <w:r>
        <w:rPr>
          <w:rFonts w:ascii="宋体" w:hAnsi="宋体"/>
          <w:color w:val="000000"/>
          <w:sz w:val="24"/>
        </w:rPr>
        <w:t>（四）不准以任何理由为甲方、相关单位或个人、组织提供有可能影响公正执行公务的宴请、健身、娱乐等活动。</w:t>
      </w:r>
    </w:p>
    <w:p>
      <w:pPr>
        <w:spacing w:line="312" w:lineRule="auto"/>
        <w:ind w:firstLine="480" w:firstLineChars="200"/>
        <w:rPr>
          <w:rFonts w:ascii="宋体" w:hAnsi="宋体"/>
          <w:color w:val="000000"/>
          <w:sz w:val="24"/>
        </w:rPr>
      </w:pPr>
      <w:r>
        <w:rPr>
          <w:rFonts w:ascii="宋体" w:hAnsi="宋体"/>
          <w:color w:val="000000"/>
          <w:sz w:val="24"/>
        </w:rPr>
        <w:t>第四条  违约责任</w:t>
      </w:r>
    </w:p>
    <w:p>
      <w:pPr>
        <w:spacing w:line="312" w:lineRule="auto"/>
        <w:ind w:firstLine="480" w:firstLineChars="200"/>
        <w:rPr>
          <w:rFonts w:ascii="宋体" w:hAnsi="宋体"/>
          <w:color w:val="000000"/>
          <w:sz w:val="24"/>
        </w:rPr>
      </w:pPr>
      <w:r>
        <w:rPr>
          <w:rFonts w:ascii="宋体" w:hAnsi="宋体"/>
          <w:color w:val="000000"/>
          <w:sz w:val="24"/>
        </w:rPr>
        <w:t>（一）甲方工作人员有违反责任书第一、二条责任行为的，按照管理权限，依据有关法律法规和规定给予党纪、政纪处分或组织处理；涉嫌犯罪，移交司法机关追究刑事责任；给乙方单位造成经济损失的，应予以赔偿。</w:t>
      </w:r>
    </w:p>
    <w:p>
      <w:pPr>
        <w:spacing w:line="312" w:lineRule="auto"/>
        <w:ind w:firstLine="480" w:firstLineChars="200"/>
        <w:rPr>
          <w:rFonts w:ascii="宋体" w:hAnsi="宋体"/>
          <w:color w:val="000000"/>
          <w:sz w:val="24"/>
        </w:rPr>
      </w:pPr>
      <w:r>
        <w:rPr>
          <w:rFonts w:ascii="宋体" w:hAnsi="宋体"/>
          <w:color w:val="000000"/>
          <w:sz w:val="24"/>
        </w:rPr>
        <w:t>（二）乙方工作人员有违反本责任书第一、三条责任行为的，按照管理权限，依据有关法律法规和规定给予党纪、政纪处分或组织处理；涉嫌犯罪，移交司法机关追究刑事责任；给甲方单位造成经济损失的，应予以赔偿。</w:t>
      </w:r>
    </w:p>
    <w:p>
      <w:pPr>
        <w:spacing w:line="312" w:lineRule="auto"/>
        <w:ind w:firstLine="480" w:firstLineChars="200"/>
        <w:rPr>
          <w:rFonts w:ascii="宋体" w:hAnsi="宋体"/>
          <w:color w:val="000000"/>
          <w:sz w:val="24"/>
        </w:rPr>
      </w:pPr>
      <w:r>
        <w:rPr>
          <w:rFonts w:ascii="宋体" w:hAnsi="宋体"/>
          <w:color w:val="000000"/>
          <w:sz w:val="24"/>
        </w:rPr>
        <w:t>第五条  本责任书作为</w:t>
      </w:r>
      <w:r>
        <w:rPr>
          <w:rFonts w:hint="eastAsia" w:ascii="宋体" w:hAnsi="宋体"/>
          <w:color w:val="000000"/>
          <w:sz w:val="24"/>
        </w:rPr>
        <w:t>项目</w:t>
      </w:r>
      <w:r>
        <w:rPr>
          <w:rFonts w:ascii="宋体" w:hAnsi="宋体"/>
          <w:color w:val="000000"/>
          <w:sz w:val="24"/>
        </w:rPr>
        <w:t>合同的附件，与</w:t>
      </w:r>
      <w:r>
        <w:rPr>
          <w:rFonts w:hint="eastAsia" w:ascii="宋体" w:hAnsi="宋体"/>
          <w:color w:val="000000"/>
          <w:sz w:val="24"/>
        </w:rPr>
        <w:t>项目</w:t>
      </w:r>
      <w:r>
        <w:rPr>
          <w:rFonts w:ascii="宋体" w:hAnsi="宋体"/>
          <w:color w:val="000000"/>
          <w:sz w:val="24"/>
        </w:rPr>
        <w:t>合同具有同等法律效力。经双方签署后生效。</w:t>
      </w:r>
    </w:p>
    <w:p>
      <w:pPr>
        <w:spacing w:line="312" w:lineRule="auto"/>
        <w:ind w:firstLine="480" w:firstLineChars="200"/>
        <w:rPr>
          <w:rFonts w:ascii="宋体" w:hAnsi="宋体"/>
          <w:color w:val="000000"/>
          <w:sz w:val="24"/>
        </w:rPr>
      </w:pPr>
      <w:r>
        <w:rPr>
          <w:rFonts w:ascii="宋体" w:hAnsi="宋体"/>
          <w:color w:val="000000"/>
          <w:sz w:val="24"/>
        </w:rPr>
        <w:t>第六条  本责任书的有效期为双方签署之日至该工程项目竣工验收合格时止。</w:t>
      </w:r>
    </w:p>
    <w:p>
      <w:pPr>
        <w:spacing w:line="312" w:lineRule="auto"/>
        <w:ind w:firstLine="480" w:firstLineChars="200"/>
        <w:rPr>
          <w:rFonts w:ascii="宋体" w:hAnsi="宋体"/>
          <w:color w:val="000000"/>
          <w:sz w:val="24"/>
        </w:rPr>
      </w:pPr>
      <w:r>
        <w:rPr>
          <w:rFonts w:ascii="宋体" w:hAnsi="宋体"/>
          <w:color w:val="000000"/>
          <w:sz w:val="24"/>
        </w:rPr>
        <w:t>第七条  本责任和本</w:t>
      </w:r>
      <w:r>
        <w:rPr>
          <w:rFonts w:hint="eastAsia" w:ascii="宋体" w:hAnsi="宋体"/>
          <w:color w:val="000000"/>
          <w:sz w:val="24"/>
        </w:rPr>
        <w:t>项目</w:t>
      </w:r>
      <w:r>
        <w:rPr>
          <w:rFonts w:ascii="宋体" w:hAnsi="宋体"/>
          <w:color w:val="000000"/>
          <w:sz w:val="24"/>
        </w:rPr>
        <w:t>合同同时使用，由双方法定代表人或其授权的代理人签署与加盖公章后生效，</w:t>
      </w:r>
      <w:r>
        <w:rPr>
          <w:rFonts w:hint="eastAsia" w:ascii="宋体" w:hAnsi="宋体"/>
          <w:color w:val="000000"/>
          <w:sz w:val="24"/>
        </w:rPr>
        <w:t>项目完成</w:t>
      </w:r>
      <w:r>
        <w:rPr>
          <w:rFonts w:ascii="宋体" w:hAnsi="宋体"/>
          <w:color w:val="000000"/>
          <w:sz w:val="24"/>
        </w:rPr>
        <w:t>验收后失效。</w:t>
      </w:r>
    </w:p>
    <w:p>
      <w:pPr>
        <w:spacing w:line="312" w:lineRule="auto"/>
        <w:ind w:firstLine="480" w:firstLineChars="200"/>
        <w:rPr>
          <w:rFonts w:ascii="宋体" w:hAnsi="宋体"/>
          <w:color w:val="000000"/>
          <w:sz w:val="24"/>
        </w:rPr>
      </w:pPr>
    </w:p>
    <w:p>
      <w:pPr>
        <w:pStyle w:val="195"/>
        <w:autoSpaceDE/>
        <w:autoSpaceDN/>
        <w:adjustRightInd/>
        <w:spacing w:line="312" w:lineRule="auto"/>
        <w:jc w:val="both"/>
        <w:rPr>
          <w:rFonts w:hAnsi="宋体" w:cs="Times New Roman"/>
          <w:color w:val="000000"/>
        </w:rPr>
      </w:pPr>
      <w:r>
        <w:rPr>
          <w:rFonts w:hint="eastAsia" w:hAnsi="宋体" w:cs="Times New Roman"/>
          <w:color w:val="000000"/>
        </w:rPr>
        <w:t>采购</w:t>
      </w:r>
      <w:r>
        <w:rPr>
          <w:rFonts w:hAnsi="宋体" w:cs="Times New Roman"/>
          <w:color w:val="000000"/>
        </w:rPr>
        <w:t>人：</w:t>
      </w:r>
      <w:r>
        <w:rPr>
          <w:rFonts w:hAnsi="宋体" w:cs="Times New Roman"/>
          <w:color w:val="000000"/>
          <w:u w:val="single"/>
        </w:rPr>
        <w:t xml:space="preserve">      （盖单位公章）  </w:t>
      </w:r>
      <w:r>
        <w:rPr>
          <w:rFonts w:hAnsi="宋体" w:cs="Times New Roman"/>
          <w:color w:val="000000"/>
        </w:rPr>
        <w:t xml:space="preserve"> </w:t>
      </w:r>
      <w:r>
        <w:rPr>
          <w:rFonts w:hint="eastAsia" w:hAnsi="宋体" w:cs="Times New Roman"/>
          <w:color w:val="000000"/>
        </w:rPr>
        <w:t xml:space="preserve">       </w:t>
      </w:r>
      <w:r>
        <w:rPr>
          <w:rFonts w:hAnsi="宋体" w:cs="Times New Roman"/>
          <w:color w:val="000000"/>
        </w:rPr>
        <w:t xml:space="preserve">  </w:t>
      </w:r>
      <w:r>
        <w:rPr>
          <w:rFonts w:hint="eastAsia" w:hAnsi="宋体" w:cs="Times New Roman"/>
          <w:color w:val="000000"/>
        </w:rPr>
        <w:t>供应商</w:t>
      </w:r>
      <w:r>
        <w:rPr>
          <w:rFonts w:hAnsi="宋体" w:cs="Times New Roman"/>
          <w:color w:val="000000"/>
        </w:rPr>
        <w:t>：</w:t>
      </w:r>
      <w:r>
        <w:rPr>
          <w:rFonts w:hAnsi="宋体" w:cs="Times New Roman"/>
          <w:color w:val="000000"/>
          <w:u w:val="single"/>
        </w:rPr>
        <w:t xml:space="preserve">    （盖单位公章）   </w:t>
      </w:r>
    </w:p>
    <w:p>
      <w:pPr>
        <w:pStyle w:val="195"/>
        <w:autoSpaceDE/>
        <w:autoSpaceDN/>
        <w:adjustRightInd/>
        <w:spacing w:line="312" w:lineRule="auto"/>
        <w:jc w:val="both"/>
        <w:rPr>
          <w:rFonts w:hAnsi="宋体" w:cs="Times New Roman"/>
          <w:color w:val="000000"/>
        </w:rPr>
      </w:pPr>
    </w:p>
    <w:p>
      <w:pPr>
        <w:pStyle w:val="195"/>
        <w:autoSpaceDE/>
        <w:autoSpaceDN/>
        <w:adjustRightInd/>
        <w:spacing w:line="312" w:lineRule="auto"/>
        <w:jc w:val="both"/>
        <w:rPr>
          <w:rFonts w:hAnsi="宋体" w:cs="Times New Roman"/>
          <w:color w:val="000000"/>
        </w:rPr>
      </w:pPr>
    </w:p>
    <w:p>
      <w:pPr>
        <w:pStyle w:val="195"/>
        <w:autoSpaceDE/>
        <w:autoSpaceDN/>
        <w:adjustRightInd/>
        <w:spacing w:line="312" w:lineRule="auto"/>
        <w:jc w:val="both"/>
        <w:rPr>
          <w:rFonts w:hAnsi="宋体" w:cs="Times New Roman"/>
          <w:color w:val="000000"/>
        </w:rPr>
      </w:pPr>
      <w:r>
        <w:rPr>
          <w:rFonts w:hAnsi="宋体" w:cs="Times New Roman"/>
          <w:color w:val="000000"/>
        </w:rPr>
        <w:t>法定代表人或其委托代理人</w:t>
      </w:r>
      <w:r>
        <w:rPr>
          <w:rFonts w:hint="eastAsia" w:hAnsi="宋体" w:cs="Times New Roman"/>
          <w:color w:val="000000"/>
        </w:rPr>
        <w:t>:</w:t>
      </w:r>
      <w:r>
        <w:rPr>
          <w:rFonts w:hAnsi="宋体" w:cs="Times New Roman"/>
          <w:color w:val="000000"/>
          <w:u w:val="single"/>
        </w:rPr>
        <w:t xml:space="preserve">（签字） </w:t>
      </w:r>
      <w:r>
        <w:rPr>
          <w:rFonts w:hint="eastAsia" w:hAnsi="宋体" w:cs="Times New Roman"/>
          <w:color w:val="000000"/>
          <w:u w:val="single"/>
        </w:rPr>
        <w:t xml:space="preserve"> </w:t>
      </w:r>
      <w:r>
        <w:rPr>
          <w:rFonts w:hint="eastAsia" w:hAnsi="宋体" w:cs="Times New Roman"/>
          <w:color w:val="000000"/>
        </w:rPr>
        <w:t xml:space="preserve">  法</w:t>
      </w:r>
      <w:r>
        <w:rPr>
          <w:rFonts w:hAnsi="宋体" w:cs="Times New Roman"/>
          <w:color w:val="000000"/>
        </w:rPr>
        <w:t>定代表人或其委托代理人：</w:t>
      </w:r>
      <w:r>
        <w:rPr>
          <w:rFonts w:hAnsi="宋体" w:cs="Times New Roman"/>
          <w:color w:val="000000"/>
          <w:u w:val="single"/>
        </w:rPr>
        <w:t xml:space="preserve">  （签字）  </w:t>
      </w:r>
      <w:bookmarkEnd w:id="69"/>
      <w:r>
        <w:rPr>
          <w:rFonts w:hAnsi="宋体" w:cs="Times New Roman"/>
          <w:color w:val="000000"/>
          <w:u w:val="single"/>
        </w:rPr>
        <w:t xml:space="preserve">  </w:t>
      </w:r>
    </w:p>
    <w:p>
      <w:pPr>
        <w:pStyle w:val="195"/>
        <w:autoSpaceDE/>
        <w:autoSpaceDN/>
        <w:adjustRightInd/>
        <w:spacing w:line="312" w:lineRule="auto"/>
        <w:ind w:firstLine="480" w:firstLineChars="200"/>
        <w:jc w:val="both"/>
        <w:rPr>
          <w:rFonts w:hAnsi="宋体" w:cs="Times New Roman"/>
          <w:color w:val="000000"/>
        </w:rPr>
      </w:pPr>
    </w:p>
    <w:p>
      <w:pPr>
        <w:pStyle w:val="2"/>
        <w:rPr>
          <w:rFonts w:ascii="黑体" w:hAnsi="黑体" w:eastAsia="黑体" w:cs="仿宋"/>
          <w:b/>
          <w:color w:val="000000"/>
          <w:sz w:val="36"/>
          <w:szCs w:val="36"/>
        </w:rPr>
      </w:pPr>
    </w:p>
    <w:p>
      <w:pPr>
        <w:pStyle w:val="7"/>
        <w:rPr>
          <w:rFonts w:ascii="Times New Roman"/>
        </w:rPr>
      </w:pPr>
      <w:bookmarkStart w:id="70" w:name="_Toc106039361"/>
      <w:r>
        <w:rPr>
          <w:rFonts w:hint="eastAsia" w:ascii="Times New Roman"/>
        </w:rPr>
        <w:t>附件</w:t>
      </w:r>
      <w:r>
        <w:rPr>
          <w:rFonts w:hint="eastAsia"/>
        </w:rPr>
        <w:t>三</w:t>
      </w:r>
      <w:r>
        <w:rPr>
          <w:rFonts w:hint="eastAsia" w:ascii="Times New Roman"/>
        </w:rPr>
        <w:t>：安全协议</w:t>
      </w:r>
      <w:bookmarkEnd w:id="70"/>
    </w:p>
    <w:p>
      <w:pPr>
        <w:pStyle w:val="194"/>
        <w:autoSpaceDE/>
        <w:autoSpaceDN/>
        <w:adjustRightInd/>
        <w:spacing w:before="240" w:after="240" w:line="490" w:lineRule="exact"/>
        <w:jc w:val="center"/>
        <w:rPr>
          <w:rFonts w:cs="Times New Roman"/>
          <w:b/>
          <w:color w:val="000000"/>
          <w:sz w:val="32"/>
          <w:szCs w:val="32"/>
        </w:rPr>
      </w:pPr>
      <w:r>
        <w:rPr>
          <w:rFonts w:hint="eastAsia" w:cs="Times New Roman"/>
          <w:b/>
          <w:color w:val="000000"/>
          <w:sz w:val="32"/>
          <w:szCs w:val="32"/>
        </w:rPr>
        <w:t>安全协议（格式）</w:t>
      </w:r>
    </w:p>
    <w:p>
      <w:pPr>
        <w:spacing w:line="312" w:lineRule="auto"/>
        <w:ind w:firstLine="480" w:firstLineChars="200"/>
        <w:rPr>
          <w:rFonts w:ascii="宋体" w:hAnsi="宋体"/>
          <w:color w:val="000000"/>
          <w:sz w:val="24"/>
        </w:rPr>
      </w:pPr>
      <w:r>
        <w:rPr>
          <w:rFonts w:hint="eastAsia" w:ascii="宋体" w:hAnsi="宋体"/>
          <w:color w:val="000000"/>
          <w:sz w:val="24"/>
        </w:rPr>
        <w:t>采购人：</w:t>
      </w:r>
      <w:r>
        <w:rPr>
          <w:rFonts w:ascii="宋体" w:hAnsi="宋体"/>
          <w:color w:val="000000"/>
          <w:sz w:val="24"/>
        </w:rPr>
        <w:t>（以下简称</w:t>
      </w:r>
      <w:r>
        <w:rPr>
          <w:rFonts w:hint="eastAsia" w:ascii="宋体" w:hAnsi="宋体"/>
          <w:color w:val="000000"/>
          <w:sz w:val="24"/>
        </w:rPr>
        <w:t>甲方</w:t>
      </w:r>
      <w:r>
        <w:rPr>
          <w:rFonts w:ascii="宋体" w:hAnsi="宋体"/>
          <w:color w:val="000000"/>
          <w:sz w:val="24"/>
        </w:rPr>
        <w:t>）</w:t>
      </w:r>
    </w:p>
    <w:p>
      <w:pPr>
        <w:spacing w:line="312" w:lineRule="auto"/>
        <w:ind w:firstLine="480" w:firstLineChars="200"/>
        <w:rPr>
          <w:rFonts w:ascii="宋体" w:hAnsi="宋体"/>
          <w:color w:val="000000"/>
          <w:sz w:val="24"/>
        </w:rPr>
      </w:pPr>
      <w:r>
        <w:rPr>
          <w:rFonts w:hint="eastAsia" w:ascii="宋体" w:hAnsi="宋体"/>
          <w:color w:val="000000"/>
          <w:sz w:val="24"/>
        </w:rPr>
        <w:t>供应商：</w:t>
      </w:r>
      <w:r>
        <w:rPr>
          <w:rFonts w:ascii="宋体" w:hAnsi="宋体"/>
          <w:color w:val="000000"/>
          <w:sz w:val="24"/>
        </w:rPr>
        <w:t>（以下简称</w:t>
      </w:r>
      <w:r>
        <w:rPr>
          <w:rFonts w:hint="eastAsia" w:ascii="宋体" w:hAnsi="宋体"/>
          <w:color w:val="000000"/>
          <w:sz w:val="24"/>
        </w:rPr>
        <w:t>乙方</w:t>
      </w:r>
      <w:r>
        <w:rPr>
          <w:rFonts w:ascii="宋体" w:hAnsi="宋体"/>
          <w:color w:val="000000"/>
          <w:sz w:val="24"/>
        </w:rPr>
        <w:t>）</w:t>
      </w:r>
    </w:p>
    <w:p>
      <w:pPr>
        <w:spacing w:line="312" w:lineRule="auto"/>
        <w:ind w:firstLine="480" w:firstLineChars="200"/>
        <w:rPr>
          <w:rFonts w:ascii="宋体" w:hAnsi="宋体"/>
          <w:color w:val="000000"/>
          <w:sz w:val="24"/>
        </w:rPr>
      </w:pPr>
      <w:r>
        <w:rPr>
          <w:rFonts w:hint="eastAsia" w:ascii="宋体" w:hAnsi="宋体"/>
          <w:color w:val="000000"/>
          <w:sz w:val="24"/>
        </w:rPr>
        <w:t>为了切实做好安全生产工作，依据《中华人民共和国安全生产法》、《中华人民共和国民法典》以及国家有关安全生产管理的法律、法规、标准，按照“安全第一、预防为主、综合治理”的原则，明确甲乙双方责任，就甲乙双方在本项目中的安全生产事项，经协商一致，签订本合同。</w:t>
      </w:r>
    </w:p>
    <w:p>
      <w:pPr>
        <w:spacing w:line="312" w:lineRule="auto"/>
        <w:ind w:firstLine="480" w:firstLineChars="200"/>
        <w:rPr>
          <w:rFonts w:ascii="宋体" w:hAnsi="宋体"/>
          <w:color w:val="000000"/>
          <w:sz w:val="24"/>
          <w:u w:val="single"/>
        </w:rPr>
      </w:pPr>
      <w:r>
        <w:rPr>
          <w:rFonts w:hint="eastAsia" w:ascii="宋体" w:hAnsi="宋体"/>
          <w:color w:val="000000"/>
          <w:sz w:val="24"/>
        </w:rPr>
        <w:t>第一条　项目名称：</w:t>
      </w:r>
      <w:r>
        <w:rPr>
          <w:rFonts w:hint="eastAsia" w:ascii="宋体" w:hAnsi="宋体"/>
          <w:color w:val="000000"/>
          <w:sz w:val="24"/>
          <w:u w:val="single"/>
        </w:rPr>
        <w:t xml:space="preserve">                                    </w:t>
      </w:r>
    </w:p>
    <w:p>
      <w:pPr>
        <w:spacing w:line="312" w:lineRule="auto"/>
        <w:ind w:firstLine="480" w:firstLineChars="200"/>
        <w:rPr>
          <w:rFonts w:ascii="宋体" w:hAnsi="宋体"/>
          <w:color w:val="000000"/>
          <w:sz w:val="24"/>
        </w:rPr>
      </w:pPr>
      <w:r>
        <w:rPr>
          <w:rFonts w:hint="eastAsia" w:ascii="宋体" w:hAnsi="宋体"/>
          <w:color w:val="000000"/>
          <w:sz w:val="24"/>
        </w:rPr>
        <w:t>第二条　本合同内容只涉及甲乙双方在本项目中关于安全生产的权利和责任。</w:t>
      </w:r>
    </w:p>
    <w:p>
      <w:pPr>
        <w:spacing w:line="312" w:lineRule="auto"/>
        <w:ind w:firstLine="480" w:firstLineChars="200"/>
        <w:rPr>
          <w:rFonts w:ascii="宋体" w:hAnsi="宋体"/>
          <w:color w:val="000000"/>
          <w:sz w:val="24"/>
        </w:rPr>
      </w:pPr>
      <w:r>
        <w:rPr>
          <w:rFonts w:hint="eastAsia" w:ascii="宋体" w:hAnsi="宋体"/>
          <w:color w:val="000000"/>
          <w:sz w:val="24"/>
        </w:rPr>
        <w:t>第三条　甲方的权利：</w:t>
      </w:r>
    </w:p>
    <w:p>
      <w:pPr>
        <w:spacing w:line="312" w:lineRule="auto"/>
        <w:ind w:firstLine="480" w:firstLineChars="200"/>
        <w:rPr>
          <w:rFonts w:ascii="宋体" w:hAnsi="宋体"/>
          <w:color w:val="000000"/>
          <w:sz w:val="24"/>
        </w:rPr>
      </w:pPr>
      <w:r>
        <w:rPr>
          <w:rFonts w:hint="eastAsia" w:ascii="宋体" w:hAnsi="宋体"/>
          <w:color w:val="000000"/>
          <w:sz w:val="24"/>
        </w:rPr>
        <w:t>（一）有权要求乙方建立安全组织机构或指定专人，负责现场安全监护。严格执行安全生产法律、法规、条例、标准，遵守甲方的安全生产规章制度等。</w:t>
      </w:r>
    </w:p>
    <w:p>
      <w:pPr>
        <w:spacing w:line="312" w:lineRule="auto"/>
        <w:ind w:firstLine="480" w:firstLineChars="200"/>
        <w:rPr>
          <w:rFonts w:ascii="宋体" w:hAnsi="宋体"/>
          <w:color w:val="000000"/>
          <w:sz w:val="24"/>
        </w:rPr>
      </w:pPr>
      <w:r>
        <w:rPr>
          <w:rFonts w:hint="eastAsia" w:ascii="宋体" w:hAnsi="宋体"/>
          <w:color w:val="000000"/>
          <w:sz w:val="24"/>
        </w:rPr>
        <w:t>（二）有权按规定对乙方安全业绩、资质进行审查，对乙方针对作业项目制定的职业健康安全、环境项目进行审查。</w:t>
      </w:r>
    </w:p>
    <w:p>
      <w:pPr>
        <w:spacing w:line="312" w:lineRule="auto"/>
        <w:ind w:firstLine="480" w:firstLineChars="200"/>
        <w:rPr>
          <w:rFonts w:ascii="宋体" w:hAnsi="宋体"/>
          <w:color w:val="000000"/>
          <w:sz w:val="24"/>
        </w:rPr>
      </w:pPr>
      <w:r>
        <w:rPr>
          <w:rFonts w:hint="eastAsia" w:ascii="宋体" w:hAnsi="宋体"/>
          <w:color w:val="000000"/>
          <w:sz w:val="24"/>
        </w:rPr>
        <w:t>（三）有权要求乙方维护好相关的甲方的安全生产设施、设备和器材。</w:t>
      </w:r>
    </w:p>
    <w:p>
      <w:pPr>
        <w:spacing w:line="312" w:lineRule="auto"/>
        <w:ind w:firstLine="480" w:firstLineChars="200"/>
        <w:rPr>
          <w:rFonts w:ascii="宋体" w:hAnsi="宋体"/>
          <w:color w:val="000000"/>
          <w:sz w:val="24"/>
        </w:rPr>
      </w:pPr>
      <w:r>
        <w:rPr>
          <w:rFonts w:hint="eastAsia" w:ascii="宋体" w:hAnsi="宋体"/>
          <w:color w:val="000000"/>
          <w:sz w:val="24"/>
        </w:rPr>
        <w:t>（四）有权要求乙方对进入甲方现场作业前所有作业人员进行安全培训与教育。</w:t>
      </w:r>
    </w:p>
    <w:p>
      <w:pPr>
        <w:spacing w:line="312" w:lineRule="auto"/>
        <w:ind w:firstLine="480" w:firstLineChars="200"/>
        <w:rPr>
          <w:rFonts w:ascii="宋体" w:hAnsi="宋体"/>
          <w:color w:val="000000"/>
          <w:sz w:val="24"/>
        </w:rPr>
      </w:pPr>
      <w:r>
        <w:rPr>
          <w:rFonts w:hint="eastAsia" w:ascii="宋体" w:hAnsi="宋体"/>
          <w:color w:val="000000"/>
          <w:sz w:val="24"/>
        </w:rPr>
        <w:t>（五）有权对乙方的作业现场的安全作业情况进行监督检查，有权对乙方不符合安全生产要求的行为进行纠正、处罚、制止、停止作业、直至清退出场。</w:t>
      </w:r>
    </w:p>
    <w:p>
      <w:pPr>
        <w:spacing w:line="312" w:lineRule="auto"/>
        <w:ind w:firstLine="480" w:firstLineChars="200"/>
        <w:rPr>
          <w:rFonts w:ascii="宋体" w:hAnsi="宋体"/>
          <w:color w:val="000000"/>
          <w:sz w:val="24"/>
        </w:rPr>
      </w:pPr>
      <w:r>
        <w:rPr>
          <w:rFonts w:hint="eastAsia" w:ascii="宋体" w:hAnsi="宋体"/>
          <w:color w:val="000000"/>
          <w:sz w:val="24"/>
        </w:rPr>
        <w:t>（六）有权要求乙方对其所有作业人员进行购买工伤保险和意外伤害保险。</w:t>
      </w:r>
    </w:p>
    <w:p>
      <w:pPr>
        <w:spacing w:line="312" w:lineRule="auto"/>
        <w:ind w:firstLine="480" w:firstLineChars="200"/>
        <w:rPr>
          <w:rFonts w:ascii="宋体" w:hAnsi="宋体"/>
          <w:color w:val="000000"/>
          <w:sz w:val="24"/>
        </w:rPr>
      </w:pPr>
      <w:r>
        <w:rPr>
          <w:rFonts w:hint="eastAsia" w:ascii="宋体" w:hAnsi="宋体"/>
          <w:color w:val="000000"/>
          <w:sz w:val="24"/>
        </w:rPr>
        <w:t>（七）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发生事故后、有权根据有关规定参与事故的调查。</w:t>
      </w:r>
    </w:p>
    <w:p>
      <w:pPr>
        <w:spacing w:line="312" w:lineRule="auto"/>
        <w:ind w:firstLine="480" w:firstLineChars="200"/>
        <w:rPr>
          <w:rFonts w:ascii="宋体" w:hAnsi="宋体"/>
          <w:color w:val="000000"/>
          <w:sz w:val="24"/>
        </w:rPr>
      </w:pPr>
      <w:r>
        <w:rPr>
          <w:rFonts w:hint="eastAsia" w:ascii="宋体" w:hAnsi="宋体"/>
          <w:color w:val="000000"/>
          <w:sz w:val="24"/>
        </w:rPr>
        <w:t>第四条　甲方的责任</w:t>
      </w:r>
    </w:p>
    <w:p>
      <w:pPr>
        <w:spacing w:line="312" w:lineRule="auto"/>
        <w:ind w:firstLine="480" w:firstLineChars="200"/>
        <w:rPr>
          <w:rFonts w:ascii="宋体" w:hAnsi="宋体"/>
          <w:color w:val="000000"/>
          <w:sz w:val="24"/>
        </w:rPr>
      </w:pPr>
      <w:r>
        <w:rPr>
          <w:rFonts w:hint="eastAsia" w:ascii="宋体" w:hAnsi="宋体"/>
          <w:color w:val="000000"/>
          <w:sz w:val="24"/>
        </w:rPr>
        <w:t>（一）认真贯彻落实国家有关法律、法规、标准及甲方公司安全生产规章制度。</w:t>
      </w:r>
    </w:p>
    <w:p>
      <w:pPr>
        <w:spacing w:line="312" w:lineRule="auto"/>
        <w:ind w:firstLine="480" w:firstLineChars="200"/>
        <w:rPr>
          <w:rFonts w:ascii="宋体" w:hAnsi="宋体"/>
          <w:color w:val="000000"/>
          <w:sz w:val="24"/>
        </w:rPr>
      </w:pPr>
      <w:r>
        <w:rPr>
          <w:rFonts w:hint="eastAsia" w:ascii="宋体" w:hAnsi="宋体"/>
          <w:color w:val="000000"/>
          <w:sz w:val="24"/>
        </w:rPr>
        <w:t>（二）向乙方明确作业区的范围、危险源。</w:t>
      </w:r>
    </w:p>
    <w:p>
      <w:pPr>
        <w:spacing w:line="312" w:lineRule="auto"/>
        <w:ind w:firstLine="480" w:firstLineChars="200"/>
        <w:rPr>
          <w:rFonts w:ascii="宋体" w:hAnsi="宋体"/>
          <w:color w:val="000000"/>
          <w:sz w:val="24"/>
        </w:rPr>
      </w:pPr>
      <w:r>
        <w:rPr>
          <w:rFonts w:hint="eastAsia" w:ascii="宋体" w:hAnsi="宋体"/>
          <w:color w:val="000000"/>
          <w:sz w:val="24"/>
        </w:rPr>
        <w:t>（三）为乙方提供项目合同中规定的安全作业条件。</w:t>
      </w:r>
    </w:p>
    <w:p>
      <w:pPr>
        <w:spacing w:line="312" w:lineRule="auto"/>
        <w:ind w:firstLine="480" w:firstLineChars="200"/>
        <w:rPr>
          <w:rFonts w:ascii="宋体" w:hAnsi="宋体"/>
          <w:color w:val="000000"/>
          <w:sz w:val="24"/>
        </w:rPr>
      </w:pPr>
      <w:r>
        <w:rPr>
          <w:rFonts w:hint="eastAsia" w:ascii="宋体" w:hAnsi="宋体"/>
          <w:color w:val="000000"/>
          <w:sz w:val="24"/>
        </w:rPr>
        <w:t>（四）发生事故后积极协助抢险，防止事故扩大，并按照甲方公司有关规定进行报告。</w:t>
      </w:r>
    </w:p>
    <w:p>
      <w:pPr>
        <w:spacing w:line="312" w:lineRule="auto"/>
        <w:ind w:firstLine="480" w:firstLineChars="200"/>
        <w:rPr>
          <w:rFonts w:ascii="宋体" w:hAnsi="宋体"/>
          <w:color w:val="000000"/>
          <w:sz w:val="24"/>
        </w:rPr>
      </w:pPr>
      <w:r>
        <w:rPr>
          <w:rFonts w:hint="eastAsia" w:ascii="宋体" w:hAnsi="宋体"/>
          <w:color w:val="000000"/>
          <w:sz w:val="24"/>
        </w:rPr>
        <w:t>第五条　乙方的权利</w:t>
      </w:r>
    </w:p>
    <w:p>
      <w:pPr>
        <w:spacing w:line="312" w:lineRule="auto"/>
        <w:ind w:firstLine="480" w:firstLineChars="200"/>
        <w:rPr>
          <w:rFonts w:ascii="宋体" w:hAnsi="宋体"/>
          <w:color w:val="000000"/>
          <w:sz w:val="24"/>
        </w:rPr>
      </w:pPr>
      <w:r>
        <w:rPr>
          <w:rFonts w:hint="eastAsia" w:ascii="宋体" w:hAnsi="宋体"/>
          <w:color w:val="000000"/>
          <w:sz w:val="24"/>
        </w:rPr>
        <w:t>（一）有权对甲方的安全工作提出合理化建议和改进意见。</w:t>
      </w:r>
    </w:p>
    <w:p>
      <w:pPr>
        <w:spacing w:line="312" w:lineRule="auto"/>
        <w:ind w:firstLine="480" w:firstLineChars="200"/>
        <w:rPr>
          <w:rFonts w:ascii="宋体" w:hAnsi="宋体"/>
          <w:color w:val="000000"/>
          <w:sz w:val="24"/>
        </w:rPr>
      </w:pPr>
      <w:r>
        <w:rPr>
          <w:rFonts w:hint="eastAsia" w:ascii="宋体" w:hAnsi="宋体"/>
          <w:color w:val="000000"/>
          <w:sz w:val="24"/>
        </w:rPr>
        <w:t>（二）日常作业中，若甲方违章指挥、强令乙方冒险作业，有权拒绝执行。</w:t>
      </w:r>
    </w:p>
    <w:p>
      <w:pPr>
        <w:spacing w:line="312" w:lineRule="auto"/>
        <w:ind w:firstLine="480" w:firstLineChars="200"/>
        <w:rPr>
          <w:rFonts w:ascii="宋体" w:hAnsi="宋体"/>
          <w:color w:val="000000"/>
          <w:sz w:val="24"/>
        </w:rPr>
      </w:pPr>
      <w:r>
        <w:rPr>
          <w:rFonts w:hint="eastAsia" w:ascii="宋体" w:hAnsi="宋体"/>
          <w:color w:val="000000"/>
          <w:sz w:val="24"/>
        </w:rPr>
        <w:t>（三）有权要求甲方提供符合安全作业的工艺条件和环境。</w:t>
      </w:r>
    </w:p>
    <w:p>
      <w:pPr>
        <w:spacing w:line="312" w:lineRule="auto"/>
        <w:ind w:firstLine="480" w:firstLineChars="200"/>
        <w:rPr>
          <w:rFonts w:ascii="宋体" w:hAnsi="宋体"/>
          <w:color w:val="000000"/>
          <w:sz w:val="24"/>
        </w:rPr>
      </w:pPr>
      <w:r>
        <w:rPr>
          <w:rFonts w:hint="eastAsia" w:ascii="宋体" w:hAnsi="宋体"/>
          <w:color w:val="000000"/>
          <w:sz w:val="24"/>
        </w:rPr>
        <w:t>（四）发生严重危及乙方生命安全的紧急情况时，乙方有权采取必要的避险措施。</w:t>
      </w:r>
    </w:p>
    <w:p>
      <w:pPr>
        <w:spacing w:line="312" w:lineRule="auto"/>
        <w:ind w:firstLine="480" w:firstLineChars="200"/>
        <w:rPr>
          <w:rFonts w:ascii="宋体" w:hAnsi="宋体"/>
          <w:color w:val="000000"/>
          <w:sz w:val="24"/>
        </w:rPr>
      </w:pPr>
      <w:r>
        <w:rPr>
          <w:rFonts w:hint="eastAsia" w:ascii="宋体" w:hAnsi="宋体"/>
          <w:color w:val="000000"/>
          <w:sz w:val="24"/>
        </w:rPr>
        <w:t>第六条　乙方的责任</w:t>
      </w:r>
    </w:p>
    <w:p>
      <w:pPr>
        <w:spacing w:line="312" w:lineRule="auto"/>
        <w:ind w:firstLine="480" w:firstLineChars="200"/>
        <w:rPr>
          <w:rFonts w:ascii="宋体" w:hAnsi="宋体"/>
          <w:color w:val="000000"/>
          <w:sz w:val="24"/>
        </w:rPr>
      </w:pPr>
      <w:r>
        <w:rPr>
          <w:rFonts w:hint="eastAsia" w:ascii="宋体" w:hAnsi="宋体"/>
          <w:color w:val="000000"/>
          <w:sz w:val="24"/>
        </w:rPr>
        <w:t>（一）乙方是本项目的安全生产责任主体，对本项目的安全生产工作全面负责。乙方应根据国家法律法规及行业安全规范，加强安全管理，如乙方在实施本项目过程中造成甲方、乙方或第三方人员、财产损害的，由乙方承担全部责任。</w:t>
      </w:r>
    </w:p>
    <w:p>
      <w:pPr>
        <w:spacing w:line="312" w:lineRule="auto"/>
        <w:ind w:firstLine="480" w:firstLineChars="200"/>
        <w:rPr>
          <w:rFonts w:ascii="宋体" w:hAnsi="宋体"/>
          <w:color w:val="000000"/>
          <w:sz w:val="24"/>
        </w:rPr>
      </w:pPr>
      <w:r>
        <w:rPr>
          <w:rFonts w:hint="eastAsia" w:ascii="宋体" w:hAnsi="宋体"/>
          <w:color w:val="000000"/>
          <w:sz w:val="24"/>
        </w:rPr>
        <w:t>（二）健全安全组织机构，建立安全生产责任制，制定健全的安全生产规章制度，制定生产安全事故应急求援预案，配备必要的安全生产管理人员和劳动保护用品，严格执行甲方相关的规章制度。</w:t>
      </w:r>
    </w:p>
    <w:p>
      <w:pPr>
        <w:spacing w:line="312" w:lineRule="auto"/>
        <w:ind w:firstLine="480" w:firstLineChars="200"/>
        <w:rPr>
          <w:rFonts w:ascii="宋体" w:hAnsi="宋体"/>
          <w:color w:val="000000"/>
          <w:sz w:val="24"/>
        </w:rPr>
      </w:pPr>
      <w:r>
        <w:rPr>
          <w:rFonts w:hint="eastAsia" w:ascii="宋体" w:hAnsi="宋体"/>
          <w:color w:val="000000"/>
          <w:sz w:val="24"/>
        </w:rPr>
        <w:t>（三）应对作业人员进行作业前安全教育培训，使其具备相应的安全意识和安全技能；特种作业人员应具有相应的资格证书。</w:t>
      </w:r>
    </w:p>
    <w:p>
      <w:pPr>
        <w:spacing w:line="312" w:lineRule="auto"/>
        <w:ind w:firstLine="480" w:firstLineChars="200"/>
        <w:rPr>
          <w:rFonts w:ascii="宋体" w:hAnsi="宋体"/>
          <w:color w:val="000000"/>
          <w:sz w:val="24"/>
        </w:rPr>
      </w:pPr>
      <w:r>
        <w:rPr>
          <w:rFonts w:hint="eastAsia" w:ascii="宋体" w:hAnsi="宋体"/>
          <w:color w:val="000000"/>
          <w:sz w:val="24"/>
        </w:rPr>
        <w:t>（四）不得使用不符合国家、行业标准和甲方规定的原材料、设备、装置、防护用品、器材、安全检测仪器等。所使用的特种设备，必须经具有专业资质的检验检测机构检测。经检测不合格的，不得继续使用。</w:t>
      </w:r>
    </w:p>
    <w:p>
      <w:pPr>
        <w:spacing w:line="312" w:lineRule="auto"/>
        <w:ind w:firstLine="480" w:firstLineChars="200"/>
        <w:rPr>
          <w:rFonts w:ascii="宋体" w:hAnsi="宋体"/>
          <w:color w:val="000000"/>
          <w:sz w:val="24"/>
        </w:rPr>
      </w:pPr>
      <w:r>
        <w:rPr>
          <w:rFonts w:hint="eastAsia" w:ascii="宋体" w:hAnsi="宋体"/>
          <w:color w:val="000000"/>
          <w:sz w:val="24"/>
        </w:rPr>
        <w:t>（五）指定专人负责现场安全监督检查工作，认真开展安全检查，发现作业过程中不安全行为和隐患、应采取有效措施积极处理。</w:t>
      </w:r>
    </w:p>
    <w:p>
      <w:pPr>
        <w:spacing w:line="312" w:lineRule="auto"/>
        <w:ind w:firstLine="480" w:firstLineChars="200"/>
        <w:rPr>
          <w:rFonts w:ascii="宋体" w:hAnsi="宋体"/>
          <w:color w:val="000000"/>
          <w:sz w:val="24"/>
        </w:rPr>
      </w:pPr>
      <w:r>
        <w:rPr>
          <w:rFonts w:hint="eastAsia" w:ascii="宋体" w:hAnsi="宋体"/>
          <w:color w:val="000000"/>
          <w:sz w:val="24"/>
        </w:rPr>
        <w:t>（六）乙方有责任对作业区域的安全生产条件进行详细了解。</w:t>
      </w:r>
    </w:p>
    <w:p>
      <w:pPr>
        <w:spacing w:line="312" w:lineRule="auto"/>
        <w:ind w:firstLine="480" w:firstLineChars="200"/>
        <w:rPr>
          <w:rFonts w:ascii="宋体" w:hAnsi="宋体"/>
          <w:color w:val="000000"/>
          <w:sz w:val="24"/>
        </w:rPr>
      </w:pPr>
      <w:r>
        <w:rPr>
          <w:rFonts w:hint="eastAsia" w:ascii="宋体" w:hAnsi="宋体"/>
          <w:color w:val="000000"/>
          <w:sz w:val="24"/>
        </w:rPr>
        <w:t>（七）乙方在作业过程中有属于危及安全生产的关键作业时，应提出切实可行的方案，经甲方同意后，方可实施。</w:t>
      </w:r>
    </w:p>
    <w:p>
      <w:pPr>
        <w:spacing w:line="312" w:lineRule="auto"/>
        <w:ind w:firstLine="480" w:firstLineChars="200"/>
        <w:rPr>
          <w:rFonts w:ascii="宋体" w:hAnsi="宋体"/>
          <w:color w:val="000000"/>
          <w:sz w:val="24"/>
        </w:rPr>
      </w:pPr>
      <w:r>
        <w:rPr>
          <w:rFonts w:hint="eastAsia" w:ascii="宋体" w:hAnsi="宋体"/>
          <w:color w:val="000000"/>
          <w:sz w:val="24"/>
        </w:rPr>
        <w:t>（八）乙方不能将项目转包给第三方。</w:t>
      </w:r>
    </w:p>
    <w:p>
      <w:pPr>
        <w:spacing w:line="312" w:lineRule="auto"/>
        <w:ind w:firstLine="480" w:firstLineChars="200"/>
        <w:rPr>
          <w:rFonts w:ascii="宋体" w:hAnsi="宋体"/>
          <w:color w:val="000000"/>
          <w:sz w:val="24"/>
        </w:rPr>
      </w:pPr>
      <w:r>
        <w:rPr>
          <w:rFonts w:hint="eastAsia" w:ascii="宋体" w:hAnsi="宋体"/>
          <w:color w:val="000000"/>
          <w:sz w:val="24"/>
        </w:rPr>
        <w:t>（九）乙方在施工期间只能在甲方规定的路线进出公司，只能在规定的施工区域内作业，禁止私自进入甲方其它生产区域。</w:t>
      </w:r>
    </w:p>
    <w:p>
      <w:pPr>
        <w:spacing w:line="312" w:lineRule="auto"/>
        <w:ind w:firstLine="480" w:firstLineChars="200"/>
        <w:rPr>
          <w:rFonts w:ascii="宋体" w:hAnsi="宋体"/>
          <w:color w:val="000000"/>
          <w:sz w:val="24"/>
        </w:rPr>
      </w:pPr>
      <w:r>
        <w:rPr>
          <w:rFonts w:hint="eastAsia" w:ascii="宋体" w:hAnsi="宋体"/>
          <w:color w:val="000000"/>
          <w:sz w:val="24"/>
        </w:rPr>
        <w:t>（十）乙方应服从甲方单位的安全管理。</w:t>
      </w:r>
    </w:p>
    <w:p>
      <w:pPr>
        <w:spacing w:line="312" w:lineRule="auto"/>
        <w:ind w:firstLine="480" w:firstLineChars="200"/>
        <w:rPr>
          <w:rFonts w:ascii="宋体" w:hAnsi="宋体"/>
          <w:color w:val="000000"/>
          <w:sz w:val="24"/>
        </w:rPr>
      </w:pPr>
      <w:r>
        <w:rPr>
          <w:rFonts w:hint="eastAsia" w:ascii="宋体" w:hAnsi="宋体"/>
          <w:color w:val="000000"/>
          <w:sz w:val="24"/>
        </w:rPr>
        <w:t>（十一）发生事故时，应积极抢险，避免事故的进一步扩大，并按照国家相关要求报告事故。</w:t>
      </w:r>
    </w:p>
    <w:p>
      <w:pPr>
        <w:spacing w:line="312" w:lineRule="auto"/>
        <w:ind w:firstLine="480" w:firstLineChars="200"/>
        <w:rPr>
          <w:rFonts w:ascii="宋体" w:hAnsi="宋体"/>
          <w:color w:val="000000"/>
          <w:sz w:val="24"/>
        </w:rPr>
      </w:pPr>
      <w:r>
        <w:rPr>
          <w:rFonts w:hint="eastAsia" w:ascii="宋体" w:hAnsi="宋体"/>
          <w:color w:val="000000"/>
          <w:sz w:val="24"/>
        </w:rPr>
        <w:t>（十二）当乙方在施工过程中发生伤亡事故时，乙方作为工程项目的承包单位，对发生的人身伤害、设备损坏事故及其他安全事故承担全部安全责任。由乙方向自己的主管上级部门及当地政府的安全生产监督管理部门、公安部门报告，并自行承担相应的责任。</w:t>
      </w:r>
    </w:p>
    <w:p>
      <w:pPr>
        <w:spacing w:line="312" w:lineRule="auto"/>
        <w:ind w:firstLine="480" w:firstLineChars="200"/>
        <w:rPr>
          <w:rFonts w:ascii="宋体" w:hAnsi="宋体"/>
          <w:color w:val="000000"/>
          <w:sz w:val="24"/>
        </w:rPr>
      </w:pPr>
      <w:r>
        <w:rPr>
          <w:rFonts w:hint="eastAsia" w:ascii="宋体" w:hAnsi="宋体"/>
          <w:color w:val="000000"/>
          <w:sz w:val="24"/>
        </w:rPr>
        <w:t>第七条  违约责任及处理</w:t>
      </w:r>
    </w:p>
    <w:p>
      <w:pPr>
        <w:spacing w:line="312" w:lineRule="auto"/>
        <w:ind w:firstLine="480" w:firstLineChars="200"/>
        <w:rPr>
          <w:rFonts w:ascii="宋体" w:hAnsi="宋体"/>
          <w:color w:val="000000"/>
          <w:sz w:val="24"/>
        </w:rPr>
      </w:pPr>
      <w:r>
        <w:rPr>
          <w:rFonts w:hint="eastAsia" w:ascii="宋体" w:hAnsi="宋体"/>
          <w:color w:val="000000"/>
          <w:sz w:val="24"/>
        </w:rPr>
        <w:t>（一）甲乙双方违反本合同要求，未造成事故时，依据相关合同对违约者进行处理（包括但不限于支付违约金、赔偿损失等）。</w:t>
      </w:r>
    </w:p>
    <w:p>
      <w:pPr>
        <w:spacing w:line="312" w:lineRule="auto"/>
        <w:ind w:firstLine="480" w:firstLineChars="200"/>
        <w:rPr>
          <w:rFonts w:ascii="宋体" w:hAnsi="宋体"/>
          <w:color w:val="000000"/>
          <w:sz w:val="24"/>
        </w:rPr>
      </w:pPr>
      <w:r>
        <w:rPr>
          <w:rFonts w:hint="eastAsia" w:ascii="宋体" w:hAnsi="宋体"/>
          <w:color w:val="000000"/>
          <w:sz w:val="24"/>
        </w:rPr>
        <w:t>（二）发生事故时，甲、乙双方有抢险、救灾的责任，所发生的费用由责任方承担。</w:t>
      </w:r>
    </w:p>
    <w:p>
      <w:pPr>
        <w:spacing w:line="312" w:lineRule="auto"/>
        <w:ind w:firstLine="480" w:firstLineChars="200"/>
        <w:rPr>
          <w:rFonts w:ascii="宋体" w:hAnsi="宋体"/>
          <w:color w:val="000000"/>
          <w:sz w:val="24"/>
        </w:rPr>
      </w:pPr>
      <w:r>
        <w:rPr>
          <w:rFonts w:hint="eastAsia" w:ascii="宋体" w:hAnsi="宋体"/>
          <w:color w:val="000000"/>
          <w:sz w:val="24"/>
        </w:rPr>
        <w:t xml:space="preserve">（三）发生的事故，应经事故调查确认责任；事故报告和调查应按照国家和甲方有关规定进行。           </w:t>
      </w:r>
    </w:p>
    <w:p>
      <w:pPr>
        <w:spacing w:line="312" w:lineRule="auto"/>
        <w:ind w:firstLine="480" w:firstLineChars="200"/>
        <w:rPr>
          <w:rFonts w:ascii="宋体" w:hAnsi="宋体"/>
          <w:color w:val="000000"/>
          <w:sz w:val="24"/>
        </w:rPr>
      </w:pPr>
      <w:r>
        <w:rPr>
          <w:rFonts w:hint="eastAsia" w:ascii="宋体" w:hAnsi="宋体"/>
          <w:color w:val="000000"/>
          <w:sz w:val="24"/>
        </w:rPr>
        <w:t>（四）甲方违约造成的事故，甲方承担全部责任，并按规定追究有关人员责任及上报。</w:t>
      </w:r>
    </w:p>
    <w:p>
      <w:pPr>
        <w:spacing w:line="312" w:lineRule="auto"/>
        <w:ind w:firstLine="480" w:firstLineChars="200"/>
        <w:rPr>
          <w:rFonts w:ascii="宋体" w:hAnsi="宋体"/>
          <w:color w:val="000000"/>
          <w:sz w:val="24"/>
        </w:rPr>
      </w:pPr>
      <w:r>
        <w:rPr>
          <w:rFonts w:hint="eastAsia" w:ascii="宋体" w:hAnsi="宋体"/>
          <w:color w:val="000000"/>
          <w:sz w:val="24"/>
        </w:rPr>
        <w:t>（五）乙方违约造成的事故，乙方承担全部责任，并按规定追究有关人员责任并报告甲方；由于乙方工程质量、检修质量及购买的原材料导致的事故，由乙方承担全部责任。</w:t>
      </w:r>
    </w:p>
    <w:p>
      <w:pPr>
        <w:spacing w:line="312" w:lineRule="auto"/>
        <w:ind w:firstLine="480" w:firstLineChars="200"/>
        <w:rPr>
          <w:rFonts w:ascii="宋体" w:hAnsi="宋体"/>
          <w:color w:val="000000"/>
          <w:sz w:val="24"/>
        </w:rPr>
      </w:pPr>
      <w:r>
        <w:rPr>
          <w:rFonts w:hint="eastAsia" w:ascii="宋体" w:hAnsi="宋体"/>
          <w:color w:val="000000"/>
          <w:sz w:val="24"/>
        </w:rPr>
        <w:t>（六）甲、乙双方共同造成的事故，按双方责任大小承担相应责任，并按规定追究有关人员责任。</w:t>
      </w:r>
    </w:p>
    <w:p>
      <w:pPr>
        <w:spacing w:line="312" w:lineRule="auto"/>
        <w:ind w:firstLine="480" w:firstLineChars="200"/>
        <w:rPr>
          <w:rFonts w:ascii="宋体" w:hAnsi="宋体"/>
          <w:color w:val="000000"/>
          <w:sz w:val="24"/>
        </w:rPr>
      </w:pPr>
      <w:r>
        <w:rPr>
          <w:rFonts w:hint="eastAsia" w:ascii="宋体" w:hAnsi="宋体"/>
          <w:color w:val="000000"/>
          <w:sz w:val="24"/>
        </w:rPr>
        <w:t>（七）对乙方发生事故后弄虚作假、隐瞒不报、迟报或谎报，一经查出，按有关规定从重处罚，情节严重的，甲方有权向当地政府安全生产监督管理部门报告，并取消其进入甲方市场资格。</w:t>
      </w:r>
    </w:p>
    <w:p>
      <w:pPr>
        <w:spacing w:line="312" w:lineRule="auto"/>
        <w:ind w:firstLine="480" w:firstLineChars="200"/>
        <w:rPr>
          <w:rFonts w:ascii="宋体" w:hAnsi="宋体"/>
          <w:color w:val="000000"/>
          <w:sz w:val="24"/>
        </w:rPr>
      </w:pPr>
      <w:r>
        <w:rPr>
          <w:rFonts w:hint="eastAsia" w:ascii="宋体" w:hAnsi="宋体"/>
          <w:color w:val="000000"/>
          <w:sz w:val="24"/>
        </w:rPr>
        <w:t>（八）施工期间，需要办理的有关安全的批文或其它手续，乙方必须办理齐全，否则发生安全事故由乙方承担全部责任。</w:t>
      </w:r>
    </w:p>
    <w:p>
      <w:pPr>
        <w:spacing w:line="312" w:lineRule="auto"/>
        <w:ind w:firstLine="480" w:firstLineChars="200"/>
        <w:rPr>
          <w:rFonts w:ascii="宋体" w:hAnsi="宋体"/>
          <w:color w:val="000000"/>
          <w:sz w:val="24"/>
        </w:rPr>
      </w:pPr>
      <w:r>
        <w:rPr>
          <w:rFonts w:hint="eastAsia" w:ascii="宋体" w:hAnsi="宋体"/>
          <w:color w:val="000000"/>
          <w:sz w:val="24"/>
        </w:rPr>
        <w:t>第八条　由于不可抗力造成合同项目施工作业事故及生产的损失，当事人双方各自承担相应的损失。</w:t>
      </w:r>
    </w:p>
    <w:p>
      <w:pPr>
        <w:spacing w:line="312" w:lineRule="auto"/>
        <w:ind w:firstLine="480" w:firstLineChars="200"/>
        <w:rPr>
          <w:rFonts w:ascii="宋体" w:hAnsi="宋体"/>
          <w:color w:val="000000"/>
          <w:sz w:val="24"/>
        </w:rPr>
      </w:pPr>
      <w:r>
        <w:rPr>
          <w:rFonts w:hint="eastAsia" w:ascii="宋体" w:hAnsi="宋体"/>
          <w:color w:val="000000"/>
          <w:sz w:val="24"/>
        </w:rPr>
        <w:t>第九条　甲乙双方的施工作业人员和机具设备的保险，由甲乙双方依据国家相关规定或约定各自承担。</w:t>
      </w:r>
    </w:p>
    <w:p>
      <w:pPr>
        <w:spacing w:line="312" w:lineRule="auto"/>
        <w:ind w:firstLine="480" w:firstLineChars="200"/>
        <w:rPr>
          <w:rFonts w:ascii="宋体" w:hAnsi="宋体"/>
          <w:color w:val="000000"/>
          <w:sz w:val="24"/>
        </w:rPr>
      </w:pPr>
      <w:r>
        <w:rPr>
          <w:rFonts w:hint="eastAsia" w:ascii="宋体" w:hAnsi="宋体"/>
          <w:color w:val="000000"/>
          <w:sz w:val="24"/>
        </w:rPr>
        <w:t>第十条  本合同履行过程中发生争议纠纷，应通过友好协商方式解决，如协商不成，按双方在项目合同中约定的管辖地和纠纷解决的方式执行。</w:t>
      </w:r>
    </w:p>
    <w:p>
      <w:pPr>
        <w:spacing w:line="312" w:lineRule="auto"/>
        <w:ind w:firstLine="480" w:firstLineChars="200"/>
        <w:rPr>
          <w:rFonts w:ascii="宋体" w:hAnsi="宋体"/>
          <w:color w:val="000000"/>
          <w:sz w:val="24"/>
        </w:rPr>
      </w:pPr>
      <w:r>
        <w:rPr>
          <w:rFonts w:hint="eastAsia" w:ascii="宋体" w:hAnsi="宋体"/>
          <w:color w:val="000000"/>
          <w:sz w:val="24"/>
        </w:rPr>
        <w:t>第十一条　本合同是项目经济合同的附件，与项目经济合同具有同等法律效力。本合同与项目经济合同同时生效、终止。</w:t>
      </w:r>
    </w:p>
    <w:p>
      <w:pPr>
        <w:spacing w:line="312" w:lineRule="auto"/>
        <w:ind w:firstLine="480" w:firstLineChars="200"/>
        <w:rPr>
          <w:rFonts w:ascii="宋体" w:hAnsi="宋体"/>
          <w:color w:val="000000"/>
          <w:sz w:val="24"/>
        </w:rPr>
      </w:pPr>
      <w:r>
        <w:rPr>
          <w:rFonts w:hint="eastAsia" w:ascii="宋体" w:hAnsi="宋体"/>
          <w:color w:val="000000"/>
          <w:sz w:val="24"/>
        </w:rPr>
        <w:t>第十二条  乙方施工期间指定现场安全监护人员，并书面告知甲方。乙方的现场施工项目经理同时兼任现场安全总负责人。</w:t>
      </w:r>
    </w:p>
    <w:p>
      <w:pPr>
        <w:spacing w:line="312" w:lineRule="auto"/>
        <w:ind w:firstLine="480" w:firstLineChars="200"/>
        <w:rPr>
          <w:rFonts w:ascii="宋体" w:hAnsi="宋体"/>
          <w:color w:val="000000"/>
          <w:sz w:val="24"/>
        </w:rPr>
      </w:pPr>
      <w:r>
        <w:rPr>
          <w:rFonts w:hint="eastAsia" w:ascii="宋体" w:hAnsi="宋体"/>
          <w:color w:val="000000"/>
          <w:sz w:val="24"/>
        </w:rPr>
        <w:t>第十三条　本合同经双方签字或盖章后生效。本合同一式捌份，双方各持肆份。</w:t>
      </w:r>
    </w:p>
    <w:p>
      <w:pPr>
        <w:pStyle w:val="2"/>
      </w:pPr>
    </w:p>
    <w:p>
      <w:pPr>
        <w:spacing w:line="312" w:lineRule="auto"/>
        <w:ind w:left="5999" w:leftChars="114" w:hanging="5760" w:hangingChars="2400"/>
        <w:rPr>
          <w:rFonts w:ascii="宋体" w:hAnsi="宋体"/>
          <w:bCs/>
          <w:sz w:val="24"/>
        </w:rPr>
      </w:pPr>
      <w:r>
        <w:rPr>
          <w:rFonts w:hint="eastAsia" w:ascii="宋体" w:hAnsi="宋体"/>
          <w:bCs/>
          <w:sz w:val="24"/>
        </w:rPr>
        <w:t xml:space="preserve">甲方（盖章）：                      乙方（盖章）： </w:t>
      </w:r>
    </w:p>
    <w:p>
      <w:pPr>
        <w:spacing w:line="312" w:lineRule="auto"/>
        <w:rPr>
          <w:rFonts w:ascii="宋体" w:hAnsi="宋体"/>
          <w:bCs/>
          <w:sz w:val="24"/>
        </w:rPr>
      </w:pPr>
    </w:p>
    <w:p>
      <w:pPr>
        <w:spacing w:line="312" w:lineRule="auto"/>
        <w:ind w:firstLine="240" w:firstLineChars="100"/>
        <w:rPr>
          <w:rFonts w:ascii="宋体" w:hAnsi="宋体"/>
          <w:bCs/>
          <w:sz w:val="24"/>
        </w:rPr>
      </w:pPr>
      <w:r>
        <w:rPr>
          <w:rFonts w:hint="eastAsia" w:ascii="宋体" w:hAnsi="宋体"/>
          <w:bCs/>
          <w:sz w:val="24"/>
        </w:rPr>
        <w:t>甲方法定代表人：                    甲方法定代表人：</w:t>
      </w:r>
    </w:p>
    <w:p>
      <w:pPr>
        <w:spacing w:line="312" w:lineRule="auto"/>
        <w:ind w:firstLine="240" w:firstLineChars="100"/>
        <w:rPr>
          <w:rFonts w:ascii="宋体" w:hAnsi="宋体"/>
          <w:bCs/>
          <w:sz w:val="24"/>
        </w:rPr>
      </w:pPr>
      <w:r>
        <w:rPr>
          <w:rFonts w:hint="eastAsia" w:ascii="宋体" w:hAnsi="宋体"/>
          <w:bCs/>
          <w:sz w:val="24"/>
        </w:rPr>
        <w:t xml:space="preserve">或其委托代理人 ：                   或其委托代理人 ：          </w:t>
      </w:r>
    </w:p>
    <w:p>
      <w:pPr>
        <w:wordWrap w:val="0"/>
        <w:spacing w:line="360" w:lineRule="auto"/>
        <w:ind w:firstLine="240" w:firstLineChars="100"/>
        <w:jc w:val="both"/>
        <w:textAlignment w:val="center"/>
        <w:rPr>
          <w:rFonts w:ascii="黑体" w:hAnsi="黑体" w:eastAsia="黑体" w:cs="仿宋"/>
          <w:b/>
          <w:color w:val="000000"/>
          <w:sz w:val="36"/>
          <w:szCs w:val="36"/>
        </w:rPr>
      </w:pPr>
      <w:r>
        <w:rPr>
          <w:rFonts w:hint="eastAsia" w:ascii="宋体" w:hAnsi="宋体"/>
          <w:bCs/>
          <w:sz w:val="24"/>
        </w:rPr>
        <w:t>会签地址：湖南岳阳市               日期：   年  月  日</w:t>
      </w:r>
    </w:p>
    <w:p>
      <w:pPr>
        <w:spacing w:line="240" w:lineRule="auto"/>
        <w:rPr>
          <w:rFonts w:ascii="黑体" w:hAnsi="黑体" w:eastAsia="黑体" w:cs="仿宋"/>
          <w:b/>
          <w:color w:val="000000"/>
          <w:sz w:val="36"/>
          <w:szCs w:val="36"/>
        </w:rPr>
      </w:pPr>
      <w:r>
        <w:rPr>
          <w:rFonts w:ascii="黑体" w:hAnsi="黑体" w:eastAsia="黑体" w:cs="仿宋"/>
          <w:b/>
          <w:color w:val="000000"/>
          <w:sz w:val="36"/>
          <w:szCs w:val="36"/>
        </w:rPr>
        <w:br w:type="page"/>
      </w:r>
    </w:p>
    <w:p>
      <w:pPr>
        <w:pStyle w:val="5"/>
        <w:spacing w:before="0" w:after="0" w:line="360" w:lineRule="exact"/>
        <w:jc w:val="center"/>
        <w:rPr>
          <w:rFonts w:ascii="黑体" w:hAnsi="黑体" w:eastAsia="黑体" w:cs="仿宋"/>
          <w:b w:val="0"/>
          <w:color w:val="000000"/>
          <w:sz w:val="36"/>
          <w:szCs w:val="36"/>
        </w:rPr>
      </w:pPr>
      <w:bookmarkStart w:id="71" w:name="_Toc106039362"/>
      <w:r>
        <w:rPr>
          <w:rFonts w:hint="eastAsia" w:ascii="黑体" w:hAnsi="黑体" w:eastAsia="黑体" w:cs="仿宋"/>
          <w:b w:val="0"/>
          <w:color w:val="000000"/>
          <w:sz w:val="36"/>
          <w:szCs w:val="36"/>
        </w:rPr>
        <w:t>第五章  采购需求</w:t>
      </w:r>
      <w:bookmarkEnd w:id="71"/>
    </w:p>
    <w:p>
      <w:pPr>
        <w:ind w:firstLine="562" w:firstLineChars="200"/>
        <w:rPr>
          <w:rFonts w:ascii="宋体" w:hAnsi="宋体" w:cs="宋体"/>
          <w:b/>
          <w:bCs/>
          <w:sz w:val="28"/>
          <w:szCs w:val="28"/>
        </w:rPr>
      </w:pPr>
    </w:p>
    <w:p>
      <w:pPr>
        <w:spacing w:line="360" w:lineRule="auto"/>
        <w:ind w:firstLine="482" w:firstLineChars="200"/>
        <w:rPr>
          <w:rFonts w:ascii="宋体" w:hAnsi="宋体" w:cs="宋体"/>
          <w:bCs/>
          <w:sz w:val="24"/>
        </w:rPr>
      </w:pPr>
      <w:r>
        <w:rPr>
          <w:rFonts w:hint="eastAsia" w:ascii="宋体" w:hAnsi="宋体" w:cs="宋体"/>
          <w:b/>
          <w:bCs/>
          <w:sz w:val="24"/>
        </w:rPr>
        <w:t>一、采购范围:</w:t>
      </w:r>
      <w:r>
        <w:rPr>
          <w:rFonts w:hint="eastAsia" w:ascii="宋体" w:hAnsi="宋体" w:cs="宋体"/>
          <w:bCs/>
          <w:sz w:val="24"/>
        </w:rPr>
        <w:t>长沙集星集装箱码头有限公司生产管理系统所需的</w:t>
      </w:r>
      <w:r>
        <w:rPr>
          <w:rFonts w:ascii="宋体" w:hAnsi="宋体" w:cs="宋体"/>
          <w:bCs/>
          <w:sz w:val="24"/>
        </w:rPr>
        <w:t>24</w:t>
      </w:r>
      <w:r>
        <w:rPr>
          <w:rFonts w:hint="eastAsia" w:ascii="宋体" w:hAnsi="宋体" w:cs="宋体"/>
          <w:bCs/>
          <w:sz w:val="24"/>
        </w:rPr>
        <w:t>台电脑，供应商应提供相应的电脑组装、调试、系统安装及相应的售后服务。</w:t>
      </w:r>
    </w:p>
    <w:p>
      <w:pPr>
        <w:spacing w:line="360" w:lineRule="auto"/>
        <w:ind w:firstLine="482" w:firstLineChars="200"/>
        <w:rPr>
          <w:rFonts w:ascii="宋体" w:hAnsi="宋体" w:cs="宋体"/>
          <w:bCs/>
          <w:sz w:val="24"/>
        </w:rPr>
      </w:pPr>
      <w:r>
        <w:rPr>
          <w:rFonts w:hint="eastAsia" w:ascii="宋体" w:hAnsi="宋体" w:cs="宋体"/>
          <w:b/>
          <w:bCs/>
          <w:sz w:val="24"/>
        </w:rPr>
        <w:t>二、交货期限:</w:t>
      </w:r>
      <w:r>
        <w:rPr>
          <w:rFonts w:hint="eastAsia" w:ascii="宋体" w:hAnsi="宋体" w:cs="宋体"/>
          <w:bCs/>
          <w:sz w:val="24"/>
        </w:rPr>
        <w:t>合同签订后10个工作日内向采购人提交电脑设备，并完成安装调试。</w:t>
      </w:r>
    </w:p>
    <w:p>
      <w:pPr>
        <w:spacing w:line="360" w:lineRule="auto"/>
        <w:ind w:firstLine="482" w:firstLineChars="200"/>
        <w:rPr>
          <w:rFonts w:ascii="宋体" w:hAnsi="宋体" w:cs="宋体"/>
          <w:bCs/>
          <w:sz w:val="24"/>
        </w:rPr>
      </w:pPr>
      <w:r>
        <w:rPr>
          <w:rFonts w:hint="eastAsia" w:ascii="宋体" w:hAnsi="宋体" w:cs="宋体"/>
          <w:b/>
          <w:bCs/>
          <w:sz w:val="24"/>
        </w:rPr>
        <w:t>三、交货地点及方式:</w:t>
      </w:r>
      <w:r>
        <w:rPr>
          <w:rFonts w:hint="eastAsia" w:ascii="宋体" w:hAnsi="宋体" w:cs="宋体"/>
          <w:bCs/>
          <w:sz w:val="24"/>
        </w:rPr>
        <w:t>由供应商负责运输至长沙集星集装箱码头有限公司交货，运费由供应商承担。</w:t>
      </w:r>
    </w:p>
    <w:p>
      <w:pPr>
        <w:spacing w:line="360" w:lineRule="auto"/>
        <w:ind w:firstLine="482" w:firstLineChars="200"/>
        <w:rPr>
          <w:rFonts w:ascii="宋体" w:hAnsi="宋体" w:cs="宋体"/>
          <w:bCs/>
          <w:sz w:val="24"/>
        </w:rPr>
      </w:pPr>
      <w:r>
        <w:rPr>
          <w:rFonts w:hint="eastAsia" w:ascii="宋体" w:hAnsi="宋体" w:cs="宋体"/>
          <w:b/>
          <w:bCs/>
          <w:sz w:val="24"/>
        </w:rPr>
        <w:t>四、售后：</w:t>
      </w:r>
      <w:r>
        <w:rPr>
          <w:rFonts w:hint="eastAsia" w:ascii="宋体" w:hAnsi="宋体" w:cs="宋体"/>
          <w:bCs/>
          <w:sz w:val="24"/>
        </w:rPr>
        <w:t>原厂三年上门售后服务。</w:t>
      </w:r>
    </w:p>
    <w:p>
      <w:pPr>
        <w:spacing w:line="360" w:lineRule="auto"/>
        <w:ind w:firstLine="482" w:firstLineChars="200"/>
        <w:rPr>
          <w:rFonts w:ascii="宋体" w:hAnsi="宋体" w:cs="宋体"/>
          <w:b/>
          <w:bCs/>
          <w:sz w:val="24"/>
        </w:rPr>
      </w:pPr>
      <w:r>
        <w:rPr>
          <w:rFonts w:hint="eastAsia" w:ascii="宋体" w:hAnsi="宋体" w:cs="宋体"/>
          <w:b/>
          <w:bCs/>
          <w:sz w:val="24"/>
        </w:rPr>
        <w:t>五、采购清单：</w:t>
      </w:r>
      <w:r>
        <w:rPr>
          <w:rFonts w:ascii="宋体" w:hAnsi="宋体" w:cs="宋体"/>
          <w:b/>
          <w:bCs/>
          <w:sz w:val="24"/>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06"/>
        <w:gridCol w:w="4506"/>
        <w:gridCol w:w="706"/>
        <w:gridCol w:w="705"/>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04" w:type="dxa"/>
            <w:vAlign w:val="center"/>
          </w:tcPr>
          <w:p>
            <w:pPr>
              <w:widowControl w:val="0"/>
              <w:jc w:val="center"/>
              <w:rPr>
                <w:szCs w:val="21"/>
              </w:rPr>
            </w:pPr>
            <w:r>
              <w:rPr>
                <w:rFonts w:hint="eastAsia"/>
                <w:szCs w:val="21"/>
              </w:rPr>
              <w:t>序号</w:t>
            </w:r>
          </w:p>
        </w:tc>
        <w:tc>
          <w:tcPr>
            <w:tcW w:w="709" w:type="dxa"/>
            <w:vAlign w:val="center"/>
          </w:tcPr>
          <w:p>
            <w:pPr>
              <w:widowControl w:val="0"/>
              <w:jc w:val="center"/>
              <w:rPr>
                <w:szCs w:val="21"/>
              </w:rPr>
            </w:pPr>
            <w:r>
              <w:rPr>
                <w:rFonts w:hint="eastAsia"/>
                <w:szCs w:val="21"/>
              </w:rPr>
              <w:t>名称</w:t>
            </w:r>
          </w:p>
        </w:tc>
        <w:tc>
          <w:tcPr>
            <w:tcW w:w="4536" w:type="dxa"/>
            <w:vAlign w:val="center"/>
          </w:tcPr>
          <w:p>
            <w:pPr>
              <w:widowControl w:val="0"/>
              <w:jc w:val="center"/>
              <w:rPr>
                <w:szCs w:val="21"/>
              </w:rPr>
            </w:pPr>
            <w:r>
              <w:rPr>
                <w:rFonts w:hint="eastAsia"/>
                <w:szCs w:val="21"/>
              </w:rPr>
              <w:t>详细配置</w:t>
            </w:r>
          </w:p>
        </w:tc>
        <w:tc>
          <w:tcPr>
            <w:tcW w:w="709" w:type="dxa"/>
            <w:vAlign w:val="center"/>
          </w:tcPr>
          <w:p>
            <w:pPr>
              <w:widowControl w:val="0"/>
              <w:jc w:val="center"/>
              <w:rPr>
                <w:szCs w:val="21"/>
              </w:rPr>
            </w:pPr>
            <w:r>
              <w:rPr>
                <w:rFonts w:hint="eastAsia"/>
                <w:szCs w:val="21"/>
              </w:rPr>
              <w:t>数量</w:t>
            </w:r>
          </w:p>
        </w:tc>
        <w:tc>
          <w:tcPr>
            <w:tcW w:w="708" w:type="dxa"/>
            <w:vAlign w:val="center"/>
          </w:tcPr>
          <w:p>
            <w:pPr>
              <w:widowControl w:val="0"/>
              <w:jc w:val="center"/>
              <w:rPr>
                <w:szCs w:val="21"/>
              </w:rPr>
            </w:pPr>
            <w:r>
              <w:rPr>
                <w:rFonts w:hint="eastAsia"/>
                <w:szCs w:val="21"/>
              </w:rPr>
              <w:t>单位</w:t>
            </w:r>
          </w:p>
        </w:tc>
        <w:tc>
          <w:tcPr>
            <w:tcW w:w="2370" w:type="dxa"/>
            <w:vAlign w:val="center"/>
          </w:tcPr>
          <w:p>
            <w:pPr>
              <w:widowControl w:val="0"/>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04" w:type="dxa"/>
            <w:vAlign w:val="center"/>
          </w:tcPr>
          <w:p>
            <w:pPr>
              <w:widowControl w:val="0"/>
              <w:jc w:val="center"/>
              <w:rPr>
                <w:szCs w:val="21"/>
              </w:rPr>
            </w:pPr>
            <w:r>
              <w:rPr>
                <w:rFonts w:hint="eastAsia"/>
                <w:szCs w:val="21"/>
              </w:rPr>
              <w:t>1</w:t>
            </w:r>
          </w:p>
        </w:tc>
        <w:tc>
          <w:tcPr>
            <w:tcW w:w="709" w:type="dxa"/>
            <w:vAlign w:val="center"/>
          </w:tcPr>
          <w:p>
            <w:pPr>
              <w:widowControl w:val="0"/>
              <w:jc w:val="center"/>
              <w:rPr>
                <w:szCs w:val="21"/>
              </w:rPr>
            </w:pPr>
            <w:bookmarkStart w:id="72" w:name="OLE_LINK1"/>
            <w:r>
              <w:rPr>
                <w:rFonts w:hint="eastAsia"/>
                <w:szCs w:val="21"/>
              </w:rPr>
              <w:t>台式电脑</w:t>
            </w:r>
            <w:bookmarkEnd w:id="72"/>
          </w:p>
        </w:tc>
        <w:tc>
          <w:tcPr>
            <w:tcW w:w="4536" w:type="dxa"/>
            <w:vAlign w:val="center"/>
          </w:tcPr>
          <w:p>
            <w:pPr>
              <w:widowControl w:val="0"/>
              <w:jc w:val="both"/>
              <w:rPr>
                <w:szCs w:val="21"/>
              </w:rPr>
            </w:pPr>
            <w:bookmarkStart w:id="73" w:name="OLE_LINK12"/>
            <w:bookmarkStart w:id="74" w:name="OLE_LINK11"/>
            <w:r>
              <w:rPr>
                <w:rFonts w:hint="eastAsia"/>
                <w:szCs w:val="21"/>
              </w:rPr>
              <w:t>1.主板：≥Intel B360系列及以上芯片组；</w:t>
            </w:r>
          </w:p>
          <w:p>
            <w:pPr>
              <w:widowControl w:val="0"/>
              <w:jc w:val="both"/>
              <w:rPr>
                <w:szCs w:val="21"/>
              </w:rPr>
            </w:pPr>
            <w:r>
              <w:rPr>
                <w:rFonts w:hint="eastAsia"/>
                <w:szCs w:val="21"/>
              </w:rPr>
              <w:t>2.CPU：≥ Intel Core i7-10700</w:t>
            </w:r>
          </w:p>
          <w:p>
            <w:pPr>
              <w:widowControl w:val="0"/>
              <w:jc w:val="both"/>
              <w:rPr>
                <w:szCs w:val="21"/>
              </w:rPr>
            </w:pPr>
            <w:r>
              <w:rPr>
                <w:rFonts w:hint="eastAsia"/>
                <w:szCs w:val="21"/>
              </w:rPr>
              <w:t>3.内存：1</w:t>
            </w:r>
            <w:r>
              <w:rPr>
                <w:szCs w:val="21"/>
              </w:rPr>
              <w:t>6</w:t>
            </w:r>
            <w:r>
              <w:rPr>
                <w:rFonts w:hint="eastAsia"/>
                <w:szCs w:val="21"/>
              </w:rPr>
              <w:t xml:space="preserve"> GB DDR4 2666 MHz；</w:t>
            </w:r>
          </w:p>
          <w:p>
            <w:pPr>
              <w:widowControl w:val="0"/>
              <w:jc w:val="both"/>
              <w:rPr>
                <w:szCs w:val="21"/>
              </w:rPr>
            </w:pPr>
            <w:r>
              <w:rPr>
                <w:rFonts w:hint="eastAsia"/>
                <w:szCs w:val="21"/>
              </w:rPr>
              <w:t>4.硬盘</w:t>
            </w:r>
            <w:bookmarkStart w:id="75" w:name="OLE_LINK13"/>
            <w:r>
              <w:rPr>
                <w:rFonts w:hint="eastAsia"/>
                <w:szCs w:val="21"/>
              </w:rPr>
              <w:t>：≥</w:t>
            </w:r>
            <w:bookmarkEnd w:id="75"/>
            <w:r>
              <w:rPr>
                <w:rFonts w:hint="eastAsia"/>
                <w:szCs w:val="21"/>
              </w:rPr>
              <w:t>128GSSD+1TB SATA硬盘</w:t>
            </w:r>
          </w:p>
          <w:p>
            <w:pPr>
              <w:widowControl w:val="0"/>
              <w:jc w:val="both"/>
              <w:rPr>
                <w:szCs w:val="21"/>
              </w:rPr>
            </w:pPr>
            <w:r>
              <w:rPr>
                <w:rFonts w:hint="eastAsia"/>
                <w:szCs w:val="21"/>
              </w:rPr>
              <w:t>5.显卡：</w:t>
            </w:r>
            <w:r>
              <w:rPr>
                <w:szCs w:val="21"/>
              </w:rPr>
              <w:t>4</w:t>
            </w:r>
            <w:r>
              <w:rPr>
                <w:rFonts w:hint="eastAsia"/>
                <w:szCs w:val="21"/>
              </w:rPr>
              <w:t>G显卡；</w:t>
            </w:r>
          </w:p>
          <w:p>
            <w:pPr>
              <w:widowControl w:val="0"/>
              <w:jc w:val="both"/>
              <w:rPr>
                <w:szCs w:val="21"/>
              </w:rPr>
            </w:pPr>
            <w:r>
              <w:rPr>
                <w:rFonts w:hint="eastAsia"/>
                <w:szCs w:val="21"/>
              </w:rPr>
              <w:t>6.电源：≥180W；</w:t>
            </w:r>
          </w:p>
          <w:p>
            <w:pPr>
              <w:widowControl w:val="0"/>
              <w:jc w:val="both"/>
              <w:rPr>
                <w:szCs w:val="21"/>
              </w:rPr>
            </w:pPr>
            <w:r>
              <w:rPr>
                <w:rFonts w:hint="eastAsia"/>
                <w:szCs w:val="21"/>
              </w:rPr>
              <w:t>7.网卡：集成10/100/1000M以太网卡；</w:t>
            </w:r>
          </w:p>
          <w:p>
            <w:pPr>
              <w:widowControl w:val="0"/>
              <w:jc w:val="both"/>
              <w:rPr>
                <w:szCs w:val="21"/>
              </w:rPr>
            </w:pPr>
            <w:r>
              <w:rPr>
                <w:rFonts w:hint="eastAsia"/>
                <w:szCs w:val="21"/>
              </w:rPr>
              <w:t>8.显示器≥21.5寸主机同品牌商用显示器；</w:t>
            </w:r>
          </w:p>
          <w:p>
            <w:pPr>
              <w:widowControl w:val="0"/>
              <w:jc w:val="both"/>
              <w:rPr>
                <w:szCs w:val="21"/>
              </w:rPr>
            </w:pPr>
            <w:r>
              <w:rPr>
                <w:rFonts w:hint="eastAsia"/>
                <w:szCs w:val="21"/>
              </w:rPr>
              <w:t>9.键盘、鼠标：防水抗菌键盘、抗菌鼠标；</w:t>
            </w:r>
          </w:p>
          <w:p>
            <w:pPr>
              <w:widowControl w:val="0"/>
              <w:jc w:val="both"/>
              <w:rPr>
                <w:szCs w:val="21"/>
              </w:rPr>
            </w:pPr>
            <w:r>
              <w:rPr>
                <w:rFonts w:hint="eastAsia"/>
                <w:szCs w:val="21"/>
              </w:rPr>
              <w:t>10.机箱≤15L；</w:t>
            </w:r>
          </w:p>
          <w:p>
            <w:pPr>
              <w:widowControl w:val="0"/>
              <w:jc w:val="both"/>
              <w:rPr>
                <w:szCs w:val="21"/>
              </w:rPr>
            </w:pPr>
            <w:r>
              <w:rPr>
                <w:rFonts w:hint="eastAsia"/>
                <w:szCs w:val="21"/>
              </w:rPr>
              <w:t>11.前面板USB：≥4个USB接口（其中最少2个USB3.1GEN2）；1个HDMI接口；1个VGA接口；1个串口；</w:t>
            </w:r>
          </w:p>
          <w:p>
            <w:pPr>
              <w:widowControl w:val="0"/>
              <w:jc w:val="both"/>
              <w:rPr>
                <w:szCs w:val="21"/>
              </w:rPr>
            </w:pPr>
            <w:r>
              <w:rPr>
                <w:rFonts w:hint="eastAsia"/>
                <w:szCs w:val="21"/>
              </w:rPr>
              <w:t>12.操作系统：正版Windows10企业版操作系统；</w:t>
            </w:r>
          </w:p>
          <w:p>
            <w:pPr>
              <w:widowControl w:val="0"/>
              <w:jc w:val="both"/>
              <w:rPr>
                <w:szCs w:val="21"/>
              </w:rPr>
            </w:pPr>
            <w:r>
              <w:rPr>
                <w:rFonts w:hint="eastAsia"/>
                <w:szCs w:val="21"/>
              </w:rPr>
              <w:t>13.保修：</w:t>
            </w:r>
            <w:bookmarkStart w:id="76" w:name="OLE_LINK20"/>
            <w:bookmarkStart w:id="77" w:name="OLE_LINK21"/>
            <w:r>
              <w:rPr>
                <w:rFonts w:hint="eastAsia"/>
                <w:szCs w:val="21"/>
              </w:rPr>
              <w:t>原厂三年上门售后服务。</w:t>
            </w:r>
            <w:bookmarkEnd w:id="73"/>
            <w:bookmarkEnd w:id="74"/>
            <w:bookmarkEnd w:id="76"/>
            <w:bookmarkEnd w:id="77"/>
          </w:p>
        </w:tc>
        <w:tc>
          <w:tcPr>
            <w:tcW w:w="709" w:type="dxa"/>
            <w:vAlign w:val="center"/>
          </w:tcPr>
          <w:p>
            <w:pPr>
              <w:widowControl w:val="0"/>
              <w:jc w:val="center"/>
              <w:rPr>
                <w:szCs w:val="21"/>
                <w:highlight w:val="yellow"/>
              </w:rPr>
            </w:pPr>
            <w:r>
              <w:rPr>
                <w:szCs w:val="21"/>
              </w:rPr>
              <w:t>22</w:t>
            </w:r>
          </w:p>
        </w:tc>
        <w:tc>
          <w:tcPr>
            <w:tcW w:w="708" w:type="dxa"/>
            <w:vAlign w:val="center"/>
          </w:tcPr>
          <w:p>
            <w:pPr>
              <w:widowControl w:val="0"/>
              <w:jc w:val="center"/>
              <w:rPr>
                <w:szCs w:val="21"/>
              </w:rPr>
            </w:pPr>
            <w:r>
              <w:rPr>
                <w:rFonts w:hint="eastAsia"/>
                <w:szCs w:val="21"/>
              </w:rPr>
              <w:t>台</w:t>
            </w:r>
          </w:p>
        </w:tc>
        <w:tc>
          <w:tcPr>
            <w:tcW w:w="2370" w:type="dxa"/>
            <w:vAlign w:val="center"/>
          </w:tcPr>
          <w:p>
            <w:pPr>
              <w:widowControl w:val="0"/>
              <w:jc w:val="left"/>
              <w:rPr>
                <w:szCs w:val="21"/>
              </w:rPr>
            </w:pPr>
            <w:bookmarkStart w:id="78" w:name="OLE_LINK17"/>
            <w:bookmarkStart w:id="79" w:name="OLE_LINK16"/>
            <w:r>
              <w:rPr>
                <w:rFonts w:hint="eastAsia"/>
                <w:szCs w:val="21"/>
              </w:rPr>
              <w:t>只接受整机，不接受组装机。品牌应类似于联想、惠普、戴尔或者其他市场普及率高的同等品牌</w:t>
            </w:r>
            <w:bookmarkEnd w:id="78"/>
            <w:bookmarkEnd w:id="79"/>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04" w:type="dxa"/>
            <w:vAlign w:val="center"/>
          </w:tcPr>
          <w:p>
            <w:pPr>
              <w:widowControl w:val="0"/>
              <w:jc w:val="center"/>
              <w:rPr>
                <w:szCs w:val="21"/>
              </w:rPr>
            </w:pPr>
            <w:r>
              <w:rPr>
                <w:rFonts w:hint="eastAsia"/>
                <w:szCs w:val="21"/>
              </w:rPr>
              <w:t>2</w:t>
            </w:r>
          </w:p>
        </w:tc>
        <w:tc>
          <w:tcPr>
            <w:tcW w:w="709" w:type="dxa"/>
            <w:vAlign w:val="center"/>
          </w:tcPr>
          <w:p>
            <w:pPr>
              <w:widowControl w:val="0"/>
              <w:jc w:val="center"/>
              <w:rPr>
                <w:szCs w:val="21"/>
              </w:rPr>
            </w:pPr>
            <w:r>
              <w:rPr>
                <w:rFonts w:hint="eastAsia"/>
                <w:szCs w:val="21"/>
              </w:rPr>
              <w:t>笔记本电脑</w:t>
            </w:r>
          </w:p>
        </w:tc>
        <w:tc>
          <w:tcPr>
            <w:tcW w:w="4536" w:type="dxa"/>
            <w:vAlign w:val="center"/>
          </w:tcPr>
          <w:p>
            <w:pPr>
              <w:widowControl w:val="0"/>
              <w:jc w:val="both"/>
              <w:rPr>
                <w:szCs w:val="21"/>
              </w:rPr>
            </w:pPr>
            <w:r>
              <w:rPr>
                <w:szCs w:val="21"/>
              </w:rPr>
              <w:t>1.</w:t>
            </w:r>
            <w:r>
              <w:rPr>
                <w:rFonts w:hint="eastAsia"/>
                <w:szCs w:val="21"/>
              </w:rPr>
              <w:t>主板≥</w:t>
            </w:r>
            <w:r>
              <w:rPr>
                <w:szCs w:val="21"/>
              </w:rPr>
              <w:t>Intel B360</w:t>
            </w:r>
            <w:r>
              <w:rPr>
                <w:rFonts w:hint="eastAsia"/>
                <w:szCs w:val="21"/>
              </w:rPr>
              <w:t>系列及以上芯片组（或同等级笔记本主板）；</w:t>
            </w:r>
          </w:p>
          <w:p>
            <w:pPr>
              <w:widowControl w:val="0"/>
              <w:jc w:val="both"/>
              <w:rPr>
                <w:szCs w:val="21"/>
              </w:rPr>
            </w:pPr>
            <w:r>
              <w:rPr>
                <w:szCs w:val="21"/>
              </w:rPr>
              <w:t>2.CPU</w:t>
            </w:r>
            <w:r>
              <w:rPr>
                <w:rFonts w:hint="eastAsia"/>
                <w:szCs w:val="21"/>
              </w:rPr>
              <w:t>≥</w:t>
            </w:r>
            <w:r>
              <w:rPr>
                <w:szCs w:val="21"/>
              </w:rPr>
              <w:t xml:space="preserve"> Intel Core i7-10700H</w:t>
            </w:r>
          </w:p>
          <w:p>
            <w:pPr>
              <w:widowControl w:val="0"/>
              <w:jc w:val="both"/>
              <w:rPr>
                <w:szCs w:val="21"/>
              </w:rPr>
            </w:pPr>
            <w:r>
              <w:rPr>
                <w:szCs w:val="21"/>
              </w:rPr>
              <w:t>3.</w:t>
            </w:r>
            <w:r>
              <w:rPr>
                <w:rFonts w:hint="eastAsia"/>
                <w:szCs w:val="21"/>
              </w:rPr>
              <w:t>内存：1</w:t>
            </w:r>
            <w:r>
              <w:rPr>
                <w:szCs w:val="21"/>
              </w:rPr>
              <w:t>6 GB DDR4 2666 MHz</w:t>
            </w:r>
            <w:r>
              <w:rPr>
                <w:rFonts w:hint="eastAsia"/>
                <w:szCs w:val="21"/>
              </w:rPr>
              <w:t>；</w:t>
            </w:r>
          </w:p>
          <w:p>
            <w:pPr>
              <w:widowControl w:val="0"/>
              <w:jc w:val="both"/>
              <w:rPr>
                <w:szCs w:val="21"/>
              </w:rPr>
            </w:pPr>
            <w:r>
              <w:rPr>
                <w:szCs w:val="21"/>
              </w:rPr>
              <w:t>4.</w:t>
            </w:r>
            <w:r>
              <w:rPr>
                <w:rFonts w:hint="eastAsia"/>
                <w:szCs w:val="21"/>
              </w:rPr>
              <w:t>硬盘≥</w:t>
            </w:r>
            <w:r>
              <w:rPr>
                <w:szCs w:val="21"/>
              </w:rPr>
              <w:t>128GSSD+1TB SATA</w:t>
            </w:r>
            <w:r>
              <w:rPr>
                <w:rFonts w:hint="eastAsia"/>
                <w:szCs w:val="21"/>
              </w:rPr>
              <w:t>硬盘</w:t>
            </w:r>
          </w:p>
          <w:p>
            <w:pPr>
              <w:widowControl w:val="0"/>
              <w:jc w:val="both"/>
              <w:rPr>
                <w:szCs w:val="21"/>
              </w:rPr>
            </w:pPr>
            <w:r>
              <w:rPr>
                <w:szCs w:val="21"/>
              </w:rPr>
              <w:t>5.</w:t>
            </w:r>
            <w:r>
              <w:rPr>
                <w:rFonts w:hint="eastAsia"/>
                <w:szCs w:val="21"/>
              </w:rPr>
              <w:t>显卡：</w:t>
            </w:r>
            <w:r>
              <w:rPr>
                <w:szCs w:val="21"/>
              </w:rPr>
              <w:t>4G</w:t>
            </w:r>
            <w:r>
              <w:rPr>
                <w:rFonts w:hint="eastAsia"/>
                <w:szCs w:val="21"/>
              </w:rPr>
              <w:t>显卡；</w:t>
            </w:r>
          </w:p>
          <w:p>
            <w:pPr>
              <w:widowControl w:val="0"/>
              <w:jc w:val="both"/>
              <w:rPr>
                <w:szCs w:val="21"/>
              </w:rPr>
            </w:pPr>
            <w:r>
              <w:rPr>
                <w:szCs w:val="21"/>
              </w:rPr>
              <w:t>6.</w:t>
            </w:r>
            <w:r>
              <w:rPr>
                <w:rFonts w:hint="eastAsia"/>
                <w:szCs w:val="21"/>
              </w:rPr>
              <w:t>网卡：满足有线、无线上网需求</w:t>
            </w:r>
          </w:p>
          <w:p>
            <w:pPr>
              <w:widowControl w:val="0"/>
              <w:jc w:val="both"/>
              <w:rPr>
                <w:szCs w:val="21"/>
              </w:rPr>
            </w:pPr>
            <w:r>
              <w:rPr>
                <w:szCs w:val="21"/>
              </w:rPr>
              <w:t>7.</w:t>
            </w:r>
            <w:r>
              <w:rPr>
                <w:rFonts w:hint="eastAsia"/>
                <w:szCs w:val="21"/>
              </w:rPr>
              <w:t>显示器≥</w:t>
            </w:r>
            <w:r>
              <w:rPr>
                <w:szCs w:val="21"/>
              </w:rPr>
              <w:t>14</w:t>
            </w:r>
            <w:r>
              <w:rPr>
                <w:rFonts w:hint="eastAsia"/>
                <w:szCs w:val="21"/>
              </w:rPr>
              <w:t>寸；</w:t>
            </w:r>
          </w:p>
          <w:p>
            <w:pPr>
              <w:widowControl w:val="0"/>
              <w:jc w:val="both"/>
              <w:rPr>
                <w:szCs w:val="21"/>
              </w:rPr>
            </w:pPr>
            <w:r>
              <w:rPr>
                <w:szCs w:val="21"/>
              </w:rPr>
              <w:t>8.</w:t>
            </w:r>
            <w:r>
              <w:rPr>
                <w:rFonts w:hint="eastAsia"/>
                <w:szCs w:val="21"/>
              </w:rPr>
              <w:t>鼠标：防水抗菌键盘、抗菌鼠标；</w:t>
            </w:r>
          </w:p>
          <w:p>
            <w:pPr>
              <w:widowControl w:val="0"/>
              <w:jc w:val="both"/>
              <w:rPr>
                <w:szCs w:val="21"/>
              </w:rPr>
            </w:pPr>
            <w:r>
              <w:rPr>
                <w:szCs w:val="21"/>
              </w:rPr>
              <w:t>9.USB</w:t>
            </w:r>
            <w:r>
              <w:rPr>
                <w:rFonts w:hint="eastAsia"/>
                <w:szCs w:val="21"/>
              </w:rPr>
              <w:t>：≥</w:t>
            </w:r>
            <w:r>
              <w:rPr>
                <w:szCs w:val="21"/>
              </w:rPr>
              <w:t>3</w:t>
            </w:r>
            <w:r>
              <w:rPr>
                <w:rFonts w:hint="eastAsia"/>
                <w:szCs w:val="21"/>
              </w:rPr>
              <w:t>个</w:t>
            </w:r>
            <w:r>
              <w:rPr>
                <w:szCs w:val="21"/>
              </w:rPr>
              <w:t>USB</w:t>
            </w:r>
            <w:r>
              <w:rPr>
                <w:rFonts w:hint="eastAsia"/>
                <w:szCs w:val="21"/>
              </w:rPr>
              <w:t>接口（其中最少</w:t>
            </w:r>
            <w:r>
              <w:rPr>
                <w:szCs w:val="21"/>
              </w:rPr>
              <w:t>1</w:t>
            </w:r>
            <w:r>
              <w:rPr>
                <w:rFonts w:hint="eastAsia"/>
                <w:szCs w:val="21"/>
              </w:rPr>
              <w:t>个</w:t>
            </w:r>
            <w:r>
              <w:rPr>
                <w:szCs w:val="21"/>
              </w:rPr>
              <w:t>USB3.1GEN2</w:t>
            </w:r>
            <w:r>
              <w:rPr>
                <w:rFonts w:hint="eastAsia"/>
                <w:szCs w:val="21"/>
              </w:rPr>
              <w:t>）；</w:t>
            </w:r>
            <w:r>
              <w:rPr>
                <w:szCs w:val="21"/>
              </w:rPr>
              <w:t>1</w:t>
            </w:r>
            <w:r>
              <w:rPr>
                <w:rFonts w:hint="eastAsia"/>
                <w:szCs w:val="21"/>
              </w:rPr>
              <w:t>个</w:t>
            </w:r>
            <w:r>
              <w:rPr>
                <w:szCs w:val="21"/>
              </w:rPr>
              <w:t>HDMI</w:t>
            </w:r>
            <w:r>
              <w:rPr>
                <w:rFonts w:hint="eastAsia"/>
                <w:szCs w:val="21"/>
              </w:rPr>
              <w:t>接口；</w:t>
            </w:r>
            <w:r>
              <w:rPr>
                <w:szCs w:val="21"/>
              </w:rPr>
              <w:t>1</w:t>
            </w:r>
            <w:r>
              <w:rPr>
                <w:rFonts w:hint="eastAsia"/>
                <w:szCs w:val="21"/>
              </w:rPr>
              <w:t>个串口；</w:t>
            </w:r>
          </w:p>
          <w:p>
            <w:pPr>
              <w:widowControl w:val="0"/>
              <w:jc w:val="both"/>
              <w:rPr>
                <w:szCs w:val="21"/>
              </w:rPr>
            </w:pPr>
            <w:r>
              <w:rPr>
                <w:szCs w:val="21"/>
              </w:rPr>
              <w:t>10.</w:t>
            </w:r>
            <w:r>
              <w:rPr>
                <w:rFonts w:hint="eastAsia"/>
                <w:szCs w:val="21"/>
              </w:rPr>
              <w:t>操作系统：正版</w:t>
            </w:r>
            <w:r>
              <w:rPr>
                <w:szCs w:val="21"/>
              </w:rPr>
              <w:t>Windows10</w:t>
            </w:r>
            <w:r>
              <w:rPr>
                <w:rFonts w:hint="eastAsia"/>
                <w:szCs w:val="21"/>
              </w:rPr>
              <w:t>企业版操作系统；</w:t>
            </w:r>
          </w:p>
          <w:p>
            <w:pPr>
              <w:widowControl w:val="0"/>
              <w:jc w:val="both"/>
              <w:rPr>
                <w:szCs w:val="21"/>
              </w:rPr>
            </w:pPr>
            <w:r>
              <w:rPr>
                <w:szCs w:val="21"/>
              </w:rPr>
              <w:t>11.</w:t>
            </w:r>
            <w:r>
              <w:rPr>
                <w:rFonts w:hint="eastAsia"/>
                <w:szCs w:val="21"/>
              </w:rPr>
              <w:t>保修：原厂三年上门售后服务。</w:t>
            </w:r>
          </w:p>
        </w:tc>
        <w:tc>
          <w:tcPr>
            <w:tcW w:w="709" w:type="dxa"/>
            <w:vAlign w:val="center"/>
          </w:tcPr>
          <w:p>
            <w:pPr>
              <w:widowControl w:val="0"/>
              <w:jc w:val="center"/>
              <w:rPr>
                <w:szCs w:val="21"/>
                <w:highlight w:val="yellow"/>
              </w:rPr>
            </w:pPr>
            <w:r>
              <w:rPr>
                <w:szCs w:val="21"/>
              </w:rPr>
              <w:t>2</w:t>
            </w:r>
          </w:p>
        </w:tc>
        <w:tc>
          <w:tcPr>
            <w:tcW w:w="708" w:type="dxa"/>
            <w:vAlign w:val="center"/>
          </w:tcPr>
          <w:p>
            <w:pPr>
              <w:widowControl w:val="0"/>
              <w:jc w:val="center"/>
              <w:rPr>
                <w:szCs w:val="21"/>
              </w:rPr>
            </w:pPr>
            <w:r>
              <w:rPr>
                <w:rFonts w:hint="eastAsia"/>
                <w:szCs w:val="21"/>
              </w:rPr>
              <w:t>台</w:t>
            </w:r>
          </w:p>
        </w:tc>
        <w:tc>
          <w:tcPr>
            <w:tcW w:w="2370" w:type="dxa"/>
            <w:vAlign w:val="center"/>
          </w:tcPr>
          <w:p>
            <w:pPr>
              <w:widowControl w:val="0"/>
              <w:jc w:val="left"/>
              <w:rPr>
                <w:szCs w:val="21"/>
              </w:rPr>
            </w:pPr>
            <w:r>
              <w:rPr>
                <w:rFonts w:hint="eastAsia"/>
                <w:szCs w:val="21"/>
              </w:rPr>
              <w:t>只接受整机，不接受组装机，品牌应类似于联想、惠普、戴尔或者其他市场普及率高的同等品牌。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04" w:type="dxa"/>
            <w:vAlign w:val="center"/>
          </w:tcPr>
          <w:p>
            <w:pPr>
              <w:widowControl w:val="0"/>
              <w:jc w:val="center"/>
              <w:rPr>
                <w:szCs w:val="21"/>
              </w:rPr>
            </w:pPr>
            <w:r>
              <w:rPr>
                <w:rFonts w:hint="eastAsia"/>
                <w:szCs w:val="21"/>
              </w:rPr>
              <w:t>3</w:t>
            </w:r>
          </w:p>
        </w:tc>
        <w:tc>
          <w:tcPr>
            <w:tcW w:w="709" w:type="dxa"/>
            <w:vAlign w:val="center"/>
          </w:tcPr>
          <w:p>
            <w:pPr>
              <w:widowControl w:val="0"/>
              <w:jc w:val="center"/>
              <w:rPr>
                <w:szCs w:val="21"/>
              </w:rPr>
            </w:pPr>
            <w:bookmarkStart w:id="80" w:name="OLE_LINK3"/>
            <w:r>
              <w:rPr>
                <w:rFonts w:hint="eastAsia"/>
                <w:szCs w:val="21"/>
              </w:rPr>
              <w:t>显示器</w:t>
            </w:r>
            <w:bookmarkEnd w:id="80"/>
          </w:p>
        </w:tc>
        <w:tc>
          <w:tcPr>
            <w:tcW w:w="4536" w:type="dxa"/>
            <w:vAlign w:val="center"/>
          </w:tcPr>
          <w:p>
            <w:pPr>
              <w:widowControl w:val="0"/>
              <w:jc w:val="center"/>
              <w:rPr>
                <w:szCs w:val="21"/>
              </w:rPr>
            </w:pPr>
            <w:r>
              <w:rPr>
                <w:rFonts w:hint="eastAsia"/>
                <w:szCs w:val="21"/>
              </w:rPr>
              <w:t>≥21.5寸主机同品牌商用显示器；</w:t>
            </w:r>
          </w:p>
        </w:tc>
        <w:tc>
          <w:tcPr>
            <w:tcW w:w="709" w:type="dxa"/>
            <w:vAlign w:val="center"/>
          </w:tcPr>
          <w:p>
            <w:pPr>
              <w:widowControl w:val="0"/>
              <w:jc w:val="center"/>
              <w:rPr>
                <w:szCs w:val="21"/>
              </w:rPr>
            </w:pPr>
            <w:r>
              <w:rPr>
                <w:szCs w:val="21"/>
              </w:rPr>
              <w:t>2</w:t>
            </w:r>
          </w:p>
        </w:tc>
        <w:tc>
          <w:tcPr>
            <w:tcW w:w="708" w:type="dxa"/>
            <w:vAlign w:val="center"/>
          </w:tcPr>
          <w:p>
            <w:pPr>
              <w:widowControl w:val="0"/>
              <w:jc w:val="center"/>
              <w:rPr>
                <w:szCs w:val="21"/>
              </w:rPr>
            </w:pPr>
            <w:r>
              <w:rPr>
                <w:rFonts w:hint="eastAsia"/>
                <w:szCs w:val="21"/>
              </w:rPr>
              <w:t>台</w:t>
            </w:r>
          </w:p>
        </w:tc>
        <w:tc>
          <w:tcPr>
            <w:tcW w:w="2370" w:type="dxa"/>
            <w:vAlign w:val="center"/>
          </w:tcPr>
          <w:p>
            <w:pPr>
              <w:widowControl w:val="0"/>
              <w:jc w:val="center"/>
              <w:rPr>
                <w:szCs w:val="21"/>
              </w:rPr>
            </w:pPr>
            <w:r>
              <w:rPr>
                <w:rFonts w:hint="eastAsia"/>
                <w:szCs w:val="21"/>
              </w:rPr>
              <w:t>与本表格第一项台式机电脑所采购的显示器同型号</w:t>
            </w:r>
          </w:p>
        </w:tc>
      </w:tr>
    </w:tbl>
    <w:p>
      <w:pPr>
        <w:spacing w:line="360" w:lineRule="auto"/>
        <w:ind w:firstLine="560" w:firstLineChars="200"/>
        <w:rPr>
          <w:rFonts w:ascii="宋体" w:hAnsi="宋体" w:cs="宋体"/>
          <w:bCs/>
          <w:sz w:val="28"/>
          <w:szCs w:val="28"/>
        </w:rPr>
      </w:pPr>
    </w:p>
    <w:p>
      <w:pPr>
        <w:spacing w:line="360" w:lineRule="auto"/>
        <w:ind w:firstLine="560" w:firstLineChars="200"/>
        <w:rPr>
          <w:rFonts w:ascii="宋体" w:hAnsi="宋体" w:cs="宋体"/>
          <w:bCs/>
          <w:sz w:val="28"/>
          <w:szCs w:val="28"/>
        </w:rPr>
      </w:pPr>
    </w:p>
    <w:p>
      <w:pPr>
        <w:spacing w:line="360" w:lineRule="auto"/>
        <w:ind w:firstLine="560" w:firstLineChars="200"/>
        <w:rPr>
          <w:rFonts w:ascii="宋体" w:hAnsi="宋体" w:cs="宋体"/>
          <w:bCs/>
          <w:sz w:val="28"/>
          <w:szCs w:val="28"/>
        </w:rPr>
      </w:pPr>
    </w:p>
    <w:p>
      <w:pPr>
        <w:rPr>
          <w:rFonts w:ascii="黑体" w:hAnsi="黑体" w:eastAsia="黑体" w:cs="仿宋"/>
          <w:color w:val="000000"/>
          <w:sz w:val="36"/>
          <w:szCs w:val="36"/>
        </w:rPr>
      </w:pPr>
      <w:bookmarkStart w:id="81" w:name="_Toc106039363"/>
      <w:r>
        <w:rPr>
          <w:rFonts w:hint="eastAsia" w:ascii="黑体" w:hAnsi="黑体" w:eastAsia="黑体" w:cs="仿宋"/>
          <w:color w:val="000000"/>
          <w:sz w:val="36"/>
          <w:szCs w:val="36"/>
        </w:rPr>
        <w:br w:type="page"/>
      </w:r>
    </w:p>
    <w:p>
      <w:pPr>
        <w:pStyle w:val="5"/>
        <w:jc w:val="center"/>
        <w:rPr>
          <w:rFonts w:ascii="黑体" w:hAnsi="黑体" w:eastAsia="黑体" w:cs="仿宋"/>
          <w:b w:val="0"/>
          <w:color w:val="000000"/>
          <w:sz w:val="36"/>
          <w:szCs w:val="36"/>
        </w:rPr>
      </w:pPr>
      <w:r>
        <w:rPr>
          <w:rFonts w:hint="eastAsia" w:ascii="黑体" w:hAnsi="黑体" w:eastAsia="黑体" w:cs="仿宋"/>
          <w:b w:val="0"/>
          <w:color w:val="000000"/>
          <w:sz w:val="36"/>
          <w:szCs w:val="36"/>
        </w:rPr>
        <w:t>第六章  响应文件格式</w:t>
      </w:r>
      <w:bookmarkEnd w:id="81"/>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240" w:lineRule="auto"/>
        <w:jc w:val="center"/>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rPr>
          <w:rFonts w:eastAsia="黑体"/>
          <w:bCs/>
          <w:sz w:val="30"/>
          <w:szCs w:val="30"/>
        </w:rPr>
      </w:pPr>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 xml:space="preserve">全称并盖单位公章 </w:t>
      </w:r>
    </w:p>
    <w:p>
      <w:pPr>
        <w:spacing w:line="900" w:lineRule="exact"/>
        <w:jc w:val="center"/>
        <w:rPr>
          <w:rFonts w:eastAsia="黑体"/>
          <w:sz w:val="30"/>
          <w:szCs w:val="30"/>
        </w:rPr>
      </w:pPr>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p>
    <w:p>
      <w:pPr>
        <w:adjustRightInd w:val="0"/>
        <w:snapToGrid w:val="0"/>
        <w:spacing w:line="600" w:lineRule="exact"/>
        <w:jc w:val="both"/>
        <w:rPr>
          <w:rFonts w:ascii="宋体" w:hAnsi="宋体" w:cs="仿宋"/>
          <w:sz w:val="36"/>
          <w:szCs w:val="36"/>
        </w:rPr>
      </w:pPr>
    </w:p>
    <w:p>
      <w:pPr>
        <w:adjustRightInd w:val="0"/>
        <w:snapToGrid w:val="0"/>
        <w:spacing w:line="600" w:lineRule="exact"/>
        <w:jc w:val="both"/>
        <w:rPr>
          <w:rFonts w:ascii="宋体" w:hAnsi="宋体" w:cs="仿宋"/>
          <w:sz w:val="24"/>
        </w:rPr>
      </w:pPr>
      <w:r>
        <w:rPr>
          <w:rFonts w:hint="eastAsia" w:ascii="宋体" w:hAnsi="宋体" w:cs="仿宋"/>
          <w:sz w:val="24"/>
        </w:rPr>
        <w:t>一、响应函</w:t>
      </w:r>
    </w:p>
    <w:p>
      <w:pPr>
        <w:adjustRightInd w:val="0"/>
        <w:snapToGrid w:val="0"/>
        <w:spacing w:line="600" w:lineRule="exact"/>
        <w:jc w:val="both"/>
        <w:rPr>
          <w:rFonts w:ascii="宋体" w:hAnsi="宋体" w:cs="仿宋"/>
          <w:sz w:val="24"/>
        </w:rPr>
      </w:pPr>
      <w:r>
        <w:rPr>
          <w:rFonts w:hint="eastAsia" w:ascii="宋体" w:hAnsi="宋体" w:cs="仿宋"/>
          <w:sz w:val="24"/>
        </w:rPr>
        <w:t>二、授权委托书(适用于有委托代理人的情况)</w:t>
      </w:r>
    </w:p>
    <w:p>
      <w:pPr>
        <w:adjustRightInd w:val="0"/>
        <w:snapToGrid w:val="0"/>
        <w:spacing w:line="600" w:lineRule="exact"/>
        <w:jc w:val="both"/>
        <w:rPr>
          <w:rFonts w:ascii="宋体" w:hAnsi="宋体" w:cs="仿宋"/>
          <w:sz w:val="24"/>
        </w:rPr>
      </w:pPr>
      <w:r>
        <w:rPr>
          <w:rFonts w:hint="eastAsia" w:ascii="宋体" w:hAnsi="宋体" w:cs="仿宋"/>
          <w:sz w:val="24"/>
        </w:rPr>
        <w:t>三、商务和技术偏差表</w:t>
      </w:r>
    </w:p>
    <w:p>
      <w:pPr>
        <w:adjustRightInd w:val="0"/>
        <w:snapToGrid w:val="0"/>
        <w:spacing w:line="600" w:lineRule="exact"/>
        <w:jc w:val="both"/>
        <w:rPr>
          <w:rFonts w:ascii="宋体" w:hAnsi="宋体" w:cs="仿宋"/>
          <w:sz w:val="24"/>
        </w:rPr>
      </w:pPr>
      <w:r>
        <w:rPr>
          <w:rFonts w:hint="eastAsia" w:ascii="宋体" w:hAnsi="宋体" w:cs="仿宋"/>
          <w:sz w:val="24"/>
        </w:rPr>
        <w:t>四、报价表</w:t>
      </w:r>
    </w:p>
    <w:p>
      <w:pPr>
        <w:adjustRightInd w:val="0"/>
        <w:snapToGrid w:val="0"/>
        <w:spacing w:line="600" w:lineRule="exact"/>
        <w:jc w:val="both"/>
        <w:rPr>
          <w:rFonts w:ascii="宋体" w:hAnsi="宋体" w:cs="仿宋"/>
          <w:sz w:val="24"/>
        </w:rPr>
      </w:pPr>
      <w:r>
        <w:rPr>
          <w:rFonts w:hint="eastAsia" w:ascii="宋体" w:hAnsi="宋体" w:cs="仿宋"/>
          <w:sz w:val="24"/>
        </w:rPr>
        <w:t>五、资格审查资料</w:t>
      </w:r>
    </w:p>
    <w:p>
      <w:pPr>
        <w:adjustRightInd w:val="0"/>
        <w:snapToGrid w:val="0"/>
        <w:spacing w:line="600" w:lineRule="exact"/>
        <w:jc w:val="both"/>
        <w:rPr>
          <w:rFonts w:ascii="宋体" w:hAnsi="宋体" w:cs="仿宋"/>
          <w:sz w:val="24"/>
        </w:rPr>
      </w:pPr>
      <w:r>
        <w:rPr>
          <w:rFonts w:hint="eastAsia" w:ascii="宋体" w:hAnsi="宋体" w:cs="仿宋"/>
          <w:sz w:val="24"/>
        </w:rPr>
        <w:t>六、响应方案</w:t>
      </w:r>
    </w:p>
    <w:p>
      <w:pPr>
        <w:adjustRightInd w:val="0"/>
        <w:snapToGrid w:val="0"/>
        <w:spacing w:line="600" w:lineRule="exact"/>
        <w:jc w:val="both"/>
        <w:rPr>
          <w:rFonts w:ascii="宋体" w:hAnsi="宋体" w:cs="仿宋"/>
          <w:sz w:val="24"/>
        </w:rPr>
      </w:pPr>
      <w:r>
        <w:rPr>
          <w:rFonts w:hint="eastAsia" w:ascii="宋体" w:hAnsi="宋体" w:cs="仿宋"/>
          <w:sz w:val="24"/>
        </w:rPr>
        <w:t>七、其他资料</w:t>
      </w:r>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pStyle w:val="6"/>
        <w:jc w:val="center"/>
        <w:rPr>
          <w:rFonts w:ascii="黑体" w:hAnsi="黑体" w:eastAsia="黑体" w:cs="仿宋"/>
        </w:rPr>
      </w:pPr>
      <w:bookmarkStart w:id="82" w:name="_Toc106039364"/>
      <w:r>
        <w:rPr>
          <w:rFonts w:hint="eastAsia" w:ascii="黑体" w:hAnsi="黑体" w:eastAsia="黑体" w:cs="仿宋"/>
        </w:rPr>
        <w:t>一、响应函</w:t>
      </w:r>
      <w:bookmarkEnd w:id="82"/>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)完成/提供本项目工程/货物/服务，并按合同约定履行义务。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ascii="宋体" w:hAnsi="宋体" w:cs="仿宋"/>
          <w:sz w:val="24"/>
        </w:rPr>
      </w:pPr>
      <w:r>
        <w:rPr>
          <w:rFonts w:hint="eastAsia" w:ascii="宋体" w:hAnsi="宋体" w:cs="仿宋"/>
          <w:sz w:val="24"/>
        </w:rPr>
        <w:t>（1）响应函</w:t>
      </w:r>
    </w:p>
    <w:p>
      <w:pPr>
        <w:adjustRightInd w:val="0"/>
        <w:snapToGrid w:val="0"/>
        <w:spacing w:line="600" w:lineRule="exact"/>
        <w:jc w:val="both"/>
        <w:rPr>
          <w:rFonts w:ascii="宋体" w:hAnsi="宋体" w:cs="仿宋"/>
          <w:sz w:val="24"/>
        </w:rPr>
      </w:pPr>
      <w:r>
        <w:rPr>
          <w:rFonts w:hint="eastAsia" w:ascii="宋体" w:hAnsi="宋体" w:cs="仿宋"/>
          <w:sz w:val="24"/>
        </w:rPr>
        <w:t>（2）授权委托书(适用于有委托代理人的情况)</w:t>
      </w:r>
    </w:p>
    <w:p>
      <w:pPr>
        <w:adjustRightInd w:val="0"/>
        <w:snapToGrid w:val="0"/>
        <w:spacing w:line="600" w:lineRule="exact"/>
        <w:jc w:val="both"/>
        <w:rPr>
          <w:rFonts w:ascii="宋体" w:hAnsi="宋体" w:cs="仿宋"/>
          <w:sz w:val="24"/>
        </w:rPr>
      </w:pPr>
      <w:r>
        <w:rPr>
          <w:rFonts w:hint="eastAsia" w:ascii="宋体" w:hAnsi="宋体" w:cs="仿宋"/>
          <w:sz w:val="24"/>
        </w:rPr>
        <w:t>（3）商务和技术偏差表</w:t>
      </w:r>
    </w:p>
    <w:p>
      <w:pPr>
        <w:adjustRightInd w:val="0"/>
        <w:snapToGrid w:val="0"/>
        <w:spacing w:line="600" w:lineRule="exact"/>
        <w:jc w:val="both"/>
        <w:rPr>
          <w:rFonts w:ascii="宋体" w:hAnsi="宋体" w:cs="仿宋"/>
          <w:sz w:val="24"/>
        </w:rPr>
      </w:pPr>
      <w:r>
        <w:rPr>
          <w:rFonts w:hint="eastAsia" w:ascii="宋体" w:hAnsi="宋体" w:cs="仿宋"/>
          <w:sz w:val="24"/>
        </w:rPr>
        <w:t>（4）报价表</w:t>
      </w:r>
    </w:p>
    <w:p>
      <w:pPr>
        <w:adjustRightInd w:val="0"/>
        <w:snapToGrid w:val="0"/>
        <w:spacing w:line="600" w:lineRule="exact"/>
        <w:jc w:val="both"/>
        <w:rPr>
          <w:rFonts w:ascii="宋体" w:hAnsi="宋体" w:cs="仿宋"/>
          <w:sz w:val="24"/>
        </w:rPr>
      </w:pPr>
      <w:r>
        <w:rPr>
          <w:rFonts w:hint="eastAsia" w:ascii="宋体" w:hAnsi="宋体" w:cs="仿宋"/>
          <w:sz w:val="24"/>
        </w:rPr>
        <w:t>（5）资格审查资料</w:t>
      </w:r>
    </w:p>
    <w:p>
      <w:pPr>
        <w:adjustRightInd w:val="0"/>
        <w:snapToGrid w:val="0"/>
        <w:spacing w:line="600" w:lineRule="exact"/>
        <w:jc w:val="both"/>
        <w:rPr>
          <w:rFonts w:ascii="宋体" w:hAnsi="宋体" w:cs="仿宋"/>
          <w:sz w:val="24"/>
        </w:rPr>
      </w:pPr>
      <w:r>
        <w:rPr>
          <w:rFonts w:hint="eastAsia" w:ascii="宋体" w:hAnsi="宋体" w:cs="仿宋"/>
          <w:sz w:val="24"/>
        </w:rPr>
        <w:t>（6）响应方案</w:t>
      </w:r>
    </w:p>
    <w:p>
      <w:pPr>
        <w:adjustRightInd w:val="0"/>
        <w:snapToGrid w:val="0"/>
        <w:spacing w:line="600" w:lineRule="exact"/>
        <w:jc w:val="both"/>
        <w:rPr>
          <w:rFonts w:ascii="宋体" w:hAnsi="宋体" w:cs="仿宋"/>
          <w:sz w:val="24"/>
        </w:rPr>
      </w:pPr>
      <w:r>
        <w:rPr>
          <w:rFonts w:hint="eastAsia" w:ascii="宋体" w:hAnsi="宋体" w:cs="仿宋"/>
          <w:sz w:val="24"/>
        </w:rPr>
        <w:t>（7）其他资料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2"/>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2"/>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6.我方在此声明，所递交的响应文件及有关资料内容完整、真实和准确，且不存在第一章“采购公告”中规定的供应商不得存在的情形。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pStyle w:val="6"/>
        <w:jc w:val="center"/>
        <w:rPr>
          <w:rFonts w:ascii="黑体" w:hAnsi="黑体" w:eastAsia="黑体" w:cs="仿宋"/>
        </w:rPr>
      </w:pPr>
      <w:r>
        <w:rPr>
          <w:rFonts w:hint="eastAsia" w:cs="仿宋" w:asciiTheme="minorEastAsia" w:hAnsiTheme="minorEastAsia" w:eastAsiaTheme="minorEastAsia"/>
          <w:sz w:val="24"/>
        </w:rPr>
        <w:br w:type="page"/>
      </w:r>
      <w:bookmarkStart w:id="83" w:name="_Toc106039365"/>
      <w:r>
        <w:rPr>
          <w:rFonts w:hint="eastAsia" w:ascii="黑体" w:hAnsi="黑体" w:eastAsia="黑体" w:cs="仿宋"/>
        </w:rPr>
        <w:t>二、授权委托书</w:t>
      </w:r>
      <w:bookmarkEnd w:id="83"/>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pStyle w:val="6"/>
        <w:jc w:val="center"/>
        <w:rPr>
          <w:rFonts w:ascii="黑体" w:hAnsi="黑体" w:eastAsia="黑体" w:cs="仿宋"/>
        </w:rPr>
      </w:pPr>
      <w:bookmarkStart w:id="84" w:name="_Toc106039366"/>
      <w:r>
        <w:rPr>
          <w:rFonts w:hint="eastAsia" w:ascii="黑体" w:hAnsi="黑体" w:eastAsia="黑体" w:cs="仿宋"/>
        </w:rPr>
        <w:t>三、商务和技术偏差表</w:t>
      </w:r>
      <w:bookmarkEnd w:id="84"/>
    </w:p>
    <w:p>
      <w:pPr>
        <w:spacing w:line="600" w:lineRule="exact"/>
        <w:jc w:val="center"/>
        <w:rPr>
          <w:rFonts w:cs="仿宋" w:asciiTheme="minorEastAsia" w:hAnsiTheme="minorEastAsia" w:eastAsiaTheme="minorEastAsia"/>
          <w:sz w:val="24"/>
        </w:rPr>
      </w:pPr>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46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sectPr>
          <w:footerReference r:id="rId5" w:type="default"/>
          <w:pgSz w:w="11906" w:h="16838"/>
          <w:pgMar w:top="1440" w:right="1366" w:bottom="1440" w:left="1080" w:header="851" w:footer="1344" w:gutter="0"/>
          <w:cols w:space="720" w:num="1"/>
          <w:docGrid w:linePitch="312" w:charSpace="0"/>
        </w:sectPr>
      </w:pPr>
      <w:r>
        <w:rPr>
          <w:rFonts w:hint="eastAsia" w:cs="仿宋" w:asciiTheme="minorEastAsia" w:hAnsiTheme="minorEastAsia" w:eastAsiaTheme="minorEastAsia"/>
          <w:sz w:val="24"/>
        </w:rPr>
        <w:br w:type="page"/>
      </w:r>
    </w:p>
    <w:p>
      <w:pPr>
        <w:jc w:val="both"/>
        <w:rPr>
          <w:rFonts w:cs="仿宋" w:asciiTheme="minorEastAsia" w:hAnsiTheme="minorEastAsia" w:eastAsiaTheme="minorEastAsia"/>
          <w:sz w:val="24"/>
        </w:rPr>
      </w:pPr>
    </w:p>
    <w:p>
      <w:pPr>
        <w:pStyle w:val="6"/>
        <w:jc w:val="center"/>
        <w:rPr>
          <w:rFonts w:ascii="黑体" w:hAnsi="黑体" w:eastAsia="黑体" w:cs="仿宋"/>
        </w:rPr>
      </w:pPr>
      <w:bookmarkStart w:id="85" w:name="_Toc106039367"/>
      <w:r>
        <w:rPr>
          <w:rFonts w:hint="eastAsia" w:ascii="黑体" w:hAnsi="黑体" w:eastAsia="黑体" w:cs="仿宋"/>
        </w:rPr>
        <w:t>四、报价表</w:t>
      </w:r>
      <w:bookmarkEnd w:id="85"/>
    </w:p>
    <w:p/>
    <w:p>
      <w:pPr>
        <w:pStyle w:val="7"/>
        <w:spacing w:before="100" w:after="100"/>
      </w:pPr>
      <w:bookmarkStart w:id="86" w:name="_Toc106039368"/>
      <w:r>
        <w:rPr>
          <w:rFonts w:hint="eastAsia"/>
        </w:rPr>
        <w:t>投标报价汇总表</w:t>
      </w:r>
      <w:bookmarkEnd w:id="86"/>
    </w:p>
    <w:tbl>
      <w:tblPr>
        <w:tblStyle w:val="43"/>
        <w:tblpPr w:leftFromText="180" w:rightFromText="180" w:vertAnchor="text" w:horzAnchor="margin" w:tblpY="227"/>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51"/>
        <w:gridCol w:w="1389"/>
        <w:gridCol w:w="4422"/>
        <w:gridCol w:w="993"/>
        <w:gridCol w:w="850"/>
        <w:gridCol w:w="992"/>
        <w:gridCol w:w="993"/>
        <w:gridCol w:w="99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04" w:type="dxa"/>
            <w:vAlign w:val="center"/>
          </w:tcPr>
          <w:p>
            <w:pPr>
              <w:widowControl w:val="0"/>
              <w:jc w:val="center"/>
              <w:rPr>
                <w:szCs w:val="21"/>
              </w:rPr>
            </w:pPr>
            <w:bookmarkStart w:id="87" w:name="OLE_LINK19"/>
            <w:bookmarkStart w:id="88" w:name="OLE_LINK18"/>
            <w:r>
              <w:rPr>
                <w:rFonts w:hint="eastAsia"/>
                <w:szCs w:val="21"/>
              </w:rPr>
              <w:t>序号</w:t>
            </w:r>
          </w:p>
        </w:tc>
        <w:tc>
          <w:tcPr>
            <w:tcW w:w="851" w:type="dxa"/>
            <w:vAlign w:val="center"/>
          </w:tcPr>
          <w:p>
            <w:pPr>
              <w:widowControl w:val="0"/>
              <w:jc w:val="center"/>
              <w:rPr>
                <w:szCs w:val="21"/>
              </w:rPr>
            </w:pPr>
            <w:r>
              <w:rPr>
                <w:rFonts w:hint="eastAsia"/>
                <w:szCs w:val="21"/>
              </w:rPr>
              <w:t>名称</w:t>
            </w:r>
          </w:p>
        </w:tc>
        <w:tc>
          <w:tcPr>
            <w:tcW w:w="5811" w:type="dxa"/>
            <w:gridSpan w:val="2"/>
            <w:vAlign w:val="center"/>
          </w:tcPr>
          <w:p>
            <w:pPr>
              <w:widowControl w:val="0"/>
              <w:jc w:val="center"/>
              <w:rPr>
                <w:szCs w:val="21"/>
              </w:rPr>
            </w:pPr>
            <w:r>
              <w:rPr>
                <w:rFonts w:hint="eastAsia"/>
                <w:szCs w:val="21"/>
              </w:rPr>
              <w:t>详细配置</w:t>
            </w:r>
          </w:p>
        </w:tc>
        <w:tc>
          <w:tcPr>
            <w:tcW w:w="993" w:type="dxa"/>
            <w:vAlign w:val="center"/>
          </w:tcPr>
          <w:p>
            <w:pPr>
              <w:widowControl w:val="0"/>
              <w:jc w:val="center"/>
              <w:rPr>
                <w:szCs w:val="21"/>
              </w:rPr>
            </w:pPr>
            <w:r>
              <w:rPr>
                <w:rFonts w:hint="eastAsia"/>
                <w:szCs w:val="21"/>
              </w:rPr>
              <w:t>品牌</w:t>
            </w:r>
          </w:p>
        </w:tc>
        <w:tc>
          <w:tcPr>
            <w:tcW w:w="850" w:type="dxa"/>
            <w:vAlign w:val="center"/>
          </w:tcPr>
          <w:p>
            <w:pPr>
              <w:widowControl w:val="0"/>
              <w:jc w:val="center"/>
              <w:rPr>
                <w:szCs w:val="21"/>
              </w:rPr>
            </w:pPr>
            <w:r>
              <w:rPr>
                <w:rFonts w:hint="eastAsia"/>
                <w:szCs w:val="21"/>
              </w:rPr>
              <w:t>数量</w:t>
            </w:r>
          </w:p>
        </w:tc>
        <w:tc>
          <w:tcPr>
            <w:tcW w:w="992" w:type="dxa"/>
            <w:vAlign w:val="center"/>
          </w:tcPr>
          <w:p>
            <w:pPr>
              <w:widowControl w:val="0"/>
              <w:jc w:val="center"/>
              <w:rPr>
                <w:szCs w:val="21"/>
              </w:rPr>
            </w:pPr>
            <w:r>
              <w:rPr>
                <w:rFonts w:hint="eastAsia"/>
                <w:szCs w:val="21"/>
              </w:rPr>
              <w:t>单位</w:t>
            </w:r>
          </w:p>
        </w:tc>
        <w:tc>
          <w:tcPr>
            <w:tcW w:w="993" w:type="dxa"/>
            <w:vAlign w:val="center"/>
          </w:tcPr>
          <w:p>
            <w:pPr>
              <w:widowControl w:val="0"/>
              <w:jc w:val="center"/>
              <w:rPr>
                <w:szCs w:val="21"/>
              </w:rPr>
            </w:pPr>
            <w:r>
              <w:rPr>
                <w:rFonts w:hint="eastAsia"/>
                <w:szCs w:val="21"/>
              </w:rPr>
              <w:t>单价</w:t>
            </w:r>
          </w:p>
        </w:tc>
        <w:tc>
          <w:tcPr>
            <w:tcW w:w="992" w:type="dxa"/>
            <w:vAlign w:val="center"/>
          </w:tcPr>
          <w:p>
            <w:pPr>
              <w:widowControl w:val="0"/>
              <w:jc w:val="center"/>
              <w:rPr>
                <w:szCs w:val="21"/>
              </w:rPr>
            </w:pPr>
            <w:r>
              <w:rPr>
                <w:rFonts w:hint="eastAsia"/>
                <w:szCs w:val="21"/>
              </w:rPr>
              <w:t>总价</w:t>
            </w:r>
          </w:p>
        </w:tc>
        <w:tc>
          <w:tcPr>
            <w:tcW w:w="2410" w:type="dxa"/>
            <w:vAlign w:val="center"/>
          </w:tcPr>
          <w:p>
            <w:pPr>
              <w:widowControl w:val="0"/>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04" w:type="dxa"/>
            <w:vAlign w:val="center"/>
          </w:tcPr>
          <w:p>
            <w:pPr>
              <w:widowControl w:val="0"/>
              <w:jc w:val="center"/>
              <w:rPr>
                <w:szCs w:val="21"/>
              </w:rPr>
            </w:pPr>
            <w:r>
              <w:rPr>
                <w:rFonts w:hint="eastAsia"/>
                <w:szCs w:val="21"/>
              </w:rPr>
              <w:t>1</w:t>
            </w:r>
          </w:p>
        </w:tc>
        <w:tc>
          <w:tcPr>
            <w:tcW w:w="851" w:type="dxa"/>
            <w:vAlign w:val="center"/>
          </w:tcPr>
          <w:p>
            <w:pPr>
              <w:widowControl w:val="0"/>
              <w:jc w:val="center"/>
              <w:rPr>
                <w:szCs w:val="21"/>
              </w:rPr>
            </w:pPr>
            <w:r>
              <w:rPr>
                <w:rFonts w:hint="eastAsia"/>
                <w:szCs w:val="21"/>
              </w:rPr>
              <w:t>台式电脑</w:t>
            </w:r>
          </w:p>
        </w:tc>
        <w:tc>
          <w:tcPr>
            <w:tcW w:w="5811" w:type="dxa"/>
            <w:gridSpan w:val="2"/>
            <w:vAlign w:val="center"/>
          </w:tcPr>
          <w:p>
            <w:pPr>
              <w:widowControl w:val="0"/>
              <w:jc w:val="both"/>
              <w:rPr>
                <w:szCs w:val="21"/>
              </w:rPr>
            </w:pPr>
            <w:r>
              <w:rPr>
                <w:rFonts w:hint="eastAsia"/>
                <w:szCs w:val="21"/>
              </w:rPr>
              <w:t>1.主板：≥Intel B360系列及以上芯片组；</w:t>
            </w:r>
          </w:p>
          <w:p>
            <w:pPr>
              <w:widowControl w:val="0"/>
              <w:jc w:val="both"/>
              <w:rPr>
                <w:szCs w:val="21"/>
              </w:rPr>
            </w:pPr>
            <w:r>
              <w:rPr>
                <w:rFonts w:hint="eastAsia"/>
                <w:szCs w:val="21"/>
              </w:rPr>
              <w:t>2.CPU：≥ Intel Core i7-10700</w:t>
            </w:r>
          </w:p>
          <w:p>
            <w:pPr>
              <w:widowControl w:val="0"/>
              <w:jc w:val="both"/>
              <w:rPr>
                <w:szCs w:val="21"/>
              </w:rPr>
            </w:pPr>
            <w:r>
              <w:rPr>
                <w:rFonts w:hint="eastAsia"/>
                <w:szCs w:val="21"/>
              </w:rPr>
              <w:t>3.内存：16 GB DDR4 2666 MHz（2根8G）；</w:t>
            </w:r>
          </w:p>
          <w:p>
            <w:pPr>
              <w:widowControl w:val="0"/>
              <w:jc w:val="both"/>
              <w:rPr>
                <w:szCs w:val="21"/>
              </w:rPr>
            </w:pPr>
            <w:r>
              <w:rPr>
                <w:rFonts w:hint="eastAsia"/>
                <w:szCs w:val="21"/>
              </w:rPr>
              <w:t>4.硬盘：≥128GSSD+1TB SATA硬盘</w:t>
            </w:r>
          </w:p>
          <w:p>
            <w:pPr>
              <w:widowControl w:val="0"/>
              <w:jc w:val="both"/>
              <w:rPr>
                <w:szCs w:val="21"/>
              </w:rPr>
            </w:pPr>
            <w:r>
              <w:rPr>
                <w:rFonts w:hint="eastAsia"/>
                <w:szCs w:val="21"/>
              </w:rPr>
              <w:t>5.显卡：4G显卡；</w:t>
            </w:r>
          </w:p>
          <w:p>
            <w:pPr>
              <w:widowControl w:val="0"/>
              <w:jc w:val="both"/>
              <w:rPr>
                <w:szCs w:val="21"/>
              </w:rPr>
            </w:pPr>
            <w:r>
              <w:rPr>
                <w:rFonts w:hint="eastAsia"/>
                <w:szCs w:val="21"/>
              </w:rPr>
              <w:t>6.电源：≥180W；</w:t>
            </w:r>
          </w:p>
          <w:p>
            <w:pPr>
              <w:widowControl w:val="0"/>
              <w:jc w:val="both"/>
              <w:rPr>
                <w:szCs w:val="21"/>
              </w:rPr>
            </w:pPr>
            <w:r>
              <w:rPr>
                <w:rFonts w:hint="eastAsia"/>
                <w:szCs w:val="21"/>
              </w:rPr>
              <w:t>7.网卡：集成10/100/1000M以太网卡；</w:t>
            </w:r>
          </w:p>
          <w:p>
            <w:pPr>
              <w:widowControl w:val="0"/>
              <w:jc w:val="both"/>
              <w:rPr>
                <w:szCs w:val="21"/>
              </w:rPr>
            </w:pPr>
            <w:r>
              <w:rPr>
                <w:rFonts w:hint="eastAsia"/>
                <w:szCs w:val="21"/>
              </w:rPr>
              <w:t>8.显示器：≥21.5寸主机同品牌商用显示器；</w:t>
            </w:r>
          </w:p>
          <w:p>
            <w:pPr>
              <w:widowControl w:val="0"/>
              <w:jc w:val="both"/>
              <w:rPr>
                <w:szCs w:val="21"/>
              </w:rPr>
            </w:pPr>
            <w:r>
              <w:rPr>
                <w:rFonts w:hint="eastAsia"/>
                <w:szCs w:val="21"/>
              </w:rPr>
              <w:t>9.键盘、鼠标：防水抗菌键盘、抗菌鼠标；</w:t>
            </w:r>
          </w:p>
          <w:p>
            <w:pPr>
              <w:widowControl w:val="0"/>
              <w:jc w:val="both"/>
              <w:rPr>
                <w:szCs w:val="21"/>
              </w:rPr>
            </w:pPr>
            <w:r>
              <w:rPr>
                <w:rFonts w:hint="eastAsia"/>
                <w:szCs w:val="21"/>
              </w:rPr>
              <w:t>10.机箱≤15L；</w:t>
            </w:r>
          </w:p>
          <w:p>
            <w:pPr>
              <w:widowControl w:val="0"/>
              <w:jc w:val="both"/>
              <w:rPr>
                <w:szCs w:val="21"/>
              </w:rPr>
            </w:pPr>
            <w:r>
              <w:rPr>
                <w:rFonts w:hint="eastAsia"/>
                <w:szCs w:val="21"/>
              </w:rPr>
              <w:t>11.前面板USB：≥4个USB接口（其中最少2个USB3.1GEN2）；1个HDMI接口；1个VGA接口；1个串口；</w:t>
            </w:r>
          </w:p>
          <w:p>
            <w:pPr>
              <w:widowControl w:val="0"/>
              <w:jc w:val="both"/>
              <w:rPr>
                <w:szCs w:val="21"/>
              </w:rPr>
            </w:pPr>
            <w:r>
              <w:rPr>
                <w:rFonts w:hint="eastAsia"/>
                <w:szCs w:val="21"/>
              </w:rPr>
              <w:t>12.操作系统：正版Windows10企业版操作系统；</w:t>
            </w:r>
          </w:p>
          <w:p>
            <w:pPr>
              <w:widowControl w:val="0"/>
              <w:jc w:val="both"/>
              <w:rPr>
                <w:szCs w:val="21"/>
              </w:rPr>
            </w:pPr>
            <w:r>
              <w:rPr>
                <w:rFonts w:hint="eastAsia"/>
                <w:szCs w:val="21"/>
              </w:rPr>
              <w:t>13.保修：原厂三年上门售后服务。</w:t>
            </w:r>
          </w:p>
        </w:tc>
        <w:tc>
          <w:tcPr>
            <w:tcW w:w="993" w:type="dxa"/>
          </w:tcPr>
          <w:p>
            <w:pPr>
              <w:widowControl w:val="0"/>
              <w:jc w:val="center"/>
              <w:rPr>
                <w:szCs w:val="21"/>
              </w:rPr>
            </w:pPr>
          </w:p>
        </w:tc>
        <w:tc>
          <w:tcPr>
            <w:tcW w:w="850" w:type="dxa"/>
            <w:vAlign w:val="center"/>
          </w:tcPr>
          <w:p>
            <w:pPr>
              <w:widowControl w:val="0"/>
              <w:jc w:val="center"/>
              <w:rPr>
                <w:szCs w:val="21"/>
              </w:rPr>
            </w:pPr>
            <w:r>
              <w:rPr>
                <w:rFonts w:hint="eastAsia"/>
                <w:szCs w:val="21"/>
              </w:rPr>
              <w:t>22</w:t>
            </w:r>
          </w:p>
        </w:tc>
        <w:tc>
          <w:tcPr>
            <w:tcW w:w="992" w:type="dxa"/>
            <w:vAlign w:val="center"/>
          </w:tcPr>
          <w:p>
            <w:pPr>
              <w:widowControl w:val="0"/>
              <w:jc w:val="center"/>
              <w:rPr>
                <w:szCs w:val="21"/>
              </w:rPr>
            </w:pPr>
            <w:r>
              <w:rPr>
                <w:rFonts w:hint="eastAsia"/>
                <w:szCs w:val="21"/>
              </w:rPr>
              <w:t>台</w:t>
            </w:r>
          </w:p>
        </w:tc>
        <w:tc>
          <w:tcPr>
            <w:tcW w:w="993" w:type="dxa"/>
            <w:vAlign w:val="center"/>
          </w:tcPr>
          <w:p>
            <w:pPr>
              <w:widowControl w:val="0"/>
              <w:jc w:val="center"/>
              <w:rPr>
                <w:szCs w:val="21"/>
              </w:rPr>
            </w:pPr>
          </w:p>
        </w:tc>
        <w:tc>
          <w:tcPr>
            <w:tcW w:w="992" w:type="dxa"/>
            <w:vAlign w:val="center"/>
          </w:tcPr>
          <w:p>
            <w:pPr>
              <w:widowControl w:val="0"/>
              <w:jc w:val="center"/>
              <w:rPr>
                <w:szCs w:val="21"/>
              </w:rPr>
            </w:pPr>
          </w:p>
        </w:tc>
        <w:tc>
          <w:tcPr>
            <w:tcW w:w="2410" w:type="dxa"/>
            <w:vAlign w:val="center"/>
          </w:tcPr>
          <w:p>
            <w:pPr>
              <w:widowControl w:val="0"/>
              <w:jc w:val="left"/>
              <w:rPr>
                <w:szCs w:val="21"/>
              </w:rPr>
            </w:pPr>
            <w:r>
              <w:rPr>
                <w:rFonts w:hint="eastAsia"/>
                <w:szCs w:val="21"/>
              </w:rPr>
              <w:t>只接受整机，不接受组装机。品牌应类似于联想、惠普、戴尔或者其他市场普及率高的同等品牌。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04" w:type="dxa"/>
            <w:vAlign w:val="center"/>
          </w:tcPr>
          <w:p>
            <w:pPr>
              <w:widowControl w:val="0"/>
              <w:jc w:val="center"/>
              <w:rPr>
                <w:szCs w:val="21"/>
              </w:rPr>
            </w:pPr>
            <w:r>
              <w:rPr>
                <w:rFonts w:hint="eastAsia"/>
                <w:szCs w:val="21"/>
              </w:rPr>
              <w:t>2</w:t>
            </w:r>
          </w:p>
        </w:tc>
        <w:tc>
          <w:tcPr>
            <w:tcW w:w="851" w:type="dxa"/>
            <w:vAlign w:val="center"/>
          </w:tcPr>
          <w:p>
            <w:pPr>
              <w:widowControl w:val="0"/>
              <w:jc w:val="center"/>
              <w:rPr>
                <w:szCs w:val="21"/>
              </w:rPr>
            </w:pPr>
            <w:r>
              <w:rPr>
                <w:rFonts w:hint="eastAsia"/>
                <w:szCs w:val="21"/>
              </w:rPr>
              <w:t>笔记本电脑</w:t>
            </w:r>
          </w:p>
        </w:tc>
        <w:tc>
          <w:tcPr>
            <w:tcW w:w="5811" w:type="dxa"/>
            <w:gridSpan w:val="2"/>
            <w:vAlign w:val="center"/>
          </w:tcPr>
          <w:p>
            <w:pPr>
              <w:widowControl w:val="0"/>
              <w:jc w:val="both"/>
              <w:rPr>
                <w:szCs w:val="21"/>
              </w:rPr>
            </w:pPr>
            <w:r>
              <w:rPr>
                <w:szCs w:val="21"/>
              </w:rPr>
              <w:t>1.</w:t>
            </w:r>
            <w:r>
              <w:rPr>
                <w:rFonts w:hint="eastAsia"/>
                <w:szCs w:val="21"/>
              </w:rPr>
              <w:t>主板≥</w:t>
            </w:r>
            <w:r>
              <w:rPr>
                <w:szCs w:val="21"/>
              </w:rPr>
              <w:t>Intel B360</w:t>
            </w:r>
            <w:r>
              <w:rPr>
                <w:rFonts w:hint="eastAsia"/>
                <w:szCs w:val="21"/>
              </w:rPr>
              <w:t>系列及以上芯片组（或同等级笔记本主板）；</w:t>
            </w:r>
          </w:p>
          <w:p>
            <w:pPr>
              <w:widowControl w:val="0"/>
              <w:jc w:val="both"/>
              <w:rPr>
                <w:szCs w:val="21"/>
              </w:rPr>
            </w:pPr>
            <w:r>
              <w:rPr>
                <w:szCs w:val="21"/>
              </w:rPr>
              <w:t>2.CPU</w:t>
            </w:r>
            <w:r>
              <w:rPr>
                <w:rFonts w:hint="eastAsia"/>
                <w:szCs w:val="21"/>
              </w:rPr>
              <w:t>≥</w:t>
            </w:r>
            <w:r>
              <w:rPr>
                <w:szCs w:val="21"/>
              </w:rPr>
              <w:t xml:space="preserve"> Intel Core i7-10700H</w:t>
            </w:r>
          </w:p>
          <w:p>
            <w:pPr>
              <w:widowControl w:val="0"/>
              <w:jc w:val="both"/>
              <w:rPr>
                <w:szCs w:val="21"/>
              </w:rPr>
            </w:pPr>
            <w:r>
              <w:rPr>
                <w:szCs w:val="21"/>
              </w:rPr>
              <w:t>3.</w:t>
            </w:r>
            <w:r>
              <w:rPr>
                <w:rFonts w:hint="eastAsia"/>
                <w:szCs w:val="21"/>
              </w:rPr>
              <w:t>内存：16</w:t>
            </w:r>
            <w:r>
              <w:rPr>
                <w:szCs w:val="21"/>
              </w:rPr>
              <w:t xml:space="preserve"> GB DDR4 2666 MHz</w:t>
            </w:r>
            <w:r>
              <w:rPr>
                <w:rFonts w:hint="eastAsia"/>
                <w:szCs w:val="21"/>
              </w:rPr>
              <w:t>；</w:t>
            </w:r>
          </w:p>
          <w:p>
            <w:pPr>
              <w:widowControl w:val="0"/>
              <w:jc w:val="both"/>
              <w:rPr>
                <w:szCs w:val="21"/>
              </w:rPr>
            </w:pPr>
            <w:r>
              <w:rPr>
                <w:szCs w:val="21"/>
              </w:rPr>
              <w:t>4.</w:t>
            </w:r>
            <w:r>
              <w:rPr>
                <w:rFonts w:hint="eastAsia"/>
                <w:szCs w:val="21"/>
              </w:rPr>
              <w:t>硬盘≥</w:t>
            </w:r>
            <w:r>
              <w:rPr>
                <w:szCs w:val="21"/>
              </w:rPr>
              <w:t>128GSSD+1TB SATA</w:t>
            </w:r>
            <w:r>
              <w:rPr>
                <w:rFonts w:hint="eastAsia"/>
                <w:szCs w:val="21"/>
              </w:rPr>
              <w:t>硬盘</w:t>
            </w:r>
          </w:p>
          <w:p>
            <w:pPr>
              <w:widowControl w:val="0"/>
              <w:jc w:val="both"/>
              <w:rPr>
                <w:szCs w:val="21"/>
              </w:rPr>
            </w:pPr>
            <w:r>
              <w:rPr>
                <w:szCs w:val="21"/>
              </w:rPr>
              <w:t>5.</w:t>
            </w:r>
            <w:r>
              <w:rPr>
                <w:rFonts w:hint="eastAsia"/>
                <w:szCs w:val="21"/>
              </w:rPr>
              <w:t>显卡：4</w:t>
            </w:r>
            <w:r>
              <w:rPr>
                <w:szCs w:val="21"/>
              </w:rPr>
              <w:t>G</w:t>
            </w:r>
            <w:r>
              <w:rPr>
                <w:rFonts w:hint="eastAsia"/>
                <w:szCs w:val="21"/>
              </w:rPr>
              <w:t>显卡；</w:t>
            </w:r>
          </w:p>
          <w:p>
            <w:pPr>
              <w:widowControl w:val="0"/>
              <w:jc w:val="both"/>
              <w:rPr>
                <w:szCs w:val="21"/>
              </w:rPr>
            </w:pPr>
            <w:r>
              <w:rPr>
                <w:szCs w:val="21"/>
              </w:rPr>
              <w:t>6.</w:t>
            </w:r>
            <w:r>
              <w:rPr>
                <w:rFonts w:hint="eastAsia"/>
                <w:szCs w:val="21"/>
              </w:rPr>
              <w:t>网卡：满足有线、无线上网需求</w:t>
            </w:r>
          </w:p>
          <w:p>
            <w:pPr>
              <w:widowControl w:val="0"/>
              <w:jc w:val="both"/>
              <w:rPr>
                <w:szCs w:val="21"/>
              </w:rPr>
            </w:pPr>
            <w:r>
              <w:rPr>
                <w:szCs w:val="21"/>
              </w:rPr>
              <w:t>7.</w:t>
            </w:r>
            <w:r>
              <w:rPr>
                <w:rFonts w:hint="eastAsia"/>
                <w:szCs w:val="21"/>
              </w:rPr>
              <w:t>显示器≥</w:t>
            </w:r>
            <w:r>
              <w:rPr>
                <w:szCs w:val="21"/>
              </w:rPr>
              <w:t>14</w:t>
            </w:r>
            <w:r>
              <w:rPr>
                <w:rFonts w:hint="eastAsia"/>
                <w:szCs w:val="21"/>
              </w:rPr>
              <w:t>寸；</w:t>
            </w:r>
          </w:p>
          <w:p>
            <w:pPr>
              <w:widowControl w:val="0"/>
              <w:jc w:val="both"/>
              <w:rPr>
                <w:szCs w:val="21"/>
              </w:rPr>
            </w:pPr>
            <w:r>
              <w:rPr>
                <w:szCs w:val="21"/>
              </w:rPr>
              <w:t>8.</w:t>
            </w:r>
            <w:r>
              <w:rPr>
                <w:rFonts w:hint="eastAsia"/>
                <w:szCs w:val="21"/>
              </w:rPr>
              <w:t>鼠标：防水抗菌键盘、抗菌鼠标；</w:t>
            </w:r>
          </w:p>
          <w:p>
            <w:pPr>
              <w:widowControl w:val="0"/>
              <w:jc w:val="both"/>
              <w:rPr>
                <w:szCs w:val="21"/>
              </w:rPr>
            </w:pPr>
            <w:r>
              <w:rPr>
                <w:szCs w:val="21"/>
              </w:rPr>
              <w:t>9.USB</w:t>
            </w:r>
            <w:r>
              <w:rPr>
                <w:rFonts w:hint="eastAsia"/>
                <w:szCs w:val="21"/>
              </w:rPr>
              <w:t>：≥</w:t>
            </w:r>
            <w:r>
              <w:rPr>
                <w:szCs w:val="21"/>
              </w:rPr>
              <w:t>3</w:t>
            </w:r>
            <w:r>
              <w:rPr>
                <w:rFonts w:hint="eastAsia"/>
                <w:szCs w:val="21"/>
              </w:rPr>
              <w:t>个</w:t>
            </w:r>
            <w:r>
              <w:rPr>
                <w:szCs w:val="21"/>
              </w:rPr>
              <w:t>USB</w:t>
            </w:r>
            <w:r>
              <w:rPr>
                <w:rFonts w:hint="eastAsia"/>
                <w:szCs w:val="21"/>
              </w:rPr>
              <w:t>接口（其中最少</w:t>
            </w:r>
            <w:r>
              <w:rPr>
                <w:szCs w:val="21"/>
              </w:rPr>
              <w:t>1</w:t>
            </w:r>
            <w:r>
              <w:rPr>
                <w:rFonts w:hint="eastAsia"/>
                <w:szCs w:val="21"/>
              </w:rPr>
              <w:t>个</w:t>
            </w:r>
            <w:r>
              <w:rPr>
                <w:szCs w:val="21"/>
              </w:rPr>
              <w:t>USB3.1GEN2</w:t>
            </w:r>
            <w:r>
              <w:rPr>
                <w:rFonts w:hint="eastAsia"/>
                <w:szCs w:val="21"/>
              </w:rPr>
              <w:t>）；</w:t>
            </w:r>
            <w:r>
              <w:rPr>
                <w:szCs w:val="21"/>
              </w:rPr>
              <w:t>1</w:t>
            </w:r>
            <w:r>
              <w:rPr>
                <w:rFonts w:hint="eastAsia"/>
                <w:szCs w:val="21"/>
              </w:rPr>
              <w:t>个</w:t>
            </w:r>
            <w:r>
              <w:rPr>
                <w:szCs w:val="21"/>
              </w:rPr>
              <w:t>HDMI</w:t>
            </w:r>
            <w:r>
              <w:rPr>
                <w:rFonts w:hint="eastAsia"/>
                <w:szCs w:val="21"/>
              </w:rPr>
              <w:t>接口；</w:t>
            </w:r>
            <w:r>
              <w:rPr>
                <w:szCs w:val="21"/>
              </w:rPr>
              <w:t>1</w:t>
            </w:r>
            <w:r>
              <w:rPr>
                <w:rFonts w:hint="eastAsia"/>
                <w:szCs w:val="21"/>
              </w:rPr>
              <w:t>个串口；</w:t>
            </w:r>
          </w:p>
          <w:p>
            <w:pPr>
              <w:widowControl w:val="0"/>
              <w:jc w:val="both"/>
              <w:rPr>
                <w:szCs w:val="21"/>
              </w:rPr>
            </w:pPr>
            <w:r>
              <w:rPr>
                <w:szCs w:val="21"/>
              </w:rPr>
              <w:t>10.</w:t>
            </w:r>
            <w:r>
              <w:rPr>
                <w:rFonts w:hint="eastAsia"/>
                <w:szCs w:val="21"/>
              </w:rPr>
              <w:t>操作系统：正版</w:t>
            </w:r>
            <w:r>
              <w:rPr>
                <w:szCs w:val="21"/>
              </w:rPr>
              <w:t>Windows10</w:t>
            </w:r>
            <w:r>
              <w:rPr>
                <w:rFonts w:hint="eastAsia"/>
                <w:szCs w:val="21"/>
              </w:rPr>
              <w:t>企业版操作系统；</w:t>
            </w:r>
          </w:p>
          <w:p>
            <w:pPr>
              <w:widowControl w:val="0"/>
              <w:jc w:val="both"/>
              <w:rPr>
                <w:szCs w:val="21"/>
              </w:rPr>
            </w:pPr>
            <w:r>
              <w:rPr>
                <w:szCs w:val="21"/>
              </w:rPr>
              <w:t>11.</w:t>
            </w:r>
            <w:r>
              <w:rPr>
                <w:rFonts w:hint="eastAsia"/>
                <w:szCs w:val="21"/>
              </w:rPr>
              <w:t>保修：原厂三年上门售后服务。</w:t>
            </w:r>
          </w:p>
        </w:tc>
        <w:tc>
          <w:tcPr>
            <w:tcW w:w="993" w:type="dxa"/>
          </w:tcPr>
          <w:p>
            <w:pPr>
              <w:widowControl w:val="0"/>
              <w:jc w:val="center"/>
              <w:rPr>
                <w:szCs w:val="21"/>
              </w:rPr>
            </w:pPr>
          </w:p>
        </w:tc>
        <w:tc>
          <w:tcPr>
            <w:tcW w:w="850" w:type="dxa"/>
            <w:vAlign w:val="center"/>
          </w:tcPr>
          <w:p>
            <w:pPr>
              <w:widowControl w:val="0"/>
              <w:jc w:val="center"/>
              <w:rPr>
                <w:szCs w:val="21"/>
                <w:highlight w:val="yellow"/>
              </w:rPr>
            </w:pPr>
            <w:r>
              <w:rPr>
                <w:rFonts w:hint="eastAsia"/>
                <w:szCs w:val="21"/>
              </w:rPr>
              <w:t>2</w:t>
            </w:r>
          </w:p>
        </w:tc>
        <w:tc>
          <w:tcPr>
            <w:tcW w:w="992" w:type="dxa"/>
            <w:vAlign w:val="center"/>
          </w:tcPr>
          <w:p>
            <w:pPr>
              <w:widowControl w:val="0"/>
              <w:jc w:val="center"/>
              <w:rPr>
                <w:szCs w:val="21"/>
              </w:rPr>
            </w:pPr>
            <w:r>
              <w:rPr>
                <w:rFonts w:hint="eastAsia"/>
                <w:szCs w:val="21"/>
              </w:rPr>
              <w:t>台</w:t>
            </w:r>
          </w:p>
        </w:tc>
        <w:tc>
          <w:tcPr>
            <w:tcW w:w="993" w:type="dxa"/>
            <w:vAlign w:val="center"/>
          </w:tcPr>
          <w:p>
            <w:pPr>
              <w:widowControl w:val="0"/>
              <w:jc w:val="center"/>
              <w:rPr>
                <w:szCs w:val="21"/>
              </w:rPr>
            </w:pPr>
          </w:p>
        </w:tc>
        <w:tc>
          <w:tcPr>
            <w:tcW w:w="992" w:type="dxa"/>
            <w:vAlign w:val="center"/>
          </w:tcPr>
          <w:p>
            <w:pPr>
              <w:widowControl w:val="0"/>
              <w:jc w:val="center"/>
              <w:rPr>
                <w:szCs w:val="21"/>
              </w:rPr>
            </w:pPr>
          </w:p>
        </w:tc>
        <w:tc>
          <w:tcPr>
            <w:tcW w:w="2410" w:type="dxa"/>
            <w:vAlign w:val="center"/>
          </w:tcPr>
          <w:p>
            <w:pPr>
              <w:widowControl w:val="0"/>
              <w:jc w:val="left"/>
              <w:rPr>
                <w:szCs w:val="21"/>
              </w:rPr>
            </w:pPr>
            <w:r>
              <w:rPr>
                <w:rFonts w:hint="eastAsia"/>
                <w:szCs w:val="21"/>
              </w:rPr>
              <w:t>只接受整机，不接受组装机，品牌应类似于联想、惠普、戴尔或者其他市场普及率高的同等品牌。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04" w:type="dxa"/>
            <w:vAlign w:val="center"/>
          </w:tcPr>
          <w:p>
            <w:pPr>
              <w:widowControl w:val="0"/>
              <w:jc w:val="center"/>
              <w:rPr>
                <w:szCs w:val="21"/>
              </w:rPr>
            </w:pPr>
            <w:r>
              <w:rPr>
                <w:rFonts w:hint="eastAsia"/>
                <w:szCs w:val="21"/>
              </w:rPr>
              <w:t>3</w:t>
            </w:r>
          </w:p>
        </w:tc>
        <w:tc>
          <w:tcPr>
            <w:tcW w:w="851" w:type="dxa"/>
            <w:vAlign w:val="center"/>
          </w:tcPr>
          <w:p>
            <w:pPr>
              <w:widowControl w:val="0"/>
              <w:jc w:val="center"/>
              <w:rPr>
                <w:szCs w:val="21"/>
              </w:rPr>
            </w:pPr>
            <w:r>
              <w:rPr>
                <w:rFonts w:hint="eastAsia"/>
                <w:szCs w:val="21"/>
              </w:rPr>
              <w:t>显示器</w:t>
            </w:r>
          </w:p>
        </w:tc>
        <w:tc>
          <w:tcPr>
            <w:tcW w:w="5811" w:type="dxa"/>
            <w:gridSpan w:val="2"/>
            <w:vAlign w:val="center"/>
          </w:tcPr>
          <w:p>
            <w:pPr>
              <w:widowControl w:val="0"/>
              <w:jc w:val="center"/>
              <w:rPr>
                <w:szCs w:val="21"/>
              </w:rPr>
            </w:pPr>
            <w:r>
              <w:rPr>
                <w:rFonts w:hint="eastAsia"/>
                <w:szCs w:val="21"/>
              </w:rPr>
              <w:t>≥21.5寸主机同品牌商用显示器；</w:t>
            </w:r>
          </w:p>
        </w:tc>
        <w:tc>
          <w:tcPr>
            <w:tcW w:w="993" w:type="dxa"/>
          </w:tcPr>
          <w:p>
            <w:pPr>
              <w:widowControl w:val="0"/>
              <w:jc w:val="center"/>
              <w:rPr>
                <w:szCs w:val="21"/>
              </w:rPr>
            </w:pPr>
          </w:p>
        </w:tc>
        <w:tc>
          <w:tcPr>
            <w:tcW w:w="850" w:type="dxa"/>
            <w:vAlign w:val="center"/>
          </w:tcPr>
          <w:p>
            <w:pPr>
              <w:widowControl w:val="0"/>
              <w:jc w:val="center"/>
              <w:rPr>
                <w:szCs w:val="21"/>
              </w:rPr>
            </w:pPr>
            <w:r>
              <w:rPr>
                <w:rFonts w:hint="eastAsia"/>
                <w:szCs w:val="21"/>
              </w:rPr>
              <w:t>2</w:t>
            </w:r>
          </w:p>
        </w:tc>
        <w:tc>
          <w:tcPr>
            <w:tcW w:w="992" w:type="dxa"/>
            <w:vAlign w:val="center"/>
          </w:tcPr>
          <w:p>
            <w:pPr>
              <w:widowControl w:val="0"/>
              <w:jc w:val="center"/>
              <w:rPr>
                <w:szCs w:val="21"/>
              </w:rPr>
            </w:pPr>
            <w:r>
              <w:rPr>
                <w:rFonts w:hint="eastAsia"/>
                <w:szCs w:val="21"/>
              </w:rPr>
              <w:t>台</w:t>
            </w:r>
          </w:p>
        </w:tc>
        <w:tc>
          <w:tcPr>
            <w:tcW w:w="993" w:type="dxa"/>
            <w:vAlign w:val="center"/>
          </w:tcPr>
          <w:p>
            <w:pPr>
              <w:widowControl w:val="0"/>
              <w:jc w:val="center"/>
              <w:rPr>
                <w:szCs w:val="21"/>
              </w:rPr>
            </w:pPr>
          </w:p>
        </w:tc>
        <w:tc>
          <w:tcPr>
            <w:tcW w:w="992" w:type="dxa"/>
            <w:vAlign w:val="center"/>
          </w:tcPr>
          <w:p>
            <w:pPr>
              <w:widowControl w:val="0"/>
              <w:jc w:val="center"/>
              <w:rPr>
                <w:szCs w:val="21"/>
              </w:rPr>
            </w:pPr>
          </w:p>
        </w:tc>
        <w:tc>
          <w:tcPr>
            <w:tcW w:w="2410" w:type="dxa"/>
            <w:vAlign w:val="center"/>
          </w:tcPr>
          <w:p>
            <w:pPr>
              <w:widowControl w:val="0"/>
              <w:jc w:val="center"/>
              <w:rPr>
                <w:szCs w:val="21"/>
              </w:rPr>
            </w:pPr>
            <w:r>
              <w:rPr>
                <w:rFonts w:hint="eastAsia"/>
                <w:szCs w:val="21"/>
              </w:rPr>
              <w:t>与本表格第一项台式机电脑所采购的显示器同型号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555" w:type="dxa"/>
            <w:gridSpan w:val="2"/>
            <w:vAlign w:val="center"/>
          </w:tcPr>
          <w:p>
            <w:pPr>
              <w:widowControl w:val="0"/>
              <w:jc w:val="center"/>
              <w:rPr>
                <w:b/>
                <w:bCs/>
                <w:szCs w:val="21"/>
              </w:rPr>
            </w:pPr>
            <w:r>
              <w:rPr>
                <w:rFonts w:hint="eastAsia"/>
                <w:b/>
                <w:bCs/>
                <w:szCs w:val="21"/>
              </w:rPr>
              <w:t>合计</w:t>
            </w:r>
          </w:p>
        </w:tc>
        <w:tc>
          <w:tcPr>
            <w:tcW w:w="1389" w:type="dxa"/>
          </w:tcPr>
          <w:p>
            <w:pPr>
              <w:widowControl w:val="0"/>
              <w:jc w:val="center"/>
              <w:rPr>
                <w:bCs/>
                <w:sz w:val="28"/>
                <w:szCs w:val="28"/>
              </w:rPr>
            </w:pPr>
          </w:p>
        </w:tc>
        <w:tc>
          <w:tcPr>
            <w:tcW w:w="11652" w:type="dxa"/>
            <w:gridSpan w:val="7"/>
            <w:vAlign w:val="center"/>
          </w:tcPr>
          <w:p>
            <w:pPr>
              <w:widowControl w:val="0"/>
              <w:jc w:val="center"/>
              <w:rPr>
                <w:bCs/>
                <w:sz w:val="28"/>
                <w:szCs w:val="28"/>
              </w:rPr>
            </w:pPr>
            <w:r>
              <w:rPr>
                <w:rFonts w:hint="eastAsia"/>
                <w:bCs/>
                <w:sz w:val="28"/>
                <w:szCs w:val="28"/>
              </w:rPr>
              <w:t>大写：     （小写：      元）</w:t>
            </w:r>
          </w:p>
        </w:tc>
      </w:tr>
      <w:bookmarkEnd w:id="87"/>
      <w:bookmarkEnd w:id="88"/>
    </w:tbl>
    <w:p>
      <w:r>
        <w:rPr>
          <w:rFonts w:hint="eastAsia"/>
        </w:rPr>
        <w:t>以上价格已含13%增值税、运输、安装调试、电脑组装、调试、系统安装及相应的售后服务费用。</w:t>
      </w:r>
    </w:p>
    <w:p>
      <w:pPr>
        <w:pStyle w:val="7"/>
        <w:spacing w:before="100" w:after="100"/>
        <w:sectPr>
          <w:pgSz w:w="16838" w:h="11906" w:orient="landscape"/>
          <w:pgMar w:top="1080" w:right="1440" w:bottom="1080" w:left="1440" w:header="851" w:footer="1344" w:gutter="0"/>
          <w:cols w:space="720" w:num="1"/>
          <w:docGrid w:linePitch="312" w:charSpace="0"/>
        </w:sectPr>
      </w:pPr>
    </w:p>
    <w:p/>
    <w:p>
      <w:pPr>
        <w:pStyle w:val="6"/>
        <w:jc w:val="center"/>
        <w:rPr>
          <w:rFonts w:ascii="黑体" w:hAnsi="黑体" w:eastAsia="黑体" w:cs="仿宋"/>
        </w:rPr>
      </w:pPr>
      <w:bookmarkStart w:id="89" w:name="_Toc106039369"/>
      <w:r>
        <w:rPr>
          <w:rFonts w:hint="eastAsia" w:ascii="黑体" w:hAnsi="黑体" w:eastAsia="黑体" w:cs="仿宋"/>
        </w:rPr>
        <w:t>五、资格审查资料</w:t>
      </w:r>
      <w:bookmarkEnd w:id="89"/>
    </w:p>
    <w:p>
      <w:pPr>
        <w:spacing w:line="600" w:lineRule="exact"/>
        <w:jc w:val="center"/>
        <w:rPr>
          <w:rFonts w:ascii="黑体" w:hAnsi="黑体" w:eastAsia="黑体" w:cs="仿宋"/>
          <w:sz w:val="36"/>
          <w:szCs w:val="36"/>
        </w:rPr>
      </w:pPr>
    </w:p>
    <w:p>
      <w:pPr>
        <w:pStyle w:val="7"/>
        <w:spacing w:before="0" w:beforeAutospacing="0" w:after="0" w:afterAutospacing="0"/>
        <w:rPr>
          <w:rFonts w:cs="仿宋" w:asciiTheme="minorEastAsia" w:hAnsiTheme="minorEastAsia" w:eastAsiaTheme="minorEastAsia"/>
          <w:sz w:val="24"/>
        </w:rPr>
      </w:pPr>
      <w:bookmarkStart w:id="90" w:name="_Toc106039370"/>
      <w:r>
        <w:rPr>
          <w:rFonts w:hint="eastAsia" w:cs="仿宋" w:asciiTheme="minorEastAsia" w:hAnsiTheme="minorEastAsia" w:eastAsiaTheme="minorEastAsia"/>
          <w:sz w:val="24"/>
        </w:rPr>
        <w:t>（一）基本情况</w:t>
      </w:r>
      <w:bookmarkEnd w:id="90"/>
    </w:p>
    <w:p>
      <w:pPr>
        <w:spacing w:line="600" w:lineRule="exact"/>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供应商应根据供应商须知前附表第3.5（1）项提供主体资格证明资料</w:t>
      </w:r>
      <w:r>
        <w:rPr>
          <w:rFonts w:hint="eastAsia" w:cs="仿宋" w:asciiTheme="minorEastAsia" w:hAnsiTheme="minorEastAsia" w:eastAsiaTheme="minorEastAsia"/>
          <w:sz w:val="24"/>
          <w:lang w:eastAsia="zh-CN"/>
        </w:rPr>
        <w:t>。</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供应商还应根据供应商须知前地表第3.5（</w:t>
      </w: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）项、第3.5（</w:t>
      </w:r>
      <w:r>
        <w:rPr>
          <w:rFonts w:hint="eastAsia" w:cs="仿宋" w:asciiTheme="minorEastAsia" w:hAnsiTheme="minorEastAsia" w:eastAsiaTheme="minorEastAsia"/>
          <w:sz w:val="24"/>
          <w:lang w:val="en-US" w:eastAsia="zh-CN"/>
        </w:rPr>
        <w:t>5</w:t>
      </w:r>
      <w:r>
        <w:rPr>
          <w:rFonts w:hint="eastAsia" w:cs="仿宋" w:asciiTheme="minorEastAsia" w:hAnsiTheme="minorEastAsia" w:eastAsiaTheme="minorEastAsia"/>
          <w:sz w:val="24"/>
        </w:rPr>
        <w:t>）项和第3.5（8）项的要求提供其他相关证明材料。</w:t>
      </w:r>
    </w:p>
    <w:p>
      <w:pPr>
        <w:pStyle w:val="7"/>
        <w:spacing w:before="0" w:beforeAutospacing="0" w:after="0" w:afterAutospacing="0"/>
        <w:rPr>
          <w:rFonts w:cs="仿宋" w:asciiTheme="minorEastAsia" w:hAnsiTheme="minorEastAsia" w:eastAsiaTheme="minorEastAsia"/>
          <w:sz w:val="24"/>
        </w:rPr>
      </w:pPr>
      <w:bookmarkStart w:id="91" w:name="_Toc106039371"/>
      <w:r>
        <w:rPr>
          <w:rFonts w:hint="eastAsia" w:cs="仿宋" w:asciiTheme="minorEastAsia" w:hAnsiTheme="minorEastAsia" w:eastAsiaTheme="minorEastAsia"/>
          <w:sz w:val="24"/>
        </w:rPr>
        <w:t>（二）</w:t>
      </w:r>
      <w:bookmarkEnd w:id="91"/>
      <w:bookmarkStart w:id="92" w:name="_Toc106039372"/>
      <w:r>
        <w:rPr>
          <w:rFonts w:hint="eastAsia" w:cs="仿宋" w:asciiTheme="minorEastAsia" w:hAnsiTheme="minorEastAsia" w:eastAsiaTheme="minorEastAsia"/>
          <w:sz w:val="24"/>
        </w:rPr>
        <w:t>近年的类似项目情况表</w:t>
      </w:r>
      <w:bookmarkEnd w:id="92"/>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采购内容</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是否完成</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spacing w:line="600" w:lineRule="exact"/>
        <w:jc w:val="both"/>
        <w:rPr>
          <w:rFonts w:cs="仿宋" w:asciiTheme="minorEastAsia" w:hAnsiTheme="minorEastAsia" w:eastAsiaTheme="minorEastAsia"/>
          <w:sz w:val="24"/>
        </w:rPr>
      </w:pPr>
    </w:p>
    <w:p>
      <w:pPr>
        <w:spacing w:line="600" w:lineRule="exact"/>
        <w:jc w:val="both"/>
        <w:rPr>
          <w:rFonts w:cs="仿宋" w:asciiTheme="minorEastAsia" w:hAnsiTheme="minorEastAsia" w:eastAsiaTheme="minorEastAsia"/>
          <w:sz w:val="24"/>
        </w:rPr>
      </w:pPr>
    </w:p>
    <w:p>
      <w:pPr>
        <w:rPr>
          <w:rFonts w:hint="eastAsia" w:ascii="黑体" w:hAnsi="黑体" w:eastAsia="黑体" w:cs="仿宋"/>
        </w:rPr>
      </w:pPr>
      <w:bookmarkStart w:id="93" w:name="_Toc106039375"/>
      <w:r>
        <w:rPr>
          <w:rFonts w:hint="eastAsia" w:ascii="黑体" w:hAnsi="黑体" w:eastAsia="黑体" w:cs="仿宋"/>
        </w:rPr>
        <w:br w:type="page"/>
      </w:r>
    </w:p>
    <w:p>
      <w:pPr>
        <w:pStyle w:val="6"/>
        <w:jc w:val="center"/>
        <w:rPr>
          <w:rFonts w:ascii="黑体" w:hAnsi="黑体" w:eastAsia="黑体" w:cs="仿宋"/>
        </w:rPr>
      </w:pPr>
      <w:r>
        <w:rPr>
          <w:rFonts w:hint="eastAsia" w:ascii="黑体" w:hAnsi="黑体" w:eastAsia="黑体" w:cs="仿宋"/>
        </w:rPr>
        <w:t>六、响应方案</w:t>
      </w:r>
      <w:bookmarkEnd w:id="93"/>
    </w:p>
    <w:p>
      <w:pPr>
        <w:pStyle w:val="2"/>
      </w:pPr>
    </w:p>
    <w:p>
      <w:pPr>
        <w:spacing w:line="360" w:lineRule="auto"/>
        <w:ind w:firstLine="480" w:firstLineChars="200"/>
        <w:jc w:val="both"/>
        <w:rPr>
          <w:rFonts w:ascii="宋体" w:hAnsi="宋体"/>
          <w:sz w:val="24"/>
        </w:rPr>
      </w:pPr>
      <w:r>
        <w:rPr>
          <w:rFonts w:hint="eastAsia" w:ascii="宋体" w:hAnsi="宋体"/>
          <w:sz w:val="24"/>
        </w:rPr>
        <w:t>响应方案一般包括(但不限于)下列内容:</w:t>
      </w:r>
    </w:p>
    <w:p>
      <w:pPr>
        <w:spacing w:line="360" w:lineRule="auto"/>
        <w:ind w:firstLine="480" w:firstLineChars="200"/>
        <w:jc w:val="both"/>
        <w:rPr>
          <w:rFonts w:ascii="宋体" w:hAnsi="宋体"/>
          <w:sz w:val="24"/>
        </w:rPr>
      </w:pPr>
      <w:r>
        <w:rPr>
          <w:rFonts w:hint="eastAsia" w:ascii="宋体" w:hAnsi="宋体"/>
          <w:sz w:val="24"/>
        </w:rPr>
        <w:t>(一)货物质量标准或技术性能指标的详细描述（可结合第三章“评审办法”和第五章“采购需求”中的要求进行响应）；</w:t>
      </w:r>
    </w:p>
    <w:p>
      <w:pPr>
        <w:spacing w:line="360" w:lineRule="auto"/>
        <w:ind w:firstLine="480" w:firstLineChars="200"/>
        <w:jc w:val="both"/>
        <w:rPr>
          <w:rFonts w:ascii="宋体" w:hAnsi="宋体"/>
          <w:sz w:val="24"/>
        </w:rPr>
      </w:pPr>
      <w:r>
        <w:rPr>
          <w:rFonts w:hint="eastAsia" w:ascii="宋体" w:hAnsi="宋体"/>
          <w:sz w:val="24"/>
        </w:rPr>
        <w:t>（二）技术支持资料（可结合第三章“评审办法”和第五章“采购需求”中的要求进行响应）；</w:t>
      </w:r>
    </w:p>
    <w:p>
      <w:pPr>
        <w:spacing w:line="360" w:lineRule="auto"/>
        <w:ind w:firstLine="480" w:firstLineChars="200"/>
        <w:jc w:val="both"/>
        <w:rPr>
          <w:rFonts w:ascii="黑体" w:hAnsi="黑体" w:eastAsia="黑体" w:cs="仿宋"/>
          <w:b/>
          <w:bCs/>
          <w:kern w:val="44"/>
          <w:sz w:val="36"/>
          <w:szCs w:val="36"/>
        </w:rPr>
      </w:pPr>
      <w:r>
        <w:rPr>
          <w:rFonts w:hint="eastAsia" w:ascii="宋体" w:hAnsi="宋体"/>
          <w:sz w:val="24"/>
        </w:rPr>
        <w:t>（三）相关服务计划（可结合第三章“评审办法”和第五章“采购需求”中的要求进行响应）；</w:t>
      </w:r>
      <w:r>
        <w:rPr>
          <w:rFonts w:ascii="黑体" w:hAnsi="黑体" w:eastAsia="黑体" w:cs="仿宋"/>
          <w:sz w:val="36"/>
          <w:szCs w:val="36"/>
        </w:rPr>
        <w:br w:type="page"/>
      </w:r>
    </w:p>
    <w:p>
      <w:pPr>
        <w:pStyle w:val="6"/>
        <w:jc w:val="center"/>
        <w:rPr>
          <w:rFonts w:ascii="黑体" w:hAnsi="黑体" w:eastAsia="黑体" w:cs="仿宋"/>
        </w:rPr>
      </w:pPr>
      <w:bookmarkStart w:id="94" w:name="_Toc106039376"/>
      <w:r>
        <w:rPr>
          <w:rFonts w:hint="eastAsia" w:ascii="黑体" w:hAnsi="黑体" w:eastAsia="黑体" w:cs="仿宋"/>
        </w:rPr>
        <w:t>七、其他资料</w:t>
      </w:r>
      <w:bookmarkEnd w:id="94"/>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rPr>
          <w:rFonts w:asciiTheme="minorEastAsia" w:hAnsiTheme="minorEastAsia" w:eastAsiaTheme="minorEastAsia"/>
          <w:sz w:val="24"/>
        </w:rPr>
      </w:pPr>
    </w:p>
    <w:sectPr>
      <w:pgSz w:w="11906" w:h="16838"/>
      <w:pgMar w:top="1440" w:right="1080" w:bottom="1440" w:left="108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STKaiti">
    <w:altName w:val="宋体"/>
    <w:panose1 w:val="00000000000000000000"/>
    <w:charset w:val="86"/>
    <w:family w:val="auto"/>
    <w:pitch w:val="default"/>
    <w:sig w:usb0="00000000" w:usb1="00000000" w:usb2="00000010" w:usb3="00000000" w:csb0="0004009F" w:csb1="00000000"/>
  </w:font>
  <w:font w:name="Wingdings 2">
    <w:altName w:val="Wingdings"/>
    <w:panose1 w:val="00000000000000000000"/>
    <w:charset w:val="02"/>
    <w:family w:val="decorative"/>
    <w:pitch w:val="default"/>
    <w:sig w:usb0="00000000" w:usb1="00000000" w:usb2="00000000" w:usb3="00000000" w:csb0="80000000" w:csb1="00000000"/>
  </w:font>
  <w:font w:name="STZhongsong">
    <w:altName w:val="宋体"/>
    <w:panose1 w:val="00000000000000000000"/>
    <w:charset w:val="86"/>
    <w:family w:val="auto"/>
    <w:pitch w:val="default"/>
    <w:sig w:usb0="00000000" w:usb1="00000000" w:usb2="00000010" w:usb3="00000000" w:csb0="0004009F" w:csb1="00000000"/>
  </w:font>
  <w:font w:name="MS Mincho">
    <w:panose1 w:val="02020609040205080304"/>
    <w:charset w:val="80"/>
    <w:family w:val="modern"/>
    <w:pitch w:val="default"/>
    <w:sig w:usb0="E00002FF" w:usb1="6AC7FDFB" w:usb2="00000012" w:usb3="00000000" w:csb0="4002009F" w:csb1="DFD7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7"/>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21</w:t>
        </w:r>
        <w:r>
          <w:rPr>
            <w:sz w:val="20"/>
          </w:rPr>
          <w:fldChar w:fldCharType="end"/>
        </w:r>
      </w:p>
    </w:sdtContent>
  </w:sdt>
  <w:p>
    <w:pPr>
      <w:pStyle w:val="2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CED67"/>
    <w:multiLevelType w:val="singleLevel"/>
    <w:tmpl w:val="03ECED67"/>
    <w:lvl w:ilvl="0" w:tentative="0">
      <w:start w:val="4"/>
      <w:numFmt w:val="decimal"/>
      <w:lvlText w:val="%1."/>
      <w:lvlJc w:val="left"/>
      <w:pPr>
        <w:tabs>
          <w:tab w:val="left" w:pos="312"/>
        </w:tabs>
      </w:pPr>
    </w:lvl>
  </w:abstractNum>
  <w:abstractNum w:abstractNumId="1">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formatting="1"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iZTJkMTI5N2U4MGJiZDRiODkxNWM3MWY3YzEwNGEifQ=="/>
  </w:docVars>
  <w:rsids>
    <w:rsidRoot w:val="00124EA9"/>
    <w:rsid w:val="000021E0"/>
    <w:rsid w:val="00002637"/>
    <w:rsid w:val="00004047"/>
    <w:rsid w:val="00010F56"/>
    <w:rsid w:val="00024612"/>
    <w:rsid w:val="000251C1"/>
    <w:rsid w:val="00044051"/>
    <w:rsid w:val="00045372"/>
    <w:rsid w:val="00045996"/>
    <w:rsid w:val="00053E1B"/>
    <w:rsid w:val="0006009C"/>
    <w:rsid w:val="00077817"/>
    <w:rsid w:val="00080B47"/>
    <w:rsid w:val="000A0047"/>
    <w:rsid w:val="000A7926"/>
    <w:rsid w:val="000B4936"/>
    <w:rsid w:val="000C4E44"/>
    <w:rsid w:val="000C5689"/>
    <w:rsid w:val="000D0FD0"/>
    <w:rsid w:val="000D3A07"/>
    <w:rsid w:val="000E5829"/>
    <w:rsid w:val="000F2F60"/>
    <w:rsid w:val="000F3D59"/>
    <w:rsid w:val="000F572C"/>
    <w:rsid w:val="000F65C5"/>
    <w:rsid w:val="00101210"/>
    <w:rsid w:val="00124EA9"/>
    <w:rsid w:val="00131DC1"/>
    <w:rsid w:val="00133753"/>
    <w:rsid w:val="0013766E"/>
    <w:rsid w:val="00141200"/>
    <w:rsid w:val="001421A1"/>
    <w:rsid w:val="0014231F"/>
    <w:rsid w:val="001429F5"/>
    <w:rsid w:val="00143EE9"/>
    <w:rsid w:val="00144A0B"/>
    <w:rsid w:val="00155F5F"/>
    <w:rsid w:val="001624F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148"/>
    <w:rsid w:val="0021628B"/>
    <w:rsid w:val="0022239A"/>
    <w:rsid w:val="00236D8A"/>
    <w:rsid w:val="00240105"/>
    <w:rsid w:val="00244E9B"/>
    <w:rsid w:val="0026094B"/>
    <w:rsid w:val="00281C9C"/>
    <w:rsid w:val="002832EF"/>
    <w:rsid w:val="0028390B"/>
    <w:rsid w:val="00292A27"/>
    <w:rsid w:val="002A13A6"/>
    <w:rsid w:val="002A3646"/>
    <w:rsid w:val="002A69B8"/>
    <w:rsid w:val="002B225E"/>
    <w:rsid w:val="002B7B11"/>
    <w:rsid w:val="002D3DCC"/>
    <w:rsid w:val="002D460A"/>
    <w:rsid w:val="002E1D5F"/>
    <w:rsid w:val="002F4C12"/>
    <w:rsid w:val="0031048F"/>
    <w:rsid w:val="003114D8"/>
    <w:rsid w:val="003220EE"/>
    <w:rsid w:val="003276E9"/>
    <w:rsid w:val="003332ED"/>
    <w:rsid w:val="00333AC7"/>
    <w:rsid w:val="003346E3"/>
    <w:rsid w:val="00335C6C"/>
    <w:rsid w:val="00340982"/>
    <w:rsid w:val="00341BE1"/>
    <w:rsid w:val="00343219"/>
    <w:rsid w:val="00352B11"/>
    <w:rsid w:val="003536C1"/>
    <w:rsid w:val="00371495"/>
    <w:rsid w:val="0038765B"/>
    <w:rsid w:val="00392340"/>
    <w:rsid w:val="003A008A"/>
    <w:rsid w:val="003A21A4"/>
    <w:rsid w:val="003A35E6"/>
    <w:rsid w:val="003A47A2"/>
    <w:rsid w:val="003A7BE3"/>
    <w:rsid w:val="003B1B7D"/>
    <w:rsid w:val="003C0E8A"/>
    <w:rsid w:val="003C71AC"/>
    <w:rsid w:val="003E48E1"/>
    <w:rsid w:val="003E6695"/>
    <w:rsid w:val="003E7A6F"/>
    <w:rsid w:val="00405A6A"/>
    <w:rsid w:val="00406457"/>
    <w:rsid w:val="004179C4"/>
    <w:rsid w:val="004212E9"/>
    <w:rsid w:val="00445025"/>
    <w:rsid w:val="004477E9"/>
    <w:rsid w:val="004528FC"/>
    <w:rsid w:val="004529AE"/>
    <w:rsid w:val="0046332C"/>
    <w:rsid w:val="00464986"/>
    <w:rsid w:val="00470510"/>
    <w:rsid w:val="00474349"/>
    <w:rsid w:val="00477005"/>
    <w:rsid w:val="00477727"/>
    <w:rsid w:val="00480E54"/>
    <w:rsid w:val="00482A85"/>
    <w:rsid w:val="0048561B"/>
    <w:rsid w:val="00494772"/>
    <w:rsid w:val="004A6BC6"/>
    <w:rsid w:val="004B2465"/>
    <w:rsid w:val="004B24C9"/>
    <w:rsid w:val="004B3E4A"/>
    <w:rsid w:val="004D1DCD"/>
    <w:rsid w:val="004D2DC8"/>
    <w:rsid w:val="004D702E"/>
    <w:rsid w:val="004F03C7"/>
    <w:rsid w:val="004F1CF3"/>
    <w:rsid w:val="004F5B58"/>
    <w:rsid w:val="004F7BD5"/>
    <w:rsid w:val="004F7F0C"/>
    <w:rsid w:val="0050258D"/>
    <w:rsid w:val="0051116B"/>
    <w:rsid w:val="00514DA0"/>
    <w:rsid w:val="00527EEC"/>
    <w:rsid w:val="005307B3"/>
    <w:rsid w:val="005458F8"/>
    <w:rsid w:val="0054718F"/>
    <w:rsid w:val="0055203E"/>
    <w:rsid w:val="0057297F"/>
    <w:rsid w:val="0057563C"/>
    <w:rsid w:val="00575982"/>
    <w:rsid w:val="00580028"/>
    <w:rsid w:val="00580488"/>
    <w:rsid w:val="0058176A"/>
    <w:rsid w:val="005864F4"/>
    <w:rsid w:val="005932FF"/>
    <w:rsid w:val="005A24DF"/>
    <w:rsid w:val="005A43ED"/>
    <w:rsid w:val="005A70E0"/>
    <w:rsid w:val="005B251E"/>
    <w:rsid w:val="005C4BCE"/>
    <w:rsid w:val="005D438E"/>
    <w:rsid w:val="005E5529"/>
    <w:rsid w:val="005E5C66"/>
    <w:rsid w:val="005E679A"/>
    <w:rsid w:val="005F29AC"/>
    <w:rsid w:val="005F2B3B"/>
    <w:rsid w:val="005F3C29"/>
    <w:rsid w:val="005F499C"/>
    <w:rsid w:val="00602185"/>
    <w:rsid w:val="00612206"/>
    <w:rsid w:val="00617F00"/>
    <w:rsid w:val="00617F38"/>
    <w:rsid w:val="006417A4"/>
    <w:rsid w:val="006435FD"/>
    <w:rsid w:val="00645395"/>
    <w:rsid w:val="0065638A"/>
    <w:rsid w:val="00656CED"/>
    <w:rsid w:val="00660D70"/>
    <w:rsid w:val="00665B3C"/>
    <w:rsid w:val="00673382"/>
    <w:rsid w:val="00676BDB"/>
    <w:rsid w:val="00686532"/>
    <w:rsid w:val="00690B7C"/>
    <w:rsid w:val="006A12CE"/>
    <w:rsid w:val="006A499F"/>
    <w:rsid w:val="006B1EC2"/>
    <w:rsid w:val="006B3F31"/>
    <w:rsid w:val="006C735F"/>
    <w:rsid w:val="006D3E72"/>
    <w:rsid w:val="006E037A"/>
    <w:rsid w:val="006E0909"/>
    <w:rsid w:val="006E37CB"/>
    <w:rsid w:val="006E4993"/>
    <w:rsid w:val="006E5C39"/>
    <w:rsid w:val="00702A69"/>
    <w:rsid w:val="00707B6C"/>
    <w:rsid w:val="007265BE"/>
    <w:rsid w:val="00734D60"/>
    <w:rsid w:val="0075378F"/>
    <w:rsid w:val="007555FC"/>
    <w:rsid w:val="007623DE"/>
    <w:rsid w:val="00767FCD"/>
    <w:rsid w:val="00770FF3"/>
    <w:rsid w:val="00771629"/>
    <w:rsid w:val="007726E3"/>
    <w:rsid w:val="00773441"/>
    <w:rsid w:val="00773E3D"/>
    <w:rsid w:val="0077453D"/>
    <w:rsid w:val="00784672"/>
    <w:rsid w:val="00784F8A"/>
    <w:rsid w:val="00785C21"/>
    <w:rsid w:val="007964EF"/>
    <w:rsid w:val="007C2355"/>
    <w:rsid w:val="007C40D4"/>
    <w:rsid w:val="007C74E8"/>
    <w:rsid w:val="007D0497"/>
    <w:rsid w:val="007D29D4"/>
    <w:rsid w:val="007D3081"/>
    <w:rsid w:val="007E1F23"/>
    <w:rsid w:val="007E4510"/>
    <w:rsid w:val="007F3D4A"/>
    <w:rsid w:val="007F3EC6"/>
    <w:rsid w:val="0080745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C623B"/>
    <w:rsid w:val="008F6B51"/>
    <w:rsid w:val="0090589A"/>
    <w:rsid w:val="009315C2"/>
    <w:rsid w:val="00935E41"/>
    <w:rsid w:val="00935ED2"/>
    <w:rsid w:val="009413B0"/>
    <w:rsid w:val="00954F74"/>
    <w:rsid w:val="00955643"/>
    <w:rsid w:val="009573B9"/>
    <w:rsid w:val="00965E94"/>
    <w:rsid w:val="00970629"/>
    <w:rsid w:val="00983877"/>
    <w:rsid w:val="009A1BD2"/>
    <w:rsid w:val="009A24B1"/>
    <w:rsid w:val="009B084E"/>
    <w:rsid w:val="009B2857"/>
    <w:rsid w:val="009B5405"/>
    <w:rsid w:val="009B626F"/>
    <w:rsid w:val="009B66AE"/>
    <w:rsid w:val="009C5A07"/>
    <w:rsid w:val="009E0B67"/>
    <w:rsid w:val="009F0705"/>
    <w:rsid w:val="009F1C96"/>
    <w:rsid w:val="009F786D"/>
    <w:rsid w:val="00A02DDD"/>
    <w:rsid w:val="00A12741"/>
    <w:rsid w:val="00A15750"/>
    <w:rsid w:val="00A2148B"/>
    <w:rsid w:val="00A2462C"/>
    <w:rsid w:val="00A27204"/>
    <w:rsid w:val="00A33D67"/>
    <w:rsid w:val="00A3767B"/>
    <w:rsid w:val="00A41388"/>
    <w:rsid w:val="00A477C0"/>
    <w:rsid w:val="00A507DC"/>
    <w:rsid w:val="00A54E02"/>
    <w:rsid w:val="00A67EC8"/>
    <w:rsid w:val="00A71374"/>
    <w:rsid w:val="00A81F80"/>
    <w:rsid w:val="00A868EF"/>
    <w:rsid w:val="00A906E2"/>
    <w:rsid w:val="00A943DF"/>
    <w:rsid w:val="00A95B63"/>
    <w:rsid w:val="00AA0F15"/>
    <w:rsid w:val="00AB28BF"/>
    <w:rsid w:val="00AD2A48"/>
    <w:rsid w:val="00AD2C8A"/>
    <w:rsid w:val="00AD6819"/>
    <w:rsid w:val="00AE15F3"/>
    <w:rsid w:val="00AE18DA"/>
    <w:rsid w:val="00AF4CC2"/>
    <w:rsid w:val="00B01BCC"/>
    <w:rsid w:val="00B2492C"/>
    <w:rsid w:val="00B25D89"/>
    <w:rsid w:val="00B33F50"/>
    <w:rsid w:val="00B3664B"/>
    <w:rsid w:val="00B439A9"/>
    <w:rsid w:val="00B4446C"/>
    <w:rsid w:val="00B60605"/>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569"/>
    <w:rsid w:val="00BA783A"/>
    <w:rsid w:val="00BB00AF"/>
    <w:rsid w:val="00BB1B83"/>
    <w:rsid w:val="00BB53FF"/>
    <w:rsid w:val="00BC08B5"/>
    <w:rsid w:val="00BC5446"/>
    <w:rsid w:val="00BD7A21"/>
    <w:rsid w:val="00BF2669"/>
    <w:rsid w:val="00C03C07"/>
    <w:rsid w:val="00C12666"/>
    <w:rsid w:val="00C14B63"/>
    <w:rsid w:val="00C16814"/>
    <w:rsid w:val="00C22565"/>
    <w:rsid w:val="00C324D4"/>
    <w:rsid w:val="00C50F7B"/>
    <w:rsid w:val="00C52E06"/>
    <w:rsid w:val="00C53A90"/>
    <w:rsid w:val="00C54AC5"/>
    <w:rsid w:val="00C7182C"/>
    <w:rsid w:val="00C80A31"/>
    <w:rsid w:val="00C931BF"/>
    <w:rsid w:val="00C938B5"/>
    <w:rsid w:val="00C94DBF"/>
    <w:rsid w:val="00CB2271"/>
    <w:rsid w:val="00CB35D3"/>
    <w:rsid w:val="00CD5CEB"/>
    <w:rsid w:val="00CE020B"/>
    <w:rsid w:val="00CE71D2"/>
    <w:rsid w:val="00CE7226"/>
    <w:rsid w:val="00CE7D8E"/>
    <w:rsid w:val="00CF36EE"/>
    <w:rsid w:val="00D1160E"/>
    <w:rsid w:val="00D1328D"/>
    <w:rsid w:val="00D14007"/>
    <w:rsid w:val="00D26E74"/>
    <w:rsid w:val="00D27461"/>
    <w:rsid w:val="00D30D7D"/>
    <w:rsid w:val="00D32AD3"/>
    <w:rsid w:val="00D35B47"/>
    <w:rsid w:val="00D44DE9"/>
    <w:rsid w:val="00D4514A"/>
    <w:rsid w:val="00D51582"/>
    <w:rsid w:val="00D52D42"/>
    <w:rsid w:val="00D5313A"/>
    <w:rsid w:val="00D56D4E"/>
    <w:rsid w:val="00D80ADF"/>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E65BA"/>
    <w:rsid w:val="00DF2B35"/>
    <w:rsid w:val="00DF52A2"/>
    <w:rsid w:val="00E006FA"/>
    <w:rsid w:val="00E07092"/>
    <w:rsid w:val="00E10A95"/>
    <w:rsid w:val="00E24833"/>
    <w:rsid w:val="00E25112"/>
    <w:rsid w:val="00E263FD"/>
    <w:rsid w:val="00E30201"/>
    <w:rsid w:val="00E44E6A"/>
    <w:rsid w:val="00E4799A"/>
    <w:rsid w:val="00E5145F"/>
    <w:rsid w:val="00E5459C"/>
    <w:rsid w:val="00E61B4A"/>
    <w:rsid w:val="00E65DCA"/>
    <w:rsid w:val="00E828A3"/>
    <w:rsid w:val="00E839E1"/>
    <w:rsid w:val="00E84D8F"/>
    <w:rsid w:val="00E8703F"/>
    <w:rsid w:val="00E8717F"/>
    <w:rsid w:val="00EA3253"/>
    <w:rsid w:val="00EA3F96"/>
    <w:rsid w:val="00EB3032"/>
    <w:rsid w:val="00EB36F8"/>
    <w:rsid w:val="00EB3D32"/>
    <w:rsid w:val="00EB45C5"/>
    <w:rsid w:val="00EC1A38"/>
    <w:rsid w:val="00EC394D"/>
    <w:rsid w:val="00EC4B84"/>
    <w:rsid w:val="00EC5AF3"/>
    <w:rsid w:val="00ED0C16"/>
    <w:rsid w:val="00EE75AA"/>
    <w:rsid w:val="00F014DF"/>
    <w:rsid w:val="00F0428D"/>
    <w:rsid w:val="00F067FF"/>
    <w:rsid w:val="00F06D3D"/>
    <w:rsid w:val="00F138CF"/>
    <w:rsid w:val="00F17C9D"/>
    <w:rsid w:val="00F31726"/>
    <w:rsid w:val="00F40991"/>
    <w:rsid w:val="00F43672"/>
    <w:rsid w:val="00F449A4"/>
    <w:rsid w:val="00F51761"/>
    <w:rsid w:val="00F51B37"/>
    <w:rsid w:val="00F552F8"/>
    <w:rsid w:val="00F725CC"/>
    <w:rsid w:val="00F76C2C"/>
    <w:rsid w:val="00F86C0E"/>
    <w:rsid w:val="00FA688E"/>
    <w:rsid w:val="00FB7FEC"/>
    <w:rsid w:val="00FC0CDA"/>
    <w:rsid w:val="00FC2557"/>
    <w:rsid w:val="00FC3155"/>
    <w:rsid w:val="00FD0360"/>
    <w:rsid w:val="00FD3A25"/>
    <w:rsid w:val="00FD4D0F"/>
    <w:rsid w:val="00FD78D6"/>
    <w:rsid w:val="00FE3439"/>
    <w:rsid w:val="00FE5003"/>
    <w:rsid w:val="00FF43B1"/>
    <w:rsid w:val="00FF670A"/>
    <w:rsid w:val="015D4263"/>
    <w:rsid w:val="016110F4"/>
    <w:rsid w:val="01AC7279"/>
    <w:rsid w:val="01B372CB"/>
    <w:rsid w:val="01BB3CD7"/>
    <w:rsid w:val="01CD028F"/>
    <w:rsid w:val="01D76005"/>
    <w:rsid w:val="01F71C64"/>
    <w:rsid w:val="02111C54"/>
    <w:rsid w:val="02C82FD8"/>
    <w:rsid w:val="032D26DE"/>
    <w:rsid w:val="047C353A"/>
    <w:rsid w:val="04A65DBC"/>
    <w:rsid w:val="04C70CFD"/>
    <w:rsid w:val="05C8377A"/>
    <w:rsid w:val="05CD3A4B"/>
    <w:rsid w:val="05EF1FFE"/>
    <w:rsid w:val="071C2DD7"/>
    <w:rsid w:val="078C4C2A"/>
    <w:rsid w:val="0882554E"/>
    <w:rsid w:val="08826D5B"/>
    <w:rsid w:val="08876C3D"/>
    <w:rsid w:val="09343645"/>
    <w:rsid w:val="09970B85"/>
    <w:rsid w:val="09C6304D"/>
    <w:rsid w:val="09E7100A"/>
    <w:rsid w:val="0AED2D32"/>
    <w:rsid w:val="0AF00027"/>
    <w:rsid w:val="0B0D605F"/>
    <w:rsid w:val="0B272FBD"/>
    <w:rsid w:val="0B300652"/>
    <w:rsid w:val="0B534E7F"/>
    <w:rsid w:val="0C7412D9"/>
    <w:rsid w:val="0C905B62"/>
    <w:rsid w:val="0CCC561D"/>
    <w:rsid w:val="0CD44FE7"/>
    <w:rsid w:val="0CE02BCB"/>
    <w:rsid w:val="0D414932"/>
    <w:rsid w:val="0D8B5F9E"/>
    <w:rsid w:val="0DB759FC"/>
    <w:rsid w:val="0DBD1316"/>
    <w:rsid w:val="0E1F3EB9"/>
    <w:rsid w:val="0E891CDE"/>
    <w:rsid w:val="0E894C6A"/>
    <w:rsid w:val="0F250657"/>
    <w:rsid w:val="0FE216C6"/>
    <w:rsid w:val="1029705A"/>
    <w:rsid w:val="10A157BC"/>
    <w:rsid w:val="10D715D2"/>
    <w:rsid w:val="112343A2"/>
    <w:rsid w:val="113B3D20"/>
    <w:rsid w:val="115E4704"/>
    <w:rsid w:val="119E5E08"/>
    <w:rsid w:val="12362DDF"/>
    <w:rsid w:val="134255D7"/>
    <w:rsid w:val="13692E14"/>
    <w:rsid w:val="136C60D7"/>
    <w:rsid w:val="145076DA"/>
    <w:rsid w:val="149C34F4"/>
    <w:rsid w:val="14B70C0B"/>
    <w:rsid w:val="1500069C"/>
    <w:rsid w:val="15912658"/>
    <w:rsid w:val="160A7A1D"/>
    <w:rsid w:val="160B7CDB"/>
    <w:rsid w:val="16314BAD"/>
    <w:rsid w:val="17100B20"/>
    <w:rsid w:val="17594306"/>
    <w:rsid w:val="17D539F2"/>
    <w:rsid w:val="17DA3589"/>
    <w:rsid w:val="17DD7BFF"/>
    <w:rsid w:val="17DF02C7"/>
    <w:rsid w:val="17FA7AA4"/>
    <w:rsid w:val="183F33C7"/>
    <w:rsid w:val="18961368"/>
    <w:rsid w:val="18A90CBA"/>
    <w:rsid w:val="18E4741C"/>
    <w:rsid w:val="19097045"/>
    <w:rsid w:val="196A4431"/>
    <w:rsid w:val="1A104EBC"/>
    <w:rsid w:val="1ABA20D4"/>
    <w:rsid w:val="1AEE5086"/>
    <w:rsid w:val="1C2276D5"/>
    <w:rsid w:val="1D082A55"/>
    <w:rsid w:val="1D2F21AC"/>
    <w:rsid w:val="1D5D05DC"/>
    <w:rsid w:val="1DAB68D7"/>
    <w:rsid w:val="1DBB01B3"/>
    <w:rsid w:val="1DC7279C"/>
    <w:rsid w:val="1DEC3661"/>
    <w:rsid w:val="1E1F3B60"/>
    <w:rsid w:val="1E5803E7"/>
    <w:rsid w:val="1E901304"/>
    <w:rsid w:val="1F031D0C"/>
    <w:rsid w:val="1F0F644E"/>
    <w:rsid w:val="1F2E0BFF"/>
    <w:rsid w:val="1F833B5F"/>
    <w:rsid w:val="1F9D58D9"/>
    <w:rsid w:val="1FB37BD1"/>
    <w:rsid w:val="1FBF76D7"/>
    <w:rsid w:val="20460236"/>
    <w:rsid w:val="205D54C9"/>
    <w:rsid w:val="20F56E6A"/>
    <w:rsid w:val="210E5B18"/>
    <w:rsid w:val="212E078A"/>
    <w:rsid w:val="213E3A2F"/>
    <w:rsid w:val="22CD0ADC"/>
    <w:rsid w:val="22D465DC"/>
    <w:rsid w:val="23331D17"/>
    <w:rsid w:val="235B5479"/>
    <w:rsid w:val="23A34879"/>
    <w:rsid w:val="23BE1A45"/>
    <w:rsid w:val="244C69D6"/>
    <w:rsid w:val="24C25045"/>
    <w:rsid w:val="24CF2408"/>
    <w:rsid w:val="25313DAC"/>
    <w:rsid w:val="25670F4C"/>
    <w:rsid w:val="2578297E"/>
    <w:rsid w:val="2584425C"/>
    <w:rsid w:val="258D6E68"/>
    <w:rsid w:val="260770CA"/>
    <w:rsid w:val="264E6DB9"/>
    <w:rsid w:val="26A05072"/>
    <w:rsid w:val="26A22F8C"/>
    <w:rsid w:val="26E937DE"/>
    <w:rsid w:val="274B1A62"/>
    <w:rsid w:val="27567236"/>
    <w:rsid w:val="27637EB2"/>
    <w:rsid w:val="27E311ED"/>
    <w:rsid w:val="2872440F"/>
    <w:rsid w:val="28EE7628"/>
    <w:rsid w:val="29152BC1"/>
    <w:rsid w:val="294F2DD3"/>
    <w:rsid w:val="295E13D6"/>
    <w:rsid w:val="295F1BEE"/>
    <w:rsid w:val="29E8423F"/>
    <w:rsid w:val="29FE7C6D"/>
    <w:rsid w:val="2A7757C9"/>
    <w:rsid w:val="2A810C26"/>
    <w:rsid w:val="2AA915E9"/>
    <w:rsid w:val="2AB628FE"/>
    <w:rsid w:val="2AEB642C"/>
    <w:rsid w:val="2B370856"/>
    <w:rsid w:val="2BB311E2"/>
    <w:rsid w:val="2BF10955"/>
    <w:rsid w:val="2C3F32B8"/>
    <w:rsid w:val="2C7F01E4"/>
    <w:rsid w:val="2D101F87"/>
    <w:rsid w:val="2D6C5B94"/>
    <w:rsid w:val="2D933C05"/>
    <w:rsid w:val="2DB10DD3"/>
    <w:rsid w:val="2DEC6D70"/>
    <w:rsid w:val="2E312601"/>
    <w:rsid w:val="2E41641E"/>
    <w:rsid w:val="2E944985"/>
    <w:rsid w:val="2F6261C2"/>
    <w:rsid w:val="2FA63021"/>
    <w:rsid w:val="2FCB45CD"/>
    <w:rsid w:val="2FD26F55"/>
    <w:rsid w:val="30096558"/>
    <w:rsid w:val="305430C4"/>
    <w:rsid w:val="30564A47"/>
    <w:rsid w:val="30DE2DAE"/>
    <w:rsid w:val="31755D3D"/>
    <w:rsid w:val="31AD6526"/>
    <w:rsid w:val="323D10CB"/>
    <w:rsid w:val="32756EB2"/>
    <w:rsid w:val="328A0351"/>
    <w:rsid w:val="32947966"/>
    <w:rsid w:val="329D4C70"/>
    <w:rsid w:val="32CB6281"/>
    <w:rsid w:val="339248A7"/>
    <w:rsid w:val="33A00E70"/>
    <w:rsid w:val="347E184F"/>
    <w:rsid w:val="34874156"/>
    <w:rsid w:val="34DC45DC"/>
    <w:rsid w:val="34F111A0"/>
    <w:rsid w:val="35032B89"/>
    <w:rsid w:val="351E6AD6"/>
    <w:rsid w:val="35E068D3"/>
    <w:rsid w:val="36237A11"/>
    <w:rsid w:val="369E5F5A"/>
    <w:rsid w:val="36D57A86"/>
    <w:rsid w:val="36EC5253"/>
    <w:rsid w:val="379B30ED"/>
    <w:rsid w:val="37B50E0E"/>
    <w:rsid w:val="37E36BED"/>
    <w:rsid w:val="3806709E"/>
    <w:rsid w:val="38302D1E"/>
    <w:rsid w:val="38F94373"/>
    <w:rsid w:val="390636E6"/>
    <w:rsid w:val="39C96499"/>
    <w:rsid w:val="3A1D0739"/>
    <w:rsid w:val="3A5E7CCF"/>
    <w:rsid w:val="3A6E62DC"/>
    <w:rsid w:val="3AB17686"/>
    <w:rsid w:val="3AF93B99"/>
    <w:rsid w:val="3B082DE1"/>
    <w:rsid w:val="3B2B40CB"/>
    <w:rsid w:val="3B786F8B"/>
    <w:rsid w:val="3C100595"/>
    <w:rsid w:val="3CCF005B"/>
    <w:rsid w:val="3D461FBA"/>
    <w:rsid w:val="3D5B45EF"/>
    <w:rsid w:val="3D886522"/>
    <w:rsid w:val="3EC44618"/>
    <w:rsid w:val="3F0013D8"/>
    <w:rsid w:val="3F044229"/>
    <w:rsid w:val="3F2F2544"/>
    <w:rsid w:val="3F747742"/>
    <w:rsid w:val="3FB93C81"/>
    <w:rsid w:val="3FEA1C2A"/>
    <w:rsid w:val="3FF2370A"/>
    <w:rsid w:val="407A02DD"/>
    <w:rsid w:val="40C81736"/>
    <w:rsid w:val="40CD665F"/>
    <w:rsid w:val="41A84E5D"/>
    <w:rsid w:val="41CE0EB7"/>
    <w:rsid w:val="41D33B60"/>
    <w:rsid w:val="42B9360E"/>
    <w:rsid w:val="43083C17"/>
    <w:rsid w:val="434A467A"/>
    <w:rsid w:val="439D4A0F"/>
    <w:rsid w:val="43AA0EDA"/>
    <w:rsid w:val="43BC1982"/>
    <w:rsid w:val="44553D96"/>
    <w:rsid w:val="44D14A1F"/>
    <w:rsid w:val="44EF214B"/>
    <w:rsid w:val="4503099B"/>
    <w:rsid w:val="453D7EFA"/>
    <w:rsid w:val="45FD2E1E"/>
    <w:rsid w:val="46236E22"/>
    <w:rsid w:val="463D1554"/>
    <w:rsid w:val="46480423"/>
    <w:rsid w:val="46C44BD5"/>
    <w:rsid w:val="46FD0ED7"/>
    <w:rsid w:val="473A1C92"/>
    <w:rsid w:val="47592E4A"/>
    <w:rsid w:val="47D44A52"/>
    <w:rsid w:val="48B457DA"/>
    <w:rsid w:val="48D77DA0"/>
    <w:rsid w:val="49055724"/>
    <w:rsid w:val="49061DFF"/>
    <w:rsid w:val="495F2766"/>
    <w:rsid w:val="49A15B9F"/>
    <w:rsid w:val="49D40A5E"/>
    <w:rsid w:val="49E352A4"/>
    <w:rsid w:val="4A625DAC"/>
    <w:rsid w:val="4B8949EE"/>
    <w:rsid w:val="4BA044F9"/>
    <w:rsid w:val="4BB73BE9"/>
    <w:rsid w:val="4BEB2031"/>
    <w:rsid w:val="4C2C5768"/>
    <w:rsid w:val="4C8D7FB6"/>
    <w:rsid w:val="4CFB75B5"/>
    <w:rsid w:val="4D7D047C"/>
    <w:rsid w:val="4DA67EC1"/>
    <w:rsid w:val="4DC537EF"/>
    <w:rsid w:val="4DF47F35"/>
    <w:rsid w:val="4E5E70BD"/>
    <w:rsid w:val="4E5F0909"/>
    <w:rsid w:val="4E6200BB"/>
    <w:rsid w:val="4EC14021"/>
    <w:rsid w:val="4F542C5F"/>
    <w:rsid w:val="4F7855EA"/>
    <w:rsid w:val="4F940716"/>
    <w:rsid w:val="4FAF7130"/>
    <w:rsid w:val="501A2D91"/>
    <w:rsid w:val="50203001"/>
    <w:rsid w:val="50613214"/>
    <w:rsid w:val="515B1A65"/>
    <w:rsid w:val="520004CA"/>
    <w:rsid w:val="521E5740"/>
    <w:rsid w:val="522358DC"/>
    <w:rsid w:val="53345062"/>
    <w:rsid w:val="533D162C"/>
    <w:rsid w:val="53E549BF"/>
    <w:rsid w:val="5422279F"/>
    <w:rsid w:val="54C32B11"/>
    <w:rsid w:val="54DC56F8"/>
    <w:rsid w:val="553C5B31"/>
    <w:rsid w:val="557117DE"/>
    <w:rsid w:val="557900DE"/>
    <w:rsid w:val="56367C5B"/>
    <w:rsid w:val="564F4CD9"/>
    <w:rsid w:val="56677807"/>
    <w:rsid w:val="56820D5B"/>
    <w:rsid w:val="57096D7C"/>
    <w:rsid w:val="57634CB3"/>
    <w:rsid w:val="579B0911"/>
    <w:rsid w:val="58241EE9"/>
    <w:rsid w:val="58726012"/>
    <w:rsid w:val="58D06D06"/>
    <w:rsid w:val="58EF37E0"/>
    <w:rsid w:val="58FE0B8D"/>
    <w:rsid w:val="594C6D7C"/>
    <w:rsid w:val="59D5260B"/>
    <w:rsid w:val="59F510C8"/>
    <w:rsid w:val="5A190D99"/>
    <w:rsid w:val="5A465B9D"/>
    <w:rsid w:val="5A533C21"/>
    <w:rsid w:val="5A631C3C"/>
    <w:rsid w:val="5AA56ACB"/>
    <w:rsid w:val="5AF71073"/>
    <w:rsid w:val="5B6270CB"/>
    <w:rsid w:val="5B812149"/>
    <w:rsid w:val="5BB24FC7"/>
    <w:rsid w:val="5BE77BBC"/>
    <w:rsid w:val="5C714F18"/>
    <w:rsid w:val="5C9744CD"/>
    <w:rsid w:val="5D1E4A62"/>
    <w:rsid w:val="5D5A5542"/>
    <w:rsid w:val="5D87033A"/>
    <w:rsid w:val="5D940B49"/>
    <w:rsid w:val="5DBD75BE"/>
    <w:rsid w:val="5DDB3A67"/>
    <w:rsid w:val="5E007081"/>
    <w:rsid w:val="5E2979F3"/>
    <w:rsid w:val="5E646A2E"/>
    <w:rsid w:val="5EA92355"/>
    <w:rsid w:val="5F2E04F4"/>
    <w:rsid w:val="5F5A7169"/>
    <w:rsid w:val="5F600FC9"/>
    <w:rsid w:val="5F831A87"/>
    <w:rsid w:val="5FA558FD"/>
    <w:rsid w:val="5FC52CF8"/>
    <w:rsid w:val="5FC5301A"/>
    <w:rsid w:val="608457E2"/>
    <w:rsid w:val="60E14966"/>
    <w:rsid w:val="616D757D"/>
    <w:rsid w:val="617C259E"/>
    <w:rsid w:val="62342CE6"/>
    <w:rsid w:val="6244605C"/>
    <w:rsid w:val="62525166"/>
    <w:rsid w:val="632B72A3"/>
    <w:rsid w:val="63310F09"/>
    <w:rsid w:val="63505113"/>
    <w:rsid w:val="63B84F56"/>
    <w:rsid w:val="63ED139D"/>
    <w:rsid w:val="64557A48"/>
    <w:rsid w:val="645E38EF"/>
    <w:rsid w:val="646326B7"/>
    <w:rsid w:val="64665F9D"/>
    <w:rsid w:val="64862E7E"/>
    <w:rsid w:val="64AD50A5"/>
    <w:rsid w:val="64E75AC3"/>
    <w:rsid w:val="64FC239B"/>
    <w:rsid w:val="65277842"/>
    <w:rsid w:val="6548459E"/>
    <w:rsid w:val="65571836"/>
    <w:rsid w:val="655A00C2"/>
    <w:rsid w:val="65D14EBC"/>
    <w:rsid w:val="65E54EB0"/>
    <w:rsid w:val="65FD3712"/>
    <w:rsid w:val="663E10C6"/>
    <w:rsid w:val="66580C17"/>
    <w:rsid w:val="666552E6"/>
    <w:rsid w:val="668B7395"/>
    <w:rsid w:val="66D122B6"/>
    <w:rsid w:val="66E77CD5"/>
    <w:rsid w:val="67B945ED"/>
    <w:rsid w:val="67CD5453"/>
    <w:rsid w:val="67DB2C51"/>
    <w:rsid w:val="68562B5B"/>
    <w:rsid w:val="686B311E"/>
    <w:rsid w:val="68AB6164"/>
    <w:rsid w:val="68F71C1C"/>
    <w:rsid w:val="69547E9C"/>
    <w:rsid w:val="6A843C76"/>
    <w:rsid w:val="6AAA1AFA"/>
    <w:rsid w:val="6AE84B3E"/>
    <w:rsid w:val="6B2F5A5F"/>
    <w:rsid w:val="6B3F724F"/>
    <w:rsid w:val="6B533C17"/>
    <w:rsid w:val="6B8307E0"/>
    <w:rsid w:val="6B860FE6"/>
    <w:rsid w:val="6C686F88"/>
    <w:rsid w:val="6C7745F7"/>
    <w:rsid w:val="6D1C0E5C"/>
    <w:rsid w:val="6E5E463A"/>
    <w:rsid w:val="6EBD7FFE"/>
    <w:rsid w:val="6EC13E25"/>
    <w:rsid w:val="6EF262AC"/>
    <w:rsid w:val="6F3A1809"/>
    <w:rsid w:val="6FD45398"/>
    <w:rsid w:val="70E1634E"/>
    <w:rsid w:val="71285AAC"/>
    <w:rsid w:val="71594D33"/>
    <w:rsid w:val="715C2F1C"/>
    <w:rsid w:val="71C31377"/>
    <w:rsid w:val="71E74047"/>
    <w:rsid w:val="71F42B7C"/>
    <w:rsid w:val="7205398F"/>
    <w:rsid w:val="7238655B"/>
    <w:rsid w:val="735008A6"/>
    <w:rsid w:val="735D2DA4"/>
    <w:rsid w:val="736C43E3"/>
    <w:rsid w:val="73BC5AD9"/>
    <w:rsid w:val="73D85E91"/>
    <w:rsid w:val="742F0E63"/>
    <w:rsid w:val="7453751A"/>
    <w:rsid w:val="746453A7"/>
    <w:rsid w:val="74E20649"/>
    <w:rsid w:val="76013066"/>
    <w:rsid w:val="76013836"/>
    <w:rsid w:val="76490038"/>
    <w:rsid w:val="764D1C01"/>
    <w:rsid w:val="76B850E0"/>
    <w:rsid w:val="77400CB2"/>
    <w:rsid w:val="77401EC1"/>
    <w:rsid w:val="77A40E96"/>
    <w:rsid w:val="785F380B"/>
    <w:rsid w:val="78865DD8"/>
    <w:rsid w:val="78CA23D8"/>
    <w:rsid w:val="793B59A2"/>
    <w:rsid w:val="793E01E7"/>
    <w:rsid w:val="794C72DA"/>
    <w:rsid w:val="79771CC2"/>
    <w:rsid w:val="79A347F2"/>
    <w:rsid w:val="7A0C4A94"/>
    <w:rsid w:val="7B2D37A3"/>
    <w:rsid w:val="7B5D7ABB"/>
    <w:rsid w:val="7B99300E"/>
    <w:rsid w:val="7B99444A"/>
    <w:rsid w:val="7BCF57C7"/>
    <w:rsid w:val="7BE401C5"/>
    <w:rsid w:val="7C0259FE"/>
    <w:rsid w:val="7C375547"/>
    <w:rsid w:val="7DB1356C"/>
    <w:rsid w:val="7DB473AA"/>
    <w:rsid w:val="7E267899"/>
    <w:rsid w:val="7E611BB9"/>
    <w:rsid w:val="7F190573"/>
    <w:rsid w:val="7F1D4873"/>
    <w:rsid w:val="7F3842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5">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6">
    <w:name w:val="heading 2"/>
    <w:basedOn w:val="1"/>
    <w:next w:val="7"/>
    <w:link w:val="55"/>
    <w:qFormat/>
    <w:uiPriority w:val="0"/>
    <w:pPr>
      <w:spacing w:before="100" w:beforeAutospacing="1" w:after="100" w:afterAutospacing="1"/>
      <w:outlineLvl w:val="1"/>
    </w:pPr>
    <w:rPr>
      <w:rFonts w:ascii="宋体" w:hAnsi="宋体"/>
      <w:b/>
      <w:bCs/>
      <w:kern w:val="0"/>
      <w:sz w:val="36"/>
      <w:szCs w:val="36"/>
    </w:rPr>
  </w:style>
  <w:style w:type="paragraph" w:styleId="7">
    <w:name w:val="heading 3"/>
    <w:basedOn w:val="6"/>
    <w:next w:val="1"/>
    <w:qFormat/>
    <w:uiPriority w:val="0"/>
    <w:pPr>
      <w:keepNext/>
      <w:keepLines/>
      <w:spacing w:before="260" w:after="260" w:line="415" w:lineRule="auto"/>
      <w:outlineLvl w:val="2"/>
    </w:pPr>
    <w:rPr>
      <w:sz w:val="32"/>
      <w:szCs w:val="32"/>
    </w:rPr>
  </w:style>
  <w:style w:type="paragraph" w:styleId="8">
    <w:name w:val="heading 4"/>
    <w:basedOn w:val="1"/>
    <w:next w:val="1"/>
    <w:link w:val="190"/>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9">
    <w:name w:val="heading 5"/>
    <w:basedOn w:val="1"/>
    <w:next w:val="1"/>
    <w:qFormat/>
    <w:uiPriority w:val="0"/>
    <w:pPr>
      <w:keepNext/>
      <w:keepLines/>
      <w:spacing w:before="120" w:after="120"/>
      <w:outlineLvl w:val="4"/>
    </w:pPr>
    <w:rPr>
      <w:rFonts w:eastAsia="黑体"/>
      <w:bCs/>
      <w:sz w:val="28"/>
      <w:szCs w:val="28"/>
    </w:rPr>
  </w:style>
  <w:style w:type="paragraph" w:styleId="10">
    <w:name w:val="heading 6"/>
    <w:basedOn w:val="1"/>
    <w:next w:val="1"/>
    <w:qFormat/>
    <w:uiPriority w:val="0"/>
    <w:pPr>
      <w:keepNext/>
      <w:keepLines/>
      <w:tabs>
        <w:tab w:val="left" w:pos="1440"/>
      </w:tabs>
      <w:spacing w:before="120" w:after="120"/>
      <w:ind w:hanging="1151" w:hangingChars="480"/>
      <w:outlineLvl w:val="5"/>
    </w:pPr>
    <w:rPr>
      <w:rFonts w:ascii="Arial" w:hAnsi="Arial" w:eastAsia="黑体"/>
      <w:bCs/>
    </w:rPr>
  </w:style>
  <w:style w:type="character" w:default="1" w:styleId="44">
    <w:name w:val="Default Paragraph Font"/>
    <w:semiHidden/>
    <w:unhideWhenUsed/>
    <w:qFormat/>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ind w:firstLine="420"/>
      <w:textAlignment w:val="baseline"/>
    </w:pPr>
    <w:rPr>
      <w:rFonts w:ascii="宋体"/>
      <w:sz w:val="34"/>
    </w:rPr>
  </w:style>
  <w:style w:type="paragraph" w:styleId="3">
    <w:name w:val="Body Text"/>
    <w:basedOn w:val="1"/>
    <w:next w:val="4"/>
    <w:link w:val="188"/>
    <w:semiHidden/>
    <w:unhideWhenUsed/>
    <w:qFormat/>
    <w:uiPriority w:val="99"/>
    <w:pPr>
      <w:spacing w:after="120"/>
    </w:pPr>
  </w:style>
  <w:style w:type="paragraph" w:customStyle="1" w:styleId="4">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11">
    <w:name w:val="index 8"/>
    <w:basedOn w:val="1"/>
    <w:next w:val="1"/>
    <w:qFormat/>
    <w:uiPriority w:val="0"/>
    <w:pPr>
      <w:ind w:left="1680" w:hanging="210"/>
    </w:pPr>
    <w:rPr>
      <w:rFonts w:ascii="Calibri" w:hAnsi="Calibri"/>
      <w:sz w:val="20"/>
      <w:szCs w:val="20"/>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index 5"/>
    <w:basedOn w:val="1"/>
    <w:next w:val="1"/>
    <w:qFormat/>
    <w:uiPriority w:val="0"/>
    <w:pPr>
      <w:ind w:left="1050" w:hanging="210"/>
    </w:pPr>
    <w:rPr>
      <w:rFonts w:ascii="Calibri" w:hAnsi="Calibri"/>
      <w:sz w:val="20"/>
      <w:szCs w:val="20"/>
    </w:rPr>
  </w:style>
  <w:style w:type="paragraph" w:styleId="14">
    <w:name w:val="Document Map"/>
    <w:basedOn w:val="1"/>
    <w:link w:val="175"/>
    <w:semiHidden/>
    <w:qFormat/>
    <w:uiPriority w:val="0"/>
    <w:pPr>
      <w:shd w:val="clear" w:color="auto" w:fill="000080"/>
    </w:pPr>
    <w:rPr>
      <w:rFonts w:asciiTheme="minorHAnsi" w:hAnsiTheme="minorHAnsi" w:eastAsiaTheme="minorEastAsia" w:cstheme="minorBidi"/>
    </w:rPr>
  </w:style>
  <w:style w:type="paragraph" w:styleId="15">
    <w:name w:val="annotation text"/>
    <w:basedOn w:val="1"/>
    <w:link w:val="172"/>
    <w:semiHidden/>
    <w:qFormat/>
    <w:uiPriority w:val="0"/>
    <w:rPr>
      <w:rFonts w:asciiTheme="minorHAnsi" w:hAnsiTheme="minorHAnsi" w:eastAsiaTheme="minorEastAsia" w:cstheme="minorBidi"/>
    </w:rPr>
  </w:style>
  <w:style w:type="paragraph" w:styleId="16">
    <w:name w:val="index 6"/>
    <w:basedOn w:val="1"/>
    <w:next w:val="1"/>
    <w:qFormat/>
    <w:uiPriority w:val="0"/>
    <w:pPr>
      <w:ind w:left="1260" w:hanging="210"/>
    </w:pPr>
    <w:rPr>
      <w:rFonts w:ascii="Calibri" w:hAnsi="Calibri"/>
      <w:sz w:val="20"/>
      <w:szCs w:val="20"/>
    </w:rPr>
  </w:style>
  <w:style w:type="paragraph" w:styleId="17">
    <w:name w:val="Body Text 3"/>
    <w:basedOn w:val="1"/>
    <w:link w:val="183"/>
    <w:semiHidden/>
    <w:unhideWhenUsed/>
    <w:qFormat/>
    <w:uiPriority w:val="99"/>
    <w:pPr>
      <w:spacing w:after="120"/>
    </w:pPr>
    <w:rPr>
      <w:sz w:val="16"/>
      <w:szCs w:val="16"/>
    </w:rPr>
  </w:style>
  <w:style w:type="paragraph" w:styleId="18">
    <w:name w:val="Body Text Indent"/>
    <w:basedOn w:val="1"/>
    <w:unhideWhenUsed/>
    <w:qFormat/>
    <w:uiPriority w:val="99"/>
    <w:pPr>
      <w:spacing w:after="120"/>
      <w:ind w:left="420" w:leftChars="200"/>
    </w:pPr>
  </w:style>
  <w:style w:type="paragraph" w:styleId="19">
    <w:name w:val="index 4"/>
    <w:basedOn w:val="1"/>
    <w:next w:val="1"/>
    <w:qFormat/>
    <w:uiPriority w:val="0"/>
    <w:pPr>
      <w:ind w:left="840" w:hanging="210"/>
    </w:pPr>
    <w:rPr>
      <w:rFonts w:ascii="Calibri" w:hAnsi="Calibri"/>
      <w:sz w:val="20"/>
      <w:szCs w:val="20"/>
    </w:rPr>
  </w:style>
  <w:style w:type="paragraph" w:styleId="20">
    <w:name w:val="toc 3"/>
    <w:basedOn w:val="1"/>
    <w:next w:val="1"/>
    <w:unhideWhenUsed/>
    <w:qFormat/>
    <w:uiPriority w:val="39"/>
    <w:pPr>
      <w:ind w:left="840" w:leftChars="400"/>
    </w:pPr>
  </w:style>
  <w:style w:type="paragraph" w:styleId="21">
    <w:name w:val="Plain Text"/>
    <w:basedOn w:val="1"/>
    <w:link w:val="186"/>
    <w:unhideWhenUsed/>
    <w:qFormat/>
    <w:uiPriority w:val="99"/>
    <w:pPr>
      <w:widowControl w:val="0"/>
      <w:spacing w:line="240" w:lineRule="auto"/>
      <w:jc w:val="both"/>
    </w:pPr>
    <w:rPr>
      <w:rFonts w:ascii="宋体" w:hAnsi="Courier New" w:cs="Courier New"/>
      <w:szCs w:val="21"/>
    </w:rPr>
  </w:style>
  <w:style w:type="paragraph" w:styleId="22">
    <w:name w:val="index 3"/>
    <w:basedOn w:val="1"/>
    <w:next w:val="1"/>
    <w:qFormat/>
    <w:uiPriority w:val="0"/>
    <w:pPr>
      <w:ind w:left="630" w:hanging="210"/>
    </w:pPr>
    <w:rPr>
      <w:rFonts w:ascii="Calibri" w:hAnsi="Calibri"/>
      <w:sz w:val="20"/>
      <w:szCs w:val="20"/>
    </w:rPr>
  </w:style>
  <w:style w:type="paragraph" w:styleId="23">
    <w:name w:val="Date"/>
    <w:basedOn w:val="1"/>
    <w:next w:val="1"/>
    <w:link w:val="174"/>
    <w:qFormat/>
    <w:uiPriority w:val="99"/>
    <w:pPr>
      <w:ind w:left="100" w:leftChars="2500"/>
    </w:pPr>
    <w:rPr>
      <w:rFonts w:asciiTheme="minorHAnsi" w:hAnsiTheme="minorHAnsi" w:eastAsiaTheme="minorEastAsia" w:cstheme="minorBidi"/>
    </w:rPr>
  </w:style>
  <w:style w:type="paragraph" w:styleId="24">
    <w:name w:val="Body Text Indent 2"/>
    <w:basedOn w:val="1"/>
    <w:link w:val="164"/>
    <w:qFormat/>
    <w:uiPriority w:val="99"/>
    <w:pPr>
      <w:spacing w:after="120" w:line="480" w:lineRule="auto"/>
      <w:ind w:left="420" w:leftChars="200"/>
    </w:pPr>
    <w:rPr>
      <w:rFonts w:asciiTheme="minorHAnsi" w:hAnsiTheme="minorHAnsi" w:eastAsiaTheme="minorEastAsia" w:cstheme="minorBidi"/>
    </w:rPr>
  </w:style>
  <w:style w:type="paragraph" w:styleId="25">
    <w:name w:val="endnote text"/>
    <w:basedOn w:val="1"/>
    <w:link w:val="181"/>
    <w:semiHidden/>
    <w:qFormat/>
    <w:uiPriority w:val="0"/>
    <w:pPr>
      <w:snapToGrid w:val="0"/>
    </w:pPr>
    <w:rPr>
      <w:rFonts w:asciiTheme="minorHAnsi" w:hAnsiTheme="minorHAnsi" w:eastAsiaTheme="minorEastAsia" w:cstheme="minorBidi"/>
    </w:rPr>
  </w:style>
  <w:style w:type="paragraph" w:styleId="26">
    <w:name w:val="Balloon Text"/>
    <w:basedOn w:val="1"/>
    <w:link w:val="150"/>
    <w:qFormat/>
    <w:uiPriority w:val="99"/>
    <w:rPr>
      <w:rFonts w:asciiTheme="minorHAnsi" w:hAnsiTheme="minorHAnsi" w:eastAsiaTheme="minorEastAsia" w:cstheme="minorBidi"/>
      <w:sz w:val="18"/>
      <w:szCs w:val="18"/>
    </w:rPr>
  </w:style>
  <w:style w:type="paragraph" w:styleId="27">
    <w:name w:val="footer"/>
    <w:basedOn w:val="1"/>
    <w:link w:val="171"/>
    <w:qFormat/>
    <w:uiPriority w:val="99"/>
    <w:pPr>
      <w:snapToGrid w:val="0"/>
      <w:ind w:right="210" w:rightChars="100"/>
      <w:jc w:val="right"/>
    </w:pPr>
    <w:rPr>
      <w:rFonts w:asciiTheme="minorHAnsi" w:hAnsiTheme="minorHAnsi" w:eastAsiaTheme="minorEastAsia" w:cstheme="minorBidi"/>
      <w:sz w:val="18"/>
      <w:szCs w:val="18"/>
    </w:rPr>
  </w:style>
  <w:style w:type="paragraph" w:styleId="28">
    <w:name w:val="header"/>
    <w:basedOn w:val="1"/>
    <w:link w:val="153"/>
    <w:qFormat/>
    <w:uiPriority w:val="99"/>
    <w:pPr>
      <w:snapToGrid w:val="0"/>
    </w:pPr>
    <w:rPr>
      <w:rFonts w:asciiTheme="minorHAnsi" w:hAnsiTheme="minorHAnsi" w:eastAsiaTheme="minorEastAsia" w:cstheme="minorBidi"/>
      <w:sz w:val="18"/>
      <w:szCs w:val="18"/>
    </w:rPr>
  </w:style>
  <w:style w:type="paragraph" w:styleId="29">
    <w:name w:val="toc 1"/>
    <w:basedOn w:val="1"/>
    <w:next w:val="1"/>
    <w:qFormat/>
    <w:uiPriority w:val="39"/>
    <w:pPr>
      <w:tabs>
        <w:tab w:val="right" w:leader="dot" w:pos="9242"/>
      </w:tabs>
      <w:spacing w:beforeLines="25" w:afterLines="25"/>
    </w:pPr>
    <w:rPr>
      <w:rFonts w:ascii="宋体"/>
      <w:szCs w:val="21"/>
    </w:rPr>
  </w:style>
  <w:style w:type="paragraph" w:styleId="30">
    <w:name w:val="index heading"/>
    <w:basedOn w:val="1"/>
    <w:next w:val="31"/>
    <w:qFormat/>
    <w:uiPriority w:val="0"/>
    <w:pPr>
      <w:spacing w:before="120" w:after="120"/>
      <w:jc w:val="center"/>
    </w:pPr>
    <w:rPr>
      <w:rFonts w:ascii="Calibri" w:hAnsi="Calibri"/>
      <w:b/>
      <w:bCs/>
      <w:iCs/>
      <w:szCs w:val="20"/>
    </w:rPr>
  </w:style>
  <w:style w:type="paragraph" w:styleId="31">
    <w:name w:val="index 1"/>
    <w:basedOn w:val="1"/>
    <w:next w:val="1"/>
    <w:unhideWhenUsed/>
    <w:qFormat/>
    <w:uiPriority w:val="0"/>
  </w:style>
  <w:style w:type="paragraph" w:styleId="32">
    <w:name w:val="footnote text"/>
    <w:basedOn w:val="1"/>
    <w:link w:val="160"/>
    <w:qFormat/>
    <w:uiPriority w:val="0"/>
    <w:pPr>
      <w:tabs>
        <w:tab w:val="left" w:pos="0"/>
      </w:tabs>
      <w:snapToGrid w:val="0"/>
      <w:ind w:left="720" w:hanging="357"/>
    </w:pPr>
    <w:rPr>
      <w:rFonts w:ascii="宋体" w:hAnsiTheme="minorHAnsi" w:eastAsiaTheme="minorEastAsia" w:cstheme="minorBidi"/>
      <w:sz w:val="18"/>
      <w:szCs w:val="18"/>
    </w:rPr>
  </w:style>
  <w:style w:type="paragraph" w:styleId="33">
    <w:name w:val="index 7"/>
    <w:basedOn w:val="1"/>
    <w:next w:val="1"/>
    <w:qFormat/>
    <w:uiPriority w:val="0"/>
    <w:pPr>
      <w:ind w:left="1470" w:hanging="210"/>
    </w:pPr>
    <w:rPr>
      <w:rFonts w:ascii="Calibri" w:hAnsi="Calibri"/>
      <w:sz w:val="20"/>
      <w:szCs w:val="20"/>
    </w:rPr>
  </w:style>
  <w:style w:type="paragraph" w:styleId="34">
    <w:name w:val="index 9"/>
    <w:basedOn w:val="1"/>
    <w:next w:val="1"/>
    <w:qFormat/>
    <w:uiPriority w:val="0"/>
    <w:pPr>
      <w:ind w:left="1890" w:hanging="210"/>
    </w:pPr>
    <w:rPr>
      <w:rFonts w:ascii="Calibri" w:hAnsi="Calibri"/>
      <w:sz w:val="20"/>
      <w:szCs w:val="20"/>
    </w:rPr>
  </w:style>
  <w:style w:type="paragraph" w:styleId="35">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6">
    <w:name w:val="Body Text 2"/>
    <w:basedOn w:val="1"/>
    <w:qFormat/>
    <w:uiPriority w:val="0"/>
    <w:rPr>
      <w:bCs/>
      <w:kern w:val="0"/>
      <w:sz w:val="28"/>
      <w:szCs w:val="20"/>
    </w:rPr>
  </w:style>
  <w:style w:type="paragraph" w:styleId="37">
    <w:name w:val="HTML Preformatted"/>
    <w:basedOn w:val="1"/>
    <w:link w:val="158"/>
    <w:qFormat/>
    <w:uiPriority w:val="0"/>
    <w:rPr>
      <w:rFonts w:ascii="Courier New" w:hAnsi="Courier New" w:cs="Courier New" w:eastAsiaTheme="minorEastAsia"/>
      <w:szCs w:val="22"/>
    </w:rPr>
  </w:style>
  <w:style w:type="paragraph" w:styleId="38">
    <w:name w:val="Normal (Web)"/>
    <w:basedOn w:val="1"/>
    <w:unhideWhenUsed/>
    <w:qFormat/>
    <w:uiPriority w:val="99"/>
    <w:pPr>
      <w:spacing w:before="100" w:beforeAutospacing="1" w:after="100" w:afterAutospacing="1"/>
    </w:pPr>
    <w:rPr>
      <w:rFonts w:ascii="宋体" w:hAnsi="宋体" w:cs="宋体"/>
      <w:kern w:val="0"/>
      <w:sz w:val="24"/>
    </w:rPr>
  </w:style>
  <w:style w:type="paragraph" w:styleId="39">
    <w:name w:val="index 2"/>
    <w:basedOn w:val="1"/>
    <w:next w:val="1"/>
    <w:qFormat/>
    <w:uiPriority w:val="0"/>
    <w:pPr>
      <w:ind w:left="420" w:hanging="210"/>
    </w:pPr>
    <w:rPr>
      <w:rFonts w:ascii="Calibri" w:hAnsi="Calibri"/>
      <w:sz w:val="20"/>
      <w:szCs w:val="20"/>
    </w:rPr>
  </w:style>
  <w:style w:type="paragraph" w:styleId="40">
    <w:name w:val="Title"/>
    <w:basedOn w:val="1"/>
    <w:link w:val="184"/>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5"/>
    <w:next w:val="15"/>
    <w:link w:val="180"/>
    <w:semiHidden/>
    <w:qFormat/>
    <w:uiPriority w:val="0"/>
    <w:rPr>
      <w:b/>
      <w:bCs/>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qFormat/>
    <w:uiPriority w:val="99"/>
    <w:rPr>
      <w:rFonts w:ascii="Times New Roman" w:hAnsi="Times New Roman" w:eastAsia="宋体"/>
      <w:sz w:val="18"/>
    </w:rPr>
  </w:style>
  <w:style w:type="character" w:styleId="47">
    <w:name w:val="FollowedHyperlink"/>
    <w:qFormat/>
    <w:uiPriority w:val="0"/>
    <w:rPr>
      <w:color w:val="800080"/>
      <w:u w:val="single"/>
    </w:rPr>
  </w:style>
  <w:style w:type="character" w:styleId="48">
    <w:name w:val="Emphasis"/>
    <w:qFormat/>
    <w:uiPriority w:val="20"/>
    <w:rPr>
      <w:color w:val="CC0000"/>
    </w:rPr>
  </w:style>
  <w:style w:type="character" w:styleId="49">
    <w:name w:val="Hyperlink"/>
    <w:qFormat/>
    <w:uiPriority w:val="99"/>
    <w:rPr>
      <w:color w:val="0000FF"/>
      <w:spacing w:val="0"/>
      <w:w w:val="100"/>
      <w:szCs w:val="21"/>
      <w:u w:val="single"/>
      <w:lang w:val="en-US" w:eastAsia="zh-CN"/>
    </w:rPr>
  </w:style>
  <w:style w:type="character" w:styleId="50">
    <w:name w:val="annotation reference"/>
    <w:basedOn w:val="44"/>
    <w:semiHidden/>
    <w:unhideWhenUsed/>
    <w:qFormat/>
    <w:uiPriority w:val="0"/>
    <w:rPr>
      <w:sz w:val="21"/>
      <w:szCs w:val="21"/>
    </w:rPr>
  </w:style>
  <w:style w:type="character" w:styleId="51">
    <w:name w:val="footnote reference"/>
    <w:qFormat/>
    <w:uiPriority w:val="0"/>
    <w:rPr>
      <w:vertAlign w:val="superscript"/>
    </w:rPr>
  </w:style>
  <w:style w:type="paragraph" w:customStyle="1" w:styleId="52">
    <w:name w:val="表格文字"/>
    <w:basedOn w:val="1"/>
    <w:qFormat/>
    <w:uiPriority w:val="0"/>
    <w:pPr>
      <w:spacing w:before="25" w:after="25"/>
    </w:pPr>
    <w:rPr>
      <w:rFonts w:ascii="Times" w:hAnsi="Times"/>
      <w:bCs/>
      <w:spacing w:val="10"/>
      <w:sz w:val="24"/>
    </w:rPr>
  </w:style>
  <w:style w:type="paragraph" w:customStyle="1" w:styleId="53">
    <w:name w:val="Body Text Indent 21"/>
    <w:basedOn w:val="1"/>
    <w:next w:val="28"/>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54">
    <w:name w:val="标题 1 字符"/>
    <w:basedOn w:val="44"/>
    <w:link w:val="5"/>
    <w:qFormat/>
    <w:uiPriority w:val="0"/>
    <w:rPr>
      <w:rFonts w:ascii="Times New Roman" w:hAnsi="Times New Roman" w:eastAsia="宋体" w:cs="Times New Roman"/>
      <w:b/>
      <w:bCs/>
      <w:kern w:val="44"/>
      <w:sz w:val="44"/>
      <w:szCs w:val="44"/>
    </w:rPr>
  </w:style>
  <w:style w:type="character" w:customStyle="1" w:styleId="55">
    <w:name w:val="标题 2 字符"/>
    <w:basedOn w:val="44"/>
    <w:link w:val="6"/>
    <w:qFormat/>
    <w:uiPriority w:val="0"/>
    <w:rPr>
      <w:rFonts w:ascii="宋体" w:hAnsi="宋体" w:eastAsia="宋体" w:cs="Times New Roman"/>
      <w:b/>
      <w:bCs/>
      <w:kern w:val="0"/>
      <w:sz w:val="36"/>
      <w:szCs w:val="36"/>
    </w:rPr>
  </w:style>
  <w:style w:type="character" w:customStyle="1" w:styleId="56">
    <w:name w:val="批注文字 Char"/>
    <w:semiHidden/>
    <w:qFormat/>
    <w:uiPriority w:val="0"/>
    <w:rPr>
      <w:szCs w:val="24"/>
    </w:rPr>
  </w:style>
  <w:style w:type="character" w:customStyle="1" w:styleId="57">
    <w:name w:val="批注主题 Char"/>
    <w:semiHidden/>
    <w:qFormat/>
    <w:uiPriority w:val="0"/>
    <w:rPr>
      <w:b/>
      <w:bCs/>
      <w:szCs w:val="24"/>
    </w:rPr>
  </w:style>
  <w:style w:type="character" w:customStyle="1" w:styleId="58">
    <w:name w:val="文档结构图 Char"/>
    <w:semiHidden/>
    <w:qFormat/>
    <w:uiPriority w:val="0"/>
    <w:rPr>
      <w:szCs w:val="24"/>
      <w:shd w:val="clear" w:color="auto" w:fill="000080"/>
    </w:rPr>
  </w:style>
  <w:style w:type="character" w:customStyle="1" w:styleId="59">
    <w:name w:val="脚注文本 Char"/>
    <w:qFormat/>
    <w:uiPriority w:val="0"/>
    <w:rPr>
      <w:rFonts w:ascii="宋体"/>
      <w:sz w:val="18"/>
      <w:szCs w:val="18"/>
    </w:rPr>
  </w:style>
  <w:style w:type="character" w:customStyle="1" w:styleId="60">
    <w:name w:val="con"/>
    <w:qFormat/>
    <w:uiPriority w:val="0"/>
  </w:style>
  <w:style w:type="character" w:customStyle="1" w:styleId="61">
    <w:name w:val="bar-label2"/>
    <w:qFormat/>
    <w:uiPriority w:val="99"/>
  </w:style>
  <w:style w:type="character" w:customStyle="1" w:styleId="62">
    <w:name w:val="正文文本缩进 2 Char"/>
    <w:qFormat/>
    <w:uiPriority w:val="99"/>
    <w:rPr>
      <w:szCs w:val="24"/>
    </w:rPr>
  </w:style>
  <w:style w:type="character" w:customStyle="1" w:styleId="63">
    <w:name w:val="日期 Char"/>
    <w:qFormat/>
    <w:uiPriority w:val="99"/>
    <w:rPr>
      <w:szCs w:val="24"/>
    </w:rPr>
  </w:style>
  <w:style w:type="character" w:customStyle="1" w:styleId="64">
    <w:name w:val="页脚 Char"/>
    <w:qFormat/>
    <w:locked/>
    <w:uiPriority w:val="99"/>
    <w:rPr>
      <w:sz w:val="18"/>
      <w:szCs w:val="18"/>
    </w:rPr>
  </w:style>
  <w:style w:type="character" w:customStyle="1" w:styleId="65">
    <w:name w:val="apple-converted-space"/>
    <w:basedOn w:val="44"/>
    <w:qFormat/>
    <w:uiPriority w:val="0"/>
  </w:style>
  <w:style w:type="character" w:customStyle="1" w:styleId="66">
    <w:name w:val="批注框文本 Char"/>
    <w:qFormat/>
    <w:uiPriority w:val="99"/>
    <w:rPr>
      <w:sz w:val="18"/>
      <w:szCs w:val="18"/>
    </w:rPr>
  </w:style>
  <w:style w:type="character" w:customStyle="1" w:styleId="67">
    <w:name w:val="页眉 Char"/>
    <w:qFormat/>
    <w:locked/>
    <w:uiPriority w:val="99"/>
    <w:rPr>
      <w:sz w:val="18"/>
      <w:szCs w:val="18"/>
    </w:rPr>
  </w:style>
  <w:style w:type="character" w:customStyle="1" w:styleId="68">
    <w:name w:val="首示例 Char"/>
    <w:link w:val="69"/>
    <w:qFormat/>
    <w:uiPriority w:val="0"/>
    <w:rPr>
      <w:rFonts w:ascii="宋体" w:hAnsi="宋体"/>
      <w:sz w:val="18"/>
      <w:szCs w:val="18"/>
    </w:rPr>
  </w:style>
  <w:style w:type="paragraph" w:customStyle="1" w:styleId="69">
    <w:name w:val="首示例"/>
    <w:next w:val="70"/>
    <w:link w:val="68"/>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70">
    <w:name w:val="段"/>
    <w:link w:val="71"/>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71">
    <w:name w:val="段 Char"/>
    <w:link w:val="70"/>
    <w:qFormat/>
    <w:uiPriority w:val="0"/>
    <w:rPr>
      <w:rFonts w:ascii="宋体"/>
    </w:rPr>
  </w:style>
  <w:style w:type="character" w:customStyle="1" w:styleId="72">
    <w:name w:val="附录公式 Char"/>
    <w:basedOn w:val="71"/>
    <w:link w:val="73"/>
    <w:qFormat/>
    <w:uiPriority w:val="0"/>
    <w:rPr>
      <w:rFonts w:ascii="宋体"/>
    </w:rPr>
  </w:style>
  <w:style w:type="paragraph" w:customStyle="1" w:styleId="73">
    <w:name w:val="附录公式"/>
    <w:basedOn w:val="70"/>
    <w:next w:val="70"/>
    <w:link w:val="72"/>
    <w:qFormat/>
    <w:uiPriority w:val="0"/>
  </w:style>
  <w:style w:type="character" w:customStyle="1" w:styleId="74">
    <w:name w:val="发布"/>
    <w:qFormat/>
    <w:uiPriority w:val="0"/>
    <w:rPr>
      <w:rFonts w:ascii="黑体" w:eastAsia="黑体"/>
      <w:spacing w:val="85"/>
      <w:w w:val="100"/>
      <w:position w:val="3"/>
      <w:sz w:val="28"/>
      <w:szCs w:val="28"/>
    </w:rPr>
  </w:style>
  <w:style w:type="character" w:customStyle="1" w:styleId="75">
    <w:name w:val="一级条标题 Char"/>
    <w:link w:val="76"/>
    <w:qFormat/>
    <w:uiPriority w:val="0"/>
    <w:rPr>
      <w:rFonts w:ascii="黑体" w:eastAsia="黑体"/>
      <w:szCs w:val="21"/>
    </w:rPr>
  </w:style>
  <w:style w:type="paragraph" w:customStyle="1" w:styleId="76">
    <w:name w:val="一级条标题"/>
    <w:next w:val="70"/>
    <w:link w:val="75"/>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7">
    <w:name w:val="HTML 预设格式 Char"/>
    <w:qFormat/>
    <w:uiPriority w:val="0"/>
    <w:rPr>
      <w:rFonts w:ascii="Courier New" w:hAnsi="Courier New" w:cs="Courier New"/>
    </w:rPr>
  </w:style>
  <w:style w:type="character" w:customStyle="1" w:styleId="78">
    <w:name w:val="尾注文本 Char"/>
    <w:semiHidden/>
    <w:qFormat/>
    <w:uiPriority w:val="0"/>
    <w:rPr>
      <w:szCs w:val="24"/>
    </w:rPr>
  </w:style>
  <w:style w:type="paragraph" w:customStyle="1" w:styleId="79">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80">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81">
    <w:name w:val="List Paragraph"/>
    <w:basedOn w:val="1"/>
    <w:qFormat/>
    <w:uiPriority w:val="34"/>
    <w:pPr>
      <w:ind w:firstLine="420" w:firstLineChars="200"/>
    </w:pPr>
    <w:rPr>
      <w:rFonts w:ascii="宋体" w:hAnsi="宋体" w:cs="宋体"/>
      <w:kern w:val="0"/>
      <w:sz w:val="24"/>
    </w:rPr>
  </w:style>
  <w:style w:type="paragraph" w:customStyle="1" w:styleId="82">
    <w:name w:val="封面一致性程度标识2"/>
    <w:basedOn w:val="83"/>
    <w:qFormat/>
    <w:uiPriority w:val="0"/>
    <w:pPr>
      <w:framePr w:wrap="around" w:y="4469"/>
    </w:pPr>
  </w:style>
  <w:style w:type="paragraph" w:customStyle="1" w:styleId="83">
    <w:name w:val="封面一致性程度标识"/>
    <w:basedOn w:val="84"/>
    <w:qFormat/>
    <w:uiPriority w:val="0"/>
    <w:pPr>
      <w:framePr w:wrap="around"/>
      <w:spacing w:before="440"/>
    </w:pPr>
    <w:rPr>
      <w:rFonts w:ascii="宋体" w:eastAsia="宋体"/>
    </w:rPr>
  </w:style>
  <w:style w:type="paragraph" w:customStyle="1" w:styleId="84">
    <w:name w:val="封面标准英文名称"/>
    <w:basedOn w:val="85"/>
    <w:qFormat/>
    <w:uiPriority w:val="0"/>
    <w:pPr>
      <w:framePr w:wrap="around"/>
      <w:spacing w:before="370" w:line="400" w:lineRule="exact"/>
    </w:pPr>
    <w:rPr>
      <w:rFonts w:ascii="Times New Roman"/>
      <w:sz w:val="28"/>
      <w:szCs w:val="28"/>
    </w:rPr>
  </w:style>
  <w:style w:type="paragraph" w:customStyle="1" w:styleId="8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英文名称2"/>
    <w:basedOn w:val="84"/>
    <w:qFormat/>
    <w:uiPriority w:val="0"/>
    <w:pPr>
      <w:framePr w:wrap="around" w:y="4469"/>
    </w:pPr>
  </w:style>
  <w:style w:type="paragraph" w:customStyle="1" w:styleId="87">
    <w:name w:val="其他发布日期"/>
    <w:basedOn w:val="88"/>
    <w:qFormat/>
    <w:uiPriority w:val="0"/>
    <w:pPr>
      <w:framePr w:wrap="around" w:vAnchor="page" w:hAnchor="text" w:x="1419"/>
    </w:pPr>
  </w:style>
  <w:style w:type="paragraph" w:customStyle="1" w:styleId="88">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9">
    <w:name w:val="正文公式编号制表符"/>
    <w:basedOn w:val="70"/>
    <w:next w:val="70"/>
    <w:qFormat/>
    <w:uiPriority w:val="0"/>
    <w:pPr>
      <w:ind w:firstLine="0" w:firstLineChars="0"/>
    </w:pPr>
  </w:style>
  <w:style w:type="paragraph" w:customStyle="1" w:styleId="90">
    <w:name w:val="正文表标题"/>
    <w:next w:val="70"/>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91">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2">
    <w:name w:val="一级无"/>
    <w:basedOn w:val="76"/>
    <w:qFormat/>
    <w:uiPriority w:val="0"/>
  </w:style>
  <w:style w:type="paragraph" w:customStyle="1" w:styleId="93">
    <w:name w:val="图的脚注"/>
    <w:next w:val="70"/>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4">
    <w:name w:val="图标脚注说明"/>
    <w:basedOn w:val="70"/>
    <w:qFormat/>
    <w:uiPriority w:val="0"/>
    <w:pPr>
      <w:ind w:left="840" w:hanging="420" w:firstLineChars="0"/>
    </w:pPr>
    <w:rPr>
      <w:sz w:val="18"/>
      <w:szCs w:val="18"/>
    </w:rPr>
  </w:style>
  <w:style w:type="paragraph" w:customStyle="1" w:styleId="95">
    <w:name w:val="示例后文字"/>
    <w:basedOn w:val="70"/>
    <w:next w:val="70"/>
    <w:qFormat/>
    <w:uiPriority w:val="0"/>
    <w:pPr>
      <w:ind w:firstLine="360"/>
    </w:pPr>
    <w:rPr>
      <w:sz w:val="18"/>
    </w:rPr>
  </w:style>
  <w:style w:type="paragraph" w:customStyle="1" w:styleId="96">
    <w:name w:val="实施日期"/>
    <w:basedOn w:val="88"/>
    <w:qFormat/>
    <w:uiPriority w:val="0"/>
    <w:pPr>
      <w:framePr w:wrap="around" w:vAnchor="page" w:hAnchor="text"/>
      <w:jc w:val="right"/>
    </w:pPr>
  </w:style>
  <w:style w:type="paragraph" w:customStyle="1" w:styleId="97">
    <w:name w:val="前言、引言标题"/>
    <w:next w:val="70"/>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0">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101">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2">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3">
    <w:name w:val="条文脚注"/>
    <w:basedOn w:val="32"/>
    <w:qFormat/>
    <w:uiPriority w:val="0"/>
    <w:pPr>
      <w:ind w:left="0" w:firstLine="0"/>
      <w:jc w:val="both"/>
    </w:pPr>
  </w:style>
  <w:style w:type="paragraph" w:customStyle="1" w:styleId="104">
    <w:name w:val="附录一级无"/>
    <w:basedOn w:val="105"/>
    <w:qFormat/>
    <w:uiPriority w:val="0"/>
    <w:pPr>
      <w:tabs>
        <w:tab w:val="left" w:pos="360"/>
      </w:tabs>
      <w:spacing w:beforeLines="0" w:afterLines="0"/>
    </w:pPr>
    <w:rPr>
      <w:rFonts w:ascii="宋体" w:eastAsia="宋体"/>
      <w:szCs w:val="21"/>
    </w:rPr>
  </w:style>
  <w:style w:type="paragraph" w:customStyle="1" w:styleId="105">
    <w:name w:val="附录一级条标题"/>
    <w:basedOn w:val="106"/>
    <w:next w:val="70"/>
    <w:qFormat/>
    <w:uiPriority w:val="0"/>
    <w:pPr>
      <w:tabs>
        <w:tab w:val="left" w:pos="360"/>
      </w:tabs>
      <w:autoSpaceDN w:val="0"/>
      <w:spacing w:beforeLines="50" w:afterLines="50"/>
      <w:outlineLvl w:val="2"/>
    </w:pPr>
  </w:style>
  <w:style w:type="paragraph" w:customStyle="1" w:styleId="106">
    <w:name w:val="附录章标题"/>
    <w:next w:val="70"/>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7">
    <w:name w:val="附录五级无"/>
    <w:basedOn w:val="108"/>
    <w:qFormat/>
    <w:uiPriority w:val="0"/>
    <w:pPr>
      <w:tabs>
        <w:tab w:val="left" w:pos="360"/>
      </w:tabs>
      <w:spacing w:beforeLines="0" w:afterLines="0"/>
    </w:pPr>
    <w:rPr>
      <w:rFonts w:ascii="宋体" w:eastAsia="宋体"/>
      <w:szCs w:val="21"/>
    </w:rPr>
  </w:style>
  <w:style w:type="paragraph" w:customStyle="1" w:styleId="108">
    <w:name w:val="附录五级条标题"/>
    <w:basedOn w:val="109"/>
    <w:next w:val="70"/>
    <w:qFormat/>
    <w:uiPriority w:val="0"/>
    <w:pPr>
      <w:tabs>
        <w:tab w:val="left" w:pos="360"/>
      </w:tabs>
      <w:outlineLvl w:val="6"/>
    </w:pPr>
  </w:style>
  <w:style w:type="paragraph" w:customStyle="1" w:styleId="109">
    <w:name w:val="附录四级条标题"/>
    <w:basedOn w:val="110"/>
    <w:next w:val="70"/>
    <w:qFormat/>
    <w:uiPriority w:val="0"/>
    <w:pPr>
      <w:tabs>
        <w:tab w:val="left" w:pos="360"/>
      </w:tabs>
    </w:pPr>
  </w:style>
  <w:style w:type="paragraph" w:customStyle="1" w:styleId="110">
    <w:name w:val="附录三级条标题"/>
    <w:basedOn w:val="111"/>
    <w:next w:val="70"/>
    <w:qFormat/>
    <w:uiPriority w:val="0"/>
    <w:pPr>
      <w:tabs>
        <w:tab w:val="left" w:pos="360"/>
      </w:tabs>
    </w:pPr>
  </w:style>
  <w:style w:type="paragraph" w:customStyle="1" w:styleId="111">
    <w:name w:val="附录二级条标题"/>
    <w:basedOn w:val="1"/>
    <w:next w:val="70"/>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2">
    <w:name w:val="附录图标题"/>
    <w:basedOn w:val="1"/>
    <w:next w:val="70"/>
    <w:qFormat/>
    <w:uiPriority w:val="0"/>
    <w:pPr>
      <w:tabs>
        <w:tab w:val="left" w:pos="363"/>
      </w:tabs>
      <w:spacing w:beforeLines="50" w:afterLines="50"/>
      <w:jc w:val="center"/>
    </w:pPr>
    <w:rPr>
      <w:rFonts w:ascii="黑体" w:eastAsia="黑体"/>
      <w:szCs w:val="21"/>
    </w:rPr>
  </w:style>
  <w:style w:type="paragraph" w:customStyle="1" w:styleId="113">
    <w:name w:val="附录图标号"/>
    <w:basedOn w:val="1"/>
    <w:qFormat/>
    <w:uiPriority w:val="0"/>
    <w:pPr>
      <w:keepNext/>
      <w:pageBreakBefore/>
      <w:spacing w:line="14" w:lineRule="exact"/>
      <w:ind w:firstLine="363"/>
      <w:jc w:val="center"/>
      <w:outlineLvl w:val="0"/>
    </w:pPr>
    <w:rPr>
      <w:color w:val="FFFFFF"/>
    </w:rPr>
  </w:style>
  <w:style w:type="paragraph" w:customStyle="1" w:styleId="114">
    <w:name w:val="附录四级无"/>
    <w:basedOn w:val="109"/>
    <w:qFormat/>
    <w:uiPriority w:val="0"/>
    <w:pPr>
      <w:tabs>
        <w:tab w:val="clear" w:pos="360"/>
      </w:tabs>
      <w:spacing w:beforeLines="0" w:afterLines="0"/>
      <w:outlineLvl w:val="5"/>
    </w:pPr>
    <w:rPr>
      <w:rFonts w:ascii="宋体" w:eastAsia="宋体"/>
      <w:szCs w:val="21"/>
    </w:rPr>
  </w:style>
  <w:style w:type="paragraph" w:customStyle="1" w:styleId="115">
    <w:name w:val="附录三级无"/>
    <w:basedOn w:val="110"/>
    <w:qFormat/>
    <w:uiPriority w:val="0"/>
  </w:style>
  <w:style w:type="paragraph" w:customStyle="1" w:styleId="116">
    <w:name w:val="注："/>
    <w:next w:val="70"/>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7">
    <w:name w:val="附录公式编号制表符"/>
    <w:basedOn w:val="1"/>
    <w:next w:val="70"/>
    <w:qFormat/>
    <w:uiPriority w:val="0"/>
    <w:pPr>
      <w:tabs>
        <w:tab w:val="center" w:pos="4201"/>
        <w:tab w:val="right" w:leader="dot" w:pos="9298"/>
      </w:tabs>
      <w:autoSpaceDE w:val="0"/>
      <w:autoSpaceDN w:val="0"/>
    </w:pPr>
    <w:rPr>
      <w:rFonts w:ascii="宋体"/>
      <w:kern w:val="0"/>
      <w:szCs w:val="20"/>
    </w:rPr>
  </w:style>
  <w:style w:type="paragraph" w:customStyle="1" w:styleId="118">
    <w:name w:val="附录二级无"/>
    <w:basedOn w:val="111"/>
    <w:qFormat/>
    <w:uiPriority w:val="0"/>
  </w:style>
  <w:style w:type="paragraph" w:customStyle="1" w:styleId="119">
    <w:name w:val="附录标题"/>
    <w:basedOn w:val="70"/>
    <w:next w:val="70"/>
    <w:qFormat/>
    <w:uiPriority w:val="0"/>
    <w:pPr>
      <w:ind w:firstLine="0" w:firstLineChars="0"/>
      <w:jc w:val="center"/>
    </w:pPr>
    <w:rPr>
      <w:rFonts w:ascii="黑体" w:eastAsia="黑体"/>
    </w:rPr>
  </w:style>
  <w:style w:type="paragraph" w:customStyle="1" w:styleId="120">
    <w:name w:val="参考文献"/>
    <w:basedOn w:val="1"/>
    <w:next w:val="70"/>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1">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22">
    <w:name w:val="封面标准文稿类别"/>
    <w:basedOn w:val="83"/>
    <w:qFormat/>
    <w:uiPriority w:val="0"/>
    <w:pPr>
      <w:framePr w:wrap="around"/>
      <w:spacing w:after="160" w:line="240" w:lineRule="auto"/>
    </w:pPr>
    <w:rPr>
      <w:sz w:val="24"/>
    </w:rPr>
  </w:style>
  <w:style w:type="paragraph" w:customStyle="1" w:styleId="123">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4">
    <w:name w:val="其他实施日期"/>
    <w:basedOn w:val="96"/>
    <w:qFormat/>
    <w:uiPriority w:val="0"/>
    <w:pPr>
      <w:framePr w:wrap="around" w:vAnchor="margin" w:hAnchor="page"/>
    </w:pPr>
  </w:style>
  <w:style w:type="paragraph" w:customStyle="1" w:styleId="12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6">
    <w:name w:val="发布部门"/>
    <w:next w:val="70"/>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7">
    <w:name w:val="注：（正文）"/>
    <w:basedOn w:val="116"/>
    <w:next w:val="70"/>
    <w:qFormat/>
    <w:uiPriority w:val="0"/>
  </w:style>
  <w:style w:type="paragraph" w:customStyle="1" w:styleId="128">
    <w:name w:val="参考文献、索引标题"/>
    <w:basedOn w:val="1"/>
    <w:next w:val="70"/>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1">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2">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3">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4">
    <w:name w:val="示例×："/>
    <w:basedOn w:val="135"/>
    <w:qFormat/>
    <w:uiPriority w:val="0"/>
    <w:pPr>
      <w:spacing w:beforeLines="0" w:afterLines="0"/>
      <w:ind w:firstLine="363"/>
      <w:outlineLvl w:val="9"/>
    </w:pPr>
    <w:rPr>
      <w:rFonts w:ascii="宋体" w:eastAsia="宋体"/>
      <w:sz w:val="18"/>
      <w:szCs w:val="18"/>
    </w:rPr>
  </w:style>
  <w:style w:type="paragraph" w:customStyle="1" w:styleId="135">
    <w:name w:val="章标题"/>
    <w:next w:val="70"/>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6">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7">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8">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9">
    <w:name w:val="五级无"/>
    <w:basedOn w:val="140"/>
    <w:qFormat/>
    <w:uiPriority w:val="0"/>
    <w:pPr>
      <w:spacing w:beforeLines="0" w:afterLines="0"/>
      <w:outlineLvl w:val="6"/>
    </w:pPr>
    <w:rPr>
      <w:rFonts w:ascii="宋体" w:eastAsia="宋体"/>
    </w:rPr>
  </w:style>
  <w:style w:type="paragraph" w:customStyle="1" w:styleId="140">
    <w:name w:val="五级条标题"/>
    <w:basedOn w:val="141"/>
    <w:next w:val="70"/>
    <w:qFormat/>
    <w:uiPriority w:val="0"/>
  </w:style>
  <w:style w:type="paragraph" w:customStyle="1" w:styleId="141">
    <w:name w:val="四级条标题"/>
    <w:basedOn w:val="142"/>
    <w:next w:val="70"/>
    <w:qFormat/>
    <w:uiPriority w:val="0"/>
  </w:style>
  <w:style w:type="paragraph" w:customStyle="1" w:styleId="142">
    <w:name w:val="三级条标题"/>
    <w:basedOn w:val="143"/>
    <w:next w:val="70"/>
    <w:qFormat/>
    <w:uiPriority w:val="0"/>
  </w:style>
  <w:style w:type="paragraph" w:customStyle="1" w:styleId="143">
    <w:name w:val="二级条标题"/>
    <w:basedOn w:val="76"/>
    <w:next w:val="70"/>
    <w:qFormat/>
    <w:uiPriority w:val="0"/>
  </w:style>
  <w:style w:type="paragraph" w:customStyle="1" w:styleId="144">
    <w:name w:val="四级无"/>
    <w:basedOn w:val="141"/>
    <w:qFormat/>
    <w:uiPriority w:val="0"/>
  </w:style>
  <w:style w:type="paragraph" w:customStyle="1" w:styleId="145">
    <w:name w:val="三级无"/>
    <w:basedOn w:val="142"/>
    <w:qFormat/>
    <w:uiPriority w:val="0"/>
  </w:style>
  <w:style w:type="paragraph" w:customStyle="1" w:styleId="146">
    <w:name w:val="其他标准标志"/>
    <w:basedOn w:val="130"/>
    <w:qFormat/>
    <w:uiPriority w:val="0"/>
    <w:pPr>
      <w:framePr w:w="6101" w:wrap="around" w:vAnchor="page" w:hAnchor="page" w:x="4673" w:y="942"/>
    </w:pPr>
    <w:rPr>
      <w:w w:val="130"/>
    </w:rPr>
  </w:style>
  <w:style w:type="paragraph" w:customStyle="1" w:styleId="147">
    <w:name w:val="目次、标准名称标题"/>
    <w:basedOn w:val="1"/>
    <w:next w:val="70"/>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9">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50">
    <w:name w:val="批注框文本 字符"/>
    <w:basedOn w:val="44"/>
    <w:link w:val="26"/>
    <w:semiHidden/>
    <w:qFormat/>
    <w:uiPriority w:val="99"/>
    <w:rPr>
      <w:rFonts w:ascii="Times New Roman" w:hAnsi="Times New Roman" w:eastAsia="宋体" w:cs="Times New Roman"/>
      <w:sz w:val="18"/>
      <w:szCs w:val="18"/>
    </w:rPr>
  </w:style>
  <w:style w:type="paragraph" w:customStyle="1" w:styleId="151">
    <w:name w:val="列项◆（三级）"/>
    <w:basedOn w:val="1"/>
    <w:qFormat/>
    <w:uiPriority w:val="99"/>
    <w:pPr>
      <w:tabs>
        <w:tab w:val="left" w:pos="969"/>
      </w:tabs>
      <w:ind w:left="969" w:hanging="414"/>
    </w:pPr>
    <w:rPr>
      <w:rFonts w:ascii="宋体"/>
      <w:szCs w:val="21"/>
    </w:rPr>
  </w:style>
  <w:style w:type="paragraph" w:customStyle="1" w:styleId="152">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3">
    <w:name w:val="页眉 字符"/>
    <w:basedOn w:val="44"/>
    <w:link w:val="28"/>
    <w:semiHidden/>
    <w:qFormat/>
    <w:uiPriority w:val="99"/>
    <w:rPr>
      <w:rFonts w:ascii="Times New Roman" w:hAnsi="Times New Roman" w:eastAsia="宋体" w:cs="Times New Roman"/>
      <w:sz w:val="18"/>
      <w:szCs w:val="18"/>
    </w:rPr>
  </w:style>
  <w:style w:type="paragraph" w:customStyle="1" w:styleId="154">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5">
    <w:name w:val="其他发布部门"/>
    <w:basedOn w:val="126"/>
    <w:qFormat/>
    <w:uiPriority w:val="0"/>
    <w:pPr>
      <w:framePr w:wrap="around" w:y="15310"/>
      <w:spacing w:line="0" w:lineRule="atLeast"/>
    </w:pPr>
    <w:rPr>
      <w:rFonts w:ascii="黑体" w:eastAsia="黑体"/>
      <w:b w:val="0"/>
    </w:rPr>
  </w:style>
  <w:style w:type="paragraph" w:customStyle="1" w:styleId="156">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7">
    <w:name w:val="正文图标题"/>
    <w:next w:val="70"/>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8">
    <w:name w:val="HTML 预设格式 字符"/>
    <w:basedOn w:val="44"/>
    <w:link w:val="37"/>
    <w:semiHidden/>
    <w:qFormat/>
    <w:uiPriority w:val="99"/>
    <w:rPr>
      <w:rFonts w:ascii="Courier New" w:hAnsi="Courier New" w:eastAsia="宋体" w:cs="Courier New"/>
      <w:sz w:val="20"/>
      <w:szCs w:val="20"/>
    </w:rPr>
  </w:style>
  <w:style w:type="paragraph" w:customStyle="1" w:styleId="159">
    <w:name w:val="附录标识"/>
    <w:basedOn w:val="1"/>
    <w:next w:val="70"/>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60">
    <w:name w:val="脚注文本 字符"/>
    <w:basedOn w:val="44"/>
    <w:link w:val="32"/>
    <w:semiHidden/>
    <w:qFormat/>
    <w:uiPriority w:val="99"/>
    <w:rPr>
      <w:rFonts w:ascii="Times New Roman" w:hAnsi="Times New Roman" w:eastAsia="宋体" w:cs="Times New Roman"/>
      <w:sz w:val="18"/>
      <w:szCs w:val="18"/>
    </w:rPr>
  </w:style>
  <w:style w:type="paragraph" w:customStyle="1" w:styleId="161">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2">
    <w:name w:val="二级无"/>
    <w:basedOn w:val="143"/>
    <w:qFormat/>
    <w:uiPriority w:val="0"/>
  </w:style>
  <w:style w:type="paragraph" w:customStyle="1" w:styleId="163">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4">
    <w:name w:val="正文文本缩进 2 字符"/>
    <w:basedOn w:val="44"/>
    <w:link w:val="24"/>
    <w:semiHidden/>
    <w:qFormat/>
    <w:uiPriority w:val="99"/>
    <w:rPr>
      <w:rFonts w:ascii="Times New Roman" w:hAnsi="Times New Roman" w:eastAsia="宋体" w:cs="Times New Roman"/>
      <w:szCs w:val="24"/>
    </w:rPr>
  </w:style>
  <w:style w:type="paragraph" w:customStyle="1" w:styleId="165">
    <w:name w:val="封面标准文稿编辑信息2"/>
    <w:basedOn w:val="166"/>
    <w:qFormat/>
    <w:uiPriority w:val="0"/>
    <w:pPr>
      <w:framePr w:wrap="around" w:y="4469"/>
    </w:pPr>
  </w:style>
  <w:style w:type="paragraph" w:customStyle="1" w:styleId="166">
    <w:name w:val="封面标准文稿编辑信息"/>
    <w:basedOn w:val="122"/>
    <w:qFormat/>
    <w:uiPriority w:val="0"/>
    <w:pPr>
      <w:framePr w:wrap="around"/>
      <w:spacing w:before="180" w:line="180" w:lineRule="exact"/>
    </w:pPr>
    <w:rPr>
      <w:sz w:val="21"/>
    </w:rPr>
  </w:style>
  <w:style w:type="paragraph" w:customStyle="1" w:styleId="167">
    <w:name w:val="附录表标题"/>
    <w:basedOn w:val="1"/>
    <w:next w:val="70"/>
    <w:qFormat/>
    <w:uiPriority w:val="0"/>
    <w:pPr>
      <w:tabs>
        <w:tab w:val="left" w:pos="180"/>
      </w:tabs>
      <w:spacing w:beforeLines="50" w:afterLines="50"/>
      <w:jc w:val="center"/>
    </w:pPr>
    <w:rPr>
      <w:rFonts w:ascii="黑体" w:eastAsia="黑体"/>
      <w:szCs w:val="21"/>
    </w:rPr>
  </w:style>
  <w:style w:type="paragraph" w:customStyle="1" w:styleId="168">
    <w:name w:val="标准书眉_偶数页"/>
    <w:basedOn w:val="152"/>
    <w:next w:val="1"/>
    <w:qFormat/>
    <w:uiPriority w:val="0"/>
    <w:pPr>
      <w:jc w:val="left"/>
    </w:pPr>
  </w:style>
  <w:style w:type="paragraph" w:customStyle="1" w:styleId="169">
    <w:name w:val="附录表标号"/>
    <w:basedOn w:val="1"/>
    <w:next w:val="70"/>
    <w:qFormat/>
    <w:uiPriority w:val="0"/>
    <w:pPr>
      <w:spacing w:line="14" w:lineRule="exact"/>
      <w:ind w:left="811" w:hanging="448"/>
      <w:jc w:val="center"/>
      <w:outlineLvl w:val="0"/>
    </w:pPr>
    <w:rPr>
      <w:color w:val="FFFFFF"/>
    </w:rPr>
  </w:style>
  <w:style w:type="paragraph" w:customStyle="1" w:styleId="170">
    <w:name w:val="图表脚注说明"/>
    <w:basedOn w:val="1"/>
    <w:qFormat/>
    <w:uiPriority w:val="0"/>
    <w:pPr>
      <w:ind w:left="544" w:hanging="181"/>
    </w:pPr>
    <w:rPr>
      <w:rFonts w:ascii="宋体"/>
      <w:sz w:val="18"/>
      <w:szCs w:val="18"/>
    </w:rPr>
  </w:style>
  <w:style w:type="character" w:customStyle="1" w:styleId="171">
    <w:name w:val="页脚 字符"/>
    <w:basedOn w:val="44"/>
    <w:link w:val="27"/>
    <w:semiHidden/>
    <w:qFormat/>
    <w:uiPriority w:val="99"/>
    <w:rPr>
      <w:rFonts w:ascii="Times New Roman" w:hAnsi="Times New Roman" w:eastAsia="宋体" w:cs="Times New Roman"/>
      <w:sz w:val="18"/>
      <w:szCs w:val="18"/>
    </w:rPr>
  </w:style>
  <w:style w:type="character" w:customStyle="1" w:styleId="172">
    <w:name w:val="批注文字 字符"/>
    <w:basedOn w:val="44"/>
    <w:link w:val="15"/>
    <w:semiHidden/>
    <w:qFormat/>
    <w:uiPriority w:val="99"/>
    <w:rPr>
      <w:rFonts w:ascii="Times New Roman" w:hAnsi="Times New Roman" w:eastAsia="宋体" w:cs="Times New Roman"/>
      <w:szCs w:val="24"/>
    </w:rPr>
  </w:style>
  <w:style w:type="paragraph" w:customStyle="1" w:styleId="173">
    <w:name w:val="封面标准名称2"/>
    <w:basedOn w:val="85"/>
    <w:qFormat/>
    <w:uiPriority w:val="0"/>
    <w:pPr>
      <w:framePr w:wrap="around" w:y="4469"/>
      <w:spacing w:beforeLines="630"/>
    </w:pPr>
  </w:style>
  <w:style w:type="character" w:customStyle="1" w:styleId="174">
    <w:name w:val="日期 字符"/>
    <w:basedOn w:val="44"/>
    <w:link w:val="23"/>
    <w:semiHidden/>
    <w:qFormat/>
    <w:uiPriority w:val="99"/>
    <w:rPr>
      <w:rFonts w:ascii="Times New Roman" w:hAnsi="Times New Roman" w:eastAsia="宋体" w:cs="Times New Roman"/>
      <w:szCs w:val="24"/>
    </w:rPr>
  </w:style>
  <w:style w:type="character" w:customStyle="1" w:styleId="175">
    <w:name w:val="文档结构图 字符"/>
    <w:basedOn w:val="44"/>
    <w:link w:val="14"/>
    <w:semiHidden/>
    <w:qFormat/>
    <w:uiPriority w:val="99"/>
    <w:rPr>
      <w:rFonts w:ascii="宋体" w:hAnsi="Times New Roman" w:eastAsia="宋体" w:cs="Times New Roman"/>
      <w:sz w:val="18"/>
      <w:szCs w:val="18"/>
    </w:rPr>
  </w:style>
  <w:style w:type="paragraph" w:customStyle="1" w:styleId="176">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7">
    <w:name w:val="封面标准文稿类别2"/>
    <w:basedOn w:val="122"/>
    <w:qFormat/>
    <w:uiPriority w:val="0"/>
    <w:pPr>
      <w:framePr w:wrap="around" w:y="4469"/>
    </w:pPr>
  </w:style>
  <w:style w:type="paragraph" w:customStyle="1" w:styleId="178">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9">
    <w:name w:val="终结线"/>
    <w:basedOn w:val="1"/>
    <w:qFormat/>
    <w:uiPriority w:val="0"/>
    <w:pPr>
      <w:framePr w:hSpace="181" w:vSpace="181" w:wrap="around" w:vAnchor="text" w:hAnchor="margin" w:xAlign="center" w:y="285"/>
    </w:pPr>
  </w:style>
  <w:style w:type="character" w:customStyle="1" w:styleId="180">
    <w:name w:val="批注主题 字符"/>
    <w:basedOn w:val="172"/>
    <w:link w:val="41"/>
    <w:semiHidden/>
    <w:qFormat/>
    <w:uiPriority w:val="99"/>
    <w:rPr>
      <w:rFonts w:ascii="Times New Roman" w:hAnsi="Times New Roman" w:eastAsia="宋体" w:cs="Times New Roman"/>
      <w:b/>
      <w:bCs/>
      <w:szCs w:val="24"/>
    </w:rPr>
  </w:style>
  <w:style w:type="character" w:customStyle="1" w:styleId="181">
    <w:name w:val="尾注文本 字符"/>
    <w:basedOn w:val="44"/>
    <w:link w:val="25"/>
    <w:semiHidden/>
    <w:qFormat/>
    <w:uiPriority w:val="99"/>
    <w:rPr>
      <w:rFonts w:ascii="Times New Roman" w:hAnsi="Times New Roman" w:eastAsia="宋体" w:cs="Times New Roman"/>
      <w:szCs w:val="24"/>
    </w:rPr>
  </w:style>
  <w:style w:type="paragraph" w:customStyle="1" w:styleId="182">
    <w:name w:val="示例"/>
    <w:next w:val="133"/>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3">
    <w:name w:val="正文文本 3 字符"/>
    <w:basedOn w:val="44"/>
    <w:link w:val="17"/>
    <w:semiHidden/>
    <w:qFormat/>
    <w:uiPriority w:val="99"/>
    <w:rPr>
      <w:rFonts w:ascii="Times New Roman" w:hAnsi="Times New Roman" w:eastAsia="宋体" w:cs="Times New Roman"/>
      <w:sz w:val="16"/>
      <w:szCs w:val="16"/>
    </w:rPr>
  </w:style>
  <w:style w:type="character" w:customStyle="1" w:styleId="184">
    <w:name w:val="标题 字符"/>
    <w:basedOn w:val="44"/>
    <w:link w:val="40"/>
    <w:qFormat/>
    <w:uiPriority w:val="0"/>
    <w:rPr>
      <w:rFonts w:ascii="Arial" w:hAnsi="Arial" w:eastAsia="宋体" w:cs="Times New Roman"/>
      <w:b/>
      <w:kern w:val="0"/>
      <w:sz w:val="32"/>
      <w:szCs w:val="20"/>
    </w:rPr>
  </w:style>
  <w:style w:type="paragraph" w:customStyle="1" w:styleId="185">
    <w:name w:val="p0"/>
    <w:basedOn w:val="1"/>
    <w:qFormat/>
    <w:uiPriority w:val="0"/>
    <w:pPr>
      <w:spacing w:line="240" w:lineRule="auto"/>
      <w:jc w:val="both"/>
    </w:pPr>
    <w:rPr>
      <w:kern w:val="0"/>
      <w:szCs w:val="21"/>
    </w:rPr>
  </w:style>
  <w:style w:type="character" w:customStyle="1" w:styleId="186">
    <w:name w:val="纯文本 字符"/>
    <w:basedOn w:val="44"/>
    <w:link w:val="21"/>
    <w:qFormat/>
    <w:uiPriority w:val="99"/>
    <w:rPr>
      <w:rFonts w:ascii="宋体" w:hAnsi="Courier New" w:eastAsia="宋体" w:cs="Courier New"/>
      <w:szCs w:val="21"/>
    </w:rPr>
  </w:style>
  <w:style w:type="paragraph" w:customStyle="1" w:styleId="18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8">
    <w:name w:val="正文文本 字符"/>
    <w:basedOn w:val="44"/>
    <w:link w:val="3"/>
    <w:semiHidden/>
    <w:qFormat/>
    <w:uiPriority w:val="99"/>
    <w:rPr>
      <w:kern w:val="2"/>
      <w:sz w:val="21"/>
      <w:szCs w:val="24"/>
    </w:rPr>
  </w:style>
  <w:style w:type="paragraph" w:customStyle="1" w:styleId="189">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90">
    <w:name w:val="标题 4 字符"/>
    <w:basedOn w:val="44"/>
    <w:link w:val="8"/>
    <w:semiHidden/>
    <w:qFormat/>
    <w:uiPriority w:val="9"/>
    <w:rPr>
      <w:rFonts w:asciiTheme="majorHAnsi" w:hAnsiTheme="majorHAnsi" w:eastAsiaTheme="majorEastAsia" w:cstheme="majorBidi"/>
      <w:b/>
      <w:bCs/>
      <w:kern w:val="2"/>
      <w:sz w:val="28"/>
      <w:szCs w:val="28"/>
    </w:rPr>
  </w:style>
  <w:style w:type="paragraph" w:customStyle="1" w:styleId="191">
    <w:name w:val="_Style 2"/>
    <w:basedOn w:val="5"/>
    <w:next w:val="1"/>
    <w:qFormat/>
    <w:uiPriority w:val="0"/>
    <w:pPr>
      <w:spacing w:before="480" w:after="0" w:line="276" w:lineRule="auto"/>
      <w:outlineLvl w:val="9"/>
    </w:pPr>
    <w:rPr>
      <w:rFonts w:ascii="Cambria" w:hAnsi="Cambria"/>
      <w:color w:val="365F91"/>
      <w:kern w:val="0"/>
      <w:sz w:val="28"/>
      <w:szCs w:val="28"/>
    </w:rPr>
  </w:style>
  <w:style w:type="character" w:customStyle="1" w:styleId="192">
    <w:name w:val="_Style 4"/>
    <w:qFormat/>
    <w:uiPriority w:val="31"/>
    <w:rPr>
      <w:smallCaps/>
      <w:color w:val="C0504D"/>
      <w:u w:val="single"/>
    </w:rPr>
  </w:style>
  <w:style w:type="paragraph" w:customStyle="1" w:styleId="193">
    <w:name w:val="纯文本1"/>
    <w:basedOn w:val="1"/>
    <w:qFormat/>
    <w:uiPriority w:val="0"/>
    <w:rPr>
      <w:rFonts w:ascii="宋体" w:hAnsi="Courier New" w:cs="Courier New"/>
      <w:szCs w:val="21"/>
    </w:rPr>
  </w:style>
  <w:style w:type="paragraph" w:customStyle="1" w:styleId="194">
    <w:name w:val="CM99"/>
    <w:basedOn w:val="4"/>
    <w:next w:val="4"/>
    <w:qFormat/>
    <w:uiPriority w:val="0"/>
    <w:pPr>
      <w:spacing w:after="443"/>
    </w:pPr>
  </w:style>
  <w:style w:type="paragraph" w:customStyle="1" w:styleId="195">
    <w:name w:val="CM80"/>
    <w:basedOn w:val="4"/>
    <w:next w:val="4"/>
    <w:qFormat/>
    <w:uiPriority w:val="0"/>
    <w:pPr>
      <w:spacing w:line="440" w:lineRule="atLeas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C63E9-77D9-40BC-848D-250DD378F5CE}">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49</Pages>
  <Words>20403</Words>
  <Characters>22101</Characters>
  <Lines>219</Lines>
  <Paragraphs>61</Paragraphs>
  <TotalTime>0</TotalTime>
  <ScaleCrop>false</ScaleCrop>
  <LinksUpToDate>false</LinksUpToDate>
  <CharactersWithSpaces>24062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2022-05-12T01:52:00Z</dcterms:created>
  <dc:creator>lenovo</dc:creator>
  <cp:lastModifiedBy>勒哩</cp:lastModifiedBy>
  <cp:lastPrinted>2022-04-13T08:22:00Z</cp:lastPrinted>
  <dcterms:modified xsi:type="dcterms:W3CDTF">2022-08-05T06:53:59Z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1C5380CBA26244C2936FF35EBAB47954</vt:lpwstr>
  </property>
</Properties>
</file>