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both"/>
        <w:rPr>
          <w:rFonts w:ascii="楷体" w:hAnsi="楷体" w:eastAsia="楷体" w:cs="微软雅黑"/>
          <w:b/>
          <w:sz w:val="56"/>
          <w:szCs w:val="72"/>
        </w:rPr>
      </w:pPr>
    </w:p>
    <w:p>
      <w:pPr>
        <w:snapToGrid w:val="0"/>
        <w:spacing w:before="0" w:beforeAutospacing="0" w:after="0" w:afterAutospacing="0" w:line="900" w:lineRule="exact"/>
        <w:ind w:firstLine="0" w:firstLineChars="0"/>
        <w:jc w:val="center"/>
        <w:rPr>
          <w:rFonts w:hint="eastAsia" w:ascii="黑体" w:hAnsi="黑体" w:eastAsia="黑体" w:cs="Times New Roman"/>
          <w:b/>
          <w:bCs/>
          <w:kern w:val="2"/>
          <w:sz w:val="48"/>
          <w:szCs w:val="48"/>
          <w:u w:val="none"/>
          <w:lang w:val="en-US" w:eastAsia="zh-CN" w:bidi="ar"/>
        </w:rPr>
      </w:pPr>
      <w:r>
        <w:rPr>
          <w:rFonts w:hint="eastAsia" w:ascii="黑体" w:hAnsi="黑体" w:eastAsia="黑体" w:cs="Times New Roman"/>
          <w:b/>
          <w:bCs/>
          <w:color w:val="auto"/>
          <w:kern w:val="2"/>
          <w:sz w:val="48"/>
          <w:szCs w:val="48"/>
          <w:u w:val="none"/>
          <w:lang w:val="en-US" w:eastAsia="zh-CN" w:bidi="ar"/>
        </w:rPr>
        <w:t>岳阳城陵矶新港有限公司</w:t>
      </w:r>
    </w:p>
    <w:p>
      <w:pPr>
        <w:snapToGrid w:val="0"/>
        <w:spacing w:line="900" w:lineRule="exact"/>
        <w:jc w:val="center"/>
        <w:rPr>
          <w:rFonts w:hint="eastAsia" w:ascii="黑体" w:hAnsi="黑体" w:eastAsia="黑体" w:cs="Times New Roman"/>
          <w:b/>
          <w:bCs/>
          <w:color w:val="auto"/>
          <w:kern w:val="2"/>
          <w:sz w:val="48"/>
          <w:szCs w:val="48"/>
          <w:u w:val="none"/>
          <w:lang w:val="en-US" w:eastAsia="zh-CN" w:bidi="ar"/>
        </w:rPr>
      </w:pPr>
      <w:r>
        <w:rPr>
          <w:rFonts w:hint="eastAsia" w:ascii="黑体" w:hAnsi="黑体" w:eastAsia="黑体" w:cs="Times New Roman"/>
          <w:b/>
          <w:bCs/>
          <w:color w:val="auto"/>
          <w:kern w:val="2"/>
          <w:sz w:val="48"/>
          <w:szCs w:val="48"/>
          <w:u w:val="none"/>
          <w:lang w:val="en-US" w:eastAsia="zh-CN" w:bidi="ar"/>
        </w:rPr>
        <w:t>消防维保检测评估服务项目</w:t>
      </w:r>
    </w:p>
    <w:p>
      <w:pPr>
        <w:snapToGrid w:val="0"/>
        <w:spacing w:line="900" w:lineRule="exact"/>
        <w:jc w:val="center"/>
        <w:rPr>
          <w:rFonts w:hint="eastAsia" w:ascii="黑体" w:hAnsi="黑体" w:eastAsia="黑体"/>
          <w:b/>
          <w:bCs/>
          <w:sz w:val="48"/>
          <w:szCs w:val="48"/>
          <w:lang w:val="en-US" w:eastAsia="zh-CN"/>
        </w:rPr>
      </w:pPr>
      <w:r>
        <w:rPr>
          <w:rFonts w:hint="eastAsia" w:ascii="黑体" w:hAnsi="黑体" w:eastAsia="黑体" w:cs="Times New Roman"/>
          <w:b/>
          <w:bCs/>
          <w:color w:val="auto"/>
          <w:kern w:val="2"/>
          <w:sz w:val="48"/>
          <w:szCs w:val="48"/>
          <w:u w:val="none"/>
          <w:lang w:val="en-US" w:eastAsia="zh-CN" w:bidi="ar"/>
        </w:rPr>
        <w:t>询价</w:t>
      </w:r>
      <w:r>
        <w:rPr>
          <w:rFonts w:hint="eastAsia" w:ascii="黑体" w:hAnsi="黑体" w:eastAsia="黑体"/>
          <w:b/>
          <w:bCs/>
          <w:sz w:val="48"/>
          <w:szCs w:val="48"/>
          <w:u w:val="none"/>
        </w:rPr>
        <w:t>采购</w:t>
      </w:r>
      <w:r>
        <w:rPr>
          <w:rFonts w:hint="eastAsia" w:ascii="黑体" w:hAnsi="黑体" w:eastAsia="黑体"/>
          <w:b/>
          <w:bCs/>
          <w:sz w:val="48"/>
          <w:szCs w:val="48"/>
          <w:u w:val="none"/>
          <w:lang w:val="en-US" w:eastAsia="zh-CN"/>
        </w:rPr>
        <w:t>文件</w:t>
      </w:r>
    </w:p>
    <w:p>
      <w:pPr>
        <w:jc w:val="center"/>
        <w:rPr>
          <w:rFonts w:ascii="宋体" w:hAnsi="宋体" w:cs="宋体"/>
          <w:b/>
          <w:color w:val="000000"/>
          <w:kern w:val="0"/>
          <w:sz w:val="28"/>
          <w:szCs w:val="28"/>
        </w:rPr>
      </w:pPr>
    </w:p>
    <w:p>
      <w:pPr>
        <w:spacing w:line="360" w:lineRule="auto"/>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采购编号：省港服（2022）年询第39号【新港】</w:t>
      </w:r>
    </w:p>
    <w:p>
      <w:pPr>
        <w:spacing w:line="480" w:lineRule="auto"/>
        <w:jc w:val="center"/>
        <w:rPr>
          <w:rFonts w:ascii="宋体" w:hAnsi="宋体" w:cs="宋体"/>
          <w:b/>
          <w:color w:val="000000"/>
          <w:kern w:val="0"/>
          <w:sz w:val="28"/>
          <w:szCs w:val="28"/>
        </w:rPr>
      </w:pPr>
    </w:p>
    <w:p>
      <w:pPr>
        <w:spacing w:line="480" w:lineRule="auto"/>
        <w:jc w:val="center"/>
        <w:rPr>
          <w:rFonts w:ascii="宋体" w:hAnsi="宋体" w:cs="宋体"/>
          <w:b/>
          <w:color w:val="000000"/>
          <w:kern w:val="0"/>
          <w:sz w:val="28"/>
          <w:szCs w:val="28"/>
        </w:rPr>
      </w:pPr>
    </w:p>
    <w:p>
      <w:pPr>
        <w:pStyle w:val="13"/>
        <w:rPr>
          <w:rFonts w:ascii="宋体" w:hAnsi="宋体" w:cs="宋体"/>
          <w:b/>
          <w:color w:val="000000"/>
          <w:kern w:val="0"/>
          <w:sz w:val="28"/>
          <w:szCs w:val="28"/>
        </w:rPr>
      </w:pPr>
    </w:p>
    <w:p>
      <w:pPr>
        <w:pStyle w:val="14"/>
      </w:pPr>
    </w:p>
    <w:p>
      <w:pPr>
        <w:snapToGrid w:val="0"/>
        <w:spacing w:line="480" w:lineRule="auto"/>
        <w:jc w:val="center"/>
        <w:rPr>
          <w:b/>
          <w:bCs/>
          <w:sz w:val="48"/>
          <w:szCs w:val="48"/>
        </w:rPr>
      </w:pPr>
    </w:p>
    <w:p>
      <w:pPr>
        <w:spacing w:line="600" w:lineRule="exact"/>
      </w:pPr>
    </w:p>
    <w:p>
      <w:pPr>
        <w:spacing w:line="600" w:lineRule="exact"/>
      </w:pPr>
    </w:p>
    <w:p>
      <w:pPr>
        <w:pStyle w:val="13"/>
      </w:pPr>
    </w:p>
    <w:p>
      <w:pPr>
        <w:pStyle w:val="14"/>
      </w:pPr>
    </w:p>
    <w:p>
      <w:pPr>
        <w:pStyle w:val="13"/>
      </w:pPr>
    </w:p>
    <w:p>
      <w:pPr>
        <w:pStyle w:val="14"/>
      </w:pPr>
    </w:p>
    <w:p>
      <w:pPr>
        <w:pStyle w:val="14"/>
      </w:pPr>
    </w:p>
    <w:p>
      <w:pPr>
        <w:pStyle w:val="14"/>
      </w:pPr>
    </w:p>
    <w:p>
      <w:pPr>
        <w:spacing w:line="600" w:lineRule="exact"/>
      </w:pPr>
    </w:p>
    <w:p/>
    <w:p/>
    <w:p>
      <w:pPr>
        <w:tabs>
          <w:tab w:val="left" w:pos="0"/>
          <w:tab w:val="left" w:pos="4185"/>
        </w:tabs>
        <w:spacing w:line="288" w:lineRule="auto"/>
        <w:ind w:right="-6"/>
        <w:jc w:val="center"/>
        <w:rPr>
          <w:rFonts w:ascii="黑体" w:hAnsi="黑体" w:eastAsia="黑体"/>
          <w:bCs/>
          <w:sz w:val="44"/>
          <w:szCs w:val="44"/>
        </w:rPr>
      </w:pPr>
      <w:r>
        <w:rPr>
          <w:rFonts w:hint="eastAsia" w:ascii="黑体" w:hAnsi="黑体" w:eastAsia="黑体"/>
          <w:bCs/>
          <w:sz w:val="44"/>
          <w:szCs w:val="44"/>
        </w:rPr>
        <w:t>二О二</w:t>
      </w:r>
      <w:r>
        <w:rPr>
          <w:rFonts w:hint="eastAsia" w:ascii="黑体" w:hAnsi="黑体" w:eastAsia="黑体"/>
          <w:bCs/>
          <w:sz w:val="44"/>
          <w:szCs w:val="44"/>
          <w:lang w:val="en-US" w:eastAsia="zh-CN"/>
        </w:rPr>
        <w:t>二</w:t>
      </w:r>
      <w:r>
        <w:rPr>
          <w:rFonts w:hint="eastAsia" w:ascii="黑体" w:hAnsi="黑体" w:eastAsia="黑体"/>
          <w:bCs/>
          <w:sz w:val="44"/>
          <w:szCs w:val="44"/>
        </w:rPr>
        <w:t>年</w:t>
      </w:r>
      <w:r>
        <w:rPr>
          <w:rFonts w:hint="eastAsia" w:ascii="黑体" w:hAnsi="黑体" w:eastAsia="黑体"/>
          <w:bCs/>
          <w:sz w:val="44"/>
          <w:szCs w:val="44"/>
          <w:lang w:val="en-US" w:eastAsia="zh-CN"/>
        </w:rPr>
        <w:t>八</w:t>
      </w:r>
      <w:r>
        <w:rPr>
          <w:rFonts w:hint="eastAsia" w:ascii="黑体" w:hAnsi="黑体" w:eastAsia="黑体"/>
          <w:bCs/>
          <w:sz w:val="44"/>
          <w:szCs w:val="44"/>
        </w:rPr>
        <w:t>月</w:t>
      </w:r>
    </w:p>
    <w:sdt>
      <w:sdtPr>
        <w:rPr>
          <w:rFonts w:ascii="宋体" w:hAnsi="宋体" w:eastAsia="宋体" w:cs="Times New Roman"/>
          <w:kern w:val="2"/>
          <w:sz w:val="21"/>
          <w:szCs w:val="24"/>
          <w:lang w:val="en-US" w:eastAsia="zh-CN" w:bidi="ar-SA"/>
        </w:rPr>
        <w:id w:val="147456291"/>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color w:val="auto"/>
              <w:sz w:val="40"/>
              <w:szCs w:val="48"/>
            </w:rPr>
          </w:pPr>
          <w:r>
            <w:rPr>
              <w:rFonts w:ascii="宋体" w:hAnsi="宋体" w:eastAsia="宋体"/>
              <w:color w:val="auto"/>
              <w:sz w:val="40"/>
              <w:szCs w:val="48"/>
            </w:rPr>
            <w:t>目录</w:t>
          </w:r>
        </w:p>
        <w:p>
          <w:pPr>
            <w:pStyle w:val="185"/>
            <w:tabs>
              <w:tab w:val="right" w:leader="dot" w:pos="9638"/>
            </w:tabs>
            <w:spacing w:line="520" w:lineRule="exact"/>
            <w:rPr>
              <w:rFonts w:hint="eastAsia" w:ascii="宋体" w:hAnsi="宋体" w:eastAsia="宋体" w:cs="宋体"/>
              <w:b w:val="0"/>
              <w:bCs w:val="0"/>
              <w:color w:val="auto"/>
              <w:sz w:val="24"/>
              <w:szCs w:val="24"/>
            </w:rPr>
          </w:pPr>
          <w:r>
            <w:fldChar w:fldCharType="begin"/>
          </w:r>
          <w:r>
            <w:instrText xml:space="preserve">TOC \o "1-1" \h \u </w:instrText>
          </w:r>
          <w:r>
            <w:fldChar w:fldCharType="separate"/>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_Toc19260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第一章 采购公告</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_Toc19260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85"/>
            <w:tabs>
              <w:tab w:val="right" w:leader="dot" w:pos="9638"/>
            </w:tabs>
            <w:spacing w:line="52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_Toc8184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第二章 供应商须知</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_Toc8184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5</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85"/>
            <w:tabs>
              <w:tab w:val="right" w:leader="dot" w:pos="9638"/>
            </w:tabs>
            <w:spacing w:line="52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_Toc17037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第三章 评审办法</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_Toc17037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20</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85"/>
            <w:tabs>
              <w:tab w:val="right" w:leader="dot" w:pos="9638"/>
            </w:tabs>
            <w:spacing w:line="52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_Toc231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第四章 合同条款及格式</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_Toc231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23</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85"/>
            <w:tabs>
              <w:tab w:val="right" w:leader="dot" w:pos="9638"/>
            </w:tabs>
            <w:spacing w:line="52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_Toc31289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第五章 采购需求</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_Toc31289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37</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85"/>
            <w:tabs>
              <w:tab w:val="right" w:leader="dot" w:pos="9638"/>
            </w:tabs>
            <w:spacing w:line="52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_Toc15629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第六章 响应文件格式</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_Toc15629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42</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85"/>
            <w:tabs>
              <w:tab w:val="right" w:leader="dot" w:pos="9638"/>
            </w:tabs>
            <w:spacing w:line="52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_Toc7868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一、 响应函</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_Toc7868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44</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85"/>
            <w:tabs>
              <w:tab w:val="right" w:leader="dot" w:pos="9638"/>
            </w:tabs>
            <w:spacing w:line="52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_Toc23011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二、授权委托书</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_Toc23011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47</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85"/>
            <w:tabs>
              <w:tab w:val="right" w:leader="dot" w:pos="9638"/>
            </w:tabs>
            <w:spacing w:line="52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_Toc21451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lang w:eastAsia="zh-CN"/>
            </w:rPr>
            <w:t>三</w:t>
          </w:r>
          <w:r>
            <w:rPr>
              <w:rFonts w:hint="eastAsia" w:ascii="宋体" w:hAnsi="宋体" w:eastAsia="宋体" w:cs="宋体"/>
              <w:b w:val="0"/>
              <w:bCs w:val="0"/>
              <w:color w:val="auto"/>
              <w:sz w:val="24"/>
              <w:szCs w:val="24"/>
            </w:rPr>
            <w:t>、商务和技术偏差表</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_Toc21451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48</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85"/>
            <w:tabs>
              <w:tab w:val="right" w:leader="dot" w:pos="9638"/>
            </w:tabs>
            <w:spacing w:line="52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_Toc31590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lang w:eastAsia="zh-CN"/>
            </w:rPr>
            <w:t>四</w:t>
          </w:r>
          <w:r>
            <w:rPr>
              <w:rFonts w:hint="eastAsia" w:ascii="宋体" w:hAnsi="宋体" w:eastAsia="宋体" w:cs="宋体"/>
              <w:b w:val="0"/>
              <w:bCs w:val="0"/>
              <w:color w:val="auto"/>
              <w:sz w:val="24"/>
              <w:szCs w:val="24"/>
            </w:rPr>
            <w:t>、报价表</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_Toc31590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49</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85"/>
            <w:tabs>
              <w:tab w:val="right" w:leader="dot" w:pos="9638"/>
            </w:tabs>
            <w:spacing w:line="52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_Toc15950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lang w:eastAsia="zh-CN"/>
            </w:rPr>
            <w:t>五</w:t>
          </w:r>
          <w:r>
            <w:rPr>
              <w:rFonts w:hint="eastAsia" w:ascii="宋体" w:hAnsi="宋体" w:eastAsia="宋体" w:cs="宋体"/>
              <w:b w:val="0"/>
              <w:bCs w:val="0"/>
              <w:color w:val="auto"/>
              <w:sz w:val="24"/>
              <w:szCs w:val="24"/>
            </w:rPr>
            <w:t>、资格审查资料</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_Toc15950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50</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85"/>
            <w:tabs>
              <w:tab w:val="right" w:leader="dot" w:pos="9638"/>
            </w:tabs>
            <w:spacing w:line="52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_Toc7006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lang w:eastAsia="zh-CN"/>
            </w:rPr>
            <w:t>六</w:t>
          </w:r>
          <w:r>
            <w:rPr>
              <w:rFonts w:hint="eastAsia" w:ascii="宋体" w:hAnsi="宋体" w:eastAsia="宋体" w:cs="宋体"/>
              <w:b w:val="0"/>
              <w:bCs w:val="0"/>
              <w:color w:val="auto"/>
              <w:sz w:val="24"/>
              <w:szCs w:val="24"/>
            </w:rPr>
            <w:t>、响应方案</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_Toc7006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52</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85"/>
            <w:tabs>
              <w:tab w:val="right" w:leader="dot" w:pos="9638"/>
            </w:tabs>
            <w:spacing w:line="520" w:lineRule="exact"/>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_Toc23045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lang w:eastAsia="zh-CN"/>
            </w:rPr>
            <w:t>七</w:t>
          </w:r>
          <w:r>
            <w:rPr>
              <w:rFonts w:hint="eastAsia" w:ascii="宋体" w:hAnsi="宋体" w:eastAsia="宋体" w:cs="宋体"/>
              <w:b w:val="0"/>
              <w:bCs w:val="0"/>
              <w:color w:val="auto"/>
              <w:sz w:val="24"/>
              <w:szCs w:val="24"/>
            </w:rPr>
            <w:t>、其他资料</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_Toc23045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53</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r>
            <w:fldChar w:fldCharType="end"/>
          </w:r>
        </w:p>
      </w:sdtContent>
    </w:sdt>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pStyle w:val="13"/>
        <w:jc w:val="center"/>
        <w:rPr>
          <w:szCs w:val="21"/>
        </w:rPr>
      </w:pPr>
    </w:p>
    <w:p>
      <w:pPr>
        <w:pStyle w:val="14"/>
        <w:rPr>
          <w:szCs w:val="21"/>
        </w:rPr>
      </w:pPr>
    </w:p>
    <w:p>
      <w:pPr>
        <w:pStyle w:val="14"/>
        <w:rPr>
          <w:szCs w:val="21"/>
        </w:rPr>
      </w:pPr>
    </w:p>
    <w:p>
      <w:pPr>
        <w:pStyle w:val="14"/>
        <w:rPr>
          <w:szCs w:val="21"/>
        </w:rPr>
      </w:pPr>
    </w:p>
    <w:p>
      <w:pPr>
        <w:pStyle w:val="14"/>
        <w:rPr>
          <w:szCs w:val="21"/>
        </w:rPr>
      </w:pPr>
    </w:p>
    <w:p>
      <w:pPr>
        <w:pStyle w:val="14"/>
        <w:rPr>
          <w:szCs w:val="21"/>
        </w:rPr>
      </w:pPr>
    </w:p>
    <w:p>
      <w:pPr>
        <w:pStyle w:val="14"/>
        <w:rPr>
          <w:szCs w:val="21"/>
        </w:rPr>
      </w:pPr>
    </w:p>
    <w:p>
      <w:pPr>
        <w:pStyle w:val="14"/>
        <w:rPr>
          <w:szCs w:val="21"/>
        </w:rPr>
      </w:pPr>
    </w:p>
    <w:p>
      <w:pPr>
        <w:pStyle w:val="14"/>
        <w:rPr>
          <w:szCs w:val="21"/>
        </w:rPr>
      </w:pPr>
    </w:p>
    <w:p>
      <w:pPr>
        <w:pStyle w:val="14"/>
        <w:rPr>
          <w:szCs w:val="21"/>
        </w:rPr>
        <w:sectPr>
          <w:headerReference r:id="rId5" w:type="default"/>
          <w:footerReference r:id="rId6" w:type="default"/>
          <w:pgSz w:w="11906" w:h="16838"/>
          <w:pgMar w:top="1440" w:right="1134" w:bottom="1440" w:left="1134" w:header="851" w:footer="992" w:gutter="0"/>
          <w:pgNumType w:fmt="decimal" w:start="1"/>
          <w:cols w:space="720" w:num="1"/>
          <w:docGrid w:type="lines" w:linePitch="312" w:charSpace="0"/>
        </w:sectPr>
      </w:pPr>
    </w:p>
    <w:p>
      <w:pPr>
        <w:pStyle w:val="74"/>
        <w:numPr>
          <w:ilvl w:val="0"/>
          <w:numId w:val="1"/>
        </w:numPr>
        <w:spacing w:line="600" w:lineRule="exact"/>
        <w:ind w:firstLineChars="0"/>
        <w:jc w:val="center"/>
        <w:outlineLvl w:val="0"/>
        <w:rPr>
          <w:rFonts w:ascii="黑体" w:hAnsi="黑体" w:eastAsia="黑体" w:cs="仿宋"/>
          <w:b/>
          <w:color w:val="000000"/>
          <w:sz w:val="36"/>
          <w:szCs w:val="36"/>
        </w:rPr>
      </w:pPr>
      <w:bookmarkStart w:id="0" w:name="_Toc19260"/>
      <w:r>
        <w:rPr>
          <w:rFonts w:hint="eastAsia" w:ascii="黑体" w:hAnsi="黑体" w:eastAsia="黑体" w:cs="仿宋"/>
          <w:b/>
          <w:color w:val="000000"/>
          <w:sz w:val="36"/>
          <w:szCs w:val="36"/>
        </w:rPr>
        <w:t>采购公告</w:t>
      </w:r>
      <w:bookmarkEnd w:id="0"/>
    </w:p>
    <w:p>
      <w:pPr>
        <w:spacing w:before="0" w:beforeAutospacing="0" w:after="0" w:afterAutospacing="0"/>
        <w:ind w:firstLine="0" w:firstLineChars="0"/>
        <w:jc w:val="center"/>
        <w:rPr>
          <w:rFonts w:hint="eastAsia" w:ascii="黑体" w:hAnsi="黑体" w:eastAsia="黑体" w:cs="Times New Roman"/>
          <w:color w:val="000000"/>
          <w:kern w:val="2"/>
          <w:sz w:val="32"/>
          <w:szCs w:val="32"/>
          <w:u w:val="none"/>
          <w:lang w:val="en-US" w:eastAsia="zh-CN" w:bidi="ar"/>
        </w:rPr>
      </w:pPr>
    </w:p>
    <w:p>
      <w:pPr>
        <w:spacing w:before="0" w:beforeAutospacing="0" w:after="0" w:afterAutospacing="0"/>
        <w:ind w:firstLine="0" w:firstLineChars="0"/>
        <w:jc w:val="center"/>
        <w:rPr>
          <w:rFonts w:hint="eastAsia" w:ascii="黑体" w:hAnsi="黑体" w:eastAsia="黑体" w:cs="Times New Roman"/>
          <w:color w:val="000000"/>
          <w:kern w:val="2"/>
          <w:sz w:val="32"/>
          <w:szCs w:val="32"/>
          <w:u w:val="none"/>
          <w:lang w:val="en-US" w:eastAsia="zh-CN" w:bidi="ar"/>
        </w:rPr>
      </w:pPr>
      <w:r>
        <w:rPr>
          <w:rFonts w:hint="eastAsia" w:ascii="黑体" w:hAnsi="黑体" w:eastAsia="黑体" w:cs="Times New Roman"/>
          <w:color w:val="000000"/>
          <w:kern w:val="2"/>
          <w:sz w:val="32"/>
          <w:szCs w:val="32"/>
          <w:u w:val="none"/>
          <w:lang w:val="en-US" w:eastAsia="zh-CN" w:bidi="ar"/>
        </w:rPr>
        <w:t>岳阳城陵矶新港有限公司</w:t>
      </w:r>
    </w:p>
    <w:p>
      <w:pPr>
        <w:spacing w:before="0" w:beforeAutospacing="0" w:after="0" w:afterAutospacing="0"/>
        <w:ind w:firstLine="0" w:firstLineChars="0"/>
        <w:jc w:val="center"/>
        <w:rPr>
          <w:rFonts w:ascii="黑体" w:hAnsi="黑体" w:eastAsia="黑体"/>
          <w:sz w:val="32"/>
          <w:szCs w:val="32"/>
          <w:u w:val="none"/>
        </w:rPr>
      </w:pPr>
      <w:r>
        <w:rPr>
          <w:rFonts w:hint="eastAsia" w:ascii="黑体" w:hAnsi="黑体" w:eastAsia="黑体" w:cs="Times New Roman"/>
          <w:color w:val="000000"/>
          <w:kern w:val="2"/>
          <w:sz w:val="32"/>
          <w:szCs w:val="32"/>
          <w:u w:val="none"/>
          <w:lang w:val="en-US" w:eastAsia="zh-CN" w:bidi="ar"/>
        </w:rPr>
        <w:t>消防维保检测评估服务项目询价</w:t>
      </w:r>
      <w:r>
        <w:rPr>
          <w:rFonts w:hint="eastAsia" w:ascii="黑体" w:hAnsi="黑体" w:eastAsia="黑体"/>
          <w:sz w:val="32"/>
          <w:szCs w:val="32"/>
          <w:u w:val="none"/>
        </w:rPr>
        <w:t>采购公告</w:t>
      </w:r>
    </w:p>
    <w:p>
      <w:pPr>
        <w:pStyle w:val="32"/>
        <w:spacing w:before="0" w:beforeAutospacing="0" w:after="0" w:afterAutospacing="0"/>
        <w:ind w:firstLine="2880" w:firstLineChars="1200"/>
        <w:jc w:val="both"/>
      </w:pPr>
      <w:r>
        <w:rPr>
          <w:rFonts w:hint="eastAsia"/>
        </w:rPr>
        <w:t xml:space="preserve"> </w:t>
      </w:r>
    </w:p>
    <w:p>
      <w:pPr>
        <w:autoSpaceDE/>
        <w:spacing w:line="240" w:lineRule="auto"/>
        <w:jc w:val="left"/>
        <w:rPr>
          <w:rFonts w:ascii="宋体" w:hAnsi="宋体"/>
          <w:sz w:val="24"/>
        </w:rPr>
      </w:pPr>
      <w:r>
        <w:rPr>
          <w:rFonts w:hint="eastAsia" w:ascii="宋体" w:hAnsi="宋体"/>
        </w:rPr>
        <w:t xml:space="preserve">  </w:t>
      </w:r>
      <w:r>
        <w:rPr>
          <w:rFonts w:hint="eastAsia" w:ascii="宋体" w:hAnsi="宋体"/>
          <w:lang w:val="en-US" w:eastAsia="zh-CN"/>
        </w:rPr>
        <w:t xml:space="preserve">   </w:t>
      </w:r>
      <w:r>
        <w:rPr>
          <w:rFonts w:hint="eastAsia" w:ascii="宋体" w:hAnsi="宋体" w:eastAsia="宋体" w:cs="Times New Roman"/>
          <w:color w:val="auto"/>
          <w:kern w:val="2"/>
          <w:sz w:val="24"/>
          <w:szCs w:val="24"/>
          <w:lang w:val="en-US" w:eastAsia="zh-CN" w:bidi="ar"/>
        </w:rPr>
        <w:t>岳阳城陵矶新港有限公司</w:t>
      </w:r>
      <w:r>
        <w:rPr>
          <w:rFonts w:hint="eastAsia" w:ascii="宋体" w:hAnsi="宋体" w:cs="Times New Roman"/>
          <w:color w:val="auto"/>
          <w:kern w:val="2"/>
          <w:sz w:val="24"/>
          <w:szCs w:val="24"/>
          <w:lang w:val="en-US" w:eastAsia="zh-CN" w:bidi="ar"/>
        </w:rPr>
        <w:t>消防维保检测评估服务项目经湖南省港务集团有限公司批准</w:t>
      </w:r>
      <w:r>
        <w:rPr>
          <w:rFonts w:hint="eastAsia" w:ascii="宋体" w:hAnsi="宋体"/>
          <w:sz w:val="24"/>
        </w:rPr>
        <w:t xml:space="preserve">已具备采购条件，现公开邀请供应商参加采购活动。 </w:t>
      </w:r>
    </w:p>
    <w:p>
      <w:pPr>
        <w:pStyle w:val="5"/>
        <w:jc w:val="both"/>
        <w:rPr>
          <w:rFonts w:ascii="Arial" w:hAnsi="Arial"/>
        </w:rPr>
      </w:pPr>
      <w:r>
        <w:rPr>
          <w:rFonts w:hint="eastAsia"/>
          <w:lang w:val="en-US" w:eastAsia="zh-CN"/>
        </w:rPr>
        <w:t>一、</w:t>
      </w:r>
      <w:r>
        <w:rPr>
          <w:rFonts w:hint="eastAsia" w:ascii="黑体" w:hAnsi="黑体"/>
        </w:rPr>
        <w:t xml:space="preserve">采购项目简介 </w:t>
      </w:r>
    </w:p>
    <w:p>
      <w:pPr>
        <w:keepNext w:val="0"/>
        <w:keepLines w:val="0"/>
        <w:widowControl/>
        <w:suppressLineNumbers w:val="0"/>
        <w:jc w:val="left"/>
        <w:rPr>
          <w:rFonts w:hint="eastAsia" w:ascii="宋体" w:hAnsi="宋体" w:eastAsia="宋体" w:cs="宋体"/>
          <w:sz w:val="24"/>
        </w:rPr>
      </w:pP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一</w:t>
      </w:r>
      <w:r>
        <w:rPr>
          <w:rFonts w:hint="eastAsia" w:ascii="宋体" w:hAnsi="宋体" w:eastAsia="宋体" w:cs="宋体"/>
          <w:b w:val="0"/>
          <w:bCs w:val="0"/>
          <w:sz w:val="24"/>
          <w:lang w:eastAsia="zh-CN"/>
        </w:rPr>
        <w:t>）</w:t>
      </w:r>
      <w:r>
        <w:rPr>
          <w:rFonts w:hint="eastAsia" w:ascii="宋体" w:hAnsi="宋体" w:eastAsia="宋体" w:cs="宋体"/>
          <w:sz w:val="24"/>
        </w:rPr>
        <w:t>采购项目名称:</w:t>
      </w:r>
      <w:r>
        <w:rPr>
          <w:rFonts w:hint="eastAsia" w:ascii="宋体" w:hAnsi="宋体" w:eastAsia="宋体" w:cs="宋体"/>
          <w:color w:val="auto"/>
          <w:kern w:val="2"/>
          <w:sz w:val="24"/>
          <w:szCs w:val="24"/>
          <w:u w:val="none"/>
          <w:lang w:val="en-US" w:eastAsia="zh-CN" w:bidi="ar"/>
        </w:rPr>
        <w:t>岳阳城陵矶新港有限公司消防维保检测评估服务项目</w:t>
      </w:r>
    </w:p>
    <w:p>
      <w:pPr>
        <w:autoSpaceDE w:val="0"/>
        <w:spacing w:line="400" w:lineRule="exact"/>
        <w:jc w:val="both"/>
        <w:rPr>
          <w:rFonts w:hint="eastAsia" w:ascii="宋体" w:hAnsi="宋体" w:eastAsia="宋体" w:cs="宋体"/>
          <w:b w:val="0"/>
          <w:bCs w:val="0"/>
          <w:sz w:val="24"/>
        </w:rPr>
      </w:pP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二</w:t>
      </w:r>
      <w:r>
        <w:rPr>
          <w:rFonts w:hint="eastAsia" w:ascii="宋体" w:hAnsi="宋体" w:eastAsia="宋体" w:cs="宋体"/>
          <w:b w:val="0"/>
          <w:bCs w:val="0"/>
          <w:sz w:val="24"/>
          <w:lang w:eastAsia="zh-CN"/>
        </w:rPr>
        <w:t>）</w:t>
      </w:r>
      <w:r>
        <w:rPr>
          <w:rFonts w:hint="eastAsia" w:ascii="宋体" w:hAnsi="宋体" w:eastAsia="宋体" w:cs="宋体"/>
          <w:sz w:val="24"/>
        </w:rPr>
        <w:t>采购人:</w:t>
      </w:r>
      <w:r>
        <w:rPr>
          <w:rFonts w:hint="eastAsia" w:ascii="宋体" w:hAnsi="宋体" w:eastAsia="宋体" w:cs="宋体"/>
          <w:sz w:val="24"/>
          <w:u w:val="none"/>
          <w:lang w:eastAsia="zh-CN"/>
        </w:rPr>
        <w:t>岳阳城陵矶新港有限公司</w:t>
      </w:r>
    </w:p>
    <w:p>
      <w:pPr>
        <w:autoSpaceDE w:val="0"/>
        <w:spacing w:line="400" w:lineRule="exact"/>
        <w:jc w:val="both"/>
        <w:rPr>
          <w:rFonts w:hint="eastAsia" w:ascii="宋体" w:hAnsi="宋体" w:eastAsia="宋体" w:cs="宋体"/>
          <w:sz w:val="24"/>
          <w:highlight w:val="none"/>
        </w:rPr>
      </w:pP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lang w:val="en-US" w:eastAsia="zh-CN"/>
        </w:rPr>
        <w:t>三</w:t>
      </w:r>
      <w:r>
        <w:rPr>
          <w:rFonts w:hint="eastAsia" w:ascii="宋体" w:hAnsi="宋体" w:eastAsia="宋体" w:cs="宋体"/>
          <w:b w:val="0"/>
          <w:bCs w:val="0"/>
          <w:sz w:val="24"/>
          <w:highlight w:val="none"/>
          <w:lang w:eastAsia="zh-CN"/>
        </w:rPr>
        <w:t>）</w:t>
      </w:r>
      <w:r>
        <w:rPr>
          <w:rFonts w:hint="eastAsia" w:ascii="宋体" w:hAnsi="宋体" w:eastAsia="宋体" w:cs="宋体"/>
          <w:sz w:val="24"/>
          <w:highlight w:val="none"/>
        </w:rPr>
        <w:t>采购代理机构:</w:t>
      </w:r>
      <w:r>
        <w:rPr>
          <w:rFonts w:hint="eastAsia" w:ascii="宋体" w:hAnsi="宋体" w:eastAsia="宋体" w:cs="宋体"/>
          <w:sz w:val="24"/>
          <w:highlight w:val="none"/>
          <w:u w:val="none"/>
          <w:lang w:eastAsia="zh-CN"/>
        </w:rPr>
        <w:t>无</w:t>
      </w:r>
    </w:p>
    <w:p>
      <w:pPr>
        <w:autoSpaceDE w:val="0"/>
        <w:spacing w:line="400" w:lineRule="exact"/>
        <w:jc w:val="both"/>
        <w:rPr>
          <w:rFonts w:hint="eastAsia" w:ascii="宋体" w:hAnsi="宋体" w:eastAsia="宋体" w:cs="宋体"/>
          <w:sz w:val="24"/>
          <w:highlight w:val="none"/>
        </w:rPr>
      </w:pP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lang w:val="en-US" w:eastAsia="zh-CN"/>
        </w:rPr>
        <w:t>四</w:t>
      </w:r>
      <w:r>
        <w:rPr>
          <w:rFonts w:hint="eastAsia" w:ascii="宋体" w:hAnsi="宋体" w:eastAsia="宋体" w:cs="宋体"/>
          <w:b w:val="0"/>
          <w:bCs w:val="0"/>
          <w:sz w:val="24"/>
          <w:highlight w:val="none"/>
          <w:lang w:eastAsia="zh-CN"/>
        </w:rPr>
        <w:t>）</w:t>
      </w:r>
      <w:r>
        <w:rPr>
          <w:rFonts w:hint="eastAsia" w:ascii="宋体" w:hAnsi="宋体" w:eastAsia="宋体" w:cs="宋体"/>
          <w:sz w:val="24"/>
          <w:highlight w:val="none"/>
        </w:rPr>
        <w:t>采购项目资金落实情况:</w:t>
      </w:r>
      <w:r>
        <w:rPr>
          <w:rFonts w:hint="eastAsia" w:ascii="宋体" w:hAnsi="宋体" w:eastAsia="宋体" w:cs="宋体"/>
          <w:sz w:val="24"/>
          <w:highlight w:val="none"/>
          <w:u w:val="none"/>
          <w:lang w:eastAsia="zh-CN"/>
        </w:rPr>
        <w:t>已落实</w:t>
      </w:r>
    </w:p>
    <w:p>
      <w:pPr>
        <w:autoSpaceDE w:val="0"/>
        <w:spacing w:line="400" w:lineRule="exact"/>
        <w:jc w:val="both"/>
        <w:rPr>
          <w:rFonts w:hint="eastAsia" w:ascii="宋体" w:hAnsi="宋体" w:eastAsia="宋体" w:cs="宋体"/>
          <w:color w:val="auto"/>
          <w:kern w:val="44"/>
          <w:sz w:val="24"/>
          <w:szCs w:val="24"/>
          <w:highlight w:val="none"/>
          <w:u w:val="none"/>
          <w:lang w:val="en-US"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五</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采购项目概况: </w:t>
      </w:r>
      <w:r>
        <w:rPr>
          <w:rFonts w:hint="eastAsia" w:ascii="宋体" w:hAnsi="宋体" w:eastAsia="宋体" w:cs="宋体"/>
          <w:i w:val="0"/>
          <w:iCs w:val="0"/>
          <w:color w:val="auto"/>
          <w:sz w:val="24"/>
          <w:szCs w:val="24"/>
          <w:highlight w:val="none"/>
          <w:u w:val="none"/>
          <w:lang w:val="zh-CN" w:eastAsia="zh-CN"/>
        </w:rPr>
        <w:t>岳阳城陵矶新港有限公司</w:t>
      </w:r>
      <w:r>
        <w:rPr>
          <w:rFonts w:hint="eastAsia" w:ascii="宋体" w:hAnsi="宋体" w:eastAsia="宋体" w:cs="宋体"/>
          <w:i w:val="0"/>
          <w:iCs w:val="0"/>
          <w:color w:val="auto"/>
          <w:sz w:val="24"/>
          <w:szCs w:val="24"/>
          <w:highlight w:val="none"/>
          <w:u w:val="none"/>
          <w:lang w:val="en-US" w:eastAsia="zh-CN"/>
        </w:rPr>
        <w:t>主要从事集装箱装缷、堆存、中转、冷藏及拆装箱业务，</w:t>
      </w:r>
      <w:r>
        <w:rPr>
          <w:rFonts w:hint="eastAsia" w:ascii="宋体" w:hAnsi="宋体" w:cs="宋体"/>
          <w:i w:val="0"/>
          <w:iCs w:val="0"/>
          <w:color w:val="auto"/>
          <w:sz w:val="24"/>
          <w:szCs w:val="24"/>
          <w:highlight w:val="none"/>
          <w:u w:val="none"/>
          <w:lang w:val="en-US" w:eastAsia="zh-CN"/>
        </w:rPr>
        <w:t>公司</w:t>
      </w:r>
      <w:r>
        <w:rPr>
          <w:rFonts w:hint="eastAsia" w:ascii="宋体" w:hAnsi="宋体" w:eastAsia="宋体" w:cs="宋体"/>
          <w:color w:val="auto"/>
          <w:kern w:val="44"/>
          <w:sz w:val="24"/>
          <w:szCs w:val="24"/>
          <w:highlight w:val="none"/>
          <w:u w:val="none"/>
          <w:lang w:val="en-US" w:eastAsia="zh-CN"/>
        </w:rPr>
        <w:t>所有消防安全设施设备系统包含</w:t>
      </w:r>
      <w:r>
        <w:rPr>
          <w:rFonts w:hint="eastAsia" w:ascii="宋体" w:hAnsi="宋体" w:eastAsia="宋体" w:cs="宋体"/>
          <w:color w:val="auto"/>
          <w:kern w:val="0"/>
          <w:sz w:val="24"/>
          <w:szCs w:val="24"/>
          <w:highlight w:val="none"/>
          <w:lang w:eastAsia="zh-CN"/>
        </w:rPr>
        <w:t>火灾自动报警系统</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室内消火栓、室外消火栓</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自动喷水灭火系统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气体灭火系统 </w:t>
      </w:r>
      <w:r>
        <w:rPr>
          <w:rFonts w:hint="eastAsia" w:ascii="宋体" w:hAnsi="宋体" w:eastAsia="宋体" w:cs="宋体"/>
          <w:color w:val="auto"/>
          <w:kern w:val="0"/>
          <w:sz w:val="24"/>
          <w:szCs w:val="24"/>
          <w:highlight w:val="none"/>
          <w:lang w:eastAsia="zh-CN"/>
        </w:rPr>
        <w:t>、应急照明和疏散指示标志、消防分隔设施</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、灭火器</w:t>
      </w:r>
      <w:r>
        <w:rPr>
          <w:rFonts w:hint="eastAsia" w:ascii="宋体" w:hAnsi="宋体" w:eastAsia="宋体" w:cs="宋体"/>
          <w:color w:val="auto"/>
          <w:kern w:val="44"/>
          <w:sz w:val="24"/>
          <w:szCs w:val="24"/>
          <w:highlight w:val="none"/>
          <w:u w:val="none"/>
          <w:lang w:val="en-US" w:eastAsia="zh-CN"/>
        </w:rPr>
        <w:t>及其他建筑消防设施等。</w:t>
      </w:r>
      <w:r>
        <w:rPr>
          <w:rFonts w:hint="eastAsia" w:ascii="宋体" w:hAnsi="宋体" w:cs="宋体"/>
          <w:i w:val="0"/>
          <w:iCs w:val="0"/>
          <w:color w:val="auto"/>
          <w:sz w:val="24"/>
          <w:szCs w:val="24"/>
          <w:highlight w:val="none"/>
          <w:u w:val="none"/>
          <w:lang w:val="en-US" w:eastAsia="zh-CN"/>
        </w:rPr>
        <w:t>本</w:t>
      </w:r>
      <w:r>
        <w:rPr>
          <w:rFonts w:hint="eastAsia" w:ascii="宋体" w:hAnsi="宋体" w:eastAsia="宋体" w:cs="宋体"/>
          <w:i w:val="0"/>
          <w:iCs w:val="0"/>
          <w:color w:val="auto"/>
          <w:sz w:val="24"/>
          <w:szCs w:val="24"/>
          <w:highlight w:val="none"/>
          <w:u w:val="none"/>
          <w:lang w:val="zh-CN" w:eastAsia="zh-CN"/>
        </w:rPr>
        <w:t>项目</w:t>
      </w:r>
      <w:r>
        <w:rPr>
          <w:rFonts w:hint="eastAsia" w:ascii="宋体" w:hAnsi="宋体" w:cs="宋体"/>
          <w:i w:val="0"/>
          <w:iCs w:val="0"/>
          <w:color w:val="auto"/>
          <w:sz w:val="24"/>
          <w:szCs w:val="24"/>
          <w:highlight w:val="none"/>
          <w:u w:val="none"/>
          <w:lang w:val="en-US" w:eastAsia="zh-CN"/>
        </w:rPr>
        <w:t>询价内容含消防月度维保、消防年度检测、消防年度评估。</w:t>
      </w:r>
    </w:p>
    <w:p>
      <w:pPr>
        <w:pStyle w:val="5"/>
        <w:jc w:val="both"/>
        <w:rPr>
          <w:rFonts w:ascii="Arial" w:hAnsi="Arial"/>
        </w:rPr>
      </w:pPr>
      <w:r>
        <w:rPr>
          <w:rFonts w:hint="eastAsia"/>
          <w:lang w:val="en-US" w:eastAsia="zh-CN"/>
        </w:rPr>
        <w:t>二、</w:t>
      </w:r>
      <w:r>
        <w:rPr>
          <w:rFonts w:hint="eastAsia" w:ascii="黑体" w:hAnsi="黑体"/>
        </w:rPr>
        <w:t xml:space="preserve">采购范围及相关要求 </w:t>
      </w:r>
    </w:p>
    <w:p>
      <w:pPr>
        <w:numPr>
          <w:ilvl w:val="255"/>
          <w:numId w:val="0"/>
        </w:numPr>
        <w:spacing w:line="360" w:lineRule="auto"/>
        <w:ind w:firstLine="0" w:firstLineChars="0"/>
        <w:jc w:val="left"/>
        <w:rPr>
          <w:rFonts w:hint="eastAsia" w:ascii="Times New Roman" w:hAnsi="Times New Roman" w:cs="Times New Roman"/>
          <w:b w:val="0"/>
          <w:bCs w:val="0"/>
          <w:color w:val="auto"/>
          <w:kern w:val="44"/>
          <w:sz w:val="24"/>
          <w:szCs w:val="24"/>
          <w:u w:val="none"/>
          <w:lang w:val="en-US" w:eastAsia="zh-CN"/>
        </w:rPr>
      </w:pPr>
      <w:r>
        <w:rPr>
          <w:rFonts w:hint="eastAsia" w:ascii="Times New Roman" w:hAnsi="Times New Roman" w:cs="Times New Roman"/>
          <w:b w:val="0"/>
          <w:bCs w:val="0"/>
          <w:color w:val="auto"/>
          <w:kern w:val="44"/>
          <w:sz w:val="24"/>
          <w:u w:val="none"/>
          <w:lang w:eastAsia="zh-CN"/>
        </w:rPr>
        <w:t>（</w:t>
      </w:r>
      <w:r>
        <w:rPr>
          <w:rFonts w:hint="eastAsia" w:ascii="Times New Roman" w:hAnsi="Times New Roman" w:cs="Times New Roman"/>
          <w:b w:val="0"/>
          <w:bCs w:val="0"/>
          <w:color w:val="auto"/>
          <w:kern w:val="44"/>
          <w:sz w:val="24"/>
          <w:u w:val="none"/>
          <w:lang w:val="en-US" w:eastAsia="zh-CN"/>
        </w:rPr>
        <w:t>一</w:t>
      </w:r>
      <w:r>
        <w:rPr>
          <w:rFonts w:hint="eastAsia" w:ascii="Times New Roman" w:hAnsi="Times New Roman" w:cs="Times New Roman"/>
          <w:b w:val="0"/>
          <w:bCs w:val="0"/>
          <w:color w:val="auto"/>
          <w:kern w:val="44"/>
          <w:sz w:val="24"/>
          <w:u w:val="none"/>
          <w:lang w:eastAsia="zh-CN"/>
        </w:rPr>
        <w:t>）</w:t>
      </w:r>
      <w:r>
        <w:rPr>
          <w:rFonts w:hint="eastAsia" w:ascii="Times New Roman" w:hAnsi="Times New Roman" w:cs="Times New Roman"/>
          <w:b w:val="0"/>
          <w:bCs w:val="0"/>
          <w:color w:val="auto"/>
          <w:kern w:val="44"/>
          <w:sz w:val="24"/>
          <w:u w:val="none"/>
        </w:rPr>
        <w:t xml:space="preserve"> </w:t>
      </w:r>
      <w:r>
        <w:rPr>
          <w:rFonts w:hint="eastAsia" w:ascii="Times New Roman" w:hAnsi="Times New Roman" w:cs="Times New Roman"/>
          <w:b w:val="0"/>
          <w:bCs w:val="0"/>
          <w:color w:val="auto"/>
          <w:kern w:val="44"/>
          <w:sz w:val="24"/>
          <w:szCs w:val="24"/>
          <w:u w:val="none"/>
          <w:lang w:eastAsia="zh-CN"/>
        </w:rPr>
        <w:t>询价</w:t>
      </w:r>
      <w:r>
        <w:rPr>
          <w:rFonts w:hint="eastAsia" w:ascii="Times New Roman" w:hAnsi="Times New Roman" w:cs="Times New Roman"/>
          <w:b w:val="0"/>
          <w:bCs w:val="0"/>
          <w:color w:val="auto"/>
          <w:kern w:val="44"/>
          <w:sz w:val="24"/>
          <w:szCs w:val="24"/>
          <w:u w:val="none"/>
        </w:rPr>
        <w:t>范围：</w:t>
      </w:r>
      <w:r>
        <w:rPr>
          <w:rFonts w:hint="eastAsia" w:ascii="Times New Roman" w:hAnsi="Times New Roman" w:cs="Times New Roman"/>
          <w:b w:val="0"/>
          <w:bCs w:val="0"/>
          <w:color w:val="auto"/>
          <w:kern w:val="44"/>
          <w:sz w:val="24"/>
          <w:szCs w:val="24"/>
          <w:u w:val="none"/>
          <w:lang w:eastAsia="zh-CN"/>
        </w:rPr>
        <w:t>新港公司</w:t>
      </w:r>
      <w:r>
        <w:rPr>
          <w:rFonts w:hint="eastAsia" w:ascii="Times New Roman" w:hAnsi="Times New Roman" w:cs="Times New Roman"/>
          <w:b w:val="0"/>
          <w:bCs w:val="0"/>
          <w:color w:val="auto"/>
          <w:kern w:val="44"/>
          <w:sz w:val="24"/>
          <w:szCs w:val="24"/>
          <w:u w:val="none"/>
          <w:lang w:val="zh-CN" w:eastAsia="zh-CN"/>
        </w:rPr>
        <w:t>消防</w:t>
      </w:r>
      <w:r>
        <w:rPr>
          <w:rFonts w:hint="eastAsia" w:ascii="Times New Roman" w:hAnsi="Times New Roman" w:cs="Times New Roman"/>
          <w:b w:val="0"/>
          <w:bCs w:val="0"/>
          <w:color w:val="auto"/>
          <w:kern w:val="44"/>
          <w:sz w:val="24"/>
          <w:szCs w:val="24"/>
          <w:u w:val="none"/>
          <w:lang w:val="en-US" w:eastAsia="zh-CN"/>
        </w:rPr>
        <w:t>设施</w:t>
      </w:r>
      <w:r>
        <w:rPr>
          <w:rFonts w:hint="eastAsia" w:ascii="Times New Roman" w:hAnsi="Times New Roman" w:eastAsia="宋体" w:cs="Times New Roman"/>
          <w:b w:val="0"/>
          <w:bCs w:val="0"/>
          <w:color w:val="auto"/>
          <w:kern w:val="44"/>
          <w:sz w:val="24"/>
          <w:szCs w:val="24"/>
          <w:u w:val="none"/>
          <w:lang w:val="zh-CN" w:eastAsia="zh-CN"/>
        </w:rPr>
        <w:t>维保</w:t>
      </w:r>
      <w:r>
        <w:rPr>
          <w:rFonts w:hint="eastAsia" w:ascii="Times New Roman" w:hAnsi="Times New Roman" w:cs="Times New Roman"/>
          <w:b w:val="0"/>
          <w:bCs w:val="0"/>
          <w:color w:val="auto"/>
          <w:kern w:val="44"/>
          <w:sz w:val="24"/>
          <w:szCs w:val="24"/>
          <w:u w:val="none"/>
          <w:lang w:val="zh-CN" w:eastAsia="zh-CN"/>
        </w:rPr>
        <w:t>检测</w:t>
      </w:r>
      <w:r>
        <w:rPr>
          <w:rFonts w:hint="eastAsia" w:ascii="Times New Roman" w:hAnsi="Times New Roman" w:eastAsia="宋体" w:cs="Times New Roman"/>
          <w:b w:val="0"/>
          <w:bCs w:val="0"/>
          <w:color w:val="auto"/>
          <w:kern w:val="44"/>
          <w:sz w:val="24"/>
          <w:szCs w:val="24"/>
          <w:u w:val="none"/>
          <w:lang w:val="en-US" w:eastAsia="zh-CN"/>
        </w:rPr>
        <w:t>评估</w:t>
      </w:r>
      <w:r>
        <w:rPr>
          <w:rFonts w:hint="eastAsia" w:ascii="Times New Roman" w:hAnsi="Times New Roman" w:eastAsia="宋体" w:cs="Times New Roman"/>
          <w:b w:val="0"/>
          <w:bCs w:val="0"/>
          <w:color w:val="auto"/>
          <w:kern w:val="44"/>
          <w:sz w:val="24"/>
          <w:szCs w:val="24"/>
          <w:u w:val="none"/>
          <w:lang w:val="zh-CN" w:eastAsia="zh-CN"/>
        </w:rPr>
        <w:t>项目</w:t>
      </w:r>
      <w:r>
        <w:rPr>
          <w:rFonts w:hint="eastAsia" w:ascii="Times New Roman" w:hAnsi="Times New Roman" w:cs="Times New Roman"/>
          <w:b w:val="0"/>
          <w:bCs w:val="0"/>
          <w:color w:val="auto"/>
          <w:kern w:val="44"/>
          <w:sz w:val="24"/>
          <w:szCs w:val="24"/>
          <w:u w:val="none"/>
          <w:lang w:val="zh-CN" w:eastAsia="zh-CN"/>
        </w:rPr>
        <w:t>询价</w:t>
      </w:r>
      <w:r>
        <w:rPr>
          <w:rFonts w:hint="eastAsia" w:ascii="Times New Roman" w:hAnsi="Times New Roman" w:cs="Times New Roman"/>
          <w:b w:val="0"/>
          <w:bCs w:val="0"/>
          <w:color w:val="auto"/>
          <w:kern w:val="44"/>
          <w:sz w:val="24"/>
          <w:szCs w:val="24"/>
          <w:u w:val="none"/>
          <w:lang w:val="en-US" w:eastAsia="zh-CN"/>
        </w:rPr>
        <w:t>内容</w:t>
      </w:r>
      <w:r>
        <w:rPr>
          <w:rFonts w:hint="eastAsia" w:cs="Times New Roman"/>
          <w:b w:val="0"/>
          <w:bCs w:val="0"/>
          <w:color w:val="auto"/>
          <w:kern w:val="44"/>
          <w:sz w:val="24"/>
          <w:szCs w:val="24"/>
          <w:u w:val="none"/>
          <w:lang w:val="en-US" w:eastAsia="zh-CN"/>
        </w:rPr>
        <w:t>如下</w:t>
      </w:r>
      <w:r>
        <w:rPr>
          <w:rFonts w:hint="eastAsia" w:ascii="Times New Roman" w:hAnsi="Times New Roman" w:cs="Times New Roman"/>
          <w:b w:val="0"/>
          <w:bCs w:val="0"/>
          <w:color w:val="auto"/>
          <w:kern w:val="44"/>
          <w:sz w:val="24"/>
          <w:szCs w:val="24"/>
          <w:u w:val="none"/>
          <w:lang w:val="en-US" w:eastAsia="zh-CN"/>
        </w:rPr>
        <w:t>：</w:t>
      </w:r>
    </w:p>
    <w:p>
      <w:pPr>
        <w:pStyle w:val="46"/>
        <w:rPr>
          <w:rFonts w:hint="eastAsia"/>
          <w:lang w:val="en-US" w:eastAsia="zh-CN"/>
        </w:rPr>
      </w:pPr>
    </w:p>
    <w:tbl>
      <w:tblPr>
        <w:tblStyle w:val="37"/>
        <w:tblW w:w="84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7"/>
        <w:gridCol w:w="1061"/>
        <w:gridCol w:w="6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消防设施维保</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对火灾自动报警系统、自动喷水灭火系统、气体灭火系统、室内消火栓、室外消火栓、消防分隔设施 、应急照明和疏散指示标志等进行维护保养</w:t>
            </w:r>
            <w:r>
              <w:rPr>
                <w:rFonts w:hint="eastAsia" w:ascii="宋体" w:hAnsi="宋体" w:cs="宋体"/>
                <w:i w:val="0"/>
                <w:iCs w:val="0"/>
                <w:color w:val="000000"/>
                <w:kern w:val="0"/>
                <w:sz w:val="22"/>
                <w:szCs w:val="22"/>
                <w:u w:val="none"/>
                <w:lang w:val="en-US" w:eastAsia="zh-CN" w:bidi="ar"/>
              </w:rPr>
              <w:t>（含烟感探头及其他消防设施移位、增设等施工的人工费用）</w:t>
            </w:r>
            <w:r>
              <w:rPr>
                <w:rFonts w:hint="eastAsia" w:ascii="宋体" w:hAnsi="宋体" w:eastAsia="宋体" w:cs="宋体"/>
                <w:i w:val="0"/>
                <w:iCs w:val="0"/>
                <w:color w:val="000000"/>
                <w:kern w:val="0"/>
                <w:sz w:val="22"/>
                <w:szCs w:val="22"/>
                <w:u w:val="none"/>
                <w:lang w:val="en-US" w:eastAsia="zh-CN" w:bidi="ar"/>
              </w:rPr>
              <w:t>。维护期为一年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消防设施检测</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对火灾自动报警系统、火灾应急照明、疏散标志指示、室外消火栓系统、室内消火栓系统、自动喷水灭火系统、气体灭火系统等所有消防设施进行检测并出具检测报告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消防安全评估</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开展消防安全管理评估、建筑防火评估、消防设施评估</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并出具</w:t>
            </w:r>
            <w:r>
              <w:rPr>
                <w:rFonts w:hint="eastAsia" w:ascii="宋体" w:hAnsi="宋体" w:cs="宋体"/>
                <w:i w:val="0"/>
                <w:iCs w:val="0"/>
                <w:color w:val="auto"/>
                <w:kern w:val="0"/>
                <w:sz w:val="22"/>
                <w:szCs w:val="22"/>
                <w:u w:val="none"/>
                <w:lang w:val="en-US" w:eastAsia="zh-CN" w:bidi="ar"/>
              </w:rPr>
              <w:t>消防</w:t>
            </w:r>
            <w:r>
              <w:rPr>
                <w:rFonts w:hint="eastAsia" w:ascii="宋体" w:hAnsi="宋体" w:eastAsia="宋体" w:cs="宋体"/>
                <w:i w:val="0"/>
                <w:iCs w:val="0"/>
                <w:color w:val="auto"/>
                <w:kern w:val="0"/>
                <w:sz w:val="22"/>
                <w:szCs w:val="22"/>
                <w:u w:val="none"/>
                <w:lang w:val="en-US" w:eastAsia="zh-CN" w:bidi="ar"/>
              </w:rPr>
              <w:t>安全评估报告</w:t>
            </w:r>
          </w:p>
        </w:tc>
      </w:tr>
    </w:tbl>
    <w:p>
      <w:pPr>
        <w:numPr>
          <w:ilvl w:val="255"/>
          <w:numId w:val="0"/>
        </w:numPr>
        <w:autoSpaceDE/>
        <w:spacing w:line="360" w:lineRule="auto"/>
        <w:jc w:val="left"/>
        <w:rPr>
          <w:rFonts w:hint="eastAsia" w:ascii="宋体" w:hAnsi="宋体" w:eastAsia="宋体" w:cs="宋体"/>
          <w:b w:val="0"/>
          <w:bCs w:val="0"/>
          <w:color w:val="auto"/>
          <w:kern w:val="44"/>
          <w:sz w:val="24"/>
          <w:u w:val="none"/>
          <w:lang w:eastAsia="zh-CN"/>
        </w:rPr>
      </w:pPr>
    </w:p>
    <w:p>
      <w:pPr>
        <w:numPr>
          <w:ilvl w:val="255"/>
          <w:numId w:val="0"/>
        </w:numPr>
        <w:autoSpaceDE/>
        <w:spacing w:line="360" w:lineRule="auto"/>
        <w:jc w:val="left"/>
        <w:rPr>
          <w:rFonts w:hint="eastAsia" w:ascii="宋体" w:hAnsi="宋体" w:eastAsia="宋体" w:cs="宋体"/>
          <w:b w:val="0"/>
          <w:bCs w:val="0"/>
          <w:color w:val="auto"/>
          <w:kern w:val="44"/>
          <w:sz w:val="24"/>
          <w:u w:val="none"/>
          <w:lang w:eastAsia="zh-CN"/>
        </w:rPr>
      </w:pPr>
      <w:r>
        <w:rPr>
          <w:rFonts w:hint="eastAsia" w:ascii="宋体" w:hAnsi="宋体" w:eastAsia="宋体" w:cs="宋体"/>
          <w:b w:val="0"/>
          <w:bCs w:val="0"/>
          <w:color w:val="auto"/>
          <w:kern w:val="44"/>
          <w:sz w:val="24"/>
          <w:u w:val="none"/>
          <w:lang w:eastAsia="zh-CN"/>
        </w:rPr>
        <w:t>（</w:t>
      </w:r>
      <w:r>
        <w:rPr>
          <w:rFonts w:hint="eastAsia" w:ascii="宋体" w:hAnsi="宋体" w:eastAsia="宋体" w:cs="宋体"/>
          <w:b w:val="0"/>
          <w:bCs w:val="0"/>
          <w:color w:val="auto"/>
          <w:kern w:val="44"/>
          <w:sz w:val="24"/>
          <w:u w:val="none"/>
          <w:lang w:val="en-US" w:eastAsia="zh-CN"/>
        </w:rPr>
        <w:t>二</w:t>
      </w:r>
      <w:r>
        <w:rPr>
          <w:rFonts w:hint="eastAsia" w:ascii="宋体" w:hAnsi="宋体" w:eastAsia="宋体" w:cs="宋体"/>
          <w:b w:val="0"/>
          <w:bCs w:val="0"/>
          <w:color w:val="auto"/>
          <w:kern w:val="44"/>
          <w:sz w:val="24"/>
          <w:u w:val="none"/>
          <w:lang w:eastAsia="zh-CN"/>
        </w:rPr>
        <w:t>）</w:t>
      </w:r>
      <w:r>
        <w:rPr>
          <w:rFonts w:hint="eastAsia" w:ascii="宋体" w:hAnsi="宋体" w:eastAsia="宋体" w:cs="宋体"/>
          <w:b w:val="0"/>
          <w:bCs w:val="0"/>
          <w:color w:val="auto"/>
          <w:kern w:val="44"/>
          <w:sz w:val="24"/>
          <w:u w:val="none"/>
        </w:rPr>
        <w:t xml:space="preserve"> </w:t>
      </w:r>
      <w:r>
        <w:rPr>
          <w:rFonts w:hint="eastAsia" w:ascii="宋体" w:hAnsi="宋体" w:eastAsia="宋体" w:cs="宋体"/>
          <w:color w:val="auto"/>
          <w:kern w:val="44"/>
          <w:sz w:val="24"/>
          <w:szCs w:val="24"/>
          <w:u w:val="none"/>
        </w:rPr>
        <w:t>服务工期</w:t>
      </w:r>
      <w:r>
        <w:rPr>
          <w:rFonts w:hint="eastAsia" w:ascii="宋体" w:hAnsi="宋体" w:eastAsia="宋体" w:cs="宋体"/>
          <w:color w:val="auto"/>
          <w:kern w:val="44"/>
          <w:sz w:val="24"/>
          <w:szCs w:val="24"/>
          <w:u w:val="none"/>
          <w:lang w:eastAsia="zh-CN"/>
        </w:rPr>
        <w:t>：消防设施检测及消防安全评估需在合同签订后</w:t>
      </w:r>
      <w:r>
        <w:rPr>
          <w:rFonts w:hint="eastAsia" w:ascii="宋体" w:hAnsi="宋体" w:eastAsia="宋体" w:cs="宋体"/>
          <w:color w:val="auto"/>
          <w:kern w:val="44"/>
          <w:sz w:val="24"/>
          <w:szCs w:val="24"/>
          <w:u w:val="none"/>
          <w:lang w:val="en-US" w:eastAsia="zh-CN"/>
        </w:rPr>
        <w:t>30日内完成检测报告及安全评估报告；消防设施维保期为一年，</w:t>
      </w:r>
      <w:r>
        <w:rPr>
          <w:rFonts w:hint="eastAsia" w:ascii="宋体" w:hAnsi="宋体" w:cs="宋体"/>
          <w:color w:val="auto"/>
          <w:kern w:val="44"/>
          <w:sz w:val="24"/>
          <w:szCs w:val="24"/>
          <w:u w:val="none"/>
          <w:lang w:val="en-US" w:eastAsia="zh-CN"/>
        </w:rPr>
        <w:t>每月10日前出具上月消防设施维护保养报告书，</w:t>
      </w:r>
      <w:r>
        <w:rPr>
          <w:rFonts w:hint="eastAsia" w:ascii="宋体" w:hAnsi="宋体" w:eastAsia="宋体" w:cs="宋体"/>
          <w:color w:val="auto"/>
          <w:kern w:val="44"/>
          <w:sz w:val="24"/>
          <w:szCs w:val="24"/>
          <w:u w:val="none"/>
          <w:lang w:val="en-US" w:eastAsia="zh-CN"/>
        </w:rPr>
        <w:t>具体按</w:t>
      </w:r>
      <w:r>
        <w:rPr>
          <w:rFonts w:hint="eastAsia" w:ascii="宋体" w:hAnsi="宋体" w:cs="宋体"/>
          <w:color w:val="auto"/>
          <w:kern w:val="44"/>
          <w:sz w:val="24"/>
          <w:szCs w:val="24"/>
          <w:u w:val="none"/>
          <w:lang w:val="en-US" w:eastAsia="zh-CN"/>
        </w:rPr>
        <w:t>成交</w:t>
      </w:r>
      <w:r>
        <w:rPr>
          <w:rFonts w:hint="eastAsia" w:ascii="宋体" w:hAnsi="宋体" w:eastAsia="宋体" w:cs="宋体"/>
          <w:color w:val="auto"/>
          <w:kern w:val="44"/>
          <w:sz w:val="24"/>
          <w:szCs w:val="24"/>
          <w:u w:val="none"/>
          <w:lang w:val="en-US" w:eastAsia="zh-CN"/>
        </w:rPr>
        <w:t>单位实际方案施行。</w:t>
      </w:r>
    </w:p>
    <w:p>
      <w:pPr>
        <w:numPr>
          <w:ilvl w:val="255"/>
          <w:numId w:val="0"/>
        </w:numPr>
        <w:autoSpaceDE/>
        <w:spacing w:line="360" w:lineRule="auto"/>
        <w:jc w:val="left"/>
        <w:rPr>
          <w:rFonts w:hint="eastAsia" w:ascii="宋体" w:hAnsi="宋体" w:eastAsia="宋体" w:cs="宋体"/>
          <w:b w:val="0"/>
          <w:bCs w:val="0"/>
          <w:color w:val="auto"/>
          <w:kern w:val="44"/>
          <w:sz w:val="24"/>
          <w:u w:val="none"/>
        </w:rPr>
      </w:pPr>
      <w:r>
        <w:rPr>
          <w:rFonts w:hint="eastAsia" w:ascii="宋体" w:hAnsi="宋体" w:eastAsia="宋体" w:cs="宋体"/>
          <w:b w:val="0"/>
          <w:bCs w:val="0"/>
          <w:color w:val="auto"/>
          <w:kern w:val="44"/>
          <w:sz w:val="24"/>
          <w:u w:val="none"/>
          <w:lang w:eastAsia="zh-CN"/>
        </w:rPr>
        <w:t>（</w:t>
      </w:r>
      <w:r>
        <w:rPr>
          <w:rFonts w:hint="eastAsia" w:ascii="宋体" w:hAnsi="宋体" w:eastAsia="宋体" w:cs="宋体"/>
          <w:b w:val="0"/>
          <w:bCs w:val="0"/>
          <w:color w:val="auto"/>
          <w:kern w:val="44"/>
          <w:sz w:val="24"/>
          <w:u w:val="none"/>
          <w:lang w:val="en-US" w:eastAsia="zh-CN"/>
        </w:rPr>
        <w:t>三</w:t>
      </w:r>
      <w:r>
        <w:rPr>
          <w:rFonts w:hint="eastAsia" w:ascii="宋体" w:hAnsi="宋体" w:eastAsia="宋体" w:cs="宋体"/>
          <w:b w:val="0"/>
          <w:bCs w:val="0"/>
          <w:color w:val="auto"/>
          <w:kern w:val="44"/>
          <w:sz w:val="24"/>
          <w:u w:val="none"/>
          <w:lang w:eastAsia="zh-CN"/>
        </w:rPr>
        <w:t>）</w:t>
      </w:r>
      <w:r>
        <w:rPr>
          <w:rFonts w:hint="eastAsia" w:ascii="宋体" w:hAnsi="宋体" w:eastAsia="宋体" w:cs="宋体"/>
          <w:b w:val="0"/>
          <w:bCs w:val="0"/>
          <w:color w:val="auto"/>
          <w:kern w:val="44"/>
          <w:sz w:val="24"/>
          <w:u w:val="none"/>
        </w:rPr>
        <w:t xml:space="preserve">服务地点: </w:t>
      </w:r>
      <w:r>
        <w:rPr>
          <w:rFonts w:hint="eastAsia" w:ascii="宋体" w:hAnsi="宋体" w:eastAsia="宋体" w:cs="宋体"/>
          <w:b w:val="0"/>
          <w:bCs w:val="0"/>
          <w:color w:val="auto"/>
          <w:kern w:val="44"/>
          <w:sz w:val="24"/>
          <w:u w:val="none"/>
          <w:lang w:eastAsia="zh-CN"/>
        </w:rPr>
        <w:t>岳阳城陵矶新港有限公司</w:t>
      </w:r>
    </w:p>
    <w:p>
      <w:pPr>
        <w:numPr>
          <w:ilvl w:val="-1"/>
          <w:numId w:val="0"/>
        </w:numPr>
        <w:autoSpaceDE/>
        <w:spacing w:line="440" w:lineRule="exact"/>
        <w:ind w:firstLine="0" w:firstLineChars="0"/>
        <w:jc w:val="left"/>
        <w:rPr>
          <w:rFonts w:hint="eastAsia" w:ascii="宋体" w:hAnsi="宋体" w:eastAsia="宋体" w:cs="宋体"/>
          <w:color w:val="auto"/>
          <w:kern w:val="44"/>
          <w:sz w:val="24"/>
          <w:u w:val="none"/>
          <w:lang w:val="en-US" w:eastAsia="zh-CN"/>
        </w:rPr>
      </w:pPr>
      <w:r>
        <w:rPr>
          <w:rFonts w:hint="eastAsia" w:ascii="宋体" w:hAnsi="宋体" w:eastAsia="宋体" w:cs="宋体"/>
          <w:b w:val="0"/>
          <w:bCs w:val="0"/>
          <w:color w:val="auto"/>
          <w:kern w:val="44"/>
          <w:sz w:val="24"/>
          <w:u w:val="none"/>
          <w:lang w:eastAsia="zh-CN"/>
        </w:rPr>
        <w:t>（</w:t>
      </w:r>
      <w:r>
        <w:rPr>
          <w:rFonts w:hint="eastAsia" w:ascii="宋体" w:hAnsi="宋体" w:eastAsia="宋体" w:cs="宋体"/>
          <w:b w:val="0"/>
          <w:bCs w:val="0"/>
          <w:color w:val="auto"/>
          <w:kern w:val="44"/>
          <w:sz w:val="24"/>
          <w:u w:val="none"/>
          <w:lang w:val="en-US" w:eastAsia="zh-CN"/>
        </w:rPr>
        <w:t>四</w:t>
      </w:r>
      <w:r>
        <w:rPr>
          <w:rFonts w:hint="eastAsia" w:ascii="宋体" w:hAnsi="宋体" w:eastAsia="宋体" w:cs="宋体"/>
          <w:b w:val="0"/>
          <w:bCs w:val="0"/>
          <w:color w:val="auto"/>
          <w:kern w:val="44"/>
          <w:sz w:val="24"/>
          <w:u w:val="none"/>
          <w:lang w:eastAsia="zh-CN"/>
        </w:rPr>
        <w:t>）</w:t>
      </w:r>
      <w:r>
        <w:rPr>
          <w:rFonts w:hint="eastAsia" w:ascii="宋体" w:hAnsi="宋体" w:eastAsia="宋体" w:cs="宋体"/>
          <w:b w:val="0"/>
          <w:bCs w:val="0"/>
          <w:color w:val="auto"/>
          <w:kern w:val="44"/>
          <w:sz w:val="24"/>
          <w:u w:val="none"/>
        </w:rPr>
        <w:t xml:space="preserve"> 质量要</w:t>
      </w:r>
      <w:r>
        <w:rPr>
          <w:rFonts w:hint="eastAsia" w:ascii="宋体" w:hAnsi="宋体" w:eastAsia="宋体" w:cs="宋体"/>
          <w:color w:val="auto"/>
          <w:kern w:val="44"/>
          <w:sz w:val="24"/>
          <w:u w:val="none"/>
        </w:rPr>
        <w:t>求或服务标准:</w:t>
      </w:r>
      <w:r>
        <w:rPr>
          <w:rFonts w:hint="eastAsia" w:ascii="宋体" w:hAnsi="宋体" w:cs="宋体"/>
          <w:color w:val="auto"/>
          <w:kern w:val="44"/>
          <w:sz w:val="24"/>
          <w:u w:val="none"/>
          <w:lang w:val="en-US" w:eastAsia="zh-CN"/>
        </w:rPr>
        <w:t>供应商</w:t>
      </w:r>
      <w:r>
        <w:rPr>
          <w:rFonts w:hint="eastAsia"/>
          <w:color w:val="auto"/>
          <w:sz w:val="24"/>
          <w:szCs w:val="24"/>
          <w:lang w:val="en-US" w:eastAsia="zh-CN"/>
        </w:rPr>
        <w:t>实施方案应按服务项目分类为消防设施维保方案、消防设施检测方案及安全评估方案。</w:t>
      </w:r>
      <w:r>
        <w:rPr>
          <w:rFonts w:hint="eastAsia" w:ascii="宋体" w:hAnsi="宋体" w:cs="宋体"/>
          <w:color w:val="auto"/>
          <w:kern w:val="44"/>
          <w:sz w:val="24"/>
          <w:u w:val="none"/>
          <w:lang w:val="en-US" w:eastAsia="zh-CN"/>
        </w:rPr>
        <w:t>相关内容</w:t>
      </w:r>
      <w:r>
        <w:rPr>
          <w:rFonts w:hint="eastAsia" w:ascii="宋体" w:hAnsi="宋体" w:eastAsia="宋体" w:cs="宋体"/>
          <w:color w:val="auto"/>
          <w:kern w:val="44"/>
          <w:sz w:val="24"/>
          <w:u w:val="none"/>
        </w:rPr>
        <w:t>符合</w:t>
      </w:r>
      <w:r>
        <w:rPr>
          <w:rFonts w:hint="eastAsia" w:ascii="宋体" w:hAnsi="宋体" w:cs="宋体"/>
          <w:color w:val="auto"/>
          <w:kern w:val="44"/>
          <w:sz w:val="24"/>
          <w:u w:val="none"/>
          <w:lang w:eastAsia="zh-CN"/>
        </w:rPr>
        <w:t>《</w:t>
      </w:r>
      <w:r>
        <w:rPr>
          <w:rFonts w:hint="eastAsia" w:ascii="宋体" w:hAnsi="宋体" w:cs="宋体"/>
          <w:color w:val="auto"/>
          <w:kern w:val="44"/>
          <w:sz w:val="24"/>
          <w:u w:val="none"/>
          <w:lang w:val="en-US" w:eastAsia="zh-CN"/>
        </w:rPr>
        <w:t>GB25201-2010建筑消防设施的维护管理 》及国家</w:t>
      </w:r>
      <w:r>
        <w:rPr>
          <w:rFonts w:hint="eastAsia" w:ascii="宋体" w:hAnsi="宋体" w:eastAsia="宋体" w:cs="宋体"/>
          <w:color w:val="auto"/>
          <w:kern w:val="44"/>
          <w:sz w:val="24"/>
          <w:u w:val="none"/>
        </w:rPr>
        <w:t>现行消防行业标准主要</w:t>
      </w:r>
      <w:r>
        <w:rPr>
          <w:rFonts w:hint="eastAsia" w:ascii="宋体" w:hAnsi="宋体" w:cs="宋体"/>
          <w:color w:val="auto"/>
          <w:kern w:val="44"/>
          <w:sz w:val="24"/>
          <w:u w:val="none"/>
          <w:lang w:val="en-US" w:eastAsia="zh-CN"/>
        </w:rPr>
        <w:t>要</w:t>
      </w:r>
      <w:r>
        <w:rPr>
          <w:rFonts w:hint="eastAsia" w:ascii="宋体" w:hAnsi="宋体" w:eastAsia="宋体" w:cs="宋体"/>
          <w:color w:val="auto"/>
          <w:kern w:val="44"/>
          <w:sz w:val="24"/>
          <w:u w:val="none"/>
        </w:rPr>
        <w:t>求</w:t>
      </w:r>
      <w:r>
        <w:rPr>
          <w:rFonts w:hint="eastAsia" w:ascii="宋体" w:hAnsi="宋体" w:cs="宋体"/>
          <w:color w:val="auto"/>
          <w:kern w:val="44"/>
          <w:sz w:val="24"/>
          <w:u w:val="none"/>
          <w:lang w:eastAsia="zh-CN"/>
        </w:rPr>
        <w:t>，</w:t>
      </w:r>
      <w:r>
        <w:rPr>
          <w:rFonts w:hint="eastAsia" w:ascii="宋体" w:hAnsi="宋体" w:cs="宋体"/>
          <w:color w:val="auto"/>
          <w:kern w:val="44"/>
          <w:sz w:val="24"/>
          <w:u w:val="none"/>
          <w:lang w:val="en-US" w:eastAsia="zh-CN"/>
        </w:rPr>
        <w:t>按时</w:t>
      </w:r>
      <w:r>
        <w:rPr>
          <w:rFonts w:hint="eastAsia" w:ascii="宋体" w:hAnsi="宋体" w:eastAsia="宋体" w:cs="宋体"/>
          <w:color w:val="auto"/>
          <w:kern w:val="44"/>
          <w:sz w:val="24"/>
          <w:u w:val="none"/>
        </w:rPr>
        <w:t>出具</w:t>
      </w:r>
      <w:r>
        <w:rPr>
          <w:rFonts w:hint="eastAsia" w:ascii="宋体" w:hAnsi="宋体" w:cs="宋体"/>
          <w:color w:val="auto"/>
          <w:kern w:val="44"/>
          <w:sz w:val="24"/>
          <w:u w:val="none"/>
          <w:lang w:val="en-US" w:eastAsia="zh-CN"/>
        </w:rPr>
        <w:t>相应的</w:t>
      </w:r>
      <w:r>
        <w:rPr>
          <w:rFonts w:hint="eastAsia" w:ascii="宋体" w:hAnsi="宋体" w:eastAsia="宋体" w:cs="宋体"/>
          <w:color w:val="auto"/>
          <w:kern w:val="44"/>
          <w:sz w:val="24"/>
          <w:u w:val="none"/>
        </w:rPr>
        <w:t>报告文本。</w:t>
      </w:r>
    </w:p>
    <w:p>
      <w:pPr>
        <w:pStyle w:val="5"/>
        <w:autoSpaceDE w:val="0"/>
        <w:spacing w:line="400" w:lineRule="exact"/>
        <w:jc w:val="both"/>
        <w:rPr>
          <w:rFonts w:hint="eastAsia" w:asciiTheme="majorHAnsi" w:hAnsiTheme="majorHAnsi"/>
        </w:rPr>
      </w:pPr>
      <w:r>
        <w:rPr>
          <w:rFonts w:hint="eastAsia"/>
          <w:lang w:val="en-US" w:eastAsia="zh-CN"/>
        </w:rPr>
        <w:t>三、</w:t>
      </w:r>
      <w:r>
        <w:rPr>
          <w:rFonts w:hint="eastAsia" w:asciiTheme="majorHAnsi" w:hAnsiTheme="majorHAnsi"/>
        </w:rPr>
        <w:t>供应商资格要求</w:t>
      </w:r>
    </w:p>
    <w:p>
      <w:pPr>
        <w:autoSpaceDE w:val="0"/>
        <w:spacing w:line="400" w:lineRule="exact"/>
        <w:ind w:firstLine="0" w:firstLineChars="0"/>
        <w:jc w:val="both"/>
        <w:rPr>
          <w:rFonts w:hint="eastAsia" w:ascii="宋体" w:hAnsi="宋体" w:eastAsia="宋体" w:cs="宋体"/>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lang w:eastAsia="zh-CN"/>
        </w:rPr>
        <w:t>）</w:t>
      </w:r>
      <w:r>
        <w:rPr>
          <w:rFonts w:hint="eastAsia" w:ascii="宋体" w:hAnsi="宋体" w:eastAsia="宋体" w:cs="宋体"/>
          <w:sz w:val="24"/>
          <w:szCs w:val="24"/>
        </w:rPr>
        <w:t>供应商不得存在下列情形之一:</w:t>
      </w:r>
    </w:p>
    <w:p>
      <w:pPr>
        <w:autoSpaceDE w:val="0"/>
        <w:spacing w:line="400" w:lineRule="exact"/>
        <w:ind w:firstLine="240" w:firstLineChars="100"/>
        <w:jc w:val="both"/>
        <w:rPr>
          <w:rFonts w:hint="eastAsia" w:ascii="宋体" w:hAnsi="宋体" w:eastAsia="宋体" w:cs="宋体"/>
          <w:sz w:val="24"/>
          <w:szCs w:val="24"/>
        </w:rPr>
      </w:pPr>
      <w:r>
        <w:rPr>
          <w:rFonts w:hint="eastAsia" w:ascii="宋体" w:hAnsi="宋体" w:eastAsia="宋体" w:cs="宋体"/>
          <w:sz w:val="24"/>
          <w:szCs w:val="24"/>
        </w:rPr>
        <w:t>（1）处于被责令停产停业、暂扣或者吊销执照、暂扣或者吊销许可证、吊销资质证书状态;</w:t>
      </w:r>
    </w:p>
    <w:p>
      <w:pPr>
        <w:autoSpaceDE w:val="0"/>
        <w:spacing w:line="400" w:lineRule="exact"/>
        <w:ind w:firstLine="240" w:firstLineChars="100"/>
        <w:jc w:val="both"/>
        <w:rPr>
          <w:rFonts w:hint="eastAsia" w:ascii="宋体" w:hAnsi="宋体" w:eastAsia="宋体" w:cs="宋体"/>
          <w:sz w:val="24"/>
          <w:szCs w:val="24"/>
        </w:rPr>
      </w:pPr>
      <w:r>
        <w:rPr>
          <w:rFonts w:hint="eastAsia" w:ascii="宋体" w:hAnsi="宋体" w:eastAsia="宋体" w:cs="宋体"/>
          <w:sz w:val="24"/>
          <w:szCs w:val="24"/>
        </w:rPr>
        <w:t>（2）进入清算程序，或被宣告破产，或其他丧失履约能力的情形;</w:t>
      </w:r>
    </w:p>
    <w:p>
      <w:pPr>
        <w:autoSpaceDE w:val="0"/>
        <w:spacing w:line="400" w:lineRule="exact"/>
        <w:ind w:firstLine="240" w:firstLineChars="100"/>
        <w:jc w:val="both"/>
        <w:rPr>
          <w:rFonts w:hint="eastAsia" w:ascii="宋体" w:hAnsi="宋体" w:eastAsia="宋体" w:cs="宋体"/>
          <w:sz w:val="24"/>
          <w:szCs w:val="24"/>
          <w:lang w:eastAsia="zh-CN"/>
        </w:rPr>
      </w:pPr>
      <w:r>
        <w:rPr>
          <w:rFonts w:hint="eastAsia" w:ascii="宋体" w:hAnsi="宋体" w:eastAsia="宋体" w:cs="宋体"/>
          <w:sz w:val="24"/>
          <w:szCs w:val="24"/>
        </w:rPr>
        <w:t>（3）被采购人或采购人上级单位纳入黑名单</w:t>
      </w:r>
      <w:r>
        <w:rPr>
          <w:rFonts w:hint="eastAsia" w:ascii="宋体" w:hAnsi="宋体" w:eastAsia="宋体" w:cs="宋体"/>
          <w:sz w:val="24"/>
          <w:szCs w:val="24"/>
          <w:lang w:eastAsia="zh-CN"/>
        </w:rPr>
        <w:t>；</w:t>
      </w:r>
    </w:p>
    <w:p>
      <w:pPr>
        <w:autoSpaceDE/>
        <w:spacing w:line="44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（4）涉及正在诉讼的案件且经审查委员会认定会对承担本项目造成重大影响</w:t>
      </w:r>
      <w:r>
        <w:rPr>
          <w:rFonts w:hint="eastAsia" w:ascii="宋体" w:hAnsi="宋体" w:eastAsia="宋体" w:cs="宋体"/>
          <w:sz w:val="24"/>
          <w:szCs w:val="24"/>
          <w:lang w:eastAsia="zh-CN"/>
        </w:rPr>
        <w:t>。</w:t>
      </w:r>
    </w:p>
    <w:p>
      <w:pPr>
        <w:autoSpaceDE w:val="0"/>
        <w:spacing w:line="400" w:lineRule="exact"/>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供应商应满足如下要求:</w:t>
      </w:r>
    </w:p>
    <w:tbl>
      <w:tblPr>
        <w:tblStyle w:val="38"/>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881"/>
        <w:gridCol w:w="5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7" w:type="dxa"/>
          </w:tcPr>
          <w:p>
            <w:pPr>
              <w:widowControl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资格条件</w:t>
            </w:r>
          </w:p>
        </w:tc>
        <w:tc>
          <w:tcPr>
            <w:tcW w:w="1881" w:type="dxa"/>
          </w:tcPr>
          <w:p>
            <w:pPr>
              <w:widowControl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对供应商要求</w:t>
            </w:r>
          </w:p>
        </w:tc>
        <w:tc>
          <w:tcPr>
            <w:tcW w:w="5856" w:type="dxa"/>
          </w:tcPr>
          <w:p>
            <w:pPr>
              <w:widowControl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7" w:type="dxa"/>
          </w:tcPr>
          <w:p>
            <w:pPr>
              <w:widowControl w:val="0"/>
              <w:spacing w:line="32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（1）依法设立</w:t>
            </w:r>
          </w:p>
        </w:tc>
        <w:tc>
          <w:tcPr>
            <w:tcW w:w="1881" w:type="dxa"/>
          </w:tcPr>
          <w:p>
            <w:pPr>
              <w:widowControl w:val="0"/>
              <w:spacing w:line="320" w:lineRule="exact"/>
              <w:jc w:val="both"/>
              <w:rPr>
                <w:rStyle w:val="40"/>
                <w:rFonts w:hint="eastAsia" w:ascii="宋体" w:hAnsi="宋体" w:eastAsia="宋体" w:cs="宋体"/>
                <w:b w:val="0"/>
                <w:bCs w:val="0"/>
                <w:szCs w:val="21"/>
                <w:u w:val="single"/>
              </w:rPr>
            </w:pPr>
            <w:r>
              <w:rPr>
                <w:rStyle w:val="40"/>
                <w:rFonts w:hint="eastAsia" w:ascii="宋体" w:hAnsi="宋体" w:eastAsia="宋体" w:cs="宋体"/>
                <w:b w:val="0"/>
                <w:bCs w:val="0"/>
                <w:szCs w:val="21"/>
                <w:u w:val="single"/>
              </w:rPr>
              <w:t xml:space="preserve">□不适用  </w:t>
            </w:r>
          </w:p>
          <w:p>
            <w:pPr>
              <w:widowControl w:val="0"/>
              <w:spacing w:line="320" w:lineRule="exact"/>
              <w:jc w:val="both"/>
              <w:rPr>
                <w:rFonts w:hint="eastAsia" w:ascii="宋体" w:hAnsi="宋体" w:eastAsia="宋体" w:cs="宋体"/>
                <w:b w:val="0"/>
                <w:bCs w:val="0"/>
                <w:sz w:val="21"/>
                <w:szCs w:val="21"/>
              </w:rPr>
            </w:pPr>
            <w:r>
              <w:rPr>
                <w:rStyle w:val="40"/>
                <w:rFonts w:hint="eastAsia" w:ascii="宋体" w:hAnsi="宋体" w:eastAsia="宋体" w:cs="宋体"/>
                <w:b w:val="0"/>
                <w:bCs w:val="0"/>
                <w:szCs w:val="21"/>
                <w:u w:val="single"/>
                <w:lang w:eastAsia="zh-CN"/>
              </w:rPr>
              <w:t>☑</w:t>
            </w:r>
            <w:r>
              <w:rPr>
                <w:rStyle w:val="40"/>
                <w:rFonts w:hint="eastAsia" w:ascii="宋体" w:hAnsi="宋体" w:eastAsia="宋体" w:cs="宋体"/>
                <w:b w:val="0"/>
                <w:bCs w:val="0"/>
                <w:szCs w:val="21"/>
                <w:u w:val="single"/>
              </w:rPr>
              <w:t>适用</w:t>
            </w:r>
          </w:p>
        </w:tc>
        <w:tc>
          <w:tcPr>
            <w:tcW w:w="5856" w:type="dxa"/>
          </w:tcPr>
          <w:p>
            <w:pPr>
              <w:widowControl w:val="0"/>
              <w:numPr>
                <w:ilvl w:val="0"/>
                <w:numId w:val="0"/>
              </w:numPr>
              <w:spacing w:line="320" w:lineRule="exact"/>
              <w:jc w:val="both"/>
              <w:rPr>
                <w:rFonts w:hint="default" w:ascii="宋体" w:hAnsi="宋体" w:eastAsia="宋体" w:cs="宋体"/>
                <w:b w:val="0"/>
                <w:bCs w:val="0"/>
                <w:sz w:val="21"/>
                <w:szCs w:val="21"/>
                <w:lang w:val="en-US"/>
              </w:rPr>
            </w:pPr>
            <w:r>
              <w:rPr>
                <w:rFonts w:hint="eastAsia" w:ascii="宋体" w:hAnsi="宋体" w:eastAsia="宋体" w:cs="宋体"/>
                <w:color w:val="000000"/>
                <w:sz w:val="21"/>
                <w:szCs w:val="21"/>
                <w:u w:val="none"/>
              </w:rPr>
              <w:t>供应商</w:t>
            </w:r>
            <w:r>
              <w:rPr>
                <w:rFonts w:hint="eastAsia" w:ascii="宋体" w:hAnsi="宋体" w:eastAsia="宋体" w:cs="宋体"/>
                <w:i w:val="0"/>
                <w:iCs w:val="0"/>
                <w:caps w:val="0"/>
                <w:color w:val="000000"/>
                <w:spacing w:val="0"/>
                <w:sz w:val="21"/>
                <w:szCs w:val="21"/>
                <w:u w:val="none"/>
                <w:shd w:val="clear"/>
              </w:rPr>
              <w:t>在中华人民共和国合法注册</w:t>
            </w:r>
            <w:r>
              <w:rPr>
                <w:rFonts w:hint="eastAsia" w:ascii="宋体" w:hAnsi="宋体" w:eastAsia="宋体" w:cs="宋体"/>
                <w:i w:val="0"/>
                <w:iCs w:val="0"/>
                <w:caps w:val="0"/>
                <w:color w:val="000000"/>
                <w:spacing w:val="0"/>
                <w:sz w:val="21"/>
                <w:szCs w:val="21"/>
                <w:u w:val="none"/>
                <w:shd w:val="clear"/>
                <w:lang w:eastAsia="zh-CN"/>
              </w:rPr>
              <w:t>，</w:t>
            </w:r>
            <w:r>
              <w:rPr>
                <w:rFonts w:hint="eastAsia" w:ascii="宋体" w:hAnsi="宋体" w:eastAsia="宋体" w:cs="宋体"/>
                <w:i w:val="0"/>
                <w:iCs w:val="0"/>
                <w:caps w:val="0"/>
                <w:color w:val="000000"/>
                <w:spacing w:val="0"/>
                <w:sz w:val="21"/>
                <w:szCs w:val="21"/>
                <w:u w:val="none"/>
                <w:shd w:val="clear"/>
                <w:lang w:val="en-US" w:eastAsia="zh-CN"/>
              </w:rPr>
              <w:t>具有</w:t>
            </w:r>
            <w:r>
              <w:rPr>
                <w:rFonts w:hint="eastAsia" w:ascii="宋体" w:hAnsi="宋体" w:eastAsia="宋体" w:cs="宋体"/>
                <w:i w:val="0"/>
                <w:iCs w:val="0"/>
                <w:caps w:val="0"/>
                <w:color w:val="000000"/>
                <w:spacing w:val="0"/>
                <w:sz w:val="21"/>
                <w:szCs w:val="21"/>
                <w:u w:val="none"/>
                <w:shd w:val="clear"/>
              </w:rPr>
              <w:t>市场监管部门或其他行政机关颁发的可以合法开展业务的</w:t>
            </w:r>
            <w:r>
              <w:rPr>
                <w:rFonts w:hint="eastAsia" w:ascii="宋体" w:hAnsi="宋体" w:eastAsia="宋体" w:cs="宋体"/>
                <w:i w:val="0"/>
                <w:iCs w:val="0"/>
                <w:caps w:val="0"/>
                <w:color w:val="000000"/>
                <w:spacing w:val="0"/>
                <w:sz w:val="21"/>
                <w:szCs w:val="21"/>
                <w:u w:val="none"/>
                <w:shd w:val="clear"/>
                <w:lang w:val="en-US" w:eastAsia="zh-CN"/>
              </w:rPr>
              <w:t>营业</w:t>
            </w:r>
            <w:r>
              <w:rPr>
                <w:rFonts w:hint="eastAsia" w:ascii="宋体" w:hAnsi="宋体" w:eastAsia="宋体" w:cs="宋体"/>
                <w:i w:val="0"/>
                <w:iCs w:val="0"/>
                <w:caps w:val="0"/>
                <w:color w:val="000000"/>
                <w:spacing w:val="0"/>
                <w:sz w:val="21"/>
                <w:szCs w:val="21"/>
                <w:u w:val="none"/>
                <w:shd w:val="clear"/>
              </w:rPr>
              <w:t>执照</w:t>
            </w:r>
            <w:r>
              <w:rPr>
                <w:rFonts w:hint="eastAsia" w:ascii="宋体" w:hAnsi="宋体" w:eastAsia="宋体" w:cs="宋体"/>
                <w:i w:val="0"/>
                <w:iCs w:val="0"/>
                <w:caps w:val="0"/>
                <w:color w:val="000000"/>
                <w:spacing w:val="0"/>
                <w:sz w:val="21"/>
                <w:szCs w:val="21"/>
                <w:u w:val="none"/>
                <w:shd w:val="clear"/>
                <w:lang w:eastAsia="zh-CN"/>
              </w:rPr>
              <w:t>。</w:t>
            </w:r>
            <w:r>
              <w:rPr>
                <w:rFonts w:hint="eastAsia" w:ascii="宋体" w:hAnsi="宋体" w:eastAsia="宋体" w:cs="宋体"/>
                <w:color w:val="000000"/>
                <w:sz w:val="21"/>
                <w:szCs w:val="21"/>
                <w:u w:val="none"/>
                <w:lang w:val="en-US" w:eastAsia="zh-CN"/>
              </w:rPr>
              <w:t>提供营业执照复印件</w:t>
            </w:r>
            <w:r>
              <w:rPr>
                <w:rFonts w:hint="eastAsia" w:ascii="宋体" w:hAnsi="宋体" w:cs="宋体"/>
                <w:color w:val="000000"/>
                <w:sz w:val="21"/>
                <w:szCs w:val="21"/>
                <w:u w:val="none"/>
                <w:lang w:val="en-US" w:eastAsia="zh-CN"/>
              </w:rPr>
              <w:t>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7" w:type="dxa"/>
          </w:tcPr>
          <w:p>
            <w:pPr>
              <w:widowControl w:val="0"/>
              <w:spacing w:line="32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（2）资质要求</w:t>
            </w:r>
          </w:p>
        </w:tc>
        <w:tc>
          <w:tcPr>
            <w:tcW w:w="1881" w:type="dxa"/>
          </w:tcPr>
          <w:p>
            <w:pPr>
              <w:widowControl w:val="0"/>
              <w:spacing w:line="320" w:lineRule="exact"/>
              <w:jc w:val="both"/>
              <w:rPr>
                <w:rStyle w:val="40"/>
                <w:rFonts w:hint="eastAsia" w:ascii="宋体" w:hAnsi="宋体" w:eastAsia="宋体" w:cs="宋体"/>
                <w:b w:val="0"/>
                <w:bCs w:val="0"/>
                <w:szCs w:val="21"/>
                <w:u w:val="single"/>
              </w:rPr>
            </w:pPr>
            <w:r>
              <w:rPr>
                <w:rStyle w:val="40"/>
                <w:rFonts w:hint="eastAsia" w:ascii="宋体" w:hAnsi="宋体" w:eastAsia="宋体" w:cs="宋体"/>
                <w:b w:val="0"/>
                <w:bCs w:val="0"/>
                <w:szCs w:val="21"/>
                <w:u w:val="single"/>
              </w:rPr>
              <w:t xml:space="preserve">□不适用  </w:t>
            </w:r>
          </w:p>
          <w:p>
            <w:pPr>
              <w:widowControl w:val="0"/>
              <w:spacing w:line="320" w:lineRule="exact"/>
              <w:jc w:val="both"/>
              <w:rPr>
                <w:rFonts w:hint="eastAsia" w:ascii="宋体" w:hAnsi="宋体" w:eastAsia="宋体" w:cs="宋体"/>
                <w:b w:val="0"/>
                <w:bCs w:val="0"/>
                <w:sz w:val="21"/>
                <w:szCs w:val="21"/>
              </w:rPr>
            </w:pPr>
            <w:r>
              <w:rPr>
                <w:rStyle w:val="40"/>
                <w:rFonts w:hint="eastAsia" w:ascii="宋体" w:hAnsi="宋体" w:eastAsia="宋体" w:cs="宋体"/>
                <w:b w:val="0"/>
                <w:bCs w:val="0"/>
                <w:szCs w:val="21"/>
                <w:u w:val="single"/>
                <w:lang w:eastAsia="zh-CN"/>
              </w:rPr>
              <w:t>☑</w:t>
            </w:r>
            <w:r>
              <w:rPr>
                <w:rStyle w:val="40"/>
                <w:rFonts w:hint="eastAsia" w:ascii="宋体" w:hAnsi="宋体" w:eastAsia="宋体" w:cs="宋体"/>
                <w:b w:val="0"/>
                <w:bCs w:val="0"/>
                <w:szCs w:val="21"/>
                <w:u w:val="single"/>
              </w:rPr>
              <w:t>适用</w:t>
            </w:r>
          </w:p>
        </w:tc>
        <w:tc>
          <w:tcPr>
            <w:tcW w:w="5856" w:type="dxa"/>
          </w:tcPr>
          <w:p>
            <w:pPr>
              <w:widowControl w:val="0"/>
              <w:spacing w:line="320" w:lineRule="exact"/>
              <w:jc w:val="both"/>
              <w:rPr>
                <w:rFonts w:hint="eastAsia" w:ascii="宋体" w:hAnsi="宋体" w:eastAsia="宋体" w:cs="宋体"/>
                <w:b w:val="0"/>
                <w:bCs w:val="0"/>
                <w:sz w:val="21"/>
                <w:szCs w:val="21"/>
              </w:rPr>
            </w:pPr>
            <w:r>
              <w:rPr>
                <w:rFonts w:hint="eastAsia" w:ascii="宋体" w:hAnsi="宋体" w:eastAsia="宋体" w:cs="宋体"/>
                <w:color w:val="auto"/>
                <w:sz w:val="21"/>
                <w:szCs w:val="21"/>
                <w:u w:val="none"/>
              </w:rPr>
              <w:t>供应商具备</w:t>
            </w:r>
            <w:r>
              <w:rPr>
                <w:rFonts w:hint="eastAsia" w:ascii="宋体" w:hAnsi="宋体" w:eastAsia="宋体" w:cs="宋体"/>
                <w:color w:val="auto"/>
                <w:sz w:val="21"/>
                <w:szCs w:val="21"/>
                <w:u w:val="none"/>
                <w:lang w:val="en-US" w:eastAsia="zh-CN"/>
              </w:rPr>
              <w:t>消防设施工程专业承包二级</w:t>
            </w:r>
            <w:r>
              <w:rPr>
                <w:rFonts w:hint="eastAsia" w:ascii="宋体" w:hAnsi="宋体" w:cs="宋体"/>
                <w:color w:val="auto"/>
                <w:sz w:val="21"/>
                <w:szCs w:val="21"/>
                <w:u w:val="none"/>
                <w:lang w:val="en-US" w:eastAsia="zh-CN"/>
              </w:rPr>
              <w:t>或二级以上</w:t>
            </w:r>
            <w:r>
              <w:rPr>
                <w:rFonts w:hint="eastAsia" w:ascii="宋体" w:hAnsi="宋体" w:eastAsia="宋体" w:cs="宋体"/>
                <w:color w:val="auto"/>
                <w:sz w:val="21"/>
                <w:szCs w:val="21"/>
                <w:u w:val="none"/>
                <w:lang w:val="en-US" w:eastAsia="zh-CN"/>
              </w:rPr>
              <w:t>资质，</w:t>
            </w:r>
            <w:r>
              <w:rPr>
                <w:rFonts w:hint="eastAsia" w:ascii="宋体" w:hAnsi="宋体" w:eastAsia="宋体" w:cs="Times New Roman"/>
                <w:color w:val="auto"/>
                <w:szCs w:val="24"/>
                <w:u w:val="none"/>
                <w:lang w:val="en-US" w:eastAsia="zh-CN"/>
              </w:rPr>
              <w:t>已注册</w:t>
            </w:r>
            <w:r>
              <w:rPr>
                <w:rFonts w:hint="eastAsia" w:ascii="宋体" w:hAnsi="宋体"/>
                <w:color w:val="auto"/>
                <w:szCs w:val="24"/>
                <w:u w:val="none"/>
                <w:lang w:val="en-US" w:eastAsia="zh-CN"/>
              </w:rPr>
              <w:t>社会消防技术服务信息系统。</w:t>
            </w:r>
            <w:r>
              <w:rPr>
                <w:rFonts w:hint="eastAsia" w:ascii="宋体" w:hAnsi="宋体" w:eastAsia="宋体" w:cs="宋体"/>
                <w:color w:val="auto"/>
                <w:sz w:val="21"/>
                <w:szCs w:val="21"/>
                <w:u w:val="none"/>
                <w:lang w:val="en-US" w:eastAsia="zh-CN"/>
              </w:rPr>
              <w:t>提供建筑业企业资质证书复印件</w:t>
            </w:r>
            <w:r>
              <w:rPr>
                <w:rFonts w:hint="eastAsia" w:ascii="宋体" w:hAnsi="宋体" w:cs="宋体"/>
                <w:color w:val="auto"/>
                <w:sz w:val="21"/>
                <w:szCs w:val="21"/>
                <w:u w:val="none"/>
                <w:lang w:val="en-US" w:eastAsia="zh-CN"/>
              </w:rPr>
              <w:t>及社会消防技术服务信息系统截图证明</w:t>
            </w:r>
            <w:r>
              <w:rPr>
                <w:rFonts w:hint="eastAsia" w:ascii="宋体" w:hAnsi="宋体" w:eastAsia="宋体" w:cs="宋体"/>
                <w:color w:val="auto"/>
                <w:sz w:val="21"/>
                <w:szCs w:val="21"/>
                <w:u w:val="none"/>
                <w:lang w:val="en-US" w:eastAsia="zh-CN"/>
              </w:rPr>
              <w:t>（加盖</w:t>
            </w:r>
            <w:r>
              <w:rPr>
                <w:rFonts w:hint="eastAsia" w:ascii="宋体" w:hAnsi="宋体" w:cs="宋体"/>
                <w:color w:val="auto"/>
                <w:sz w:val="21"/>
                <w:szCs w:val="21"/>
                <w:u w:val="none"/>
                <w:lang w:val="en-US" w:eastAsia="zh-CN"/>
              </w:rPr>
              <w:t>单位</w:t>
            </w:r>
            <w:r>
              <w:rPr>
                <w:rFonts w:hint="eastAsia" w:ascii="宋体" w:hAnsi="宋体" w:eastAsia="宋体" w:cs="宋体"/>
                <w:color w:val="auto"/>
                <w:sz w:val="21"/>
                <w:szCs w:val="21"/>
                <w:u w:val="none"/>
                <w:lang w:val="en-US" w:eastAsia="zh-C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7" w:type="dxa"/>
          </w:tcPr>
          <w:p>
            <w:pPr>
              <w:widowControl w:val="0"/>
              <w:spacing w:line="32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（3）财务要求</w:t>
            </w:r>
          </w:p>
        </w:tc>
        <w:tc>
          <w:tcPr>
            <w:tcW w:w="1881" w:type="dxa"/>
          </w:tcPr>
          <w:p>
            <w:pPr>
              <w:widowControl w:val="0"/>
              <w:spacing w:line="320" w:lineRule="exact"/>
              <w:jc w:val="both"/>
              <w:rPr>
                <w:rStyle w:val="40"/>
                <w:rFonts w:hint="eastAsia" w:ascii="宋体" w:hAnsi="宋体" w:eastAsia="宋体" w:cs="宋体"/>
                <w:b w:val="0"/>
                <w:bCs w:val="0"/>
                <w:szCs w:val="21"/>
                <w:u w:val="single"/>
              </w:rPr>
            </w:pPr>
            <w:r>
              <w:rPr>
                <w:rStyle w:val="40"/>
                <w:rFonts w:hint="eastAsia" w:ascii="宋体" w:hAnsi="宋体" w:eastAsia="宋体" w:cs="宋体"/>
                <w:b w:val="0"/>
                <w:bCs w:val="0"/>
                <w:szCs w:val="21"/>
                <w:u w:val="single"/>
              </w:rPr>
              <w:sym w:font="Wingdings 2" w:char="0052"/>
            </w:r>
            <w:r>
              <w:rPr>
                <w:rStyle w:val="40"/>
                <w:rFonts w:hint="eastAsia" w:ascii="宋体" w:hAnsi="宋体" w:eastAsia="宋体" w:cs="宋体"/>
                <w:b w:val="0"/>
                <w:bCs w:val="0"/>
                <w:szCs w:val="21"/>
                <w:u w:val="single"/>
              </w:rPr>
              <w:t xml:space="preserve">不适用  </w:t>
            </w:r>
          </w:p>
          <w:p>
            <w:pPr>
              <w:widowControl w:val="0"/>
              <w:spacing w:line="320" w:lineRule="exact"/>
              <w:jc w:val="both"/>
              <w:rPr>
                <w:rFonts w:hint="eastAsia" w:ascii="宋体" w:hAnsi="宋体" w:eastAsia="宋体" w:cs="宋体"/>
                <w:b w:val="0"/>
                <w:bCs w:val="0"/>
                <w:sz w:val="21"/>
                <w:szCs w:val="21"/>
              </w:rPr>
            </w:pPr>
            <w:r>
              <w:rPr>
                <w:rStyle w:val="40"/>
                <w:rFonts w:hint="eastAsia" w:ascii="宋体" w:hAnsi="宋体" w:eastAsia="宋体" w:cs="宋体"/>
                <w:b w:val="0"/>
                <w:bCs w:val="0"/>
                <w:szCs w:val="21"/>
                <w:u w:val="single"/>
                <w:lang w:eastAsia="zh-CN"/>
              </w:rPr>
              <w:sym w:font="Wingdings 2" w:char="00A3"/>
            </w:r>
            <w:r>
              <w:rPr>
                <w:rStyle w:val="40"/>
                <w:rFonts w:hint="eastAsia" w:ascii="宋体" w:hAnsi="宋体" w:eastAsia="宋体" w:cs="宋体"/>
                <w:b w:val="0"/>
                <w:bCs w:val="0"/>
                <w:szCs w:val="21"/>
                <w:u w:val="single"/>
              </w:rPr>
              <w:t>适用</w:t>
            </w:r>
          </w:p>
        </w:tc>
        <w:tc>
          <w:tcPr>
            <w:tcW w:w="5856" w:type="dxa"/>
          </w:tcPr>
          <w:p>
            <w:pPr>
              <w:widowControl/>
              <w:spacing w:line="288" w:lineRule="auto"/>
              <w:jc w:val="both"/>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供应商应提供经会计师事务所或审计机构审计的近年财务会计报表复印件</w:t>
            </w:r>
            <w:r>
              <w:rPr>
                <w:rFonts w:hint="eastAsia" w:ascii="宋体" w:hAnsi="宋体" w:eastAsia="宋体" w:cs="宋体"/>
                <w:b w:val="0"/>
                <w:bCs w:val="0"/>
                <w:color w:val="000000"/>
                <w:sz w:val="21"/>
                <w:szCs w:val="21"/>
                <w:lang w:val="en-US" w:eastAsia="zh-CN"/>
              </w:rPr>
              <w:t>并加盖单位公章</w:t>
            </w:r>
            <w:r>
              <w:rPr>
                <w:rFonts w:hint="eastAsia" w:ascii="宋体" w:hAnsi="宋体" w:eastAsia="宋体" w:cs="宋体"/>
                <w:b w:val="0"/>
                <w:bCs w:val="0"/>
                <w:color w:val="000000"/>
                <w:sz w:val="21"/>
                <w:szCs w:val="21"/>
              </w:rPr>
              <w:t>，包括资产负债表，现金流量表、利润表等。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7" w:type="dxa"/>
          </w:tcPr>
          <w:p>
            <w:pPr>
              <w:widowControl w:val="0"/>
              <w:spacing w:line="32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（4）业绩要求</w:t>
            </w:r>
          </w:p>
        </w:tc>
        <w:tc>
          <w:tcPr>
            <w:tcW w:w="1881" w:type="dxa"/>
          </w:tcPr>
          <w:p>
            <w:pPr>
              <w:widowControl w:val="0"/>
              <w:spacing w:line="320" w:lineRule="exact"/>
              <w:jc w:val="both"/>
              <w:rPr>
                <w:rStyle w:val="40"/>
                <w:rFonts w:hint="eastAsia" w:ascii="宋体" w:hAnsi="宋体" w:eastAsia="宋体" w:cs="宋体"/>
                <w:b w:val="0"/>
                <w:bCs w:val="0"/>
                <w:szCs w:val="21"/>
                <w:u w:val="single"/>
              </w:rPr>
            </w:pPr>
            <w:r>
              <w:rPr>
                <w:rStyle w:val="40"/>
                <w:rFonts w:hint="eastAsia" w:ascii="宋体" w:hAnsi="宋体" w:eastAsia="宋体" w:cs="宋体"/>
                <w:b w:val="0"/>
                <w:bCs w:val="0"/>
                <w:szCs w:val="21"/>
                <w:u w:val="single"/>
              </w:rPr>
              <w:t xml:space="preserve">□不适用  </w:t>
            </w:r>
          </w:p>
          <w:p>
            <w:pPr>
              <w:widowControl w:val="0"/>
              <w:spacing w:line="320" w:lineRule="exact"/>
              <w:jc w:val="both"/>
              <w:rPr>
                <w:rFonts w:hint="eastAsia" w:ascii="宋体" w:hAnsi="宋体" w:eastAsia="宋体" w:cs="宋体"/>
                <w:b w:val="0"/>
                <w:bCs w:val="0"/>
                <w:sz w:val="21"/>
                <w:szCs w:val="21"/>
              </w:rPr>
            </w:pPr>
            <w:r>
              <w:rPr>
                <w:rStyle w:val="40"/>
                <w:rFonts w:hint="eastAsia" w:ascii="宋体" w:hAnsi="宋体" w:eastAsia="宋体" w:cs="宋体"/>
                <w:b w:val="0"/>
                <w:bCs w:val="0"/>
                <w:szCs w:val="21"/>
                <w:u w:val="single"/>
                <w:lang w:eastAsia="zh-CN"/>
              </w:rPr>
              <w:t>☑</w:t>
            </w:r>
            <w:r>
              <w:rPr>
                <w:rStyle w:val="40"/>
                <w:rFonts w:hint="eastAsia" w:ascii="宋体" w:hAnsi="宋体" w:eastAsia="宋体" w:cs="宋体"/>
                <w:b w:val="0"/>
                <w:bCs w:val="0"/>
                <w:szCs w:val="21"/>
                <w:u w:val="single"/>
              </w:rPr>
              <w:t>适用</w:t>
            </w:r>
          </w:p>
        </w:tc>
        <w:tc>
          <w:tcPr>
            <w:tcW w:w="5856" w:type="dxa"/>
          </w:tcPr>
          <w:p>
            <w:pPr>
              <w:widowControl w:val="0"/>
              <w:spacing w:line="288" w:lineRule="auto"/>
              <w:jc w:val="both"/>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供应商应提供近年</w:t>
            </w:r>
            <w:r>
              <w:rPr>
                <w:rStyle w:val="40"/>
                <w:rFonts w:hint="eastAsia"/>
                <w:b w:val="0"/>
                <w:bCs w:val="0"/>
                <w:sz w:val="21"/>
                <w:szCs w:val="21"/>
                <w:highlight w:val="none"/>
                <w:u w:val="none"/>
              </w:rPr>
              <w:t>类似项目情况表</w:t>
            </w:r>
            <w:r>
              <w:rPr>
                <w:rFonts w:hint="eastAsia" w:ascii="宋体" w:hAnsi="宋体" w:eastAsia="宋体" w:cs="宋体"/>
                <w:color w:val="auto"/>
                <w:sz w:val="21"/>
                <w:szCs w:val="21"/>
                <w:highlight w:val="none"/>
              </w:rPr>
              <w:t>（格式见第六章“响应文件格式”</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、资格审查资料（</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）近年的类似项目情况表），以证明供应商具有承担本项目要求的业绩。近年是指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2019年</w:t>
            </w:r>
            <w:r>
              <w:rPr>
                <w:rFonts w:hint="eastAsia" w:ascii="宋体" w:hAnsi="宋体" w:cs="宋体"/>
                <w:color w:val="auto"/>
                <w:sz w:val="21"/>
                <w:szCs w:val="21"/>
                <w:highlight w:val="none"/>
                <w:u w:val="single"/>
                <w:lang w:val="en-US" w:eastAsia="zh-CN"/>
              </w:rPr>
              <w:t>8月10日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lang w:val="en-US" w:eastAsia="zh-CN"/>
              </w:rPr>
              <w:t>2021</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8月10日，以合同甲方签署时间为准</w:t>
            </w:r>
          </w:p>
          <w:p>
            <w:pPr>
              <w:widowControl w:val="0"/>
              <w:spacing w:line="288"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业绩证明材料：</w:t>
            </w:r>
          </w:p>
          <w:p>
            <w:pPr>
              <w:widowControl w:val="0"/>
              <w:spacing w:line="320" w:lineRule="exact"/>
              <w:jc w:val="both"/>
              <w:rPr>
                <w:rFonts w:hint="eastAsia" w:ascii="宋体" w:hAnsi="宋体" w:eastAsia="宋体" w:cs="宋体"/>
                <w:b w:val="0"/>
                <w:bCs w:val="0"/>
                <w:sz w:val="21"/>
                <w:szCs w:val="21"/>
                <w:lang w:val="en-US" w:eastAsia="zh-CN"/>
              </w:rPr>
            </w:pPr>
            <w:r>
              <w:rPr>
                <w:rFonts w:hint="eastAsia" w:ascii="宋体" w:hAnsi="宋体" w:eastAsia="宋体" w:cs="宋体"/>
                <w:color w:val="auto"/>
                <w:sz w:val="21"/>
                <w:szCs w:val="21"/>
                <w:highlight w:val="none"/>
                <w:u w:val="none"/>
                <w:lang w:val="en-US" w:eastAsia="zh-CN"/>
              </w:rPr>
              <w:t>需</w:t>
            </w:r>
            <w:r>
              <w:rPr>
                <w:rFonts w:hint="eastAsia" w:ascii="宋体" w:hAnsi="宋体" w:eastAsia="宋体" w:cs="宋体"/>
                <w:color w:val="auto"/>
                <w:sz w:val="21"/>
                <w:szCs w:val="21"/>
                <w:highlight w:val="none"/>
                <w:u w:val="none"/>
                <w:lang w:eastAsia="zh-CN"/>
              </w:rPr>
              <w:t>提供</w:t>
            </w:r>
            <w:r>
              <w:rPr>
                <w:rFonts w:hint="eastAsia" w:ascii="宋体" w:hAnsi="宋体" w:cs="宋体"/>
                <w:color w:val="auto"/>
                <w:sz w:val="21"/>
                <w:szCs w:val="21"/>
                <w:highlight w:val="none"/>
                <w:u w:val="none"/>
                <w:lang w:val="en-US" w:eastAsia="zh-CN"/>
              </w:rPr>
              <w:t>1</w:t>
            </w:r>
            <w:r>
              <w:rPr>
                <w:rFonts w:hint="eastAsia" w:ascii="宋体" w:hAnsi="宋体" w:eastAsia="宋体" w:cs="宋体"/>
                <w:color w:val="000000"/>
                <w:sz w:val="21"/>
                <w:szCs w:val="21"/>
                <w:u w:val="none"/>
                <w:vertAlign w:val="baseline"/>
                <w:lang w:val="en-US" w:eastAsia="zh-CN"/>
              </w:rPr>
              <w:t>个消防维保</w:t>
            </w:r>
            <w:r>
              <w:rPr>
                <w:rFonts w:hint="eastAsia" w:ascii="宋体" w:hAnsi="宋体" w:eastAsia="宋体" w:cs="宋体"/>
                <w:color w:val="000000"/>
                <w:sz w:val="21"/>
                <w:szCs w:val="21"/>
                <w:u w:val="none"/>
                <w:vertAlign w:val="baseline"/>
                <w:lang w:eastAsia="zh-CN"/>
              </w:rPr>
              <w:t>及</w:t>
            </w:r>
            <w:r>
              <w:rPr>
                <w:rFonts w:hint="eastAsia" w:ascii="宋体" w:hAnsi="宋体" w:cs="宋体"/>
                <w:color w:val="000000"/>
                <w:sz w:val="21"/>
                <w:szCs w:val="21"/>
                <w:u w:val="none"/>
                <w:vertAlign w:val="baseline"/>
                <w:lang w:val="en-US" w:eastAsia="zh-CN"/>
              </w:rPr>
              <w:t>1</w:t>
            </w:r>
            <w:r>
              <w:rPr>
                <w:rFonts w:hint="eastAsia" w:ascii="宋体" w:hAnsi="宋体" w:eastAsia="宋体" w:cs="宋体"/>
                <w:color w:val="000000"/>
                <w:sz w:val="21"/>
                <w:szCs w:val="21"/>
                <w:u w:val="none"/>
                <w:vertAlign w:val="baseline"/>
                <w:lang w:val="en-US" w:eastAsia="zh-CN"/>
              </w:rPr>
              <w:t>个消防检测评估</w:t>
            </w:r>
            <w:r>
              <w:rPr>
                <w:rFonts w:hint="eastAsia" w:ascii="宋体" w:hAnsi="宋体" w:eastAsia="宋体" w:cs="宋体"/>
                <w:color w:val="000000"/>
                <w:sz w:val="21"/>
                <w:szCs w:val="21"/>
                <w:u w:val="none"/>
                <w:vertAlign w:val="baseline"/>
                <w:lang w:eastAsia="zh-CN"/>
              </w:rPr>
              <w:t>类似项目业绩</w:t>
            </w:r>
            <w:r>
              <w:rPr>
                <w:rFonts w:hint="eastAsia" w:ascii="宋体" w:hAnsi="宋体" w:eastAsia="宋体" w:cs="宋体"/>
                <w:color w:val="000000"/>
                <w:sz w:val="21"/>
                <w:szCs w:val="21"/>
                <w:u w:val="none"/>
                <w:vertAlign w:val="baseline"/>
                <w:lang w:val="en-US" w:eastAsia="zh-CN"/>
              </w:rPr>
              <w:t>证明材料，</w:t>
            </w:r>
            <w:r>
              <w:rPr>
                <w:rFonts w:hint="eastAsia" w:ascii="宋体" w:hAnsi="宋体" w:cs="宋体"/>
                <w:color w:val="auto"/>
                <w:sz w:val="21"/>
                <w:szCs w:val="21"/>
                <w:highlight w:val="none"/>
                <w:u w:val="none"/>
                <w:lang w:val="en-US" w:eastAsia="zh-CN"/>
              </w:rPr>
              <w:t>提供合同</w:t>
            </w:r>
            <w:r>
              <w:rPr>
                <w:rFonts w:hint="eastAsia" w:ascii="宋体" w:hAnsi="宋体" w:eastAsia="宋体" w:cs="宋体"/>
                <w:color w:val="auto"/>
                <w:sz w:val="21"/>
                <w:szCs w:val="21"/>
                <w:highlight w:val="none"/>
                <w:u w:val="none"/>
                <w:lang w:eastAsia="zh-CN"/>
              </w:rPr>
              <w:t>复印件</w:t>
            </w:r>
            <w:r>
              <w:rPr>
                <w:rFonts w:hint="eastAsia" w:ascii="宋体" w:hAnsi="宋体" w:cs="宋体"/>
                <w:color w:val="auto"/>
                <w:sz w:val="21"/>
                <w:szCs w:val="21"/>
                <w:highlight w:val="none"/>
                <w:u w:val="none"/>
                <w:lang w:val="en-US" w:eastAsia="zh-CN"/>
              </w:rPr>
              <w:t>并</w:t>
            </w:r>
            <w:r>
              <w:rPr>
                <w:rFonts w:hint="eastAsia" w:ascii="宋体" w:hAnsi="宋体" w:eastAsia="宋体" w:cs="宋体"/>
                <w:color w:val="auto"/>
                <w:sz w:val="21"/>
                <w:szCs w:val="21"/>
                <w:highlight w:val="none"/>
                <w:u w:val="none"/>
                <w:lang w:eastAsia="zh-CN"/>
              </w:rPr>
              <w:t>加盖单位公章</w:t>
            </w:r>
            <w:r>
              <w:rPr>
                <w:rFonts w:hint="eastAsia" w:ascii="宋体" w:hAnsi="宋体" w:cs="宋体"/>
                <w:color w:val="auto"/>
                <w:sz w:val="21"/>
                <w:szCs w:val="21"/>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7" w:type="dxa"/>
          </w:tcPr>
          <w:p>
            <w:pPr>
              <w:widowControl w:val="0"/>
              <w:spacing w:line="32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（5）信誉要求</w:t>
            </w:r>
          </w:p>
        </w:tc>
        <w:tc>
          <w:tcPr>
            <w:tcW w:w="1881" w:type="dxa"/>
          </w:tcPr>
          <w:p>
            <w:pPr>
              <w:widowControl w:val="0"/>
              <w:spacing w:line="320" w:lineRule="exact"/>
              <w:jc w:val="both"/>
              <w:rPr>
                <w:rStyle w:val="40"/>
                <w:rFonts w:hint="eastAsia" w:ascii="宋体" w:hAnsi="宋体" w:eastAsia="宋体" w:cs="宋体"/>
                <w:b w:val="0"/>
                <w:bCs w:val="0"/>
                <w:szCs w:val="21"/>
                <w:u w:val="single"/>
              </w:rPr>
            </w:pPr>
            <w:r>
              <w:rPr>
                <w:rStyle w:val="40"/>
                <w:rFonts w:hint="eastAsia" w:ascii="宋体" w:hAnsi="宋体" w:eastAsia="宋体" w:cs="宋体"/>
                <w:b w:val="0"/>
                <w:bCs w:val="0"/>
                <w:szCs w:val="21"/>
                <w:u w:val="single"/>
                <w:lang w:eastAsia="zh-CN"/>
              </w:rPr>
              <w:t>□</w:t>
            </w:r>
            <w:r>
              <w:rPr>
                <w:rStyle w:val="40"/>
                <w:rFonts w:hint="eastAsia" w:ascii="宋体" w:hAnsi="宋体" w:eastAsia="宋体" w:cs="宋体"/>
                <w:b w:val="0"/>
                <w:bCs w:val="0"/>
                <w:szCs w:val="21"/>
                <w:u w:val="single"/>
              </w:rPr>
              <w:t xml:space="preserve">不适用  </w:t>
            </w:r>
          </w:p>
          <w:p>
            <w:pPr>
              <w:widowControl w:val="0"/>
              <w:spacing w:line="320" w:lineRule="exact"/>
              <w:jc w:val="both"/>
              <w:rPr>
                <w:rFonts w:hint="eastAsia" w:ascii="宋体" w:hAnsi="宋体" w:eastAsia="宋体" w:cs="宋体"/>
                <w:b w:val="0"/>
                <w:bCs w:val="0"/>
                <w:sz w:val="21"/>
                <w:szCs w:val="21"/>
              </w:rPr>
            </w:pPr>
            <w:r>
              <w:rPr>
                <w:rStyle w:val="40"/>
                <w:rFonts w:hint="eastAsia" w:ascii="宋体" w:hAnsi="宋体" w:eastAsia="宋体" w:cs="宋体"/>
                <w:b w:val="0"/>
                <w:bCs w:val="0"/>
                <w:szCs w:val="21"/>
                <w:u w:val="single"/>
                <w:lang w:eastAsia="zh-CN"/>
              </w:rPr>
              <w:sym w:font="Wingdings 2" w:char="0052"/>
            </w:r>
            <w:r>
              <w:rPr>
                <w:rStyle w:val="40"/>
                <w:rFonts w:hint="eastAsia" w:ascii="宋体" w:hAnsi="宋体" w:eastAsia="宋体" w:cs="宋体"/>
                <w:b w:val="0"/>
                <w:bCs w:val="0"/>
                <w:szCs w:val="21"/>
                <w:u w:val="single"/>
              </w:rPr>
              <w:t>适用</w:t>
            </w:r>
          </w:p>
        </w:tc>
        <w:tc>
          <w:tcPr>
            <w:tcW w:w="5856" w:type="dxa"/>
          </w:tcPr>
          <w:p>
            <w:pPr>
              <w:widowControl w:val="0"/>
              <w:spacing w:line="320" w:lineRule="exact"/>
              <w:jc w:val="both"/>
              <w:rPr>
                <w:rFonts w:hint="default" w:ascii="宋体" w:hAnsi="宋体" w:eastAsia="宋体" w:cs="宋体"/>
                <w:b w:val="0"/>
                <w:bCs w:val="0"/>
                <w:sz w:val="21"/>
                <w:szCs w:val="21"/>
                <w:lang w:val="en-US"/>
              </w:rPr>
            </w:pPr>
            <w:r>
              <w:rPr>
                <w:rFonts w:hint="eastAsia" w:ascii="宋体" w:hAnsi="宋体" w:cs="宋体"/>
                <w:color w:val="auto"/>
                <w:sz w:val="21"/>
                <w:szCs w:val="21"/>
                <w:highlight w:val="none"/>
                <w:lang w:val="en-US" w:eastAsia="zh-CN"/>
              </w:rPr>
              <w:t>供应商应提供</w:t>
            </w:r>
            <w:r>
              <w:rPr>
                <w:rFonts w:hint="eastAsia" w:ascii="宋体" w:hAnsi="宋体" w:cs="宋体"/>
                <w:color w:val="auto"/>
                <w:sz w:val="21"/>
                <w:szCs w:val="21"/>
                <w:highlight w:val="none"/>
              </w:rPr>
              <w:t>被最高人民法院在“信用中国”网站（www.creditchina.gov.cn）中未列入失信被执行人名单的网页截图</w:t>
            </w:r>
            <w:r>
              <w:rPr>
                <w:rFonts w:hint="eastAsia" w:ascii="宋体" w:hAnsi="宋体" w:cs="宋体"/>
                <w:color w:val="auto"/>
                <w:sz w:val="21"/>
                <w:szCs w:val="21"/>
                <w:highlight w:val="none"/>
                <w:lang w:val="en-US" w:eastAsia="zh-CN"/>
              </w:rPr>
              <w:t>或报告单</w:t>
            </w:r>
            <w:r>
              <w:rPr>
                <w:rFonts w:hint="eastAsia" w:ascii="宋体" w:hAnsi="宋体" w:cs="宋体"/>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7" w:type="dxa"/>
          </w:tcPr>
          <w:p>
            <w:pPr>
              <w:widowControl w:val="0"/>
              <w:spacing w:line="288"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（6）承担本项目的主要人员要求</w:t>
            </w:r>
          </w:p>
        </w:tc>
        <w:tc>
          <w:tcPr>
            <w:tcW w:w="1881" w:type="dxa"/>
          </w:tcPr>
          <w:p>
            <w:pPr>
              <w:widowControl w:val="0"/>
              <w:spacing w:line="320" w:lineRule="exact"/>
              <w:jc w:val="both"/>
              <w:rPr>
                <w:rStyle w:val="40"/>
                <w:rFonts w:hint="eastAsia" w:ascii="宋体" w:hAnsi="宋体" w:eastAsia="宋体" w:cs="宋体"/>
                <w:b w:val="0"/>
                <w:bCs w:val="0"/>
                <w:szCs w:val="21"/>
                <w:u w:val="single"/>
              </w:rPr>
            </w:pPr>
            <w:r>
              <w:rPr>
                <w:rStyle w:val="40"/>
                <w:rFonts w:hint="eastAsia" w:ascii="宋体" w:hAnsi="宋体" w:eastAsia="宋体" w:cs="宋体"/>
                <w:b w:val="0"/>
                <w:bCs w:val="0"/>
                <w:szCs w:val="21"/>
                <w:u w:val="single"/>
              </w:rPr>
              <w:t xml:space="preserve">□不适用  </w:t>
            </w:r>
          </w:p>
          <w:p>
            <w:pPr>
              <w:widowControl w:val="0"/>
              <w:spacing w:line="320" w:lineRule="exact"/>
              <w:jc w:val="both"/>
              <w:rPr>
                <w:rFonts w:hint="eastAsia" w:ascii="宋体" w:hAnsi="宋体" w:eastAsia="宋体" w:cs="宋体"/>
                <w:b w:val="0"/>
                <w:bCs w:val="0"/>
                <w:sz w:val="21"/>
                <w:szCs w:val="21"/>
              </w:rPr>
            </w:pPr>
            <w:r>
              <w:rPr>
                <w:rStyle w:val="40"/>
                <w:rFonts w:hint="eastAsia" w:ascii="宋体" w:hAnsi="宋体" w:eastAsia="宋体" w:cs="宋体"/>
                <w:b w:val="0"/>
                <w:bCs w:val="0"/>
                <w:szCs w:val="21"/>
                <w:u w:val="single"/>
                <w:lang w:eastAsia="zh-CN"/>
              </w:rPr>
              <w:t>☑</w:t>
            </w:r>
            <w:r>
              <w:rPr>
                <w:rStyle w:val="40"/>
                <w:rFonts w:hint="eastAsia" w:ascii="宋体" w:hAnsi="宋体" w:eastAsia="宋体" w:cs="宋体"/>
                <w:b w:val="0"/>
                <w:bCs w:val="0"/>
                <w:szCs w:val="21"/>
                <w:u w:val="single"/>
              </w:rPr>
              <w:t>适用</w:t>
            </w:r>
          </w:p>
        </w:tc>
        <w:tc>
          <w:tcPr>
            <w:tcW w:w="5856" w:type="dxa"/>
          </w:tcPr>
          <w:p>
            <w:pPr>
              <w:widowControl w:val="0"/>
              <w:spacing w:line="320" w:lineRule="exact"/>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w:t>
            </w:r>
            <w:r>
              <w:rPr>
                <w:rFonts w:hint="eastAsia" w:ascii="宋体" w:hAnsi="宋体" w:eastAsia="宋体" w:cs="宋体"/>
                <w:color w:val="auto"/>
                <w:sz w:val="21"/>
                <w:szCs w:val="21"/>
                <w:highlight w:val="none"/>
              </w:rPr>
              <w:t>应商应提供拟委任的主要人员汇总表（格式见第六章“响应文件格式”</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、资格审查资料（</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rPr>
              <w:t>）拟委任的主要人员汇总表</w:t>
            </w:r>
          </w:p>
          <w:p>
            <w:pPr>
              <w:widowControl w:val="0"/>
              <w:spacing w:line="320" w:lineRule="exact"/>
              <w:jc w:val="both"/>
              <w:rPr>
                <w:rFonts w:hint="eastAsia" w:ascii="宋体" w:hAnsi="宋体" w:eastAsia="宋体" w:cs="宋体"/>
                <w:b w:val="0"/>
                <w:bCs w:val="0"/>
                <w:color w:val="auto"/>
                <w:sz w:val="21"/>
                <w:szCs w:val="21"/>
              </w:rPr>
            </w:pPr>
            <w:r>
              <w:rPr>
                <w:rFonts w:hint="eastAsia" w:ascii="宋体" w:hAnsi="宋体" w:cs="宋体"/>
                <w:b/>
                <w:bCs/>
                <w:color w:val="000000"/>
                <w:sz w:val="21"/>
                <w:szCs w:val="21"/>
                <w:highlight w:val="none"/>
                <w:lang w:eastAsia="zh-CN"/>
              </w:rPr>
              <w:t>要求：</w:t>
            </w:r>
            <w:r>
              <w:rPr>
                <w:rStyle w:val="40"/>
                <w:rFonts w:hint="eastAsia"/>
                <w:b w:val="0"/>
                <w:bCs w:val="0"/>
                <w:sz w:val="21"/>
                <w:szCs w:val="21"/>
                <w:highlight w:val="none"/>
                <w:u w:val="none"/>
                <w:lang w:val="en-US" w:eastAsia="zh-CN"/>
              </w:rPr>
              <w:t>供应商拟任</w:t>
            </w:r>
            <w:r>
              <w:rPr>
                <w:rStyle w:val="40"/>
                <w:rFonts w:hint="eastAsia"/>
                <w:b w:val="0"/>
                <w:bCs w:val="0"/>
                <w:sz w:val="21"/>
                <w:szCs w:val="21"/>
                <w:highlight w:val="none"/>
                <w:u w:val="none"/>
                <w:lang w:eastAsia="zh-CN"/>
              </w:rPr>
              <w:t>项目负责人（</w:t>
            </w:r>
            <w:r>
              <w:rPr>
                <w:rStyle w:val="40"/>
                <w:rFonts w:hint="eastAsia"/>
                <w:b w:val="0"/>
                <w:bCs w:val="0"/>
                <w:sz w:val="21"/>
                <w:szCs w:val="21"/>
                <w:highlight w:val="none"/>
                <w:u w:val="none"/>
                <w:lang w:val="en-US" w:eastAsia="zh-CN"/>
              </w:rPr>
              <w:t>1人</w:t>
            </w:r>
            <w:r>
              <w:rPr>
                <w:rStyle w:val="40"/>
                <w:rFonts w:hint="eastAsia"/>
                <w:b w:val="0"/>
                <w:bCs w:val="0"/>
                <w:sz w:val="21"/>
                <w:szCs w:val="21"/>
                <w:highlight w:val="none"/>
                <w:u w:val="none"/>
                <w:lang w:eastAsia="zh-CN"/>
              </w:rPr>
              <w:t>）具有</w:t>
            </w:r>
            <w:r>
              <w:rPr>
                <w:rFonts w:hint="eastAsia" w:ascii="宋体" w:hAnsi="宋体" w:eastAsia="宋体" w:cs="宋体"/>
                <w:color w:val="000000"/>
                <w:sz w:val="21"/>
                <w:szCs w:val="21"/>
                <w:u w:val="none"/>
                <w:lang w:val="en-US" w:eastAsia="zh-CN"/>
              </w:rPr>
              <w:t>国家一级注册消防工程师资质，主要维保检测评估人员</w:t>
            </w:r>
            <w:r>
              <w:rPr>
                <w:rFonts w:hint="eastAsia" w:ascii="宋体" w:hAnsi="宋体" w:cs="宋体"/>
                <w:color w:val="000000"/>
                <w:sz w:val="21"/>
                <w:szCs w:val="21"/>
                <w:u w:val="none"/>
                <w:lang w:val="en-US" w:eastAsia="zh-CN"/>
              </w:rPr>
              <w:t>（1人）</w:t>
            </w:r>
            <w:r>
              <w:rPr>
                <w:rFonts w:hint="eastAsia" w:ascii="宋体" w:hAnsi="宋体" w:eastAsia="宋体" w:cs="宋体"/>
                <w:color w:val="000000"/>
                <w:sz w:val="21"/>
                <w:szCs w:val="21"/>
                <w:u w:val="none"/>
                <w:lang w:val="en-US" w:eastAsia="zh-CN"/>
              </w:rPr>
              <w:t>具有注册消防工程师或</w:t>
            </w:r>
            <w:r>
              <w:rPr>
                <w:rFonts w:hint="eastAsia" w:ascii="宋体" w:hAnsi="宋体" w:cs="宋体"/>
                <w:color w:val="000000"/>
                <w:sz w:val="21"/>
                <w:szCs w:val="21"/>
                <w:u w:val="none"/>
                <w:lang w:val="en-US" w:eastAsia="zh-CN"/>
              </w:rPr>
              <w:t>高</w:t>
            </w:r>
            <w:r>
              <w:rPr>
                <w:rFonts w:hint="eastAsia" w:ascii="宋体" w:hAnsi="宋体" w:eastAsia="宋体" w:cs="宋体"/>
                <w:color w:val="000000"/>
                <w:sz w:val="21"/>
                <w:szCs w:val="21"/>
                <w:u w:val="none"/>
                <w:lang w:val="en-US" w:eastAsia="zh-CN"/>
              </w:rPr>
              <w:t>级消防员资质</w:t>
            </w:r>
            <w:r>
              <w:rPr>
                <w:rFonts w:hint="eastAsia" w:ascii="宋体" w:hAnsi="宋体" w:cs="宋体"/>
                <w:color w:val="000000"/>
                <w:sz w:val="21"/>
                <w:szCs w:val="21"/>
                <w:u w:val="none"/>
                <w:lang w:val="en-US" w:eastAsia="zh-CN"/>
              </w:rPr>
              <w:t>，</w:t>
            </w:r>
            <w:r>
              <w:rPr>
                <w:rFonts w:hint="eastAsia" w:ascii="宋体" w:hAnsi="宋体" w:eastAsia="宋体" w:cs="宋体"/>
                <w:color w:val="000000"/>
                <w:sz w:val="21"/>
                <w:szCs w:val="21"/>
                <w:u w:val="none"/>
                <w:lang w:eastAsia="zh-CN"/>
              </w:rPr>
              <w:t>以上</w:t>
            </w:r>
            <w:r>
              <w:rPr>
                <w:rFonts w:hint="eastAsia" w:ascii="宋体" w:hAnsi="宋体" w:eastAsia="宋体" w:cs="宋体"/>
                <w:color w:val="000000"/>
                <w:sz w:val="21"/>
                <w:szCs w:val="21"/>
                <w:u w:val="none"/>
                <w:lang w:val="en-US" w:eastAsia="zh-CN"/>
              </w:rPr>
              <w:t>人员</w:t>
            </w:r>
            <w:r>
              <w:rPr>
                <w:rFonts w:hint="eastAsia" w:ascii="宋体" w:hAnsi="宋体" w:eastAsia="宋体" w:cs="宋体"/>
                <w:color w:val="000000"/>
                <w:sz w:val="21"/>
                <w:szCs w:val="21"/>
                <w:u w:val="none"/>
                <w:lang w:eastAsia="zh-CN"/>
              </w:rPr>
              <w:t>需提</w:t>
            </w:r>
            <w:r>
              <w:rPr>
                <w:rFonts w:hint="eastAsia" w:ascii="宋体" w:hAnsi="宋体" w:eastAsia="宋体" w:cs="宋体"/>
                <w:color w:val="000000"/>
                <w:sz w:val="21"/>
                <w:szCs w:val="21"/>
                <w:u w:val="none"/>
                <w:lang w:val="en-US" w:eastAsia="zh-CN"/>
              </w:rPr>
              <w:t>供证书</w:t>
            </w:r>
            <w:r>
              <w:rPr>
                <w:rFonts w:hint="eastAsia" w:ascii="宋体" w:hAnsi="宋体" w:eastAsia="宋体" w:cs="宋体"/>
                <w:color w:val="000000"/>
                <w:sz w:val="21"/>
                <w:szCs w:val="21"/>
                <w:u w:val="none"/>
                <w:lang w:eastAsia="zh-CN"/>
              </w:rPr>
              <w:t>复印件</w:t>
            </w:r>
            <w:r>
              <w:rPr>
                <w:rFonts w:hint="eastAsia" w:ascii="宋体" w:hAnsi="宋体" w:cs="宋体"/>
                <w:color w:val="000000"/>
                <w:sz w:val="21"/>
                <w:szCs w:val="21"/>
                <w:u w:val="none"/>
                <w:lang w:val="en-US" w:eastAsia="zh-CN"/>
              </w:rPr>
              <w:t>及响应截止日前半年的社保缴费证明</w:t>
            </w:r>
            <w:r>
              <w:rPr>
                <w:rFonts w:hint="eastAsia" w:ascii="宋体" w:hAnsi="宋体" w:eastAsia="宋体" w:cs="宋体"/>
                <w:color w:val="000000"/>
                <w:sz w:val="21"/>
                <w:szCs w:val="21"/>
                <w:u w:val="none"/>
                <w:lang w:eastAsia="zh-CN"/>
              </w:rPr>
              <w:t>并加盖单位公章</w:t>
            </w:r>
            <w:r>
              <w:rPr>
                <w:rFonts w:hint="eastAsia" w:ascii="宋体" w:hAnsi="宋体" w:cs="宋体"/>
                <w:color w:val="000000"/>
                <w:sz w:val="21"/>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7" w:type="dxa"/>
          </w:tcPr>
          <w:p>
            <w:pPr>
              <w:widowControl w:val="0"/>
              <w:spacing w:line="32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（7）其他要求</w:t>
            </w:r>
          </w:p>
        </w:tc>
        <w:tc>
          <w:tcPr>
            <w:tcW w:w="1881" w:type="dxa"/>
          </w:tcPr>
          <w:p>
            <w:pPr>
              <w:widowControl w:val="0"/>
              <w:spacing w:line="320" w:lineRule="exact"/>
              <w:jc w:val="both"/>
              <w:rPr>
                <w:rStyle w:val="40"/>
                <w:rFonts w:hint="eastAsia" w:ascii="宋体" w:hAnsi="宋体" w:eastAsia="宋体" w:cs="宋体"/>
                <w:b w:val="0"/>
                <w:bCs w:val="0"/>
                <w:szCs w:val="21"/>
                <w:u w:val="single"/>
              </w:rPr>
            </w:pPr>
            <w:r>
              <w:rPr>
                <w:rStyle w:val="40"/>
                <w:rFonts w:hint="eastAsia" w:ascii="宋体" w:hAnsi="宋体" w:eastAsia="宋体" w:cs="宋体"/>
                <w:b w:val="0"/>
                <w:bCs w:val="0"/>
                <w:szCs w:val="21"/>
                <w:u w:val="single"/>
                <w:lang w:eastAsia="zh-CN"/>
              </w:rPr>
              <w:t>☑</w:t>
            </w:r>
            <w:r>
              <w:rPr>
                <w:rStyle w:val="40"/>
                <w:rFonts w:hint="eastAsia" w:ascii="宋体" w:hAnsi="宋体" w:eastAsia="宋体" w:cs="宋体"/>
                <w:b w:val="0"/>
                <w:bCs w:val="0"/>
                <w:szCs w:val="21"/>
                <w:u w:val="single"/>
              </w:rPr>
              <w:t xml:space="preserve">不适用  </w:t>
            </w:r>
          </w:p>
          <w:p>
            <w:pPr>
              <w:widowControl w:val="0"/>
              <w:spacing w:line="320" w:lineRule="exact"/>
              <w:jc w:val="both"/>
              <w:rPr>
                <w:rFonts w:hint="eastAsia" w:ascii="宋体" w:hAnsi="宋体" w:eastAsia="宋体" w:cs="宋体"/>
                <w:b w:val="0"/>
                <w:bCs w:val="0"/>
                <w:sz w:val="21"/>
                <w:szCs w:val="21"/>
              </w:rPr>
            </w:pPr>
            <w:r>
              <w:rPr>
                <w:rStyle w:val="40"/>
                <w:rFonts w:hint="eastAsia" w:ascii="宋体" w:hAnsi="宋体" w:eastAsia="宋体" w:cs="宋体"/>
                <w:b w:val="0"/>
                <w:bCs w:val="0"/>
                <w:szCs w:val="21"/>
                <w:u w:val="single"/>
                <w:lang w:eastAsia="zh-CN"/>
              </w:rPr>
              <w:t>□</w:t>
            </w:r>
            <w:r>
              <w:rPr>
                <w:rStyle w:val="40"/>
                <w:rFonts w:hint="eastAsia" w:ascii="宋体" w:hAnsi="宋体" w:eastAsia="宋体" w:cs="宋体"/>
                <w:b w:val="0"/>
                <w:bCs w:val="0"/>
                <w:szCs w:val="21"/>
                <w:u w:val="single"/>
              </w:rPr>
              <w:t>适用</w:t>
            </w:r>
          </w:p>
        </w:tc>
        <w:tc>
          <w:tcPr>
            <w:tcW w:w="5856" w:type="dxa"/>
          </w:tcPr>
          <w:p>
            <w:pPr>
              <w:widowControl w:val="0"/>
              <w:spacing w:line="320" w:lineRule="exact"/>
              <w:jc w:val="both"/>
              <w:rPr>
                <w:rStyle w:val="40"/>
                <w:rFonts w:hint="eastAsia" w:ascii="宋体" w:hAnsi="宋体" w:eastAsia="宋体" w:cs="宋体"/>
                <w:b w:val="0"/>
                <w:bCs w:val="0"/>
                <w:szCs w:val="21"/>
                <w:u w:val="single"/>
              </w:rPr>
            </w:pPr>
            <w:r>
              <w:rPr>
                <w:rStyle w:val="40"/>
                <w:rFonts w:hint="eastAsia" w:ascii="宋体" w:hAnsi="宋体" w:eastAsia="宋体" w:cs="宋体"/>
                <w:b w:val="0"/>
                <w:bCs w:val="0"/>
                <w:szCs w:val="21"/>
                <w:u w:val="single"/>
                <w:lang w:eastAsia="zh-CN"/>
              </w:rPr>
              <w:t>☑</w:t>
            </w:r>
            <w:r>
              <w:rPr>
                <w:rStyle w:val="40"/>
                <w:rFonts w:hint="eastAsia" w:ascii="宋体" w:hAnsi="宋体" w:eastAsia="宋体" w:cs="宋体"/>
                <w:b w:val="0"/>
                <w:bCs w:val="0"/>
                <w:szCs w:val="21"/>
                <w:u w:val="single"/>
              </w:rPr>
              <w:t xml:space="preserve">不适用  </w:t>
            </w:r>
          </w:p>
          <w:p>
            <w:pPr>
              <w:widowControl w:val="0"/>
              <w:spacing w:line="320" w:lineRule="exact"/>
              <w:jc w:val="both"/>
              <w:rPr>
                <w:rFonts w:hint="eastAsia" w:ascii="宋体" w:hAnsi="宋体" w:eastAsia="宋体" w:cs="宋体"/>
                <w:b w:val="0"/>
                <w:bCs w:val="0"/>
                <w:sz w:val="21"/>
                <w:szCs w:val="21"/>
              </w:rPr>
            </w:pPr>
            <w:r>
              <w:rPr>
                <w:rStyle w:val="40"/>
                <w:rFonts w:hint="eastAsia" w:ascii="宋体" w:hAnsi="宋体" w:eastAsia="宋体" w:cs="宋体"/>
                <w:b w:val="0"/>
                <w:bCs w:val="0"/>
                <w:szCs w:val="21"/>
                <w:u w:val="single"/>
                <w:lang w:eastAsia="zh-CN"/>
              </w:rPr>
              <w:t>□</w:t>
            </w:r>
            <w:r>
              <w:rPr>
                <w:rStyle w:val="40"/>
                <w:rFonts w:hint="eastAsia" w:ascii="宋体" w:hAnsi="宋体" w:eastAsia="宋体" w:cs="宋体"/>
                <w:b w:val="0"/>
                <w:bCs w:val="0"/>
                <w:szCs w:val="21"/>
                <w:u w:val="single"/>
              </w:rPr>
              <w:t>适用,见采购文件供应商须知前附表3.5（7）。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7" w:type="dxa"/>
            <w:vAlign w:val="center"/>
          </w:tcPr>
          <w:p>
            <w:pPr>
              <w:widowControl w:val="0"/>
              <w:spacing w:line="288"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（8）供应商不存在第一章3.1款情形的证明材料</w:t>
            </w:r>
          </w:p>
        </w:tc>
        <w:tc>
          <w:tcPr>
            <w:tcW w:w="1881" w:type="dxa"/>
          </w:tcPr>
          <w:p>
            <w:pPr>
              <w:widowControl w:val="0"/>
              <w:spacing w:line="320" w:lineRule="exact"/>
              <w:jc w:val="both"/>
              <w:rPr>
                <w:rStyle w:val="40"/>
                <w:rFonts w:hint="eastAsia" w:ascii="宋体" w:hAnsi="宋体" w:eastAsia="宋体" w:cs="宋体"/>
                <w:b w:val="0"/>
                <w:bCs w:val="0"/>
                <w:szCs w:val="21"/>
                <w:u w:val="single"/>
              </w:rPr>
            </w:pPr>
            <w:r>
              <w:rPr>
                <w:rStyle w:val="40"/>
                <w:rFonts w:hint="eastAsia" w:ascii="宋体" w:hAnsi="宋体" w:eastAsia="宋体" w:cs="宋体"/>
                <w:b w:val="0"/>
                <w:bCs w:val="0"/>
                <w:szCs w:val="21"/>
                <w:u w:val="single"/>
                <w:lang w:eastAsia="zh-CN"/>
              </w:rPr>
              <w:sym w:font="Wingdings 2" w:char="0052"/>
            </w:r>
            <w:r>
              <w:rPr>
                <w:rStyle w:val="40"/>
                <w:rFonts w:hint="eastAsia" w:ascii="宋体" w:hAnsi="宋体" w:eastAsia="宋体" w:cs="宋体"/>
                <w:b w:val="0"/>
                <w:bCs w:val="0"/>
                <w:szCs w:val="21"/>
                <w:u w:val="single"/>
              </w:rPr>
              <w:t xml:space="preserve">不适用  </w:t>
            </w:r>
          </w:p>
          <w:p>
            <w:pPr>
              <w:widowControl w:val="0"/>
              <w:spacing w:line="320" w:lineRule="exact"/>
              <w:jc w:val="both"/>
              <w:rPr>
                <w:rFonts w:hint="eastAsia" w:ascii="宋体" w:hAnsi="宋体" w:eastAsia="宋体" w:cs="宋体"/>
                <w:b w:val="0"/>
                <w:bCs w:val="0"/>
                <w:sz w:val="21"/>
                <w:szCs w:val="21"/>
              </w:rPr>
            </w:pPr>
            <w:r>
              <w:rPr>
                <w:rStyle w:val="40"/>
                <w:rFonts w:hint="eastAsia" w:ascii="宋体" w:hAnsi="宋体" w:cs="宋体"/>
                <w:b w:val="0"/>
                <w:bCs w:val="0"/>
                <w:szCs w:val="21"/>
                <w:u w:val="single"/>
                <w:lang w:eastAsia="zh-CN"/>
              </w:rPr>
              <w:t>□</w:t>
            </w:r>
            <w:r>
              <w:rPr>
                <w:rStyle w:val="40"/>
                <w:rFonts w:hint="eastAsia" w:ascii="宋体" w:hAnsi="宋体" w:eastAsia="宋体" w:cs="宋体"/>
                <w:b w:val="0"/>
                <w:bCs w:val="0"/>
                <w:szCs w:val="21"/>
                <w:u w:val="single"/>
              </w:rPr>
              <w:t>适用</w:t>
            </w:r>
          </w:p>
        </w:tc>
        <w:tc>
          <w:tcPr>
            <w:tcW w:w="5856" w:type="dxa"/>
          </w:tcPr>
          <w:p>
            <w:pPr>
              <w:widowControl w:val="0"/>
              <w:spacing w:line="320" w:lineRule="exact"/>
              <w:jc w:val="both"/>
              <w:rPr>
                <w:ins w:id="0" w:author="蔡艳" w:date="2022-08-02T11:11:43Z"/>
                <w:rStyle w:val="40"/>
                <w:b w:val="0"/>
                <w:bCs w:val="0"/>
                <w:u w:val="single"/>
              </w:rPr>
            </w:pPr>
            <w:ins w:id="1" w:author="蔡艳" w:date="2022-08-02T11:12:04Z">
              <w:r>
                <w:rPr>
                  <w:rStyle w:val="40"/>
                  <w:rFonts w:hint="eastAsia"/>
                  <w:b w:val="0"/>
                  <w:bCs w:val="0"/>
                  <w:u w:val="single"/>
                </w:rPr>
                <w:sym w:font="Wingdings 2" w:char="0052"/>
              </w:r>
            </w:ins>
            <w:ins w:id="2" w:author="蔡艳" w:date="2022-08-02T11:11:43Z">
              <w:r>
                <w:rPr>
                  <w:rStyle w:val="40"/>
                  <w:rFonts w:hint="eastAsia"/>
                  <w:b w:val="0"/>
                  <w:bCs w:val="0"/>
                  <w:u w:val="single"/>
                </w:rPr>
                <w:t xml:space="preserve">不适用  </w:t>
              </w:r>
            </w:ins>
          </w:p>
          <w:p>
            <w:pPr>
              <w:widowControl w:val="0"/>
              <w:spacing w:line="320" w:lineRule="exact"/>
              <w:jc w:val="both"/>
              <w:rPr>
                <w:rFonts w:hint="eastAsia" w:ascii="宋体" w:hAnsi="宋体" w:eastAsia="宋体" w:cs="宋体"/>
                <w:b w:val="0"/>
                <w:bCs w:val="0"/>
                <w:sz w:val="21"/>
                <w:szCs w:val="21"/>
              </w:rPr>
            </w:pPr>
            <w:ins w:id="3" w:author="蔡艳" w:date="2022-08-02T11:11:43Z">
              <w:r>
                <w:rPr>
                  <w:rStyle w:val="40"/>
                  <w:rFonts w:hint="eastAsia"/>
                  <w:b w:val="0"/>
                  <w:bCs w:val="0"/>
                  <w:u w:val="single"/>
                </w:rPr>
                <w:t>□适用,见采购文件供应商须知前附表3.5（8）。</w:t>
              </w:r>
            </w:ins>
          </w:p>
        </w:tc>
      </w:tr>
    </w:tbl>
    <w:p>
      <w:pPr>
        <w:pStyle w:val="5"/>
        <w:numPr>
          <w:ilvl w:val="0"/>
          <w:numId w:val="2"/>
        </w:numPr>
        <w:jc w:val="both"/>
        <w:rPr>
          <w:rFonts w:hint="eastAsia" w:ascii="黑体" w:hAnsi="黑体"/>
          <w:sz w:val="28"/>
          <w:szCs w:val="28"/>
          <w:lang w:val="en-US" w:eastAsia="zh-CN"/>
        </w:rPr>
      </w:pPr>
      <w:r>
        <w:rPr>
          <w:rFonts w:hint="eastAsia" w:ascii="黑体" w:hAnsi="黑体"/>
          <w:sz w:val="28"/>
          <w:szCs w:val="28"/>
          <w:lang w:val="en-US" w:eastAsia="zh-CN"/>
        </w:rPr>
        <w:t>最高限价</w:t>
      </w:r>
    </w:p>
    <w:p>
      <w:pPr>
        <w:autoSpaceDE w:val="0"/>
        <w:spacing w:line="400" w:lineRule="exact"/>
        <w:jc w:val="both"/>
        <w:rPr>
          <w:rFonts w:hint="eastAsia" w:ascii="宋体" w:hAnsi="宋体" w:cs="宋体"/>
          <w:sz w:val="24"/>
          <w:lang w:val="en-US" w:eastAsia="zh-CN"/>
        </w:rPr>
      </w:pPr>
      <w:r>
        <w:rPr>
          <w:rFonts w:hint="eastAsia" w:ascii="宋体" w:hAnsi="宋体" w:eastAsia="宋体" w:cs="宋体"/>
          <w:sz w:val="24"/>
          <w:szCs w:val="24"/>
        </w:rPr>
        <w:t>最高限价</w:t>
      </w:r>
      <w:r>
        <w:rPr>
          <w:rFonts w:hint="eastAsia" w:ascii="宋体" w:hAnsi="宋体" w:cs="宋体"/>
          <w:sz w:val="24"/>
          <w:szCs w:val="24"/>
          <w:lang w:eastAsia="zh-CN"/>
        </w:rPr>
        <w:t>：（</w:t>
      </w:r>
      <w:r>
        <w:rPr>
          <w:rFonts w:hint="eastAsia" w:ascii="宋体" w:hAnsi="宋体" w:cs="宋体"/>
          <w:sz w:val="24"/>
          <w:szCs w:val="24"/>
          <w:lang w:val="en-US" w:eastAsia="zh-CN"/>
        </w:rPr>
        <w:t>大写</w:t>
      </w:r>
      <w:r>
        <w:rPr>
          <w:rFonts w:hint="eastAsia" w:ascii="宋体" w:hAnsi="宋体" w:cs="宋体"/>
          <w:sz w:val="24"/>
          <w:szCs w:val="24"/>
          <w:lang w:eastAsia="zh-CN"/>
        </w:rPr>
        <w:t>）</w:t>
      </w:r>
      <w:r>
        <w:rPr>
          <w:rFonts w:hint="eastAsia" w:ascii="宋体" w:hAnsi="宋体" w:cs="宋体"/>
          <w:sz w:val="24"/>
          <w:szCs w:val="24"/>
          <w:lang w:val="en-US" w:eastAsia="zh-CN"/>
        </w:rPr>
        <w:t>壹拾伍万贰仟贰佰伍拾元整</w:t>
      </w:r>
      <w:r>
        <w:rPr>
          <w:rFonts w:hint="eastAsia" w:ascii="宋体" w:hAnsi="宋体" w:cs="宋体"/>
          <w:sz w:val="24"/>
          <w:szCs w:val="24"/>
          <w:lang w:eastAsia="zh-CN"/>
        </w:rPr>
        <w:t>；（</w:t>
      </w:r>
      <w:r>
        <w:rPr>
          <w:rFonts w:hint="eastAsia" w:ascii="宋体" w:hAnsi="宋体" w:cs="宋体"/>
          <w:sz w:val="24"/>
          <w:szCs w:val="24"/>
          <w:lang w:val="en-US" w:eastAsia="zh-CN"/>
        </w:rPr>
        <w:t>小写）</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52</w:t>
      </w:r>
      <w:ins w:id="4" w:author="蔡艳" w:date="2022-08-02T11:03:15Z">
        <w:r>
          <w:rPr>
            <w:rFonts w:hint="eastAsia" w:ascii="宋体" w:hAnsi="宋体" w:cs="宋体"/>
            <w:sz w:val="24"/>
            <w:szCs w:val="24"/>
            <w:lang w:val="en-US" w:eastAsia="zh-CN"/>
          </w:rPr>
          <w:t>，</w:t>
        </w:r>
      </w:ins>
      <w:r>
        <w:rPr>
          <w:rFonts w:hint="eastAsia" w:ascii="宋体" w:hAnsi="宋体" w:cs="宋体"/>
          <w:sz w:val="24"/>
          <w:szCs w:val="24"/>
          <w:lang w:val="en-US" w:eastAsia="zh-CN"/>
        </w:rPr>
        <w:t>250</w:t>
      </w:r>
      <w:r>
        <w:rPr>
          <w:rFonts w:hint="eastAsia" w:ascii="宋体" w:hAnsi="宋体" w:eastAsia="宋体" w:cs="宋体"/>
          <w:sz w:val="24"/>
          <w:szCs w:val="24"/>
          <w:lang w:val="en-US" w:eastAsia="zh-CN"/>
        </w:rPr>
        <w:t>.00；</w:t>
      </w:r>
      <w:r>
        <w:rPr>
          <w:rFonts w:hint="eastAsia" w:ascii="宋体" w:hAnsi="宋体" w:eastAsia="宋体" w:cs="宋体"/>
          <w:sz w:val="24"/>
          <w:szCs w:val="24"/>
        </w:rPr>
        <w:t>以上限价为</w:t>
      </w:r>
      <w:r>
        <w:rPr>
          <w:rFonts w:hint="eastAsia" w:ascii="宋体" w:hAnsi="宋体" w:eastAsia="宋体" w:cs="宋体"/>
          <w:sz w:val="24"/>
          <w:szCs w:val="24"/>
          <w:lang w:val="en-US" w:eastAsia="zh-CN"/>
        </w:rPr>
        <w:t>6</w:t>
      </w:r>
      <w:r>
        <w:rPr>
          <w:rFonts w:hint="eastAsia" w:ascii="宋体" w:hAnsi="宋体" w:eastAsia="宋体" w:cs="宋体"/>
          <w:sz w:val="24"/>
          <w:szCs w:val="24"/>
        </w:rPr>
        <w:t>%的增值税含税价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提供专用发票</w:t>
      </w:r>
      <w:r>
        <w:rPr>
          <w:rFonts w:hint="eastAsia" w:ascii="宋体" w:hAnsi="宋体" w:eastAsia="宋体" w:cs="宋体"/>
          <w:sz w:val="24"/>
          <w:szCs w:val="24"/>
          <w:lang w:eastAsia="zh-CN"/>
        </w:rPr>
        <w:t>）</w:t>
      </w:r>
      <w:r>
        <w:rPr>
          <w:rFonts w:hint="eastAsia" w:ascii="宋体" w:hAnsi="宋体" w:eastAsia="宋体" w:cs="宋体"/>
          <w:sz w:val="24"/>
          <w:szCs w:val="24"/>
        </w:rPr>
        <w:t>，如果报价人提供其他税率的增值税专用发票，</w:t>
      </w:r>
      <w:r>
        <w:rPr>
          <w:rFonts w:hint="eastAsia" w:ascii="宋体" w:hAnsi="宋体" w:eastAsia="宋体" w:cs="宋体"/>
          <w:sz w:val="24"/>
          <w:szCs w:val="24"/>
          <w:lang w:val="en-US" w:eastAsia="zh-CN"/>
        </w:rPr>
        <w:t>询价</w:t>
      </w:r>
      <w:r>
        <w:rPr>
          <w:rFonts w:hint="eastAsia" w:ascii="宋体" w:hAnsi="宋体" w:eastAsia="宋体" w:cs="宋体"/>
          <w:sz w:val="24"/>
          <w:szCs w:val="24"/>
        </w:rPr>
        <w:t>人按</w:t>
      </w:r>
      <w:r>
        <w:rPr>
          <w:rFonts w:hint="eastAsia" w:ascii="宋体" w:hAnsi="宋体" w:eastAsia="宋体" w:cs="宋体"/>
          <w:sz w:val="24"/>
          <w:szCs w:val="24"/>
          <w:lang w:val="en-US" w:eastAsia="zh-CN"/>
        </w:rPr>
        <w:t>6</w:t>
      </w:r>
      <w:r>
        <w:rPr>
          <w:rFonts w:hint="eastAsia" w:ascii="宋体" w:hAnsi="宋体" w:eastAsia="宋体" w:cs="宋体"/>
          <w:sz w:val="24"/>
          <w:szCs w:val="24"/>
        </w:rPr>
        <w:t>%的税率调整后计算报价参与排序。</w:t>
      </w:r>
    </w:p>
    <w:p>
      <w:pPr>
        <w:pStyle w:val="5"/>
        <w:jc w:val="both"/>
        <w:rPr>
          <w:rFonts w:ascii="Arial" w:hAnsi="Arial"/>
        </w:rPr>
      </w:pPr>
      <w:r>
        <w:rPr>
          <w:rFonts w:hint="eastAsia"/>
          <w:lang w:val="en-US" w:eastAsia="zh-CN"/>
        </w:rPr>
        <w:t>五、</w:t>
      </w:r>
      <w:r>
        <w:rPr>
          <w:rFonts w:hint="eastAsia" w:ascii="黑体" w:hAnsi="黑体"/>
        </w:rPr>
        <w:t>确定成交供应商的方法</w:t>
      </w:r>
    </w:p>
    <w:p>
      <w:pPr>
        <w:autoSpaceDE w:val="0"/>
        <w:spacing w:line="400" w:lineRule="exact"/>
        <w:jc w:val="both"/>
        <w:rPr>
          <w:rFonts w:hint="eastAsia" w:ascii="宋体" w:hAnsi="宋体" w:eastAsia="宋体" w:cs="宋体"/>
          <w:b w:val="0"/>
          <w:bCs w:val="0"/>
          <w:sz w:val="24"/>
        </w:rPr>
      </w:pPr>
      <w:r>
        <w:rPr>
          <w:rFonts w:hint="eastAsia" w:ascii="宋体" w:hAnsi="宋体"/>
          <w:b w:val="0"/>
          <w:bCs w:val="0"/>
          <w:sz w:val="24"/>
          <w:lang w:eastAsia="zh-CN"/>
        </w:rPr>
        <w:t>（</w:t>
      </w:r>
      <w:r>
        <w:rPr>
          <w:rFonts w:hint="eastAsia" w:ascii="宋体" w:hAnsi="宋体" w:eastAsia="宋体" w:cs="宋体"/>
          <w:b w:val="0"/>
          <w:bCs w:val="0"/>
          <w:sz w:val="24"/>
          <w:lang w:val="en-US" w:eastAsia="zh-CN"/>
        </w:rPr>
        <w:t>一</w:t>
      </w:r>
      <w:r>
        <w:rPr>
          <w:rFonts w:hint="eastAsia" w:ascii="宋体" w:hAnsi="宋体" w:eastAsia="宋体" w:cs="宋体"/>
          <w:b w:val="0"/>
          <w:bCs w:val="0"/>
          <w:sz w:val="24"/>
          <w:lang w:eastAsia="zh-CN"/>
        </w:rPr>
        <w:t>）</w:t>
      </w:r>
      <w:r>
        <w:rPr>
          <w:rStyle w:val="39"/>
          <w:rFonts w:hint="eastAsia" w:ascii="宋体" w:hAnsi="宋体" w:eastAsia="宋体" w:cs="宋体"/>
          <w:sz w:val="24"/>
        </w:rPr>
        <w:t>最低价法</w:t>
      </w:r>
    </w:p>
    <w:p>
      <w:pPr>
        <w:autoSpaceDE w:val="0"/>
        <w:spacing w:line="400" w:lineRule="exact"/>
        <w:jc w:val="both"/>
        <w:rPr>
          <w:rFonts w:ascii="宋体" w:hAnsi="宋体"/>
          <w:sz w:val="24"/>
        </w:rPr>
      </w:pP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二</w:t>
      </w:r>
      <w:r>
        <w:rPr>
          <w:rFonts w:hint="eastAsia" w:ascii="宋体" w:hAnsi="宋体" w:eastAsia="宋体" w:cs="宋体"/>
          <w:b w:val="0"/>
          <w:bCs w:val="0"/>
          <w:sz w:val="24"/>
          <w:lang w:eastAsia="zh-CN"/>
        </w:rPr>
        <w:t>）</w:t>
      </w:r>
      <w:r>
        <w:rPr>
          <w:rFonts w:hint="eastAsia" w:ascii="宋体" w:hAnsi="宋体" w:eastAsia="宋体" w:cs="宋体"/>
          <w:sz w:val="24"/>
        </w:rPr>
        <w:t>采购人应当确定排名第一的成交候选供应商为成交供应商。若排名第一的成交候选供应商未通过履约能力和报价核查，采购人应按推荐的名单排序依次确定其他成交候选供应商为成交供应商。</w:t>
      </w:r>
      <w:r>
        <w:rPr>
          <w:rFonts w:hint="eastAsia" w:ascii="宋体" w:hAnsi="宋体"/>
          <w:sz w:val="24"/>
        </w:rPr>
        <w:t xml:space="preserve"> </w:t>
      </w:r>
    </w:p>
    <w:p>
      <w:pPr>
        <w:pStyle w:val="5"/>
        <w:jc w:val="both"/>
        <w:rPr>
          <w:rFonts w:ascii="Arial" w:hAnsi="Arial"/>
        </w:rPr>
      </w:pPr>
      <w:r>
        <w:rPr>
          <w:rFonts w:hint="eastAsia" w:ascii="黑体" w:hAnsi="黑体"/>
          <w:lang w:val="en-US" w:eastAsia="zh-CN"/>
        </w:rPr>
        <w:t>六、</w:t>
      </w:r>
      <w:r>
        <w:rPr>
          <w:rFonts w:hint="eastAsia" w:ascii="黑体" w:hAnsi="黑体"/>
        </w:rPr>
        <w:t>采购文件获取</w:t>
      </w:r>
    </w:p>
    <w:p>
      <w:pPr>
        <w:autoSpaceDE w:val="0"/>
        <w:spacing w:line="400" w:lineRule="exact"/>
        <w:jc w:val="both"/>
        <w:rPr>
          <w:rFonts w:hint="eastAsia" w:ascii="宋体" w:hAnsi="宋体" w:eastAsia="宋体" w:cs="宋体"/>
          <w:sz w:val="24"/>
        </w:rPr>
      </w:pP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一</w:t>
      </w:r>
      <w:r>
        <w:rPr>
          <w:rFonts w:hint="eastAsia" w:ascii="宋体" w:hAnsi="宋体" w:eastAsia="宋体" w:cs="宋体"/>
          <w:b w:val="0"/>
          <w:bCs w:val="0"/>
          <w:sz w:val="24"/>
          <w:lang w:eastAsia="zh-CN"/>
        </w:rPr>
        <w:t>）</w:t>
      </w:r>
      <w:r>
        <w:rPr>
          <w:rFonts w:hint="eastAsia" w:ascii="宋体" w:hAnsi="宋体" w:eastAsia="宋体" w:cs="宋体"/>
          <w:b w:val="0"/>
          <w:bCs w:val="0"/>
          <w:sz w:val="24"/>
        </w:rPr>
        <w:t xml:space="preserve"> </w:t>
      </w:r>
      <w:r>
        <w:rPr>
          <w:rFonts w:hint="eastAsia" w:ascii="宋体" w:hAnsi="宋体" w:eastAsia="宋体" w:cs="宋体"/>
          <w:sz w:val="24"/>
        </w:rPr>
        <w:t>供应商应当于</w:t>
      </w:r>
      <w:r>
        <w:rPr>
          <w:rFonts w:hint="eastAsia" w:ascii="宋体" w:hAnsi="宋体" w:eastAsia="宋体" w:cs="宋体"/>
          <w:sz w:val="24"/>
          <w:highlight w:val="none"/>
          <w:lang w:val="en-US" w:eastAsia="zh-CN"/>
        </w:rPr>
        <w:t>2022</w:t>
      </w:r>
      <w:r>
        <w:rPr>
          <w:rFonts w:hint="eastAsia" w:ascii="宋体" w:hAnsi="宋体" w:eastAsia="宋体" w:cs="宋体"/>
          <w:sz w:val="24"/>
          <w:highlight w:val="none"/>
        </w:rPr>
        <w:t>年</w:t>
      </w:r>
      <w:r>
        <w:rPr>
          <w:rFonts w:hint="eastAsia" w:ascii="宋体" w:hAnsi="宋体" w:cs="宋体"/>
          <w:sz w:val="24"/>
          <w:highlight w:val="none"/>
          <w:lang w:val="en-US" w:eastAsia="zh-CN"/>
        </w:rPr>
        <w:t>8</w:t>
      </w:r>
      <w:r>
        <w:rPr>
          <w:rFonts w:hint="eastAsia" w:ascii="宋体" w:hAnsi="宋体" w:eastAsia="宋体" w:cs="宋体"/>
          <w:sz w:val="24"/>
          <w:highlight w:val="none"/>
        </w:rPr>
        <w:t>月</w:t>
      </w:r>
      <w:r>
        <w:rPr>
          <w:rFonts w:hint="eastAsia" w:ascii="宋体" w:hAnsi="宋体" w:cs="宋体"/>
          <w:sz w:val="24"/>
          <w:highlight w:val="none"/>
          <w:u w:val="none"/>
          <w:lang w:val="en-US" w:eastAsia="zh-CN"/>
        </w:rPr>
        <w:t>2</w:t>
      </w:r>
      <w:r>
        <w:rPr>
          <w:rFonts w:hint="eastAsia" w:ascii="宋体" w:hAnsi="宋体" w:eastAsia="宋体" w:cs="宋体"/>
          <w:sz w:val="24"/>
          <w:highlight w:val="none"/>
          <w:u w:val="none"/>
        </w:rPr>
        <w:t>日至</w:t>
      </w:r>
      <w:r>
        <w:rPr>
          <w:rFonts w:hint="eastAsia" w:ascii="宋体" w:hAnsi="宋体" w:eastAsia="宋体" w:cs="宋体"/>
          <w:sz w:val="24"/>
          <w:highlight w:val="none"/>
          <w:u w:val="none"/>
          <w:lang w:val="en-US" w:eastAsia="zh-CN"/>
        </w:rPr>
        <w:t xml:space="preserve">2022 </w:t>
      </w:r>
      <w:r>
        <w:rPr>
          <w:rFonts w:hint="eastAsia" w:ascii="宋体" w:hAnsi="宋体" w:eastAsia="宋体" w:cs="宋体"/>
          <w:sz w:val="24"/>
          <w:highlight w:val="none"/>
          <w:u w:val="none"/>
        </w:rPr>
        <w:t>年</w:t>
      </w:r>
      <w:r>
        <w:rPr>
          <w:rFonts w:hint="eastAsia" w:ascii="宋体" w:hAnsi="宋体" w:cs="宋体"/>
          <w:sz w:val="24"/>
          <w:highlight w:val="none"/>
          <w:u w:val="none"/>
          <w:lang w:val="en-US" w:eastAsia="zh-CN"/>
        </w:rPr>
        <w:t>8</w:t>
      </w:r>
      <w:r>
        <w:rPr>
          <w:rFonts w:hint="eastAsia" w:ascii="宋体" w:hAnsi="宋体" w:eastAsia="宋体" w:cs="宋体"/>
          <w:sz w:val="24"/>
          <w:highlight w:val="none"/>
          <w:u w:val="none"/>
        </w:rPr>
        <w:t>月</w:t>
      </w:r>
      <w:r>
        <w:rPr>
          <w:rFonts w:hint="eastAsia" w:ascii="宋体" w:hAnsi="宋体" w:cs="宋体"/>
          <w:sz w:val="24"/>
          <w:highlight w:val="none"/>
          <w:u w:val="none"/>
          <w:lang w:val="en-US" w:eastAsia="zh-CN"/>
        </w:rPr>
        <w:t>7</w:t>
      </w:r>
      <w:r>
        <w:rPr>
          <w:rFonts w:hint="eastAsia" w:ascii="宋体" w:hAnsi="宋体" w:eastAsia="宋体" w:cs="宋体"/>
          <w:sz w:val="24"/>
          <w:highlight w:val="none"/>
          <w:u w:val="none"/>
        </w:rPr>
        <w:t>日</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在</w:t>
      </w:r>
      <w:r>
        <w:rPr>
          <w:rFonts w:hint="eastAsia" w:ascii="宋体" w:hAnsi="宋体" w:eastAsia="宋体" w:cs="宋体"/>
          <w:b w:val="0"/>
          <w:bCs w:val="0"/>
          <w:sz w:val="24"/>
          <w:szCs w:val="24"/>
          <w:highlight w:val="none"/>
        </w:rPr>
        <w:t>中国</w:t>
      </w:r>
      <w:r>
        <w:rPr>
          <w:rFonts w:hint="eastAsia" w:ascii="宋体" w:hAnsi="宋体" w:eastAsia="宋体" w:cs="宋体"/>
          <w:b w:val="0"/>
          <w:bCs w:val="0"/>
          <w:sz w:val="24"/>
          <w:szCs w:val="24"/>
        </w:rPr>
        <w:t>招标投标公共服务平台（http：//www.cebpubservice.com）、湖南省湘水集团有限公司网站（http：//www.hnsxsjt.com）、</w:t>
      </w:r>
      <w:r>
        <w:rPr>
          <w:rFonts w:hint="eastAsia" w:ascii="宋体" w:hAnsi="宋体" w:eastAsia="宋体" w:cs="宋体"/>
          <w:b w:val="0"/>
          <w:bCs w:val="0"/>
          <w:i w:val="0"/>
          <w:caps w:val="0"/>
          <w:spacing w:val="0"/>
          <w:kern w:val="2"/>
          <w:sz w:val="24"/>
          <w:szCs w:val="24"/>
          <w:lang w:val="en-US" w:eastAsia="zh-CN" w:bidi="ar-SA"/>
        </w:rPr>
        <w:t>湖南省港务集团有限公司（http://www.hnsgwjt.com）</w:t>
      </w:r>
      <w:r>
        <w:rPr>
          <w:rFonts w:hint="eastAsia" w:ascii="宋体" w:hAnsi="宋体" w:eastAsia="宋体" w:cs="宋体"/>
          <w:b w:val="0"/>
          <w:bCs w:val="0"/>
          <w:sz w:val="24"/>
          <w:szCs w:val="24"/>
        </w:rPr>
        <w:t>上</w:t>
      </w:r>
      <w:r>
        <w:rPr>
          <w:rFonts w:hint="eastAsia" w:ascii="宋体" w:hAnsi="宋体" w:eastAsia="宋体" w:cs="宋体"/>
          <w:sz w:val="24"/>
        </w:rPr>
        <w:t>获取采购文件</w:t>
      </w:r>
      <w:r>
        <w:rPr>
          <w:rFonts w:hint="eastAsia" w:ascii="宋体" w:hAnsi="宋体" w:eastAsia="宋体" w:cs="宋体"/>
          <w:sz w:val="24"/>
          <w:lang w:eastAsia="zh-CN"/>
        </w:rPr>
        <w:t>；</w:t>
      </w:r>
    </w:p>
    <w:p>
      <w:pPr>
        <w:autoSpaceDE w:val="0"/>
        <w:spacing w:line="400" w:lineRule="exact"/>
        <w:ind w:left="0" w:firstLine="0" w:firstLineChars="0"/>
        <w:jc w:val="both"/>
        <w:rPr>
          <w:rFonts w:hint="eastAsia" w:ascii="宋体" w:hAnsi="宋体" w:eastAsia="宋体" w:cs="宋体"/>
          <w:sz w:val="24"/>
          <w:highlight w:val="none"/>
        </w:rPr>
      </w:pP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二</w:t>
      </w:r>
      <w:r>
        <w:rPr>
          <w:rFonts w:hint="eastAsia" w:ascii="宋体" w:hAnsi="宋体" w:eastAsia="宋体" w:cs="宋体"/>
          <w:b w:val="0"/>
          <w:bCs w:val="0"/>
          <w:sz w:val="24"/>
          <w:lang w:eastAsia="zh-CN"/>
        </w:rPr>
        <w:t>）</w:t>
      </w:r>
      <w:r>
        <w:rPr>
          <w:rFonts w:hint="eastAsia" w:ascii="宋体" w:hAnsi="宋体" w:eastAsia="宋体" w:cs="宋体"/>
          <w:b w:val="0"/>
          <w:bCs w:val="0"/>
          <w:sz w:val="24"/>
          <w:highlight w:val="none"/>
        </w:rPr>
        <w:t xml:space="preserve"> </w:t>
      </w:r>
      <w:r>
        <w:rPr>
          <w:rFonts w:hint="eastAsia" w:ascii="宋体" w:hAnsi="宋体" w:eastAsia="宋体" w:cs="宋体"/>
          <w:sz w:val="24"/>
          <w:highlight w:val="none"/>
        </w:rPr>
        <w:t>供应商若对本项目采购需求、资格要求等有疑问的，应当于</w:t>
      </w:r>
      <w:r>
        <w:rPr>
          <w:rFonts w:hint="eastAsia" w:ascii="宋体" w:hAnsi="宋体" w:eastAsia="宋体" w:cs="宋体"/>
          <w:sz w:val="24"/>
          <w:highlight w:val="none"/>
          <w:u w:val="single"/>
          <w:lang w:val="en-US" w:eastAsia="zh-CN"/>
        </w:rPr>
        <w:t xml:space="preserve"> 2022</w:t>
      </w:r>
      <w:r>
        <w:rPr>
          <w:rFonts w:hint="eastAsia" w:ascii="宋体" w:hAnsi="宋体" w:eastAsia="宋体" w:cs="宋体"/>
          <w:sz w:val="24"/>
          <w:highlight w:val="none"/>
        </w:rPr>
        <w:t>年</w:t>
      </w:r>
      <w:r>
        <w:rPr>
          <w:rFonts w:hint="eastAsia" w:ascii="宋体" w:hAnsi="宋体" w:cs="宋体"/>
          <w:sz w:val="24"/>
          <w:highlight w:val="none"/>
          <w:u w:val="single"/>
          <w:lang w:val="en-US" w:eastAsia="zh-CN"/>
        </w:rPr>
        <w:t>8</w:t>
      </w:r>
      <w:r>
        <w:rPr>
          <w:rFonts w:hint="eastAsia" w:ascii="宋体" w:hAnsi="宋体" w:eastAsia="宋体" w:cs="宋体"/>
          <w:sz w:val="24"/>
          <w:highlight w:val="none"/>
        </w:rPr>
        <w:t>月</w:t>
      </w:r>
      <w:r>
        <w:rPr>
          <w:rFonts w:hint="eastAsia" w:ascii="宋体" w:hAnsi="宋体" w:cs="宋体"/>
          <w:sz w:val="24"/>
          <w:highlight w:val="none"/>
          <w:u w:val="single"/>
          <w:lang w:val="en-US" w:eastAsia="zh-CN"/>
        </w:rPr>
        <w:t>8</w:t>
      </w:r>
      <w:r>
        <w:rPr>
          <w:rFonts w:hint="eastAsia" w:ascii="宋体" w:hAnsi="宋体" w:eastAsia="宋体" w:cs="宋体"/>
          <w:sz w:val="24"/>
          <w:highlight w:val="none"/>
        </w:rPr>
        <w:t>日</w:t>
      </w:r>
      <w:r>
        <w:rPr>
          <w:rFonts w:hint="eastAsia" w:ascii="宋体" w:hAnsi="宋体" w:cs="宋体"/>
          <w:sz w:val="24"/>
          <w:highlight w:val="none"/>
          <w:u w:val="single"/>
          <w:lang w:val="en-US" w:eastAsia="zh-CN"/>
        </w:rPr>
        <w:t>9</w:t>
      </w:r>
      <w:r>
        <w:rPr>
          <w:rFonts w:hint="eastAsia" w:ascii="宋体" w:hAnsi="宋体" w:eastAsia="宋体" w:cs="宋体"/>
          <w:sz w:val="24"/>
          <w:highlight w:val="none"/>
        </w:rPr>
        <w:t>时</w:t>
      </w:r>
      <w:r>
        <w:rPr>
          <w:rFonts w:hint="eastAsia" w:ascii="宋体" w:hAnsi="宋体" w:cs="宋体"/>
          <w:sz w:val="24"/>
          <w:highlight w:val="none"/>
          <w:u w:val="none"/>
          <w:lang w:val="en-US" w:eastAsia="zh-CN"/>
        </w:rPr>
        <w:t>00</w:t>
      </w:r>
      <w:r>
        <w:rPr>
          <w:rFonts w:hint="eastAsia" w:ascii="宋体" w:hAnsi="宋体" w:eastAsia="宋体" w:cs="宋体"/>
          <w:sz w:val="24"/>
          <w:highlight w:val="none"/>
        </w:rPr>
        <w:t>分前向采购人提出澄清要求</w:t>
      </w:r>
      <w:r>
        <w:rPr>
          <w:rFonts w:hint="eastAsia" w:ascii="宋体" w:hAnsi="宋体" w:cs="宋体"/>
          <w:sz w:val="24"/>
          <w:highlight w:val="none"/>
          <w:lang w:eastAsia="zh-CN"/>
        </w:rPr>
        <w:t>，</w:t>
      </w:r>
      <w:r>
        <w:rPr>
          <w:rFonts w:hint="eastAsia" w:ascii="宋体" w:hAnsi="宋体" w:cs="宋体"/>
          <w:sz w:val="24"/>
          <w:highlight w:val="none"/>
          <w:lang w:val="en-US" w:eastAsia="zh-CN"/>
        </w:rPr>
        <w:t>并</w:t>
      </w:r>
      <w:r>
        <w:rPr>
          <w:rFonts w:hint="eastAsia" w:ascii="宋体" w:hAnsi="宋体" w:eastAsia="宋体" w:cs="宋体"/>
          <w:sz w:val="24"/>
          <w:highlight w:val="none"/>
        </w:rPr>
        <w:t>于</w:t>
      </w:r>
      <w:r>
        <w:rPr>
          <w:rFonts w:hint="eastAsia" w:ascii="宋体" w:hAnsi="宋体" w:eastAsia="宋体" w:cs="宋体"/>
          <w:sz w:val="24"/>
          <w:highlight w:val="none"/>
          <w:u w:val="single"/>
          <w:lang w:val="en-US" w:eastAsia="zh-CN"/>
        </w:rPr>
        <w:t xml:space="preserve"> 2022</w:t>
      </w:r>
      <w:r>
        <w:rPr>
          <w:rFonts w:hint="eastAsia" w:ascii="宋体" w:hAnsi="宋体" w:eastAsia="宋体" w:cs="宋体"/>
          <w:sz w:val="24"/>
          <w:highlight w:val="none"/>
        </w:rPr>
        <w:t>年</w:t>
      </w:r>
      <w:r>
        <w:rPr>
          <w:rFonts w:hint="eastAsia" w:ascii="宋体" w:hAnsi="宋体" w:cs="宋体"/>
          <w:sz w:val="24"/>
          <w:highlight w:val="none"/>
          <w:u w:val="single"/>
          <w:lang w:val="en-US" w:eastAsia="zh-CN"/>
        </w:rPr>
        <w:t>8</w:t>
      </w:r>
      <w:r>
        <w:rPr>
          <w:rFonts w:hint="eastAsia" w:ascii="宋体" w:hAnsi="宋体" w:eastAsia="宋体" w:cs="宋体"/>
          <w:sz w:val="24"/>
          <w:highlight w:val="none"/>
        </w:rPr>
        <w:t>月</w:t>
      </w:r>
      <w:r>
        <w:rPr>
          <w:rFonts w:hint="eastAsia" w:ascii="宋体" w:hAnsi="宋体" w:cs="宋体"/>
          <w:sz w:val="24"/>
          <w:highlight w:val="none"/>
          <w:u w:val="single"/>
          <w:lang w:val="en-US" w:eastAsia="zh-CN"/>
        </w:rPr>
        <w:t>9</w:t>
      </w:r>
      <w:r>
        <w:rPr>
          <w:rFonts w:hint="eastAsia" w:ascii="宋体" w:hAnsi="宋体" w:eastAsia="宋体" w:cs="宋体"/>
          <w:sz w:val="24"/>
          <w:highlight w:val="none"/>
        </w:rPr>
        <w:t>日</w:t>
      </w:r>
      <w:r>
        <w:rPr>
          <w:rFonts w:hint="eastAsia" w:ascii="宋体" w:hAnsi="宋体" w:cs="宋体"/>
          <w:sz w:val="24"/>
          <w:highlight w:val="none"/>
          <w:u w:val="single"/>
          <w:lang w:val="en-US" w:eastAsia="zh-CN"/>
        </w:rPr>
        <w:t>9</w:t>
      </w:r>
      <w:r>
        <w:rPr>
          <w:rFonts w:hint="eastAsia" w:ascii="宋体" w:hAnsi="宋体" w:eastAsia="宋体" w:cs="宋体"/>
          <w:sz w:val="24"/>
          <w:highlight w:val="none"/>
        </w:rPr>
        <w:t>时</w:t>
      </w:r>
      <w:r>
        <w:rPr>
          <w:rFonts w:hint="eastAsia" w:ascii="宋体" w:hAnsi="宋体" w:cs="宋体"/>
          <w:sz w:val="24"/>
          <w:highlight w:val="none"/>
          <w:u w:val="none"/>
          <w:lang w:val="en-US" w:eastAsia="zh-CN"/>
        </w:rPr>
        <w:t>00</w:t>
      </w:r>
      <w:r>
        <w:rPr>
          <w:rFonts w:hint="eastAsia" w:ascii="宋体" w:hAnsi="宋体" w:eastAsia="宋体" w:cs="宋体"/>
          <w:sz w:val="24"/>
          <w:highlight w:val="none"/>
        </w:rPr>
        <w:t>分前向采购人</w:t>
      </w:r>
      <w:r>
        <w:rPr>
          <w:rFonts w:hint="eastAsia" w:ascii="宋体" w:hAnsi="宋体" w:cs="宋体"/>
          <w:sz w:val="24"/>
          <w:highlight w:val="none"/>
          <w:lang w:val="en-US" w:eastAsia="zh-CN"/>
        </w:rPr>
        <w:t>递交响应文件</w:t>
      </w:r>
      <w:r>
        <w:rPr>
          <w:rFonts w:hint="eastAsia" w:ascii="宋体" w:hAnsi="宋体" w:eastAsia="宋体" w:cs="宋体"/>
          <w:sz w:val="24"/>
          <w:highlight w:val="none"/>
        </w:rPr>
        <w:t>。</w:t>
      </w:r>
    </w:p>
    <w:p>
      <w:pPr>
        <w:autoSpaceDE w:val="0"/>
        <w:spacing w:line="400" w:lineRule="exact"/>
        <w:ind w:left="0" w:firstLine="0" w:firstLineChars="0"/>
        <w:jc w:val="both"/>
        <w:rPr>
          <w:rFonts w:hint="eastAsia" w:ascii="宋体" w:hAnsi="宋体" w:eastAsia="宋体" w:cs="宋体"/>
          <w:sz w:val="24"/>
        </w:rPr>
      </w:pPr>
    </w:p>
    <w:p>
      <w:pPr>
        <w:pStyle w:val="5"/>
        <w:jc w:val="both"/>
      </w:pPr>
      <w:r>
        <w:rPr>
          <w:rFonts w:hint="eastAsia"/>
          <w:lang w:val="en-US" w:eastAsia="zh-CN"/>
        </w:rPr>
        <w:t>七、</w:t>
      </w:r>
      <w:r>
        <w:t>监督</w:t>
      </w:r>
      <w:r>
        <w:rPr>
          <w:rFonts w:hint="eastAsia"/>
        </w:rPr>
        <w:t>部门</w:t>
      </w:r>
    </w:p>
    <w:p>
      <w:pPr>
        <w:pStyle w:val="32"/>
        <w:widowControl w:val="0"/>
        <w:adjustRightInd w:val="0"/>
        <w:snapToGrid w:val="0"/>
        <w:spacing w:before="0" w:beforeAutospacing="0" w:after="0" w:afterAutospacing="0" w:line="312" w:lineRule="auto"/>
        <w:ind w:firstLine="480" w:firstLineChars="200"/>
        <w:jc w:val="both"/>
        <w:rPr>
          <w:rFonts w:hint="eastAsia" w:ascii="宋体" w:hAnsi="宋体" w:eastAsia="宋体" w:cs="宋体"/>
          <w:u w:val="none"/>
        </w:rPr>
      </w:pPr>
      <w:r>
        <w:rPr>
          <w:rFonts w:hint="eastAsia" w:ascii="宋体" w:hAnsi="宋体" w:eastAsia="宋体" w:cs="宋体"/>
        </w:rPr>
        <w:t>本次采购监督部门</w:t>
      </w:r>
      <w:r>
        <w:rPr>
          <w:rFonts w:hint="eastAsia" w:ascii="宋体" w:hAnsi="宋体" w:eastAsia="宋体" w:cs="宋体"/>
          <w:u w:val="none"/>
        </w:rPr>
        <w:t xml:space="preserve">为 </w:t>
      </w:r>
      <w:r>
        <w:rPr>
          <w:rFonts w:hint="eastAsia" w:ascii="宋体" w:hAnsi="宋体" w:eastAsia="宋体" w:cs="宋体"/>
          <w:u w:val="none"/>
          <w:lang w:eastAsia="zh-CN"/>
        </w:rPr>
        <w:t>岳阳城陵矶新港有限公司综合管理部</w:t>
      </w:r>
      <w:r>
        <w:rPr>
          <w:rFonts w:hint="eastAsia" w:ascii="宋体" w:hAnsi="宋体" w:eastAsia="宋体" w:cs="宋体"/>
          <w:u w:val="none"/>
        </w:rPr>
        <w:t xml:space="preserve"> ，电话：</w:t>
      </w:r>
      <w:r>
        <w:rPr>
          <w:rFonts w:hint="eastAsia" w:ascii="宋体" w:hAnsi="宋体" w:eastAsia="宋体" w:cs="宋体"/>
          <w:color w:val="auto"/>
          <w:sz w:val="24"/>
          <w:szCs w:val="24"/>
          <w:u w:val="none"/>
          <w:lang w:val="en-US" w:eastAsia="zh-CN"/>
        </w:rPr>
        <w:t>13873049118</w:t>
      </w:r>
      <w:r>
        <w:rPr>
          <w:rFonts w:hint="eastAsia" w:ascii="宋体" w:hAnsi="宋体" w:eastAsia="宋体" w:cs="宋体"/>
          <w:u w:val="none"/>
        </w:rPr>
        <w:t>。</w:t>
      </w:r>
    </w:p>
    <w:p>
      <w:pPr>
        <w:pStyle w:val="5"/>
        <w:jc w:val="both"/>
        <w:rPr>
          <w:rFonts w:ascii="Arial" w:hAnsi="Arial"/>
          <w:u w:val="none"/>
        </w:rPr>
      </w:pPr>
      <w:r>
        <w:rPr>
          <w:rFonts w:hint="eastAsia"/>
          <w:u w:val="none"/>
          <w:lang w:val="en-US" w:eastAsia="zh-CN"/>
        </w:rPr>
        <w:t>八、</w:t>
      </w:r>
      <w:r>
        <w:rPr>
          <w:rFonts w:hint="eastAsia" w:ascii="黑体" w:hAnsi="黑体"/>
          <w:u w:val="none"/>
        </w:rPr>
        <w:t>联系方式</w:t>
      </w:r>
    </w:p>
    <w:p>
      <w:pPr>
        <w:autoSpaceDE w:val="0"/>
        <w:spacing w:line="400" w:lineRule="exact"/>
        <w:ind w:firstLine="240" w:firstLineChars="100"/>
        <w:jc w:val="both"/>
        <w:rPr>
          <w:rFonts w:hint="eastAsia" w:ascii="宋体" w:hAnsi="宋体" w:eastAsia="宋体" w:cs="宋体"/>
          <w:sz w:val="24"/>
          <w:u w:val="none"/>
        </w:rPr>
      </w:pPr>
      <w:r>
        <w:rPr>
          <w:rFonts w:hint="eastAsia" w:ascii="宋体" w:hAnsi="宋体" w:eastAsia="宋体" w:cs="宋体"/>
          <w:sz w:val="24"/>
          <w:u w:val="none"/>
        </w:rPr>
        <w:t xml:space="preserve">采 购 人:  </w:t>
      </w:r>
      <w:r>
        <w:rPr>
          <w:rFonts w:hint="eastAsia" w:ascii="宋体" w:hAnsi="宋体" w:eastAsia="宋体" w:cs="宋体"/>
          <w:sz w:val="24"/>
          <w:u w:val="none"/>
          <w:lang w:eastAsia="zh-CN"/>
        </w:rPr>
        <w:t>岳阳城陵矶新港有限公司</w:t>
      </w:r>
      <w:r>
        <w:rPr>
          <w:rFonts w:hint="eastAsia" w:ascii="宋体" w:hAnsi="宋体" w:eastAsia="宋体" w:cs="宋体"/>
          <w:sz w:val="24"/>
          <w:u w:val="none"/>
        </w:rPr>
        <w:t xml:space="preserve">     </w:t>
      </w:r>
    </w:p>
    <w:p>
      <w:pPr>
        <w:autoSpaceDE w:val="0"/>
        <w:spacing w:line="400" w:lineRule="exact"/>
        <w:ind w:firstLine="240" w:firstLineChars="100"/>
        <w:jc w:val="both"/>
        <w:rPr>
          <w:rFonts w:hint="eastAsia" w:ascii="宋体" w:hAnsi="宋体" w:eastAsia="宋体" w:cs="宋体"/>
          <w:sz w:val="24"/>
          <w:u w:val="none"/>
          <w:lang w:val="en-US" w:eastAsia="zh-CN"/>
        </w:rPr>
      </w:pPr>
      <w:r>
        <w:rPr>
          <w:rFonts w:hint="eastAsia" w:ascii="宋体" w:hAnsi="宋体" w:eastAsia="宋体" w:cs="宋体"/>
          <w:sz w:val="24"/>
          <w:u w:val="none"/>
        </w:rPr>
        <w:t xml:space="preserve">地    址:  </w:t>
      </w:r>
      <w:r>
        <w:rPr>
          <w:rFonts w:hint="eastAsia" w:ascii="宋体" w:hAnsi="宋体" w:eastAsia="宋体" w:cs="宋体"/>
          <w:sz w:val="24"/>
          <w:u w:val="none"/>
          <w:lang w:eastAsia="zh-CN"/>
        </w:rPr>
        <w:t>岳阳市云溪区沿江西路</w:t>
      </w:r>
      <w:r>
        <w:rPr>
          <w:rFonts w:hint="eastAsia" w:ascii="宋体" w:hAnsi="宋体" w:eastAsia="宋体" w:cs="宋体"/>
          <w:sz w:val="24"/>
          <w:u w:val="none"/>
          <w:lang w:val="en-US" w:eastAsia="zh-CN"/>
        </w:rPr>
        <w:t xml:space="preserve">50米岳阳城陵矶新港有限公司 </w:t>
      </w:r>
    </w:p>
    <w:p>
      <w:pPr>
        <w:autoSpaceDE w:val="0"/>
        <w:spacing w:line="400" w:lineRule="exact"/>
        <w:ind w:firstLine="240" w:firstLineChars="100"/>
        <w:jc w:val="both"/>
        <w:rPr>
          <w:rFonts w:hint="eastAsia" w:ascii="宋体" w:hAnsi="宋体" w:eastAsia="宋体" w:cs="宋体"/>
          <w:sz w:val="24"/>
          <w:u w:val="none"/>
        </w:rPr>
      </w:pPr>
      <w:r>
        <w:rPr>
          <w:rFonts w:hint="eastAsia" w:ascii="宋体" w:hAnsi="宋体" w:eastAsia="宋体" w:cs="宋体"/>
          <w:sz w:val="24"/>
          <w:u w:val="none"/>
        </w:rPr>
        <w:t xml:space="preserve">邮政编码:  </w:t>
      </w:r>
      <w:r>
        <w:rPr>
          <w:rFonts w:hint="eastAsia" w:ascii="宋体" w:hAnsi="宋体" w:eastAsia="宋体" w:cs="宋体"/>
          <w:sz w:val="24"/>
          <w:u w:val="none"/>
          <w:lang w:val="en-US" w:eastAsia="zh-CN"/>
        </w:rPr>
        <w:t>414000</w:t>
      </w:r>
      <w:r>
        <w:rPr>
          <w:rFonts w:hint="eastAsia" w:ascii="宋体" w:hAnsi="宋体" w:eastAsia="宋体" w:cs="宋体"/>
          <w:sz w:val="24"/>
          <w:u w:val="none"/>
        </w:rPr>
        <w:t xml:space="preserve">                   </w:t>
      </w:r>
      <w:r>
        <w:rPr>
          <w:rFonts w:hint="eastAsia" w:ascii="宋体" w:hAnsi="宋体" w:eastAsia="宋体" w:cs="宋体"/>
          <w:sz w:val="24"/>
          <w:u w:val="none"/>
          <w:lang w:val="en-US" w:eastAsia="zh-CN"/>
        </w:rPr>
        <w:t xml:space="preserve">  </w:t>
      </w:r>
    </w:p>
    <w:p>
      <w:pPr>
        <w:autoSpaceDE w:val="0"/>
        <w:spacing w:line="400" w:lineRule="exact"/>
        <w:ind w:firstLine="240" w:firstLineChars="100"/>
        <w:jc w:val="both"/>
        <w:rPr>
          <w:rFonts w:hint="eastAsia" w:ascii="宋体" w:hAnsi="宋体" w:eastAsia="宋体" w:cs="宋体"/>
          <w:sz w:val="24"/>
          <w:u w:val="none"/>
          <w:lang w:val="en-US" w:eastAsia="zh-CN"/>
        </w:rPr>
      </w:pPr>
      <w:r>
        <w:rPr>
          <w:rFonts w:hint="eastAsia" w:ascii="宋体" w:hAnsi="宋体" w:eastAsia="宋体" w:cs="宋体"/>
          <w:sz w:val="24"/>
          <w:u w:val="none"/>
        </w:rPr>
        <w:t xml:space="preserve">联 系 人:  </w:t>
      </w:r>
      <w:r>
        <w:rPr>
          <w:rFonts w:hint="eastAsia" w:ascii="宋体" w:hAnsi="宋体" w:eastAsia="宋体" w:cs="宋体"/>
          <w:sz w:val="24"/>
          <w:u w:val="none"/>
          <w:lang w:eastAsia="zh-CN"/>
        </w:rPr>
        <w:t>谈</w:t>
      </w:r>
      <w:r>
        <w:rPr>
          <w:rFonts w:hint="eastAsia" w:ascii="宋体" w:hAnsi="宋体" w:eastAsia="宋体" w:cs="宋体"/>
          <w:sz w:val="24"/>
          <w:u w:val="none"/>
          <w:lang w:val="en-US" w:eastAsia="zh-CN"/>
        </w:rPr>
        <w:t xml:space="preserve"> </w:t>
      </w:r>
      <w:r>
        <w:rPr>
          <w:rFonts w:hint="eastAsia" w:ascii="宋体" w:hAnsi="宋体" w:eastAsia="宋体" w:cs="宋体"/>
          <w:sz w:val="24"/>
          <w:u w:val="none"/>
          <w:lang w:eastAsia="zh-CN"/>
        </w:rPr>
        <w:t>煜</w:t>
      </w:r>
      <w:r>
        <w:rPr>
          <w:rFonts w:hint="eastAsia" w:ascii="宋体" w:hAnsi="宋体" w:eastAsia="宋体" w:cs="宋体"/>
          <w:sz w:val="24"/>
          <w:u w:val="none"/>
        </w:rPr>
        <w:t xml:space="preserve">             </w:t>
      </w:r>
      <w:r>
        <w:rPr>
          <w:rFonts w:hint="eastAsia" w:ascii="宋体" w:hAnsi="宋体" w:eastAsia="宋体" w:cs="宋体"/>
          <w:sz w:val="24"/>
          <w:u w:val="none"/>
          <w:lang w:val="en-US" w:eastAsia="zh-CN"/>
        </w:rPr>
        <w:t xml:space="preserve">    </w:t>
      </w:r>
      <w:r>
        <w:rPr>
          <w:rFonts w:hint="eastAsia" w:ascii="宋体" w:hAnsi="宋体" w:eastAsia="宋体" w:cs="宋体"/>
          <w:sz w:val="24"/>
          <w:u w:val="none"/>
        </w:rPr>
        <w:t xml:space="preserve"> </w:t>
      </w:r>
      <w:r>
        <w:rPr>
          <w:rFonts w:hint="eastAsia" w:ascii="宋体" w:hAnsi="宋体" w:eastAsia="宋体" w:cs="宋体"/>
          <w:sz w:val="24"/>
          <w:u w:val="none"/>
          <w:lang w:val="en-US" w:eastAsia="zh-CN"/>
        </w:rPr>
        <w:t xml:space="preserve">    </w:t>
      </w:r>
    </w:p>
    <w:p>
      <w:pPr>
        <w:autoSpaceDE w:val="0"/>
        <w:spacing w:line="400" w:lineRule="exact"/>
        <w:ind w:firstLine="240" w:firstLineChars="100"/>
        <w:jc w:val="both"/>
        <w:rPr>
          <w:rFonts w:hint="eastAsia" w:ascii="宋体" w:hAnsi="宋体" w:eastAsia="宋体" w:cs="宋体"/>
          <w:sz w:val="24"/>
          <w:u w:val="none"/>
        </w:rPr>
      </w:pPr>
      <w:r>
        <w:rPr>
          <w:rFonts w:hint="eastAsia" w:ascii="宋体" w:hAnsi="宋体" w:eastAsia="宋体" w:cs="宋体"/>
          <w:sz w:val="24"/>
          <w:u w:val="none"/>
        </w:rPr>
        <w:t xml:space="preserve">电    话:  </w:t>
      </w:r>
      <w:r>
        <w:rPr>
          <w:rFonts w:hint="eastAsia" w:ascii="宋体" w:hAnsi="宋体" w:eastAsia="宋体" w:cs="宋体"/>
          <w:sz w:val="24"/>
          <w:u w:val="none"/>
          <w:lang w:val="en-US" w:eastAsia="zh-CN"/>
        </w:rPr>
        <w:t xml:space="preserve">13808402421 </w:t>
      </w:r>
      <w:r>
        <w:rPr>
          <w:rFonts w:hint="eastAsia" w:ascii="宋体" w:hAnsi="宋体" w:eastAsia="宋体" w:cs="宋体"/>
          <w:sz w:val="24"/>
          <w:u w:val="none"/>
        </w:rPr>
        <w:t xml:space="preserve">               </w:t>
      </w:r>
    </w:p>
    <w:p>
      <w:pPr>
        <w:autoSpaceDE w:val="0"/>
        <w:spacing w:line="400" w:lineRule="exact"/>
        <w:ind w:firstLine="240" w:firstLineChars="100"/>
        <w:jc w:val="both"/>
        <w:rPr>
          <w:rFonts w:hint="eastAsia" w:ascii="宋体" w:hAnsi="宋体" w:eastAsia="宋体" w:cs="宋体"/>
          <w:sz w:val="24"/>
          <w:u w:val="none"/>
        </w:rPr>
      </w:pPr>
      <w:r>
        <w:rPr>
          <w:rFonts w:hint="eastAsia" w:ascii="宋体" w:hAnsi="宋体" w:eastAsia="宋体" w:cs="宋体"/>
          <w:sz w:val="24"/>
          <w:u w:val="none"/>
        </w:rPr>
        <w:t xml:space="preserve">传    真: </w:t>
      </w:r>
      <w:r>
        <w:rPr>
          <w:rFonts w:hint="eastAsia" w:ascii="宋体" w:hAnsi="宋体" w:eastAsia="宋体" w:cs="宋体"/>
          <w:sz w:val="24"/>
          <w:u w:val="none"/>
          <w:lang w:val="en-US" w:eastAsia="zh-CN"/>
        </w:rPr>
        <w:t xml:space="preserve"> 0730-8422000</w:t>
      </w:r>
      <w:r>
        <w:rPr>
          <w:rFonts w:hint="eastAsia" w:ascii="宋体" w:hAnsi="宋体" w:eastAsia="宋体" w:cs="宋体"/>
          <w:sz w:val="24"/>
          <w:u w:val="none"/>
        </w:rPr>
        <w:t xml:space="preserve">          </w:t>
      </w:r>
      <w:r>
        <w:rPr>
          <w:rFonts w:hint="eastAsia" w:ascii="宋体" w:hAnsi="宋体" w:eastAsia="宋体" w:cs="宋体"/>
          <w:sz w:val="24"/>
          <w:u w:val="none"/>
          <w:lang w:val="en-US" w:eastAsia="zh-CN"/>
        </w:rPr>
        <w:t xml:space="preserve"> </w:t>
      </w:r>
      <w:r>
        <w:rPr>
          <w:rFonts w:hint="eastAsia" w:ascii="宋体" w:hAnsi="宋体" w:eastAsia="宋体" w:cs="宋体"/>
          <w:sz w:val="24"/>
          <w:u w:val="none"/>
        </w:rPr>
        <w:t xml:space="preserve">    </w:t>
      </w:r>
    </w:p>
    <w:p>
      <w:pPr>
        <w:autoSpaceDE w:val="0"/>
        <w:spacing w:line="400" w:lineRule="exact"/>
        <w:ind w:firstLine="240" w:firstLineChars="100"/>
        <w:jc w:val="both"/>
        <w:rPr>
          <w:rFonts w:hint="eastAsia" w:ascii="宋体" w:hAnsi="宋体" w:eastAsia="宋体" w:cs="宋体"/>
          <w:sz w:val="24"/>
          <w:u w:val="none"/>
        </w:rPr>
      </w:pPr>
      <w:r>
        <w:rPr>
          <w:rFonts w:hint="eastAsia" w:ascii="宋体" w:hAnsi="宋体" w:eastAsia="宋体" w:cs="宋体"/>
          <w:sz w:val="24"/>
          <w:u w:val="none"/>
        </w:rPr>
        <w:t xml:space="preserve">电子邮箱:  </w:t>
      </w:r>
      <w:r>
        <w:rPr>
          <w:rFonts w:hint="eastAsia" w:ascii="宋体" w:hAnsi="宋体" w:eastAsia="宋体" w:cs="宋体"/>
          <w:sz w:val="24"/>
          <w:u w:val="none"/>
          <w:lang w:val="en-US" w:eastAsia="zh-CN"/>
        </w:rPr>
        <w:t>331815398@qq.com</w:t>
      </w:r>
      <w:r>
        <w:rPr>
          <w:rFonts w:hint="eastAsia" w:ascii="宋体" w:hAnsi="宋体" w:eastAsia="宋体" w:cs="宋体"/>
          <w:sz w:val="24"/>
          <w:u w:val="none"/>
        </w:rPr>
        <w:t xml:space="preserve">           </w:t>
      </w:r>
    </w:p>
    <w:p>
      <w:pPr>
        <w:autoSpaceDE w:val="0"/>
        <w:spacing w:line="400" w:lineRule="exact"/>
        <w:ind w:firstLine="240" w:firstLineChars="100"/>
        <w:jc w:val="both"/>
        <w:rPr>
          <w:rFonts w:hint="eastAsia" w:ascii="宋体" w:hAnsi="宋体" w:eastAsia="宋体" w:cs="宋体"/>
          <w:sz w:val="24"/>
          <w:u w:val="none"/>
          <w:lang w:val="en-US" w:eastAsia="zh-CN"/>
        </w:rPr>
      </w:pPr>
      <w:r>
        <w:rPr>
          <w:rFonts w:hint="eastAsia" w:ascii="宋体" w:hAnsi="宋体" w:eastAsia="宋体" w:cs="宋体"/>
          <w:sz w:val="24"/>
          <w:u w:val="none"/>
        </w:rPr>
        <w:t xml:space="preserve">网    址: </w:t>
      </w:r>
      <w:r>
        <w:rPr>
          <w:rFonts w:hint="eastAsia" w:ascii="宋体" w:hAnsi="宋体" w:eastAsia="宋体" w:cs="宋体"/>
          <w:color w:val="auto"/>
          <w:sz w:val="24"/>
          <w:u w:val="none"/>
        </w:rPr>
        <w:fldChar w:fldCharType="begin"/>
      </w:r>
      <w:r>
        <w:rPr>
          <w:rFonts w:hint="eastAsia" w:ascii="宋体" w:hAnsi="宋体" w:eastAsia="宋体" w:cs="宋体"/>
          <w:color w:val="auto"/>
          <w:sz w:val="24"/>
          <w:u w:val="none"/>
        </w:rPr>
        <w:instrText xml:space="preserve"> HYPERLINK "http://www.hnsgwjt.com/" </w:instrText>
      </w:r>
      <w:r>
        <w:rPr>
          <w:rFonts w:hint="eastAsia" w:ascii="宋体" w:hAnsi="宋体" w:eastAsia="宋体" w:cs="宋体"/>
          <w:color w:val="auto"/>
          <w:sz w:val="24"/>
          <w:u w:val="none"/>
        </w:rPr>
        <w:fldChar w:fldCharType="separate"/>
      </w:r>
      <w:r>
        <w:rPr>
          <w:rStyle w:val="44"/>
          <w:rFonts w:hint="eastAsia" w:ascii="宋体" w:hAnsi="宋体" w:eastAsia="宋体" w:cs="宋体"/>
          <w:color w:val="auto"/>
          <w:sz w:val="24"/>
          <w:u w:val="none"/>
        </w:rPr>
        <w:t>http://www.hnsgwjt.com/</w:t>
      </w:r>
      <w:r>
        <w:rPr>
          <w:rFonts w:hint="eastAsia" w:ascii="宋体" w:hAnsi="宋体" w:eastAsia="宋体" w:cs="宋体"/>
          <w:color w:val="auto"/>
          <w:sz w:val="24"/>
          <w:u w:val="none"/>
        </w:rPr>
        <w:fldChar w:fldCharType="end"/>
      </w:r>
      <w:r>
        <w:rPr>
          <w:rFonts w:hint="eastAsia" w:ascii="宋体" w:hAnsi="宋体" w:eastAsia="宋体" w:cs="宋体"/>
          <w:color w:val="auto"/>
          <w:sz w:val="24"/>
          <w:u w:val="none"/>
          <w:lang w:val="en-US" w:eastAsia="zh-CN"/>
        </w:rPr>
        <w:t xml:space="preserve">  </w:t>
      </w:r>
      <w:r>
        <w:rPr>
          <w:rFonts w:hint="eastAsia" w:ascii="宋体" w:hAnsi="宋体" w:eastAsia="宋体" w:cs="宋体"/>
          <w:sz w:val="24"/>
          <w:u w:val="none"/>
          <w:lang w:val="en-US" w:eastAsia="zh-CN"/>
        </w:rPr>
        <w:t xml:space="preserve">  </w:t>
      </w:r>
    </w:p>
    <w:p>
      <w:pPr>
        <w:autoSpaceDE w:val="0"/>
        <w:spacing w:line="400" w:lineRule="exact"/>
        <w:ind w:firstLine="240" w:firstLineChars="100"/>
        <w:jc w:val="both"/>
        <w:rPr>
          <w:rFonts w:hint="eastAsia" w:ascii="宋体" w:hAnsi="宋体" w:eastAsia="宋体" w:cs="宋体"/>
          <w:sz w:val="24"/>
          <w:u w:val="none"/>
        </w:rPr>
      </w:pPr>
      <w:r>
        <w:rPr>
          <w:rFonts w:hint="eastAsia" w:ascii="宋体" w:hAnsi="宋体" w:eastAsia="宋体" w:cs="宋体"/>
          <w:sz w:val="24"/>
          <w:u w:val="none"/>
        </w:rPr>
        <w:t xml:space="preserve">开户银行: </w:t>
      </w:r>
      <w:r>
        <w:rPr>
          <w:rFonts w:hint="eastAsia" w:ascii="宋体" w:hAnsi="宋体" w:eastAsia="宋体" w:cs="宋体"/>
          <w:sz w:val="24"/>
          <w:u w:val="none"/>
          <w:lang w:val="en-US" w:eastAsia="zh-CN"/>
        </w:rPr>
        <w:t xml:space="preserve"> </w:t>
      </w:r>
      <w:r>
        <w:rPr>
          <w:rFonts w:hint="eastAsia" w:ascii="宋体" w:hAnsi="宋体" w:eastAsia="宋体" w:cs="宋体"/>
          <w:sz w:val="24"/>
          <w:u w:val="none"/>
          <w:lang w:eastAsia="zh-CN"/>
        </w:rPr>
        <w:t>交通银行云溪支行</w:t>
      </w:r>
      <w:r>
        <w:rPr>
          <w:rFonts w:hint="eastAsia" w:ascii="宋体" w:hAnsi="宋体" w:eastAsia="宋体" w:cs="宋体"/>
          <w:sz w:val="24"/>
          <w:u w:val="none"/>
        </w:rPr>
        <w:t xml:space="preserve"> </w:t>
      </w:r>
      <w:r>
        <w:rPr>
          <w:rFonts w:hint="eastAsia" w:ascii="宋体" w:hAnsi="宋体" w:eastAsia="宋体" w:cs="宋体"/>
          <w:sz w:val="24"/>
          <w:u w:val="none"/>
          <w:lang w:val="en-US" w:eastAsia="zh-CN"/>
        </w:rPr>
        <w:t xml:space="preserve">         </w:t>
      </w:r>
      <w:r>
        <w:rPr>
          <w:rFonts w:hint="eastAsia" w:ascii="宋体" w:hAnsi="宋体" w:eastAsia="宋体" w:cs="宋体"/>
          <w:sz w:val="24"/>
          <w:u w:val="none"/>
        </w:rPr>
        <w:t xml:space="preserve"> </w:t>
      </w:r>
    </w:p>
    <w:p>
      <w:pPr>
        <w:autoSpaceDE w:val="0"/>
        <w:spacing w:line="400" w:lineRule="exact"/>
        <w:ind w:firstLine="240" w:firstLineChars="100"/>
        <w:jc w:val="both"/>
        <w:rPr>
          <w:rFonts w:hint="eastAsia" w:ascii="宋体" w:hAnsi="宋体" w:eastAsia="宋体" w:cs="宋体"/>
          <w:sz w:val="24"/>
          <w:u w:val="none"/>
        </w:rPr>
      </w:pPr>
      <w:r>
        <w:rPr>
          <w:rFonts w:hint="eastAsia" w:ascii="宋体" w:hAnsi="宋体" w:eastAsia="宋体" w:cs="宋体"/>
          <w:sz w:val="24"/>
          <w:u w:val="none"/>
        </w:rPr>
        <w:t xml:space="preserve"> </w:t>
      </w:r>
    </w:p>
    <w:p>
      <w:pPr>
        <w:spacing w:line="600" w:lineRule="exact"/>
        <w:jc w:val="center"/>
        <w:rPr>
          <w:rFonts w:ascii="宋体" w:hAnsi="宋体"/>
          <w:sz w:val="36"/>
          <w:szCs w:val="36"/>
        </w:rPr>
      </w:pPr>
      <w:r>
        <w:rPr>
          <w:rFonts w:ascii="宋体" w:hAnsi="宋体"/>
          <w:sz w:val="36"/>
          <w:szCs w:val="36"/>
        </w:rPr>
        <w:t xml:space="preserve"> </w:t>
      </w:r>
    </w:p>
    <w:p>
      <w:pPr>
        <w:spacing w:line="600" w:lineRule="exact"/>
        <w:jc w:val="center"/>
        <w:rPr>
          <w:rFonts w:ascii="宋体" w:hAnsi="宋体"/>
          <w:sz w:val="36"/>
          <w:szCs w:val="36"/>
        </w:rPr>
      </w:pPr>
    </w:p>
    <w:p>
      <w:pPr>
        <w:spacing w:line="600" w:lineRule="exact"/>
        <w:jc w:val="center"/>
        <w:rPr>
          <w:rFonts w:ascii="宋体" w:hAnsi="宋体"/>
          <w:sz w:val="36"/>
          <w:szCs w:val="36"/>
        </w:rPr>
      </w:pPr>
    </w:p>
    <w:p>
      <w:pPr>
        <w:spacing w:line="600" w:lineRule="exact"/>
        <w:jc w:val="center"/>
        <w:rPr>
          <w:rFonts w:ascii="宋体" w:hAnsi="宋体"/>
          <w:sz w:val="36"/>
          <w:szCs w:val="36"/>
        </w:rPr>
      </w:pPr>
    </w:p>
    <w:p>
      <w:pPr>
        <w:spacing w:line="600" w:lineRule="exact"/>
        <w:jc w:val="center"/>
        <w:rPr>
          <w:rFonts w:ascii="宋体" w:hAnsi="宋体"/>
          <w:sz w:val="36"/>
          <w:szCs w:val="36"/>
        </w:rPr>
      </w:pPr>
    </w:p>
    <w:p>
      <w:pPr>
        <w:spacing w:line="600" w:lineRule="exact"/>
        <w:jc w:val="center"/>
        <w:rPr>
          <w:rFonts w:ascii="宋体" w:hAnsi="宋体"/>
          <w:sz w:val="36"/>
          <w:szCs w:val="36"/>
        </w:rPr>
      </w:pPr>
    </w:p>
    <w:p>
      <w:pPr>
        <w:pStyle w:val="46"/>
        <w:rPr>
          <w:rFonts w:ascii="宋体" w:hAnsi="宋体"/>
          <w:sz w:val="36"/>
          <w:szCs w:val="36"/>
        </w:rPr>
      </w:pPr>
    </w:p>
    <w:p>
      <w:pPr>
        <w:pStyle w:val="46"/>
        <w:rPr>
          <w:rFonts w:ascii="宋体" w:hAnsi="宋体"/>
          <w:sz w:val="36"/>
          <w:szCs w:val="36"/>
        </w:rPr>
      </w:pPr>
    </w:p>
    <w:p>
      <w:pPr>
        <w:pStyle w:val="46"/>
        <w:rPr>
          <w:rFonts w:ascii="宋体" w:hAnsi="宋体"/>
          <w:sz w:val="36"/>
          <w:szCs w:val="36"/>
        </w:rPr>
      </w:pPr>
    </w:p>
    <w:p>
      <w:pPr>
        <w:pStyle w:val="46"/>
        <w:rPr>
          <w:ins w:id="5" w:author="蔡艳" w:date="2022-08-02T10:58:31Z"/>
          <w:rFonts w:ascii="宋体" w:hAnsi="宋体"/>
          <w:sz w:val="36"/>
          <w:szCs w:val="36"/>
        </w:rPr>
      </w:pPr>
    </w:p>
    <w:p>
      <w:pPr>
        <w:pStyle w:val="46"/>
        <w:rPr>
          <w:rFonts w:ascii="宋体" w:hAnsi="宋体"/>
          <w:sz w:val="36"/>
          <w:szCs w:val="36"/>
        </w:rPr>
      </w:pPr>
    </w:p>
    <w:p>
      <w:pPr>
        <w:pStyle w:val="46"/>
        <w:rPr>
          <w:rFonts w:ascii="宋体" w:hAnsi="宋体"/>
          <w:sz w:val="36"/>
          <w:szCs w:val="36"/>
        </w:rPr>
      </w:pPr>
    </w:p>
    <w:p>
      <w:pPr>
        <w:numPr>
          <w:ilvl w:val="0"/>
          <w:numId w:val="1"/>
        </w:numPr>
        <w:spacing w:line="600" w:lineRule="exact"/>
        <w:ind w:left="1785" w:hanging="1785"/>
        <w:jc w:val="center"/>
        <w:outlineLvl w:val="0"/>
        <w:rPr>
          <w:rFonts w:hint="eastAsia" w:ascii="黑体" w:hAnsi="黑体" w:eastAsia="黑体"/>
          <w:sz w:val="36"/>
          <w:szCs w:val="36"/>
        </w:rPr>
      </w:pPr>
      <w:r>
        <w:rPr>
          <w:rFonts w:hint="eastAsia" w:ascii="黑体" w:hAnsi="黑体" w:eastAsia="黑体"/>
          <w:sz w:val="36"/>
          <w:szCs w:val="36"/>
        </w:rPr>
        <w:t xml:space="preserve"> </w:t>
      </w:r>
      <w:bookmarkStart w:id="1" w:name="_Toc8184"/>
      <w:r>
        <w:rPr>
          <w:rFonts w:hint="eastAsia" w:ascii="黑体" w:hAnsi="黑体" w:eastAsia="黑体"/>
          <w:sz w:val="36"/>
          <w:szCs w:val="36"/>
        </w:rPr>
        <w:t>供应商须知</w:t>
      </w:r>
      <w:bookmarkEnd w:id="1"/>
    </w:p>
    <w:p>
      <w:pPr>
        <w:spacing w:before="240" w:after="240" w:line="240" w:lineRule="auto"/>
        <w:jc w:val="center"/>
        <w:rPr>
          <w:rFonts w:hint="eastAsia" w:ascii="华文中宋" w:hAnsi="华文中宋" w:eastAsia="华文中宋" w:cs="仿宋"/>
          <w:b/>
          <w:bCs/>
          <w:sz w:val="30"/>
          <w:szCs w:val="30"/>
        </w:rPr>
      </w:pPr>
      <w:r>
        <w:rPr>
          <w:rFonts w:hint="eastAsia" w:ascii="华文中宋" w:hAnsi="华文中宋" w:eastAsia="华文中宋" w:cs="仿宋"/>
          <w:b/>
          <w:bCs/>
          <w:kern w:val="2"/>
          <w:sz w:val="30"/>
          <w:szCs w:val="30"/>
          <w:lang w:val="en-US" w:eastAsia="zh-CN"/>
        </w:rPr>
        <w:t xml:space="preserve">第一节  </w:t>
      </w:r>
      <w:r>
        <w:rPr>
          <w:rFonts w:hint="eastAsia" w:ascii="华文中宋" w:hAnsi="华文中宋" w:eastAsia="华文中宋" w:cs="仿宋"/>
          <w:b/>
          <w:bCs/>
          <w:sz w:val="30"/>
          <w:szCs w:val="30"/>
        </w:rPr>
        <w:t>供应商须知前附表</w:t>
      </w:r>
    </w:p>
    <w:tbl>
      <w:tblPr>
        <w:tblStyle w:val="37"/>
        <w:tblW w:w="9421" w:type="dxa"/>
        <w:jc w:val="center"/>
        <w:tblLayout w:type="fixed"/>
        <w:tblCellMar>
          <w:top w:w="0" w:type="dxa"/>
          <w:left w:w="108" w:type="dxa"/>
          <w:bottom w:w="0" w:type="dxa"/>
          <w:right w:w="108" w:type="dxa"/>
        </w:tblCellMar>
      </w:tblPr>
      <w:tblGrid>
        <w:gridCol w:w="1357"/>
        <w:gridCol w:w="2105"/>
        <w:gridCol w:w="5959"/>
      </w:tblGrid>
      <w:tr>
        <w:tblPrEx>
          <w:tblCellMar>
            <w:top w:w="0" w:type="dxa"/>
            <w:left w:w="108" w:type="dxa"/>
            <w:bottom w:w="0" w:type="dxa"/>
            <w:right w:w="108" w:type="dxa"/>
          </w:tblCellMar>
        </w:tblPrEx>
        <w:trPr>
          <w:trHeight w:val="340" w:hRule="atLeast"/>
          <w:tblHeader/>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条款号</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条  款  名  称</w:t>
            </w:r>
          </w:p>
        </w:tc>
        <w:tc>
          <w:tcPr>
            <w:tcW w:w="595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编  列  内  容</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1.1.1</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采购方法</w:t>
            </w:r>
          </w:p>
        </w:tc>
        <w:tc>
          <w:tcPr>
            <w:tcW w:w="595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询价</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1.1.2</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评审办法</w:t>
            </w:r>
          </w:p>
        </w:tc>
        <w:tc>
          <w:tcPr>
            <w:tcW w:w="595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最低价法（同质比价法）</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1.7.1</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踏勘现场</w:t>
            </w:r>
          </w:p>
        </w:tc>
        <w:tc>
          <w:tcPr>
            <w:tcW w:w="595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 xml:space="preserve">不组织                                       </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1.8</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采购预备会</w:t>
            </w:r>
          </w:p>
        </w:tc>
        <w:tc>
          <w:tcPr>
            <w:tcW w:w="595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 xml:space="preserve">不召开                                            </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1.9</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分包</w:t>
            </w:r>
          </w:p>
        </w:tc>
        <w:tc>
          <w:tcPr>
            <w:tcW w:w="595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不得分包的内容：</w:t>
            </w:r>
            <w:r>
              <w:rPr>
                <w:rFonts w:hint="eastAsia" w:ascii="宋体" w:hAnsi="宋体" w:eastAsia="宋体" w:cs="宋体"/>
                <w:sz w:val="21"/>
                <w:szCs w:val="21"/>
                <w:u w:val="none"/>
                <w:lang w:eastAsia="zh-CN"/>
              </w:rPr>
              <w:t>不允许分包</w:t>
            </w:r>
            <w:r>
              <w:rPr>
                <w:rFonts w:hint="eastAsia" w:ascii="宋体" w:hAnsi="宋体" w:eastAsia="宋体" w:cs="宋体"/>
                <w:sz w:val="21"/>
                <w:szCs w:val="21"/>
              </w:rPr>
              <w:t xml:space="preserve">                                        </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1.10.2</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对非关键条款的偏差</w:t>
            </w:r>
          </w:p>
        </w:tc>
        <w:tc>
          <w:tcPr>
            <w:tcW w:w="595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lang w:val="en-US" w:eastAsia="zh-CN"/>
              </w:rPr>
            </w:pPr>
            <w:r>
              <w:rPr>
                <w:rFonts w:hint="eastAsia" w:ascii="宋体" w:hAnsi="宋体" w:eastAsia="宋体" w:cs="宋体"/>
                <w:sz w:val="21"/>
                <w:szCs w:val="21"/>
              </w:rPr>
              <w:t>允许偏差的范围：</w:t>
            </w:r>
            <w:r>
              <w:rPr>
                <w:rFonts w:hint="eastAsia" w:ascii="宋体" w:hAnsi="宋体" w:eastAsia="宋体" w:cs="宋体"/>
                <w:sz w:val="21"/>
                <w:szCs w:val="21"/>
                <w:lang w:eastAsia="zh-CN"/>
              </w:rPr>
              <w:t>响应</w:t>
            </w:r>
            <w:r>
              <w:rPr>
                <w:rFonts w:hint="eastAsia" w:ascii="宋体" w:hAnsi="宋体" w:eastAsia="宋体" w:cs="宋体"/>
                <w:sz w:val="21"/>
                <w:szCs w:val="21"/>
              </w:rPr>
              <w:t>文件在实质上响应</w:t>
            </w:r>
            <w:r>
              <w:rPr>
                <w:rFonts w:hint="eastAsia" w:ascii="宋体" w:hAnsi="宋体" w:eastAsia="宋体" w:cs="宋体"/>
                <w:sz w:val="21"/>
                <w:szCs w:val="21"/>
                <w:lang w:eastAsia="zh-CN"/>
              </w:rPr>
              <w:t>采购</w:t>
            </w:r>
            <w:r>
              <w:rPr>
                <w:rFonts w:hint="eastAsia" w:ascii="宋体" w:hAnsi="宋体" w:eastAsia="宋体" w:cs="宋体"/>
                <w:sz w:val="21"/>
                <w:szCs w:val="21"/>
              </w:rPr>
              <w:t>文件要求，但存在含义不明确的内容、明显文字或计算错误等情况，并且澄清、说明和补正这些情况不会对其他</w:t>
            </w:r>
            <w:r>
              <w:rPr>
                <w:rFonts w:hint="eastAsia" w:ascii="宋体" w:hAnsi="宋体" w:eastAsia="宋体" w:cs="宋体"/>
                <w:sz w:val="21"/>
                <w:szCs w:val="21"/>
                <w:lang w:eastAsia="zh-CN"/>
              </w:rPr>
              <w:t>响应</w:t>
            </w:r>
            <w:r>
              <w:rPr>
                <w:rFonts w:hint="eastAsia" w:ascii="宋体" w:hAnsi="宋体" w:eastAsia="宋体" w:cs="宋体"/>
                <w:sz w:val="21"/>
                <w:szCs w:val="21"/>
              </w:rPr>
              <w:t>人造成不公平的结果</w:t>
            </w:r>
            <w:r>
              <w:rPr>
                <w:rFonts w:hint="eastAsia" w:ascii="宋体" w:hAnsi="宋体" w:eastAsia="宋体" w:cs="宋体"/>
                <w:sz w:val="21"/>
                <w:szCs w:val="21"/>
                <w:lang w:eastAsia="zh-CN"/>
              </w:rPr>
              <w:t>。</w:t>
            </w:r>
          </w:p>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允许偏差的项数：</w:t>
            </w:r>
            <w:r>
              <w:rPr>
                <w:rFonts w:hint="eastAsia" w:ascii="宋体" w:hAnsi="宋体" w:eastAsia="宋体" w:cs="宋体"/>
                <w:sz w:val="21"/>
                <w:szCs w:val="21"/>
                <w:lang w:val="en-US" w:eastAsia="zh-CN"/>
              </w:rPr>
              <w:t>2项</w:t>
            </w:r>
            <w:r>
              <w:rPr>
                <w:rFonts w:hint="eastAsia" w:ascii="宋体" w:hAnsi="宋体" w:eastAsia="宋体" w:cs="宋体"/>
                <w:sz w:val="21"/>
                <w:szCs w:val="21"/>
              </w:rPr>
              <w:t xml:space="preserve">                                                </w:t>
            </w:r>
          </w:p>
        </w:tc>
      </w:tr>
      <w:tr>
        <w:tblPrEx>
          <w:tblCellMar>
            <w:top w:w="0" w:type="dxa"/>
            <w:left w:w="108" w:type="dxa"/>
            <w:bottom w:w="0" w:type="dxa"/>
            <w:right w:w="108" w:type="dxa"/>
          </w:tblCellMar>
        </w:tblPrEx>
        <w:trPr>
          <w:trHeight w:val="552"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2.1(7)</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构成采购文件的其他资料</w:t>
            </w:r>
          </w:p>
        </w:tc>
        <w:tc>
          <w:tcPr>
            <w:tcW w:w="595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 xml:space="preserve">资料名称： </w:t>
            </w:r>
            <w:r>
              <w:rPr>
                <w:rFonts w:hint="eastAsia" w:ascii="宋体" w:hAnsi="宋体" w:eastAsia="宋体" w:cs="宋体"/>
                <w:sz w:val="21"/>
                <w:szCs w:val="21"/>
                <w:lang w:eastAsia="zh-CN"/>
              </w:rPr>
              <w:t>无</w:t>
            </w:r>
            <w:r>
              <w:rPr>
                <w:rFonts w:hint="eastAsia" w:ascii="宋体" w:hAnsi="宋体" w:eastAsia="宋体" w:cs="宋体"/>
                <w:sz w:val="21"/>
                <w:szCs w:val="21"/>
              </w:rPr>
              <w:t xml:space="preserve">                                                   </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2.2.1</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供应商要求澄清采购文件的时间</w:t>
            </w:r>
          </w:p>
        </w:tc>
        <w:tc>
          <w:tcPr>
            <w:tcW w:w="595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 xml:space="preserve">截止时间： </w:t>
            </w:r>
            <w:r>
              <w:rPr>
                <w:rFonts w:hint="eastAsia" w:ascii="宋体" w:hAnsi="宋体" w:eastAsia="宋体" w:cs="宋体"/>
                <w:sz w:val="21"/>
                <w:szCs w:val="21"/>
                <w:lang w:val="en-US" w:eastAsia="zh-CN"/>
              </w:rPr>
              <w:t>2022年</w:t>
            </w:r>
            <w:r>
              <w:rPr>
                <w:rFonts w:hint="eastAsia" w:ascii="宋体" w:hAnsi="宋体" w:cs="宋体"/>
                <w:sz w:val="21"/>
                <w:szCs w:val="21"/>
                <w:highlight w:val="none"/>
                <w:u w:val="none"/>
                <w:lang w:val="en-US" w:eastAsia="zh-CN"/>
              </w:rPr>
              <w:t>8</w:t>
            </w:r>
            <w:r>
              <w:rPr>
                <w:rFonts w:hint="eastAsia" w:ascii="宋体" w:hAnsi="宋体" w:cs="宋体"/>
                <w:sz w:val="21"/>
                <w:szCs w:val="21"/>
                <w:highlight w:val="none"/>
                <w:lang w:val="en-US" w:eastAsia="zh-CN"/>
              </w:rPr>
              <w:t>月</w:t>
            </w:r>
            <w:r>
              <w:rPr>
                <w:rFonts w:hint="eastAsia" w:ascii="宋体" w:hAnsi="宋体" w:cs="宋体"/>
                <w:sz w:val="21"/>
                <w:szCs w:val="21"/>
                <w:highlight w:val="none"/>
                <w:u w:val="none"/>
                <w:lang w:val="en-US" w:eastAsia="zh-CN"/>
              </w:rPr>
              <w:t>9</w:t>
            </w:r>
            <w:r>
              <w:rPr>
                <w:rFonts w:hint="eastAsia" w:ascii="宋体" w:hAnsi="宋体" w:cs="宋体"/>
                <w:sz w:val="21"/>
                <w:szCs w:val="21"/>
                <w:highlight w:val="none"/>
                <w:lang w:val="en-US" w:eastAsia="zh-CN"/>
              </w:rPr>
              <w:t>日9时00分</w:t>
            </w:r>
            <w:r>
              <w:rPr>
                <w:rFonts w:hint="eastAsia" w:ascii="宋体" w:hAnsi="宋体" w:eastAsia="宋体" w:cs="宋体"/>
                <w:sz w:val="21"/>
                <w:szCs w:val="21"/>
                <w:highlight w:val="none"/>
              </w:rPr>
              <w:t xml:space="preserve">             </w:t>
            </w:r>
            <w:r>
              <w:rPr>
                <w:rFonts w:hint="eastAsia" w:ascii="宋体" w:hAnsi="宋体" w:eastAsia="宋体" w:cs="宋体"/>
                <w:sz w:val="21"/>
                <w:szCs w:val="21"/>
              </w:rPr>
              <w:t xml:space="preserve">                                       </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2.2.3</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供应商确认收到采购文件补充文件</w:t>
            </w:r>
          </w:p>
        </w:tc>
        <w:tc>
          <w:tcPr>
            <w:tcW w:w="595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yellow"/>
                <w:lang w:val="en-US" w:eastAsia="zh-CN"/>
              </w:rPr>
            </w:pPr>
            <w:r>
              <w:rPr>
                <w:rFonts w:hint="eastAsia" w:ascii="宋体" w:hAnsi="宋体" w:eastAsia="宋体" w:cs="宋体"/>
                <w:sz w:val="21"/>
                <w:szCs w:val="21"/>
              </w:rPr>
              <w:t>确认的最晚时间：</w:t>
            </w:r>
            <w:r>
              <w:rPr>
                <w:rFonts w:hint="eastAsia" w:ascii="宋体" w:hAnsi="宋体" w:eastAsia="宋体" w:cs="宋体"/>
                <w:sz w:val="21"/>
                <w:szCs w:val="21"/>
                <w:lang w:val="en-US" w:eastAsia="zh-CN"/>
              </w:rPr>
              <w:t>补充文件发出后24小时</w:t>
            </w:r>
          </w:p>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确定的方式：</w:t>
            </w:r>
            <w:r>
              <w:rPr>
                <w:rFonts w:hint="eastAsia" w:ascii="宋体" w:hAnsi="宋体" w:eastAsia="宋体" w:cs="宋体"/>
                <w:sz w:val="21"/>
                <w:szCs w:val="21"/>
                <w:lang w:val="en-US" w:eastAsia="zh-CN"/>
              </w:rPr>
              <w:t>补充文件接收确认函</w:t>
            </w:r>
            <w:r>
              <w:rPr>
                <w:rFonts w:hint="eastAsia" w:ascii="宋体" w:hAnsi="宋体" w:eastAsia="宋体" w:cs="宋体"/>
                <w:sz w:val="21"/>
                <w:szCs w:val="21"/>
              </w:rPr>
              <w:t xml:space="preserve">                                             </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3.1.1（9）</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构成响应文件的其他资料</w:t>
            </w:r>
          </w:p>
        </w:tc>
        <w:tc>
          <w:tcPr>
            <w:tcW w:w="595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 xml:space="preserve">资料名称：                                                      </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3.2.2</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color w:val="auto"/>
                <w:sz w:val="21"/>
                <w:szCs w:val="21"/>
              </w:rPr>
              <w:t>采购标的数量增减幅度</w:t>
            </w:r>
          </w:p>
        </w:tc>
        <w:tc>
          <w:tcPr>
            <w:tcW w:w="595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采购标的数量增减幅度：</w:t>
            </w:r>
            <w:r>
              <w:rPr>
                <w:rFonts w:hint="eastAsia" w:ascii="宋体" w:hAnsi="宋体" w:eastAsia="宋体" w:cs="宋体"/>
                <w:sz w:val="21"/>
                <w:szCs w:val="21"/>
                <w:lang w:eastAsia="zh-CN"/>
              </w:rPr>
              <w:t>无</w:t>
            </w:r>
            <w:r>
              <w:rPr>
                <w:rFonts w:hint="eastAsia" w:ascii="宋体" w:hAnsi="宋体" w:eastAsia="宋体" w:cs="宋体"/>
                <w:sz w:val="21"/>
                <w:szCs w:val="21"/>
              </w:rPr>
              <w:t xml:space="preserve">                                          </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3.2.3</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最高限价或其计算方法</w:t>
            </w:r>
          </w:p>
        </w:tc>
        <w:tc>
          <w:tcPr>
            <w:tcW w:w="59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□无</w:t>
            </w:r>
          </w:p>
          <w:p>
            <w:pPr>
              <w:adjustRightInd w:val="0"/>
              <w:snapToGrid w:val="0"/>
              <w:spacing w:line="312"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有，最高限价或其计算方法：¥</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52250</w:t>
            </w:r>
            <w:r>
              <w:rPr>
                <w:rFonts w:hint="eastAsia" w:ascii="宋体" w:hAnsi="宋体" w:eastAsia="宋体" w:cs="宋体"/>
                <w:sz w:val="21"/>
                <w:szCs w:val="21"/>
                <w:lang w:val="en-US" w:eastAsia="zh-CN"/>
              </w:rPr>
              <w:t>.00；</w:t>
            </w:r>
            <w:r>
              <w:rPr>
                <w:rFonts w:hint="eastAsia" w:ascii="宋体" w:hAnsi="宋体" w:eastAsia="宋体" w:cs="宋体"/>
                <w:color w:val="auto"/>
                <w:sz w:val="21"/>
                <w:szCs w:val="21"/>
              </w:rPr>
              <w:t>以上限价为</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%的增值税含税价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提供专用发票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，如果报价人提供其他税率的增值税专用发票，</w:t>
            </w:r>
            <w:r>
              <w:rPr>
                <w:rFonts w:hint="eastAsia" w:ascii="宋体" w:hAnsi="宋体" w:eastAsia="宋体" w:cs="宋体"/>
                <w:color w:val="auto"/>
                <w:sz w:val="21"/>
                <w:szCs w:val="21"/>
                <w:lang w:val="en-US" w:eastAsia="zh-CN"/>
              </w:rPr>
              <w:t>询价</w:t>
            </w:r>
            <w:r>
              <w:rPr>
                <w:rFonts w:hint="eastAsia" w:ascii="宋体" w:hAnsi="宋体" w:eastAsia="宋体" w:cs="宋体"/>
                <w:color w:val="auto"/>
                <w:sz w:val="21"/>
                <w:szCs w:val="21"/>
              </w:rPr>
              <w:t>人按</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%的税率调整后计算报价参与排序。</w:t>
            </w:r>
            <w:r>
              <w:rPr>
                <w:rFonts w:hint="eastAsia" w:ascii="宋体" w:hAnsi="宋体" w:eastAsia="宋体" w:cs="宋体"/>
                <w:sz w:val="21"/>
                <w:szCs w:val="21"/>
              </w:rPr>
              <w:t xml:space="preserve">                      </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3.2.4</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报价的其他要求</w:t>
            </w:r>
          </w:p>
        </w:tc>
        <w:tc>
          <w:tcPr>
            <w:tcW w:w="595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 xml:space="preserve">                                                                </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3.3.1</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响应文件有效期</w:t>
            </w:r>
          </w:p>
        </w:tc>
        <w:tc>
          <w:tcPr>
            <w:tcW w:w="595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递交响应文件截止之日起</w:t>
            </w:r>
            <w:r>
              <w:rPr>
                <w:rFonts w:hint="eastAsia" w:ascii="宋体" w:hAnsi="宋体" w:eastAsia="宋体" w:cs="宋体"/>
                <w:sz w:val="21"/>
                <w:szCs w:val="21"/>
                <w:lang w:val="en-US" w:eastAsia="zh-CN"/>
              </w:rPr>
              <w:t>90</w:t>
            </w:r>
            <w:r>
              <w:rPr>
                <w:rFonts w:hint="eastAsia" w:ascii="宋体" w:hAnsi="宋体" w:eastAsia="宋体" w:cs="宋体"/>
                <w:sz w:val="21"/>
                <w:szCs w:val="21"/>
              </w:rPr>
              <w:t xml:space="preserve">日                                        </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3.4.1</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响应保证金</w:t>
            </w:r>
          </w:p>
        </w:tc>
        <w:tc>
          <w:tcPr>
            <w:tcW w:w="595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 xml:space="preserve">不要求递交                                        </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3.5（1）</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0"/>
                <w:rFonts w:hint="eastAsia" w:ascii="宋体" w:hAnsi="宋体" w:eastAsia="宋体" w:cs="宋体"/>
                <w:b w:val="0"/>
                <w:color w:val="000000"/>
                <w:sz w:val="21"/>
                <w:szCs w:val="21"/>
              </w:rPr>
            </w:pPr>
            <w:r>
              <w:rPr>
                <w:rStyle w:val="40"/>
                <w:rFonts w:hint="eastAsia" w:ascii="宋体" w:hAnsi="宋体" w:eastAsia="宋体" w:cs="宋体"/>
                <w:b w:val="0"/>
                <w:color w:val="000000"/>
                <w:sz w:val="21"/>
                <w:szCs w:val="21"/>
              </w:rPr>
              <w:t>依法设立的证明材料</w:t>
            </w:r>
          </w:p>
        </w:tc>
        <w:tc>
          <w:tcPr>
            <w:tcW w:w="5959" w:type="dxa"/>
            <w:tcBorders>
              <w:top w:val="single" w:color="auto" w:sz="4" w:space="0"/>
              <w:left w:val="single" w:color="auto" w:sz="4" w:space="0"/>
              <w:bottom w:val="single" w:color="auto" w:sz="4" w:space="0"/>
              <w:right w:val="single" w:color="auto" w:sz="4" w:space="0"/>
            </w:tcBorders>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□不适用。</w:t>
            </w:r>
          </w:p>
          <w:p>
            <w:pPr>
              <w:spacing w:line="288" w:lineRule="auto"/>
              <w:jc w:val="both"/>
              <w:rPr>
                <w:rFonts w:hint="eastAsia" w:ascii="宋体" w:hAnsi="宋体" w:eastAsia="宋体" w:cs="宋体"/>
                <w:color w:val="000000"/>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适用。</w:t>
            </w:r>
            <w:r>
              <w:rPr>
                <w:rFonts w:hint="eastAsia" w:ascii="宋体" w:hAnsi="宋体" w:eastAsia="宋体" w:cs="宋体"/>
                <w:color w:val="000000"/>
                <w:sz w:val="21"/>
                <w:szCs w:val="21"/>
                <w:u w:val="none"/>
              </w:rPr>
              <w:t>供应商</w:t>
            </w:r>
            <w:r>
              <w:rPr>
                <w:rFonts w:hint="eastAsia" w:ascii="宋体" w:hAnsi="宋体" w:eastAsia="宋体" w:cs="宋体"/>
                <w:i w:val="0"/>
                <w:iCs w:val="0"/>
                <w:caps w:val="0"/>
                <w:color w:val="000000"/>
                <w:spacing w:val="0"/>
                <w:sz w:val="21"/>
                <w:szCs w:val="21"/>
                <w:u w:val="none"/>
                <w:shd w:val="clear"/>
              </w:rPr>
              <w:t>在中华人民共和国合法注册</w:t>
            </w:r>
            <w:r>
              <w:rPr>
                <w:rFonts w:hint="eastAsia" w:ascii="宋体" w:hAnsi="宋体" w:eastAsia="宋体" w:cs="宋体"/>
                <w:i w:val="0"/>
                <w:iCs w:val="0"/>
                <w:caps w:val="0"/>
                <w:color w:val="000000"/>
                <w:spacing w:val="0"/>
                <w:sz w:val="21"/>
                <w:szCs w:val="21"/>
                <w:u w:val="none"/>
                <w:shd w:val="clear"/>
                <w:lang w:eastAsia="zh-CN"/>
              </w:rPr>
              <w:t>，</w:t>
            </w:r>
            <w:r>
              <w:rPr>
                <w:rFonts w:hint="eastAsia" w:ascii="宋体" w:hAnsi="宋体" w:eastAsia="宋体" w:cs="宋体"/>
                <w:i w:val="0"/>
                <w:iCs w:val="0"/>
                <w:caps w:val="0"/>
                <w:color w:val="000000"/>
                <w:spacing w:val="0"/>
                <w:sz w:val="21"/>
                <w:szCs w:val="21"/>
                <w:u w:val="none"/>
                <w:shd w:val="clear"/>
                <w:lang w:val="en-US" w:eastAsia="zh-CN"/>
              </w:rPr>
              <w:t>具有</w:t>
            </w:r>
            <w:r>
              <w:rPr>
                <w:rFonts w:hint="eastAsia" w:ascii="宋体" w:hAnsi="宋体" w:eastAsia="宋体" w:cs="宋体"/>
                <w:i w:val="0"/>
                <w:iCs w:val="0"/>
                <w:caps w:val="0"/>
                <w:color w:val="000000"/>
                <w:spacing w:val="0"/>
                <w:sz w:val="21"/>
                <w:szCs w:val="21"/>
                <w:u w:val="none"/>
                <w:shd w:val="clear"/>
              </w:rPr>
              <w:t>市场监管部门或其他行政机关颁发的可以合法开展业务的</w:t>
            </w:r>
            <w:r>
              <w:rPr>
                <w:rFonts w:hint="eastAsia" w:ascii="宋体" w:hAnsi="宋体" w:eastAsia="宋体" w:cs="宋体"/>
                <w:i w:val="0"/>
                <w:iCs w:val="0"/>
                <w:caps w:val="0"/>
                <w:color w:val="000000"/>
                <w:spacing w:val="0"/>
                <w:sz w:val="21"/>
                <w:szCs w:val="21"/>
                <w:u w:val="none"/>
                <w:shd w:val="clear"/>
                <w:lang w:val="en-US" w:eastAsia="zh-CN"/>
              </w:rPr>
              <w:t>营业</w:t>
            </w:r>
            <w:r>
              <w:rPr>
                <w:rFonts w:hint="eastAsia" w:ascii="宋体" w:hAnsi="宋体" w:eastAsia="宋体" w:cs="宋体"/>
                <w:i w:val="0"/>
                <w:iCs w:val="0"/>
                <w:caps w:val="0"/>
                <w:color w:val="000000"/>
                <w:spacing w:val="0"/>
                <w:sz w:val="21"/>
                <w:szCs w:val="21"/>
                <w:u w:val="none"/>
                <w:shd w:val="clear"/>
              </w:rPr>
              <w:t>执照</w:t>
            </w:r>
            <w:r>
              <w:rPr>
                <w:rFonts w:hint="eastAsia" w:ascii="宋体" w:hAnsi="宋体" w:eastAsia="宋体" w:cs="宋体"/>
                <w:i w:val="0"/>
                <w:iCs w:val="0"/>
                <w:caps w:val="0"/>
                <w:color w:val="000000"/>
                <w:spacing w:val="0"/>
                <w:sz w:val="21"/>
                <w:szCs w:val="21"/>
                <w:u w:val="none"/>
                <w:shd w:val="clear"/>
                <w:lang w:eastAsia="zh-CN"/>
              </w:rPr>
              <w:t>。</w:t>
            </w:r>
            <w:r>
              <w:rPr>
                <w:rFonts w:hint="eastAsia" w:ascii="宋体" w:hAnsi="宋体" w:eastAsia="宋体" w:cs="宋体"/>
                <w:color w:val="000000"/>
                <w:sz w:val="21"/>
                <w:szCs w:val="21"/>
                <w:u w:val="none"/>
                <w:lang w:val="en-US" w:eastAsia="zh-CN"/>
              </w:rPr>
              <w:t>提供营业执照复印件</w:t>
            </w:r>
            <w:r>
              <w:rPr>
                <w:rFonts w:hint="eastAsia" w:ascii="宋体" w:hAnsi="宋体" w:cs="宋体"/>
                <w:color w:val="000000"/>
                <w:sz w:val="21"/>
                <w:szCs w:val="21"/>
                <w:u w:val="none"/>
                <w:lang w:val="en-US" w:eastAsia="zh-CN"/>
              </w:rPr>
              <w:t>并加盖单位公章。</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3.5（2）</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Style w:val="40"/>
                <w:rFonts w:hint="eastAsia" w:ascii="宋体" w:hAnsi="宋体" w:eastAsia="宋体" w:cs="宋体"/>
                <w:b w:val="0"/>
                <w:color w:val="000000"/>
                <w:sz w:val="21"/>
                <w:szCs w:val="21"/>
              </w:rPr>
              <w:t>资质要求证明材料</w:t>
            </w:r>
          </w:p>
        </w:tc>
        <w:tc>
          <w:tcPr>
            <w:tcW w:w="5959" w:type="dxa"/>
            <w:tcBorders>
              <w:top w:val="single" w:color="auto" w:sz="4" w:space="0"/>
              <w:left w:val="single" w:color="auto" w:sz="4" w:space="0"/>
              <w:bottom w:val="single" w:color="auto" w:sz="4" w:space="0"/>
              <w:right w:val="single" w:color="auto" w:sz="4" w:space="0"/>
            </w:tcBorders>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□不适用</w:t>
            </w:r>
          </w:p>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适用。</w:t>
            </w:r>
            <w:r>
              <w:rPr>
                <w:rFonts w:hint="eastAsia" w:ascii="宋体" w:hAnsi="宋体" w:eastAsia="宋体" w:cs="宋体"/>
                <w:color w:val="auto"/>
                <w:sz w:val="21"/>
                <w:szCs w:val="21"/>
                <w:u w:val="none"/>
              </w:rPr>
              <w:t>供应商具备</w:t>
            </w:r>
            <w:r>
              <w:rPr>
                <w:rFonts w:hint="eastAsia" w:ascii="宋体" w:hAnsi="宋体" w:eastAsia="宋体" w:cs="宋体"/>
                <w:color w:val="auto"/>
                <w:sz w:val="21"/>
                <w:szCs w:val="21"/>
                <w:u w:val="none"/>
                <w:lang w:val="en-US" w:eastAsia="zh-CN"/>
              </w:rPr>
              <w:t>消防设施工程专业承包二级</w:t>
            </w:r>
            <w:r>
              <w:rPr>
                <w:rFonts w:hint="eastAsia" w:ascii="宋体" w:hAnsi="宋体" w:cs="宋体"/>
                <w:color w:val="auto"/>
                <w:sz w:val="21"/>
                <w:szCs w:val="21"/>
                <w:u w:val="none"/>
                <w:lang w:val="en-US" w:eastAsia="zh-CN"/>
              </w:rPr>
              <w:t>或二级以上</w:t>
            </w:r>
            <w:r>
              <w:rPr>
                <w:rFonts w:hint="eastAsia" w:ascii="宋体" w:hAnsi="宋体" w:eastAsia="宋体" w:cs="宋体"/>
                <w:color w:val="auto"/>
                <w:sz w:val="21"/>
                <w:szCs w:val="21"/>
                <w:u w:val="none"/>
                <w:lang w:val="en-US" w:eastAsia="zh-CN"/>
              </w:rPr>
              <w:t>资质，</w:t>
            </w:r>
            <w:r>
              <w:rPr>
                <w:rFonts w:hint="eastAsia" w:ascii="宋体" w:hAnsi="宋体" w:eastAsia="宋体" w:cs="Times New Roman"/>
                <w:color w:val="auto"/>
                <w:szCs w:val="24"/>
                <w:u w:val="none"/>
                <w:lang w:val="en-US" w:eastAsia="zh-CN"/>
              </w:rPr>
              <w:t>已注册</w:t>
            </w:r>
            <w:r>
              <w:rPr>
                <w:rFonts w:hint="eastAsia" w:ascii="宋体" w:hAnsi="宋体"/>
                <w:color w:val="auto"/>
                <w:szCs w:val="24"/>
                <w:u w:val="none"/>
                <w:lang w:val="en-US" w:eastAsia="zh-CN"/>
              </w:rPr>
              <w:t>社会消</w:t>
            </w:r>
            <w:r>
              <w:rPr>
                <w:rFonts w:hint="eastAsia" w:ascii="宋体" w:hAnsi="宋体"/>
                <w:szCs w:val="24"/>
                <w:u w:val="none"/>
                <w:lang w:val="en-US" w:eastAsia="zh-CN"/>
              </w:rPr>
              <w:t>防技术服务信息系统。</w:t>
            </w:r>
            <w:r>
              <w:rPr>
                <w:rFonts w:hint="eastAsia" w:ascii="宋体" w:hAnsi="宋体" w:eastAsia="宋体" w:cs="宋体"/>
                <w:color w:val="000000"/>
                <w:sz w:val="21"/>
                <w:szCs w:val="21"/>
                <w:u w:val="none"/>
                <w:lang w:val="en-US" w:eastAsia="zh-CN"/>
              </w:rPr>
              <w:t>提供建筑业企业资质证书复印件</w:t>
            </w:r>
            <w:r>
              <w:rPr>
                <w:rFonts w:hint="eastAsia" w:ascii="宋体" w:hAnsi="宋体" w:cs="宋体"/>
                <w:color w:val="000000"/>
                <w:sz w:val="21"/>
                <w:szCs w:val="21"/>
                <w:u w:val="none"/>
                <w:lang w:val="en-US" w:eastAsia="zh-CN"/>
              </w:rPr>
              <w:t>及社会消防技术服务信息系统截图证明</w:t>
            </w:r>
            <w:r>
              <w:rPr>
                <w:rFonts w:hint="eastAsia" w:ascii="宋体" w:hAnsi="宋体" w:eastAsia="宋体" w:cs="宋体"/>
                <w:color w:val="000000"/>
                <w:sz w:val="21"/>
                <w:szCs w:val="21"/>
                <w:u w:val="none"/>
                <w:lang w:val="en-US" w:eastAsia="zh-CN"/>
              </w:rPr>
              <w:t>（加盖</w:t>
            </w:r>
            <w:r>
              <w:rPr>
                <w:rFonts w:hint="eastAsia" w:ascii="宋体" w:hAnsi="宋体" w:cs="宋体"/>
                <w:color w:val="000000"/>
                <w:sz w:val="21"/>
                <w:szCs w:val="21"/>
                <w:u w:val="none"/>
                <w:lang w:val="en-US" w:eastAsia="zh-CN"/>
              </w:rPr>
              <w:t>单位</w:t>
            </w:r>
            <w:r>
              <w:rPr>
                <w:rFonts w:hint="eastAsia" w:ascii="宋体" w:hAnsi="宋体" w:eastAsia="宋体" w:cs="宋体"/>
                <w:color w:val="000000"/>
                <w:sz w:val="21"/>
                <w:szCs w:val="21"/>
                <w:u w:val="none"/>
                <w:lang w:val="en-US" w:eastAsia="zh-CN"/>
              </w:rPr>
              <w:t>公章）</w:t>
            </w:r>
          </w:p>
        </w:tc>
      </w:tr>
      <w:tr>
        <w:tblPrEx>
          <w:tblCellMar>
            <w:top w:w="0" w:type="dxa"/>
            <w:left w:w="108" w:type="dxa"/>
            <w:bottom w:w="0" w:type="dxa"/>
            <w:right w:w="108" w:type="dxa"/>
          </w:tblCellMar>
        </w:tblPrEx>
        <w:trPr>
          <w:trHeight w:val="9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rPr>
            </w:pPr>
            <w:r>
              <w:rPr>
                <w:rFonts w:hint="eastAsia" w:ascii="宋体" w:hAnsi="宋体" w:eastAsia="宋体" w:cs="宋体"/>
                <w:sz w:val="21"/>
                <w:szCs w:val="21"/>
              </w:rPr>
              <w:t>3.5（3）</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0"/>
                <w:rFonts w:hint="eastAsia" w:ascii="宋体" w:hAnsi="宋体" w:eastAsia="宋体" w:cs="宋体"/>
                <w:b w:val="0"/>
                <w:color w:val="000000"/>
                <w:sz w:val="21"/>
                <w:szCs w:val="21"/>
              </w:rPr>
            </w:pPr>
            <w:r>
              <w:rPr>
                <w:rStyle w:val="40"/>
                <w:rFonts w:hint="eastAsia" w:ascii="宋体" w:hAnsi="宋体" w:eastAsia="宋体" w:cs="宋体"/>
                <w:b w:val="0"/>
                <w:color w:val="000000"/>
                <w:sz w:val="21"/>
                <w:szCs w:val="21"/>
              </w:rPr>
              <w:t>财务要求证明材料</w:t>
            </w:r>
          </w:p>
        </w:tc>
        <w:tc>
          <w:tcPr>
            <w:tcW w:w="5959" w:type="dxa"/>
            <w:tcBorders>
              <w:top w:val="single" w:color="auto" w:sz="4" w:space="0"/>
              <w:left w:val="single" w:color="auto" w:sz="4" w:space="0"/>
              <w:bottom w:val="single" w:color="auto" w:sz="4" w:space="0"/>
              <w:right w:val="single" w:color="auto" w:sz="4" w:space="0"/>
            </w:tcBorders>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sym w:font="Wingdings 2" w:char="0052"/>
            </w:r>
            <w:r>
              <w:rPr>
                <w:rFonts w:hint="eastAsia" w:ascii="宋体" w:hAnsi="宋体" w:eastAsia="宋体" w:cs="宋体"/>
                <w:color w:val="000000"/>
                <w:sz w:val="21"/>
                <w:szCs w:val="21"/>
              </w:rPr>
              <w:t>不适用</w:t>
            </w:r>
          </w:p>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sym w:font="Wingdings 2" w:char="00A3"/>
            </w:r>
            <w:r>
              <w:rPr>
                <w:rFonts w:hint="eastAsia" w:ascii="宋体" w:hAnsi="宋体" w:eastAsia="宋体" w:cs="宋体"/>
                <w:color w:val="000000"/>
                <w:sz w:val="21"/>
                <w:szCs w:val="21"/>
              </w:rPr>
              <w:t>适用。</w:t>
            </w:r>
            <w:r>
              <w:rPr>
                <w:rFonts w:hint="eastAsia" w:ascii="宋体" w:hAnsi="宋体" w:eastAsia="宋体" w:cs="宋体"/>
                <w:b w:val="0"/>
                <w:bCs w:val="0"/>
                <w:color w:val="000000"/>
                <w:sz w:val="21"/>
                <w:szCs w:val="21"/>
              </w:rPr>
              <w:t>供应商应提供经会计师事务所或审计机构审计的近年财务会计报表复印件</w:t>
            </w:r>
            <w:r>
              <w:rPr>
                <w:rFonts w:hint="eastAsia" w:ascii="宋体" w:hAnsi="宋体" w:eastAsia="宋体" w:cs="宋体"/>
                <w:b w:val="0"/>
                <w:bCs w:val="0"/>
                <w:color w:val="000000"/>
                <w:sz w:val="21"/>
                <w:szCs w:val="21"/>
                <w:lang w:val="en-US" w:eastAsia="zh-CN"/>
              </w:rPr>
              <w:t>并加盖单位公章</w:t>
            </w:r>
            <w:r>
              <w:rPr>
                <w:rFonts w:hint="eastAsia" w:ascii="宋体" w:hAnsi="宋体" w:eastAsia="宋体" w:cs="宋体"/>
                <w:b w:val="0"/>
                <w:bCs w:val="0"/>
                <w:color w:val="000000"/>
                <w:sz w:val="21"/>
                <w:szCs w:val="21"/>
              </w:rPr>
              <w:t>，包括资产负债表，现金流量表、利润表等。近年财务会计报表年份是指：</w:t>
            </w:r>
            <w:r>
              <w:rPr>
                <w:rFonts w:hint="eastAsia" w:ascii="宋体" w:hAnsi="宋体" w:eastAsia="宋体" w:cs="宋体"/>
                <w:b w:val="0"/>
                <w:bCs w:val="0"/>
                <w:color w:val="000000"/>
                <w:sz w:val="21"/>
                <w:szCs w:val="21"/>
                <w:u w:val="single"/>
              </w:rPr>
              <w:t xml:space="preserve"> </w:t>
            </w:r>
            <w:r>
              <w:rPr>
                <w:rFonts w:hint="eastAsia" w:ascii="宋体" w:hAnsi="宋体" w:cs="宋体"/>
                <w:b w:val="0"/>
                <w:bCs w:val="0"/>
                <w:color w:val="000000"/>
                <w:sz w:val="21"/>
                <w:szCs w:val="21"/>
                <w:u w:val="single"/>
                <w:lang w:val="en-US" w:eastAsia="zh-CN"/>
              </w:rPr>
              <w:t xml:space="preserve">2019 </w:t>
            </w:r>
            <w:r>
              <w:rPr>
                <w:rFonts w:hint="eastAsia" w:ascii="宋体" w:hAnsi="宋体" w:eastAsia="宋体" w:cs="宋体"/>
                <w:b w:val="0"/>
                <w:bCs w:val="0"/>
                <w:color w:val="000000"/>
                <w:sz w:val="21"/>
                <w:szCs w:val="21"/>
              </w:rPr>
              <w:t>至</w:t>
            </w:r>
            <w:r>
              <w:rPr>
                <w:rFonts w:hint="eastAsia" w:ascii="宋体" w:hAnsi="宋体" w:eastAsia="宋体" w:cs="宋体"/>
                <w:b w:val="0"/>
                <w:bCs w:val="0"/>
                <w:color w:val="000000"/>
                <w:sz w:val="21"/>
                <w:szCs w:val="21"/>
                <w:u w:val="single"/>
              </w:rPr>
              <w:t xml:space="preserve"> </w:t>
            </w:r>
            <w:r>
              <w:rPr>
                <w:rFonts w:hint="eastAsia" w:ascii="宋体" w:hAnsi="宋体" w:cs="宋体"/>
                <w:b w:val="0"/>
                <w:bCs w:val="0"/>
                <w:color w:val="000000"/>
                <w:sz w:val="21"/>
                <w:szCs w:val="21"/>
                <w:u w:val="single"/>
                <w:lang w:val="en-US" w:eastAsia="zh-CN"/>
              </w:rPr>
              <w:t>2021</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年（供应商的成立时间少于该规定年份的，应提供成立以来的财务会计报表）</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3.5（4）</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业绩要求证明材料</w:t>
            </w:r>
          </w:p>
        </w:tc>
        <w:tc>
          <w:tcPr>
            <w:tcW w:w="595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□不适用</w:t>
            </w:r>
          </w:p>
          <w:p>
            <w:pPr>
              <w:widowControl w:val="0"/>
              <w:spacing w:line="288" w:lineRule="auto"/>
              <w:jc w:val="both"/>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适用。</w:t>
            </w:r>
            <w:r>
              <w:rPr>
                <w:rFonts w:hint="eastAsia" w:ascii="宋体" w:hAnsi="宋体" w:eastAsia="宋体" w:cs="宋体"/>
                <w:color w:val="auto"/>
                <w:sz w:val="21"/>
                <w:szCs w:val="21"/>
                <w:highlight w:val="none"/>
              </w:rPr>
              <w:t>供应商应提供近年</w:t>
            </w:r>
            <w:r>
              <w:rPr>
                <w:rStyle w:val="40"/>
                <w:rFonts w:hint="eastAsia"/>
                <w:b w:val="0"/>
                <w:bCs w:val="0"/>
                <w:sz w:val="21"/>
                <w:szCs w:val="21"/>
                <w:highlight w:val="none"/>
                <w:u w:val="none"/>
              </w:rPr>
              <w:t>类似项目情况表</w:t>
            </w:r>
            <w:r>
              <w:rPr>
                <w:rFonts w:hint="eastAsia" w:ascii="宋体" w:hAnsi="宋体" w:eastAsia="宋体" w:cs="宋体"/>
                <w:color w:val="auto"/>
                <w:sz w:val="21"/>
                <w:szCs w:val="21"/>
                <w:highlight w:val="none"/>
              </w:rPr>
              <w:t>（格式见第六章“响应文件格式”</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、资格审查资料（</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）近年的类似项目情况表），以证明供应商具有承担本项目要求的业绩。近年是指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2019年</w:t>
            </w:r>
            <w:r>
              <w:rPr>
                <w:rFonts w:hint="eastAsia" w:ascii="宋体" w:hAnsi="宋体" w:cs="宋体"/>
                <w:color w:val="auto"/>
                <w:sz w:val="21"/>
                <w:szCs w:val="21"/>
                <w:highlight w:val="none"/>
                <w:u w:val="single"/>
                <w:lang w:val="en-US" w:eastAsia="zh-CN"/>
              </w:rPr>
              <w:t>8月10日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lang w:val="en-US" w:eastAsia="zh-CN"/>
              </w:rPr>
              <w:t>2021</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8月10日，以合同甲方签署时间为准</w:t>
            </w:r>
          </w:p>
          <w:p>
            <w:pPr>
              <w:widowControl w:val="0"/>
              <w:spacing w:line="288"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业绩证明材料：</w:t>
            </w:r>
          </w:p>
          <w:p>
            <w:pPr>
              <w:spacing w:line="288" w:lineRule="auto"/>
              <w:jc w:val="both"/>
              <w:rPr>
                <w:rFonts w:hint="eastAsia" w:ascii="宋体" w:hAnsi="宋体" w:eastAsia="宋体" w:cs="宋体"/>
                <w:sz w:val="21"/>
                <w:szCs w:val="21"/>
              </w:rPr>
            </w:pPr>
            <w:r>
              <w:rPr>
                <w:rFonts w:hint="eastAsia" w:ascii="宋体" w:hAnsi="宋体" w:eastAsia="宋体" w:cs="宋体"/>
                <w:color w:val="auto"/>
                <w:sz w:val="21"/>
                <w:szCs w:val="21"/>
                <w:highlight w:val="none"/>
                <w:u w:val="none"/>
                <w:lang w:val="en-US" w:eastAsia="zh-CN"/>
              </w:rPr>
              <w:t>需</w:t>
            </w:r>
            <w:r>
              <w:rPr>
                <w:rFonts w:hint="eastAsia" w:ascii="宋体" w:hAnsi="宋体" w:eastAsia="宋体" w:cs="宋体"/>
                <w:color w:val="auto"/>
                <w:sz w:val="21"/>
                <w:szCs w:val="21"/>
                <w:highlight w:val="none"/>
                <w:u w:val="none"/>
                <w:lang w:eastAsia="zh-CN"/>
              </w:rPr>
              <w:t>提供</w:t>
            </w:r>
            <w:r>
              <w:rPr>
                <w:rFonts w:hint="eastAsia" w:ascii="宋体" w:hAnsi="宋体" w:cs="宋体"/>
                <w:color w:val="auto"/>
                <w:sz w:val="21"/>
                <w:szCs w:val="21"/>
                <w:highlight w:val="none"/>
                <w:u w:val="none"/>
                <w:lang w:val="en-US" w:eastAsia="zh-CN"/>
              </w:rPr>
              <w:t>1</w:t>
            </w:r>
            <w:r>
              <w:rPr>
                <w:rFonts w:hint="eastAsia" w:ascii="宋体" w:hAnsi="宋体" w:eastAsia="宋体" w:cs="宋体"/>
                <w:color w:val="000000"/>
                <w:sz w:val="21"/>
                <w:szCs w:val="21"/>
                <w:u w:val="none"/>
                <w:vertAlign w:val="baseline"/>
                <w:lang w:val="en-US" w:eastAsia="zh-CN"/>
              </w:rPr>
              <w:t>个消防维保</w:t>
            </w:r>
            <w:r>
              <w:rPr>
                <w:rFonts w:hint="eastAsia" w:ascii="宋体" w:hAnsi="宋体" w:eastAsia="宋体" w:cs="宋体"/>
                <w:color w:val="000000"/>
                <w:sz w:val="21"/>
                <w:szCs w:val="21"/>
                <w:u w:val="none"/>
                <w:vertAlign w:val="baseline"/>
                <w:lang w:eastAsia="zh-CN"/>
              </w:rPr>
              <w:t>及</w:t>
            </w:r>
            <w:r>
              <w:rPr>
                <w:rFonts w:hint="eastAsia" w:ascii="宋体" w:hAnsi="宋体" w:cs="宋体"/>
                <w:color w:val="000000"/>
                <w:sz w:val="21"/>
                <w:szCs w:val="21"/>
                <w:u w:val="none"/>
                <w:vertAlign w:val="baseline"/>
                <w:lang w:val="en-US" w:eastAsia="zh-CN"/>
              </w:rPr>
              <w:t>1</w:t>
            </w:r>
            <w:r>
              <w:rPr>
                <w:rFonts w:hint="eastAsia" w:ascii="宋体" w:hAnsi="宋体" w:eastAsia="宋体" w:cs="宋体"/>
                <w:color w:val="000000"/>
                <w:sz w:val="21"/>
                <w:szCs w:val="21"/>
                <w:u w:val="none"/>
                <w:vertAlign w:val="baseline"/>
                <w:lang w:val="en-US" w:eastAsia="zh-CN"/>
              </w:rPr>
              <w:t>个消防检测评估</w:t>
            </w:r>
            <w:r>
              <w:rPr>
                <w:rFonts w:hint="eastAsia" w:ascii="宋体" w:hAnsi="宋体" w:eastAsia="宋体" w:cs="宋体"/>
                <w:color w:val="000000"/>
                <w:sz w:val="21"/>
                <w:szCs w:val="21"/>
                <w:u w:val="none"/>
                <w:vertAlign w:val="baseline"/>
                <w:lang w:eastAsia="zh-CN"/>
              </w:rPr>
              <w:t>类似项目业绩</w:t>
            </w:r>
            <w:r>
              <w:rPr>
                <w:rFonts w:hint="eastAsia" w:ascii="宋体" w:hAnsi="宋体" w:eastAsia="宋体" w:cs="宋体"/>
                <w:color w:val="000000"/>
                <w:sz w:val="21"/>
                <w:szCs w:val="21"/>
                <w:u w:val="none"/>
                <w:vertAlign w:val="baseline"/>
                <w:lang w:val="en-US" w:eastAsia="zh-CN"/>
              </w:rPr>
              <w:t>证明材料，</w:t>
            </w:r>
            <w:r>
              <w:rPr>
                <w:rFonts w:hint="eastAsia" w:ascii="宋体" w:hAnsi="宋体" w:cs="宋体"/>
                <w:color w:val="auto"/>
                <w:sz w:val="21"/>
                <w:szCs w:val="21"/>
                <w:highlight w:val="none"/>
                <w:u w:val="none"/>
                <w:lang w:val="en-US" w:eastAsia="zh-CN"/>
              </w:rPr>
              <w:t>提供合同</w:t>
            </w:r>
            <w:r>
              <w:rPr>
                <w:rFonts w:hint="eastAsia" w:ascii="宋体" w:hAnsi="宋体" w:eastAsia="宋体" w:cs="宋体"/>
                <w:color w:val="auto"/>
                <w:sz w:val="21"/>
                <w:szCs w:val="21"/>
                <w:highlight w:val="none"/>
                <w:u w:val="none"/>
                <w:lang w:eastAsia="zh-CN"/>
              </w:rPr>
              <w:t>复印件</w:t>
            </w:r>
            <w:r>
              <w:rPr>
                <w:rFonts w:hint="eastAsia" w:ascii="宋体" w:hAnsi="宋体" w:cs="宋体"/>
                <w:color w:val="auto"/>
                <w:sz w:val="21"/>
                <w:szCs w:val="21"/>
                <w:highlight w:val="none"/>
                <w:u w:val="none"/>
                <w:lang w:val="en-US" w:eastAsia="zh-CN"/>
              </w:rPr>
              <w:t>并</w:t>
            </w:r>
            <w:r>
              <w:rPr>
                <w:rFonts w:hint="eastAsia" w:ascii="宋体" w:hAnsi="宋体" w:eastAsia="宋体" w:cs="宋体"/>
                <w:color w:val="auto"/>
                <w:sz w:val="21"/>
                <w:szCs w:val="21"/>
                <w:highlight w:val="none"/>
                <w:u w:val="none"/>
                <w:lang w:eastAsia="zh-CN"/>
              </w:rPr>
              <w:t>加盖单位公章</w:t>
            </w:r>
            <w:r>
              <w:rPr>
                <w:rFonts w:hint="eastAsia" w:ascii="宋体" w:hAnsi="宋体" w:cs="宋体"/>
                <w:color w:val="auto"/>
                <w:sz w:val="21"/>
                <w:szCs w:val="21"/>
                <w:highlight w:val="none"/>
                <w:u w:val="none"/>
                <w:lang w:eastAsia="zh-CN"/>
              </w:rPr>
              <w:t>。</w:t>
            </w:r>
            <w:r>
              <w:rPr>
                <w:rFonts w:hint="eastAsia" w:ascii="宋体" w:hAnsi="宋体" w:eastAsia="宋体" w:cs="宋体"/>
                <w:color w:val="000000"/>
                <w:sz w:val="21"/>
                <w:szCs w:val="21"/>
              </w:rPr>
              <w:t xml:space="preserve">              </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3.5（5）</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信誉要求证明材料</w:t>
            </w:r>
          </w:p>
        </w:tc>
        <w:tc>
          <w:tcPr>
            <w:tcW w:w="595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不适用</w:t>
            </w:r>
          </w:p>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sym w:font="Wingdings 2" w:char="0052"/>
            </w:r>
            <w:r>
              <w:rPr>
                <w:rFonts w:hint="eastAsia" w:ascii="宋体" w:hAnsi="宋体" w:eastAsia="宋体" w:cs="宋体"/>
                <w:color w:val="000000"/>
                <w:sz w:val="21"/>
                <w:szCs w:val="21"/>
              </w:rPr>
              <w:t>适用。</w:t>
            </w:r>
          </w:p>
          <w:p>
            <w:pPr>
              <w:spacing w:line="288" w:lineRule="auto"/>
              <w:jc w:val="both"/>
              <w:rPr>
                <w:rFonts w:hint="eastAsia" w:ascii="宋体" w:hAnsi="宋体" w:eastAsia="宋体" w:cs="宋体"/>
                <w:sz w:val="21"/>
                <w:szCs w:val="21"/>
              </w:rPr>
            </w:pPr>
            <w:r>
              <w:rPr>
                <w:rFonts w:hint="eastAsia" w:ascii="宋体" w:hAnsi="宋体" w:cs="宋体"/>
                <w:color w:val="auto"/>
                <w:sz w:val="21"/>
                <w:szCs w:val="21"/>
                <w:highlight w:val="none"/>
                <w:lang w:val="en-US" w:eastAsia="zh-CN"/>
              </w:rPr>
              <w:t>供应商应提供</w:t>
            </w:r>
            <w:r>
              <w:rPr>
                <w:rFonts w:hint="eastAsia" w:ascii="宋体" w:hAnsi="宋体" w:cs="宋体"/>
                <w:color w:val="auto"/>
                <w:sz w:val="21"/>
                <w:szCs w:val="21"/>
                <w:highlight w:val="none"/>
              </w:rPr>
              <w:t>被最高人民法院在“信用中国”网站（www.creditchina.gov.cn）中未列入失信被执行人名单的网页截图</w:t>
            </w:r>
            <w:r>
              <w:rPr>
                <w:rFonts w:hint="eastAsia" w:ascii="宋体" w:hAnsi="宋体" w:cs="宋体"/>
                <w:color w:val="000000"/>
                <w:sz w:val="21"/>
                <w:szCs w:val="21"/>
                <w:u w:val="none"/>
                <w:lang w:val="en-US" w:eastAsia="zh-CN"/>
              </w:rPr>
              <w:t>。</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3.5（6）</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承担本项目的主要人员要求证明材料</w:t>
            </w:r>
          </w:p>
        </w:tc>
        <w:tc>
          <w:tcPr>
            <w:tcW w:w="5959" w:type="dxa"/>
            <w:tcBorders>
              <w:top w:val="single" w:color="auto" w:sz="4" w:space="0"/>
              <w:left w:val="single" w:color="auto" w:sz="4" w:space="0"/>
              <w:bottom w:val="single" w:color="auto" w:sz="4" w:space="0"/>
              <w:right w:val="single" w:color="auto" w:sz="4" w:space="0"/>
            </w:tcBorders>
            <w:vAlign w:val="center"/>
          </w:tcPr>
          <w:p>
            <w:pPr>
              <w:numPr>
                <w:ilvl w:val="-1"/>
                <w:numId w:val="0"/>
              </w:num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sym w:font="Wingdings 2" w:char="00A3"/>
            </w:r>
            <w:r>
              <w:rPr>
                <w:rFonts w:hint="eastAsia" w:ascii="宋体" w:hAnsi="宋体" w:eastAsia="宋体" w:cs="宋体"/>
                <w:color w:val="000000"/>
                <w:sz w:val="21"/>
                <w:szCs w:val="21"/>
              </w:rPr>
              <w:t>不适用</w:t>
            </w:r>
          </w:p>
          <w:p>
            <w:pPr>
              <w:widowControl w:val="0"/>
              <w:spacing w:line="320" w:lineRule="exact"/>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适用。</w:t>
            </w:r>
            <w:r>
              <w:rPr>
                <w:rFonts w:hint="eastAsia" w:ascii="宋体" w:hAnsi="宋体" w:eastAsia="宋体" w:cs="宋体"/>
                <w:color w:val="000000"/>
                <w:sz w:val="21"/>
                <w:szCs w:val="21"/>
                <w:highlight w:val="none"/>
              </w:rPr>
              <w:t>供</w:t>
            </w:r>
            <w:r>
              <w:rPr>
                <w:rFonts w:hint="eastAsia" w:ascii="宋体" w:hAnsi="宋体" w:eastAsia="宋体" w:cs="宋体"/>
                <w:color w:val="auto"/>
                <w:sz w:val="21"/>
                <w:szCs w:val="21"/>
                <w:highlight w:val="none"/>
              </w:rPr>
              <w:t>应商应提供拟委任的主要人员汇总表（格式见第六章“响应文件格式”</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、资格审查资料（</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rPr>
              <w:t>）拟委任的主要人员汇总表</w:t>
            </w:r>
          </w:p>
          <w:p>
            <w:pPr>
              <w:numPr>
                <w:ilvl w:val="-1"/>
                <w:numId w:val="0"/>
              </w:numPr>
              <w:spacing w:line="288" w:lineRule="auto"/>
              <w:jc w:val="both"/>
              <w:rPr>
                <w:rFonts w:hint="eastAsia" w:ascii="宋体" w:hAnsi="宋体" w:eastAsia="宋体" w:cs="宋体"/>
                <w:color w:val="000000"/>
                <w:sz w:val="21"/>
                <w:szCs w:val="21"/>
              </w:rPr>
            </w:pPr>
            <w:r>
              <w:rPr>
                <w:rFonts w:hint="eastAsia" w:ascii="宋体" w:hAnsi="宋体" w:cs="宋体"/>
                <w:b/>
                <w:bCs/>
                <w:color w:val="000000"/>
                <w:sz w:val="21"/>
                <w:szCs w:val="21"/>
                <w:highlight w:val="none"/>
                <w:lang w:eastAsia="zh-CN"/>
              </w:rPr>
              <w:t>要求：</w:t>
            </w:r>
            <w:r>
              <w:rPr>
                <w:rStyle w:val="40"/>
                <w:rFonts w:hint="eastAsia"/>
                <w:b w:val="0"/>
                <w:bCs w:val="0"/>
                <w:sz w:val="21"/>
                <w:szCs w:val="21"/>
                <w:highlight w:val="none"/>
                <w:u w:val="none"/>
                <w:lang w:val="en-US" w:eastAsia="zh-CN"/>
              </w:rPr>
              <w:t>供应商拟任</w:t>
            </w:r>
            <w:r>
              <w:rPr>
                <w:rStyle w:val="40"/>
                <w:rFonts w:hint="eastAsia"/>
                <w:b w:val="0"/>
                <w:bCs w:val="0"/>
                <w:sz w:val="21"/>
                <w:szCs w:val="21"/>
                <w:highlight w:val="none"/>
                <w:u w:val="none"/>
                <w:lang w:eastAsia="zh-CN"/>
              </w:rPr>
              <w:t>项目负责人（</w:t>
            </w:r>
            <w:r>
              <w:rPr>
                <w:rStyle w:val="40"/>
                <w:rFonts w:hint="eastAsia"/>
                <w:b w:val="0"/>
                <w:bCs w:val="0"/>
                <w:sz w:val="21"/>
                <w:szCs w:val="21"/>
                <w:highlight w:val="none"/>
                <w:u w:val="none"/>
                <w:lang w:val="en-US" w:eastAsia="zh-CN"/>
              </w:rPr>
              <w:t>1人</w:t>
            </w:r>
            <w:r>
              <w:rPr>
                <w:rStyle w:val="40"/>
                <w:rFonts w:hint="eastAsia"/>
                <w:b w:val="0"/>
                <w:bCs w:val="0"/>
                <w:sz w:val="21"/>
                <w:szCs w:val="21"/>
                <w:highlight w:val="none"/>
                <w:u w:val="none"/>
                <w:lang w:eastAsia="zh-CN"/>
              </w:rPr>
              <w:t>）具有</w:t>
            </w:r>
            <w:r>
              <w:rPr>
                <w:rFonts w:hint="eastAsia" w:ascii="宋体" w:hAnsi="宋体" w:eastAsia="宋体" w:cs="宋体"/>
                <w:color w:val="000000"/>
                <w:sz w:val="21"/>
                <w:szCs w:val="21"/>
                <w:u w:val="none"/>
                <w:lang w:val="en-US" w:eastAsia="zh-CN"/>
              </w:rPr>
              <w:t>国家一级注册消防工程师资质，主要维保检测评估人员</w:t>
            </w:r>
            <w:r>
              <w:rPr>
                <w:rFonts w:hint="eastAsia" w:ascii="宋体" w:hAnsi="宋体" w:cs="宋体"/>
                <w:color w:val="000000"/>
                <w:sz w:val="21"/>
                <w:szCs w:val="21"/>
                <w:u w:val="none"/>
                <w:lang w:val="en-US" w:eastAsia="zh-CN"/>
              </w:rPr>
              <w:t>（1人）</w:t>
            </w:r>
            <w:r>
              <w:rPr>
                <w:rFonts w:hint="eastAsia" w:ascii="宋体" w:hAnsi="宋体" w:eastAsia="宋体" w:cs="宋体"/>
                <w:color w:val="000000"/>
                <w:sz w:val="21"/>
                <w:szCs w:val="21"/>
                <w:u w:val="none"/>
                <w:lang w:val="en-US" w:eastAsia="zh-CN"/>
              </w:rPr>
              <w:t>具有注册消防工程师或</w:t>
            </w:r>
            <w:r>
              <w:rPr>
                <w:rFonts w:hint="eastAsia" w:ascii="宋体" w:hAnsi="宋体" w:cs="宋体"/>
                <w:color w:val="000000"/>
                <w:sz w:val="21"/>
                <w:szCs w:val="21"/>
                <w:u w:val="none"/>
                <w:lang w:val="en-US" w:eastAsia="zh-CN"/>
              </w:rPr>
              <w:t>高</w:t>
            </w:r>
            <w:r>
              <w:rPr>
                <w:rFonts w:hint="eastAsia" w:ascii="宋体" w:hAnsi="宋体" w:eastAsia="宋体" w:cs="宋体"/>
                <w:color w:val="000000"/>
                <w:sz w:val="21"/>
                <w:szCs w:val="21"/>
                <w:u w:val="none"/>
                <w:lang w:val="en-US" w:eastAsia="zh-CN"/>
              </w:rPr>
              <w:t>级消防员资质</w:t>
            </w:r>
            <w:r>
              <w:rPr>
                <w:rFonts w:hint="eastAsia" w:ascii="宋体" w:hAnsi="宋体" w:cs="宋体"/>
                <w:color w:val="000000"/>
                <w:sz w:val="21"/>
                <w:szCs w:val="21"/>
                <w:u w:val="none"/>
                <w:lang w:val="en-US" w:eastAsia="zh-CN"/>
              </w:rPr>
              <w:t>，</w:t>
            </w:r>
            <w:r>
              <w:rPr>
                <w:rFonts w:hint="eastAsia" w:ascii="宋体" w:hAnsi="宋体" w:eastAsia="宋体" w:cs="宋体"/>
                <w:color w:val="000000"/>
                <w:sz w:val="21"/>
                <w:szCs w:val="21"/>
                <w:u w:val="none"/>
                <w:lang w:eastAsia="zh-CN"/>
              </w:rPr>
              <w:t>以上</w:t>
            </w:r>
            <w:r>
              <w:rPr>
                <w:rFonts w:hint="eastAsia" w:ascii="宋体" w:hAnsi="宋体" w:eastAsia="宋体" w:cs="宋体"/>
                <w:color w:val="000000"/>
                <w:sz w:val="21"/>
                <w:szCs w:val="21"/>
                <w:u w:val="none"/>
                <w:lang w:val="en-US" w:eastAsia="zh-CN"/>
              </w:rPr>
              <w:t>人员</w:t>
            </w:r>
            <w:r>
              <w:rPr>
                <w:rFonts w:hint="eastAsia" w:ascii="宋体" w:hAnsi="宋体" w:eastAsia="宋体" w:cs="宋体"/>
                <w:color w:val="000000"/>
                <w:sz w:val="21"/>
                <w:szCs w:val="21"/>
                <w:u w:val="none"/>
                <w:lang w:eastAsia="zh-CN"/>
              </w:rPr>
              <w:t>需提</w:t>
            </w:r>
            <w:r>
              <w:rPr>
                <w:rFonts w:hint="eastAsia" w:ascii="宋体" w:hAnsi="宋体" w:eastAsia="宋体" w:cs="宋体"/>
                <w:color w:val="000000"/>
                <w:sz w:val="21"/>
                <w:szCs w:val="21"/>
                <w:u w:val="none"/>
                <w:lang w:val="en-US" w:eastAsia="zh-CN"/>
              </w:rPr>
              <w:t>供证书</w:t>
            </w:r>
            <w:r>
              <w:rPr>
                <w:rFonts w:hint="eastAsia" w:ascii="宋体" w:hAnsi="宋体" w:eastAsia="宋体" w:cs="宋体"/>
                <w:color w:val="000000"/>
                <w:sz w:val="21"/>
                <w:szCs w:val="21"/>
                <w:u w:val="none"/>
                <w:lang w:eastAsia="zh-CN"/>
              </w:rPr>
              <w:t>复印件</w:t>
            </w:r>
            <w:r>
              <w:rPr>
                <w:rFonts w:hint="eastAsia" w:ascii="宋体" w:hAnsi="宋体" w:cs="宋体"/>
                <w:color w:val="000000"/>
                <w:sz w:val="21"/>
                <w:szCs w:val="21"/>
                <w:u w:val="none"/>
                <w:lang w:val="en-US" w:eastAsia="zh-CN"/>
              </w:rPr>
              <w:t>及投标截止日前半年的社保缴费证明</w:t>
            </w:r>
            <w:r>
              <w:rPr>
                <w:rFonts w:hint="eastAsia" w:ascii="宋体" w:hAnsi="宋体" w:eastAsia="宋体" w:cs="宋体"/>
                <w:color w:val="000000"/>
                <w:sz w:val="21"/>
                <w:szCs w:val="21"/>
                <w:u w:val="none"/>
                <w:lang w:eastAsia="zh-CN"/>
              </w:rPr>
              <w:t>并加盖单位公章</w:t>
            </w:r>
            <w:r>
              <w:rPr>
                <w:rFonts w:hint="eastAsia" w:ascii="宋体" w:hAnsi="宋体" w:cs="宋体"/>
                <w:color w:val="000000"/>
                <w:sz w:val="21"/>
                <w:szCs w:val="21"/>
                <w:u w:val="none"/>
                <w:lang w:eastAsia="zh-CN"/>
              </w:rPr>
              <w:t>。</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3.5（7）</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其他要求的证明材料</w:t>
            </w:r>
          </w:p>
        </w:tc>
        <w:tc>
          <w:tcPr>
            <w:tcW w:w="595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无</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3.5（8）</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供应商不存在第一章3.1款情形的证明材料</w:t>
            </w:r>
          </w:p>
        </w:tc>
        <w:tc>
          <w:tcPr>
            <w:tcW w:w="595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sym w:font="Wingdings 2" w:char="00A3"/>
            </w:r>
            <w:r>
              <w:rPr>
                <w:rFonts w:hint="eastAsia" w:ascii="宋体" w:hAnsi="宋体" w:eastAsia="宋体" w:cs="宋体"/>
                <w:color w:val="000000"/>
                <w:sz w:val="21"/>
                <w:szCs w:val="21"/>
                <w:lang w:val="en-US" w:eastAsia="zh-CN"/>
              </w:rPr>
              <w:t>提供承诺函</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3.6.1</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对关键条款进行响应的证据或证明材料要求</w:t>
            </w:r>
          </w:p>
        </w:tc>
        <w:tc>
          <w:tcPr>
            <w:tcW w:w="595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无</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3.6.2</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响应方案数量</w:t>
            </w:r>
          </w:p>
        </w:tc>
        <w:tc>
          <w:tcPr>
            <w:tcW w:w="595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供应商只能提出唯一响应方案</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3.7.5</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响应文件及电子版要求</w:t>
            </w:r>
          </w:p>
        </w:tc>
        <w:tc>
          <w:tcPr>
            <w:tcW w:w="595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是否要求提供电子版响应文件：</w:t>
            </w:r>
          </w:p>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不要求</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4.1.1</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响应文件的密封</w:t>
            </w:r>
          </w:p>
        </w:tc>
        <w:tc>
          <w:tcPr>
            <w:tcW w:w="595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响应文件须密封</w:t>
            </w:r>
            <w:r>
              <w:rPr>
                <w:rFonts w:hint="eastAsia" w:ascii="宋体" w:hAnsi="宋体" w:cs="宋体"/>
                <w:color w:val="000000"/>
                <w:sz w:val="21"/>
                <w:szCs w:val="21"/>
                <w:lang w:val="en-US" w:eastAsia="zh-CN"/>
              </w:rPr>
              <w:t>胶</w:t>
            </w:r>
            <w:r>
              <w:rPr>
                <w:rFonts w:hint="eastAsia" w:ascii="宋体" w:hAnsi="宋体" w:eastAsia="宋体" w:cs="宋体"/>
                <w:color w:val="000000"/>
                <w:sz w:val="21"/>
                <w:szCs w:val="21"/>
              </w:rPr>
              <w:t>装，并在封套的封口处加盖单位</w:t>
            </w:r>
            <w:r>
              <w:rPr>
                <w:rFonts w:hint="eastAsia" w:ascii="宋体" w:hAnsi="宋体" w:eastAsia="宋体" w:cs="宋体"/>
                <w:color w:val="000000"/>
                <w:sz w:val="21"/>
                <w:szCs w:val="21"/>
                <w:lang w:val="en-US" w:eastAsia="zh-CN"/>
              </w:rPr>
              <w:t>公</w:t>
            </w:r>
            <w:r>
              <w:rPr>
                <w:rFonts w:hint="eastAsia" w:ascii="宋体" w:hAnsi="宋体" w:eastAsia="宋体" w:cs="宋体"/>
                <w:color w:val="000000"/>
                <w:sz w:val="21"/>
                <w:szCs w:val="21"/>
              </w:rPr>
              <w:t>章。</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4.1.2</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封套上应载明的信息</w:t>
            </w:r>
          </w:p>
        </w:tc>
        <w:tc>
          <w:tcPr>
            <w:tcW w:w="595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□不适用</w:t>
            </w:r>
          </w:p>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适用，供应商名称</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u w:val="none"/>
                <w:lang w:eastAsia="zh-CN"/>
              </w:rPr>
              <w:t>岳阳城陵矶新港有限公司</w:t>
            </w:r>
            <w:r>
              <w:rPr>
                <w:rFonts w:hint="eastAsia" w:ascii="宋体" w:hAnsi="宋体" w:eastAsia="宋体" w:cs="宋体"/>
                <w:color w:val="000000"/>
                <w:sz w:val="21"/>
                <w:szCs w:val="21"/>
                <w:u w:val="none"/>
                <w:lang w:val="en-US" w:eastAsia="zh-CN"/>
              </w:rPr>
              <w:t>消防维保检测评估服务项目</w:t>
            </w:r>
            <w:r>
              <w:rPr>
                <w:rFonts w:hint="eastAsia" w:ascii="宋体" w:hAnsi="宋体" w:eastAsia="宋体" w:cs="宋体"/>
                <w:color w:val="000000"/>
                <w:sz w:val="21"/>
                <w:szCs w:val="21"/>
                <w:u w:val="none"/>
              </w:rPr>
              <w:t>响应文件</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4.2.1</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递交响应文件截止时间和地点</w:t>
            </w:r>
          </w:p>
        </w:tc>
        <w:tc>
          <w:tcPr>
            <w:tcW w:w="595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rPr>
              <w:t>截止时间：</w:t>
            </w:r>
            <w:r>
              <w:rPr>
                <w:rFonts w:hint="eastAsia" w:ascii="宋体" w:hAnsi="宋体" w:eastAsia="宋体" w:cs="宋体"/>
                <w:color w:val="000000"/>
                <w:sz w:val="21"/>
                <w:szCs w:val="21"/>
                <w:highlight w:val="none"/>
                <w:lang w:val="en-US" w:eastAsia="zh-CN"/>
              </w:rPr>
              <w:t>2022年</w:t>
            </w:r>
            <w:r>
              <w:rPr>
                <w:rFonts w:hint="eastAsia" w:ascii="宋体" w:hAnsi="宋体" w:cs="宋体"/>
                <w:color w:val="000000"/>
                <w:sz w:val="21"/>
                <w:szCs w:val="21"/>
                <w:highlight w:val="none"/>
                <w:lang w:val="en-US" w:eastAsia="zh-CN"/>
              </w:rPr>
              <w:t>8</w:t>
            </w:r>
            <w:r>
              <w:rPr>
                <w:rFonts w:hint="eastAsia" w:ascii="宋体" w:hAnsi="宋体" w:eastAsia="宋体" w:cs="宋体"/>
                <w:color w:val="000000"/>
                <w:sz w:val="21"/>
                <w:szCs w:val="21"/>
                <w:highlight w:val="none"/>
                <w:lang w:val="en-US" w:eastAsia="zh-CN"/>
              </w:rPr>
              <w:t>月</w:t>
            </w:r>
            <w:r>
              <w:rPr>
                <w:rFonts w:hint="eastAsia" w:ascii="宋体" w:hAnsi="宋体" w:cs="宋体"/>
                <w:color w:val="000000"/>
                <w:sz w:val="21"/>
                <w:szCs w:val="21"/>
                <w:highlight w:val="none"/>
                <w:lang w:val="en-US" w:eastAsia="zh-CN"/>
              </w:rPr>
              <w:t>9</w:t>
            </w:r>
            <w:r>
              <w:rPr>
                <w:rFonts w:hint="eastAsia" w:ascii="宋体" w:hAnsi="宋体" w:eastAsia="宋体" w:cs="宋体"/>
                <w:color w:val="000000"/>
                <w:sz w:val="21"/>
                <w:szCs w:val="21"/>
                <w:highlight w:val="none"/>
                <w:lang w:val="en-US" w:eastAsia="zh-CN"/>
              </w:rPr>
              <w:t>日</w:t>
            </w:r>
            <w:r>
              <w:rPr>
                <w:rFonts w:hint="eastAsia" w:ascii="宋体" w:hAnsi="宋体" w:cs="宋体"/>
                <w:color w:val="000000"/>
                <w:sz w:val="21"/>
                <w:szCs w:val="21"/>
                <w:highlight w:val="none"/>
                <w:lang w:val="en-US" w:eastAsia="zh-CN"/>
              </w:rPr>
              <w:t>9</w:t>
            </w:r>
            <w:r>
              <w:rPr>
                <w:rFonts w:hint="eastAsia" w:ascii="宋体" w:hAnsi="宋体" w:eastAsia="宋体" w:cs="宋体"/>
                <w:color w:val="000000"/>
                <w:sz w:val="21"/>
                <w:szCs w:val="21"/>
                <w:highlight w:val="none"/>
                <w:lang w:val="en-US" w:eastAsia="zh-CN"/>
              </w:rPr>
              <w:t>时</w:t>
            </w:r>
          </w:p>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递交响应文件的地点：</w:t>
            </w:r>
            <w:bookmarkStart w:id="90" w:name="_GoBack"/>
            <w:r>
              <w:rPr>
                <w:rFonts w:hint="eastAsia" w:ascii="宋体" w:hAnsi="宋体" w:eastAsia="宋体" w:cs="宋体"/>
                <w:color w:val="000000"/>
                <w:sz w:val="21"/>
                <w:szCs w:val="21"/>
                <w:u w:val="single"/>
                <w:lang w:eastAsia="zh-CN"/>
              </w:rPr>
              <w:t>岳阳城陵矶新港有限公司办公楼</w:t>
            </w:r>
            <w:r>
              <w:rPr>
                <w:rFonts w:hint="eastAsia" w:ascii="宋体" w:hAnsi="宋体" w:eastAsia="宋体" w:cs="宋体"/>
                <w:color w:val="000000"/>
                <w:sz w:val="21"/>
                <w:szCs w:val="21"/>
                <w:u w:val="single"/>
                <w:lang w:val="en-US" w:eastAsia="zh-CN"/>
              </w:rPr>
              <w:t>103室</w:t>
            </w:r>
            <w:bookmarkEnd w:id="90"/>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4.2.2</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是否退还响应文件</w:t>
            </w:r>
          </w:p>
        </w:tc>
        <w:tc>
          <w:tcPr>
            <w:tcW w:w="595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否</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4.3.3</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供应商撤回响应文件情况下退还响应保证金的时间</w:t>
            </w:r>
          </w:p>
        </w:tc>
        <w:tc>
          <w:tcPr>
            <w:tcW w:w="595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无</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是否公开开启响应文件</w:t>
            </w:r>
          </w:p>
        </w:tc>
        <w:tc>
          <w:tcPr>
            <w:tcW w:w="595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否</w:t>
            </w:r>
          </w:p>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是</w:t>
            </w:r>
          </w:p>
        </w:tc>
      </w:tr>
      <w:tr>
        <w:tblPrEx>
          <w:tblCellMar>
            <w:top w:w="0" w:type="dxa"/>
            <w:left w:w="108" w:type="dxa"/>
            <w:bottom w:w="0" w:type="dxa"/>
            <w:right w:w="108" w:type="dxa"/>
          </w:tblCellMar>
        </w:tblPrEx>
        <w:trPr>
          <w:trHeight w:val="9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5.1</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开启地点</w:t>
            </w:r>
          </w:p>
        </w:tc>
        <w:tc>
          <w:tcPr>
            <w:tcW w:w="595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lang w:val="en-US" w:eastAsia="zh-CN"/>
              </w:rPr>
            </w:pPr>
            <w:r>
              <w:rPr>
                <w:rFonts w:hint="eastAsia" w:ascii="宋体" w:hAnsi="宋体" w:eastAsia="宋体" w:cs="宋体"/>
                <w:i w:val="0"/>
                <w:caps w:val="0"/>
                <w:color w:val="000000"/>
                <w:spacing w:val="0"/>
                <w:kern w:val="2"/>
                <w:sz w:val="21"/>
                <w:szCs w:val="21"/>
                <w:lang w:val="en-US" w:eastAsia="zh-CN" w:bidi="ar"/>
              </w:rPr>
              <w:t>湖南省港务集团有限公司六楼602开标室</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5.2（4）</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开启程序</w:t>
            </w:r>
          </w:p>
        </w:tc>
        <w:tc>
          <w:tcPr>
            <w:tcW w:w="595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开启顺序：</w:t>
            </w:r>
            <w:r>
              <w:rPr>
                <w:rFonts w:hint="eastAsia" w:ascii="宋体" w:hAnsi="宋体" w:eastAsia="宋体" w:cs="宋体"/>
                <w:color w:val="000000"/>
                <w:sz w:val="21"/>
                <w:szCs w:val="21"/>
                <w:u w:val="single"/>
              </w:rPr>
              <w:t xml:space="preserve">   随机       </w:t>
            </w:r>
          </w:p>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其他应公布的信息：</w:t>
            </w:r>
            <w:r>
              <w:rPr>
                <w:rFonts w:hint="eastAsia" w:ascii="宋体" w:hAnsi="宋体" w:eastAsia="宋体" w:cs="宋体"/>
                <w:color w:val="000000"/>
                <w:sz w:val="21"/>
                <w:szCs w:val="21"/>
                <w:lang w:eastAsia="zh-CN"/>
              </w:rPr>
              <w:t>无</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6.1.1</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评审小组的组建</w:t>
            </w:r>
            <w:r>
              <w:rPr>
                <w:rStyle w:val="45"/>
                <w:rFonts w:hint="eastAsia" w:ascii="宋体" w:hAnsi="宋体" w:eastAsia="宋体" w:cs="宋体"/>
                <w:color w:val="000000"/>
                <w:sz w:val="21"/>
                <w:szCs w:val="21"/>
              </w:rPr>
              <w:footnoteReference w:id="0"/>
            </w:r>
          </w:p>
        </w:tc>
        <w:tc>
          <w:tcPr>
            <w:tcW w:w="595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评标小组构成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u w:val="single"/>
                <w:lang w:val="en-US" w:eastAsia="zh-CN"/>
              </w:rPr>
              <w:t>3</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人。</w:t>
            </w:r>
          </w:p>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评审专家确定方式：</w:t>
            </w:r>
            <w:r>
              <w:rPr>
                <w:rFonts w:hint="eastAsia" w:ascii="宋体" w:hAnsi="宋体" w:eastAsia="宋体" w:cs="宋体"/>
                <w:color w:val="000000"/>
                <w:sz w:val="21"/>
                <w:szCs w:val="21"/>
                <w:u w:val="single"/>
              </w:rPr>
              <w:t>在湖南省湘水集团有限公司综合评标专家库中随机抽取</w:t>
            </w:r>
            <w:r>
              <w:rPr>
                <w:rFonts w:hint="eastAsia" w:ascii="宋体" w:hAnsi="宋体" w:cs="宋体"/>
                <w:color w:val="000000"/>
                <w:sz w:val="21"/>
                <w:szCs w:val="21"/>
                <w:u w:val="single"/>
                <w:lang w:val="en-US" w:eastAsia="zh-CN"/>
              </w:rPr>
              <w:t>2人，业主代表1人</w:t>
            </w:r>
            <w:r>
              <w:rPr>
                <w:rFonts w:hint="eastAsia" w:ascii="宋体" w:hAnsi="宋体" w:eastAsia="宋体" w:cs="宋体"/>
                <w:color w:val="000000"/>
                <w:sz w:val="21"/>
                <w:szCs w:val="21"/>
              </w:rPr>
              <w:t>。</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6.2.2</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评审小组推荐成交候选供应商的数量</w:t>
            </w:r>
          </w:p>
        </w:tc>
        <w:tc>
          <w:tcPr>
            <w:tcW w:w="595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ascii="宋体" w:hAnsi="宋体" w:eastAsia="宋体" w:cs="宋体"/>
                <w:b w:val="0"/>
                <w:bCs w:val="0"/>
                <w:color w:val="000000"/>
                <w:sz w:val="21"/>
                <w:szCs w:val="21"/>
              </w:rPr>
              <w:t xml:space="preserve"> </w:t>
            </w:r>
            <w:r>
              <w:rPr>
                <w:rFonts w:hint="eastAsia" w:ascii="宋体" w:hAnsi="宋体" w:cs="宋体"/>
                <w:b w:val="0"/>
                <w:bCs w:val="0"/>
                <w:color w:val="000000"/>
                <w:sz w:val="21"/>
                <w:szCs w:val="21"/>
                <w:lang w:val="en-US" w:eastAsia="zh-CN"/>
              </w:rPr>
              <w:t>2</w:t>
            </w:r>
            <w:r>
              <w:rPr>
                <w:rFonts w:hint="eastAsia" w:ascii="宋体" w:hAnsi="宋体" w:eastAsia="宋体" w:cs="宋体"/>
                <w:b w:val="0"/>
                <w:bCs w:val="0"/>
                <w:color w:val="000000"/>
                <w:sz w:val="21"/>
                <w:szCs w:val="21"/>
                <w:lang w:val="en-US" w:eastAsia="zh-CN"/>
              </w:rPr>
              <w:t>-3个</w:t>
            </w:r>
            <w:r>
              <w:rPr>
                <w:rFonts w:hint="eastAsia" w:ascii="宋体" w:hAnsi="宋体" w:eastAsia="宋体" w:cs="宋体"/>
                <w:color w:val="000000"/>
                <w:sz w:val="21"/>
                <w:szCs w:val="21"/>
              </w:rPr>
              <w:t>，并标明推荐顺序。</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宋体" w:asciiTheme="minorEastAsia" w:hAnsiTheme="minorEastAsia" w:eastAsiaTheme="minorEastAsia"/>
                <w:color w:val="000000"/>
                <w:kern w:val="2"/>
                <w:sz w:val="21"/>
                <w:szCs w:val="21"/>
                <w:lang w:val="en-US" w:eastAsia="zh-CN" w:bidi="ar-SA"/>
              </w:rPr>
            </w:pPr>
            <w:r>
              <w:rPr>
                <w:rFonts w:hint="eastAsia" w:cs="宋体" w:asciiTheme="minorEastAsia" w:hAnsiTheme="minorEastAsia" w:eastAsiaTheme="minorEastAsia"/>
                <w:color w:val="000000"/>
                <w:sz w:val="21"/>
                <w:szCs w:val="21"/>
              </w:rPr>
              <w:t>7.2</w:t>
            </w:r>
          </w:p>
        </w:tc>
        <w:tc>
          <w:tcPr>
            <w:tcW w:w="2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color w:val="000000"/>
                <w:kern w:val="2"/>
                <w:sz w:val="21"/>
                <w:szCs w:val="21"/>
                <w:lang w:val="en-US" w:eastAsia="zh-CN" w:bidi="ar-SA"/>
              </w:rPr>
            </w:pPr>
            <w:r>
              <w:rPr>
                <w:rFonts w:hint="eastAsia" w:cs="宋体" w:asciiTheme="minorEastAsia" w:hAnsiTheme="minorEastAsia" w:eastAsiaTheme="minorEastAsia"/>
                <w:color w:val="000000"/>
                <w:sz w:val="21"/>
                <w:szCs w:val="21"/>
              </w:rPr>
              <w:t>成交候选供应商公示</w:t>
            </w:r>
          </w:p>
        </w:tc>
        <w:tc>
          <w:tcPr>
            <w:tcW w:w="595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rPr>
              <w:t>公示媒介：</w:t>
            </w:r>
            <w:r>
              <w:rPr>
                <w:rFonts w:hint="eastAsia" w:ascii="宋体" w:hAnsi="宋体" w:cs="宋体"/>
                <w:sz w:val="21"/>
                <w:szCs w:val="21"/>
              </w:rPr>
              <w:t>中国招标投标公共服务平台（http：//www.cebpubservice.com）、湖南省湘水集团有限公司网站（http：//www.hnsxsjt.co</w:t>
            </w:r>
            <w:r>
              <w:rPr>
                <w:rFonts w:hint="eastAsia" w:ascii="宋体" w:hAnsi="宋体" w:cs="宋体"/>
                <w:sz w:val="21"/>
                <w:szCs w:val="21"/>
                <w:lang w:val="en-US" w:eastAsia="zh-CN"/>
              </w:rPr>
              <w:t>m</w:t>
            </w:r>
            <w:r>
              <w:rPr>
                <w:rFonts w:hint="eastAsia" w:ascii="宋体" w:hAnsi="宋体" w:cs="宋体"/>
                <w:sz w:val="21"/>
                <w:szCs w:val="21"/>
              </w:rPr>
              <w:t>）、湖南省港务集团有限公司门户网站（http://www.hnsgwjt.com/）上发布。</w:t>
            </w:r>
          </w:p>
          <w:p>
            <w:pPr>
              <w:spacing w:line="360" w:lineRule="auto"/>
              <w:jc w:val="left"/>
              <w:rPr>
                <w:rFonts w:hint="eastAsia" w:cs="宋体" w:asciiTheme="minorEastAsia" w:hAnsiTheme="minorEastAsia" w:eastAsiaTheme="minorEastAsia"/>
                <w:color w:val="000000"/>
                <w:kern w:val="2"/>
                <w:sz w:val="21"/>
                <w:szCs w:val="21"/>
                <w:lang w:val="en-US" w:eastAsia="zh-CN" w:bidi="ar-SA"/>
              </w:rPr>
            </w:pPr>
            <w:r>
              <w:rPr>
                <w:rFonts w:hint="eastAsia" w:cs="宋体" w:asciiTheme="minorEastAsia" w:hAnsiTheme="minorEastAsia" w:eastAsiaTheme="minorEastAsia"/>
                <w:color w:val="000000"/>
                <w:sz w:val="21"/>
                <w:szCs w:val="21"/>
              </w:rPr>
              <w:t>公示期限：</w:t>
            </w:r>
            <w:r>
              <w:rPr>
                <w:rFonts w:hint="eastAsia" w:cs="宋体" w:asciiTheme="minorEastAsia" w:hAnsiTheme="minorEastAsia" w:eastAsiaTheme="minorEastAsia"/>
                <w:color w:val="000000"/>
                <w:sz w:val="21"/>
                <w:szCs w:val="21"/>
                <w:u w:val="single"/>
                <w:lang w:val="en-US" w:eastAsia="zh-CN"/>
              </w:rPr>
              <w:t>3</w:t>
            </w:r>
            <w:r>
              <w:rPr>
                <w:rFonts w:hint="eastAsia" w:cs="宋体" w:asciiTheme="minorEastAsia" w:hAnsiTheme="minorEastAsia" w:eastAsiaTheme="minorEastAsia"/>
                <w:color w:val="000000"/>
                <w:sz w:val="21"/>
                <w:szCs w:val="21"/>
                <w:u w:val="none"/>
                <w:lang w:val="en-US" w:eastAsia="zh-CN"/>
              </w:rPr>
              <w:t>个工作日</w:t>
            </w:r>
          </w:p>
        </w:tc>
      </w:tr>
      <w:tr>
        <w:tblPrEx>
          <w:tblCellMar>
            <w:top w:w="0" w:type="dxa"/>
            <w:left w:w="108" w:type="dxa"/>
            <w:bottom w:w="0" w:type="dxa"/>
            <w:right w:w="108" w:type="dxa"/>
          </w:tblCellMar>
        </w:tblPrEx>
        <w:trPr>
          <w:trHeight w:val="34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cs="宋体" w:asciiTheme="minorEastAsia" w:hAnsiTheme="minorEastAsia" w:eastAsiaTheme="minorEastAsia"/>
                <w:color w:val="000000"/>
                <w:sz w:val="21"/>
                <w:szCs w:val="21"/>
              </w:rPr>
              <w:t>10.2</w:t>
            </w:r>
          </w:p>
        </w:tc>
        <w:tc>
          <w:tcPr>
            <w:tcW w:w="21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rPr>
            </w:pPr>
            <w:r>
              <w:rPr>
                <w:rFonts w:hint="eastAsia" w:cs="宋体" w:asciiTheme="minorEastAsia" w:hAnsiTheme="minorEastAsia" w:eastAsiaTheme="minorEastAsia"/>
                <w:color w:val="000000"/>
                <w:sz w:val="21"/>
                <w:szCs w:val="21"/>
              </w:rPr>
              <w:t>需要补充的其他内容</w:t>
            </w:r>
          </w:p>
        </w:tc>
        <w:tc>
          <w:tcPr>
            <w:tcW w:w="595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供应商提供的相关证明文件若为复印件，必须加盖单位公章。</w:t>
            </w:r>
          </w:p>
          <w:p>
            <w:pPr>
              <w:spacing w:line="288" w:lineRule="auto"/>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本项目</w:t>
            </w:r>
            <w:r>
              <w:rPr>
                <w:rFonts w:hint="eastAsia" w:ascii="宋体" w:hAnsi="宋体" w:eastAsia="宋体" w:cs="宋体"/>
                <w:b/>
                <w:bCs/>
                <w:color w:val="000000"/>
                <w:sz w:val="21"/>
                <w:szCs w:val="21"/>
                <w:highlight w:val="none"/>
                <w:lang w:eastAsia="zh-CN"/>
              </w:rPr>
              <w:t>不接受</w:t>
            </w:r>
            <w:r>
              <w:rPr>
                <w:rFonts w:hint="eastAsia" w:ascii="宋体" w:hAnsi="宋体" w:eastAsia="宋体" w:cs="宋体"/>
                <w:color w:val="000000"/>
                <w:sz w:val="21"/>
                <w:szCs w:val="21"/>
                <w:highlight w:val="none"/>
                <w:lang w:eastAsia="zh-CN"/>
              </w:rPr>
              <w:t>联合体投标。</w:t>
            </w:r>
          </w:p>
          <w:p>
            <w:pPr>
              <w:spacing w:line="288" w:lineRule="auto"/>
              <w:jc w:val="both"/>
              <w:rPr>
                <w:rFonts w:hint="eastAsia" w:ascii="宋体" w:hAnsi="宋体" w:eastAsia="宋体" w:cs="宋体"/>
                <w:b w:val="0"/>
                <w:bCs w:val="0"/>
                <w:color w:val="000000"/>
                <w:sz w:val="21"/>
                <w:szCs w:val="21"/>
              </w:rPr>
            </w:pPr>
            <w:r>
              <w:rPr>
                <w:rFonts w:hint="eastAsia" w:ascii="宋体" w:hAnsi="宋体" w:eastAsia="宋体" w:cs="宋体"/>
                <w:color w:val="000000"/>
                <w:sz w:val="21"/>
                <w:szCs w:val="21"/>
                <w:highlight w:val="none"/>
                <w:lang w:val="en-US" w:eastAsia="zh-CN"/>
              </w:rPr>
              <w:t>3.响应文件份数：</w:t>
            </w:r>
            <w:r>
              <w:rPr>
                <w:rFonts w:hint="eastAsia" w:ascii="宋体" w:hAnsi="宋体" w:eastAsia="宋体" w:cs="宋体"/>
                <w:color w:val="000000"/>
                <w:sz w:val="21"/>
                <w:szCs w:val="21"/>
                <w:highlight w:val="none"/>
                <w:u w:val="single"/>
              </w:rPr>
              <w:t>正本1份</w:t>
            </w:r>
            <w:r>
              <w:rPr>
                <w:rFonts w:hint="eastAsia" w:ascii="宋体" w:hAnsi="宋体" w:eastAsia="宋体" w:cs="宋体"/>
                <w:color w:val="000000"/>
                <w:sz w:val="21"/>
                <w:szCs w:val="21"/>
                <w:highlight w:val="none"/>
              </w:rPr>
              <w:t>，</w:t>
            </w:r>
            <w:r>
              <w:rPr>
                <w:rFonts w:hint="eastAsia" w:ascii="宋体" w:hAnsi="宋体" w:eastAsia="宋体" w:cs="宋体"/>
                <w:b w:val="0"/>
                <w:bCs w:val="0"/>
                <w:color w:val="000000"/>
                <w:sz w:val="21"/>
                <w:szCs w:val="21"/>
                <w:highlight w:val="none"/>
                <w:u w:val="single"/>
              </w:rPr>
              <w:t>副本 2 份</w:t>
            </w:r>
            <w:r>
              <w:rPr>
                <w:rFonts w:hint="eastAsia" w:ascii="宋体" w:hAnsi="宋体" w:eastAsia="宋体" w:cs="宋体"/>
                <w:color w:val="000000"/>
                <w:sz w:val="21"/>
                <w:szCs w:val="21"/>
                <w:highlight w:val="none"/>
                <w:lang w:eastAsia="zh-CN"/>
              </w:rPr>
              <w:t>。</w:t>
            </w:r>
          </w:p>
        </w:tc>
      </w:tr>
    </w:tbl>
    <w:p>
      <w:pPr>
        <w:spacing w:line="240" w:lineRule="auto"/>
        <w:jc w:val="both"/>
        <w:rPr>
          <w:rFonts w:ascii="仿宋" w:hAnsi="仿宋" w:eastAsia="仿宋" w:cs="仿宋"/>
          <w:b/>
          <w:bCs/>
          <w:sz w:val="30"/>
          <w:szCs w:val="30"/>
        </w:rPr>
      </w:pPr>
    </w:p>
    <w:p>
      <w:pPr>
        <w:spacing w:line="240" w:lineRule="auto"/>
        <w:jc w:val="center"/>
        <w:rPr>
          <w:rFonts w:hint="eastAsia" w:ascii="华文中宋" w:hAnsi="华文中宋" w:eastAsia="华文中宋" w:cs="仿宋"/>
          <w:b/>
          <w:bCs/>
          <w:sz w:val="30"/>
          <w:szCs w:val="30"/>
        </w:rPr>
      </w:pPr>
    </w:p>
    <w:p>
      <w:pPr>
        <w:spacing w:line="240" w:lineRule="auto"/>
        <w:jc w:val="center"/>
        <w:rPr>
          <w:rFonts w:hint="eastAsia" w:ascii="华文中宋" w:hAnsi="华文中宋" w:eastAsia="华文中宋" w:cs="仿宋"/>
          <w:b/>
          <w:bCs/>
          <w:sz w:val="30"/>
          <w:szCs w:val="30"/>
        </w:rPr>
      </w:pPr>
    </w:p>
    <w:p>
      <w:pPr>
        <w:spacing w:line="240" w:lineRule="auto"/>
        <w:jc w:val="left"/>
        <w:rPr>
          <w:rFonts w:hint="eastAsia" w:ascii="华文中宋" w:hAnsi="华文中宋" w:eastAsia="华文中宋" w:cs="仿宋"/>
          <w:b/>
          <w:bCs/>
          <w:sz w:val="30"/>
          <w:szCs w:val="30"/>
        </w:rPr>
      </w:pPr>
      <w:r>
        <w:rPr>
          <w:rFonts w:hint="eastAsia" w:ascii="华文中宋" w:hAnsi="华文中宋" w:eastAsia="华文中宋" w:cs="仿宋"/>
          <w:b/>
          <w:bCs/>
          <w:sz w:val="30"/>
          <w:szCs w:val="30"/>
        </w:rPr>
        <w:br w:type="page"/>
      </w:r>
    </w:p>
    <w:p>
      <w:pPr>
        <w:spacing w:line="240" w:lineRule="auto"/>
        <w:jc w:val="center"/>
        <w:rPr>
          <w:rFonts w:ascii="仿宋" w:hAnsi="仿宋" w:eastAsia="仿宋" w:cs="仿宋"/>
          <w:sz w:val="30"/>
          <w:szCs w:val="30"/>
        </w:rPr>
      </w:pPr>
      <w:r>
        <w:rPr>
          <w:rFonts w:hint="eastAsia" w:ascii="华文中宋" w:hAnsi="华文中宋" w:eastAsia="华文中宋" w:cs="仿宋"/>
          <w:b/>
          <w:bCs/>
          <w:sz w:val="30"/>
          <w:szCs w:val="30"/>
        </w:rPr>
        <w:t>第二</w:t>
      </w:r>
      <w:r>
        <w:rPr>
          <w:rFonts w:hint="eastAsia" w:ascii="华文中宋" w:hAnsi="华文中宋" w:eastAsia="华文中宋" w:cs="仿宋"/>
          <w:b/>
          <w:bCs/>
          <w:sz w:val="30"/>
          <w:szCs w:val="30"/>
          <w:lang w:val="en-US" w:eastAsia="zh-CN"/>
        </w:rPr>
        <w:t>节</w:t>
      </w:r>
      <w:r>
        <w:rPr>
          <w:rFonts w:hint="eastAsia" w:ascii="华文中宋" w:hAnsi="华文中宋" w:eastAsia="华文中宋" w:cs="仿宋"/>
          <w:b/>
          <w:bCs/>
          <w:sz w:val="30"/>
          <w:szCs w:val="30"/>
        </w:rPr>
        <w:t xml:space="preserve"> 供应商须知正文</w:t>
      </w:r>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69"/>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63"/>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63"/>
        <w:spacing w:line="312"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63"/>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pStyle w:val="63"/>
        <w:spacing w:line="312" w:lineRule="auto"/>
        <w:ind w:firstLine="453" w:firstLineChars="189"/>
        <w:rPr>
          <w:rFonts w:hAnsi="宋体" w:eastAsia="宋体" w:cs="仿宋"/>
          <w:sz w:val="24"/>
          <w:szCs w:val="24"/>
        </w:rPr>
      </w:pPr>
      <w:r>
        <w:rPr>
          <w:rFonts w:hint="eastAsia" w:hAnsi="宋体" w:eastAsia="宋体" w:cs="仿宋"/>
          <w:sz w:val="24"/>
          <w:szCs w:val="24"/>
        </w:rPr>
        <w:t>最低价法，是指在资质、业绩、信誉等条件均满足询价文件要求的前提下，按单项或总价价格最低原则确定成交供应商。包括同质比价法和同价比质法。</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sz w:val="24"/>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w:t>
      </w:r>
      <w:r>
        <w:rPr>
          <w:rFonts w:hint="eastAsia" w:ascii="宋体" w:hAnsi="宋体" w:cs="仿宋"/>
          <w:b/>
          <w:bCs/>
          <w:sz w:val="24"/>
          <w:lang w:eastAsia="zh-CN"/>
        </w:rPr>
        <w:t>本项目不允许分包</w:t>
      </w:r>
      <w:r>
        <w:rPr>
          <w:rFonts w:hint="eastAsia" w:ascii="宋体" w:hAnsi="宋体" w:cs="仿宋"/>
          <w:b/>
          <w:bCs/>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sz w:val="24"/>
        </w:rPr>
        <w:t xml:space="preserve"> </w:t>
      </w:r>
      <w:r>
        <w:rPr>
          <w:rFonts w:hint="eastAsia" w:ascii="宋体" w:hAnsi="宋体" w:cs="仿宋"/>
          <w:color w:val="auto"/>
          <w:sz w:val="24"/>
        </w:rPr>
        <w:t>(1)响应函;</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 xml:space="preserve"> (2)授权委托书(如有);</w:t>
      </w:r>
    </w:p>
    <w:p>
      <w:pPr>
        <w:adjustRightInd w:val="0"/>
        <w:snapToGrid w:val="0"/>
        <w:spacing w:line="312" w:lineRule="auto"/>
        <w:ind w:firstLine="453" w:firstLineChars="189"/>
        <w:jc w:val="both"/>
        <w:rPr>
          <w:rFonts w:hint="eastAsia" w:ascii="宋体" w:hAnsi="宋体" w:cs="仿宋"/>
          <w:color w:val="auto"/>
          <w:sz w:val="24"/>
        </w:rPr>
      </w:pPr>
      <w:r>
        <w:rPr>
          <w:rFonts w:hint="eastAsia" w:ascii="宋体" w:hAnsi="宋体" w:cs="仿宋"/>
          <w:color w:val="auto"/>
          <w:sz w:val="24"/>
        </w:rPr>
        <w:t xml:space="preserve"> (</w:t>
      </w:r>
      <w:r>
        <w:rPr>
          <w:rFonts w:hint="eastAsia" w:ascii="宋体" w:hAnsi="宋体" w:cs="仿宋"/>
          <w:color w:val="auto"/>
          <w:sz w:val="24"/>
          <w:lang w:val="en-US" w:eastAsia="zh-CN"/>
        </w:rPr>
        <w:t>3</w:t>
      </w:r>
      <w:r>
        <w:rPr>
          <w:rFonts w:hint="eastAsia" w:ascii="宋体" w:hAnsi="宋体" w:cs="仿宋"/>
          <w:color w:val="auto"/>
          <w:sz w:val="24"/>
        </w:rPr>
        <w:t>)商务和技术偏差表;</w:t>
      </w:r>
    </w:p>
    <w:p>
      <w:pPr>
        <w:adjustRightInd w:val="0"/>
        <w:snapToGrid w:val="0"/>
        <w:spacing w:line="312" w:lineRule="auto"/>
        <w:ind w:firstLine="453" w:firstLineChars="189"/>
        <w:jc w:val="both"/>
        <w:rPr>
          <w:rFonts w:hint="default" w:ascii="宋体" w:hAnsi="宋体" w:cs="仿宋"/>
          <w:color w:val="auto"/>
          <w:sz w:val="24"/>
        </w:rPr>
      </w:pPr>
      <w:r>
        <w:rPr>
          <w:rFonts w:hint="eastAsia" w:ascii="宋体" w:hAnsi="宋体" w:cs="仿宋"/>
          <w:color w:val="auto"/>
          <w:sz w:val="24"/>
          <w:lang w:val="en-US" w:eastAsia="zh-CN"/>
        </w:rPr>
        <w:t xml:space="preserve"> </w:t>
      </w:r>
      <w:r>
        <w:rPr>
          <w:rFonts w:hint="eastAsia" w:ascii="宋体" w:hAnsi="宋体" w:cs="仿宋"/>
          <w:color w:val="auto"/>
          <w:sz w:val="24"/>
        </w:rPr>
        <w:t>(</w:t>
      </w:r>
      <w:r>
        <w:rPr>
          <w:rFonts w:hint="eastAsia" w:ascii="宋体" w:hAnsi="宋体" w:cs="仿宋"/>
          <w:color w:val="auto"/>
          <w:sz w:val="24"/>
          <w:lang w:val="en-US" w:eastAsia="zh-CN"/>
        </w:rPr>
        <w:t>4</w:t>
      </w:r>
      <w:r>
        <w:rPr>
          <w:rFonts w:hint="eastAsia" w:ascii="宋体" w:hAnsi="宋体" w:cs="仿宋"/>
          <w:color w:val="auto"/>
          <w:sz w:val="24"/>
        </w:rPr>
        <w:t>)</w:t>
      </w:r>
      <w:r>
        <w:rPr>
          <w:rFonts w:hint="eastAsia" w:ascii="宋体" w:hAnsi="宋体" w:cs="仿宋"/>
          <w:color w:val="auto"/>
          <w:sz w:val="24"/>
          <w:lang w:val="en-US" w:eastAsia="zh-CN"/>
        </w:rPr>
        <w:t>报价</w:t>
      </w:r>
      <w:r>
        <w:rPr>
          <w:rFonts w:hint="eastAsia" w:ascii="宋体" w:hAnsi="宋体" w:cs="仿宋"/>
          <w:color w:val="auto"/>
          <w:sz w:val="24"/>
        </w:rPr>
        <w:t>表;</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 xml:space="preserve"> (</w:t>
      </w:r>
      <w:r>
        <w:rPr>
          <w:rFonts w:hint="eastAsia" w:ascii="宋体" w:hAnsi="宋体" w:cs="仿宋"/>
          <w:color w:val="auto"/>
          <w:sz w:val="24"/>
          <w:lang w:val="en-US" w:eastAsia="zh-CN"/>
        </w:rPr>
        <w:t>5</w:t>
      </w:r>
      <w:r>
        <w:rPr>
          <w:rFonts w:hint="eastAsia" w:ascii="宋体" w:hAnsi="宋体" w:cs="仿宋"/>
          <w:color w:val="auto"/>
          <w:sz w:val="24"/>
        </w:rPr>
        <w:t>)资格审查资料;</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 xml:space="preserve"> (</w:t>
      </w:r>
      <w:r>
        <w:rPr>
          <w:rFonts w:hint="eastAsia" w:ascii="宋体" w:hAnsi="宋体" w:cs="仿宋"/>
          <w:color w:val="auto"/>
          <w:sz w:val="24"/>
          <w:lang w:val="en-US" w:eastAsia="zh-CN"/>
        </w:rPr>
        <w:t>6</w:t>
      </w:r>
      <w:r>
        <w:rPr>
          <w:rFonts w:hint="eastAsia" w:ascii="宋体" w:hAnsi="宋体" w:cs="仿宋"/>
          <w:color w:val="auto"/>
          <w:sz w:val="24"/>
        </w:rPr>
        <w:t>)响应方案;</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 xml:space="preserve"> (</w:t>
      </w:r>
      <w:r>
        <w:rPr>
          <w:rFonts w:hint="eastAsia" w:ascii="宋体" w:hAnsi="宋体" w:cs="仿宋"/>
          <w:color w:val="auto"/>
          <w:sz w:val="24"/>
          <w:lang w:val="en-US" w:eastAsia="zh-CN"/>
        </w:rPr>
        <w:t>7</w:t>
      </w:r>
      <w:r>
        <w:rPr>
          <w:rFonts w:hint="eastAsia" w:ascii="宋体" w:hAnsi="宋体" w:cs="仿宋"/>
          <w:color w:val="auto"/>
          <w:sz w:val="24"/>
        </w:rPr>
        <w:t>)供应商须知前附表规定的其他资料。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hint="eastAsia" w:ascii="宋体" w:hAnsi="宋体" w:cs="仿宋"/>
          <w:b/>
          <w:bCs/>
          <w:sz w:val="24"/>
        </w:rPr>
      </w:pPr>
      <w:r>
        <w:rPr>
          <w:rFonts w:hint="eastAsia" w:ascii="宋体" w:hAnsi="宋体" w:cs="仿宋"/>
          <w:sz w:val="24"/>
        </w:rPr>
        <w:t>3.1.2供应商的法定代表人(单位负责人)亲自签署响应文件、亲自参加采购的，响应文件不包括第3.1.1(2)目所指的授权委托书。</w:t>
      </w:r>
    </w:p>
    <w:p>
      <w:pPr>
        <w:adjustRightInd w:val="0"/>
        <w:snapToGrid w:val="0"/>
        <w:spacing w:line="312" w:lineRule="auto"/>
        <w:jc w:val="both"/>
        <w:rPr>
          <w:rFonts w:ascii="宋体" w:hAnsi="宋体" w:cs="仿宋"/>
          <w:b/>
          <w:bCs/>
          <w:color w:val="auto"/>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拒绝延长的，其响应文件在原有效期届满后失效，但供应商有权收回其响应保证金。</w:t>
      </w:r>
    </w:p>
    <w:p>
      <w:pPr>
        <w:adjustRightInd w:val="0"/>
        <w:snapToGrid w:val="0"/>
        <w:spacing w:line="312" w:lineRule="auto"/>
        <w:jc w:val="both"/>
        <w:rPr>
          <w:rFonts w:hint="eastAsia" w:ascii="宋体" w:hAnsi="宋体" w:eastAsia="宋体" w:cs="仿宋"/>
          <w:b/>
          <w:bCs/>
          <w:sz w:val="24"/>
          <w:lang w:eastAsia="zh-CN"/>
        </w:rPr>
      </w:pPr>
      <w:r>
        <w:rPr>
          <w:rFonts w:hint="eastAsia" w:ascii="宋体" w:hAnsi="宋体" w:cs="仿宋"/>
          <w:b/>
          <w:bCs/>
          <w:sz w:val="24"/>
        </w:rPr>
        <w:t>3.4响应保证金</w:t>
      </w:r>
      <w:r>
        <w:rPr>
          <w:rFonts w:hint="eastAsia" w:ascii="宋体" w:hAnsi="宋体" w:cs="仿宋"/>
          <w:b/>
          <w:bCs/>
          <w:sz w:val="24"/>
          <w:lang w:eastAsia="zh-CN"/>
        </w:rPr>
        <w:t>（本项目不提交响应保证金）</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w:t>
      </w:r>
      <w:r>
        <w:rPr>
          <w:rFonts w:hint="eastAsia" w:ascii="宋体" w:hAnsi="宋体" w:cs="仿宋"/>
          <w:sz w:val="24"/>
          <w:lang w:val="en-US" w:eastAsia="zh-CN"/>
        </w:rPr>
        <w:t>8</w:t>
      </w:r>
      <w:r>
        <w:rPr>
          <w:rFonts w:hint="eastAsia" w:ascii="宋体" w:hAnsi="宋体" w:cs="仿宋"/>
          <w:sz w:val="24"/>
        </w:rPr>
        <w:t>)中规定的资格审查资料，以证明其满足第一章“采购公告”对供应商的各项资格要求。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w:t>
      </w:r>
      <w:r>
        <w:rPr>
          <w:rFonts w:hint="eastAsia" w:ascii="宋体" w:hAnsi="宋体" w:cs="仿宋"/>
          <w:sz w:val="24"/>
          <w:lang w:val="en-US" w:eastAsia="zh-CN"/>
        </w:rPr>
        <w:t>予</w:t>
      </w:r>
      <w:r>
        <w:rPr>
          <w:rFonts w:hint="eastAsia" w:ascii="宋体" w:hAnsi="宋体" w:cs="仿宋"/>
          <w:sz w:val="24"/>
        </w:rPr>
        <w:t>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color w:val="auto"/>
          <w:sz w:val="24"/>
        </w:rPr>
      </w:pPr>
      <w:r>
        <w:rPr>
          <w:rFonts w:hint="eastAsia" w:ascii="宋体" w:hAnsi="宋体" w:cs="仿宋"/>
          <w:b/>
          <w:sz w:val="24"/>
        </w:rPr>
        <w:t>采购人一般不公开开启响应文件。</w:t>
      </w:r>
      <w:r>
        <w:rPr>
          <w:rFonts w:hint="eastAsia" w:ascii="宋体" w:hAnsi="宋体" w:cs="仿宋"/>
          <w:b w:val="0"/>
          <w:sz w:val="24"/>
        </w:rPr>
        <w:t>如</w:t>
      </w:r>
      <w:r>
        <w:rPr>
          <w:rFonts w:hint="eastAsia" w:ascii="宋体" w:hAnsi="宋体" w:cs="仿宋"/>
          <w:sz w:val="24"/>
        </w:rPr>
        <w:t>供应商须知前附表规定公开开启响应文件的，开启活动应按</w:t>
      </w:r>
      <w:r>
        <w:rPr>
          <w:rFonts w:hint="eastAsia" w:ascii="宋体" w:hAnsi="宋体" w:cs="仿宋"/>
          <w:color w:val="auto"/>
          <w:sz w:val="24"/>
        </w:rPr>
        <w:t>本条规定执行。</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5.1开启响应文件的时间和地点</w:t>
      </w:r>
    </w:p>
    <w:p>
      <w:pPr>
        <w:adjustRightInd w:val="0"/>
        <w:snapToGrid w:val="0"/>
        <w:spacing w:line="312" w:lineRule="auto"/>
        <w:ind w:firstLine="453" w:firstLineChars="189"/>
        <w:jc w:val="both"/>
        <w:rPr>
          <w:rFonts w:hint="eastAsia" w:ascii="宋体" w:hAnsi="宋体" w:eastAsia="宋体" w:cs="仿宋"/>
          <w:color w:val="auto"/>
          <w:sz w:val="24"/>
          <w:lang w:eastAsia="zh-CN"/>
        </w:rPr>
      </w:pPr>
      <w:r>
        <w:rPr>
          <w:rFonts w:hint="eastAsia" w:ascii="宋体" w:hAnsi="宋体" w:cs="仿宋"/>
          <w:color w:val="auto"/>
          <w:sz w:val="24"/>
        </w:rPr>
        <w:t>采购人在本章第4.2.1项规定的递交响应文件的截止时间和地点公开开启响应文件</w:t>
      </w:r>
      <w:r>
        <w:rPr>
          <w:rFonts w:hint="eastAsia" w:ascii="宋体" w:hAnsi="宋体" w:cs="仿宋"/>
          <w:color w:val="auto"/>
          <w:sz w:val="24"/>
          <w:lang w:eastAsia="zh-CN"/>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hint="eastAsia" w:ascii="宋体" w:hAnsi="宋体" w:eastAsia="宋体" w:cs="仿宋"/>
          <w:sz w:val="24"/>
          <w:lang w:eastAsia="zh-CN"/>
        </w:rPr>
      </w:pPr>
      <w:r>
        <w:rPr>
          <w:rFonts w:hint="eastAsia" w:ascii="宋体" w:hAnsi="宋体" w:cs="仿宋"/>
          <w:sz w:val="24"/>
        </w:rPr>
        <w:t>(2)开启会议结束。</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0" w:leftChars="0" w:firstLine="480" w:firstLineChars="200"/>
        <w:jc w:val="both"/>
        <w:rPr>
          <w:rFonts w:hint="eastAsia" w:ascii="宋体" w:hAnsi="宋体" w:eastAsia="宋体" w:cs="仿宋"/>
          <w:sz w:val="24"/>
          <w:lang w:eastAsia="zh-CN"/>
        </w:rPr>
      </w:pPr>
      <w:r>
        <w:rPr>
          <w:rFonts w:hint="eastAsia" w:ascii="宋体" w:hAnsi="宋体" w:cs="仿宋"/>
          <w:sz w:val="24"/>
          <w:lang w:eastAsia="zh-CN"/>
        </w:rPr>
        <w:t>（</w:t>
      </w:r>
      <w:r>
        <w:rPr>
          <w:rFonts w:hint="eastAsia" w:ascii="宋体" w:hAnsi="宋体" w:cs="仿宋"/>
          <w:sz w:val="24"/>
        </w:rPr>
        <w:t>1）供应商主要负责人或供应商主要负责人的近亲属;</w:t>
      </w:r>
    </w:p>
    <w:p>
      <w:pPr>
        <w:adjustRightInd w:val="0"/>
        <w:snapToGrid w:val="0"/>
        <w:spacing w:line="312" w:lineRule="auto"/>
        <w:ind w:left="0" w:leftChars="0" w:firstLine="480" w:firstLineChars="20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r>
        <w:rPr>
          <w:rFonts w:hint="eastAsia" w:ascii="宋体" w:hAnsi="宋体" w:cs="宋体"/>
          <w:b/>
          <w:bCs/>
          <w:sz w:val="24"/>
        </w:rPr>
        <w:t xml:space="preserve">7.3成交结果异议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color w:val="auto"/>
          <w:sz w:val="24"/>
        </w:rPr>
      </w:pPr>
      <w:r>
        <w:rPr>
          <w:rFonts w:hint="eastAsia" w:ascii="宋体" w:hAnsi="宋体" w:cs="仿宋"/>
          <w:sz w:val="24"/>
        </w:rPr>
        <w:t>7.7.2发出成交通知书后，采购人无正当理由拒绝签订合同，或者在签订合同时向成交供应商提出附加条件的</w:t>
      </w:r>
      <w:r>
        <w:rPr>
          <w:rFonts w:hint="eastAsia" w:ascii="宋体" w:hAnsi="宋体" w:cs="仿宋"/>
          <w:color w:val="auto"/>
          <w:sz w:val="24"/>
        </w:rPr>
        <w:t>，采购人向成交供应商退还响应保证金；给成交供应商造成损失的，还应当赔偿损失。</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7.</w:t>
      </w:r>
      <w:r>
        <w:rPr>
          <w:rFonts w:ascii="宋体" w:hAnsi="宋体" w:cs="仿宋"/>
          <w:b/>
          <w:bCs/>
          <w:color w:val="auto"/>
          <w:sz w:val="24"/>
        </w:rPr>
        <w:t>8</w:t>
      </w:r>
      <w:r>
        <w:rPr>
          <w:rFonts w:hint="eastAsia" w:ascii="宋体" w:hAnsi="宋体" w:cs="仿宋"/>
          <w:b/>
          <w:bCs/>
          <w:color w:val="auto"/>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color w:val="auto"/>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w:t>
      </w:r>
      <w:r>
        <w:rPr>
          <w:rFonts w:hint="eastAsia" w:ascii="宋体" w:hAnsi="宋体" w:cs="仿宋"/>
          <w:sz w:val="24"/>
        </w:rPr>
        <w:t>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sz w:val="24"/>
        </w:rPr>
      </w:pPr>
      <w:r>
        <w:rPr>
          <w:rFonts w:hint="eastAsia" w:ascii="宋体" w:hAnsi="宋体" w:cs="仿宋"/>
          <w:b/>
          <w:bCs/>
          <w:sz w:val="24"/>
        </w:rPr>
        <w:t>10.2其他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adjustRightInd w:val="0"/>
        <w:snapToGrid w:val="0"/>
        <w:spacing w:line="312" w:lineRule="auto"/>
        <w:jc w:val="both"/>
        <w:rPr>
          <w:rFonts w:ascii="宋体" w:hAnsi="宋体" w:cs="仿宋"/>
          <w:sz w:val="24"/>
        </w:rPr>
      </w:pPr>
    </w:p>
    <w:p>
      <w:pPr>
        <w:adjustRightInd w:val="0"/>
        <w:snapToGrid w:val="0"/>
        <w:spacing w:line="312" w:lineRule="auto"/>
        <w:ind w:firstLine="453" w:firstLineChars="189"/>
        <w:jc w:val="both"/>
        <w:rPr>
          <w:rFonts w:ascii="宋体" w:hAnsi="宋体" w:cs="仿宋"/>
          <w:sz w:val="24"/>
        </w:rPr>
      </w:pPr>
    </w:p>
    <w:p>
      <w:pPr>
        <w:spacing w:line="312"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38"/>
        <w:tblW w:w="4795"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2370"/>
        <w:gridCol w:w="1971"/>
        <w:gridCol w:w="1880"/>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53"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42"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（供应商须知前附表规定的其他应公布的信息）</w:t>
            </w:r>
          </w:p>
        </w:tc>
        <w:tc>
          <w:tcPr>
            <w:tcW w:w="994"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6"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2" w:type="pct"/>
            <w:vAlign w:val="center"/>
          </w:tcPr>
          <w:p>
            <w:pPr>
              <w:widowControl w:val="0"/>
              <w:spacing w:line="240" w:lineRule="auto"/>
              <w:jc w:val="both"/>
              <w:rPr>
                <w:rFonts w:cs="仿宋" w:asciiTheme="minorEastAsia" w:hAnsiTheme="minorEastAsia" w:eastAsiaTheme="minorEastAsia"/>
                <w:sz w:val="24"/>
              </w:rPr>
            </w:pPr>
          </w:p>
        </w:tc>
        <w:tc>
          <w:tcPr>
            <w:tcW w:w="1253" w:type="pct"/>
            <w:vAlign w:val="center"/>
          </w:tcPr>
          <w:p>
            <w:pPr>
              <w:widowControl w:val="0"/>
              <w:spacing w:line="240" w:lineRule="auto"/>
              <w:jc w:val="both"/>
              <w:rPr>
                <w:rFonts w:cs="仿宋" w:asciiTheme="minorEastAsia" w:hAnsiTheme="minorEastAsia" w:eastAsiaTheme="minorEastAsia"/>
                <w:sz w:val="24"/>
              </w:rPr>
            </w:pPr>
          </w:p>
        </w:tc>
        <w:tc>
          <w:tcPr>
            <w:tcW w:w="1042" w:type="pct"/>
            <w:vAlign w:val="center"/>
          </w:tcPr>
          <w:p>
            <w:pPr>
              <w:widowControl w:val="0"/>
              <w:spacing w:line="240" w:lineRule="auto"/>
              <w:jc w:val="both"/>
              <w:rPr>
                <w:rFonts w:cs="仿宋" w:asciiTheme="minorEastAsia" w:hAnsiTheme="minorEastAsia" w:eastAsiaTheme="minorEastAsia"/>
                <w:sz w:val="24"/>
              </w:rPr>
            </w:pPr>
          </w:p>
        </w:tc>
        <w:tc>
          <w:tcPr>
            <w:tcW w:w="994" w:type="pct"/>
            <w:vAlign w:val="center"/>
          </w:tcPr>
          <w:p>
            <w:pPr>
              <w:widowControl w:val="0"/>
              <w:spacing w:line="240" w:lineRule="auto"/>
              <w:jc w:val="both"/>
              <w:rPr>
                <w:rFonts w:cs="仿宋" w:asciiTheme="minorEastAsia" w:hAnsiTheme="minorEastAsia" w:eastAsiaTheme="minorEastAsia"/>
                <w:sz w:val="24"/>
              </w:rPr>
            </w:pPr>
          </w:p>
        </w:tc>
        <w:tc>
          <w:tcPr>
            <w:tcW w:w="1026"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2" w:type="pct"/>
            <w:vAlign w:val="center"/>
          </w:tcPr>
          <w:p>
            <w:pPr>
              <w:widowControl w:val="0"/>
              <w:spacing w:line="240" w:lineRule="auto"/>
              <w:jc w:val="both"/>
              <w:rPr>
                <w:rFonts w:cs="仿宋" w:asciiTheme="minorEastAsia" w:hAnsiTheme="minorEastAsia" w:eastAsiaTheme="minorEastAsia"/>
                <w:sz w:val="24"/>
              </w:rPr>
            </w:pPr>
          </w:p>
        </w:tc>
        <w:tc>
          <w:tcPr>
            <w:tcW w:w="1253" w:type="pct"/>
            <w:vAlign w:val="center"/>
          </w:tcPr>
          <w:p>
            <w:pPr>
              <w:widowControl w:val="0"/>
              <w:spacing w:line="240" w:lineRule="auto"/>
              <w:jc w:val="both"/>
              <w:rPr>
                <w:rFonts w:cs="仿宋" w:asciiTheme="minorEastAsia" w:hAnsiTheme="minorEastAsia" w:eastAsiaTheme="minorEastAsia"/>
                <w:sz w:val="24"/>
              </w:rPr>
            </w:pPr>
          </w:p>
        </w:tc>
        <w:tc>
          <w:tcPr>
            <w:tcW w:w="1042" w:type="pct"/>
            <w:vAlign w:val="center"/>
          </w:tcPr>
          <w:p>
            <w:pPr>
              <w:widowControl w:val="0"/>
              <w:spacing w:line="240" w:lineRule="auto"/>
              <w:jc w:val="both"/>
              <w:rPr>
                <w:rFonts w:cs="仿宋" w:asciiTheme="minorEastAsia" w:hAnsiTheme="minorEastAsia" w:eastAsiaTheme="minorEastAsia"/>
                <w:sz w:val="24"/>
              </w:rPr>
            </w:pPr>
          </w:p>
        </w:tc>
        <w:tc>
          <w:tcPr>
            <w:tcW w:w="994" w:type="pct"/>
            <w:vAlign w:val="center"/>
          </w:tcPr>
          <w:p>
            <w:pPr>
              <w:widowControl w:val="0"/>
              <w:spacing w:line="240" w:lineRule="auto"/>
              <w:jc w:val="both"/>
              <w:rPr>
                <w:rFonts w:cs="仿宋" w:asciiTheme="minorEastAsia" w:hAnsiTheme="minorEastAsia" w:eastAsiaTheme="minorEastAsia"/>
                <w:sz w:val="24"/>
              </w:rPr>
            </w:pPr>
          </w:p>
        </w:tc>
        <w:tc>
          <w:tcPr>
            <w:tcW w:w="1026"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2" w:type="pct"/>
            <w:vAlign w:val="center"/>
          </w:tcPr>
          <w:p>
            <w:pPr>
              <w:widowControl w:val="0"/>
              <w:spacing w:line="240" w:lineRule="auto"/>
              <w:jc w:val="both"/>
              <w:rPr>
                <w:rFonts w:cs="仿宋" w:asciiTheme="minorEastAsia" w:hAnsiTheme="minorEastAsia" w:eastAsiaTheme="minorEastAsia"/>
                <w:sz w:val="24"/>
              </w:rPr>
            </w:pPr>
          </w:p>
        </w:tc>
        <w:tc>
          <w:tcPr>
            <w:tcW w:w="1253" w:type="pct"/>
            <w:vAlign w:val="center"/>
          </w:tcPr>
          <w:p>
            <w:pPr>
              <w:widowControl w:val="0"/>
              <w:spacing w:line="240" w:lineRule="auto"/>
              <w:jc w:val="both"/>
              <w:rPr>
                <w:rFonts w:cs="仿宋" w:asciiTheme="minorEastAsia" w:hAnsiTheme="minorEastAsia" w:eastAsiaTheme="minorEastAsia"/>
                <w:sz w:val="24"/>
              </w:rPr>
            </w:pPr>
          </w:p>
        </w:tc>
        <w:tc>
          <w:tcPr>
            <w:tcW w:w="1042" w:type="pct"/>
            <w:vAlign w:val="center"/>
          </w:tcPr>
          <w:p>
            <w:pPr>
              <w:widowControl w:val="0"/>
              <w:spacing w:line="240" w:lineRule="auto"/>
              <w:jc w:val="both"/>
              <w:rPr>
                <w:rFonts w:cs="仿宋" w:asciiTheme="minorEastAsia" w:hAnsiTheme="minorEastAsia" w:eastAsiaTheme="minorEastAsia"/>
                <w:sz w:val="24"/>
              </w:rPr>
            </w:pPr>
          </w:p>
        </w:tc>
        <w:tc>
          <w:tcPr>
            <w:tcW w:w="994" w:type="pct"/>
            <w:vAlign w:val="center"/>
          </w:tcPr>
          <w:p>
            <w:pPr>
              <w:widowControl w:val="0"/>
              <w:spacing w:line="240" w:lineRule="auto"/>
              <w:jc w:val="both"/>
              <w:rPr>
                <w:rFonts w:cs="仿宋" w:asciiTheme="minorEastAsia" w:hAnsiTheme="minorEastAsia" w:eastAsiaTheme="minorEastAsia"/>
                <w:sz w:val="24"/>
              </w:rPr>
            </w:pPr>
          </w:p>
        </w:tc>
        <w:tc>
          <w:tcPr>
            <w:tcW w:w="1026"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2" w:type="pct"/>
            <w:vAlign w:val="center"/>
          </w:tcPr>
          <w:p>
            <w:pPr>
              <w:widowControl w:val="0"/>
              <w:spacing w:line="240" w:lineRule="auto"/>
              <w:jc w:val="both"/>
              <w:rPr>
                <w:rFonts w:cs="仿宋" w:asciiTheme="minorEastAsia" w:hAnsiTheme="minorEastAsia" w:eastAsiaTheme="minorEastAsia"/>
                <w:sz w:val="24"/>
              </w:rPr>
            </w:pPr>
          </w:p>
        </w:tc>
        <w:tc>
          <w:tcPr>
            <w:tcW w:w="1253" w:type="pct"/>
            <w:vAlign w:val="center"/>
          </w:tcPr>
          <w:p>
            <w:pPr>
              <w:widowControl w:val="0"/>
              <w:spacing w:line="240" w:lineRule="auto"/>
              <w:jc w:val="both"/>
              <w:rPr>
                <w:rFonts w:cs="仿宋" w:asciiTheme="minorEastAsia" w:hAnsiTheme="minorEastAsia" w:eastAsiaTheme="minorEastAsia"/>
                <w:sz w:val="24"/>
              </w:rPr>
            </w:pPr>
          </w:p>
        </w:tc>
        <w:tc>
          <w:tcPr>
            <w:tcW w:w="1042" w:type="pct"/>
            <w:vAlign w:val="center"/>
          </w:tcPr>
          <w:p>
            <w:pPr>
              <w:widowControl w:val="0"/>
              <w:spacing w:line="240" w:lineRule="auto"/>
              <w:jc w:val="both"/>
              <w:rPr>
                <w:rFonts w:cs="仿宋" w:asciiTheme="minorEastAsia" w:hAnsiTheme="minorEastAsia" w:eastAsiaTheme="minorEastAsia"/>
                <w:sz w:val="24"/>
              </w:rPr>
            </w:pPr>
          </w:p>
        </w:tc>
        <w:tc>
          <w:tcPr>
            <w:tcW w:w="994" w:type="pct"/>
            <w:vAlign w:val="center"/>
          </w:tcPr>
          <w:p>
            <w:pPr>
              <w:widowControl w:val="0"/>
              <w:spacing w:line="240" w:lineRule="auto"/>
              <w:jc w:val="both"/>
              <w:rPr>
                <w:rFonts w:cs="仿宋" w:asciiTheme="minorEastAsia" w:hAnsiTheme="minorEastAsia" w:eastAsiaTheme="minorEastAsia"/>
                <w:sz w:val="24"/>
              </w:rPr>
            </w:pPr>
          </w:p>
        </w:tc>
        <w:tc>
          <w:tcPr>
            <w:tcW w:w="1026"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2" w:type="pct"/>
            <w:vAlign w:val="center"/>
          </w:tcPr>
          <w:p>
            <w:pPr>
              <w:widowControl w:val="0"/>
              <w:spacing w:line="240" w:lineRule="auto"/>
              <w:jc w:val="both"/>
              <w:rPr>
                <w:rFonts w:cs="仿宋" w:asciiTheme="minorEastAsia" w:hAnsiTheme="minorEastAsia" w:eastAsiaTheme="minorEastAsia"/>
                <w:sz w:val="24"/>
              </w:rPr>
            </w:pPr>
          </w:p>
        </w:tc>
        <w:tc>
          <w:tcPr>
            <w:tcW w:w="1253" w:type="pct"/>
            <w:vAlign w:val="center"/>
          </w:tcPr>
          <w:p>
            <w:pPr>
              <w:widowControl w:val="0"/>
              <w:spacing w:line="240" w:lineRule="auto"/>
              <w:jc w:val="both"/>
              <w:rPr>
                <w:rFonts w:cs="仿宋" w:asciiTheme="minorEastAsia" w:hAnsiTheme="minorEastAsia" w:eastAsiaTheme="minorEastAsia"/>
                <w:sz w:val="24"/>
              </w:rPr>
            </w:pPr>
          </w:p>
        </w:tc>
        <w:tc>
          <w:tcPr>
            <w:tcW w:w="1042" w:type="pct"/>
            <w:vAlign w:val="center"/>
          </w:tcPr>
          <w:p>
            <w:pPr>
              <w:widowControl w:val="0"/>
              <w:spacing w:line="240" w:lineRule="auto"/>
              <w:jc w:val="both"/>
              <w:rPr>
                <w:rFonts w:cs="仿宋" w:asciiTheme="minorEastAsia" w:hAnsiTheme="minorEastAsia" w:eastAsiaTheme="minorEastAsia"/>
                <w:sz w:val="24"/>
              </w:rPr>
            </w:pPr>
          </w:p>
        </w:tc>
        <w:tc>
          <w:tcPr>
            <w:tcW w:w="994" w:type="pct"/>
            <w:vAlign w:val="center"/>
          </w:tcPr>
          <w:p>
            <w:pPr>
              <w:widowControl w:val="0"/>
              <w:spacing w:line="240" w:lineRule="auto"/>
              <w:jc w:val="both"/>
              <w:rPr>
                <w:rFonts w:cs="仿宋" w:asciiTheme="minorEastAsia" w:hAnsiTheme="minorEastAsia" w:eastAsiaTheme="minorEastAsia"/>
                <w:sz w:val="24"/>
              </w:rPr>
            </w:pPr>
          </w:p>
        </w:tc>
        <w:tc>
          <w:tcPr>
            <w:tcW w:w="1026" w:type="pct"/>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w:t>
      </w:r>
      <w:r>
        <w:rPr>
          <w:rFonts w:hint="eastAsia" w:ascii="宋体" w:hAnsi="宋体" w:cs="仿宋"/>
          <w:sz w:val="30"/>
          <w:szCs w:val="30"/>
          <w:lang w:val="en-US" w:eastAsia="zh-CN"/>
        </w:rPr>
        <w:t>2</w:t>
      </w:r>
      <w:r>
        <w:rPr>
          <w:rFonts w:hint="eastAsia" w:ascii="宋体" w:hAnsi="宋体" w:cs="仿宋"/>
          <w:sz w:val="30"/>
          <w:szCs w:val="30"/>
        </w:rPr>
        <w:t xml:space="preserve">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adjustRightInd/>
        <w:snapToGrid/>
        <w:spacing w:line="600" w:lineRule="exact"/>
        <w:ind w:firstLine="5570" w:firstLineChars="2321"/>
        <w:jc w:val="both"/>
        <w:rPr>
          <w:rFonts w:ascii="仿宋" w:hAnsi="仿宋" w:eastAsia="仿宋" w:cs="仿宋"/>
          <w:sz w:val="30"/>
          <w:szCs w:val="30"/>
        </w:rPr>
      </w:pP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w:t>
      </w:r>
      <w:r>
        <w:rPr>
          <w:rFonts w:hint="eastAsia" w:ascii="宋体" w:hAnsi="宋体" w:cs="仿宋"/>
          <w:sz w:val="30"/>
          <w:szCs w:val="30"/>
          <w:lang w:val="en-US" w:eastAsia="zh-CN"/>
        </w:rPr>
        <w:t>3</w:t>
      </w:r>
      <w:r>
        <w:rPr>
          <w:rFonts w:hint="eastAsia" w:ascii="宋体" w:hAnsi="宋体" w:cs="仿宋"/>
          <w:sz w:val="30"/>
          <w:szCs w:val="30"/>
        </w:rPr>
        <w:t xml:space="preserve">  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74"/>
        <w:spacing w:line="600" w:lineRule="exact"/>
        <w:ind w:left="420" w:firstLine="5280" w:firstLineChars="2200"/>
        <w:jc w:val="both"/>
        <w:rPr>
          <w:rFonts w:cs="仿宋"/>
          <w:b/>
          <w:color w:val="000000"/>
        </w:rPr>
      </w:pP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lang w:val="en-US" w:eastAsia="zh-CN"/>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r>
        <w:rPr>
          <w:rFonts w:ascii="宋体" w:hAnsi="宋体" w:cs="仿宋"/>
          <w:b/>
          <w:color w:val="000000"/>
          <w:sz w:val="24"/>
        </w:rPr>
        <w:br w:type="page"/>
      </w:r>
    </w:p>
    <w:p>
      <w:pPr>
        <w:adjustRightInd w:val="0"/>
        <w:snapToGrid w:val="0"/>
        <w:spacing w:line="600" w:lineRule="exact"/>
        <w:jc w:val="center"/>
        <w:outlineLvl w:val="0"/>
        <w:rPr>
          <w:rFonts w:ascii="黑体" w:hAnsi="黑体" w:eastAsia="黑体" w:cs="仿宋"/>
          <w:bCs/>
          <w:sz w:val="36"/>
          <w:szCs w:val="36"/>
        </w:rPr>
      </w:pPr>
      <w:bookmarkStart w:id="2" w:name="_Toc17037"/>
      <w:r>
        <w:rPr>
          <w:rFonts w:hint="eastAsia" w:ascii="黑体" w:hAnsi="黑体" w:eastAsia="黑体" w:cs="仿宋"/>
          <w:bCs/>
          <w:sz w:val="36"/>
          <w:szCs w:val="36"/>
        </w:rPr>
        <w:t>第三章 评审办法</w:t>
      </w:r>
      <w:bookmarkEnd w:id="2"/>
    </w:p>
    <w:p>
      <w:pPr>
        <w:adjustRightInd w:val="0"/>
        <w:snapToGrid w:val="0"/>
        <w:spacing w:before="120" w:beforeLines="50" w:after="120" w:afterLines="50" w:line="312"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38"/>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条款号及名称</w:t>
            </w:r>
          </w:p>
        </w:tc>
        <w:tc>
          <w:tcPr>
            <w:tcW w:w="1573"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评审因素</w:t>
            </w:r>
          </w:p>
        </w:tc>
        <w:tc>
          <w:tcPr>
            <w:tcW w:w="5676"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1252"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评审方法</w:t>
            </w:r>
          </w:p>
        </w:tc>
        <w:tc>
          <w:tcPr>
            <w:tcW w:w="1573"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评审方法</w:t>
            </w:r>
          </w:p>
        </w:tc>
        <w:tc>
          <w:tcPr>
            <w:tcW w:w="5676"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2.1.1</w:t>
            </w:r>
          </w:p>
        </w:tc>
        <w:tc>
          <w:tcPr>
            <w:tcW w:w="1252" w:type="dxa"/>
            <w:vMerge w:val="restart"/>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形式评审标准</w:t>
            </w:r>
          </w:p>
        </w:tc>
        <w:tc>
          <w:tcPr>
            <w:tcW w:w="1573"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供应商名称</w:t>
            </w:r>
          </w:p>
        </w:tc>
        <w:tc>
          <w:tcPr>
            <w:tcW w:w="5676" w:type="dxa"/>
            <w:vAlign w:val="center"/>
          </w:tcPr>
          <w:p>
            <w:pPr>
              <w:widowControl/>
              <w:adjustRightInd w:val="0"/>
              <w:snapToGrid w:val="0"/>
              <w:spacing w:line="288"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vAlign w:val="center"/>
          </w:tcPr>
          <w:p>
            <w:pPr>
              <w:widowControl/>
              <w:adjustRightInd w:val="0"/>
              <w:snapToGrid w:val="0"/>
              <w:spacing w:line="288" w:lineRule="auto"/>
              <w:jc w:val="center"/>
              <w:rPr>
                <w:rFonts w:hint="eastAsia" w:ascii="宋体" w:hAnsi="宋体" w:eastAsia="宋体" w:cs="宋体"/>
                <w:szCs w:val="21"/>
              </w:rPr>
            </w:pPr>
          </w:p>
        </w:tc>
        <w:tc>
          <w:tcPr>
            <w:tcW w:w="1252" w:type="dxa"/>
            <w:vMerge w:val="continue"/>
            <w:vAlign w:val="center"/>
          </w:tcPr>
          <w:p>
            <w:pPr>
              <w:widowControl/>
              <w:adjustRightInd w:val="0"/>
              <w:snapToGrid w:val="0"/>
              <w:spacing w:line="288" w:lineRule="auto"/>
              <w:jc w:val="center"/>
              <w:rPr>
                <w:rFonts w:hint="eastAsia" w:ascii="宋体" w:hAnsi="宋体" w:eastAsia="宋体" w:cs="宋体"/>
                <w:szCs w:val="21"/>
              </w:rPr>
            </w:pPr>
          </w:p>
        </w:tc>
        <w:tc>
          <w:tcPr>
            <w:tcW w:w="1573"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响应文件签字盖章</w:t>
            </w:r>
          </w:p>
        </w:tc>
        <w:tc>
          <w:tcPr>
            <w:tcW w:w="5676"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vAlign w:val="center"/>
          </w:tcPr>
          <w:p>
            <w:pPr>
              <w:widowControl/>
              <w:adjustRightInd w:val="0"/>
              <w:snapToGrid w:val="0"/>
              <w:spacing w:line="288" w:lineRule="auto"/>
              <w:jc w:val="center"/>
              <w:rPr>
                <w:rFonts w:hint="eastAsia" w:ascii="宋体" w:hAnsi="宋体" w:eastAsia="宋体" w:cs="宋体"/>
                <w:szCs w:val="21"/>
              </w:rPr>
            </w:pPr>
          </w:p>
        </w:tc>
        <w:tc>
          <w:tcPr>
            <w:tcW w:w="1252" w:type="dxa"/>
            <w:vMerge w:val="continue"/>
            <w:vAlign w:val="center"/>
          </w:tcPr>
          <w:p>
            <w:pPr>
              <w:widowControl/>
              <w:adjustRightInd w:val="0"/>
              <w:snapToGrid w:val="0"/>
              <w:spacing w:line="288" w:lineRule="auto"/>
              <w:jc w:val="center"/>
              <w:rPr>
                <w:rFonts w:hint="eastAsia" w:ascii="宋体" w:hAnsi="宋体" w:eastAsia="宋体" w:cs="宋体"/>
                <w:szCs w:val="21"/>
              </w:rPr>
            </w:pPr>
          </w:p>
        </w:tc>
        <w:tc>
          <w:tcPr>
            <w:tcW w:w="1573"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响应函中实质性内容</w:t>
            </w:r>
          </w:p>
        </w:tc>
        <w:tc>
          <w:tcPr>
            <w:tcW w:w="5676" w:type="dxa"/>
            <w:vAlign w:val="center"/>
          </w:tcPr>
          <w:p>
            <w:pPr>
              <w:widowControl/>
              <w:adjustRightInd w:val="0"/>
              <w:snapToGrid w:val="0"/>
              <w:spacing w:line="288"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2.1.2</w:t>
            </w:r>
          </w:p>
        </w:tc>
        <w:tc>
          <w:tcPr>
            <w:tcW w:w="1252" w:type="dxa"/>
            <w:vMerge w:val="restart"/>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资格评审标准</w:t>
            </w:r>
          </w:p>
        </w:tc>
        <w:tc>
          <w:tcPr>
            <w:tcW w:w="1573"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依法设立</w:t>
            </w:r>
          </w:p>
        </w:tc>
        <w:tc>
          <w:tcPr>
            <w:tcW w:w="5676"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vAlign w:val="center"/>
          </w:tcPr>
          <w:p>
            <w:pPr>
              <w:widowControl/>
              <w:adjustRightInd w:val="0"/>
              <w:snapToGrid w:val="0"/>
              <w:spacing w:line="288" w:lineRule="auto"/>
              <w:jc w:val="center"/>
              <w:rPr>
                <w:rFonts w:hint="eastAsia" w:ascii="宋体" w:hAnsi="宋体" w:eastAsia="宋体" w:cs="宋体"/>
                <w:szCs w:val="21"/>
              </w:rPr>
            </w:pPr>
          </w:p>
        </w:tc>
        <w:tc>
          <w:tcPr>
            <w:tcW w:w="1252" w:type="dxa"/>
            <w:vMerge w:val="continue"/>
            <w:vAlign w:val="center"/>
          </w:tcPr>
          <w:p>
            <w:pPr>
              <w:widowControl/>
              <w:adjustRightInd w:val="0"/>
              <w:snapToGrid w:val="0"/>
              <w:spacing w:line="288" w:lineRule="auto"/>
              <w:jc w:val="center"/>
              <w:rPr>
                <w:rFonts w:hint="eastAsia" w:ascii="宋体" w:hAnsi="宋体" w:eastAsia="宋体" w:cs="宋体"/>
                <w:szCs w:val="21"/>
              </w:rPr>
            </w:pPr>
          </w:p>
        </w:tc>
        <w:tc>
          <w:tcPr>
            <w:tcW w:w="1573"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资质要求</w:t>
            </w:r>
          </w:p>
        </w:tc>
        <w:tc>
          <w:tcPr>
            <w:tcW w:w="5676"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vAlign w:val="center"/>
          </w:tcPr>
          <w:p>
            <w:pPr>
              <w:widowControl/>
              <w:adjustRightInd w:val="0"/>
              <w:snapToGrid w:val="0"/>
              <w:spacing w:line="288" w:lineRule="auto"/>
              <w:jc w:val="center"/>
              <w:rPr>
                <w:rFonts w:hint="eastAsia" w:ascii="宋体" w:hAnsi="宋体" w:eastAsia="宋体" w:cs="宋体"/>
                <w:szCs w:val="21"/>
              </w:rPr>
            </w:pPr>
          </w:p>
        </w:tc>
        <w:tc>
          <w:tcPr>
            <w:tcW w:w="1252" w:type="dxa"/>
            <w:vMerge w:val="continue"/>
            <w:vAlign w:val="center"/>
          </w:tcPr>
          <w:p>
            <w:pPr>
              <w:widowControl/>
              <w:adjustRightInd w:val="0"/>
              <w:snapToGrid w:val="0"/>
              <w:spacing w:line="288" w:lineRule="auto"/>
              <w:jc w:val="center"/>
              <w:rPr>
                <w:rFonts w:hint="eastAsia" w:ascii="宋体" w:hAnsi="宋体" w:eastAsia="宋体" w:cs="宋体"/>
                <w:szCs w:val="21"/>
              </w:rPr>
            </w:pPr>
          </w:p>
        </w:tc>
        <w:tc>
          <w:tcPr>
            <w:tcW w:w="1573"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财务要求</w:t>
            </w:r>
          </w:p>
        </w:tc>
        <w:tc>
          <w:tcPr>
            <w:tcW w:w="5676"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vAlign w:val="center"/>
          </w:tcPr>
          <w:p>
            <w:pPr>
              <w:widowControl/>
              <w:adjustRightInd w:val="0"/>
              <w:snapToGrid w:val="0"/>
              <w:spacing w:line="288" w:lineRule="auto"/>
              <w:jc w:val="center"/>
              <w:rPr>
                <w:rFonts w:hint="eastAsia" w:ascii="宋体" w:hAnsi="宋体" w:eastAsia="宋体" w:cs="宋体"/>
                <w:szCs w:val="21"/>
              </w:rPr>
            </w:pPr>
          </w:p>
        </w:tc>
        <w:tc>
          <w:tcPr>
            <w:tcW w:w="1252" w:type="dxa"/>
            <w:vMerge w:val="continue"/>
            <w:vAlign w:val="center"/>
          </w:tcPr>
          <w:p>
            <w:pPr>
              <w:widowControl/>
              <w:adjustRightInd w:val="0"/>
              <w:snapToGrid w:val="0"/>
              <w:spacing w:line="288" w:lineRule="auto"/>
              <w:jc w:val="center"/>
              <w:rPr>
                <w:rFonts w:hint="eastAsia" w:ascii="宋体" w:hAnsi="宋体" w:eastAsia="宋体" w:cs="宋体"/>
                <w:szCs w:val="21"/>
              </w:rPr>
            </w:pPr>
          </w:p>
        </w:tc>
        <w:tc>
          <w:tcPr>
            <w:tcW w:w="1573"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业绩要求</w:t>
            </w:r>
          </w:p>
        </w:tc>
        <w:tc>
          <w:tcPr>
            <w:tcW w:w="5676"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vAlign w:val="center"/>
          </w:tcPr>
          <w:p>
            <w:pPr>
              <w:widowControl/>
              <w:adjustRightInd w:val="0"/>
              <w:snapToGrid w:val="0"/>
              <w:spacing w:line="288" w:lineRule="auto"/>
              <w:jc w:val="center"/>
              <w:rPr>
                <w:rFonts w:hint="eastAsia" w:ascii="宋体" w:hAnsi="宋体" w:eastAsia="宋体" w:cs="宋体"/>
                <w:szCs w:val="21"/>
              </w:rPr>
            </w:pPr>
          </w:p>
        </w:tc>
        <w:tc>
          <w:tcPr>
            <w:tcW w:w="1252" w:type="dxa"/>
            <w:vMerge w:val="continue"/>
            <w:vAlign w:val="center"/>
          </w:tcPr>
          <w:p>
            <w:pPr>
              <w:widowControl/>
              <w:adjustRightInd w:val="0"/>
              <w:snapToGrid w:val="0"/>
              <w:spacing w:line="288" w:lineRule="auto"/>
              <w:jc w:val="center"/>
              <w:rPr>
                <w:rFonts w:hint="eastAsia" w:ascii="宋体" w:hAnsi="宋体" w:eastAsia="宋体" w:cs="宋体"/>
                <w:szCs w:val="21"/>
              </w:rPr>
            </w:pPr>
          </w:p>
        </w:tc>
        <w:tc>
          <w:tcPr>
            <w:tcW w:w="1573" w:type="dxa"/>
            <w:vAlign w:val="center"/>
          </w:tcPr>
          <w:p>
            <w:pPr>
              <w:widowControl/>
              <w:adjustRightInd w:val="0"/>
              <w:snapToGrid w:val="0"/>
              <w:spacing w:line="288" w:lineRule="auto"/>
              <w:jc w:val="center"/>
              <w:rPr>
                <w:rFonts w:hint="default" w:ascii="宋体" w:hAnsi="宋体" w:eastAsia="宋体" w:cs="宋体"/>
                <w:szCs w:val="21"/>
                <w:lang w:val="en-US" w:eastAsia="zh-CN"/>
              </w:rPr>
            </w:pPr>
            <w:r>
              <w:rPr>
                <w:rFonts w:hint="eastAsia" w:ascii="宋体" w:hAnsi="宋体" w:cs="宋体"/>
                <w:szCs w:val="21"/>
                <w:lang w:val="en-US" w:eastAsia="zh-CN"/>
              </w:rPr>
              <w:t>信誉要求</w:t>
            </w:r>
          </w:p>
        </w:tc>
        <w:tc>
          <w:tcPr>
            <w:tcW w:w="5676"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符合第一章第3.1款及供应商须知前附表第3.5（</w:t>
            </w:r>
            <w:r>
              <w:rPr>
                <w:rFonts w:hint="eastAsia" w:ascii="宋体" w:hAnsi="宋体" w:cs="宋体"/>
                <w:szCs w:val="21"/>
                <w:lang w:val="en-US" w:eastAsia="zh-CN"/>
              </w:rPr>
              <w:t>5</w:t>
            </w:r>
            <w:r>
              <w:rPr>
                <w:rFonts w:hint="eastAsia" w:ascii="宋体" w:hAnsi="宋体" w:eastAsia="宋体" w:cs="宋体"/>
                <w:szCs w:val="21"/>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vAlign w:val="center"/>
          </w:tcPr>
          <w:p>
            <w:pPr>
              <w:widowControl/>
              <w:adjustRightInd w:val="0"/>
              <w:snapToGrid w:val="0"/>
              <w:spacing w:line="288" w:lineRule="auto"/>
              <w:jc w:val="center"/>
              <w:rPr>
                <w:rFonts w:hint="eastAsia" w:ascii="宋体" w:hAnsi="宋体" w:eastAsia="宋体" w:cs="宋体"/>
                <w:szCs w:val="21"/>
              </w:rPr>
            </w:pPr>
          </w:p>
        </w:tc>
        <w:tc>
          <w:tcPr>
            <w:tcW w:w="1252" w:type="dxa"/>
            <w:vMerge w:val="continue"/>
            <w:vAlign w:val="center"/>
          </w:tcPr>
          <w:p>
            <w:pPr>
              <w:widowControl/>
              <w:adjustRightInd w:val="0"/>
              <w:snapToGrid w:val="0"/>
              <w:spacing w:line="288" w:lineRule="auto"/>
              <w:jc w:val="center"/>
              <w:rPr>
                <w:rFonts w:hint="eastAsia" w:ascii="宋体" w:hAnsi="宋体" w:eastAsia="宋体" w:cs="宋体"/>
                <w:szCs w:val="21"/>
              </w:rPr>
            </w:pPr>
          </w:p>
        </w:tc>
        <w:tc>
          <w:tcPr>
            <w:tcW w:w="1573"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人员要求</w:t>
            </w:r>
          </w:p>
        </w:tc>
        <w:tc>
          <w:tcPr>
            <w:tcW w:w="5676"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vAlign w:val="center"/>
          </w:tcPr>
          <w:p>
            <w:pPr>
              <w:widowControl/>
              <w:adjustRightInd w:val="0"/>
              <w:snapToGrid w:val="0"/>
              <w:spacing w:line="288" w:lineRule="auto"/>
              <w:jc w:val="center"/>
              <w:rPr>
                <w:rFonts w:hint="eastAsia" w:ascii="宋体" w:hAnsi="宋体" w:eastAsia="宋体" w:cs="宋体"/>
                <w:szCs w:val="21"/>
              </w:rPr>
            </w:pPr>
          </w:p>
        </w:tc>
        <w:tc>
          <w:tcPr>
            <w:tcW w:w="1252" w:type="dxa"/>
            <w:vMerge w:val="continue"/>
            <w:vAlign w:val="center"/>
          </w:tcPr>
          <w:p>
            <w:pPr>
              <w:widowControl/>
              <w:adjustRightInd w:val="0"/>
              <w:snapToGrid w:val="0"/>
              <w:spacing w:line="288" w:lineRule="auto"/>
              <w:jc w:val="center"/>
              <w:rPr>
                <w:rFonts w:hint="eastAsia" w:ascii="宋体" w:hAnsi="宋体" w:eastAsia="宋体" w:cs="宋体"/>
                <w:szCs w:val="21"/>
              </w:rPr>
            </w:pPr>
          </w:p>
        </w:tc>
        <w:tc>
          <w:tcPr>
            <w:tcW w:w="1573"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不存在第一章第3.</w:t>
            </w:r>
            <w:r>
              <w:rPr>
                <w:rFonts w:hint="eastAsia" w:ascii="宋体" w:hAnsi="宋体" w:cs="宋体"/>
                <w:szCs w:val="21"/>
                <w:lang w:val="en-US" w:eastAsia="zh-CN"/>
              </w:rPr>
              <w:t>1</w:t>
            </w:r>
            <w:r>
              <w:rPr>
                <w:rFonts w:hint="eastAsia" w:ascii="宋体" w:hAnsi="宋体" w:eastAsia="宋体" w:cs="宋体"/>
                <w:szCs w:val="21"/>
              </w:rPr>
              <w:t>款情形</w:t>
            </w:r>
          </w:p>
        </w:tc>
        <w:tc>
          <w:tcPr>
            <w:tcW w:w="5676"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2.1.3</w:t>
            </w:r>
          </w:p>
        </w:tc>
        <w:tc>
          <w:tcPr>
            <w:tcW w:w="1252" w:type="dxa"/>
            <w:vMerge w:val="restart"/>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响应性评审标准</w:t>
            </w:r>
          </w:p>
        </w:tc>
        <w:tc>
          <w:tcPr>
            <w:tcW w:w="1573"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报价</w:t>
            </w:r>
          </w:p>
        </w:tc>
        <w:tc>
          <w:tcPr>
            <w:tcW w:w="5676"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vAlign w:val="center"/>
          </w:tcPr>
          <w:p>
            <w:pPr>
              <w:widowControl/>
              <w:adjustRightInd w:val="0"/>
              <w:snapToGrid w:val="0"/>
              <w:spacing w:line="288" w:lineRule="auto"/>
              <w:jc w:val="center"/>
              <w:rPr>
                <w:rFonts w:hint="eastAsia" w:ascii="宋体" w:hAnsi="宋体" w:eastAsia="宋体" w:cs="宋体"/>
                <w:szCs w:val="21"/>
              </w:rPr>
            </w:pPr>
          </w:p>
        </w:tc>
        <w:tc>
          <w:tcPr>
            <w:tcW w:w="1252" w:type="dxa"/>
            <w:vMerge w:val="continue"/>
            <w:vAlign w:val="center"/>
          </w:tcPr>
          <w:p>
            <w:pPr>
              <w:widowControl/>
              <w:adjustRightInd w:val="0"/>
              <w:snapToGrid w:val="0"/>
              <w:spacing w:line="288" w:lineRule="auto"/>
              <w:jc w:val="center"/>
              <w:rPr>
                <w:rFonts w:hint="eastAsia" w:ascii="宋体" w:hAnsi="宋体" w:eastAsia="宋体" w:cs="宋体"/>
                <w:szCs w:val="21"/>
              </w:rPr>
            </w:pPr>
          </w:p>
        </w:tc>
        <w:tc>
          <w:tcPr>
            <w:tcW w:w="1573"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响应文件有效期</w:t>
            </w:r>
          </w:p>
        </w:tc>
        <w:tc>
          <w:tcPr>
            <w:tcW w:w="5676"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vAlign w:val="center"/>
          </w:tcPr>
          <w:p>
            <w:pPr>
              <w:widowControl/>
              <w:adjustRightInd w:val="0"/>
              <w:snapToGrid w:val="0"/>
              <w:spacing w:line="288" w:lineRule="auto"/>
              <w:jc w:val="center"/>
              <w:rPr>
                <w:rFonts w:hint="eastAsia" w:ascii="宋体" w:hAnsi="宋体" w:eastAsia="宋体" w:cs="宋体"/>
                <w:szCs w:val="21"/>
              </w:rPr>
            </w:pPr>
          </w:p>
        </w:tc>
        <w:tc>
          <w:tcPr>
            <w:tcW w:w="1252" w:type="dxa"/>
            <w:vMerge w:val="continue"/>
            <w:vAlign w:val="center"/>
          </w:tcPr>
          <w:p>
            <w:pPr>
              <w:widowControl/>
              <w:adjustRightInd w:val="0"/>
              <w:snapToGrid w:val="0"/>
              <w:spacing w:line="288" w:lineRule="auto"/>
              <w:jc w:val="center"/>
              <w:rPr>
                <w:rFonts w:hint="eastAsia" w:ascii="宋体" w:hAnsi="宋体" w:eastAsia="宋体" w:cs="宋体"/>
                <w:szCs w:val="21"/>
              </w:rPr>
            </w:pPr>
          </w:p>
        </w:tc>
        <w:tc>
          <w:tcPr>
            <w:tcW w:w="1573"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响应方案</w:t>
            </w:r>
          </w:p>
        </w:tc>
        <w:tc>
          <w:tcPr>
            <w:tcW w:w="5676" w:type="dxa"/>
            <w:vAlign w:val="center"/>
          </w:tcPr>
          <w:p>
            <w:pPr>
              <w:widowControl/>
              <w:adjustRightInd w:val="0"/>
              <w:snapToGrid w:val="0"/>
              <w:spacing w:line="288" w:lineRule="auto"/>
              <w:jc w:val="center"/>
              <w:rPr>
                <w:rFonts w:hint="eastAsia" w:ascii="宋体" w:hAnsi="宋体" w:eastAsia="宋体" w:cs="宋体"/>
                <w:color w:val="auto"/>
                <w:szCs w:val="21"/>
              </w:rPr>
            </w:pPr>
            <w:r>
              <w:rPr>
                <w:rFonts w:hint="eastAsia" w:ascii="宋体" w:hAnsi="宋体" w:eastAsia="宋体" w:cs="宋体"/>
                <w:color w:val="auto"/>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vAlign w:val="center"/>
          </w:tcPr>
          <w:p>
            <w:pPr>
              <w:widowControl/>
              <w:adjustRightInd w:val="0"/>
              <w:snapToGrid w:val="0"/>
              <w:spacing w:line="288" w:lineRule="auto"/>
              <w:jc w:val="center"/>
              <w:rPr>
                <w:rFonts w:hint="eastAsia" w:ascii="宋体" w:hAnsi="宋体" w:eastAsia="宋体" w:cs="宋体"/>
                <w:szCs w:val="21"/>
              </w:rPr>
            </w:pPr>
          </w:p>
        </w:tc>
        <w:tc>
          <w:tcPr>
            <w:tcW w:w="1252" w:type="dxa"/>
            <w:vMerge w:val="continue"/>
            <w:vAlign w:val="center"/>
          </w:tcPr>
          <w:p>
            <w:pPr>
              <w:widowControl/>
              <w:adjustRightInd w:val="0"/>
              <w:snapToGrid w:val="0"/>
              <w:spacing w:line="288" w:lineRule="auto"/>
              <w:jc w:val="center"/>
              <w:rPr>
                <w:rFonts w:hint="eastAsia" w:ascii="宋体" w:hAnsi="宋体" w:eastAsia="宋体" w:cs="宋体"/>
                <w:szCs w:val="21"/>
              </w:rPr>
            </w:pPr>
          </w:p>
        </w:tc>
        <w:tc>
          <w:tcPr>
            <w:tcW w:w="1573"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质量标准</w:t>
            </w:r>
          </w:p>
        </w:tc>
        <w:tc>
          <w:tcPr>
            <w:tcW w:w="5676" w:type="dxa"/>
            <w:vAlign w:val="center"/>
          </w:tcPr>
          <w:p>
            <w:pPr>
              <w:widowControl/>
              <w:adjustRightInd w:val="0"/>
              <w:snapToGrid w:val="0"/>
              <w:spacing w:line="288" w:lineRule="auto"/>
              <w:jc w:val="center"/>
              <w:rPr>
                <w:rFonts w:hint="eastAsia" w:ascii="宋体" w:hAnsi="宋体" w:eastAsia="宋体" w:cs="宋体"/>
                <w:color w:val="auto"/>
                <w:szCs w:val="21"/>
              </w:rPr>
            </w:pPr>
            <w:r>
              <w:rPr>
                <w:rFonts w:hint="eastAsia" w:ascii="宋体" w:hAnsi="宋体" w:eastAsia="宋体" w:cs="宋体"/>
                <w:color w:val="auto"/>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vAlign w:val="center"/>
          </w:tcPr>
          <w:p>
            <w:pPr>
              <w:widowControl/>
              <w:adjustRightInd w:val="0"/>
              <w:snapToGrid w:val="0"/>
              <w:spacing w:line="288" w:lineRule="auto"/>
              <w:jc w:val="center"/>
              <w:rPr>
                <w:rFonts w:hint="eastAsia" w:ascii="宋体" w:hAnsi="宋体" w:eastAsia="宋体" w:cs="宋体"/>
                <w:szCs w:val="21"/>
              </w:rPr>
            </w:pPr>
          </w:p>
        </w:tc>
        <w:tc>
          <w:tcPr>
            <w:tcW w:w="1252" w:type="dxa"/>
            <w:vMerge w:val="continue"/>
            <w:vAlign w:val="center"/>
          </w:tcPr>
          <w:p>
            <w:pPr>
              <w:widowControl/>
              <w:adjustRightInd w:val="0"/>
              <w:snapToGrid w:val="0"/>
              <w:spacing w:line="288" w:lineRule="auto"/>
              <w:jc w:val="center"/>
              <w:rPr>
                <w:rFonts w:hint="eastAsia" w:ascii="宋体" w:hAnsi="宋体" w:eastAsia="宋体" w:cs="宋体"/>
                <w:szCs w:val="21"/>
              </w:rPr>
            </w:pPr>
          </w:p>
        </w:tc>
        <w:tc>
          <w:tcPr>
            <w:tcW w:w="1573"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完成期限</w:t>
            </w:r>
          </w:p>
        </w:tc>
        <w:tc>
          <w:tcPr>
            <w:tcW w:w="5676"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vAlign w:val="center"/>
          </w:tcPr>
          <w:p>
            <w:pPr>
              <w:widowControl/>
              <w:adjustRightInd w:val="0"/>
              <w:snapToGrid w:val="0"/>
              <w:spacing w:line="288" w:lineRule="auto"/>
              <w:jc w:val="center"/>
              <w:rPr>
                <w:rFonts w:hint="eastAsia" w:ascii="宋体" w:hAnsi="宋体" w:eastAsia="宋体" w:cs="宋体"/>
                <w:szCs w:val="21"/>
              </w:rPr>
            </w:pPr>
          </w:p>
        </w:tc>
        <w:tc>
          <w:tcPr>
            <w:tcW w:w="1252" w:type="dxa"/>
            <w:vMerge w:val="continue"/>
            <w:vAlign w:val="center"/>
          </w:tcPr>
          <w:p>
            <w:pPr>
              <w:widowControl/>
              <w:adjustRightInd w:val="0"/>
              <w:snapToGrid w:val="0"/>
              <w:spacing w:line="288" w:lineRule="auto"/>
              <w:jc w:val="center"/>
              <w:rPr>
                <w:rFonts w:hint="eastAsia" w:ascii="宋体" w:hAnsi="宋体" w:eastAsia="宋体" w:cs="宋体"/>
                <w:szCs w:val="21"/>
              </w:rPr>
            </w:pPr>
          </w:p>
        </w:tc>
        <w:tc>
          <w:tcPr>
            <w:tcW w:w="1573"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合同条款</w:t>
            </w:r>
          </w:p>
        </w:tc>
        <w:tc>
          <w:tcPr>
            <w:tcW w:w="5676"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vAlign w:val="center"/>
          </w:tcPr>
          <w:p>
            <w:pPr>
              <w:widowControl/>
              <w:adjustRightInd w:val="0"/>
              <w:snapToGrid w:val="0"/>
              <w:spacing w:line="288" w:lineRule="auto"/>
              <w:jc w:val="center"/>
              <w:rPr>
                <w:rFonts w:hint="eastAsia" w:ascii="宋体" w:hAnsi="宋体" w:eastAsia="宋体" w:cs="宋体"/>
                <w:szCs w:val="21"/>
              </w:rPr>
            </w:pPr>
          </w:p>
        </w:tc>
        <w:tc>
          <w:tcPr>
            <w:tcW w:w="1252" w:type="dxa"/>
            <w:vMerge w:val="continue"/>
            <w:vAlign w:val="center"/>
          </w:tcPr>
          <w:p>
            <w:pPr>
              <w:widowControl/>
              <w:adjustRightInd w:val="0"/>
              <w:snapToGrid w:val="0"/>
              <w:spacing w:line="288" w:lineRule="auto"/>
              <w:jc w:val="center"/>
              <w:rPr>
                <w:rFonts w:hint="eastAsia" w:ascii="宋体" w:hAnsi="宋体" w:eastAsia="宋体" w:cs="宋体"/>
                <w:szCs w:val="21"/>
              </w:rPr>
            </w:pPr>
          </w:p>
        </w:tc>
        <w:tc>
          <w:tcPr>
            <w:tcW w:w="1573"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对非关键条款的偏差</w:t>
            </w:r>
          </w:p>
        </w:tc>
        <w:tc>
          <w:tcPr>
            <w:tcW w:w="5676"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2.2.2</w:t>
            </w:r>
          </w:p>
        </w:tc>
        <w:tc>
          <w:tcPr>
            <w:tcW w:w="1252" w:type="dxa"/>
            <w:vAlign w:val="center"/>
          </w:tcPr>
          <w:p>
            <w:pPr>
              <w:widowControl/>
              <w:adjustRightInd w:val="0"/>
              <w:snapToGrid w:val="0"/>
              <w:spacing w:line="288" w:lineRule="auto"/>
              <w:jc w:val="center"/>
              <w:rPr>
                <w:rFonts w:hint="eastAsia" w:ascii="宋体" w:hAnsi="宋体" w:eastAsia="宋体" w:cs="宋体"/>
                <w:szCs w:val="21"/>
              </w:rPr>
            </w:pPr>
          </w:p>
        </w:tc>
        <w:tc>
          <w:tcPr>
            <w:tcW w:w="1573"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评审价格</w:t>
            </w:r>
          </w:p>
        </w:tc>
        <w:tc>
          <w:tcPr>
            <w:tcW w:w="5676"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4"/>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2" w:type="dxa"/>
            <w:gridSpan w:val="2"/>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条款号</w:t>
            </w:r>
          </w:p>
        </w:tc>
        <w:tc>
          <w:tcPr>
            <w:tcW w:w="1573"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条款内容</w:t>
            </w:r>
          </w:p>
        </w:tc>
        <w:tc>
          <w:tcPr>
            <w:tcW w:w="5676" w:type="dxa"/>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vAlign w:val="center"/>
          </w:tcPr>
          <w:p>
            <w:pPr>
              <w:widowControl/>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3</w:t>
            </w:r>
          </w:p>
        </w:tc>
        <w:tc>
          <w:tcPr>
            <w:tcW w:w="1573" w:type="dxa"/>
            <w:vAlign w:val="center"/>
          </w:tcPr>
          <w:p>
            <w:pPr>
              <w:widowControl w:val="0"/>
              <w:spacing w:line="288" w:lineRule="auto"/>
              <w:jc w:val="center"/>
              <w:rPr>
                <w:rFonts w:hint="eastAsia" w:ascii="宋体" w:hAnsi="宋体" w:eastAsia="宋体" w:cs="宋体"/>
                <w:color w:val="auto"/>
                <w:szCs w:val="21"/>
              </w:rPr>
            </w:pPr>
            <w:r>
              <w:rPr>
                <w:rFonts w:hint="eastAsia" w:ascii="宋体" w:hAnsi="宋体" w:eastAsia="宋体" w:cs="宋体"/>
                <w:color w:val="auto"/>
                <w:szCs w:val="21"/>
              </w:rPr>
              <w:t>报价</w:t>
            </w:r>
          </w:p>
        </w:tc>
        <w:tc>
          <w:tcPr>
            <w:tcW w:w="5676" w:type="dxa"/>
            <w:vAlign w:val="center"/>
          </w:tcPr>
          <w:p>
            <w:pPr>
              <w:widowControl w:val="0"/>
              <w:adjustRightInd w:val="0"/>
              <w:snapToGrid w:val="0"/>
              <w:spacing w:line="288" w:lineRule="auto"/>
              <w:jc w:val="center"/>
              <w:rPr>
                <w:rFonts w:hint="eastAsia" w:ascii="宋体" w:hAnsi="宋体" w:eastAsia="宋体" w:cs="宋体"/>
                <w:color w:val="auto"/>
                <w:szCs w:val="21"/>
              </w:rPr>
            </w:pPr>
            <w:r>
              <w:rPr>
                <w:rFonts w:hint="eastAsia" w:ascii="宋体" w:hAnsi="宋体" w:eastAsia="宋体" w:cs="宋体"/>
                <w:color w:val="auto"/>
                <w:szCs w:val="21"/>
              </w:rPr>
              <w:t>根据2.2.2条规定，按照评审价格由低到高的顺序推荐成交候选供应商。</w:t>
            </w:r>
          </w:p>
        </w:tc>
      </w:tr>
    </w:tbl>
    <w:p>
      <w:pPr>
        <w:spacing w:line="288" w:lineRule="auto"/>
        <w:jc w:val="both"/>
        <w:rPr>
          <w:rFonts w:ascii="宋体" w:hAnsi="宋体" w:cs="仿宋"/>
          <w:sz w:val="24"/>
        </w:rPr>
      </w:pPr>
      <w:r>
        <w:rPr>
          <w:rFonts w:hint="eastAsia" w:ascii="宋体" w:hAnsi="宋体" w:cs="仿宋"/>
          <w:sz w:val="24"/>
        </w:rPr>
        <w:br w:type="page"/>
      </w: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36"/>
          <w:szCs w:val="36"/>
        </w:rPr>
      </w:pP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0" w:firstLineChars="0"/>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3详细评审标准和程序(最低价法)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评审小组对评审价格进行比较后，按照评审价格由低到高的顺序对供应商排序。供应商评审价格相等时，按照评审办法前附表的规定确定供应商优先顺序。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490" w:lineRule="exact"/>
        <w:jc w:val="center"/>
        <w:outlineLvl w:val="9"/>
        <w:rPr>
          <w:rFonts w:ascii="黑体" w:hAnsi="黑体" w:eastAsia="黑体" w:cs="宋体"/>
          <w:kern w:val="44"/>
          <w:sz w:val="32"/>
          <w:szCs w:val="32"/>
        </w:rPr>
      </w:pPr>
    </w:p>
    <w:p>
      <w:pPr>
        <w:widowControl w:val="0"/>
        <w:snapToGrid w:val="0"/>
        <w:spacing w:line="490" w:lineRule="exact"/>
        <w:jc w:val="center"/>
        <w:outlineLvl w:val="9"/>
        <w:rPr>
          <w:rFonts w:ascii="黑体" w:hAnsi="黑体" w:eastAsia="黑体" w:cs="宋体"/>
          <w:kern w:val="44"/>
          <w:sz w:val="32"/>
          <w:szCs w:val="32"/>
        </w:rPr>
      </w:pPr>
    </w:p>
    <w:p>
      <w:pPr>
        <w:widowControl w:val="0"/>
        <w:snapToGrid w:val="0"/>
        <w:spacing w:line="490" w:lineRule="exact"/>
        <w:jc w:val="center"/>
        <w:outlineLvl w:val="9"/>
        <w:rPr>
          <w:rFonts w:ascii="黑体" w:hAnsi="黑体" w:eastAsia="黑体" w:cs="宋体"/>
          <w:kern w:val="44"/>
          <w:sz w:val="32"/>
          <w:szCs w:val="32"/>
        </w:rPr>
      </w:pPr>
    </w:p>
    <w:p>
      <w:pPr>
        <w:widowControl w:val="0"/>
        <w:snapToGrid w:val="0"/>
        <w:spacing w:line="490" w:lineRule="exact"/>
        <w:jc w:val="center"/>
        <w:outlineLvl w:val="9"/>
        <w:rPr>
          <w:rFonts w:ascii="黑体" w:hAnsi="黑体" w:eastAsia="黑体" w:cs="宋体"/>
          <w:kern w:val="44"/>
          <w:sz w:val="32"/>
          <w:szCs w:val="32"/>
        </w:rPr>
      </w:pPr>
    </w:p>
    <w:p>
      <w:pPr>
        <w:widowControl w:val="0"/>
        <w:snapToGrid w:val="0"/>
        <w:spacing w:line="490" w:lineRule="exact"/>
        <w:jc w:val="center"/>
        <w:outlineLvl w:val="9"/>
        <w:rPr>
          <w:rFonts w:ascii="黑体" w:hAnsi="黑体" w:eastAsia="黑体" w:cs="宋体"/>
          <w:kern w:val="44"/>
          <w:sz w:val="32"/>
          <w:szCs w:val="32"/>
        </w:rPr>
      </w:pPr>
    </w:p>
    <w:p>
      <w:pPr>
        <w:widowControl w:val="0"/>
        <w:snapToGrid w:val="0"/>
        <w:spacing w:line="490" w:lineRule="exact"/>
        <w:jc w:val="center"/>
        <w:outlineLvl w:val="9"/>
        <w:rPr>
          <w:rFonts w:ascii="黑体" w:hAnsi="黑体" w:eastAsia="黑体" w:cs="宋体"/>
          <w:kern w:val="44"/>
          <w:sz w:val="32"/>
          <w:szCs w:val="32"/>
        </w:rPr>
      </w:pPr>
    </w:p>
    <w:p>
      <w:pPr>
        <w:widowControl w:val="0"/>
        <w:snapToGrid w:val="0"/>
        <w:spacing w:line="490" w:lineRule="exact"/>
        <w:jc w:val="center"/>
        <w:outlineLvl w:val="9"/>
        <w:rPr>
          <w:rFonts w:ascii="黑体" w:hAnsi="黑体" w:eastAsia="黑体" w:cs="宋体"/>
          <w:kern w:val="44"/>
          <w:sz w:val="32"/>
          <w:szCs w:val="32"/>
        </w:rPr>
      </w:pPr>
    </w:p>
    <w:p>
      <w:pPr>
        <w:widowControl w:val="0"/>
        <w:snapToGrid w:val="0"/>
        <w:spacing w:line="490" w:lineRule="exact"/>
        <w:jc w:val="center"/>
        <w:outlineLvl w:val="9"/>
        <w:rPr>
          <w:rFonts w:ascii="黑体" w:hAnsi="黑体" w:eastAsia="黑体" w:cs="宋体"/>
          <w:kern w:val="44"/>
          <w:sz w:val="32"/>
          <w:szCs w:val="32"/>
        </w:rPr>
      </w:pPr>
    </w:p>
    <w:p>
      <w:pPr>
        <w:widowControl w:val="0"/>
        <w:snapToGrid w:val="0"/>
        <w:spacing w:line="490" w:lineRule="exact"/>
        <w:jc w:val="center"/>
        <w:outlineLvl w:val="9"/>
        <w:rPr>
          <w:rFonts w:ascii="黑体" w:hAnsi="黑体" w:eastAsia="黑体" w:cs="宋体"/>
          <w:kern w:val="44"/>
          <w:sz w:val="32"/>
          <w:szCs w:val="32"/>
        </w:rPr>
      </w:pPr>
    </w:p>
    <w:p>
      <w:pPr>
        <w:pStyle w:val="46"/>
        <w:rPr>
          <w:rFonts w:ascii="黑体" w:hAnsi="黑体" w:eastAsia="黑体" w:cs="宋体"/>
          <w:kern w:val="44"/>
          <w:sz w:val="32"/>
          <w:szCs w:val="32"/>
        </w:rPr>
      </w:pPr>
    </w:p>
    <w:p>
      <w:pPr>
        <w:pStyle w:val="46"/>
        <w:rPr>
          <w:rFonts w:ascii="黑体" w:hAnsi="黑体" w:eastAsia="黑体" w:cs="宋体"/>
          <w:kern w:val="44"/>
          <w:sz w:val="32"/>
          <w:szCs w:val="32"/>
        </w:rPr>
      </w:pPr>
    </w:p>
    <w:p>
      <w:pPr>
        <w:pStyle w:val="46"/>
        <w:rPr>
          <w:rFonts w:ascii="黑体" w:hAnsi="黑体" w:eastAsia="黑体" w:cs="宋体"/>
          <w:kern w:val="44"/>
          <w:sz w:val="32"/>
          <w:szCs w:val="32"/>
        </w:rPr>
      </w:pPr>
    </w:p>
    <w:p>
      <w:pPr>
        <w:pStyle w:val="46"/>
        <w:rPr>
          <w:rFonts w:ascii="黑体" w:hAnsi="黑体" w:eastAsia="黑体" w:cs="宋体"/>
          <w:kern w:val="44"/>
          <w:sz w:val="32"/>
          <w:szCs w:val="32"/>
        </w:rPr>
      </w:pPr>
    </w:p>
    <w:p>
      <w:pPr>
        <w:pStyle w:val="46"/>
        <w:rPr>
          <w:rFonts w:ascii="黑体" w:hAnsi="黑体" w:eastAsia="黑体" w:cs="宋体"/>
          <w:kern w:val="44"/>
          <w:sz w:val="32"/>
          <w:szCs w:val="32"/>
        </w:rPr>
      </w:pPr>
    </w:p>
    <w:p>
      <w:pPr>
        <w:pStyle w:val="46"/>
        <w:rPr>
          <w:rFonts w:ascii="黑体" w:hAnsi="黑体" w:eastAsia="黑体" w:cs="宋体"/>
          <w:kern w:val="44"/>
          <w:sz w:val="32"/>
          <w:szCs w:val="32"/>
        </w:rPr>
      </w:pPr>
    </w:p>
    <w:p>
      <w:pPr>
        <w:adjustRightInd w:val="0"/>
        <w:snapToGrid w:val="0"/>
        <w:spacing w:line="600" w:lineRule="exact"/>
        <w:ind w:right="0" w:firstLine="0" w:firstLineChars="0"/>
        <w:jc w:val="center"/>
        <w:outlineLvl w:val="0"/>
        <w:rPr>
          <w:rFonts w:hint="eastAsia" w:ascii="黑体" w:hAnsi="黑体" w:eastAsia="黑体" w:cs="仿宋"/>
          <w:b w:val="0"/>
          <w:bCs/>
          <w:sz w:val="36"/>
          <w:szCs w:val="36"/>
        </w:rPr>
      </w:pPr>
      <w:bookmarkStart w:id="3" w:name="_Toc231"/>
      <w:r>
        <w:rPr>
          <w:rFonts w:hint="eastAsia" w:ascii="黑体" w:hAnsi="黑体" w:eastAsia="黑体" w:cs="仿宋"/>
          <w:b w:val="0"/>
          <w:bCs/>
          <w:sz w:val="36"/>
          <w:szCs w:val="36"/>
        </w:rPr>
        <w:t>第四章  合同条款及格式</w:t>
      </w:r>
      <w:bookmarkEnd w:id="3"/>
    </w:p>
    <w:p>
      <w:pPr>
        <w:spacing w:line="360" w:lineRule="auto"/>
        <w:ind w:right="-88" w:firstLine="5301" w:firstLineChars="2200"/>
        <w:jc w:val="both"/>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合同编号：</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 xml:space="preserve">              </w:t>
      </w:r>
    </w:p>
    <w:p>
      <w:pPr>
        <w:spacing w:line="360" w:lineRule="auto"/>
        <w:rPr>
          <w:rFonts w:hint="eastAsia" w:ascii="宋体" w:hAnsi="宋体" w:cs="黑体"/>
          <w:b/>
          <w:bCs/>
          <w:color w:val="auto"/>
          <w:sz w:val="72"/>
          <w:szCs w:val="72"/>
        </w:rPr>
      </w:pPr>
    </w:p>
    <w:p>
      <w:pPr>
        <w:spacing w:line="360" w:lineRule="auto"/>
        <w:rPr>
          <w:rFonts w:hint="eastAsia" w:ascii="黑体" w:hAnsi="黑体" w:eastAsia="黑体" w:cs="宋体"/>
          <w:b/>
          <w:bCs/>
          <w:color w:val="auto"/>
          <w:sz w:val="72"/>
          <w:szCs w:val="72"/>
        </w:rPr>
      </w:pPr>
    </w:p>
    <w:p>
      <w:pPr>
        <w:spacing w:line="360" w:lineRule="auto"/>
        <w:ind w:firstLine="1446" w:firstLineChars="200"/>
        <w:rPr>
          <w:rFonts w:hint="eastAsia" w:ascii="黑体" w:hAnsi="黑体" w:eastAsia="黑体" w:cs="宋体"/>
          <w:b/>
          <w:bCs/>
          <w:color w:val="auto"/>
          <w:sz w:val="72"/>
          <w:szCs w:val="72"/>
        </w:rPr>
      </w:pPr>
    </w:p>
    <w:p>
      <w:pPr>
        <w:spacing w:line="360" w:lineRule="auto"/>
        <w:ind w:firstLine="0" w:firstLineChars="0"/>
        <w:jc w:val="center"/>
        <w:rPr>
          <w:rFonts w:hint="eastAsia" w:ascii="黑体" w:hAnsi="黑体" w:eastAsia="黑体" w:cs="宋体"/>
          <w:b/>
          <w:bCs/>
          <w:color w:val="auto"/>
          <w:sz w:val="72"/>
          <w:szCs w:val="72"/>
        </w:rPr>
      </w:pPr>
      <w:r>
        <w:rPr>
          <w:rFonts w:hint="eastAsia" w:ascii="黑体" w:hAnsi="黑体" w:eastAsia="黑体" w:cs="宋体"/>
          <w:b/>
          <w:bCs/>
          <w:color w:val="auto"/>
          <w:sz w:val="72"/>
          <w:szCs w:val="72"/>
        </w:rPr>
        <w:t>消防技术服务合同</w:t>
      </w:r>
    </w:p>
    <w:p>
      <w:pPr>
        <w:spacing w:line="360" w:lineRule="auto"/>
        <w:ind w:firstLine="720" w:firstLineChars="200"/>
        <w:jc w:val="center"/>
        <w:rPr>
          <w:rFonts w:hint="eastAsia" w:ascii="黑体" w:hAnsi="黑体" w:eastAsia="黑体" w:cs="宋体"/>
          <w:b w:val="0"/>
          <w:bCs w:val="0"/>
          <w:color w:val="auto"/>
          <w:sz w:val="36"/>
          <w:szCs w:val="36"/>
          <w:lang w:val="en-US" w:eastAsia="zh-CN"/>
        </w:rPr>
      </w:pPr>
    </w:p>
    <w:p>
      <w:pPr>
        <w:spacing w:line="360" w:lineRule="auto"/>
        <w:ind w:firstLine="0" w:firstLineChars="0"/>
        <w:jc w:val="center"/>
        <w:rPr>
          <w:rFonts w:hint="default" w:ascii="黑体" w:hAnsi="黑体" w:eastAsia="黑体" w:cs="宋体"/>
          <w:b w:val="0"/>
          <w:bCs w:val="0"/>
          <w:color w:val="auto"/>
          <w:sz w:val="44"/>
          <w:szCs w:val="44"/>
          <w:lang w:val="en-US" w:eastAsia="zh-CN"/>
        </w:rPr>
      </w:pPr>
      <w:r>
        <w:rPr>
          <w:rFonts w:hint="eastAsia" w:ascii="黑体" w:hAnsi="黑体" w:eastAsia="黑体" w:cs="宋体"/>
          <w:b w:val="0"/>
          <w:bCs w:val="0"/>
          <w:color w:val="auto"/>
          <w:sz w:val="44"/>
          <w:szCs w:val="44"/>
          <w:lang w:val="en-US" w:eastAsia="zh-CN"/>
        </w:rPr>
        <w:t>(建筑消防设施维保检测评估）</w:t>
      </w:r>
    </w:p>
    <w:p>
      <w:pPr>
        <w:spacing w:line="800" w:lineRule="exact"/>
        <w:ind w:right="105" w:rightChars="50"/>
        <w:rPr>
          <w:rFonts w:hint="eastAsia" w:ascii="仿宋" w:hAnsi="仿宋" w:eastAsia="仿宋" w:cs="仿宋"/>
          <w:b/>
          <w:bCs/>
          <w:color w:val="auto"/>
          <w:sz w:val="28"/>
          <w:szCs w:val="28"/>
        </w:rPr>
      </w:pPr>
    </w:p>
    <w:p>
      <w:pPr>
        <w:spacing w:line="800" w:lineRule="exact"/>
        <w:ind w:right="105" w:rightChars="50" w:firstLine="703" w:firstLineChars="250"/>
        <w:rPr>
          <w:rFonts w:hint="eastAsia" w:ascii="宋体" w:hAnsi="宋体" w:eastAsia="宋体" w:cs="宋体"/>
          <w:b/>
          <w:bCs/>
          <w:color w:val="auto"/>
          <w:sz w:val="28"/>
          <w:szCs w:val="28"/>
          <w:u w:val="single"/>
          <w:lang w:val="en-US" w:eastAsia="zh-CN"/>
        </w:rPr>
      </w:pPr>
      <w:r>
        <w:rPr>
          <w:rFonts w:hint="eastAsia" w:ascii="宋体" w:hAnsi="宋体" w:eastAsia="宋体" w:cs="宋体"/>
          <w:b/>
          <w:bCs/>
          <w:color w:val="auto"/>
          <w:sz w:val="28"/>
          <w:szCs w:val="28"/>
        </w:rPr>
        <w:t xml:space="preserve">委托方（甲方）: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岳阳城陵矶新港有限公司</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spacing w:line="800" w:lineRule="exact"/>
        <w:ind w:right="105" w:rightChars="50" w:firstLine="700" w:firstLineChars="250"/>
        <w:rPr>
          <w:rFonts w:hint="eastAsia" w:ascii="宋体" w:hAnsi="宋体" w:eastAsia="宋体" w:cs="宋体"/>
          <w:color w:val="auto"/>
          <w:sz w:val="28"/>
          <w:szCs w:val="28"/>
          <w:u w:val="single"/>
        </w:rPr>
      </w:pPr>
      <w:r>
        <w:rPr>
          <w:rFonts w:hint="eastAsia" w:ascii="宋体" w:hAnsi="宋体" w:eastAsia="宋体" w:cs="宋体"/>
          <w:sz w:val="28"/>
        </w:rPr>
        <mc:AlternateContent>
          <mc:Choice Requires="wps">
            <w:drawing>
              <wp:anchor distT="0" distB="0" distL="114300" distR="114300" simplePos="0" relativeHeight="251659264" behindDoc="0" locked="0" layoutInCell="1" allowOverlap="1">
                <wp:simplePos x="0" y="0"/>
                <wp:positionH relativeFrom="column">
                  <wp:posOffset>106045</wp:posOffset>
                </wp:positionH>
                <wp:positionV relativeFrom="paragraph">
                  <wp:posOffset>934085</wp:posOffset>
                </wp:positionV>
                <wp:extent cx="2686050" cy="22479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86050" cy="2247900"/>
                        </a:xfrm>
                        <a:prstGeom prst="rect">
                          <a:avLst/>
                        </a:prstGeom>
                        <a:gradFill rotWithShape="0">
                          <a:gsLst>
                            <a:gs pos="0">
                              <a:srgbClr val="FFFFFF"/>
                            </a:gs>
                            <a:gs pos="100000">
                              <a:srgbClr val="FFFFFF"/>
                            </a:gs>
                          </a:gsLst>
                          <a:lin ang="0"/>
                          <a:tileRect/>
                        </a:gradFill>
                        <a:ln w="15875">
                          <a:noFill/>
                        </a:ln>
                      </wps:spPr>
                      <wps:txbx>
                        <w:txbxContent>
                          <w:p>
                            <w:pPr>
                              <w:spacing w:line="800" w:lineRule="exact"/>
                              <w:ind w:right="105" w:rightChars="50"/>
                              <w:rPr>
                                <w:rFonts w:hint="eastAsia" w:ascii="宋体" w:hAnsi="宋体" w:eastAsia="宋体" w:cs="宋体"/>
                                <w:b/>
                                <w:bCs/>
                                <w:sz w:val="24"/>
                              </w:rPr>
                            </w:pPr>
                            <w:r>
                              <w:rPr>
                                <w:rFonts w:hint="eastAsia" w:ascii="宋体" w:hAnsi="宋体" w:eastAsia="宋体" w:cs="宋体"/>
                                <w:b/>
                                <w:bCs/>
                                <w:sz w:val="24"/>
                              </w:rPr>
                              <w:t xml:space="preserve">甲方（盖章） :  </w:t>
                            </w:r>
                            <w:r>
                              <w:rPr>
                                <w:rFonts w:hint="eastAsia" w:ascii="宋体" w:hAnsi="宋体" w:eastAsia="宋体" w:cs="宋体"/>
                                <w:sz w:val="24"/>
                                <w:u w:val="single"/>
                              </w:rPr>
                              <w:t xml:space="preserve">              </w:t>
                            </w:r>
                          </w:p>
                          <w:p>
                            <w:pPr>
                              <w:spacing w:line="800" w:lineRule="exact"/>
                              <w:ind w:right="105" w:rightChars="50"/>
                              <w:rPr>
                                <w:rFonts w:hint="eastAsia" w:ascii="宋体" w:hAnsi="宋体" w:eastAsia="宋体" w:cs="宋体"/>
                                <w:sz w:val="24"/>
                                <w:u w:val="single"/>
                              </w:rPr>
                            </w:pPr>
                            <w:r>
                              <w:rPr>
                                <w:rFonts w:hint="eastAsia" w:ascii="宋体" w:hAnsi="宋体" w:eastAsia="宋体" w:cs="宋体"/>
                                <w:b/>
                                <w:bCs/>
                                <w:sz w:val="24"/>
                              </w:rPr>
                              <w:t xml:space="preserve">代表（签字） :  </w:t>
                            </w:r>
                            <w:r>
                              <w:rPr>
                                <w:rFonts w:hint="eastAsia" w:ascii="宋体" w:hAnsi="宋体" w:eastAsia="宋体" w:cs="宋体"/>
                                <w:sz w:val="24"/>
                                <w:u w:val="single"/>
                              </w:rPr>
                              <w:t xml:space="preserve">              </w:t>
                            </w:r>
                          </w:p>
                          <w:p>
                            <w:pPr>
                              <w:rPr>
                                <w:rFonts w:hint="eastAsia" w:ascii="宋体" w:hAnsi="宋体" w:eastAsia="宋体" w:cs="宋体"/>
                                <w:b/>
                                <w:bCs/>
                                <w:sz w:val="24"/>
                              </w:rPr>
                            </w:pPr>
                          </w:p>
                          <w:p>
                            <w:pPr>
                              <w:rPr>
                                <w:rFonts w:hint="eastAsia" w:ascii="宋体" w:hAnsi="宋体" w:eastAsia="宋体" w:cs="宋体"/>
                                <w:b/>
                                <w:bCs/>
                                <w:sz w:val="24"/>
                              </w:rPr>
                            </w:pPr>
                            <w:r>
                              <w:rPr>
                                <w:rFonts w:hint="eastAsia" w:ascii="宋体" w:hAnsi="宋体" w:eastAsia="宋体" w:cs="宋体"/>
                                <w:b/>
                                <w:bCs/>
                                <w:sz w:val="24"/>
                              </w:rPr>
                              <w:t xml:space="preserve">电        话 ： </w:t>
                            </w:r>
                            <w:r>
                              <w:rPr>
                                <w:rFonts w:hint="eastAsia" w:ascii="宋体" w:hAnsi="宋体" w:eastAsia="宋体" w:cs="宋体"/>
                                <w:sz w:val="24"/>
                                <w:u w:val="single"/>
                              </w:rPr>
                              <w:t xml:space="preserve">              </w:t>
                            </w:r>
                            <w:r>
                              <w:rPr>
                                <w:rFonts w:hint="eastAsia" w:ascii="宋体" w:hAnsi="宋体" w:eastAsia="宋体" w:cs="宋体"/>
                                <w:b/>
                                <w:bCs/>
                                <w:sz w:val="24"/>
                              </w:rPr>
                              <w:t xml:space="preserve"> </w:t>
                            </w: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r>
                              <w:rPr>
                                <w:rFonts w:hint="eastAsia" w:ascii="宋体" w:hAnsi="宋体" w:eastAsia="宋体" w:cs="宋体"/>
                                <w:b/>
                                <w:bCs/>
                                <w:sz w:val="24"/>
                              </w:rPr>
                              <w:t xml:space="preserve">日         期： </w:t>
                            </w:r>
                            <w:r>
                              <w:rPr>
                                <w:rFonts w:hint="eastAsia" w:ascii="宋体" w:hAnsi="宋体" w:eastAsia="宋体" w:cs="宋体"/>
                                <w:sz w:val="24"/>
                                <w:u w:val="single"/>
                              </w:rPr>
                              <w:t xml:space="preserve">              </w:t>
                            </w:r>
                          </w:p>
                          <w:p>
                            <w:pPr>
                              <w:rPr>
                                <w:rFonts w:hint="eastAsia" w:ascii="宋体" w:hAnsi="宋体" w:eastAsia="宋体" w:cs="宋体"/>
                              </w:rPr>
                            </w:pPr>
                          </w:p>
                        </w:txbxContent>
                      </wps:txbx>
                      <wps:bodyPr upright="1"/>
                    </wps:wsp>
                  </a:graphicData>
                </a:graphic>
              </wp:anchor>
            </w:drawing>
          </mc:Choice>
          <mc:Fallback>
            <w:pict>
              <v:shape id="_x0000_s1026" o:spid="_x0000_s1026" o:spt="202" type="#_x0000_t202" style="position:absolute;left:0pt;margin-left:8.35pt;margin-top:73.55pt;height:177pt;width:211.5pt;z-index:251659264;mso-width-relative:page;mso-height-relative:page;" fillcolor="#FFFFFF" filled="t" stroked="f" coordsize="21600,21600" o:gfxdata="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WD8JzaAAAACgEAAA8AAAAAAAAAAQAgAAAAIgAAAGRycy9kb3du&#10;cmV2LnhtbFBLAQIUABQAAAAIAIdO4kCR+IiE/QEAAAkEAAAOAAAAAAAAAAEAIAAAACkBAABkcnMv&#10;ZTJvRG9jLnhtbFBLBQYAAAAABgAGAFkBAACYBQAAAAA=&#10;">
                <v:fill type="gradient" on="t" color2="#FFFFFF" angle="90" focus="100%" focussize="0,0">
                  <o:fill type="gradientUnscaled" v:ext="backwardCompatible"/>
                </v:fill>
                <v:stroke on="f" weight="1.25pt"/>
                <v:imagedata o:title=""/>
                <o:lock v:ext="edit" aspectratio="f"/>
                <v:textbox>
                  <w:txbxContent>
                    <w:p>
                      <w:pPr>
                        <w:spacing w:line="800" w:lineRule="exact"/>
                        <w:ind w:right="105" w:rightChars="50"/>
                        <w:rPr>
                          <w:rFonts w:hint="eastAsia" w:ascii="宋体" w:hAnsi="宋体" w:eastAsia="宋体" w:cs="宋体"/>
                          <w:b/>
                          <w:bCs/>
                          <w:sz w:val="24"/>
                        </w:rPr>
                      </w:pPr>
                      <w:r>
                        <w:rPr>
                          <w:rFonts w:hint="eastAsia" w:ascii="宋体" w:hAnsi="宋体" w:eastAsia="宋体" w:cs="宋体"/>
                          <w:b/>
                          <w:bCs/>
                          <w:sz w:val="24"/>
                        </w:rPr>
                        <w:t xml:space="preserve">甲方（盖章） :  </w:t>
                      </w:r>
                      <w:r>
                        <w:rPr>
                          <w:rFonts w:hint="eastAsia" w:ascii="宋体" w:hAnsi="宋体" w:eastAsia="宋体" w:cs="宋体"/>
                          <w:sz w:val="24"/>
                          <w:u w:val="single"/>
                        </w:rPr>
                        <w:t xml:space="preserve">              </w:t>
                      </w:r>
                    </w:p>
                    <w:p>
                      <w:pPr>
                        <w:spacing w:line="800" w:lineRule="exact"/>
                        <w:ind w:right="105" w:rightChars="50"/>
                        <w:rPr>
                          <w:rFonts w:hint="eastAsia" w:ascii="宋体" w:hAnsi="宋体" w:eastAsia="宋体" w:cs="宋体"/>
                          <w:sz w:val="24"/>
                          <w:u w:val="single"/>
                        </w:rPr>
                      </w:pPr>
                      <w:r>
                        <w:rPr>
                          <w:rFonts w:hint="eastAsia" w:ascii="宋体" w:hAnsi="宋体" w:eastAsia="宋体" w:cs="宋体"/>
                          <w:b/>
                          <w:bCs/>
                          <w:sz w:val="24"/>
                        </w:rPr>
                        <w:t xml:space="preserve">代表（签字） :  </w:t>
                      </w:r>
                      <w:r>
                        <w:rPr>
                          <w:rFonts w:hint="eastAsia" w:ascii="宋体" w:hAnsi="宋体" w:eastAsia="宋体" w:cs="宋体"/>
                          <w:sz w:val="24"/>
                          <w:u w:val="single"/>
                        </w:rPr>
                        <w:t xml:space="preserve">              </w:t>
                      </w:r>
                    </w:p>
                    <w:p>
                      <w:pPr>
                        <w:rPr>
                          <w:rFonts w:hint="eastAsia" w:ascii="宋体" w:hAnsi="宋体" w:eastAsia="宋体" w:cs="宋体"/>
                          <w:b/>
                          <w:bCs/>
                          <w:sz w:val="24"/>
                        </w:rPr>
                      </w:pPr>
                    </w:p>
                    <w:p>
                      <w:pPr>
                        <w:rPr>
                          <w:rFonts w:hint="eastAsia" w:ascii="宋体" w:hAnsi="宋体" w:eastAsia="宋体" w:cs="宋体"/>
                          <w:b/>
                          <w:bCs/>
                          <w:sz w:val="24"/>
                        </w:rPr>
                      </w:pPr>
                      <w:r>
                        <w:rPr>
                          <w:rFonts w:hint="eastAsia" w:ascii="宋体" w:hAnsi="宋体" w:eastAsia="宋体" w:cs="宋体"/>
                          <w:b/>
                          <w:bCs/>
                          <w:sz w:val="24"/>
                        </w:rPr>
                        <w:t xml:space="preserve">电        话 ： </w:t>
                      </w:r>
                      <w:r>
                        <w:rPr>
                          <w:rFonts w:hint="eastAsia" w:ascii="宋体" w:hAnsi="宋体" w:eastAsia="宋体" w:cs="宋体"/>
                          <w:sz w:val="24"/>
                          <w:u w:val="single"/>
                        </w:rPr>
                        <w:t xml:space="preserve">              </w:t>
                      </w:r>
                      <w:r>
                        <w:rPr>
                          <w:rFonts w:hint="eastAsia" w:ascii="宋体" w:hAnsi="宋体" w:eastAsia="宋体" w:cs="宋体"/>
                          <w:b/>
                          <w:bCs/>
                          <w:sz w:val="24"/>
                        </w:rPr>
                        <w:t xml:space="preserve"> </w:t>
                      </w: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r>
                        <w:rPr>
                          <w:rFonts w:hint="eastAsia" w:ascii="宋体" w:hAnsi="宋体" w:eastAsia="宋体" w:cs="宋体"/>
                          <w:b/>
                          <w:bCs/>
                          <w:sz w:val="24"/>
                        </w:rPr>
                        <w:t xml:space="preserve">日         期： </w:t>
                      </w:r>
                      <w:r>
                        <w:rPr>
                          <w:rFonts w:hint="eastAsia" w:ascii="宋体" w:hAnsi="宋体" w:eastAsia="宋体" w:cs="宋体"/>
                          <w:sz w:val="24"/>
                          <w:u w:val="single"/>
                        </w:rPr>
                        <w:t xml:space="preserve">              </w:t>
                      </w:r>
                    </w:p>
                    <w:p>
                      <w:pPr>
                        <w:rPr>
                          <w:rFonts w:hint="eastAsia" w:ascii="宋体" w:hAnsi="宋体" w:eastAsia="宋体" w:cs="宋体"/>
                        </w:rPr>
                      </w:pPr>
                    </w:p>
                  </w:txbxContent>
                </v:textbox>
              </v:shape>
            </w:pict>
          </mc:Fallback>
        </mc:AlternateContent>
      </w:r>
      <w:r>
        <w:rPr>
          <w:rFonts w:hint="eastAsia" w:ascii="宋体" w:hAnsi="宋体" w:eastAsia="宋体" w:cs="宋体"/>
          <w:sz w:val="28"/>
        </w:rPr>
        <mc:AlternateContent>
          <mc:Choice Requires="wps">
            <w:drawing>
              <wp:anchor distT="0" distB="0" distL="114300" distR="114300" simplePos="0" relativeHeight="251660288" behindDoc="0" locked="0" layoutInCell="1" allowOverlap="1">
                <wp:simplePos x="0" y="0"/>
                <wp:positionH relativeFrom="column">
                  <wp:posOffset>2990850</wp:posOffset>
                </wp:positionH>
                <wp:positionV relativeFrom="paragraph">
                  <wp:posOffset>934720</wp:posOffset>
                </wp:positionV>
                <wp:extent cx="2686050" cy="22479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686050" cy="2247900"/>
                        </a:xfrm>
                        <a:prstGeom prst="rect">
                          <a:avLst/>
                        </a:prstGeom>
                        <a:gradFill rotWithShape="0">
                          <a:gsLst>
                            <a:gs pos="0">
                              <a:srgbClr val="FFFFFF"/>
                            </a:gs>
                            <a:gs pos="100000">
                              <a:srgbClr val="FFFFFF"/>
                            </a:gs>
                          </a:gsLst>
                          <a:lin ang="0"/>
                          <a:tileRect/>
                        </a:gradFill>
                        <a:ln w="15875">
                          <a:noFill/>
                        </a:ln>
                      </wps:spPr>
                      <wps:txbx>
                        <w:txbxContent>
                          <w:p>
                            <w:pPr>
                              <w:spacing w:line="800" w:lineRule="exact"/>
                              <w:ind w:right="105" w:rightChars="50"/>
                              <w:rPr>
                                <w:rFonts w:hint="eastAsia" w:ascii="宋体" w:hAnsi="宋体" w:eastAsia="宋体" w:cs="宋体"/>
                                <w:b/>
                                <w:bCs/>
                                <w:sz w:val="24"/>
                              </w:rPr>
                            </w:pPr>
                            <w:r>
                              <w:rPr>
                                <w:rFonts w:hint="eastAsia" w:ascii="宋体" w:hAnsi="宋体" w:eastAsia="宋体" w:cs="宋体"/>
                                <w:b/>
                                <w:bCs/>
                                <w:sz w:val="24"/>
                              </w:rPr>
                              <w:t xml:space="preserve">乙方（盖章） :  </w:t>
                            </w:r>
                            <w:r>
                              <w:rPr>
                                <w:rFonts w:hint="eastAsia" w:ascii="宋体" w:hAnsi="宋体" w:eastAsia="宋体" w:cs="宋体"/>
                                <w:sz w:val="24"/>
                                <w:u w:val="single"/>
                              </w:rPr>
                              <w:t xml:space="preserve">              </w:t>
                            </w:r>
                          </w:p>
                          <w:p>
                            <w:pPr>
                              <w:spacing w:line="800" w:lineRule="exact"/>
                              <w:ind w:right="105" w:rightChars="50"/>
                              <w:rPr>
                                <w:rFonts w:hint="eastAsia" w:ascii="宋体" w:hAnsi="宋体" w:eastAsia="宋体" w:cs="宋体"/>
                                <w:sz w:val="24"/>
                                <w:u w:val="single"/>
                              </w:rPr>
                            </w:pPr>
                            <w:r>
                              <w:rPr>
                                <w:rFonts w:hint="eastAsia" w:ascii="宋体" w:hAnsi="宋体" w:eastAsia="宋体" w:cs="宋体"/>
                                <w:b/>
                                <w:bCs/>
                                <w:sz w:val="24"/>
                              </w:rPr>
                              <w:t xml:space="preserve">代表（签字） :  </w:t>
                            </w:r>
                            <w:r>
                              <w:rPr>
                                <w:rFonts w:hint="eastAsia" w:ascii="宋体" w:hAnsi="宋体" w:eastAsia="宋体" w:cs="宋体"/>
                                <w:sz w:val="24"/>
                                <w:u w:val="single"/>
                              </w:rPr>
                              <w:t xml:space="preserve">              </w:t>
                            </w:r>
                          </w:p>
                          <w:p>
                            <w:pPr>
                              <w:rPr>
                                <w:rFonts w:hint="eastAsia" w:ascii="宋体" w:hAnsi="宋体" w:eastAsia="宋体" w:cs="宋体"/>
                                <w:b/>
                                <w:bCs/>
                                <w:sz w:val="24"/>
                              </w:rPr>
                            </w:pPr>
                          </w:p>
                          <w:p>
                            <w:pPr>
                              <w:rPr>
                                <w:rFonts w:hint="eastAsia" w:ascii="宋体" w:hAnsi="宋体" w:eastAsia="宋体" w:cs="宋体"/>
                                <w:b/>
                                <w:bCs/>
                                <w:sz w:val="24"/>
                              </w:rPr>
                            </w:pPr>
                            <w:r>
                              <w:rPr>
                                <w:rFonts w:hint="eastAsia" w:ascii="宋体" w:hAnsi="宋体" w:eastAsia="宋体" w:cs="宋体"/>
                                <w:b/>
                                <w:bCs/>
                                <w:sz w:val="24"/>
                              </w:rPr>
                              <w:t xml:space="preserve">电        话 ： </w:t>
                            </w:r>
                            <w:r>
                              <w:rPr>
                                <w:rFonts w:hint="eastAsia" w:ascii="宋体" w:hAnsi="宋体" w:eastAsia="宋体" w:cs="宋体"/>
                                <w:sz w:val="24"/>
                                <w:u w:val="single"/>
                              </w:rPr>
                              <w:t xml:space="preserve">              </w:t>
                            </w:r>
                            <w:r>
                              <w:rPr>
                                <w:rFonts w:hint="eastAsia" w:ascii="宋体" w:hAnsi="宋体" w:eastAsia="宋体" w:cs="宋体"/>
                                <w:b/>
                                <w:bCs/>
                                <w:sz w:val="24"/>
                              </w:rPr>
                              <w:t xml:space="preserve"> </w:t>
                            </w: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r>
                              <w:rPr>
                                <w:rFonts w:hint="eastAsia" w:ascii="宋体" w:hAnsi="宋体" w:eastAsia="宋体" w:cs="宋体"/>
                                <w:b/>
                                <w:bCs/>
                                <w:sz w:val="24"/>
                              </w:rPr>
                              <w:t xml:space="preserve">日         期： </w:t>
                            </w:r>
                            <w:r>
                              <w:rPr>
                                <w:rFonts w:hint="eastAsia" w:ascii="宋体" w:hAnsi="宋体" w:eastAsia="宋体" w:cs="宋体"/>
                                <w:sz w:val="24"/>
                                <w:u w:val="single"/>
                              </w:rPr>
                              <w:t xml:space="preserve">              </w:t>
                            </w:r>
                          </w:p>
                          <w:p>
                            <w:pPr>
                              <w:rPr>
                                <w:rFonts w:hint="eastAsia" w:ascii="宋体" w:hAnsi="宋体" w:eastAsia="宋体" w:cs="宋体"/>
                              </w:rPr>
                            </w:pPr>
                          </w:p>
                        </w:txbxContent>
                      </wps:txbx>
                      <wps:bodyPr upright="1"/>
                    </wps:wsp>
                  </a:graphicData>
                </a:graphic>
              </wp:anchor>
            </w:drawing>
          </mc:Choice>
          <mc:Fallback>
            <w:pict>
              <v:shape id="_x0000_s1026" o:spid="_x0000_s1026" o:spt="202" type="#_x0000_t202" style="position:absolute;left:0pt;margin-left:235.5pt;margin-top:73.6pt;height:177pt;width:211.5pt;z-index:251660288;mso-width-relative:page;mso-height-relative:page;" fillcolor="#FFFFFF" filled="t" stroked="f" coordsize="21600,21600" o:gfxdata="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ssUAtsAAAALAQAADwAAAAAAAAABACAAAAAiAAAAZHJzL2Rv&#10;d25yZXYueG1sUEsBAhQAFAAAAAgAh07iQNj99kv+AQAACQQAAA4AAAAAAAAAAQAgAAAAKgEAAGRy&#10;cy9lMm9Eb2MueG1sUEsFBgAAAAAGAAYAWQEAAJoFAAAAAA==&#10;">
                <v:fill type="gradient" on="t" color2="#FFFFFF" angle="90" focus="100%" focussize="0,0">
                  <o:fill type="gradientUnscaled" v:ext="backwardCompatible"/>
                </v:fill>
                <v:stroke on="f" weight="1.25pt"/>
                <v:imagedata o:title=""/>
                <o:lock v:ext="edit" aspectratio="f"/>
                <v:textbox>
                  <w:txbxContent>
                    <w:p>
                      <w:pPr>
                        <w:spacing w:line="800" w:lineRule="exact"/>
                        <w:ind w:right="105" w:rightChars="50"/>
                        <w:rPr>
                          <w:rFonts w:hint="eastAsia" w:ascii="宋体" w:hAnsi="宋体" w:eastAsia="宋体" w:cs="宋体"/>
                          <w:b/>
                          <w:bCs/>
                          <w:sz w:val="24"/>
                        </w:rPr>
                      </w:pPr>
                      <w:r>
                        <w:rPr>
                          <w:rFonts w:hint="eastAsia" w:ascii="宋体" w:hAnsi="宋体" w:eastAsia="宋体" w:cs="宋体"/>
                          <w:b/>
                          <w:bCs/>
                          <w:sz w:val="24"/>
                        </w:rPr>
                        <w:t xml:space="preserve">乙方（盖章） :  </w:t>
                      </w:r>
                      <w:r>
                        <w:rPr>
                          <w:rFonts w:hint="eastAsia" w:ascii="宋体" w:hAnsi="宋体" w:eastAsia="宋体" w:cs="宋体"/>
                          <w:sz w:val="24"/>
                          <w:u w:val="single"/>
                        </w:rPr>
                        <w:t xml:space="preserve">              </w:t>
                      </w:r>
                    </w:p>
                    <w:p>
                      <w:pPr>
                        <w:spacing w:line="800" w:lineRule="exact"/>
                        <w:ind w:right="105" w:rightChars="50"/>
                        <w:rPr>
                          <w:rFonts w:hint="eastAsia" w:ascii="宋体" w:hAnsi="宋体" w:eastAsia="宋体" w:cs="宋体"/>
                          <w:sz w:val="24"/>
                          <w:u w:val="single"/>
                        </w:rPr>
                      </w:pPr>
                      <w:r>
                        <w:rPr>
                          <w:rFonts w:hint="eastAsia" w:ascii="宋体" w:hAnsi="宋体" w:eastAsia="宋体" w:cs="宋体"/>
                          <w:b/>
                          <w:bCs/>
                          <w:sz w:val="24"/>
                        </w:rPr>
                        <w:t xml:space="preserve">代表（签字） :  </w:t>
                      </w:r>
                      <w:r>
                        <w:rPr>
                          <w:rFonts w:hint="eastAsia" w:ascii="宋体" w:hAnsi="宋体" w:eastAsia="宋体" w:cs="宋体"/>
                          <w:sz w:val="24"/>
                          <w:u w:val="single"/>
                        </w:rPr>
                        <w:t xml:space="preserve">              </w:t>
                      </w:r>
                    </w:p>
                    <w:p>
                      <w:pPr>
                        <w:rPr>
                          <w:rFonts w:hint="eastAsia" w:ascii="宋体" w:hAnsi="宋体" w:eastAsia="宋体" w:cs="宋体"/>
                          <w:b/>
                          <w:bCs/>
                          <w:sz w:val="24"/>
                        </w:rPr>
                      </w:pPr>
                    </w:p>
                    <w:p>
                      <w:pPr>
                        <w:rPr>
                          <w:rFonts w:hint="eastAsia" w:ascii="宋体" w:hAnsi="宋体" w:eastAsia="宋体" w:cs="宋体"/>
                          <w:b/>
                          <w:bCs/>
                          <w:sz w:val="24"/>
                        </w:rPr>
                      </w:pPr>
                      <w:r>
                        <w:rPr>
                          <w:rFonts w:hint="eastAsia" w:ascii="宋体" w:hAnsi="宋体" w:eastAsia="宋体" w:cs="宋体"/>
                          <w:b/>
                          <w:bCs/>
                          <w:sz w:val="24"/>
                        </w:rPr>
                        <w:t xml:space="preserve">电        话 ： </w:t>
                      </w:r>
                      <w:r>
                        <w:rPr>
                          <w:rFonts w:hint="eastAsia" w:ascii="宋体" w:hAnsi="宋体" w:eastAsia="宋体" w:cs="宋体"/>
                          <w:sz w:val="24"/>
                          <w:u w:val="single"/>
                        </w:rPr>
                        <w:t xml:space="preserve">              </w:t>
                      </w:r>
                      <w:r>
                        <w:rPr>
                          <w:rFonts w:hint="eastAsia" w:ascii="宋体" w:hAnsi="宋体" w:eastAsia="宋体" w:cs="宋体"/>
                          <w:b/>
                          <w:bCs/>
                          <w:sz w:val="24"/>
                        </w:rPr>
                        <w:t xml:space="preserve"> </w:t>
                      </w: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r>
                        <w:rPr>
                          <w:rFonts w:hint="eastAsia" w:ascii="宋体" w:hAnsi="宋体" w:eastAsia="宋体" w:cs="宋体"/>
                          <w:b/>
                          <w:bCs/>
                          <w:sz w:val="24"/>
                        </w:rPr>
                        <w:t xml:space="preserve">日         期： </w:t>
                      </w:r>
                      <w:r>
                        <w:rPr>
                          <w:rFonts w:hint="eastAsia" w:ascii="宋体" w:hAnsi="宋体" w:eastAsia="宋体" w:cs="宋体"/>
                          <w:sz w:val="24"/>
                          <w:u w:val="single"/>
                        </w:rPr>
                        <w:t xml:space="preserve">              </w:t>
                      </w:r>
                    </w:p>
                    <w:p>
                      <w:pPr>
                        <w:rPr>
                          <w:rFonts w:hint="eastAsia" w:ascii="宋体" w:hAnsi="宋体" w:eastAsia="宋体" w:cs="宋体"/>
                        </w:rPr>
                      </w:pPr>
                    </w:p>
                  </w:txbxContent>
                </v:textbox>
              </v:shape>
            </w:pict>
          </mc:Fallback>
        </mc:AlternateContent>
      </w:r>
      <w:r>
        <w:rPr>
          <w:rFonts w:hint="eastAsia" w:ascii="宋体" w:hAnsi="宋体" w:eastAsia="宋体" w:cs="宋体"/>
          <w:b/>
          <w:bCs/>
          <w:color w:val="auto"/>
          <w:sz w:val="28"/>
          <w:szCs w:val="28"/>
          <w:lang w:eastAsia="zh-CN"/>
        </w:rPr>
        <w:t>维保</w:t>
      </w:r>
      <w:r>
        <w:rPr>
          <w:rFonts w:hint="eastAsia" w:ascii="宋体" w:hAnsi="宋体" w:eastAsia="宋体" w:cs="宋体"/>
          <w:b/>
          <w:bCs/>
          <w:color w:val="auto"/>
          <w:sz w:val="28"/>
          <w:szCs w:val="28"/>
        </w:rPr>
        <w:t xml:space="preserve">方（乙方）: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pPr>
        <w:spacing w:line="360" w:lineRule="auto"/>
        <w:jc w:val="both"/>
        <w:rPr>
          <w:rFonts w:hint="eastAsia" w:ascii="宋体" w:hAnsi="宋体" w:eastAsia="宋体" w:cs="宋体"/>
          <w:b/>
          <w:bCs/>
          <w:color w:val="auto"/>
          <w:sz w:val="28"/>
          <w:szCs w:val="28"/>
        </w:rPr>
        <w:sectPr>
          <w:footerReference r:id="rId7" w:type="default"/>
          <w:pgSz w:w="11906" w:h="16838"/>
          <w:pgMar w:top="1440" w:right="1134" w:bottom="1440" w:left="1134" w:header="851" w:footer="992" w:gutter="0"/>
          <w:pgNumType w:fmt="decimal" w:start="1"/>
          <w:cols w:space="720" w:num="1"/>
          <w:docGrid w:type="lines" w:linePitch="312" w:charSpace="0"/>
        </w:sectPr>
      </w:pPr>
    </w:p>
    <w:p>
      <w:pPr>
        <w:spacing w:line="360" w:lineRule="auto"/>
        <w:ind w:firstLine="435"/>
        <w:jc w:val="center"/>
        <w:rPr>
          <w:rFonts w:hint="eastAsia" w:ascii="宋体" w:hAnsi="宋体" w:eastAsia="宋体" w:cs="宋体"/>
          <w:b/>
          <w:color w:val="auto"/>
          <w:sz w:val="40"/>
          <w:szCs w:val="40"/>
          <w:lang w:eastAsia="zh-CN"/>
        </w:rPr>
      </w:pPr>
      <w:r>
        <w:rPr>
          <w:rFonts w:hint="eastAsia" w:ascii="宋体" w:hAnsi="宋体" w:eastAsia="宋体" w:cs="宋体"/>
          <w:b/>
          <w:color w:val="auto"/>
          <w:sz w:val="40"/>
          <w:szCs w:val="40"/>
          <w:lang w:eastAsia="zh-CN"/>
        </w:rPr>
        <w:t>第一部分：消防技术服务合同</w:t>
      </w:r>
    </w:p>
    <w:p>
      <w:pPr>
        <w:spacing w:line="360" w:lineRule="auto"/>
        <w:ind w:firstLine="435"/>
        <w:rPr>
          <w:rFonts w:hint="eastAsia" w:ascii="宋体" w:hAnsi="宋体" w:eastAsia="宋体" w:cs="宋体"/>
          <w:sz w:val="24"/>
        </w:rPr>
      </w:pPr>
      <w:r>
        <w:rPr>
          <w:rFonts w:hint="eastAsia" w:ascii="宋体" w:hAnsi="宋体" w:eastAsia="宋体" w:cs="宋体"/>
          <w:b/>
          <w:color w:val="auto"/>
          <w:sz w:val="24"/>
        </w:rPr>
        <w:t xml:space="preserve">总则  </w:t>
      </w:r>
      <w:r>
        <w:rPr>
          <w:rFonts w:hint="eastAsia" w:ascii="宋体" w:hAnsi="宋体" w:eastAsia="宋体" w:cs="宋体"/>
          <w:color w:val="auto"/>
          <w:sz w:val="24"/>
        </w:rPr>
        <w:t xml:space="preserve"> </w:t>
      </w:r>
      <w:r>
        <w:rPr>
          <w:rFonts w:hint="eastAsia" w:ascii="宋体" w:hAnsi="宋体" w:eastAsia="宋体" w:cs="宋体"/>
          <w:sz w:val="24"/>
        </w:rPr>
        <w:t>依据《中华人民共和</w:t>
      </w:r>
      <w:r>
        <w:rPr>
          <w:rFonts w:hint="eastAsia" w:ascii="宋体" w:hAnsi="宋体" w:eastAsia="宋体" w:cs="宋体"/>
          <w:color w:val="000000"/>
          <w:sz w:val="24"/>
        </w:rPr>
        <w:t>国</w:t>
      </w:r>
      <w:r>
        <w:rPr>
          <w:rFonts w:hint="eastAsia" w:ascii="宋体" w:hAnsi="宋体" w:eastAsia="宋体" w:cs="宋体"/>
          <w:color w:val="000000"/>
          <w:sz w:val="24"/>
          <w:highlight w:val="none"/>
          <w:lang w:val="en-US" w:eastAsia="zh-CN"/>
        </w:rPr>
        <w:t>民法典</w:t>
      </w:r>
      <w:r>
        <w:rPr>
          <w:rFonts w:hint="eastAsia" w:ascii="宋体" w:hAnsi="宋体" w:eastAsia="宋体" w:cs="宋体"/>
          <w:color w:val="000000"/>
          <w:sz w:val="24"/>
        </w:rPr>
        <w:t>》、《</w:t>
      </w:r>
      <w:r>
        <w:rPr>
          <w:rFonts w:hint="eastAsia" w:ascii="宋体" w:hAnsi="宋体" w:eastAsia="宋体" w:cs="宋体"/>
          <w:sz w:val="24"/>
        </w:rPr>
        <w:t>中华人民共和国消防法》及相关法律规定，遵循平等、自愿、公平和诚实信用原则，双方就</w:t>
      </w:r>
      <w:r>
        <w:rPr>
          <w:rFonts w:hint="eastAsia" w:ascii="宋体" w:hAnsi="宋体" w:eastAsia="宋体" w:cs="宋体"/>
          <w:sz w:val="24"/>
          <w:lang w:val="en-US" w:eastAsia="zh-CN"/>
        </w:rPr>
        <w:t>甲方</w:t>
      </w:r>
      <w:r>
        <w:rPr>
          <w:rFonts w:hint="eastAsia" w:ascii="宋体" w:hAnsi="宋体" w:eastAsia="宋体" w:cs="宋体"/>
          <w:color w:val="auto"/>
          <w:sz w:val="24"/>
          <w:u w:val="none"/>
        </w:rPr>
        <w:t>建筑消防设施</w:t>
      </w:r>
      <w:r>
        <w:rPr>
          <w:rFonts w:hint="eastAsia" w:ascii="宋体" w:hAnsi="宋体" w:eastAsia="宋体" w:cs="宋体"/>
          <w:color w:val="auto"/>
          <w:sz w:val="24"/>
          <w:u w:val="none"/>
          <w:lang w:eastAsia="zh-CN"/>
        </w:rPr>
        <w:t>维护保养</w:t>
      </w:r>
      <w:r>
        <w:rPr>
          <w:rFonts w:hint="eastAsia" w:ascii="宋体" w:hAnsi="宋体" w:eastAsia="宋体" w:cs="宋体"/>
          <w:color w:val="auto"/>
          <w:sz w:val="24"/>
          <w:u w:val="none"/>
        </w:rPr>
        <w:t>事项</w:t>
      </w:r>
      <w:r>
        <w:rPr>
          <w:rFonts w:hint="eastAsia" w:ascii="宋体" w:hAnsi="宋体" w:eastAsia="宋体" w:cs="宋体"/>
          <w:sz w:val="24"/>
        </w:rPr>
        <w:t>协商一致，签订本合同。</w:t>
      </w:r>
    </w:p>
    <w:p>
      <w:pPr>
        <w:numPr>
          <w:ilvl w:val="0"/>
          <w:numId w:val="3"/>
        </w:numPr>
        <w:spacing w:line="360" w:lineRule="auto"/>
        <w:rPr>
          <w:rFonts w:hint="eastAsia" w:ascii="宋体" w:hAnsi="宋体" w:eastAsia="宋体" w:cs="宋体"/>
          <w:b/>
          <w:bCs/>
          <w:sz w:val="24"/>
          <w:lang w:eastAsia="zh-CN"/>
        </w:rPr>
      </w:pPr>
      <w:r>
        <w:rPr>
          <w:rFonts w:hint="eastAsia" w:ascii="宋体" w:hAnsi="宋体" w:eastAsia="宋体" w:cs="宋体"/>
          <w:b/>
          <w:bCs/>
          <w:sz w:val="24"/>
          <w:lang w:eastAsia="zh-CN"/>
        </w:rPr>
        <w:t>项目概况</w:t>
      </w:r>
    </w:p>
    <w:p>
      <w:pPr>
        <w:numPr>
          <w:ilvl w:val="0"/>
          <w:numId w:val="4"/>
        </w:numPr>
        <w:spacing w:line="360" w:lineRule="auto"/>
        <w:ind w:right="105" w:rightChars="5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lang w:val="en-US" w:eastAsia="zh-CN"/>
        </w:rPr>
        <w:t xml:space="preserve"> </w:t>
      </w:r>
      <w:r>
        <w:rPr>
          <w:rFonts w:hint="eastAsia" w:ascii="宋体" w:hAnsi="宋体" w:eastAsia="宋体" w:cs="宋体"/>
          <w:kern w:val="0"/>
          <w:sz w:val="24"/>
          <w:u w:val="single"/>
          <w:lang w:val="en-US" w:eastAsia="zh-CN"/>
        </w:rPr>
        <w:t>岳阳城陵矶新港有限公司2022年度消防维保检测评估</w:t>
      </w:r>
    </w:p>
    <w:p>
      <w:pPr>
        <w:numPr>
          <w:ilvl w:val="0"/>
          <w:numId w:val="4"/>
        </w:numPr>
        <w:spacing w:line="360" w:lineRule="auto"/>
        <w:ind w:right="105" w:rightChars="50"/>
        <w:rPr>
          <w:rFonts w:hint="eastAsia" w:ascii="宋体" w:hAnsi="宋体" w:eastAsia="宋体" w:cs="宋体"/>
          <w:sz w:val="24"/>
        </w:rPr>
      </w:pPr>
      <w:r>
        <w:rPr>
          <w:rFonts w:hint="eastAsia" w:ascii="宋体" w:hAnsi="宋体" w:eastAsia="宋体" w:cs="宋体"/>
          <w:sz w:val="24"/>
        </w:rPr>
        <w:t xml:space="preserve">项目地点： </w:t>
      </w:r>
      <w:r>
        <w:rPr>
          <w:rFonts w:hint="eastAsia" w:ascii="宋体" w:hAnsi="宋体" w:eastAsia="宋体" w:cs="宋体"/>
          <w:kern w:val="0"/>
          <w:sz w:val="24"/>
          <w:u w:val="single"/>
          <w:lang w:val="en-US" w:eastAsia="zh-CN"/>
        </w:rPr>
        <w:t>岳阳城陵矶新港有限公司</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p>
    <w:p>
      <w:pPr>
        <w:numPr>
          <w:ilvl w:val="0"/>
          <w:numId w:val="4"/>
        </w:numPr>
        <w:spacing w:line="360" w:lineRule="auto"/>
        <w:ind w:right="105" w:rightChars="50"/>
        <w:rPr>
          <w:rFonts w:hint="eastAsia" w:ascii="宋体" w:hAnsi="宋体" w:eastAsia="宋体" w:cs="宋体"/>
          <w:sz w:val="24"/>
          <w:lang w:eastAsia="zh-CN"/>
        </w:rPr>
      </w:pPr>
      <w:r>
        <w:rPr>
          <w:rFonts w:hint="eastAsia" w:ascii="宋体" w:hAnsi="宋体" w:eastAsia="宋体" w:cs="宋体"/>
          <w:sz w:val="24"/>
          <w:lang w:eastAsia="zh-CN"/>
        </w:rPr>
        <w:t>维保频次：</w:t>
      </w:r>
      <w:r>
        <w:rPr>
          <w:rFonts w:hint="eastAsia" w:ascii="宋体" w:hAnsi="宋体" w:eastAsia="宋体" w:cs="宋体"/>
          <w:sz w:val="24"/>
          <w:lang w:val="en-US" w:eastAsia="zh-CN"/>
        </w:rPr>
        <w:t xml:space="preserve"> </w:t>
      </w:r>
      <w:r>
        <w:rPr>
          <w:rFonts w:hint="eastAsia" w:ascii="宋体" w:hAnsi="宋体" w:eastAsia="宋体" w:cs="宋体"/>
          <w:kern w:val="0"/>
          <w:sz w:val="24"/>
          <w:u w:val="single"/>
          <w:lang w:val="en-US" w:eastAsia="zh-CN"/>
        </w:rPr>
        <w:t>每月</w:t>
      </w:r>
      <w:r>
        <w:rPr>
          <w:rFonts w:hint="eastAsia" w:ascii="宋体" w:hAnsi="宋体" w:eastAsia="宋体" w:cs="宋体"/>
          <w:b w:val="0"/>
          <w:bCs w:val="0"/>
          <w:kern w:val="0"/>
          <w:sz w:val="24"/>
          <w:u w:val="single"/>
          <w:lang w:val="en-US" w:eastAsia="zh-CN"/>
        </w:rPr>
        <w:t>一</w:t>
      </w:r>
      <w:r>
        <w:rPr>
          <w:rFonts w:hint="eastAsia" w:ascii="宋体" w:hAnsi="宋体" w:eastAsia="宋体" w:cs="宋体"/>
          <w:b w:val="0"/>
          <w:bCs w:val="0"/>
          <w:sz w:val="24"/>
          <w:u w:val="single"/>
          <w:lang w:val="en-US" w:eastAsia="zh-CN"/>
        </w:rPr>
        <w:t>次</w:t>
      </w:r>
      <w:r>
        <w:rPr>
          <w:rFonts w:hint="eastAsia" w:ascii="宋体" w:hAnsi="宋体" w:eastAsia="宋体" w:cs="宋体"/>
          <w:b w:val="0"/>
          <w:bCs w:val="0"/>
          <w:sz w:val="24"/>
          <w:u w:val="single"/>
        </w:rPr>
        <w:t xml:space="preserve"> </w:t>
      </w:r>
      <w:r>
        <w:rPr>
          <w:rFonts w:hint="eastAsia" w:ascii="宋体" w:hAnsi="宋体" w:eastAsia="宋体" w:cs="宋体"/>
          <w:b w:val="0"/>
          <w:bCs w:val="0"/>
          <w:sz w:val="24"/>
          <w:u w:val="single"/>
          <w:lang w:val="en-US" w:eastAsia="zh-CN"/>
        </w:rPr>
        <w:t xml:space="preserve">                                      </w:t>
      </w:r>
      <w:r>
        <w:rPr>
          <w:rFonts w:hint="eastAsia" w:ascii="宋体" w:hAnsi="宋体" w:eastAsia="宋体" w:cs="宋体"/>
          <w:sz w:val="24"/>
        </w:rPr>
        <w:t xml:space="preserve">  </w:t>
      </w:r>
    </w:p>
    <w:p>
      <w:pPr>
        <w:numPr>
          <w:ilvl w:val="0"/>
          <w:numId w:val="4"/>
        </w:numPr>
        <w:spacing w:line="360" w:lineRule="auto"/>
        <w:ind w:right="105" w:rightChars="50"/>
        <w:rPr>
          <w:rFonts w:hint="eastAsia" w:ascii="宋体" w:hAnsi="宋体" w:eastAsia="宋体" w:cs="宋体"/>
          <w:sz w:val="24"/>
          <w:lang w:eastAsia="zh-CN"/>
        </w:rPr>
      </w:pPr>
      <w:r>
        <w:rPr>
          <w:rFonts w:hint="eastAsia" w:ascii="宋体" w:hAnsi="宋体" w:eastAsia="宋体" w:cs="宋体"/>
          <w:sz w:val="24"/>
          <w:lang w:val="en-US" w:eastAsia="zh-CN"/>
        </w:rPr>
        <w:t>维保</w:t>
      </w:r>
      <w:r>
        <w:rPr>
          <w:rFonts w:hint="eastAsia" w:ascii="宋体" w:hAnsi="宋体" w:eastAsia="宋体" w:cs="宋体"/>
          <w:sz w:val="24"/>
        </w:rPr>
        <w:t xml:space="preserve">周期：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年</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月</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日至</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年</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月</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日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pPr>
        <w:numPr>
          <w:ilvl w:val="0"/>
          <w:numId w:val="4"/>
        </w:numPr>
        <w:spacing w:line="360" w:lineRule="auto"/>
        <w:ind w:right="105" w:rightChars="50"/>
        <w:rPr>
          <w:rFonts w:hint="eastAsia" w:ascii="宋体" w:hAnsi="宋体" w:eastAsia="宋体" w:cs="宋体"/>
          <w:sz w:val="24"/>
          <w:u w:val="single"/>
          <w:lang w:eastAsia="zh-CN"/>
        </w:rPr>
      </w:pPr>
      <w:r>
        <w:rPr>
          <w:rFonts w:hint="eastAsia" w:ascii="宋体" w:hAnsi="宋体" w:eastAsia="宋体" w:cs="宋体"/>
          <w:sz w:val="24"/>
          <w:u w:val="none"/>
          <w:lang w:val="en-US" w:eastAsia="zh-CN"/>
        </w:rPr>
        <w:t xml:space="preserve">检测周期：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年</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月</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日至</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年</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月</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日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pPr>
        <w:numPr>
          <w:ilvl w:val="0"/>
          <w:numId w:val="4"/>
        </w:numPr>
        <w:spacing w:line="360" w:lineRule="auto"/>
        <w:ind w:right="105" w:rightChars="50"/>
        <w:rPr>
          <w:rFonts w:hint="eastAsia" w:ascii="宋体" w:hAnsi="宋体" w:eastAsia="宋体" w:cs="宋体"/>
          <w:sz w:val="24"/>
          <w:u w:val="single"/>
          <w:lang w:eastAsia="zh-CN"/>
        </w:rPr>
      </w:pPr>
      <w:r>
        <w:rPr>
          <w:rFonts w:hint="eastAsia" w:ascii="宋体" w:hAnsi="宋体" w:eastAsia="宋体" w:cs="宋体"/>
          <w:sz w:val="24"/>
          <w:u w:val="none"/>
          <w:lang w:val="en-US" w:eastAsia="zh-CN"/>
        </w:rPr>
        <w:t xml:space="preserve">评估周期：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年</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月</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日至</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年</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月</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日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pPr>
        <w:spacing w:line="360" w:lineRule="auto"/>
        <w:jc w:val="left"/>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二、建筑消防维护保养范围</w:t>
      </w:r>
    </w:p>
    <w:p>
      <w:pPr>
        <w:spacing w:line="360" w:lineRule="auto"/>
        <w:jc w:val="left"/>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、单位建筑基本信息：</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6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19" w:type="dxa"/>
            <w:gridSpan w:val="2"/>
            <w:noWrap w:val="0"/>
            <w:vAlign w:val="center"/>
          </w:tcPr>
          <w:p>
            <w:pPr>
              <w:adjustRightInd w:val="0"/>
              <w:snapToGrid w:val="0"/>
              <w:rPr>
                <w:rFonts w:hint="eastAsia" w:ascii="宋体" w:hAnsi="宋体" w:eastAsia="宋体" w:cs="宋体"/>
                <w:b/>
                <w:color w:val="auto"/>
                <w:sz w:val="24"/>
              </w:rPr>
            </w:pPr>
            <w:r>
              <w:rPr>
                <w:rFonts w:hint="eastAsia" w:ascii="宋体" w:hAnsi="宋体" w:eastAsia="宋体" w:cs="宋体"/>
                <w:b/>
                <w:color w:val="auto"/>
                <w:sz w:val="24"/>
              </w:rPr>
              <w:t>单位概况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5" w:type="dxa"/>
            <w:noWrap w:val="0"/>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单位名称</w:t>
            </w:r>
          </w:p>
        </w:tc>
        <w:tc>
          <w:tcPr>
            <w:tcW w:w="6994" w:type="dxa"/>
            <w:noWrap w:val="0"/>
            <w:vAlign w:val="center"/>
          </w:tcPr>
          <w:p>
            <w:pPr>
              <w:adjustRightInd w:val="0"/>
              <w:snapToGrid w:val="0"/>
              <w:jc w:val="center"/>
              <w:rPr>
                <w:rFonts w:hint="eastAsia" w:ascii="宋体" w:hAnsi="宋体" w:eastAsia="宋体" w:cs="宋体"/>
                <w:color w:val="auto"/>
                <w:sz w:val="24"/>
                <w:lang w:val="en-US" w:eastAsia="zh-CN"/>
              </w:rPr>
            </w:pPr>
            <w:r>
              <w:rPr>
                <w:rFonts w:hint="eastAsia" w:ascii="宋体" w:hAnsi="宋体" w:eastAsia="宋体" w:cs="宋体"/>
                <w:kern w:val="0"/>
                <w:sz w:val="24"/>
                <w:u w:val="none"/>
                <w:lang w:val="en-US" w:eastAsia="zh-CN"/>
              </w:rPr>
              <w:t>岳阳城陵矶新港有限公司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5" w:type="dxa"/>
            <w:noWrap w:val="0"/>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单位地址</w:t>
            </w:r>
          </w:p>
        </w:tc>
        <w:tc>
          <w:tcPr>
            <w:tcW w:w="6994" w:type="dxa"/>
            <w:noWrap w:val="0"/>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kern w:val="0"/>
                <w:sz w:val="24"/>
                <w:u w:val="none"/>
                <w:lang w:val="en-US" w:eastAsia="zh-CN"/>
              </w:rPr>
              <w:t>岳阳市云溪区永济乡城陵矶新港办公大楼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5" w:type="dxa"/>
            <w:noWrap w:val="0"/>
            <w:vAlign w:val="center"/>
          </w:tcPr>
          <w:p>
            <w:pPr>
              <w:adjustRightInd w:val="0"/>
              <w:snapToGrid w:val="0"/>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单位负责人</w:t>
            </w:r>
          </w:p>
        </w:tc>
        <w:tc>
          <w:tcPr>
            <w:tcW w:w="6994" w:type="dxa"/>
            <w:noWrap w:val="0"/>
            <w:vAlign w:val="center"/>
          </w:tcPr>
          <w:p>
            <w:pPr>
              <w:adjustRightInd w:val="0"/>
              <w:snapToGrid w:val="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任一兵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5" w:type="dxa"/>
            <w:noWrap w:val="0"/>
            <w:vAlign w:val="center"/>
          </w:tcPr>
          <w:p>
            <w:pPr>
              <w:adjustRightInd w:val="0"/>
              <w:snapToGrid w:val="0"/>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单位电话</w:t>
            </w:r>
          </w:p>
        </w:tc>
        <w:tc>
          <w:tcPr>
            <w:tcW w:w="6994" w:type="dxa"/>
            <w:noWrap w:val="0"/>
            <w:vAlign w:val="center"/>
          </w:tcPr>
          <w:p>
            <w:pPr>
              <w:adjustRightInd w:val="0"/>
              <w:snapToGrid w:val="0"/>
              <w:jc w:val="center"/>
              <w:rPr>
                <w:rFonts w:hint="eastAsia" w:ascii="宋体" w:hAnsi="宋体" w:eastAsia="宋体" w:cs="宋体"/>
                <w:color w:val="auto"/>
                <w:sz w:val="24"/>
                <w:lang w:val="en-US" w:eastAsia="zh-CN"/>
              </w:rPr>
            </w:pPr>
            <w:r>
              <w:rPr>
                <w:rFonts w:hint="eastAsia"/>
                <w:color w:val="auto"/>
                <w:sz w:val="24"/>
                <w:szCs w:val="24"/>
              </w:rPr>
              <w:t>0730-8422010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5" w:type="dxa"/>
            <w:noWrap w:val="0"/>
            <w:vAlign w:val="center"/>
          </w:tcPr>
          <w:p>
            <w:pPr>
              <w:adjustRightInd w:val="0"/>
              <w:snapToGrid w:val="0"/>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消防联系人</w:t>
            </w:r>
          </w:p>
        </w:tc>
        <w:tc>
          <w:tcPr>
            <w:tcW w:w="6994" w:type="dxa"/>
            <w:noWrap w:val="0"/>
            <w:vAlign w:val="center"/>
          </w:tcPr>
          <w:p>
            <w:pPr>
              <w:adjustRightInd w:val="0"/>
              <w:snapToGrid w:val="0"/>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谈煜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5" w:type="dxa"/>
            <w:noWrap w:val="0"/>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联系人手机</w:t>
            </w:r>
          </w:p>
        </w:tc>
        <w:tc>
          <w:tcPr>
            <w:tcW w:w="6994" w:type="dxa"/>
            <w:noWrap w:val="0"/>
            <w:vAlign w:val="center"/>
          </w:tcPr>
          <w:p>
            <w:pPr>
              <w:adjustRightInd w:val="0"/>
              <w:snapToGrid w:val="0"/>
              <w:jc w:val="center"/>
              <w:rPr>
                <w:rFonts w:hint="default" w:ascii="宋体" w:hAnsi="宋体" w:eastAsia="宋体" w:cs="宋体"/>
                <w:color w:val="auto"/>
                <w:sz w:val="24"/>
                <w:lang w:val="en-US" w:eastAsia="zh-CN"/>
              </w:rPr>
            </w:pPr>
            <w:r>
              <w:rPr>
                <w:rFonts w:hint="eastAsia" w:ascii="Times New Roman" w:hAnsi="Times New Roman" w:eastAsia="宋体" w:cs="Times New Roman"/>
                <w:color w:val="auto"/>
                <w:sz w:val="24"/>
                <w:szCs w:val="24"/>
                <w:lang w:val="en-US" w:eastAsia="zh-CN"/>
              </w:rPr>
              <w:t>13808402421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5" w:type="dxa"/>
            <w:noWrap w:val="0"/>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总建筑面积</w:t>
            </w:r>
          </w:p>
        </w:tc>
        <w:tc>
          <w:tcPr>
            <w:tcW w:w="6994" w:type="dxa"/>
            <w:noWrap w:val="0"/>
            <w:vAlign w:val="center"/>
          </w:tcPr>
          <w:p>
            <w:pPr>
              <w:adjustRightInd w:val="0"/>
              <w:snapToGrid w:val="0"/>
              <w:jc w:val="center"/>
              <w:rPr>
                <w:rFonts w:hint="default" w:ascii="宋体" w:hAnsi="宋体" w:eastAsia="宋体" w:cs="宋体"/>
                <w:color w:val="auto"/>
                <w:sz w:val="24"/>
                <w:lang w:val="en-US" w:eastAsia="zh-CN"/>
              </w:rPr>
            </w:pPr>
            <w:r>
              <w:rPr>
                <w:rFonts w:hint="eastAsia" w:ascii="宋体" w:hAnsi="宋体" w:eastAsia="宋体" w:cs="宋体"/>
                <w:color w:val="auto"/>
                <w:sz w:val="24"/>
              </w:rPr>
              <w:t>共</w:t>
            </w:r>
            <w:r>
              <w:rPr>
                <w:rFonts w:hint="eastAsia" w:ascii="宋体" w:hAnsi="宋体" w:eastAsia="宋体" w:cs="宋体"/>
                <w:color w:val="auto"/>
                <w:sz w:val="24"/>
                <w:lang w:val="en-US" w:eastAsia="zh-CN"/>
              </w:rPr>
              <w:t>37504</w:t>
            </w:r>
            <w:r>
              <w:rPr>
                <w:rFonts w:hint="eastAsia" w:ascii="宋体" w:hAnsi="宋体" w:eastAsia="宋体" w:cs="宋体"/>
                <w:color w:val="auto"/>
                <w:sz w:val="24"/>
              </w:rPr>
              <w:t>m</w:t>
            </w:r>
            <w:r>
              <w:rPr>
                <w:rFonts w:hint="eastAsia" w:ascii="宋体" w:hAnsi="宋体" w:eastAsia="宋体" w:cs="宋体"/>
                <w:color w:val="auto"/>
                <w:sz w:val="24"/>
                <w:vertAlign w:val="superscript"/>
              </w:rPr>
              <w:t>2</w:t>
            </w:r>
            <w:r>
              <w:rPr>
                <w:rFonts w:hint="eastAsia" w:ascii="宋体" w:hAnsi="宋体" w:eastAsia="宋体" w:cs="宋体"/>
                <w:color w:val="auto"/>
                <w:sz w:val="24"/>
                <w:vertAlign w:val="superscript"/>
                <w:lang w:val="en-US" w:eastAsia="zh-CN"/>
              </w:rPr>
              <w:t xml:space="preserve"> </w:t>
            </w:r>
            <w:r>
              <w:rPr>
                <w:rFonts w:hint="eastAsia" w:ascii="宋体" w:hAnsi="宋体" w:eastAsia="宋体" w:cs="宋体"/>
                <w:color w:val="auto"/>
                <w:sz w:val="24"/>
                <w:lang w:val="en-US" w:eastAsia="zh-CN"/>
              </w:rPr>
              <w:t>（新港办公楼 内贸库 外贸库）</w:t>
            </w:r>
          </w:p>
        </w:tc>
      </w:tr>
    </w:tbl>
    <w:p>
      <w:pPr>
        <w:numPr>
          <w:ilvl w:val="0"/>
          <w:numId w:val="5"/>
        </w:numPr>
        <w:spacing w:line="36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根据甲方现有的建筑消防设施，维护保养范围</w:t>
      </w:r>
      <w:r>
        <w:rPr>
          <w:rFonts w:hint="eastAsia" w:ascii="宋体" w:hAnsi="宋体" w:eastAsia="宋体" w:cs="宋体"/>
          <w:b/>
          <w:bCs/>
          <w:color w:val="auto"/>
          <w:sz w:val="24"/>
          <w:szCs w:val="24"/>
          <w:lang w:eastAsia="zh-CN"/>
        </w:rPr>
        <w:t>为</w:t>
      </w:r>
      <w:r>
        <w:rPr>
          <w:rFonts w:hint="eastAsia" w:ascii="宋体" w:hAnsi="宋体" w:eastAsia="宋体" w:cs="宋体"/>
          <w:b/>
          <w:bCs/>
          <w:color w:val="auto"/>
          <w:sz w:val="24"/>
          <w:szCs w:val="24"/>
        </w:rPr>
        <w:t>：</w:t>
      </w:r>
    </w:p>
    <w:p>
      <w:pPr>
        <w:numPr>
          <w:ilvl w:val="0"/>
          <w:numId w:val="0"/>
        </w:numPr>
        <w:spacing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2.1建筑消防设施</w:t>
      </w:r>
    </w:p>
    <w:p>
      <w:pPr>
        <w:spacing w:line="360" w:lineRule="auto"/>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eastAsia="zh-CN"/>
        </w:rPr>
        <w:sym w:font="Wingdings 2" w:char="00A3"/>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highlight w:val="none"/>
          <w:lang w:eastAsia="zh-CN"/>
        </w:rPr>
        <w:t>消防供配电设施</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火灾自动报警系统</w:t>
      </w:r>
      <w:r>
        <w:rPr>
          <w:rFonts w:hint="eastAsia" w:ascii="宋体" w:hAnsi="宋体" w:eastAsia="宋体" w:cs="宋体"/>
          <w:color w:val="auto"/>
          <w:kern w:val="0"/>
          <w:sz w:val="24"/>
          <w:szCs w:val="24"/>
          <w:highlight w:val="none"/>
        </w:rPr>
        <w:t xml:space="preserve">     </w:t>
      </w:r>
    </w:p>
    <w:p>
      <w:pPr>
        <w:spacing w:line="360" w:lineRule="auto"/>
        <w:ind w:left="24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sym w:font="Wingdings 2" w:char="00A3"/>
      </w: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消防给水设施</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室内消火栓</w:t>
      </w:r>
    </w:p>
    <w:p>
      <w:pPr>
        <w:spacing w:line="360" w:lineRule="auto"/>
        <w:ind w:left="2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室外消火栓</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消防炮</w:t>
      </w:r>
    </w:p>
    <w:p>
      <w:pPr>
        <w:spacing w:line="360" w:lineRule="auto"/>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、自动喷水灭火系统       □</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、泡沫灭火系统</w:t>
      </w:r>
    </w:p>
    <w:p>
      <w:pPr>
        <w:spacing w:line="360" w:lineRule="auto"/>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 xml:space="preserve">、气体灭火系统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机械加压送风系统</w:t>
      </w:r>
      <w:r>
        <w:rPr>
          <w:rFonts w:hint="eastAsia" w:ascii="宋体" w:hAnsi="宋体" w:eastAsia="宋体" w:cs="宋体"/>
          <w:color w:val="auto"/>
          <w:kern w:val="0"/>
          <w:sz w:val="24"/>
          <w:szCs w:val="24"/>
          <w:highlight w:val="none"/>
        </w:rPr>
        <w:t xml:space="preserve">     </w:t>
      </w:r>
    </w:p>
    <w:p>
      <w:pPr>
        <w:spacing w:line="360" w:lineRule="auto"/>
        <w:ind w:firstLine="240" w:firstLineChars="1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机械排烟系统</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应急照明和疏散指示标志</w:t>
      </w:r>
    </w:p>
    <w:p>
      <w:pPr>
        <w:spacing w:line="360" w:lineRule="auto"/>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、应急广播系统</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消防专用电话</w:t>
      </w: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p>
    <w:p>
      <w:pPr>
        <w:spacing w:line="360" w:lineRule="auto"/>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消防分隔设施</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消防电梯</w:t>
      </w: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p>
    <w:p>
      <w:pPr>
        <w:spacing w:line="360" w:lineRule="auto"/>
        <w:ind w:firstLine="240" w:firstLineChars="1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灭火器</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其他</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p>
    <w:p>
      <w:pPr>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以上</w:t>
      </w:r>
      <w:r>
        <w:rPr>
          <w:rFonts w:hint="eastAsia" w:ascii="宋体" w:hAnsi="宋体" w:eastAsia="宋体" w:cs="宋体"/>
          <w:bCs/>
          <w:color w:val="auto"/>
          <w:sz w:val="24"/>
          <w:szCs w:val="24"/>
          <w:lang w:eastAsia="zh-CN"/>
        </w:rPr>
        <w:t>勾选的</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2、4、5、7、9、12、15、17</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none"/>
        </w:rPr>
        <w:t>项</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共计</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 xml:space="preserve">8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项，属于本合同维护保养范围，其余项不在本合同范围内；</w:t>
      </w:r>
      <w:r>
        <w:rPr>
          <w:rFonts w:hint="eastAsia" w:ascii="宋体" w:hAnsi="宋体" w:eastAsia="宋体" w:cs="宋体"/>
          <w:bCs/>
          <w:color w:val="auto"/>
          <w:sz w:val="24"/>
          <w:szCs w:val="24"/>
          <w:lang w:eastAsia="zh-CN"/>
        </w:rPr>
        <w:t>对于</w:t>
      </w:r>
      <w:r>
        <w:rPr>
          <w:rFonts w:hint="eastAsia" w:ascii="宋体" w:hAnsi="宋体" w:eastAsia="宋体" w:cs="宋体"/>
          <w:bCs/>
          <w:color w:val="auto"/>
          <w:sz w:val="24"/>
          <w:szCs w:val="24"/>
        </w:rPr>
        <w:t>其余</w:t>
      </w:r>
      <w:r>
        <w:rPr>
          <w:rFonts w:hint="eastAsia" w:ascii="宋体" w:hAnsi="宋体" w:eastAsia="宋体" w:cs="宋体"/>
          <w:bCs/>
          <w:color w:val="auto"/>
          <w:sz w:val="24"/>
          <w:szCs w:val="24"/>
          <w:lang w:val="en-US" w:eastAsia="zh-CN"/>
        </w:rPr>
        <w:t>未勾选</w:t>
      </w:r>
      <w:r>
        <w:rPr>
          <w:rFonts w:hint="eastAsia" w:ascii="宋体" w:hAnsi="宋体" w:eastAsia="宋体" w:cs="宋体"/>
          <w:bCs/>
          <w:color w:val="auto"/>
          <w:sz w:val="24"/>
          <w:szCs w:val="24"/>
        </w:rPr>
        <w:t>项出现</w:t>
      </w:r>
      <w:r>
        <w:rPr>
          <w:rFonts w:hint="eastAsia" w:ascii="宋体" w:hAnsi="宋体" w:eastAsia="宋体" w:cs="宋体"/>
          <w:bCs/>
          <w:color w:val="auto"/>
          <w:sz w:val="24"/>
          <w:szCs w:val="24"/>
          <w:lang w:eastAsia="zh-CN"/>
        </w:rPr>
        <w:t>的</w:t>
      </w:r>
      <w:r>
        <w:rPr>
          <w:rFonts w:hint="eastAsia" w:ascii="宋体" w:hAnsi="宋体" w:eastAsia="宋体" w:cs="宋体"/>
          <w:bCs/>
          <w:color w:val="auto"/>
          <w:sz w:val="24"/>
          <w:szCs w:val="24"/>
        </w:rPr>
        <w:t>故障或造成</w:t>
      </w:r>
      <w:r>
        <w:rPr>
          <w:rFonts w:hint="eastAsia" w:ascii="宋体" w:hAnsi="宋体" w:eastAsia="宋体" w:cs="宋体"/>
          <w:bCs/>
          <w:color w:val="auto"/>
          <w:sz w:val="24"/>
          <w:szCs w:val="24"/>
          <w:lang w:eastAsia="zh-CN"/>
        </w:rPr>
        <w:t>的</w:t>
      </w:r>
      <w:r>
        <w:rPr>
          <w:rFonts w:hint="eastAsia" w:ascii="宋体" w:hAnsi="宋体" w:eastAsia="宋体" w:cs="宋体"/>
          <w:bCs/>
          <w:color w:val="auto"/>
          <w:sz w:val="24"/>
          <w:szCs w:val="24"/>
        </w:rPr>
        <w:t>损失，乙方不承担任何责任。</w:t>
      </w:r>
    </w:p>
    <w:p>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2.2建（构）筑物消防设施维保详细范围界定: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color w:val="auto"/>
          <w:kern w:val="0"/>
          <w:sz w:val="24"/>
          <w:szCs w:val="24"/>
          <w:highlight w:val="none"/>
          <w:u w:val="single"/>
          <w:lang w:val="en-US" w:eastAsia="zh-CN"/>
        </w:rPr>
      </w:pPr>
      <w:r>
        <w:rPr>
          <w:rFonts w:hint="eastAsia" w:ascii="宋体" w:hAnsi="宋体" w:eastAsia="宋体" w:cs="宋体"/>
          <w:snapToGrid w:val="0"/>
          <w:color w:val="auto"/>
          <w:kern w:val="0"/>
          <w:sz w:val="24"/>
          <w:szCs w:val="24"/>
          <w:highlight w:val="none"/>
          <w:u w:val="single"/>
          <w:lang w:val="en-US" w:eastAsia="zh-CN"/>
        </w:rPr>
        <w:t>1、属于本合同维保范围：</w:t>
      </w:r>
      <w:r>
        <w:rPr>
          <w:rFonts w:hint="eastAsia" w:ascii="宋体" w:hAnsi="宋体" w:eastAsia="宋体" w:cs="宋体"/>
          <w:color w:val="auto"/>
          <w:kern w:val="0"/>
          <w:sz w:val="24"/>
          <w:szCs w:val="24"/>
          <w:u w:val="single"/>
          <w:lang w:eastAsia="zh-CN"/>
        </w:rPr>
        <w:t>火灾自动报警系统、</w:t>
      </w:r>
      <w:r>
        <w:rPr>
          <w:rFonts w:hint="eastAsia" w:ascii="宋体" w:hAnsi="宋体" w:eastAsia="宋体" w:cs="宋体"/>
          <w:color w:val="auto"/>
          <w:kern w:val="0"/>
          <w:sz w:val="24"/>
          <w:szCs w:val="24"/>
          <w:u w:val="single"/>
          <w:lang w:val="en-US" w:eastAsia="zh-CN"/>
        </w:rPr>
        <w:t>室内消火栓、室外消火栓</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eastAsia="zh-CN"/>
        </w:rPr>
        <w:t>、</w:t>
      </w:r>
      <w:r>
        <w:rPr>
          <w:rFonts w:hint="eastAsia" w:ascii="宋体" w:hAnsi="宋体" w:eastAsia="宋体" w:cs="宋体"/>
          <w:color w:val="auto"/>
          <w:kern w:val="0"/>
          <w:sz w:val="24"/>
          <w:szCs w:val="24"/>
          <w:u w:val="single"/>
        </w:rPr>
        <w:t>自动喷水灭火系统</w:t>
      </w:r>
      <w:r>
        <w:rPr>
          <w:rFonts w:hint="eastAsia" w:ascii="宋体" w:hAnsi="宋体" w:eastAsia="宋体" w:cs="宋体"/>
          <w:color w:val="auto"/>
          <w:kern w:val="0"/>
          <w:sz w:val="24"/>
          <w:szCs w:val="24"/>
          <w:u w:val="single"/>
          <w:lang w:eastAsia="zh-CN"/>
        </w:rPr>
        <w:t>、</w:t>
      </w:r>
      <w:r>
        <w:rPr>
          <w:rFonts w:hint="eastAsia" w:ascii="宋体" w:hAnsi="宋体" w:eastAsia="宋体" w:cs="宋体"/>
          <w:color w:val="auto"/>
          <w:kern w:val="0"/>
          <w:sz w:val="24"/>
          <w:szCs w:val="24"/>
          <w:u w:val="single"/>
        </w:rPr>
        <w:t xml:space="preserve">气体灭火系统 </w:t>
      </w:r>
      <w:r>
        <w:rPr>
          <w:rFonts w:hint="eastAsia" w:ascii="宋体" w:hAnsi="宋体" w:eastAsia="宋体" w:cs="宋体"/>
          <w:color w:val="auto"/>
          <w:kern w:val="0"/>
          <w:sz w:val="24"/>
          <w:szCs w:val="24"/>
          <w:u w:val="single"/>
          <w:lang w:eastAsia="zh-CN"/>
        </w:rPr>
        <w:t>、应急照明和疏散指示标志、消防分隔设施</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eastAsia="zh-CN"/>
        </w:rPr>
        <w:t>、灭火器</w:t>
      </w:r>
      <w:r>
        <w:rPr>
          <w:rFonts w:hint="eastAsia" w:ascii="宋体" w:hAnsi="宋体" w:eastAsia="宋体" w:cs="宋体"/>
          <w:color w:val="auto"/>
          <w:kern w:val="0"/>
          <w:sz w:val="24"/>
          <w:szCs w:val="24"/>
          <w:u w:val="single"/>
        </w:rPr>
        <w:t>系统</w:t>
      </w:r>
      <w:r>
        <w:rPr>
          <w:rFonts w:hint="eastAsia" w:ascii="宋体" w:hAnsi="宋体" w:eastAsia="宋体" w:cs="宋体"/>
          <w:color w:val="auto"/>
          <w:kern w:val="0"/>
          <w:sz w:val="24"/>
          <w:szCs w:val="24"/>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color w:val="auto"/>
          <w:kern w:val="0"/>
          <w:sz w:val="24"/>
          <w:szCs w:val="24"/>
          <w:highlight w:val="none"/>
          <w:u w:val="single"/>
          <w:lang w:val="en-US" w:eastAsia="zh-CN"/>
        </w:rPr>
      </w:pPr>
      <w:r>
        <w:rPr>
          <w:rFonts w:hint="eastAsia" w:ascii="宋体" w:hAnsi="宋体" w:eastAsia="宋体" w:cs="宋体"/>
          <w:snapToGrid w:val="0"/>
          <w:color w:val="auto"/>
          <w:kern w:val="0"/>
          <w:sz w:val="24"/>
          <w:szCs w:val="24"/>
          <w:highlight w:val="none"/>
          <w:u w:val="single"/>
          <w:lang w:val="en-US" w:eastAsia="zh-CN"/>
        </w:rPr>
        <w:t>2、不属于本合同维保范围：地下消防管网。</w:t>
      </w:r>
    </w:p>
    <w:p>
      <w:pPr>
        <w:spacing w:line="360" w:lineRule="auto"/>
        <w:rPr>
          <w:rFonts w:hint="eastAsia" w:ascii="宋体" w:hAnsi="宋体" w:eastAsia="宋体" w:cs="宋体"/>
          <w:snapToGrid w:val="0"/>
          <w:color w:val="auto"/>
          <w:kern w:val="0"/>
          <w:sz w:val="24"/>
          <w:szCs w:val="24"/>
        </w:rPr>
      </w:pP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、维护保养内容：</w:t>
      </w:r>
    </w:p>
    <w:p>
      <w:pPr>
        <w:numPr>
          <w:ilvl w:val="0"/>
          <w:numId w:val="6"/>
        </w:numPr>
        <w:spacing w:line="360" w:lineRule="auto"/>
        <w:ind w:left="0" w:right="105" w:rightChars="50"/>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lang w:eastAsia="zh-CN"/>
        </w:rPr>
        <w:t>合同签订生效后对</w:t>
      </w:r>
      <w:r>
        <w:rPr>
          <w:rFonts w:hint="eastAsia" w:ascii="宋体" w:hAnsi="宋体" w:eastAsia="宋体" w:cs="宋体"/>
          <w:snapToGrid w:val="0"/>
          <w:color w:val="auto"/>
          <w:kern w:val="0"/>
          <w:sz w:val="24"/>
          <w:szCs w:val="24"/>
          <w:lang w:val="en-US" w:eastAsia="zh-CN"/>
        </w:rPr>
        <w:t>消防设施</w:t>
      </w:r>
      <w:r>
        <w:rPr>
          <w:rFonts w:hint="eastAsia" w:ascii="宋体" w:hAnsi="宋体" w:eastAsia="宋体" w:cs="宋体"/>
          <w:snapToGrid w:val="0"/>
          <w:color w:val="auto"/>
          <w:kern w:val="0"/>
          <w:sz w:val="24"/>
          <w:szCs w:val="24"/>
          <w:lang w:eastAsia="zh-CN"/>
        </w:rPr>
        <w:t>进行全面检查，并组织召开维保</w:t>
      </w:r>
      <w:r>
        <w:rPr>
          <w:rFonts w:hint="eastAsia" w:ascii="宋体" w:hAnsi="宋体" w:eastAsia="宋体" w:cs="宋体"/>
          <w:snapToGrid w:val="0"/>
          <w:color w:val="auto"/>
          <w:kern w:val="0"/>
          <w:sz w:val="24"/>
          <w:szCs w:val="24"/>
          <w:lang w:val="en-US" w:eastAsia="zh-CN"/>
        </w:rPr>
        <w:t>首次</w:t>
      </w:r>
      <w:r>
        <w:rPr>
          <w:rFonts w:hint="eastAsia" w:ascii="宋体" w:hAnsi="宋体" w:eastAsia="宋体" w:cs="宋体"/>
          <w:snapToGrid w:val="0"/>
          <w:color w:val="auto"/>
          <w:kern w:val="0"/>
          <w:sz w:val="24"/>
          <w:szCs w:val="24"/>
          <w:lang w:eastAsia="zh-CN"/>
        </w:rPr>
        <w:t>会议，向甲方提供首次《巡查情况反馈表》，</w:t>
      </w:r>
      <w:r>
        <w:rPr>
          <w:rFonts w:hint="eastAsia" w:ascii="宋体" w:hAnsi="宋体" w:eastAsia="宋体" w:cs="宋体"/>
          <w:snapToGrid w:val="0"/>
          <w:color w:val="auto"/>
          <w:kern w:val="0"/>
          <w:sz w:val="24"/>
          <w:szCs w:val="24"/>
          <w:lang w:val="en-US" w:eastAsia="zh-CN"/>
        </w:rPr>
        <w:t>明确现场设施设备问题，《反馈表》由甲、乙双方项目负责人</w:t>
      </w:r>
      <w:r>
        <w:rPr>
          <w:rFonts w:hint="eastAsia" w:ascii="宋体" w:hAnsi="宋体" w:eastAsia="宋体" w:cs="宋体"/>
          <w:snapToGrid w:val="0"/>
          <w:color w:val="auto"/>
          <w:kern w:val="0"/>
          <w:sz w:val="24"/>
          <w:szCs w:val="24"/>
          <w:lang w:eastAsia="zh-CN"/>
        </w:rPr>
        <w:t>签字确认；</w:t>
      </w:r>
    </w:p>
    <w:p>
      <w:pPr>
        <w:numPr>
          <w:ilvl w:val="0"/>
          <w:numId w:val="6"/>
        </w:numPr>
        <w:spacing w:line="360" w:lineRule="auto"/>
        <w:ind w:left="0" w:right="105" w:rightChars="5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eastAsia="zh-CN"/>
        </w:rPr>
        <w:t>乙方</w:t>
      </w:r>
      <w:r>
        <w:rPr>
          <w:rFonts w:hint="eastAsia" w:ascii="宋体" w:hAnsi="宋体" w:eastAsia="宋体" w:cs="宋体"/>
          <w:snapToGrid w:val="0"/>
          <w:color w:val="auto"/>
          <w:kern w:val="0"/>
          <w:sz w:val="24"/>
          <w:szCs w:val="24"/>
        </w:rPr>
        <w:t>设专人负责本消防</w:t>
      </w:r>
      <w:r>
        <w:rPr>
          <w:rFonts w:hint="eastAsia" w:ascii="宋体" w:hAnsi="宋体" w:eastAsia="宋体" w:cs="宋体"/>
          <w:snapToGrid w:val="0"/>
          <w:color w:val="auto"/>
          <w:kern w:val="0"/>
          <w:sz w:val="24"/>
          <w:szCs w:val="24"/>
          <w:lang w:eastAsia="zh-CN"/>
        </w:rPr>
        <w:t>设施</w:t>
      </w:r>
      <w:r>
        <w:rPr>
          <w:rFonts w:hint="eastAsia" w:ascii="宋体" w:hAnsi="宋体" w:eastAsia="宋体" w:cs="宋体"/>
          <w:snapToGrid w:val="0"/>
          <w:color w:val="auto"/>
          <w:kern w:val="0"/>
          <w:sz w:val="24"/>
          <w:szCs w:val="24"/>
        </w:rPr>
        <w:t>的维护，定期（</w:t>
      </w:r>
      <w:r>
        <w:rPr>
          <w:rFonts w:hint="eastAsia" w:ascii="宋体" w:hAnsi="宋体" w:eastAsia="宋体" w:cs="宋体"/>
          <w:color w:val="auto"/>
          <w:kern w:val="0"/>
          <w:sz w:val="24"/>
          <w:szCs w:val="24"/>
        </w:rPr>
        <w:t>□</w:t>
      </w:r>
      <w:r>
        <w:rPr>
          <w:rFonts w:hint="eastAsia" w:ascii="宋体" w:hAnsi="宋体" w:eastAsia="宋体" w:cs="宋体"/>
          <w:snapToGrid w:val="0"/>
          <w:color w:val="auto"/>
          <w:kern w:val="0"/>
          <w:sz w:val="24"/>
          <w:szCs w:val="24"/>
        </w:rPr>
        <w:t>每日、</w:t>
      </w:r>
      <w:r>
        <w:rPr>
          <w:rFonts w:hint="eastAsia" w:ascii="宋体" w:hAnsi="宋体" w:eastAsia="宋体" w:cs="宋体"/>
          <w:color w:val="auto"/>
          <w:kern w:val="0"/>
          <w:sz w:val="24"/>
          <w:szCs w:val="24"/>
        </w:rPr>
        <w:sym w:font="Wingdings 2" w:char="00A3"/>
      </w:r>
      <w:r>
        <w:rPr>
          <w:rFonts w:hint="eastAsia" w:ascii="宋体" w:hAnsi="宋体" w:eastAsia="宋体" w:cs="宋体"/>
          <w:snapToGrid w:val="0"/>
          <w:color w:val="auto"/>
          <w:kern w:val="0"/>
          <w:sz w:val="24"/>
          <w:szCs w:val="24"/>
        </w:rPr>
        <w:t>每周、</w:t>
      </w:r>
      <w:r>
        <w:rPr>
          <w:rFonts w:hint="eastAsia" w:ascii="宋体" w:hAnsi="宋体" w:eastAsia="宋体" w:cs="宋体"/>
          <w:color w:val="auto"/>
          <w:kern w:val="0"/>
          <w:sz w:val="24"/>
          <w:szCs w:val="24"/>
          <w:lang w:eastAsia="zh-CN"/>
        </w:rPr>
        <w:t>☑</w:t>
      </w:r>
      <w:r>
        <w:rPr>
          <w:rFonts w:hint="eastAsia" w:ascii="宋体" w:hAnsi="宋体" w:eastAsia="宋体" w:cs="宋体"/>
          <w:snapToGrid w:val="0"/>
          <w:color w:val="auto"/>
          <w:kern w:val="0"/>
          <w:sz w:val="24"/>
          <w:szCs w:val="24"/>
        </w:rPr>
        <w:t>每月、</w:t>
      </w:r>
      <w:r>
        <w:rPr>
          <w:rFonts w:hint="eastAsia" w:ascii="宋体" w:hAnsi="宋体" w:eastAsia="宋体" w:cs="宋体"/>
          <w:color w:val="auto"/>
          <w:kern w:val="0"/>
          <w:sz w:val="24"/>
          <w:szCs w:val="24"/>
        </w:rPr>
        <w:t>□</w:t>
      </w:r>
      <w:r>
        <w:rPr>
          <w:rFonts w:hint="eastAsia" w:ascii="宋体" w:hAnsi="宋体" w:eastAsia="宋体" w:cs="宋体"/>
          <w:snapToGrid w:val="0"/>
          <w:color w:val="auto"/>
          <w:kern w:val="0"/>
          <w:sz w:val="24"/>
          <w:szCs w:val="24"/>
        </w:rPr>
        <w:t>每季度）对</w:t>
      </w:r>
      <w:r>
        <w:rPr>
          <w:rFonts w:hint="eastAsia" w:ascii="宋体" w:hAnsi="宋体" w:eastAsia="宋体" w:cs="宋体"/>
          <w:snapToGrid w:val="0"/>
          <w:color w:val="auto"/>
          <w:kern w:val="0"/>
          <w:sz w:val="24"/>
          <w:szCs w:val="24"/>
          <w:lang w:eastAsia="zh-CN"/>
        </w:rPr>
        <w:t>消防设施</w:t>
      </w:r>
      <w:r>
        <w:rPr>
          <w:rFonts w:hint="eastAsia" w:ascii="宋体" w:hAnsi="宋体" w:eastAsia="宋体" w:cs="宋体"/>
          <w:snapToGrid w:val="0"/>
          <w:color w:val="auto"/>
          <w:kern w:val="0"/>
          <w:sz w:val="24"/>
          <w:szCs w:val="24"/>
        </w:rPr>
        <w:t>进行一次巡检，及时处理出现的各种故障，</w:t>
      </w:r>
      <w:r>
        <w:rPr>
          <w:rFonts w:hint="eastAsia" w:ascii="宋体" w:hAnsi="宋体" w:cs="宋体"/>
          <w:snapToGrid w:val="0"/>
          <w:color w:val="auto"/>
          <w:kern w:val="0"/>
          <w:sz w:val="24"/>
          <w:szCs w:val="24"/>
          <w:lang w:val="en-US" w:eastAsia="zh-CN"/>
        </w:rPr>
        <w:t>每月10日前</w:t>
      </w:r>
      <w:r>
        <w:rPr>
          <w:rFonts w:hint="eastAsia" w:ascii="宋体" w:hAnsi="宋体" w:eastAsia="宋体" w:cs="宋体"/>
          <w:snapToGrid w:val="0"/>
          <w:color w:val="auto"/>
          <w:kern w:val="0"/>
          <w:sz w:val="24"/>
          <w:szCs w:val="24"/>
        </w:rPr>
        <w:t>出具</w:t>
      </w:r>
      <w:r>
        <w:rPr>
          <w:rFonts w:hint="eastAsia" w:ascii="宋体" w:hAnsi="宋体" w:cs="宋体"/>
          <w:snapToGrid w:val="0"/>
          <w:color w:val="auto"/>
          <w:kern w:val="0"/>
          <w:sz w:val="24"/>
          <w:szCs w:val="24"/>
          <w:lang w:val="en-US" w:eastAsia="zh-CN"/>
        </w:rPr>
        <w:t>上月</w:t>
      </w:r>
      <w:r>
        <w:rPr>
          <w:rFonts w:hint="eastAsia" w:ascii="宋体" w:hAnsi="宋体" w:eastAsia="宋体" w:cs="宋体"/>
          <w:snapToGrid w:val="0"/>
          <w:color w:val="auto"/>
          <w:kern w:val="0"/>
          <w:sz w:val="24"/>
          <w:szCs w:val="24"/>
        </w:rPr>
        <w:t>消防设施维护保养报告</w:t>
      </w:r>
      <w:r>
        <w:rPr>
          <w:rFonts w:hint="eastAsia" w:ascii="宋体" w:hAnsi="宋体" w:eastAsia="宋体" w:cs="宋体"/>
          <w:snapToGrid w:val="0"/>
          <w:color w:val="auto"/>
          <w:kern w:val="0"/>
          <w:sz w:val="24"/>
          <w:szCs w:val="24"/>
          <w:lang w:eastAsia="zh-CN"/>
        </w:rPr>
        <w:t>。</w:t>
      </w:r>
      <w:r>
        <w:rPr>
          <w:rFonts w:hint="eastAsia" w:ascii="宋体" w:hAnsi="宋体" w:eastAsia="宋体" w:cs="宋体"/>
          <w:snapToGrid w:val="0"/>
          <w:color w:val="auto"/>
          <w:kern w:val="0"/>
          <w:sz w:val="24"/>
          <w:highlight w:val="none"/>
        </w:rPr>
        <w:t>根据《建筑消防设施的维护管理》GB 25201-2010规定，建筑内消防设施</w:t>
      </w:r>
      <w:r>
        <w:rPr>
          <w:rFonts w:hint="eastAsia" w:ascii="宋体" w:hAnsi="宋体" w:eastAsia="宋体" w:cs="宋体"/>
          <w:snapToGrid w:val="0"/>
          <w:color w:val="auto"/>
          <w:kern w:val="0"/>
          <w:sz w:val="24"/>
          <w:szCs w:val="24"/>
          <w:highlight w:val="none"/>
        </w:rPr>
        <w:t>（</w:t>
      </w:r>
      <w:r>
        <w:rPr>
          <w:rFonts w:hint="eastAsia" w:ascii="宋体" w:hAnsi="宋体" w:eastAsia="宋体" w:cs="宋体"/>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每日、</w:t>
      </w:r>
      <w:r>
        <w:rPr>
          <w:rFonts w:hint="eastAsia" w:ascii="宋体" w:hAnsi="宋体" w:eastAsia="宋体" w:cs="宋体"/>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每周、</w:t>
      </w:r>
      <w:r>
        <w:rPr>
          <w:rFonts w:hint="eastAsia" w:ascii="宋体" w:hAnsi="宋体" w:eastAsia="宋体" w:cs="宋体"/>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每月、</w:t>
      </w:r>
      <w:r>
        <w:rPr>
          <w:rFonts w:hint="eastAsia" w:ascii="宋体" w:hAnsi="宋体" w:eastAsia="宋体" w:cs="宋体"/>
          <w:color w:val="auto"/>
          <w:kern w:val="0"/>
          <w:sz w:val="24"/>
          <w:szCs w:val="24"/>
          <w:highlight w:val="none"/>
        </w:rPr>
        <w:t>□</w:t>
      </w:r>
      <w:r>
        <w:rPr>
          <w:rFonts w:hint="eastAsia" w:ascii="宋体" w:hAnsi="宋体" w:eastAsia="宋体" w:cs="宋体"/>
          <w:snapToGrid w:val="0"/>
          <w:color w:val="auto"/>
          <w:kern w:val="0"/>
          <w:sz w:val="24"/>
          <w:szCs w:val="24"/>
          <w:highlight w:val="none"/>
        </w:rPr>
        <w:t>每季度）</w:t>
      </w:r>
      <w:r>
        <w:rPr>
          <w:rFonts w:hint="eastAsia" w:ascii="宋体" w:hAnsi="宋体" w:eastAsia="宋体" w:cs="宋体"/>
          <w:snapToGrid w:val="0"/>
          <w:color w:val="auto"/>
          <w:kern w:val="0"/>
          <w:sz w:val="24"/>
          <w:highlight w:val="none"/>
        </w:rPr>
        <w:t>的巡查、测试由甲方负责</w:t>
      </w:r>
      <w:r>
        <w:rPr>
          <w:rFonts w:hint="eastAsia" w:ascii="宋体" w:hAnsi="宋体" w:cs="宋体"/>
          <w:snapToGrid w:val="0"/>
          <w:color w:val="auto"/>
          <w:kern w:val="0"/>
          <w:sz w:val="24"/>
          <w:highlight w:val="none"/>
          <w:lang w:eastAsia="zh-CN"/>
        </w:rPr>
        <w:t>；</w:t>
      </w:r>
    </w:p>
    <w:p>
      <w:pPr>
        <w:numPr>
          <w:ilvl w:val="0"/>
          <w:numId w:val="6"/>
        </w:numPr>
        <w:spacing w:line="360" w:lineRule="auto"/>
        <w:ind w:left="0" w:right="105" w:rightChars="5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eastAsia="zh-CN"/>
        </w:rPr>
        <w:t>乙方</w:t>
      </w:r>
      <w:r>
        <w:rPr>
          <w:rFonts w:hint="eastAsia" w:ascii="宋体" w:hAnsi="宋体" w:eastAsia="宋体" w:cs="宋体"/>
          <w:snapToGrid w:val="0"/>
          <w:color w:val="auto"/>
          <w:kern w:val="0"/>
          <w:sz w:val="24"/>
          <w:szCs w:val="24"/>
        </w:rPr>
        <w:t>每季度对本</w:t>
      </w:r>
      <w:r>
        <w:rPr>
          <w:rFonts w:hint="eastAsia" w:ascii="宋体" w:hAnsi="宋体" w:eastAsia="宋体" w:cs="宋体"/>
          <w:snapToGrid w:val="0"/>
          <w:color w:val="auto"/>
          <w:kern w:val="0"/>
          <w:sz w:val="24"/>
          <w:szCs w:val="24"/>
          <w:lang w:eastAsia="zh-CN"/>
        </w:rPr>
        <w:t>合同维护保养范围内的</w:t>
      </w:r>
      <w:r>
        <w:rPr>
          <w:rFonts w:hint="eastAsia" w:ascii="宋体" w:hAnsi="宋体" w:eastAsia="宋体" w:cs="宋体"/>
          <w:snapToGrid w:val="0"/>
          <w:color w:val="auto"/>
          <w:kern w:val="0"/>
          <w:sz w:val="24"/>
          <w:szCs w:val="24"/>
        </w:rPr>
        <w:t>消防</w:t>
      </w:r>
      <w:r>
        <w:rPr>
          <w:rFonts w:hint="eastAsia" w:ascii="宋体" w:hAnsi="宋体" w:eastAsia="宋体" w:cs="宋体"/>
          <w:snapToGrid w:val="0"/>
          <w:color w:val="auto"/>
          <w:kern w:val="0"/>
          <w:sz w:val="24"/>
          <w:szCs w:val="24"/>
          <w:lang w:eastAsia="zh-CN"/>
        </w:rPr>
        <w:t>设施</w:t>
      </w:r>
      <w:r>
        <w:rPr>
          <w:rFonts w:hint="eastAsia" w:ascii="宋体" w:hAnsi="宋体" w:eastAsia="宋体" w:cs="宋体"/>
          <w:snapToGrid w:val="0"/>
          <w:color w:val="auto"/>
          <w:kern w:val="0"/>
          <w:sz w:val="24"/>
          <w:szCs w:val="24"/>
        </w:rPr>
        <w:t>进行抽检，自动或手动试验相关消防联动控制设备的控制和显示功能；</w:t>
      </w:r>
    </w:p>
    <w:p>
      <w:pPr>
        <w:numPr>
          <w:ilvl w:val="0"/>
          <w:numId w:val="6"/>
        </w:numPr>
        <w:spacing w:line="360" w:lineRule="auto"/>
        <w:ind w:left="0" w:right="105" w:rightChars="5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每年对</w:t>
      </w:r>
      <w:r>
        <w:rPr>
          <w:rFonts w:hint="eastAsia" w:ascii="宋体" w:hAnsi="宋体" w:eastAsia="宋体" w:cs="宋体"/>
          <w:snapToGrid w:val="0"/>
          <w:color w:val="auto"/>
          <w:kern w:val="0"/>
          <w:sz w:val="24"/>
          <w:szCs w:val="24"/>
          <w:lang w:val="en-US" w:eastAsia="zh-CN"/>
        </w:rPr>
        <w:t>消防设施</w:t>
      </w:r>
      <w:r>
        <w:rPr>
          <w:rFonts w:hint="eastAsia" w:ascii="宋体" w:hAnsi="宋体" w:eastAsia="宋体" w:cs="宋体"/>
          <w:snapToGrid w:val="0"/>
          <w:color w:val="auto"/>
          <w:kern w:val="0"/>
          <w:sz w:val="24"/>
          <w:szCs w:val="24"/>
        </w:rPr>
        <w:t>进行一次</w:t>
      </w:r>
      <w:r>
        <w:rPr>
          <w:rFonts w:hint="eastAsia" w:ascii="宋体" w:hAnsi="宋体" w:eastAsia="宋体" w:cs="宋体"/>
          <w:snapToGrid w:val="0"/>
          <w:color w:val="auto"/>
          <w:kern w:val="0"/>
          <w:sz w:val="24"/>
          <w:szCs w:val="24"/>
          <w:lang w:val="en-US" w:eastAsia="zh-CN"/>
        </w:rPr>
        <w:t>联动</w:t>
      </w:r>
      <w:r>
        <w:rPr>
          <w:rFonts w:hint="eastAsia" w:ascii="宋体" w:hAnsi="宋体" w:eastAsia="宋体" w:cs="宋体"/>
          <w:snapToGrid w:val="0"/>
          <w:color w:val="auto"/>
          <w:kern w:val="0"/>
          <w:sz w:val="24"/>
          <w:szCs w:val="24"/>
        </w:rPr>
        <w:t>功能测试</w:t>
      </w:r>
      <w:r>
        <w:rPr>
          <w:rFonts w:hint="eastAsia" w:ascii="宋体" w:hAnsi="宋体" w:eastAsia="宋体" w:cs="宋体"/>
          <w:snapToGrid w:val="0"/>
          <w:color w:val="auto"/>
          <w:kern w:val="0"/>
          <w:sz w:val="24"/>
          <w:szCs w:val="24"/>
          <w:lang w:eastAsia="zh-CN"/>
        </w:rPr>
        <w:t>，</w:t>
      </w:r>
      <w:r>
        <w:rPr>
          <w:rFonts w:hint="eastAsia" w:ascii="宋体" w:hAnsi="宋体" w:eastAsia="宋体" w:cs="宋体"/>
          <w:snapToGrid w:val="0"/>
          <w:color w:val="auto"/>
          <w:kern w:val="0"/>
          <w:sz w:val="24"/>
          <w:szCs w:val="24"/>
          <w:highlight w:val="none"/>
          <w:lang w:val="en-US" w:eastAsia="zh-CN"/>
        </w:rPr>
        <w:t>出具联动测试问题清单</w:t>
      </w:r>
      <w:r>
        <w:rPr>
          <w:rFonts w:hint="eastAsia" w:ascii="宋体" w:hAnsi="宋体" w:eastAsia="宋体" w:cs="宋体"/>
          <w:snapToGrid w:val="0"/>
          <w:color w:val="auto"/>
          <w:kern w:val="0"/>
          <w:sz w:val="24"/>
          <w:szCs w:val="24"/>
          <w:highlight w:val="none"/>
        </w:rPr>
        <w:t>；</w:t>
      </w:r>
    </w:p>
    <w:p>
      <w:pPr>
        <w:numPr>
          <w:ilvl w:val="0"/>
          <w:numId w:val="6"/>
        </w:numPr>
        <w:spacing w:line="360" w:lineRule="auto"/>
        <w:ind w:left="0" w:right="105" w:rightChars="5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乙方出具消防设施年度维护保养报告，一式二份；</w:t>
      </w:r>
    </w:p>
    <w:p>
      <w:pPr>
        <w:numPr>
          <w:ilvl w:val="0"/>
          <w:numId w:val="6"/>
        </w:numPr>
        <w:spacing w:line="360" w:lineRule="auto"/>
        <w:ind w:left="0" w:right="105" w:rightChars="5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组织召开维保</w:t>
      </w:r>
      <w:r>
        <w:rPr>
          <w:rFonts w:hint="eastAsia" w:ascii="宋体" w:hAnsi="宋体" w:eastAsia="宋体" w:cs="宋体"/>
          <w:snapToGrid w:val="0"/>
          <w:color w:val="auto"/>
          <w:kern w:val="0"/>
          <w:sz w:val="24"/>
          <w:szCs w:val="24"/>
          <w:lang w:val="en-US" w:eastAsia="zh-CN"/>
        </w:rPr>
        <w:t>工作总结</w:t>
      </w:r>
      <w:r>
        <w:rPr>
          <w:rFonts w:hint="eastAsia" w:ascii="宋体" w:hAnsi="宋体" w:eastAsia="宋体" w:cs="宋体"/>
          <w:snapToGrid w:val="0"/>
          <w:color w:val="auto"/>
          <w:kern w:val="0"/>
          <w:sz w:val="24"/>
          <w:szCs w:val="24"/>
        </w:rPr>
        <w:t>会议，总结年度建筑消防设施维护保养工作。</w:t>
      </w:r>
    </w:p>
    <w:p>
      <w:pPr>
        <w:numPr>
          <w:ilvl w:val="0"/>
          <w:numId w:val="7"/>
        </w:num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检测服务内容：</w:t>
      </w:r>
    </w:p>
    <w:p>
      <w:pPr>
        <w:pStyle w:val="46"/>
        <w:rPr>
          <w:rFonts w:hint="eastAsia" w:ascii="宋体" w:hAnsi="宋体" w:eastAsia="宋体" w:cs="宋体"/>
          <w:b/>
          <w:bCs/>
          <w:color w:val="auto"/>
          <w:sz w:val="24"/>
        </w:rPr>
      </w:pPr>
    </w:p>
    <w:p>
      <w:pPr>
        <w:numPr>
          <w:ilvl w:val="0"/>
          <w:numId w:val="8"/>
        </w:numPr>
        <w:spacing w:line="360" w:lineRule="auto"/>
        <w:ind w:right="105" w:rightChars="50"/>
        <w:rPr>
          <w:rFonts w:hint="eastAsia" w:ascii="宋体" w:hAnsi="宋体" w:eastAsia="宋体" w:cs="宋体"/>
          <w:color w:val="auto"/>
          <w:sz w:val="24"/>
        </w:rPr>
      </w:pPr>
      <w:r>
        <w:rPr>
          <w:rFonts w:hint="eastAsia" w:ascii="宋体" w:hAnsi="宋体" w:eastAsia="宋体" w:cs="宋体"/>
          <w:color w:val="auto"/>
          <w:kern w:val="0"/>
          <w:sz w:val="24"/>
        </w:rPr>
        <w:t>甲方</w:t>
      </w:r>
      <w:r>
        <w:rPr>
          <w:rFonts w:hint="eastAsia" w:ascii="宋体" w:hAnsi="宋体" w:eastAsia="宋体" w:cs="宋体"/>
          <w:color w:val="auto"/>
          <w:sz w:val="24"/>
        </w:rPr>
        <w:t>委托乙方消防设施检测项目为以下打“√”项：</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325"/>
        <w:gridCol w:w="1348"/>
        <w:gridCol w:w="4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3640"/>
              </w:tabs>
              <w:spacing w:line="400" w:lineRule="exact"/>
              <w:ind w:right="105" w:rightChars="50"/>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tabs>
                <w:tab w:val="left" w:pos="3640"/>
              </w:tabs>
              <w:spacing w:line="440" w:lineRule="exact"/>
              <w:ind w:right="105" w:rightChars="50"/>
              <w:jc w:val="center"/>
              <w:rPr>
                <w:rFonts w:hint="eastAsia" w:ascii="宋体" w:hAnsi="宋体" w:eastAsia="宋体" w:cs="宋体"/>
                <w:b/>
                <w:bCs/>
                <w:color w:val="auto"/>
                <w:sz w:val="24"/>
              </w:rPr>
            </w:pPr>
            <w:r>
              <w:rPr>
                <w:rFonts w:hint="eastAsia" w:ascii="宋体" w:hAnsi="宋体" w:eastAsia="宋体" w:cs="宋体"/>
                <w:b/>
                <w:bCs/>
                <w:color w:val="auto"/>
                <w:sz w:val="24"/>
              </w:rPr>
              <w:t>检测项目</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tabs>
                <w:tab w:val="left" w:pos="3640"/>
              </w:tabs>
              <w:spacing w:line="320" w:lineRule="exact"/>
              <w:ind w:right="105" w:rightChars="50"/>
              <w:jc w:val="center"/>
              <w:rPr>
                <w:rFonts w:hint="eastAsia" w:ascii="宋体" w:hAnsi="宋体" w:eastAsia="宋体" w:cs="宋体"/>
                <w:b/>
                <w:bCs/>
                <w:color w:val="auto"/>
                <w:sz w:val="24"/>
              </w:rPr>
            </w:pPr>
            <w:r>
              <w:rPr>
                <w:rFonts w:hint="eastAsia" w:ascii="宋体" w:hAnsi="宋体" w:eastAsia="宋体" w:cs="宋体"/>
                <w:b/>
                <w:bCs/>
                <w:color w:val="auto"/>
                <w:sz w:val="24"/>
              </w:rPr>
              <w:t>委托项目</w:t>
            </w:r>
          </w:p>
          <w:p>
            <w:pPr>
              <w:tabs>
                <w:tab w:val="left" w:pos="3640"/>
              </w:tabs>
              <w:spacing w:line="320" w:lineRule="exact"/>
              <w:ind w:right="105" w:rightChars="50"/>
              <w:jc w:val="center"/>
              <w:rPr>
                <w:rFonts w:hint="eastAsia" w:ascii="宋体" w:hAnsi="宋体" w:eastAsia="宋体" w:cs="宋体"/>
                <w:b/>
                <w:bCs/>
                <w:color w:val="auto"/>
                <w:sz w:val="24"/>
              </w:rPr>
            </w:pPr>
            <w:r>
              <w:rPr>
                <w:rFonts w:hint="eastAsia" w:ascii="宋体" w:hAnsi="宋体" w:eastAsia="宋体" w:cs="宋体"/>
                <w:b/>
                <w:bCs/>
                <w:color w:val="auto"/>
                <w:sz w:val="24"/>
              </w:rPr>
              <w:t>（勾选）</w:t>
            </w:r>
          </w:p>
        </w:tc>
        <w:tc>
          <w:tcPr>
            <w:tcW w:w="4969" w:type="dxa"/>
            <w:tcBorders>
              <w:top w:val="single" w:color="auto" w:sz="4" w:space="0"/>
              <w:left w:val="single" w:color="auto" w:sz="4" w:space="0"/>
              <w:bottom w:val="single" w:color="auto" w:sz="4" w:space="0"/>
              <w:right w:val="single" w:color="auto" w:sz="4" w:space="0"/>
            </w:tcBorders>
            <w:noWrap w:val="0"/>
            <w:vAlign w:val="center"/>
          </w:tcPr>
          <w:p>
            <w:pPr>
              <w:tabs>
                <w:tab w:val="left" w:pos="3640"/>
              </w:tabs>
              <w:spacing w:line="440" w:lineRule="exact"/>
              <w:ind w:right="105" w:rightChars="50"/>
              <w:jc w:val="center"/>
              <w:rPr>
                <w:rFonts w:hint="eastAsia" w:ascii="宋体" w:hAnsi="宋体" w:eastAsia="宋体" w:cs="宋体"/>
                <w:b/>
                <w:bCs/>
                <w:color w:val="auto"/>
                <w:sz w:val="24"/>
              </w:rPr>
            </w:pPr>
            <w:r>
              <w:rPr>
                <w:rFonts w:hint="eastAsia" w:ascii="宋体" w:hAnsi="宋体" w:eastAsia="宋体" w:cs="宋体"/>
                <w:b/>
                <w:bCs/>
                <w:color w:val="auto"/>
                <w:sz w:val="24"/>
              </w:rPr>
              <w:t>检测依据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火灾自动报警系统</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sym w:font="Wingdings" w:char="00FE"/>
            </w:r>
          </w:p>
        </w:tc>
        <w:tc>
          <w:tcPr>
            <w:tcW w:w="4969" w:type="dxa"/>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bCs/>
                <w:color w:val="auto"/>
                <w:szCs w:val="21"/>
              </w:rPr>
            </w:pPr>
            <w:r>
              <w:rPr>
                <w:rFonts w:hint="eastAsia" w:ascii="宋体" w:hAnsi="宋体" w:eastAsia="宋体" w:cs="宋体"/>
                <w:bCs/>
                <w:color w:val="auto"/>
                <w:szCs w:val="21"/>
              </w:rPr>
              <w:t>《建筑设计防火规范》GB50016-2014（2018版）</w:t>
            </w:r>
          </w:p>
          <w:p>
            <w:pPr>
              <w:rPr>
                <w:rFonts w:hint="eastAsia" w:ascii="宋体" w:hAnsi="宋体" w:eastAsia="宋体" w:cs="宋体"/>
                <w:bCs/>
                <w:color w:val="auto"/>
                <w:szCs w:val="21"/>
              </w:rPr>
            </w:pPr>
            <w:r>
              <w:rPr>
                <w:rFonts w:hint="eastAsia" w:ascii="宋体" w:hAnsi="宋体" w:eastAsia="宋体" w:cs="宋体"/>
                <w:bCs/>
                <w:color w:val="auto"/>
                <w:szCs w:val="21"/>
              </w:rPr>
              <w:t>《火灾自动报警系统设计规范》GB50116-2013</w:t>
            </w:r>
          </w:p>
          <w:p>
            <w:pPr>
              <w:rPr>
                <w:rFonts w:hint="eastAsia" w:ascii="宋体" w:hAnsi="宋体" w:eastAsia="宋体" w:cs="宋体"/>
                <w:bCs/>
                <w:color w:val="auto"/>
                <w:szCs w:val="21"/>
              </w:rPr>
            </w:pPr>
            <w:r>
              <w:rPr>
                <w:rFonts w:hint="eastAsia" w:ascii="宋体" w:hAnsi="宋体" w:eastAsia="宋体" w:cs="宋体"/>
                <w:bCs/>
                <w:color w:val="auto"/>
                <w:szCs w:val="21"/>
              </w:rPr>
              <w:t>《火灾自动报警系统施工及验收规范》GB50166-2017</w:t>
            </w:r>
          </w:p>
          <w:p>
            <w:pPr>
              <w:rPr>
                <w:rFonts w:hint="eastAsia" w:ascii="宋体" w:hAnsi="宋体" w:eastAsia="宋体" w:cs="宋体"/>
                <w:bCs/>
                <w:color w:val="auto"/>
                <w:szCs w:val="21"/>
              </w:rPr>
            </w:pPr>
            <w:r>
              <w:rPr>
                <w:rFonts w:hint="eastAsia" w:ascii="宋体" w:hAnsi="宋体" w:eastAsia="宋体" w:cs="宋体"/>
                <w:bCs/>
                <w:color w:val="auto"/>
                <w:szCs w:val="21"/>
              </w:rPr>
              <w:t>《消防给水及消火栓系统技术规范》GB50974-2014</w:t>
            </w:r>
          </w:p>
          <w:p>
            <w:pPr>
              <w:rPr>
                <w:rFonts w:hint="eastAsia" w:ascii="宋体" w:hAnsi="宋体" w:eastAsia="宋体" w:cs="宋体"/>
                <w:bCs/>
                <w:color w:val="auto"/>
                <w:szCs w:val="21"/>
              </w:rPr>
            </w:pPr>
            <w:r>
              <w:rPr>
                <w:rFonts w:hint="eastAsia" w:ascii="宋体" w:hAnsi="宋体" w:eastAsia="宋体" w:cs="宋体"/>
                <w:bCs/>
                <w:color w:val="auto"/>
                <w:szCs w:val="21"/>
              </w:rPr>
              <w:t>《消防联动控制系统》GB16806-2006</w:t>
            </w:r>
          </w:p>
          <w:p>
            <w:pPr>
              <w:rPr>
                <w:rFonts w:hint="eastAsia" w:ascii="宋体" w:hAnsi="宋体" w:eastAsia="宋体" w:cs="宋体"/>
                <w:bCs/>
                <w:color w:val="auto"/>
                <w:szCs w:val="21"/>
              </w:rPr>
            </w:pPr>
            <w:r>
              <w:rPr>
                <w:rFonts w:hint="eastAsia" w:ascii="宋体" w:hAnsi="宋体" w:eastAsia="宋体" w:cs="宋体"/>
                <w:bCs/>
                <w:color w:val="auto"/>
                <w:szCs w:val="21"/>
              </w:rPr>
              <w:t>《自动喷水灭火系统设计规范》GB50084-2017</w:t>
            </w:r>
          </w:p>
          <w:p>
            <w:pPr>
              <w:rPr>
                <w:rFonts w:hint="eastAsia" w:ascii="宋体" w:hAnsi="宋体" w:eastAsia="宋体" w:cs="宋体"/>
                <w:bCs/>
                <w:color w:val="auto"/>
                <w:szCs w:val="21"/>
              </w:rPr>
            </w:pPr>
            <w:r>
              <w:rPr>
                <w:rFonts w:hint="eastAsia" w:ascii="宋体" w:hAnsi="宋体" w:eastAsia="宋体" w:cs="宋体"/>
                <w:bCs/>
                <w:color w:val="auto"/>
                <w:szCs w:val="21"/>
              </w:rPr>
              <w:t>《自动喷水灭火系统施工及验收规范》GB50261-2017</w:t>
            </w:r>
          </w:p>
          <w:p>
            <w:pPr>
              <w:rPr>
                <w:rFonts w:hint="eastAsia" w:ascii="宋体" w:hAnsi="宋体" w:eastAsia="宋体" w:cs="宋体"/>
                <w:bCs/>
                <w:color w:val="auto"/>
                <w:szCs w:val="21"/>
              </w:rPr>
            </w:pPr>
            <w:r>
              <w:rPr>
                <w:rFonts w:hint="eastAsia" w:ascii="宋体" w:hAnsi="宋体" w:eastAsia="宋体" w:cs="宋体"/>
                <w:bCs/>
                <w:color w:val="auto"/>
                <w:szCs w:val="21"/>
              </w:rPr>
              <w:t>《建筑防烟排烟系统技术标准》GB51251-2017</w:t>
            </w:r>
          </w:p>
          <w:p>
            <w:pPr>
              <w:rPr>
                <w:rFonts w:hint="eastAsia" w:ascii="宋体" w:hAnsi="宋体" w:eastAsia="宋体" w:cs="宋体"/>
                <w:bCs/>
                <w:color w:val="auto"/>
                <w:szCs w:val="21"/>
              </w:rPr>
            </w:pPr>
            <w:r>
              <w:rPr>
                <w:rFonts w:hint="eastAsia" w:ascii="宋体" w:hAnsi="宋体" w:eastAsia="宋体" w:cs="宋体"/>
                <w:bCs/>
                <w:color w:val="auto"/>
                <w:szCs w:val="21"/>
              </w:rPr>
              <w:t>《气体灭火系统施工及验收规范》GB50263-2007</w:t>
            </w:r>
          </w:p>
          <w:p>
            <w:pPr>
              <w:rPr>
                <w:rFonts w:hint="eastAsia" w:ascii="宋体" w:hAnsi="宋体" w:eastAsia="宋体" w:cs="宋体"/>
                <w:bCs/>
                <w:color w:val="auto"/>
                <w:szCs w:val="21"/>
              </w:rPr>
            </w:pPr>
            <w:r>
              <w:rPr>
                <w:rFonts w:hint="eastAsia" w:ascii="宋体" w:hAnsi="宋体" w:eastAsia="宋体" w:cs="宋体"/>
                <w:bCs/>
                <w:color w:val="auto"/>
                <w:szCs w:val="21"/>
              </w:rPr>
              <w:t>《气体灭火系统设计规范》GB50370-2005</w:t>
            </w:r>
          </w:p>
          <w:p>
            <w:pPr>
              <w:rPr>
                <w:rFonts w:hint="eastAsia" w:ascii="宋体" w:hAnsi="宋体" w:eastAsia="宋体" w:cs="宋体"/>
                <w:bCs/>
                <w:color w:val="auto"/>
                <w:szCs w:val="21"/>
              </w:rPr>
            </w:pPr>
            <w:r>
              <w:rPr>
                <w:rFonts w:hint="eastAsia" w:ascii="宋体" w:hAnsi="宋体" w:eastAsia="宋体" w:cs="宋体"/>
                <w:bCs/>
                <w:color w:val="auto"/>
                <w:szCs w:val="21"/>
              </w:rPr>
              <w:t>《汽车加油加气站设计与施工规范》GB50156-2012</w:t>
            </w:r>
          </w:p>
          <w:p>
            <w:pPr>
              <w:rPr>
                <w:rFonts w:hint="eastAsia" w:ascii="宋体" w:hAnsi="宋体" w:eastAsia="宋体" w:cs="宋体"/>
                <w:bCs/>
                <w:color w:val="auto"/>
                <w:szCs w:val="21"/>
              </w:rPr>
            </w:pPr>
            <w:r>
              <w:rPr>
                <w:rFonts w:hint="eastAsia" w:ascii="宋体" w:hAnsi="宋体" w:eastAsia="宋体" w:cs="宋体"/>
                <w:bCs/>
                <w:color w:val="auto"/>
                <w:szCs w:val="21"/>
              </w:rPr>
              <w:t>《人民防空工程设计防火规范》GB50098-2009</w:t>
            </w:r>
          </w:p>
          <w:p>
            <w:pPr>
              <w:rPr>
                <w:rFonts w:hint="eastAsia" w:ascii="宋体" w:hAnsi="宋体" w:eastAsia="宋体" w:cs="宋体"/>
                <w:bCs/>
                <w:color w:val="auto"/>
                <w:szCs w:val="21"/>
              </w:rPr>
            </w:pPr>
            <w:r>
              <w:rPr>
                <w:rFonts w:hint="eastAsia" w:ascii="宋体" w:hAnsi="宋体" w:eastAsia="宋体" w:cs="宋体"/>
                <w:bCs/>
                <w:color w:val="auto"/>
                <w:szCs w:val="21"/>
              </w:rPr>
              <w:t>《人民防空工程施工及验收规范》</w:t>
            </w:r>
            <w:r>
              <w:rPr>
                <w:rFonts w:hint="eastAsia" w:ascii="宋体" w:hAnsi="宋体" w:eastAsia="宋体" w:cs="宋体"/>
                <w:color w:val="auto"/>
                <w:szCs w:val="21"/>
              </w:rPr>
              <w:t>GB50134-2004</w:t>
            </w:r>
          </w:p>
          <w:p>
            <w:pPr>
              <w:rPr>
                <w:rFonts w:hint="eastAsia" w:ascii="宋体" w:hAnsi="宋体" w:eastAsia="宋体" w:cs="宋体"/>
                <w:bCs/>
                <w:color w:val="auto"/>
                <w:szCs w:val="21"/>
              </w:rPr>
            </w:pPr>
            <w:r>
              <w:rPr>
                <w:rFonts w:hint="eastAsia" w:ascii="宋体" w:hAnsi="宋体" w:eastAsia="宋体" w:cs="宋体"/>
                <w:bCs/>
                <w:color w:val="auto"/>
                <w:szCs w:val="21"/>
              </w:rPr>
              <w:t>《泡沫灭火系统设计规范》GB50151-2010</w:t>
            </w:r>
          </w:p>
          <w:p>
            <w:pPr>
              <w:rPr>
                <w:rFonts w:hint="eastAsia" w:ascii="宋体" w:hAnsi="宋体" w:eastAsia="宋体" w:cs="宋体"/>
                <w:bCs/>
                <w:color w:val="auto"/>
                <w:szCs w:val="21"/>
              </w:rPr>
            </w:pPr>
            <w:r>
              <w:rPr>
                <w:rFonts w:hint="eastAsia" w:ascii="宋体" w:hAnsi="宋体" w:eastAsia="宋体" w:cs="宋体"/>
                <w:bCs/>
                <w:color w:val="auto"/>
                <w:szCs w:val="21"/>
              </w:rPr>
              <w:t>《泡沫灭火系统施工及验收规范》GB50281-2006</w:t>
            </w:r>
          </w:p>
          <w:p>
            <w:pPr>
              <w:rPr>
                <w:rFonts w:hint="eastAsia" w:ascii="宋体" w:hAnsi="宋体" w:eastAsia="宋体" w:cs="宋体"/>
                <w:bCs/>
                <w:color w:val="auto"/>
                <w:szCs w:val="21"/>
              </w:rPr>
            </w:pPr>
            <w:r>
              <w:rPr>
                <w:rFonts w:hint="eastAsia" w:ascii="宋体" w:hAnsi="宋体" w:eastAsia="宋体" w:cs="宋体"/>
                <w:bCs/>
                <w:color w:val="auto"/>
                <w:szCs w:val="21"/>
              </w:rPr>
              <w:t>《固定消防炮灭火系统设计规范》GB50338-2003</w:t>
            </w:r>
          </w:p>
          <w:p>
            <w:pPr>
              <w:rPr>
                <w:rFonts w:hint="eastAsia" w:ascii="宋体" w:hAnsi="宋体" w:eastAsia="宋体" w:cs="宋体"/>
                <w:bCs/>
                <w:color w:val="auto"/>
                <w:szCs w:val="21"/>
              </w:rPr>
            </w:pPr>
            <w:r>
              <w:rPr>
                <w:rFonts w:hint="eastAsia" w:ascii="宋体" w:hAnsi="宋体" w:eastAsia="宋体" w:cs="宋体"/>
                <w:bCs/>
                <w:color w:val="auto"/>
                <w:szCs w:val="21"/>
              </w:rPr>
              <w:t>《固定消防炮灭火系统施工与验收规范》GB50498-2009</w:t>
            </w:r>
          </w:p>
          <w:p>
            <w:pPr>
              <w:rPr>
                <w:rFonts w:hint="eastAsia" w:ascii="宋体" w:hAnsi="宋体" w:eastAsia="宋体" w:cs="宋体"/>
                <w:bCs/>
                <w:color w:val="auto"/>
                <w:szCs w:val="21"/>
              </w:rPr>
            </w:pPr>
            <w:r>
              <w:rPr>
                <w:rFonts w:hint="eastAsia" w:ascii="宋体" w:hAnsi="宋体" w:eastAsia="宋体" w:cs="宋体"/>
                <w:bCs/>
                <w:color w:val="auto"/>
                <w:szCs w:val="21"/>
              </w:rPr>
              <w:t>《烟花爆竹工程设计安全规范》GB50161-2009</w:t>
            </w:r>
          </w:p>
          <w:p>
            <w:pPr>
              <w:rPr>
                <w:rFonts w:hint="eastAsia" w:ascii="宋体" w:hAnsi="宋体" w:eastAsia="宋体" w:cs="宋体"/>
                <w:bCs/>
                <w:color w:val="auto"/>
                <w:szCs w:val="21"/>
              </w:rPr>
            </w:pPr>
            <w:r>
              <w:rPr>
                <w:rFonts w:hint="eastAsia" w:ascii="宋体" w:hAnsi="宋体" w:eastAsia="宋体" w:cs="宋体"/>
                <w:bCs/>
                <w:color w:val="auto"/>
                <w:szCs w:val="21"/>
              </w:rPr>
              <w:t>《石油化工企业设计防火标准》GB50160-2008（2018年）</w:t>
            </w:r>
          </w:p>
          <w:p>
            <w:pPr>
              <w:rPr>
                <w:rFonts w:hint="eastAsia" w:ascii="宋体" w:hAnsi="宋体" w:eastAsia="宋体" w:cs="宋体"/>
                <w:bCs/>
                <w:color w:val="auto"/>
                <w:szCs w:val="21"/>
              </w:rPr>
            </w:pPr>
            <w:r>
              <w:rPr>
                <w:rFonts w:hint="eastAsia" w:ascii="宋体" w:hAnsi="宋体" w:eastAsia="宋体" w:cs="宋体"/>
                <w:bCs/>
                <w:color w:val="auto"/>
                <w:szCs w:val="21"/>
              </w:rPr>
              <w:t>《石油库设计规范》GB50074-2014</w:t>
            </w:r>
          </w:p>
          <w:p>
            <w:pPr>
              <w:rPr>
                <w:rFonts w:hint="eastAsia" w:ascii="宋体" w:hAnsi="宋体" w:eastAsia="宋体" w:cs="宋体"/>
                <w:bCs/>
                <w:color w:val="auto"/>
                <w:szCs w:val="21"/>
              </w:rPr>
            </w:pPr>
            <w:r>
              <w:rPr>
                <w:rFonts w:hint="eastAsia" w:ascii="宋体" w:hAnsi="宋体" w:eastAsia="宋体" w:cs="宋体"/>
                <w:bCs/>
                <w:color w:val="auto"/>
                <w:spacing w:val="-18"/>
                <w:szCs w:val="21"/>
              </w:rPr>
              <w:t>《钢结构工程施工质量验收规范》</w:t>
            </w:r>
            <w:r>
              <w:rPr>
                <w:rFonts w:hint="eastAsia" w:ascii="宋体" w:hAnsi="宋体" w:eastAsia="宋体" w:cs="宋体"/>
                <w:bCs/>
                <w:color w:val="auto"/>
                <w:szCs w:val="21"/>
              </w:rPr>
              <w:t>GB50205-2001</w:t>
            </w:r>
          </w:p>
          <w:p>
            <w:pPr>
              <w:rPr>
                <w:rFonts w:hint="eastAsia" w:ascii="宋体" w:hAnsi="宋体" w:eastAsia="宋体" w:cs="宋体"/>
                <w:bCs/>
                <w:color w:val="auto"/>
                <w:szCs w:val="21"/>
              </w:rPr>
            </w:pPr>
            <w:r>
              <w:rPr>
                <w:rFonts w:hint="eastAsia" w:ascii="宋体" w:hAnsi="宋体" w:eastAsia="宋体" w:cs="宋体"/>
                <w:bCs/>
                <w:color w:val="auto"/>
                <w:szCs w:val="21"/>
              </w:rPr>
              <w:t>《防火门》GB12955-2008</w:t>
            </w:r>
          </w:p>
          <w:p>
            <w:pPr>
              <w:rPr>
                <w:rFonts w:hint="eastAsia" w:ascii="宋体" w:hAnsi="宋体" w:eastAsia="宋体" w:cs="宋体"/>
                <w:bCs/>
                <w:color w:val="auto"/>
                <w:szCs w:val="21"/>
              </w:rPr>
            </w:pPr>
            <w:r>
              <w:rPr>
                <w:rFonts w:hint="eastAsia" w:ascii="宋体" w:hAnsi="宋体" w:eastAsia="宋体" w:cs="宋体"/>
                <w:bCs/>
                <w:color w:val="auto"/>
                <w:szCs w:val="21"/>
              </w:rPr>
              <w:t>《防火卷帘》GB14102-2005</w:t>
            </w:r>
          </w:p>
          <w:p>
            <w:pPr>
              <w:rPr>
                <w:rFonts w:hint="eastAsia" w:ascii="宋体" w:hAnsi="宋体" w:eastAsia="宋体" w:cs="宋体"/>
                <w:bCs/>
                <w:color w:val="auto"/>
                <w:szCs w:val="21"/>
              </w:rPr>
            </w:pPr>
            <w:r>
              <w:rPr>
                <w:rFonts w:hint="eastAsia" w:ascii="宋体" w:hAnsi="宋体" w:eastAsia="宋体" w:cs="宋体"/>
                <w:bCs/>
                <w:color w:val="auto"/>
                <w:szCs w:val="21"/>
              </w:rPr>
              <w:t>《钢结构防火涂料》GB14907-2002</w:t>
            </w:r>
          </w:p>
          <w:p>
            <w:pPr>
              <w:rPr>
                <w:rFonts w:hint="eastAsia" w:ascii="宋体" w:hAnsi="宋体" w:eastAsia="宋体" w:cs="宋体"/>
                <w:bCs/>
                <w:color w:val="auto"/>
                <w:szCs w:val="21"/>
              </w:rPr>
            </w:pPr>
            <w:r>
              <w:rPr>
                <w:rFonts w:hint="eastAsia" w:ascii="宋体" w:hAnsi="宋体" w:eastAsia="宋体" w:cs="宋体"/>
                <w:bCs/>
                <w:color w:val="auto"/>
                <w:szCs w:val="21"/>
              </w:rPr>
              <w:t>《消防应急照明和疏散指示系统技术标准》GB51309-2018</w:t>
            </w:r>
          </w:p>
          <w:p>
            <w:pPr>
              <w:rPr>
                <w:rFonts w:hint="eastAsia" w:ascii="宋体" w:hAnsi="宋体" w:eastAsia="宋体" w:cs="宋体"/>
                <w:bCs/>
                <w:color w:val="auto"/>
                <w:szCs w:val="21"/>
              </w:rPr>
            </w:pPr>
            <w:r>
              <w:rPr>
                <w:rFonts w:hint="eastAsia" w:ascii="宋体" w:hAnsi="宋体" w:eastAsia="宋体" w:cs="宋体"/>
                <w:bCs/>
                <w:color w:val="auto"/>
                <w:szCs w:val="21"/>
              </w:rPr>
              <w:t>《建筑消防设施检测技术规程》GA503-2004</w:t>
            </w:r>
          </w:p>
          <w:p>
            <w:pPr>
              <w:rPr>
                <w:rFonts w:hint="eastAsia" w:ascii="宋体" w:hAnsi="宋体" w:eastAsia="宋体" w:cs="宋体"/>
                <w:bCs/>
                <w:color w:val="auto"/>
                <w:szCs w:val="21"/>
              </w:rPr>
            </w:pPr>
            <w:r>
              <w:rPr>
                <w:rFonts w:hint="eastAsia" w:ascii="宋体" w:hAnsi="宋体" w:eastAsia="宋体" w:cs="宋体"/>
                <w:bCs/>
                <w:color w:val="auto"/>
                <w:szCs w:val="21"/>
              </w:rPr>
              <w:t>《水喷雾灭火系统技术规范》GB50219-2014</w:t>
            </w:r>
          </w:p>
          <w:p>
            <w:pPr>
              <w:rPr>
                <w:rFonts w:hint="eastAsia" w:ascii="宋体" w:hAnsi="宋体" w:eastAsia="宋体" w:cs="宋体"/>
                <w:bCs/>
                <w:color w:val="auto"/>
                <w:szCs w:val="21"/>
              </w:rPr>
            </w:pPr>
            <w:r>
              <w:rPr>
                <w:rFonts w:hint="eastAsia" w:ascii="宋体" w:hAnsi="宋体" w:eastAsia="宋体" w:cs="宋体"/>
                <w:bCs/>
                <w:color w:val="auto"/>
                <w:szCs w:val="21"/>
              </w:rPr>
              <w:t>《细水雾灭火系统技术规范》GB50898-2013</w:t>
            </w:r>
          </w:p>
          <w:p>
            <w:pPr>
              <w:rPr>
                <w:rFonts w:hint="eastAsia" w:ascii="宋体" w:hAnsi="宋体" w:eastAsia="宋体" w:cs="宋体"/>
                <w:bCs/>
                <w:color w:val="auto"/>
                <w:szCs w:val="21"/>
              </w:rPr>
            </w:pPr>
            <w:r>
              <w:rPr>
                <w:rFonts w:hint="eastAsia" w:ascii="宋体" w:hAnsi="宋体" w:eastAsia="宋体" w:cs="宋体"/>
                <w:bCs/>
                <w:color w:val="auto"/>
                <w:szCs w:val="21"/>
              </w:rPr>
              <w:t>《汽车库、修车库、停车场设计防火规范》GB50067-2014</w:t>
            </w:r>
          </w:p>
          <w:p>
            <w:pPr>
              <w:rPr>
                <w:rFonts w:hint="eastAsia" w:ascii="宋体" w:hAnsi="宋体" w:eastAsia="宋体" w:cs="宋体"/>
                <w:bCs/>
                <w:color w:val="auto"/>
                <w:szCs w:val="21"/>
              </w:rPr>
            </w:pPr>
            <w:r>
              <w:rPr>
                <w:rFonts w:hint="eastAsia" w:ascii="宋体" w:hAnsi="宋体" w:eastAsia="宋体" w:cs="宋体"/>
                <w:bCs/>
                <w:color w:val="auto"/>
                <w:szCs w:val="21"/>
              </w:rPr>
              <w:t>《建筑灭火器配置设计规范》GB50140-2005</w:t>
            </w:r>
          </w:p>
          <w:p>
            <w:pPr>
              <w:rPr>
                <w:rFonts w:hint="eastAsia" w:ascii="宋体" w:hAnsi="宋体" w:eastAsia="宋体" w:cs="宋体"/>
                <w:bCs/>
                <w:color w:val="auto"/>
                <w:szCs w:val="21"/>
              </w:rPr>
            </w:pPr>
            <w:r>
              <w:rPr>
                <w:rFonts w:hint="eastAsia" w:ascii="宋体" w:hAnsi="宋体" w:eastAsia="宋体" w:cs="宋体"/>
                <w:bCs/>
                <w:color w:val="auto"/>
                <w:szCs w:val="21"/>
              </w:rPr>
              <w:t>《爆炸危险环境电力装置设计规范》GB50058-2014</w:t>
            </w:r>
          </w:p>
          <w:p>
            <w:pPr>
              <w:rPr>
                <w:rFonts w:hint="eastAsia" w:ascii="宋体" w:hAnsi="宋体" w:eastAsia="宋体" w:cs="宋体"/>
                <w:bCs/>
                <w:color w:val="auto"/>
                <w:szCs w:val="21"/>
              </w:rPr>
            </w:pPr>
            <w:r>
              <w:rPr>
                <w:rFonts w:hint="eastAsia" w:ascii="宋体" w:hAnsi="宋体" w:eastAsia="宋体" w:cs="宋体"/>
                <w:bCs/>
                <w:color w:val="auto"/>
                <w:szCs w:val="21"/>
              </w:rPr>
              <w:t>《爆炸危险环境电力装置施工及验收规范》GB50257-2014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电气防火监控系统</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sym w:font="Wingdings" w:char="00A8"/>
            </w:r>
          </w:p>
        </w:tc>
        <w:tc>
          <w:tcPr>
            <w:tcW w:w="496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可燃气体报警系统</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sym w:font="Wingdings" w:char="00A8"/>
            </w:r>
          </w:p>
        </w:tc>
        <w:tc>
          <w:tcPr>
            <w:tcW w:w="496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火灾应急广播</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sym w:font="Wingdings" w:char="00A8"/>
            </w:r>
          </w:p>
        </w:tc>
        <w:tc>
          <w:tcPr>
            <w:tcW w:w="496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消防专用电话</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sym w:font="Wingdings" w:char="00A8"/>
            </w:r>
          </w:p>
        </w:tc>
        <w:tc>
          <w:tcPr>
            <w:tcW w:w="496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消防电源及配电</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sym w:font="Wingdings" w:char="00A8"/>
            </w:r>
          </w:p>
        </w:tc>
        <w:tc>
          <w:tcPr>
            <w:tcW w:w="496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火灾应急照明</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sym w:font="Wingdings" w:char="00FE"/>
            </w:r>
          </w:p>
        </w:tc>
        <w:tc>
          <w:tcPr>
            <w:tcW w:w="496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疏散标志指示</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sym w:font="Wingdings" w:char="00FE"/>
            </w:r>
          </w:p>
        </w:tc>
        <w:tc>
          <w:tcPr>
            <w:tcW w:w="496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室外消火栓系统</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sym w:font="Wingdings" w:char="00FE"/>
            </w:r>
          </w:p>
        </w:tc>
        <w:tc>
          <w:tcPr>
            <w:tcW w:w="496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室内消火栓系统</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sym w:font="Wingdings" w:char="00FE"/>
            </w:r>
          </w:p>
        </w:tc>
        <w:tc>
          <w:tcPr>
            <w:tcW w:w="496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自动喷水灭火系统</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sym w:font="Wingdings" w:char="00FE"/>
            </w:r>
          </w:p>
        </w:tc>
        <w:tc>
          <w:tcPr>
            <w:tcW w:w="496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气体灭火系统</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sym w:font="Wingdings" w:char="00FE"/>
            </w:r>
          </w:p>
        </w:tc>
        <w:tc>
          <w:tcPr>
            <w:tcW w:w="496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泡沫灭火系统</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sym w:font="Wingdings" w:char="00A8"/>
            </w:r>
          </w:p>
        </w:tc>
        <w:tc>
          <w:tcPr>
            <w:tcW w:w="496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消防炮灭火系统</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sym w:font="Wingdings" w:char="00A8"/>
            </w:r>
          </w:p>
        </w:tc>
        <w:tc>
          <w:tcPr>
            <w:tcW w:w="496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lang w:val="en-US" w:eastAsia="zh-CN"/>
              </w:rPr>
            </w:pPr>
            <w:r>
              <w:rPr>
                <w:rFonts w:hint="eastAsia" w:ascii="宋体" w:hAnsi="宋体" w:eastAsia="宋体" w:cs="宋体"/>
                <w:color w:val="auto"/>
                <w:szCs w:val="21"/>
              </w:rPr>
              <w:t>防火门、防火</w:t>
            </w:r>
            <w:r>
              <w:rPr>
                <w:rFonts w:hint="eastAsia" w:ascii="宋体" w:hAnsi="宋体" w:eastAsia="宋体" w:cs="宋体"/>
                <w:color w:val="auto"/>
                <w:szCs w:val="21"/>
                <w:lang w:val="en-US" w:eastAsia="zh-CN"/>
              </w:rPr>
              <w:t>窗</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sym w:font="Wingdings" w:char="00FE"/>
            </w:r>
          </w:p>
        </w:tc>
        <w:tc>
          <w:tcPr>
            <w:tcW w:w="496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16</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防火卷帘</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sym w:font="Wingdings" w:char="00A8"/>
            </w:r>
          </w:p>
        </w:tc>
        <w:tc>
          <w:tcPr>
            <w:tcW w:w="496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17</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消防电梯</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sym w:font="Wingdings" w:char="00A8"/>
            </w:r>
          </w:p>
        </w:tc>
        <w:tc>
          <w:tcPr>
            <w:tcW w:w="496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18</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机械加压防烟送风系统</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sym w:font="Wingdings" w:char="00A8"/>
            </w:r>
          </w:p>
        </w:tc>
        <w:tc>
          <w:tcPr>
            <w:tcW w:w="496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19</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机械排烟系统</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sym w:font="Wingdings" w:char="00A8"/>
            </w:r>
          </w:p>
        </w:tc>
        <w:tc>
          <w:tcPr>
            <w:tcW w:w="496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20</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防火涂料</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sym w:font="Wingdings" w:char="00A8"/>
            </w:r>
          </w:p>
        </w:tc>
        <w:tc>
          <w:tcPr>
            <w:tcW w:w="496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21</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水喷雾灭火系统</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sym w:font="Wingdings" w:char="00A8"/>
            </w:r>
          </w:p>
        </w:tc>
        <w:tc>
          <w:tcPr>
            <w:tcW w:w="496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22</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灭火器</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sym w:font="Wingdings" w:char="00FE"/>
            </w:r>
          </w:p>
        </w:tc>
        <w:tc>
          <w:tcPr>
            <w:tcW w:w="4969"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Cs/>
                <w:sz w:val="18"/>
                <w:szCs w:val="18"/>
              </w:rPr>
            </w:pPr>
          </w:p>
        </w:tc>
      </w:tr>
    </w:tbl>
    <w:p>
      <w:pPr>
        <w:spacing w:line="360" w:lineRule="auto"/>
        <w:ind w:right="105" w:rightChars="50"/>
        <w:rPr>
          <w:rFonts w:hint="eastAsia" w:ascii="宋体" w:hAnsi="宋体" w:eastAsia="宋体" w:cs="宋体"/>
          <w:b/>
          <w:color w:val="auto"/>
          <w:sz w:val="24"/>
          <w:szCs w:val="24"/>
          <w:lang w:eastAsia="zh-CN"/>
        </w:rPr>
      </w:pPr>
    </w:p>
    <w:p>
      <w:pPr>
        <w:spacing w:line="360" w:lineRule="auto"/>
        <w:ind w:right="105" w:rightChars="50"/>
        <w:rPr>
          <w:rFonts w:hint="eastAsia" w:ascii="宋体" w:hAnsi="宋体" w:eastAsia="宋体" w:cs="宋体"/>
          <w:sz w:val="24"/>
        </w:rPr>
      </w:pPr>
      <w:r>
        <w:rPr>
          <w:rFonts w:hint="eastAsia" w:ascii="宋体" w:hAnsi="宋体" w:eastAsia="宋体" w:cs="宋体"/>
          <w:b/>
          <w:color w:val="auto"/>
          <w:sz w:val="24"/>
          <w:szCs w:val="24"/>
          <w:lang w:eastAsia="zh-CN"/>
        </w:rPr>
        <w:t>五、</w:t>
      </w:r>
      <w:r>
        <w:rPr>
          <w:rFonts w:hint="eastAsia" w:ascii="宋体" w:hAnsi="宋体" w:eastAsia="宋体" w:cs="宋体"/>
          <w:b/>
          <w:bCs/>
          <w:sz w:val="24"/>
        </w:rPr>
        <w:t>消防安全评估内容：</w:t>
      </w:r>
    </w:p>
    <w:p>
      <w:pPr>
        <w:spacing w:line="360" w:lineRule="auto"/>
        <w:ind w:right="105" w:rightChars="50"/>
        <w:rPr>
          <w:rFonts w:hint="eastAsia" w:ascii="宋体" w:hAnsi="宋体" w:eastAsia="宋体" w:cs="宋体"/>
          <w:i w:val="0"/>
          <w:caps w:val="0"/>
          <w:color w:val="191F25"/>
          <w:spacing w:val="0"/>
          <w:kern w:val="0"/>
          <w:sz w:val="24"/>
          <w:szCs w:val="24"/>
          <w:shd w:val="clear" w:color="auto" w:fill="FFFFFF"/>
          <w:lang w:val="en-US" w:eastAsia="zh-CN" w:bidi="ar"/>
        </w:rPr>
      </w:pPr>
      <w:r>
        <w:rPr>
          <w:rFonts w:hint="eastAsia" w:ascii="宋体" w:hAnsi="宋体" w:eastAsia="宋体" w:cs="宋体"/>
          <w:i w:val="0"/>
          <w:caps w:val="0"/>
          <w:color w:val="191F25"/>
          <w:spacing w:val="0"/>
          <w:kern w:val="0"/>
          <w:sz w:val="24"/>
          <w:szCs w:val="24"/>
          <w:shd w:val="clear" w:color="auto" w:fill="FFFFFF"/>
          <w:lang w:val="en-US" w:eastAsia="zh-CN" w:bidi="ar"/>
        </w:rPr>
        <w:t>1、建筑物和公众聚集场所消防合法性情况；</w:t>
      </w:r>
    </w:p>
    <w:p>
      <w:pPr>
        <w:spacing w:line="360" w:lineRule="auto"/>
        <w:ind w:right="105" w:rightChars="50"/>
        <w:rPr>
          <w:rFonts w:hint="eastAsia" w:ascii="宋体" w:hAnsi="宋体" w:eastAsia="宋体" w:cs="宋体"/>
          <w:i w:val="0"/>
          <w:caps w:val="0"/>
          <w:color w:val="191F25"/>
          <w:spacing w:val="0"/>
          <w:kern w:val="0"/>
          <w:sz w:val="24"/>
          <w:szCs w:val="24"/>
          <w:shd w:val="clear" w:color="auto" w:fill="FFFFFF"/>
          <w:lang w:val="en-US" w:eastAsia="zh-CN" w:bidi="ar"/>
        </w:rPr>
      </w:pPr>
      <w:r>
        <w:rPr>
          <w:rFonts w:hint="eastAsia" w:ascii="宋体" w:hAnsi="宋体" w:eastAsia="宋体" w:cs="宋体"/>
          <w:i w:val="0"/>
          <w:caps w:val="0"/>
          <w:color w:val="191F25"/>
          <w:spacing w:val="0"/>
          <w:kern w:val="0"/>
          <w:sz w:val="24"/>
          <w:szCs w:val="24"/>
          <w:shd w:val="clear" w:color="auto" w:fill="FFFFFF"/>
          <w:lang w:val="en-US" w:eastAsia="zh-CN" w:bidi="ar"/>
        </w:rPr>
        <w:t>2、制定并落实消防安全制度、消防安全操作规程、灭火和应急疏散预案情况；</w:t>
      </w:r>
      <w:r>
        <w:rPr>
          <w:rFonts w:hint="eastAsia" w:ascii="宋体" w:hAnsi="宋体" w:eastAsia="宋体" w:cs="宋体"/>
          <w:i w:val="0"/>
          <w:caps w:val="0"/>
          <w:color w:val="191F25"/>
          <w:spacing w:val="0"/>
          <w:kern w:val="0"/>
          <w:sz w:val="24"/>
          <w:szCs w:val="24"/>
          <w:shd w:val="clear" w:color="auto" w:fill="FFFFFF"/>
          <w:lang w:val="en-US" w:eastAsia="zh-CN" w:bidi="ar"/>
        </w:rPr>
        <w:br w:type="textWrapping"/>
      </w:r>
      <w:r>
        <w:rPr>
          <w:rFonts w:hint="eastAsia" w:ascii="宋体" w:hAnsi="宋体" w:eastAsia="宋体" w:cs="宋体"/>
          <w:i w:val="0"/>
          <w:caps w:val="0"/>
          <w:color w:val="191F25"/>
          <w:spacing w:val="0"/>
          <w:kern w:val="0"/>
          <w:sz w:val="24"/>
          <w:szCs w:val="24"/>
          <w:shd w:val="clear" w:color="auto" w:fill="FFFFFF"/>
          <w:lang w:val="en-US" w:eastAsia="zh-CN" w:bidi="ar"/>
        </w:rPr>
        <w:t>3、依法确定消防安全管理人、专(兼)职消防管理员、自动消防系统操作人员情况，组织开展防火检查、防火巡查以及火灾隐患整改情况；</w:t>
      </w:r>
      <w:r>
        <w:rPr>
          <w:rFonts w:hint="eastAsia" w:ascii="宋体" w:hAnsi="宋体" w:eastAsia="宋体" w:cs="宋体"/>
          <w:i w:val="0"/>
          <w:caps w:val="0"/>
          <w:color w:val="191F25"/>
          <w:spacing w:val="0"/>
          <w:kern w:val="0"/>
          <w:sz w:val="24"/>
          <w:szCs w:val="24"/>
          <w:shd w:val="clear" w:color="auto" w:fill="FFFFFF"/>
          <w:lang w:val="en-US" w:eastAsia="zh-CN" w:bidi="ar"/>
        </w:rPr>
        <w:br w:type="textWrapping"/>
      </w:r>
      <w:r>
        <w:rPr>
          <w:rFonts w:hint="eastAsia" w:ascii="宋体" w:hAnsi="宋体" w:eastAsia="宋体" w:cs="宋体"/>
          <w:i w:val="0"/>
          <w:caps w:val="0"/>
          <w:color w:val="191F25"/>
          <w:spacing w:val="0"/>
          <w:kern w:val="0"/>
          <w:sz w:val="24"/>
          <w:szCs w:val="24"/>
          <w:shd w:val="clear" w:color="auto" w:fill="FFFFFF"/>
          <w:lang w:val="en-US" w:eastAsia="zh-CN" w:bidi="ar"/>
        </w:rPr>
        <w:t>4、员工消防安全培训和“一懂三会”知识掌握情况，消防安全宣传情况，定期组织开展消防演练情况；</w:t>
      </w:r>
      <w:r>
        <w:rPr>
          <w:rFonts w:hint="eastAsia" w:ascii="宋体" w:hAnsi="宋体" w:eastAsia="宋体" w:cs="宋体"/>
          <w:i w:val="0"/>
          <w:caps w:val="0"/>
          <w:color w:val="191F25"/>
          <w:spacing w:val="0"/>
          <w:kern w:val="0"/>
          <w:sz w:val="24"/>
          <w:szCs w:val="24"/>
          <w:shd w:val="clear" w:color="auto" w:fill="FFFFFF"/>
          <w:lang w:val="en-US" w:eastAsia="zh-CN" w:bidi="ar"/>
        </w:rPr>
        <w:br w:type="textWrapping"/>
      </w:r>
      <w:r>
        <w:rPr>
          <w:rFonts w:hint="eastAsia" w:ascii="宋体" w:hAnsi="宋体" w:eastAsia="宋体" w:cs="宋体"/>
          <w:i w:val="0"/>
          <w:caps w:val="0"/>
          <w:color w:val="191F25"/>
          <w:spacing w:val="0"/>
          <w:kern w:val="0"/>
          <w:sz w:val="24"/>
          <w:szCs w:val="24"/>
          <w:shd w:val="clear" w:color="auto" w:fill="FFFFFF"/>
          <w:lang w:val="en-US" w:eastAsia="zh-CN" w:bidi="ar"/>
        </w:rPr>
        <w:t>5、消防设施、器材和消防安全标志设置配置以及完好有效情况，消防控制室值班及自动消防系统操作人员持证上岗情况；</w:t>
      </w:r>
      <w:r>
        <w:rPr>
          <w:rFonts w:hint="eastAsia" w:ascii="宋体" w:hAnsi="宋体" w:eastAsia="宋体" w:cs="宋体"/>
          <w:i w:val="0"/>
          <w:caps w:val="0"/>
          <w:color w:val="191F25"/>
          <w:spacing w:val="0"/>
          <w:kern w:val="0"/>
          <w:sz w:val="24"/>
          <w:szCs w:val="24"/>
          <w:shd w:val="clear" w:color="auto" w:fill="FFFFFF"/>
          <w:lang w:val="en-US" w:eastAsia="zh-CN" w:bidi="ar"/>
        </w:rPr>
        <w:br w:type="textWrapping"/>
      </w:r>
      <w:r>
        <w:rPr>
          <w:rFonts w:hint="eastAsia" w:ascii="宋体" w:hAnsi="宋体" w:eastAsia="宋体" w:cs="宋体"/>
          <w:i w:val="0"/>
          <w:caps w:val="0"/>
          <w:color w:val="191F25"/>
          <w:spacing w:val="0"/>
          <w:kern w:val="0"/>
          <w:sz w:val="24"/>
          <w:szCs w:val="24"/>
          <w:shd w:val="clear" w:color="auto" w:fill="FFFFFF"/>
          <w:lang w:val="en-US" w:eastAsia="zh-CN" w:bidi="ar"/>
        </w:rPr>
        <w:t>6、电器产品、燃气用具的安装、使用及其线路、管路的敷设、维护保养情况；</w:t>
      </w:r>
      <w:r>
        <w:rPr>
          <w:rFonts w:hint="eastAsia" w:ascii="宋体" w:hAnsi="宋体" w:eastAsia="宋体" w:cs="宋体"/>
          <w:i w:val="0"/>
          <w:caps w:val="0"/>
          <w:color w:val="191F25"/>
          <w:spacing w:val="0"/>
          <w:kern w:val="0"/>
          <w:sz w:val="24"/>
          <w:szCs w:val="24"/>
          <w:shd w:val="clear" w:color="auto" w:fill="FFFFFF"/>
          <w:lang w:val="en-US" w:eastAsia="zh-CN" w:bidi="ar"/>
        </w:rPr>
        <w:br w:type="textWrapping"/>
      </w:r>
      <w:r>
        <w:rPr>
          <w:rFonts w:hint="eastAsia" w:ascii="宋体" w:hAnsi="宋体" w:eastAsia="宋体" w:cs="宋体"/>
          <w:i w:val="0"/>
          <w:caps w:val="0"/>
          <w:color w:val="191F25"/>
          <w:spacing w:val="0"/>
          <w:kern w:val="0"/>
          <w:sz w:val="24"/>
          <w:szCs w:val="24"/>
          <w:shd w:val="clear" w:color="auto" w:fill="FFFFFF"/>
          <w:lang w:val="en-US" w:eastAsia="zh-CN" w:bidi="ar"/>
        </w:rPr>
        <w:t>7、疏散通道、安全出口、消防车通道保持畅通情况，防火分区、防火间距、防烟分区、避难层(间)及消防车登高作业区域保持有效情况；</w:t>
      </w:r>
      <w:r>
        <w:rPr>
          <w:rFonts w:hint="eastAsia" w:ascii="宋体" w:hAnsi="宋体" w:eastAsia="宋体" w:cs="宋体"/>
          <w:i w:val="0"/>
          <w:caps w:val="0"/>
          <w:color w:val="191F25"/>
          <w:spacing w:val="0"/>
          <w:kern w:val="0"/>
          <w:sz w:val="24"/>
          <w:szCs w:val="24"/>
          <w:shd w:val="clear" w:color="auto" w:fill="FFFFFF"/>
          <w:lang w:val="en-US" w:eastAsia="zh-CN" w:bidi="ar"/>
        </w:rPr>
        <w:br w:type="textWrapping"/>
      </w:r>
      <w:r>
        <w:rPr>
          <w:rFonts w:hint="eastAsia" w:ascii="宋体" w:hAnsi="宋体" w:eastAsia="宋体" w:cs="宋体"/>
          <w:i w:val="0"/>
          <w:caps w:val="0"/>
          <w:color w:val="191F25"/>
          <w:spacing w:val="0"/>
          <w:kern w:val="0"/>
          <w:sz w:val="24"/>
          <w:szCs w:val="24"/>
          <w:shd w:val="clear" w:color="auto" w:fill="FFFFFF"/>
          <w:lang w:val="en-US" w:eastAsia="zh-CN" w:bidi="ar"/>
        </w:rPr>
        <w:t>8、室内外装修情况，建筑外保温材料使用情况，易燃易爆危险品管理情况;</w:t>
      </w:r>
      <w:r>
        <w:rPr>
          <w:rFonts w:hint="eastAsia" w:ascii="宋体" w:hAnsi="宋体" w:eastAsia="宋体" w:cs="宋体"/>
          <w:i w:val="0"/>
          <w:caps w:val="0"/>
          <w:color w:val="191F25"/>
          <w:spacing w:val="0"/>
          <w:kern w:val="0"/>
          <w:sz w:val="24"/>
          <w:szCs w:val="24"/>
          <w:shd w:val="clear" w:color="auto" w:fill="FFFFFF"/>
          <w:lang w:val="en-US" w:eastAsia="zh-CN" w:bidi="ar"/>
        </w:rPr>
        <w:br w:type="textWrapping"/>
      </w:r>
      <w:r>
        <w:rPr>
          <w:rFonts w:hint="eastAsia" w:ascii="宋体" w:hAnsi="宋体" w:eastAsia="宋体" w:cs="宋体"/>
          <w:i w:val="0"/>
          <w:caps w:val="0"/>
          <w:color w:val="191F25"/>
          <w:spacing w:val="0"/>
          <w:kern w:val="0"/>
          <w:sz w:val="24"/>
          <w:szCs w:val="24"/>
          <w:shd w:val="clear" w:color="auto" w:fill="FFFFFF"/>
          <w:lang w:val="en-US" w:eastAsia="zh-CN" w:bidi="ar"/>
        </w:rPr>
        <w:t>9、依法建立专职消防队及配备装备器材情况，扑救火灾能力情况；</w:t>
      </w:r>
      <w:r>
        <w:rPr>
          <w:rFonts w:hint="eastAsia" w:ascii="宋体" w:hAnsi="宋体" w:eastAsia="宋体" w:cs="宋体"/>
          <w:i w:val="0"/>
          <w:caps w:val="0"/>
          <w:color w:val="191F25"/>
          <w:spacing w:val="0"/>
          <w:kern w:val="0"/>
          <w:sz w:val="24"/>
          <w:szCs w:val="24"/>
          <w:shd w:val="clear" w:color="auto" w:fill="FFFFFF"/>
          <w:lang w:val="en-US" w:eastAsia="zh-CN" w:bidi="ar"/>
        </w:rPr>
        <w:br w:type="textWrapping"/>
      </w:r>
      <w:r>
        <w:rPr>
          <w:rFonts w:hint="eastAsia" w:ascii="宋体" w:hAnsi="宋体" w:eastAsia="宋体" w:cs="宋体"/>
          <w:i w:val="0"/>
          <w:caps w:val="0"/>
          <w:color w:val="191F25"/>
          <w:spacing w:val="0"/>
          <w:kern w:val="0"/>
          <w:sz w:val="24"/>
          <w:szCs w:val="24"/>
          <w:shd w:val="clear" w:color="auto" w:fill="FFFFFF"/>
          <w:lang w:val="en-US" w:eastAsia="zh-CN" w:bidi="ar"/>
        </w:rPr>
        <w:t>10、受到公安机关消防机构行政处罚和消防安全不良行为公布情况，对监督检查发现问题整改情况；</w:t>
      </w:r>
      <w:r>
        <w:rPr>
          <w:rFonts w:hint="eastAsia" w:ascii="宋体" w:hAnsi="宋体" w:eastAsia="宋体" w:cs="宋体"/>
          <w:i w:val="0"/>
          <w:caps w:val="0"/>
          <w:color w:val="191F25"/>
          <w:spacing w:val="0"/>
          <w:kern w:val="0"/>
          <w:sz w:val="24"/>
          <w:szCs w:val="24"/>
          <w:shd w:val="clear" w:color="auto" w:fill="FFFFFF"/>
          <w:lang w:val="en-US" w:eastAsia="zh-CN" w:bidi="ar"/>
        </w:rPr>
        <w:br w:type="textWrapping"/>
      </w:r>
      <w:r>
        <w:rPr>
          <w:rFonts w:hint="eastAsia" w:ascii="宋体" w:hAnsi="宋体" w:eastAsia="宋体" w:cs="宋体"/>
          <w:i w:val="0"/>
          <w:caps w:val="0"/>
          <w:color w:val="191F25"/>
          <w:spacing w:val="0"/>
          <w:kern w:val="0"/>
          <w:sz w:val="24"/>
          <w:szCs w:val="24"/>
          <w:shd w:val="clear" w:color="auto" w:fill="FFFFFF"/>
          <w:lang w:val="en-US" w:eastAsia="zh-CN" w:bidi="ar"/>
        </w:rPr>
        <w:t>11、消防安全责任人、消防安全管理人、专(兼)职消防管理员确定、变更，消防安全“四个能力”建设定期检查评估，消防设施维护保养落实并定期向当地公安机关消防机构报告备案情况；</w:t>
      </w:r>
      <w:r>
        <w:rPr>
          <w:rFonts w:hint="eastAsia" w:ascii="宋体" w:hAnsi="宋体" w:eastAsia="宋体" w:cs="宋体"/>
          <w:i w:val="0"/>
          <w:caps w:val="0"/>
          <w:color w:val="191F25"/>
          <w:spacing w:val="0"/>
          <w:kern w:val="0"/>
          <w:sz w:val="24"/>
          <w:szCs w:val="24"/>
          <w:shd w:val="clear" w:color="auto" w:fill="FFFFFF"/>
          <w:lang w:val="en-US" w:eastAsia="zh-CN" w:bidi="ar"/>
        </w:rPr>
        <w:br w:type="textWrapping"/>
      </w:r>
      <w:r>
        <w:rPr>
          <w:rFonts w:hint="eastAsia" w:ascii="宋体" w:hAnsi="宋体" w:eastAsia="宋体" w:cs="宋体"/>
          <w:i w:val="0"/>
          <w:caps w:val="0"/>
          <w:color w:val="191F25"/>
          <w:spacing w:val="0"/>
          <w:kern w:val="0"/>
          <w:sz w:val="24"/>
          <w:szCs w:val="24"/>
          <w:shd w:val="clear" w:color="auto" w:fill="FFFFFF"/>
          <w:lang w:val="en-US" w:eastAsia="zh-CN" w:bidi="ar"/>
        </w:rPr>
        <w:t>12、单位结合实际加强人防、物防、技防等火灾防范措施情况；</w:t>
      </w:r>
      <w:r>
        <w:rPr>
          <w:rFonts w:hint="eastAsia" w:ascii="宋体" w:hAnsi="宋体" w:eastAsia="宋体" w:cs="宋体"/>
          <w:i w:val="0"/>
          <w:caps w:val="0"/>
          <w:color w:val="191F25"/>
          <w:spacing w:val="0"/>
          <w:kern w:val="0"/>
          <w:sz w:val="24"/>
          <w:szCs w:val="24"/>
          <w:shd w:val="clear" w:color="auto" w:fill="FFFFFF"/>
          <w:lang w:val="en-US" w:eastAsia="zh-CN" w:bidi="ar"/>
        </w:rPr>
        <w:br w:type="textWrapping"/>
      </w:r>
      <w:r>
        <w:rPr>
          <w:rFonts w:hint="eastAsia" w:ascii="宋体" w:hAnsi="宋体" w:eastAsia="宋体" w:cs="宋体"/>
          <w:i w:val="0"/>
          <w:caps w:val="0"/>
          <w:color w:val="191F25"/>
          <w:spacing w:val="0"/>
          <w:kern w:val="0"/>
          <w:sz w:val="24"/>
          <w:szCs w:val="24"/>
          <w:shd w:val="clear" w:color="auto" w:fill="FFFFFF"/>
          <w:lang w:val="en-US" w:eastAsia="zh-CN" w:bidi="ar"/>
        </w:rPr>
        <w:t>13、单位年内发生火灾情况。</w:t>
      </w:r>
    </w:p>
    <w:p>
      <w:pPr>
        <w:spacing w:line="360" w:lineRule="auto"/>
        <w:rPr>
          <w:rFonts w:hint="eastAsia" w:ascii="宋体" w:hAnsi="宋体" w:eastAsia="宋体" w:cs="宋体"/>
          <w:snapToGrid w:val="0"/>
          <w:color w:val="auto"/>
          <w:kern w:val="0"/>
          <w:sz w:val="24"/>
          <w:szCs w:val="24"/>
          <w:lang w:eastAsia="zh-CN"/>
        </w:rPr>
      </w:pPr>
      <w:r>
        <w:rPr>
          <w:rFonts w:hint="eastAsia" w:ascii="宋体" w:hAnsi="宋体" w:eastAsia="宋体" w:cs="宋体"/>
          <w:b/>
          <w:color w:val="auto"/>
          <w:sz w:val="24"/>
          <w:szCs w:val="24"/>
          <w:lang w:eastAsia="zh-CN"/>
        </w:rPr>
        <w:t>六、</w:t>
      </w:r>
      <w:r>
        <w:rPr>
          <w:rFonts w:hint="eastAsia" w:ascii="宋体" w:hAnsi="宋体" w:eastAsia="宋体" w:cs="宋体"/>
          <w:b/>
          <w:color w:val="auto"/>
          <w:sz w:val="24"/>
          <w:szCs w:val="24"/>
        </w:rPr>
        <w:t>甲乙双方</w:t>
      </w:r>
      <w:r>
        <w:rPr>
          <w:rFonts w:hint="eastAsia" w:ascii="宋体" w:hAnsi="宋体" w:eastAsia="宋体" w:cs="宋体"/>
          <w:b/>
          <w:color w:val="auto"/>
          <w:sz w:val="24"/>
          <w:szCs w:val="24"/>
          <w:lang w:eastAsia="zh-CN"/>
        </w:rPr>
        <w:t>的责任</w:t>
      </w:r>
    </w:p>
    <w:p>
      <w:pPr>
        <w:spacing w:line="360" w:lineRule="auto"/>
        <w:rPr>
          <w:rFonts w:hint="eastAsia" w:ascii="宋体" w:hAnsi="宋体" w:eastAsia="宋体" w:cs="宋体"/>
          <w:b/>
          <w:bCs/>
          <w:snapToGrid w:val="0"/>
          <w:color w:val="auto"/>
          <w:kern w:val="0"/>
          <w:sz w:val="24"/>
          <w:szCs w:val="24"/>
          <w:lang w:eastAsia="zh-CN"/>
        </w:rPr>
      </w:pPr>
      <w:r>
        <w:rPr>
          <w:rFonts w:hint="eastAsia" w:ascii="宋体" w:hAnsi="宋体" w:eastAsia="宋体" w:cs="宋体"/>
          <w:b/>
          <w:bCs/>
          <w:snapToGrid w:val="0"/>
          <w:color w:val="auto"/>
          <w:kern w:val="0"/>
          <w:sz w:val="24"/>
          <w:szCs w:val="24"/>
          <w:lang w:val="en-US" w:eastAsia="zh-CN"/>
        </w:rPr>
        <w:t>1、</w:t>
      </w:r>
      <w:r>
        <w:rPr>
          <w:rFonts w:hint="eastAsia" w:ascii="宋体" w:hAnsi="宋体" w:eastAsia="宋体" w:cs="宋体"/>
          <w:b/>
          <w:bCs/>
          <w:snapToGrid w:val="0"/>
          <w:color w:val="auto"/>
          <w:kern w:val="0"/>
          <w:sz w:val="24"/>
          <w:szCs w:val="24"/>
        </w:rPr>
        <w:t>甲方</w:t>
      </w:r>
      <w:r>
        <w:rPr>
          <w:rFonts w:hint="eastAsia" w:ascii="宋体" w:hAnsi="宋体" w:eastAsia="宋体" w:cs="宋体"/>
          <w:b/>
          <w:bCs/>
          <w:snapToGrid w:val="0"/>
          <w:color w:val="auto"/>
          <w:kern w:val="0"/>
          <w:sz w:val="24"/>
          <w:szCs w:val="24"/>
          <w:lang w:eastAsia="zh-CN"/>
        </w:rPr>
        <w:t>的责任</w:t>
      </w:r>
    </w:p>
    <w:p>
      <w:pPr>
        <w:numPr>
          <w:ilvl w:val="0"/>
          <w:numId w:val="9"/>
        </w:numPr>
        <w:spacing w:line="360" w:lineRule="auto"/>
        <w:ind w:left="425" w:leftChars="0" w:right="105" w:rightChars="50" w:hanging="425" w:firstLineChars="0"/>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lang w:eastAsia="zh-CN"/>
        </w:rPr>
        <w:t>按照合同约定及时支付合同款项；</w:t>
      </w:r>
    </w:p>
    <w:p>
      <w:pPr>
        <w:numPr>
          <w:ilvl w:val="0"/>
          <w:numId w:val="9"/>
        </w:numPr>
        <w:spacing w:line="360" w:lineRule="auto"/>
        <w:ind w:left="425" w:leftChars="0" w:right="105" w:rightChars="50" w:hanging="425" w:firstLineChars="0"/>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lang w:val="en-US" w:eastAsia="zh-CN"/>
        </w:rPr>
        <w:t>甲方应在</w:t>
      </w:r>
      <w:r>
        <w:rPr>
          <w:rFonts w:hint="eastAsia" w:ascii="宋体" w:hAnsi="宋体" w:eastAsia="宋体" w:cs="宋体"/>
          <w:snapToGrid w:val="0"/>
          <w:color w:val="auto"/>
          <w:kern w:val="0"/>
          <w:sz w:val="24"/>
          <w:szCs w:val="24"/>
          <w:lang w:eastAsia="zh-CN"/>
        </w:rPr>
        <w:t>合同签订</w:t>
      </w:r>
      <w:r>
        <w:rPr>
          <w:rFonts w:hint="eastAsia" w:ascii="宋体" w:hAnsi="宋体" w:eastAsia="宋体" w:cs="宋体"/>
          <w:snapToGrid w:val="0"/>
          <w:color w:val="auto"/>
          <w:kern w:val="0"/>
          <w:sz w:val="24"/>
          <w:szCs w:val="24"/>
          <w:lang w:val="en-US" w:eastAsia="zh-CN"/>
        </w:rPr>
        <w:t>日</w:t>
      </w:r>
      <w:r>
        <w:rPr>
          <w:rFonts w:hint="eastAsia" w:ascii="宋体" w:hAnsi="宋体" w:eastAsia="宋体" w:cs="宋体"/>
          <w:snapToGrid w:val="0"/>
          <w:color w:val="auto"/>
          <w:kern w:val="0"/>
          <w:sz w:val="24"/>
          <w:szCs w:val="24"/>
          <w:lang w:eastAsia="zh-CN"/>
        </w:rPr>
        <w:t>提供消防设施台账、消防设施的使用说明书和建筑物消防全套竣工资料纸质文档；</w:t>
      </w:r>
    </w:p>
    <w:p>
      <w:pPr>
        <w:numPr>
          <w:ilvl w:val="0"/>
          <w:numId w:val="9"/>
        </w:numPr>
        <w:spacing w:line="360" w:lineRule="auto"/>
        <w:ind w:left="425" w:leftChars="0" w:right="105" w:rightChars="50" w:hanging="425" w:firstLineChars="0"/>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lang w:eastAsia="zh-CN"/>
        </w:rPr>
        <w:t>召开维保首次会议后对乙方作业人员进行安全培训，详细介绍作业环境风险并办理作业相关手续；</w:t>
      </w:r>
    </w:p>
    <w:p>
      <w:pPr>
        <w:numPr>
          <w:ilvl w:val="0"/>
          <w:numId w:val="9"/>
        </w:numPr>
        <w:spacing w:line="360" w:lineRule="auto"/>
        <w:ind w:left="425" w:leftChars="0" w:right="105" w:rightChars="50" w:hanging="425" w:firstLineChars="0"/>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lang w:eastAsia="zh-CN"/>
        </w:rPr>
        <w:t>甲方指定</w:t>
      </w:r>
      <w:r>
        <w:rPr>
          <w:rFonts w:hint="eastAsia" w:ascii="宋体" w:hAnsi="宋体" w:eastAsia="宋体" w:cs="宋体"/>
          <w:snapToGrid w:val="0"/>
          <w:color w:val="auto"/>
          <w:kern w:val="0"/>
          <w:sz w:val="24"/>
          <w:szCs w:val="24"/>
          <w:lang w:val="en-US" w:eastAsia="zh-CN"/>
        </w:rPr>
        <w:t>1-2名负责消防系统运行的负责人，配合并全程陪同乙方维护保养工作，若甲方更变负责人，须提前三天书面通知乙方；</w:t>
      </w:r>
    </w:p>
    <w:p>
      <w:pPr>
        <w:numPr>
          <w:ilvl w:val="0"/>
          <w:numId w:val="9"/>
        </w:numPr>
        <w:spacing w:line="360" w:lineRule="auto"/>
        <w:ind w:left="425" w:leftChars="0" w:right="105" w:rightChars="50" w:hanging="425" w:firstLineChars="0"/>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lang w:eastAsia="zh-CN"/>
        </w:rPr>
        <w:t>对新增签证项目进行签字确认，对合同履行进度进行监督，对维保质量进行验收，若验收合格，甲方负责人应在相关文件上签字确认；</w:t>
      </w:r>
    </w:p>
    <w:p>
      <w:pPr>
        <w:numPr>
          <w:ilvl w:val="0"/>
          <w:numId w:val="9"/>
        </w:numPr>
        <w:spacing w:line="360" w:lineRule="auto"/>
        <w:ind w:left="425" w:leftChars="0" w:right="105" w:rightChars="50" w:hanging="425" w:firstLineChars="0"/>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lang w:eastAsia="zh-CN"/>
        </w:rPr>
        <w:t>负责作业现场协调：第三方租户、障碍物的拆除、道路通畅、水源、电源等乙方作业所必需的有关条件；</w:t>
      </w:r>
    </w:p>
    <w:p>
      <w:pPr>
        <w:numPr>
          <w:ilvl w:val="0"/>
          <w:numId w:val="9"/>
        </w:numPr>
        <w:spacing w:line="360" w:lineRule="auto"/>
        <w:ind w:left="425" w:leftChars="0" w:right="105" w:rightChars="50" w:hanging="425" w:firstLineChars="0"/>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lang w:eastAsia="zh-CN"/>
        </w:rPr>
        <w:t>应及时提供维保所需的设备、配件和现场协调，如因此造成的损失，由甲方自行承担；</w:t>
      </w:r>
    </w:p>
    <w:p>
      <w:pPr>
        <w:numPr>
          <w:ilvl w:val="0"/>
          <w:numId w:val="9"/>
        </w:numPr>
        <w:spacing w:line="360" w:lineRule="auto"/>
        <w:ind w:left="425" w:leftChars="0" w:right="105" w:rightChars="50" w:hanging="425" w:firstLineChars="0"/>
        <w:rPr>
          <w:rFonts w:hint="eastAsia" w:ascii="宋体" w:hAnsi="宋体" w:eastAsia="宋体" w:cs="宋体"/>
          <w:sz w:val="24"/>
        </w:rPr>
      </w:pPr>
      <w:r>
        <w:rPr>
          <w:rFonts w:hint="eastAsia" w:ascii="宋体" w:hAnsi="宋体" w:eastAsia="宋体" w:cs="宋体"/>
          <w:snapToGrid w:val="0"/>
          <w:color w:val="auto"/>
          <w:kern w:val="0"/>
          <w:sz w:val="24"/>
          <w:szCs w:val="24"/>
          <w:lang w:eastAsia="zh-CN"/>
        </w:rPr>
        <w:t>在维保期间，对于乙方提出的消缺整改措施，甲方应及时整改到位；若甲方未按照整改措施整改到位的，乙方不承担</w:t>
      </w:r>
      <w:r>
        <w:rPr>
          <w:rFonts w:hint="eastAsia" w:ascii="宋体" w:hAnsi="宋体" w:eastAsia="宋体" w:cs="宋体"/>
          <w:snapToGrid w:val="0"/>
          <w:color w:val="auto"/>
          <w:kern w:val="0"/>
          <w:sz w:val="24"/>
          <w:szCs w:val="24"/>
          <w:lang w:val="en-US" w:eastAsia="zh-CN"/>
        </w:rPr>
        <w:t>因此产生的相应</w:t>
      </w:r>
      <w:r>
        <w:rPr>
          <w:rFonts w:hint="eastAsia" w:ascii="宋体" w:hAnsi="宋体" w:eastAsia="宋体" w:cs="宋体"/>
          <w:snapToGrid w:val="0"/>
          <w:color w:val="auto"/>
          <w:kern w:val="0"/>
          <w:sz w:val="24"/>
          <w:szCs w:val="24"/>
          <w:lang w:eastAsia="zh-CN"/>
        </w:rPr>
        <w:t>责任；</w:t>
      </w:r>
    </w:p>
    <w:p>
      <w:pPr>
        <w:numPr>
          <w:ilvl w:val="0"/>
          <w:numId w:val="9"/>
        </w:numPr>
        <w:spacing w:line="360" w:lineRule="auto"/>
        <w:ind w:left="425" w:leftChars="0" w:right="105" w:rightChars="50" w:hanging="425" w:firstLineChars="0"/>
        <w:rPr>
          <w:rFonts w:hint="eastAsia" w:ascii="宋体" w:hAnsi="宋体" w:eastAsia="宋体" w:cs="宋体"/>
          <w:sz w:val="24"/>
        </w:rPr>
      </w:pPr>
      <w:r>
        <w:rPr>
          <w:rFonts w:hint="eastAsia" w:ascii="宋体" w:hAnsi="宋体" w:eastAsia="宋体" w:cs="宋体"/>
          <w:sz w:val="24"/>
        </w:rPr>
        <w:t>甲方在委托检测应向乙方提供检测有关的技术资料为以下打“√”项:</w:t>
      </w:r>
    </w:p>
    <w:p>
      <w:pPr>
        <w:tabs>
          <w:tab w:val="left" w:pos="3640"/>
        </w:tabs>
        <w:spacing w:line="360" w:lineRule="auto"/>
        <w:ind w:left="105" w:leftChars="50" w:right="105" w:rightChars="50" w:firstLine="480" w:firstLineChars="200"/>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建筑设计图、竣工图（总图、建筑专业、电气专业、给排水专业、暖通专业、结构专业）</w:t>
      </w:r>
    </w:p>
    <w:p>
      <w:pPr>
        <w:tabs>
          <w:tab w:val="left" w:pos="3640"/>
        </w:tabs>
        <w:spacing w:line="360" w:lineRule="auto"/>
        <w:ind w:left="105" w:leftChars="50" w:right="105" w:rightChars="50" w:firstLine="480" w:firstLineChars="200"/>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建筑消防设计说明或消防设计专篇</w:t>
      </w:r>
    </w:p>
    <w:p>
      <w:pPr>
        <w:tabs>
          <w:tab w:val="left" w:pos="3640"/>
        </w:tabs>
        <w:spacing w:line="360" w:lineRule="auto"/>
        <w:ind w:left="105" w:leftChars="50" w:right="105" w:rightChars="50" w:firstLine="480" w:firstLineChars="200"/>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建筑消防设计变更单</w:t>
      </w:r>
    </w:p>
    <w:p>
      <w:pPr>
        <w:tabs>
          <w:tab w:val="left" w:pos="3640"/>
        </w:tabs>
        <w:spacing w:line="360" w:lineRule="auto"/>
        <w:ind w:left="105" w:leftChars="50" w:right="105" w:rightChars="50" w:firstLine="480" w:firstLineChars="200"/>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主要消防设备、电气设备及材料的质保书、说明书和合格证复印件</w:t>
      </w:r>
    </w:p>
    <w:p>
      <w:pPr>
        <w:tabs>
          <w:tab w:val="left" w:pos="3640"/>
        </w:tabs>
        <w:spacing w:line="360" w:lineRule="auto"/>
        <w:ind w:left="105" w:leftChars="50" w:right="105" w:rightChars="50" w:firstLine="480" w:firstLineChars="200"/>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隐蔽工程记录</w:t>
      </w:r>
    </w:p>
    <w:p>
      <w:pPr>
        <w:tabs>
          <w:tab w:val="left" w:pos="3640"/>
        </w:tabs>
        <w:spacing w:line="360" w:lineRule="auto"/>
        <w:ind w:left="105" w:leftChars="50" w:right="105" w:rightChars="50" w:firstLine="480" w:firstLineChars="200"/>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建筑工程消防全套竣工资料</w:t>
      </w:r>
    </w:p>
    <w:p>
      <w:pPr>
        <w:tabs>
          <w:tab w:val="left" w:pos="3640"/>
        </w:tabs>
        <w:spacing w:line="360" w:lineRule="auto"/>
        <w:ind w:left="105" w:leftChars="50" w:right="105" w:rightChars="50" w:firstLine="480" w:firstLineChars="200"/>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建筑工程消防设计审核意见书或建筑工程备案单复印件</w:t>
      </w:r>
    </w:p>
    <w:p>
      <w:pPr>
        <w:spacing w:line="360" w:lineRule="auto"/>
        <w:ind w:left="425" w:right="105" w:rightChars="50"/>
        <w:rPr>
          <w:rFonts w:hint="eastAsia" w:ascii="宋体" w:hAnsi="宋体" w:eastAsia="宋体" w:cs="宋体"/>
          <w:sz w:val="24"/>
        </w:rPr>
      </w:pPr>
      <w:r>
        <w:rPr>
          <w:rFonts w:hint="eastAsia" w:ascii="宋体" w:hAnsi="宋体" w:eastAsia="宋体" w:cs="宋体"/>
          <w:sz w:val="24"/>
        </w:rPr>
        <w:t>如甲方提供的资料不齐全，导致消防技术服务漏项，由甲方承担相应责任；</w:t>
      </w:r>
    </w:p>
    <w:p>
      <w:pPr>
        <w:numPr>
          <w:ilvl w:val="0"/>
          <w:numId w:val="0"/>
        </w:numPr>
        <w:spacing w:line="360" w:lineRule="auto"/>
        <w:ind w:leftChars="0" w:right="105" w:rightChars="50"/>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确保消防工程安装完工，确保消防工程通水、通电；负责解决检测、试验所需的水源、电源和出入各相关区域的证件、手续等；</w:t>
      </w:r>
    </w:p>
    <w:p>
      <w:pPr>
        <w:numPr>
          <w:ilvl w:val="0"/>
          <w:numId w:val="0"/>
        </w:numPr>
        <w:spacing w:line="360" w:lineRule="auto"/>
        <w:ind w:leftChars="0" w:right="105" w:rightChars="50"/>
        <w:rPr>
          <w:rFonts w:hint="eastAsia" w:ascii="宋体" w:hAnsi="宋体" w:eastAsia="宋体" w:cs="宋体"/>
          <w:snapToGrid w:val="0"/>
          <w:color w:val="auto"/>
          <w:kern w:val="0"/>
          <w:sz w:val="24"/>
          <w:szCs w:val="24"/>
          <w:lang w:eastAsia="zh-CN"/>
        </w:rPr>
      </w:pPr>
      <w:r>
        <w:rPr>
          <w:rFonts w:hint="eastAsia" w:ascii="宋体" w:hAnsi="宋体" w:eastAsia="宋体" w:cs="宋体"/>
          <w:sz w:val="24"/>
          <w:lang w:val="en-US" w:eastAsia="zh-CN"/>
        </w:rPr>
        <w:t>(11)</w:t>
      </w:r>
      <w:r>
        <w:rPr>
          <w:rFonts w:hint="eastAsia" w:ascii="宋体" w:hAnsi="宋体" w:eastAsia="宋体" w:cs="宋体"/>
          <w:sz w:val="24"/>
        </w:rPr>
        <w:t>消防系统联动测试时，务必安排安装单位、维保单位、单位消防相关人员积极配合并实施操作；</w:t>
      </w:r>
    </w:p>
    <w:p>
      <w:pPr>
        <w:numPr>
          <w:ilvl w:val="0"/>
          <w:numId w:val="0"/>
        </w:numPr>
        <w:spacing w:line="360" w:lineRule="auto"/>
        <w:ind w:leftChars="0" w:right="105" w:rightChars="50"/>
        <w:rPr>
          <w:rFonts w:hint="eastAsia" w:ascii="宋体" w:hAnsi="宋体" w:eastAsia="宋体" w:cs="宋体"/>
          <w:b/>
          <w:bCs/>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(12)</w:t>
      </w:r>
      <w:r>
        <w:rPr>
          <w:rFonts w:hint="eastAsia" w:ascii="宋体" w:hAnsi="宋体" w:eastAsia="宋体" w:cs="宋体"/>
          <w:snapToGrid w:val="0"/>
          <w:color w:val="auto"/>
          <w:kern w:val="0"/>
          <w:sz w:val="24"/>
          <w:szCs w:val="24"/>
          <w:lang w:eastAsia="zh-CN"/>
        </w:rPr>
        <w:t>甲方现场联系人：</w:t>
      </w:r>
      <w:r>
        <w:rPr>
          <w:rFonts w:hint="eastAsia" w:ascii="宋体" w:hAnsi="宋体" w:eastAsia="宋体" w:cs="宋体"/>
          <w:snapToGrid w:val="0"/>
          <w:color w:val="auto"/>
          <w:kern w:val="0"/>
          <w:sz w:val="24"/>
          <w:szCs w:val="24"/>
          <w:u w:val="single"/>
          <w:lang w:val="en-US" w:eastAsia="zh-CN"/>
        </w:rPr>
        <w:t>易主任</w:t>
      </w:r>
      <w:r>
        <w:rPr>
          <w:rFonts w:hint="eastAsia" w:ascii="宋体" w:hAnsi="宋体" w:eastAsia="宋体" w:cs="宋体"/>
          <w:snapToGrid w:val="0"/>
          <w:color w:val="auto"/>
          <w:kern w:val="0"/>
          <w:sz w:val="24"/>
          <w:szCs w:val="24"/>
          <w:u w:val="single"/>
          <w:lang w:eastAsia="zh-CN"/>
        </w:rPr>
        <w:t xml:space="preserve"> </w:t>
      </w:r>
      <w:r>
        <w:rPr>
          <w:rFonts w:hint="eastAsia" w:ascii="宋体" w:hAnsi="宋体" w:eastAsia="宋体" w:cs="宋体"/>
          <w:snapToGrid w:val="0"/>
          <w:color w:val="auto"/>
          <w:kern w:val="0"/>
          <w:sz w:val="24"/>
          <w:szCs w:val="24"/>
          <w:lang w:eastAsia="zh-CN"/>
        </w:rPr>
        <w:t>， 联系方式</w:t>
      </w:r>
      <w:r>
        <w:rPr>
          <w:rFonts w:hint="eastAsia" w:ascii="宋体" w:hAnsi="宋体" w:eastAsia="宋体" w:cs="宋体"/>
          <w:snapToGrid w:val="0"/>
          <w:color w:val="auto"/>
          <w:kern w:val="0"/>
          <w:sz w:val="24"/>
          <w:szCs w:val="24"/>
          <w:u w:val="single"/>
          <w:lang w:eastAsia="zh-CN"/>
        </w:rPr>
        <w:t>：</w:t>
      </w:r>
      <w:r>
        <w:rPr>
          <w:rFonts w:hint="eastAsia" w:ascii="宋体" w:hAnsi="宋体" w:eastAsia="宋体" w:cs="宋体"/>
          <w:snapToGrid w:val="0"/>
          <w:color w:val="auto"/>
          <w:kern w:val="0"/>
          <w:sz w:val="24"/>
          <w:szCs w:val="24"/>
          <w:u w:val="single"/>
          <w:lang w:val="en-US" w:eastAsia="zh-CN"/>
        </w:rPr>
        <w:t>13975007185</w:t>
      </w:r>
      <w:r>
        <w:rPr>
          <w:rFonts w:hint="eastAsia" w:ascii="宋体" w:hAnsi="宋体" w:eastAsia="宋体" w:cs="宋体"/>
          <w:snapToGrid w:val="0"/>
          <w:color w:val="auto"/>
          <w:kern w:val="0"/>
          <w:sz w:val="24"/>
          <w:szCs w:val="24"/>
          <w:u w:val="single"/>
          <w:lang w:eastAsia="zh-CN"/>
        </w:rPr>
        <w:t xml:space="preserve"> </w:t>
      </w:r>
      <w:r>
        <w:rPr>
          <w:rFonts w:hint="eastAsia" w:ascii="宋体" w:hAnsi="宋体" w:eastAsia="宋体" w:cs="宋体"/>
          <w:snapToGrid w:val="0"/>
          <w:color w:val="auto"/>
          <w:kern w:val="0"/>
          <w:sz w:val="24"/>
          <w:szCs w:val="24"/>
          <w:lang w:eastAsia="zh-CN"/>
        </w:rPr>
        <w:t>。</w:t>
      </w:r>
    </w:p>
    <w:p>
      <w:pPr>
        <w:spacing w:line="360" w:lineRule="auto"/>
        <w:rPr>
          <w:rFonts w:hint="eastAsia" w:ascii="宋体" w:hAnsi="宋体" w:eastAsia="宋体" w:cs="宋体"/>
          <w:b/>
          <w:bCs/>
          <w:snapToGrid w:val="0"/>
          <w:color w:val="auto"/>
          <w:kern w:val="0"/>
          <w:sz w:val="24"/>
          <w:szCs w:val="24"/>
          <w:lang w:eastAsia="zh-CN"/>
        </w:rPr>
      </w:pPr>
      <w:r>
        <w:rPr>
          <w:rFonts w:hint="eastAsia" w:ascii="宋体" w:hAnsi="宋体" w:eastAsia="宋体" w:cs="宋体"/>
          <w:b/>
          <w:bCs/>
          <w:snapToGrid w:val="0"/>
          <w:color w:val="auto"/>
          <w:kern w:val="0"/>
          <w:sz w:val="24"/>
          <w:szCs w:val="24"/>
          <w:lang w:val="en-US" w:eastAsia="zh-CN"/>
        </w:rPr>
        <w:t>2、</w:t>
      </w:r>
      <w:r>
        <w:rPr>
          <w:rFonts w:hint="eastAsia" w:ascii="宋体" w:hAnsi="宋体" w:eastAsia="宋体" w:cs="宋体"/>
          <w:b/>
          <w:bCs/>
          <w:snapToGrid w:val="0"/>
          <w:color w:val="auto"/>
          <w:kern w:val="0"/>
          <w:sz w:val="24"/>
          <w:szCs w:val="24"/>
        </w:rPr>
        <w:t>乙方</w:t>
      </w:r>
      <w:r>
        <w:rPr>
          <w:rFonts w:hint="eastAsia" w:ascii="宋体" w:hAnsi="宋体" w:eastAsia="宋体" w:cs="宋体"/>
          <w:b/>
          <w:bCs/>
          <w:snapToGrid w:val="0"/>
          <w:color w:val="auto"/>
          <w:kern w:val="0"/>
          <w:sz w:val="24"/>
          <w:szCs w:val="24"/>
          <w:lang w:eastAsia="zh-CN"/>
        </w:rPr>
        <w:t>的责任</w:t>
      </w:r>
    </w:p>
    <w:p>
      <w:pPr>
        <w:numPr>
          <w:ilvl w:val="0"/>
          <w:numId w:val="10"/>
        </w:numPr>
        <w:spacing w:line="360" w:lineRule="auto"/>
        <w:ind w:left="425" w:leftChars="0" w:right="105" w:rightChars="50" w:hanging="425" w:firstLineChars="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乙方按照本合同的约定和相关标准进行维护保养，确保消防系统保持正常运行；</w:t>
      </w:r>
    </w:p>
    <w:p>
      <w:pPr>
        <w:numPr>
          <w:ilvl w:val="0"/>
          <w:numId w:val="10"/>
        </w:numPr>
        <w:spacing w:line="360" w:lineRule="auto"/>
        <w:ind w:left="425" w:leftChars="0" w:right="105" w:rightChars="50" w:hanging="425" w:firstLineChars="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乙方在维保过程中，对发现的缺陷要以书面形式向甲方汇报，并积极配合甲方做好</w:t>
      </w:r>
      <w:r>
        <w:rPr>
          <w:rFonts w:hint="eastAsia" w:ascii="宋体" w:hAnsi="宋体" w:eastAsia="宋体" w:cs="宋体"/>
          <w:snapToGrid w:val="0"/>
          <w:color w:val="auto"/>
          <w:kern w:val="0"/>
          <w:sz w:val="24"/>
          <w:szCs w:val="24"/>
          <w:lang w:eastAsia="zh-CN"/>
        </w:rPr>
        <w:t>消防整改工作</w:t>
      </w:r>
      <w:r>
        <w:rPr>
          <w:rFonts w:hint="eastAsia" w:ascii="宋体" w:hAnsi="宋体" w:eastAsia="宋体" w:cs="宋体"/>
          <w:snapToGrid w:val="0"/>
          <w:color w:val="auto"/>
          <w:kern w:val="0"/>
          <w:sz w:val="24"/>
          <w:szCs w:val="24"/>
        </w:rPr>
        <w:t>；</w:t>
      </w:r>
    </w:p>
    <w:p>
      <w:pPr>
        <w:numPr>
          <w:ilvl w:val="0"/>
          <w:numId w:val="10"/>
        </w:numPr>
        <w:spacing w:line="360" w:lineRule="auto"/>
        <w:ind w:left="425" w:leftChars="0" w:right="105" w:rightChars="50" w:hanging="425" w:firstLineChars="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乙方文明维保，现场</w:t>
      </w:r>
      <w:r>
        <w:rPr>
          <w:rFonts w:hint="eastAsia" w:ascii="宋体" w:hAnsi="宋体" w:eastAsia="宋体" w:cs="宋体"/>
          <w:snapToGrid w:val="0"/>
          <w:color w:val="auto"/>
          <w:kern w:val="0"/>
          <w:sz w:val="24"/>
          <w:szCs w:val="24"/>
          <w:lang w:eastAsia="zh-CN"/>
        </w:rPr>
        <w:t>工具和设备</w:t>
      </w:r>
      <w:r>
        <w:rPr>
          <w:rFonts w:hint="eastAsia" w:ascii="宋体" w:hAnsi="宋体" w:eastAsia="宋体" w:cs="宋体"/>
          <w:snapToGrid w:val="0"/>
          <w:color w:val="auto"/>
          <w:kern w:val="0"/>
          <w:sz w:val="24"/>
          <w:szCs w:val="24"/>
        </w:rPr>
        <w:t>摆放整齐，</w:t>
      </w:r>
      <w:r>
        <w:rPr>
          <w:rFonts w:hint="eastAsia" w:ascii="宋体" w:hAnsi="宋体" w:eastAsia="宋体" w:cs="宋体"/>
          <w:snapToGrid w:val="0"/>
          <w:color w:val="auto"/>
          <w:kern w:val="0"/>
          <w:sz w:val="24"/>
          <w:szCs w:val="24"/>
          <w:lang w:eastAsia="zh-CN"/>
        </w:rPr>
        <w:t>保持施工场地的干净整洁</w:t>
      </w:r>
      <w:r>
        <w:rPr>
          <w:rFonts w:hint="eastAsia" w:ascii="宋体" w:hAnsi="宋体" w:eastAsia="宋体" w:cs="宋体"/>
          <w:snapToGrid w:val="0"/>
          <w:color w:val="auto"/>
          <w:kern w:val="0"/>
          <w:sz w:val="24"/>
          <w:szCs w:val="24"/>
        </w:rPr>
        <w:t>；</w:t>
      </w:r>
    </w:p>
    <w:p>
      <w:pPr>
        <w:numPr>
          <w:ilvl w:val="0"/>
          <w:numId w:val="10"/>
        </w:numPr>
        <w:spacing w:line="360" w:lineRule="auto"/>
        <w:ind w:left="425" w:leftChars="0" w:right="105" w:rightChars="50" w:hanging="425" w:firstLineChars="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在维保过程中，乙方必须严格安全作业，因乙方违章作业造成安全事故由乙方自行承担</w:t>
      </w:r>
      <w:r>
        <w:rPr>
          <w:rFonts w:hint="eastAsia" w:ascii="宋体" w:hAnsi="宋体" w:eastAsia="宋体" w:cs="宋体"/>
          <w:snapToGrid w:val="0"/>
          <w:color w:val="auto"/>
          <w:kern w:val="0"/>
          <w:sz w:val="24"/>
          <w:szCs w:val="24"/>
          <w:lang w:eastAsia="zh-CN"/>
        </w:rPr>
        <w:t>，</w:t>
      </w:r>
      <w:r>
        <w:rPr>
          <w:rFonts w:hint="eastAsia" w:ascii="宋体" w:hAnsi="宋体" w:eastAsia="宋体" w:cs="宋体"/>
          <w:snapToGrid w:val="0"/>
          <w:color w:val="auto"/>
          <w:kern w:val="0"/>
          <w:sz w:val="24"/>
          <w:szCs w:val="24"/>
          <w:lang w:val="en-US" w:eastAsia="zh-CN"/>
        </w:rPr>
        <w:t>造成的人身、财产损失概由乙方负责赔偿；</w:t>
      </w:r>
    </w:p>
    <w:p>
      <w:pPr>
        <w:numPr>
          <w:ilvl w:val="0"/>
          <w:numId w:val="10"/>
        </w:numPr>
        <w:spacing w:line="360" w:lineRule="auto"/>
        <w:ind w:left="425" w:leftChars="0" w:right="105" w:rightChars="50" w:hanging="425" w:firstLineChars="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乙方应</w:t>
      </w:r>
      <w:r>
        <w:rPr>
          <w:rFonts w:hint="eastAsia" w:ascii="宋体" w:hAnsi="宋体" w:eastAsia="宋体" w:cs="宋体"/>
          <w:snapToGrid w:val="0"/>
          <w:color w:val="auto"/>
          <w:kern w:val="0"/>
          <w:sz w:val="24"/>
          <w:szCs w:val="24"/>
          <w:lang w:eastAsia="zh-CN"/>
        </w:rPr>
        <w:t>根据合同约定时间</w:t>
      </w:r>
      <w:r>
        <w:rPr>
          <w:rFonts w:hint="eastAsia" w:ascii="宋体" w:hAnsi="宋体" w:eastAsia="宋体" w:cs="宋体"/>
          <w:snapToGrid w:val="0"/>
          <w:color w:val="auto"/>
          <w:kern w:val="0"/>
          <w:sz w:val="24"/>
          <w:szCs w:val="24"/>
        </w:rPr>
        <w:t>提供维护保养报告等相关维护资料；</w:t>
      </w:r>
    </w:p>
    <w:p>
      <w:pPr>
        <w:numPr>
          <w:ilvl w:val="0"/>
          <w:numId w:val="10"/>
        </w:numPr>
        <w:spacing w:line="360" w:lineRule="auto"/>
        <w:ind w:left="425" w:leftChars="0" w:right="105" w:rightChars="50" w:hanging="425" w:firstLineChars="0"/>
        <w:rPr>
          <w:rFonts w:hint="eastAsia" w:ascii="宋体" w:hAnsi="宋体" w:eastAsia="宋体" w:cs="宋体"/>
          <w:sz w:val="24"/>
        </w:rPr>
      </w:pPr>
      <w:r>
        <w:rPr>
          <w:rFonts w:hint="eastAsia" w:ascii="宋体" w:hAnsi="宋体" w:eastAsia="宋体" w:cs="宋体"/>
          <w:snapToGrid w:val="0"/>
          <w:color w:val="auto"/>
          <w:kern w:val="0"/>
          <w:sz w:val="24"/>
          <w:szCs w:val="24"/>
        </w:rPr>
        <w:t>乙方在甲方消防自动报警系统出现故障和其他问题时，在不超过三个工作日内为甲方检测</w:t>
      </w:r>
      <w:r>
        <w:rPr>
          <w:rFonts w:hint="eastAsia" w:ascii="宋体" w:hAnsi="宋体" w:eastAsia="宋体" w:cs="宋体"/>
          <w:snapToGrid w:val="0"/>
          <w:color w:val="auto"/>
          <w:kern w:val="0"/>
          <w:sz w:val="24"/>
          <w:szCs w:val="24"/>
          <w:lang w:eastAsia="zh-CN"/>
        </w:rPr>
        <w:t>出问题，七个工作日内进行</w:t>
      </w:r>
      <w:r>
        <w:rPr>
          <w:rFonts w:hint="eastAsia" w:ascii="宋体" w:hAnsi="宋体" w:eastAsia="宋体" w:cs="宋体"/>
          <w:snapToGrid w:val="0"/>
          <w:color w:val="auto"/>
          <w:kern w:val="0"/>
          <w:sz w:val="24"/>
          <w:szCs w:val="24"/>
        </w:rPr>
        <w:t>修复</w:t>
      </w:r>
      <w:r>
        <w:rPr>
          <w:rFonts w:hint="eastAsia" w:ascii="宋体" w:hAnsi="宋体" w:cs="宋体"/>
          <w:snapToGrid w:val="0"/>
          <w:color w:val="auto"/>
          <w:kern w:val="0"/>
          <w:sz w:val="24"/>
          <w:szCs w:val="24"/>
          <w:lang w:eastAsia="zh-CN"/>
        </w:rPr>
        <w:t>（</w:t>
      </w:r>
      <w:r>
        <w:rPr>
          <w:rFonts w:hint="eastAsia" w:ascii="宋体" w:hAnsi="宋体" w:cs="宋体"/>
          <w:i w:val="0"/>
          <w:iCs w:val="0"/>
          <w:color w:val="000000"/>
          <w:kern w:val="0"/>
          <w:sz w:val="22"/>
          <w:szCs w:val="22"/>
          <w:u w:val="none"/>
          <w:lang w:val="en-US" w:eastAsia="zh-CN" w:bidi="ar"/>
        </w:rPr>
        <w:t>含烟感探头及其他消防设施移位、增设等施工的人工费用）</w:t>
      </w:r>
      <w:r>
        <w:rPr>
          <w:rFonts w:hint="eastAsia" w:ascii="宋体" w:hAnsi="宋体" w:eastAsia="宋体" w:cs="宋体"/>
          <w:snapToGrid w:val="0"/>
          <w:color w:val="auto"/>
          <w:kern w:val="0"/>
          <w:sz w:val="24"/>
          <w:szCs w:val="24"/>
        </w:rPr>
        <w:t>或</w:t>
      </w:r>
      <w:r>
        <w:rPr>
          <w:rFonts w:hint="eastAsia" w:ascii="宋体" w:hAnsi="宋体" w:eastAsia="宋体" w:cs="宋体"/>
          <w:snapToGrid w:val="0"/>
          <w:color w:val="auto"/>
          <w:kern w:val="0"/>
          <w:sz w:val="24"/>
          <w:szCs w:val="24"/>
          <w:lang w:eastAsia="zh-CN"/>
        </w:rPr>
        <w:t>提出</w:t>
      </w:r>
      <w:r>
        <w:rPr>
          <w:rFonts w:hint="eastAsia" w:ascii="宋体" w:hAnsi="宋体" w:eastAsia="宋体" w:cs="宋体"/>
          <w:snapToGrid w:val="0"/>
          <w:color w:val="auto"/>
          <w:kern w:val="0"/>
          <w:sz w:val="24"/>
          <w:szCs w:val="24"/>
        </w:rPr>
        <w:t>修复方案；</w:t>
      </w:r>
    </w:p>
    <w:p>
      <w:pPr>
        <w:numPr>
          <w:ilvl w:val="0"/>
          <w:numId w:val="10"/>
        </w:numPr>
        <w:spacing w:line="360" w:lineRule="auto"/>
        <w:ind w:left="425" w:leftChars="0" w:right="105" w:rightChars="50" w:hanging="425" w:firstLineChars="0"/>
        <w:rPr>
          <w:rFonts w:hint="eastAsia" w:ascii="宋体" w:hAnsi="宋体" w:eastAsia="宋体" w:cs="宋体"/>
          <w:sz w:val="24"/>
        </w:rPr>
      </w:pPr>
      <w:r>
        <w:rPr>
          <w:rFonts w:hint="eastAsia" w:ascii="宋体" w:hAnsi="宋体" w:eastAsia="宋体" w:cs="宋体"/>
          <w:sz w:val="24"/>
        </w:rPr>
        <w:t>按照国家及地方相关法律法规，在合同规定的时间内开展消防检测工作；</w:t>
      </w:r>
    </w:p>
    <w:p>
      <w:pPr>
        <w:numPr>
          <w:ilvl w:val="0"/>
          <w:numId w:val="10"/>
        </w:numPr>
        <w:spacing w:line="360" w:lineRule="auto"/>
        <w:ind w:left="425" w:leftChars="0" w:right="105" w:rightChars="50" w:hanging="425" w:firstLineChars="0"/>
        <w:rPr>
          <w:rFonts w:hint="eastAsia" w:ascii="宋体" w:hAnsi="宋体" w:eastAsia="宋体" w:cs="宋体"/>
          <w:sz w:val="24"/>
        </w:rPr>
      </w:pPr>
      <w:r>
        <w:rPr>
          <w:rFonts w:hint="eastAsia" w:ascii="宋体" w:hAnsi="宋体" w:eastAsia="宋体" w:cs="宋体"/>
          <w:sz w:val="24"/>
        </w:rPr>
        <w:t>遵守甲方安全生产管理制度，及时办理进入生产区域检测所需的各种证件</w:t>
      </w:r>
      <w:r>
        <w:rPr>
          <w:rFonts w:hint="eastAsia" w:ascii="宋体" w:hAnsi="宋体" w:eastAsia="宋体" w:cs="宋体"/>
          <w:sz w:val="24"/>
          <w:lang w:eastAsia="zh-CN"/>
        </w:rPr>
        <w:t>；</w:t>
      </w:r>
    </w:p>
    <w:p>
      <w:pPr>
        <w:numPr>
          <w:ilvl w:val="0"/>
          <w:numId w:val="10"/>
        </w:numPr>
        <w:spacing w:line="360" w:lineRule="auto"/>
        <w:ind w:left="425" w:leftChars="0" w:right="105" w:rightChars="50" w:hanging="425" w:firstLineChars="0"/>
        <w:rPr>
          <w:rFonts w:hint="eastAsia" w:ascii="宋体" w:hAnsi="宋体" w:eastAsia="宋体" w:cs="宋体"/>
          <w:color w:val="auto"/>
          <w:sz w:val="24"/>
          <w:lang w:eastAsia="zh-CN"/>
        </w:rPr>
      </w:pPr>
      <w:r>
        <w:rPr>
          <w:rFonts w:hint="eastAsia" w:ascii="宋体" w:hAnsi="宋体" w:eastAsia="宋体" w:cs="宋体"/>
          <w:sz w:val="24"/>
        </w:rPr>
        <w:t>发现不合格项，出具问题反馈单，及时跟进问题整改结果</w:t>
      </w:r>
      <w:r>
        <w:rPr>
          <w:rFonts w:hint="eastAsia" w:ascii="宋体" w:hAnsi="宋体" w:eastAsia="宋体" w:cs="宋体"/>
          <w:sz w:val="24"/>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lang w:eastAsia="zh-CN"/>
        </w:rPr>
      </w:pPr>
      <w:r>
        <w:rPr>
          <w:rFonts w:hint="eastAsia" w:ascii="宋体" w:hAnsi="宋体" w:eastAsia="宋体" w:cs="宋体"/>
          <w:color w:val="auto"/>
          <w:kern w:val="44"/>
          <w:sz w:val="24"/>
          <w:szCs w:val="24"/>
          <w:u w:val="none"/>
          <w:lang w:eastAsia="zh-CN"/>
        </w:rPr>
        <w:t>合同签订后</w:t>
      </w:r>
      <w:r>
        <w:rPr>
          <w:rFonts w:hint="eastAsia" w:ascii="宋体" w:hAnsi="宋体" w:eastAsia="宋体" w:cs="宋体"/>
          <w:color w:val="auto"/>
          <w:kern w:val="44"/>
          <w:sz w:val="24"/>
          <w:szCs w:val="24"/>
          <w:u w:val="none"/>
          <w:lang w:val="en-US" w:eastAsia="zh-CN"/>
        </w:rPr>
        <w:t>30日内，</w:t>
      </w:r>
      <w:r>
        <w:rPr>
          <w:rFonts w:hint="eastAsia" w:ascii="宋体" w:hAnsi="宋体" w:eastAsia="宋体" w:cs="宋体"/>
          <w:color w:val="auto"/>
          <w:sz w:val="24"/>
        </w:rPr>
        <w:t>提交给甲方检测报告一式</w:t>
      </w:r>
      <w:r>
        <w:rPr>
          <w:rFonts w:hint="eastAsia" w:ascii="宋体" w:hAnsi="宋体" w:eastAsia="宋体" w:cs="宋体"/>
          <w:color w:val="auto"/>
          <w:sz w:val="24"/>
          <w:u w:val="single"/>
        </w:rPr>
        <w:t xml:space="preserve">  贰 </w:t>
      </w:r>
      <w:r>
        <w:rPr>
          <w:rFonts w:hint="eastAsia" w:ascii="宋体" w:hAnsi="宋体" w:eastAsia="宋体" w:cs="宋体"/>
          <w:color w:val="auto"/>
          <w:sz w:val="24"/>
        </w:rPr>
        <w:t>份</w:t>
      </w:r>
      <w:r>
        <w:rPr>
          <w:rFonts w:hint="eastAsia" w:ascii="宋体" w:hAnsi="宋体" w:eastAsia="宋体" w:cs="宋体"/>
          <w:color w:val="auto"/>
          <w:sz w:val="24"/>
          <w:lang w:eastAsia="zh-CN"/>
        </w:rPr>
        <w:t>，</w:t>
      </w:r>
      <w:r>
        <w:rPr>
          <w:rFonts w:hint="eastAsia" w:ascii="宋体" w:hAnsi="宋体" w:eastAsia="宋体" w:cs="宋体"/>
          <w:color w:val="auto"/>
          <w:sz w:val="24"/>
        </w:rPr>
        <w:t>提交给甲方</w:t>
      </w:r>
      <w:r>
        <w:rPr>
          <w:rFonts w:hint="eastAsia" w:ascii="宋体" w:hAnsi="宋体" w:eastAsia="宋体" w:cs="宋体"/>
          <w:color w:val="auto"/>
          <w:sz w:val="24"/>
          <w:lang w:val="en-US" w:eastAsia="zh-CN"/>
        </w:rPr>
        <w:t>评估</w:t>
      </w:r>
      <w:r>
        <w:rPr>
          <w:rFonts w:hint="eastAsia" w:ascii="宋体" w:hAnsi="宋体" w:eastAsia="宋体" w:cs="宋体"/>
          <w:color w:val="auto"/>
          <w:sz w:val="24"/>
        </w:rPr>
        <w:t>报告一式</w:t>
      </w:r>
      <w:r>
        <w:rPr>
          <w:rFonts w:hint="eastAsia" w:ascii="宋体" w:hAnsi="宋体" w:eastAsia="宋体" w:cs="宋体"/>
          <w:color w:val="auto"/>
          <w:sz w:val="24"/>
          <w:u w:val="single"/>
        </w:rPr>
        <w:t xml:space="preserve">  贰  </w:t>
      </w:r>
      <w:r>
        <w:rPr>
          <w:rFonts w:hint="eastAsia" w:ascii="宋体" w:hAnsi="宋体" w:eastAsia="宋体" w:cs="宋体"/>
          <w:color w:val="auto"/>
          <w:sz w:val="24"/>
        </w:rPr>
        <w:t>份</w:t>
      </w:r>
      <w:r>
        <w:rPr>
          <w:rFonts w:hint="eastAsia" w:ascii="宋体" w:hAnsi="宋体" w:eastAsia="宋体" w:cs="宋体"/>
          <w:color w:val="auto"/>
          <w:sz w:val="24"/>
          <w:lang w:eastAsia="zh-CN"/>
        </w:rPr>
        <w:t>。</w:t>
      </w:r>
    </w:p>
    <w:p>
      <w:pPr>
        <w:numPr>
          <w:ilvl w:val="0"/>
          <w:numId w:val="10"/>
        </w:numPr>
        <w:spacing w:line="360" w:lineRule="auto"/>
        <w:ind w:left="425" w:leftChars="0" w:right="105" w:rightChars="50" w:hanging="425" w:firstLineChars="0"/>
        <w:rPr>
          <w:rFonts w:hint="eastAsia" w:ascii="宋体" w:hAnsi="宋体" w:eastAsia="宋体" w:cs="宋体"/>
          <w:snapToGrid w:val="0"/>
          <w:color w:val="auto"/>
          <w:kern w:val="0"/>
          <w:sz w:val="24"/>
          <w:szCs w:val="24"/>
          <w:lang w:val="en-US"/>
        </w:rPr>
      </w:pPr>
      <w:r>
        <w:rPr>
          <w:rFonts w:hint="eastAsia" w:ascii="宋体" w:hAnsi="宋体" w:eastAsia="宋体" w:cs="宋体"/>
          <w:snapToGrid w:val="0"/>
          <w:color w:val="auto"/>
          <w:kern w:val="0"/>
          <w:sz w:val="24"/>
          <w:szCs w:val="24"/>
        </w:rPr>
        <w:t>乙方</w:t>
      </w:r>
      <w:r>
        <w:rPr>
          <w:rFonts w:hint="eastAsia" w:ascii="宋体" w:hAnsi="宋体" w:eastAsia="宋体" w:cs="宋体"/>
          <w:snapToGrid w:val="0"/>
          <w:color w:val="auto"/>
          <w:kern w:val="0"/>
          <w:sz w:val="24"/>
          <w:szCs w:val="24"/>
          <w:lang w:eastAsia="zh-CN"/>
        </w:rPr>
        <w:t>维保</w:t>
      </w:r>
      <w:r>
        <w:rPr>
          <w:rFonts w:hint="eastAsia" w:ascii="宋体" w:hAnsi="宋体" w:eastAsia="宋体" w:cs="宋体"/>
          <w:snapToGrid w:val="0"/>
          <w:color w:val="auto"/>
          <w:kern w:val="0"/>
          <w:sz w:val="24"/>
          <w:szCs w:val="24"/>
        </w:rPr>
        <w:t>联系人：</w:t>
      </w:r>
      <w:r>
        <w:rPr>
          <w:rFonts w:hint="eastAsia" w:ascii="宋体" w:hAnsi="宋体" w:eastAsia="宋体" w:cs="宋体"/>
          <w:snapToGrid w:val="0"/>
          <w:color w:val="auto"/>
          <w:kern w:val="0"/>
          <w:sz w:val="24"/>
          <w:szCs w:val="24"/>
          <w:u w:val="single"/>
          <w:lang w:val="en-US" w:eastAsia="zh-CN"/>
        </w:rPr>
        <w:t xml:space="preserve">      </w:t>
      </w:r>
      <w:r>
        <w:rPr>
          <w:rFonts w:hint="eastAsia" w:ascii="宋体" w:hAnsi="宋体" w:eastAsia="宋体" w:cs="宋体"/>
          <w:snapToGrid w:val="0"/>
          <w:color w:val="auto"/>
          <w:kern w:val="0"/>
          <w:sz w:val="24"/>
          <w:szCs w:val="24"/>
          <w:lang w:eastAsia="zh-CN"/>
        </w:rPr>
        <w:t>， 联系方式</w:t>
      </w:r>
      <w:r>
        <w:rPr>
          <w:rFonts w:hint="eastAsia" w:ascii="宋体" w:hAnsi="宋体" w:eastAsia="宋体" w:cs="宋体"/>
          <w:snapToGrid w:val="0"/>
          <w:color w:val="auto"/>
          <w:kern w:val="0"/>
          <w:sz w:val="24"/>
          <w:szCs w:val="24"/>
          <w:u w:val="none"/>
          <w:lang w:eastAsia="zh-CN"/>
        </w:rPr>
        <w:t>：</w:t>
      </w:r>
      <w:r>
        <w:rPr>
          <w:rFonts w:hint="eastAsia" w:ascii="宋体" w:hAnsi="宋体" w:eastAsia="宋体" w:cs="宋体"/>
          <w:snapToGrid w:val="0"/>
          <w:color w:val="auto"/>
          <w:kern w:val="0"/>
          <w:sz w:val="24"/>
          <w:szCs w:val="24"/>
          <w:u w:val="single"/>
          <w:lang w:val="en-US" w:eastAsia="zh-CN"/>
        </w:rPr>
        <w:t xml:space="preserve">         </w:t>
      </w:r>
      <w:r>
        <w:rPr>
          <w:rFonts w:hint="eastAsia" w:ascii="宋体" w:hAnsi="宋体" w:eastAsia="宋体" w:cs="宋体"/>
          <w:snapToGrid w:val="0"/>
          <w:color w:val="auto"/>
          <w:kern w:val="0"/>
          <w:sz w:val="24"/>
          <w:szCs w:val="24"/>
          <w:u w:val="none"/>
          <w:lang w:val="en-US" w:eastAsia="zh-CN"/>
        </w:rPr>
        <w:t>；</w:t>
      </w:r>
      <w:r>
        <w:rPr>
          <w:rFonts w:hint="eastAsia" w:ascii="宋体" w:hAnsi="宋体" w:eastAsia="宋体" w:cs="宋体"/>
          <w:snapToGrid w:val="0"/>
          <w:color w:val="auto"/>
          <w:kern w:val="0"/>
          <w:sz w:val="24"/>
          <w:szCs w:val="24"/>
          <w:lang w:val="en-US" w:eastAsia="zh-CN"/>
        </w:rPr>
        <w:t>维保项目负责人：</w:t>
      </w:r>
      <w:r>
        <w:rPr>
          <w:rFonts w:hint="eastAsia" w:ascii="宋体" w:hAnsi="宋体" w:eastAsia="宋体" w:cs="宋体"/>
          <w:snapToGrid w:val="0"/>
          <w:color w:val="auto"/>
          <w:kern w:val="0"/>
          <w:sz w:val="24"/>
          <w:szCs w:val="24"/>
          <w:u w:val="single"/>
          <w:lang w:val="en-US" w:eastAsia="zh-CN"/>
        </w:rPr>
        <w:t xml:space="preserve">      </w:t>
      </w:r>
      <w:r>
        <w:rPr>
          <w:rFonts w:hint="eastAsia" w:ascii="宋体" w:hAnsi="宋体" w:eastAsia="宋体" w:cs="宋体"/>
          <w:snapToGrid w:val="0"/>
          <w:color w:val="auto"/>
          <w:kern w:val="0"/>
          <w:sz w:val="24"/>
          <w:szCs w:val="24"/>
          <w:lang w:val="en-US" w:eastAsia="zh-CN"/>
        </w:rPr>
        <w:t>。</w:t>
      </w:r>
    </w:p>
    <w:p>
      <w:pPr>
        <w:numPr>
          <w:ilvl w:val="0"/>
          <w:numId w:val="10"/>
        </w:numPr>
        <w:spacing w:line="360" w:lineRule="auto"/>
        <w:ind w:left="425" w:leftChars="0" w:right="105" w:rightChars="50" w:hanging="425" w:firstLineChars="0"/>
        <w:rPr>
          <w:rFonts w:hint="eastAsia" w:ascii="宋体" w:hAnsi="宋体" w:eastAsia="宋体" w:cs="宋体"/>
          <w:snapToGrid w:val="0"/>
          <w:color w:val="auto"/>
          <w:kern w:val="0"/>
          <w:sz w:val="24"/>
          <w:szCs w:val="24"/>
          <w:lang w:val="en-US"/>
        </w:rPr>
      </w:pPr>
      <w:r>
        <w:rPr>
          <w:rFonts w:hint="eastAsia" w:ascii="宋体" w:hAnsi="宋体" w:eastAsia="宋体" w:cs="宋体"/>
          <w:snapToGrid w:val="0"/>
          <w:color w:val="auto"/>
          <w:kern w:val="0"/>
          <w:sz w:val="24"/>
          <w:szCs w:val="24"/>
          <w:lang w:eastAsia="zh-CN"/>
        </w:rPr>
        <w:t>乙方检测评估联系人：</w:t>
      </w:r>
      <w:r>
        <w:rPr>
          <w:rFonts w:hint="eastAsia" w:ascii="宋体" w:hAnsi="宋体" w:eastAsia="宋体" w:cs="宋体"/>
          <w:snapToGrid w:val="0"/>
          <w:color w:val="auto"/>
          <w:kern w:val="0"/>
          <w:sz w:val="24"/>
          <w:szCs w:val="24"/>
          <w:u w:val="single"/>
          <w:lang w:val="en-US" w:eastAsia="zh-CN"/>
        </w:rPr>
        <w:t xml:space="preserve">      </w:t>
      </w:r>
      <w:r>
        <w:rPr>
          <w:rFonts w:hint="eastAsia" w:ascii="宋体" w:hAnsi="宋体" w:eastAsia="宋体" w:cs="宋体"/>
          <w:snapToGrid w:val="0"/>
          <w:color w:val="auto"/>
          <w:kern w:val="0"/>
          <w:sz w:val="24"/>
          <w:szCs w:val="24"/>
          <w:u w:val="none"/>
          <w:lang w:val="en-US" w:eastAsia="zh-CN"/>
        </w:rPr>
        <w:t xml:space="preserve"> </w:t>
      </w:r>
      <w:r>
        <w:rPr>
          <w:rFonts w:hint="eastAsia" w:ascii="宋体" w:hAnsi="宋体" w:eastAsia="宋体" w:cs="宋体"/>
          <w:i w:val="0"/>
          <w:iCs w:val="0"/>
          <w:snapToGrid w:val="0"/>
          <w:color w:val="auto"/>
          <w:kern w:val="0"/>
          <w:sz w:val="24"/>
          <w:szCs w:val="24"/>
          <w:u w:val="none"/>
          <w:lang w:val="en-US" w:eastAsia="zh-CN"/>
        </w:rPr>
        <w:t>, 联系方式：</w:t>
      </w:r>
      <w:r>
        <w:rPr>
          <w:rFonts w:hint="eastAsia" w:ascii="宋体" w:hAnsi="宋体" w:eastAsia="宋体" w:cs="宋体"/>
          <w:i w:val="0"/>
          <w:iCs w:val="0"/>
          <w:snapToGrid w:val="0"/>
          <w:color w:val="auto"/>
          <w:kern w:val="0"/>
          <w:sz w:val="24"/>
          <w:szCs w:val="24"/>
          <w:u w:val="single"/>
          <w:lang w:val="en-US" w:eastAsia="zh-CN"/>
        </w:rPr>
        <w:t xml:space="preserve">         </w:t>
      </w:r>
      <w:r>
        <w:rPr>
          <w:rFonts w:hint="eastAsia" w:ascii="宋体" w:hAnsi="宋体" w:eastAsia="宋体" w:cs="宋体"/>
          <w:i w:val="0"/>
          <w:iCs w:val="0"/>
          <w:snapToGrid w:val="0"/>
          <w:color w:val="auto"/>
          <w:kern w:val="0"/>
          <w:sz w:val="24"/>
          <w:szCs w:val="24"/>
          <w:u w:val="none"/>
          <w:lang w:val="en-US" w:eastAsia="zh-CN"/>
        </w:rPr>
        <w:t>。</w:t>
      </w:r>
    </w:p>
    <w:p>
      <w:pPr>
        <w:numPr>
          <w:ilvl w:val="0"/>
          <w:numId w:val="0"/>
        </w:numPr>
        <w:spacing w:line="360" w:lineRule="auto"/>
        <w:ind w:right="105" w:rightChars="50"/>
        <w:rPr>
          <w:rFonts w:hint="eastAsia" w:ascii="宋体" w:hAnsi="宋体" w:eastAsia="宋体" w:cs="宋体"/>
          <w:b/>
          <w:bCs/>
          <w:snapToGrid w:val="0"/>
          <w:color w:val="auto"/>
          <w:kern w:val="0"/>
          <w:sz w:val="24"/>
          <w:szCs w:val="24"/>
          <w:lang w:eastAsia="zh-CN"/>
        </w:rPr>
      </w:pPr>
      <w:r>
        <w:rPr>
          <w:rFonts w:hint="eastAsia" w:ascii="宋体" w:hAnsi="宋体" w:eastAsia="宋体" w:cs="宋体"/>
          <w:b/>
          <w:bCs/>
          <w:snapToGrid w:val="0"/>
          <w:color w:val="auto"/>
          <w:kern w:val="0"/>
          <w:sz w:val="24"/>
          <w:szCs w:val="24"/>
          <w:lang w:eastAsia="zh-CN"/>
        </w:rPr>
        <w:t>七、约定事项</w:t>
      </w:r>
    </w:p>
    <w:p>
      <w:pPr>
        <w:numPr>
          <w:ilvl w:val="0"/>
          <w:numId w:val="11"/>
        </w:numPr>
        <w:spacing w:line="360" w:lineRule="auto"/>
        <w:ind w:left="120" w:leftChars="0" w:right="105" w:rightChars="50"/>
        <w:rPr>
          <w:rFonts w:hint="eastAsia" w:ascii="宋体" w:hAnsi="宋体" w:eastAsia="宋体" w:cs="宋体"/>
          <w:color w:val="auto"/>
          <w:kern w:val="0"/>
          <w:sz w:val="24"/>
          <w:szCs w:val="24"/>
          <w:lang w:eastAsia="zh-CN"/>
        </w:rPr>
      </w:pPr>
      <w:r>
        <w:rPr>
          <w:rFonts w:hint="eastAsia" w:ascii="宋体" w:hAnsi="宋体" w:eastAsia="宋体" w:cs="宋体"/>
          <w:bCs/>
          <w:color w:val="auto"/>
          <w:sz w:val="24"/>
          <w:szCs w:val="24"/>
        </w:rPr>
        <w:t>在维护保养期限内，新增签证项目按甲乙双方确认的实际发生额予以计算</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乙方在消防故障设施维修过程中必须更换的设备及材料</w:t>
      </w:r>
      <w:r>
        <w:rPr>
          <w:rFonts w:hint="eastAsia" w:ascii="宋体" w:hAnsi="宋体" w:eastAsia="宋体" w:cs="宋体"/>
          <w:color w:val="auto"/>
          <w:kern w:val="0"/>
          <w:sz w:val="24"/>
          <w:szCs w:val="24"/>
        </w:rPr>
        <w:t>由甲方采购或由</w:t>
      </w:r>
      <w:r>
        <w:rPr>
          <w:rFonts w:hint="eastAsia" w:ascii="宋体" w:hAnsi="宋体" w:eastAsia="宋体" w:cs="宋体"/>
          <w:color w:val="auto"/>
          <w:kern w:val="0"/>
          <w:sz w:val="24"/>
          <w:szCs w:val="24"/>
          <w:lang w:val="en-US" w:eastAsia="zh-CN"/>
        </w:rPr>
        <w:t>甲方书面委托</w:t>
      </w:r>
      <w:r>
        <w:rPr>
          <w:rFonts w:hint="eastAsia" w:ascii="宋体" w:hAnsi="宋体" w:eastAsia="宋体" w:cs="宋体"/>
          <w:color w:val="auto"/>
          <w:kern w:val="0"/>
          <w:sz w:val="24"/>
          <w:szCs w:val="24"/>
        </w:rPr>
        <w:t>乙方</w:t>
      </w:r>
      <w:r>
        <w:rPr>
          <w:rFonts w:hint="eastAsia" w:ascii="宋体" w:hAnsi="宋体" w:eastAsia="宋体" w:cs="宋体"/>
          <w:color w:val="auto"/>
          <w:kern w:val="0"/>
          <w:sz w:val="24"/>
          <w:szCs w:val="24"/>
          <w:lang w:val="en-US" w:eastAsia="zh-CN"/>
        </w:rPr>
        <w:t>采</w:t>
      </w:r>
      <w:r>
        <w:rPr>
          <w:rFonts w:hint="eastAsia" w:ascii="宋体" w:hAnsi="宋体" w:eastAsia="宋体" w:cs="宋体"/>
          <w:color w:val="auto"/>
          <w:kern w:val="0"/>
          <w:sz w:val="24"/>
          <w:szCs w:val="24"/>
        </w:rPr>
        <w:t>购</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乙方采</w:t>
      </w:r>
      <w:r>
        <w:rPr>
          <w:rFonts w:hint="eastAsia" w:ascii="宋体" w:hAnsi="宋体" w:eastAsia="宋体" w:cs="宋体"/>
          <w:color w:val="auto"/>
          <w:kern w:val="0"/>
          <w:sz w:val="24"/>
          <w:szCs w:val="24"/>
          <w:lang w:eastAsia="zh-CN"/>
        </w:rPr>
        <w:t>购的设备和材料费用由乙方开具发票给甲方，甲方在收到发票的</w:t>
      </w:r>
      <w:r>
        <w:rPr>
          <w:rFonts w:hint="eastAsia" w:ascii="宋体" w:hAnsi="宋体" w:eastAsia="宋体" w:cs="宋体"/>
          <w:color w:val="auto"/>
          <w:kern w:val="0"/>
          <w:sz w:val="24"/>
          <w:szCs w:val="24"/>
          <w:lang w:val="en-US" w:eastAsia="zh-CN"/>
        </w:rPr>
        <w:t>三</w:t>
      </w:r>
      <w:r>
        <w:rPr>
          <w:rFonts w:hint="eastAsia" w:ascii="宋体" w:hAnsi="宋体" w:eastAsia="宋体" w:cs="宋体"/>
          <w:color w:val="auto"/>
          <w:kern w:val="0"/>
          <w:sz w:val="24"/>
          <w:szCs w:val="24"/>
          <w:lang w:eastAsia="zh-CN"/>
        </w:rPr>
        <w:t>个工作日内付款至乙方账户。</w:t>
      </w:r>
    </w:p>
    <w:p>
      <w:pPr>
        <w:numPr>
          <w:ilvl w:val="0"/>
          <w:numId w:val="11"/>
        </w:numPr>
        <w:spacing w:line="360" w:lineRule="auto"/>
        <w:ind w:left="120" w:leftChars="0" w:right="105" w:rightChars="50"/>
        <w:rPr>
          <w:rFonts w:hint="eastAsia" w:ascii="宋体" w:hAnsi="宋体" w:eastAsia="宋体" w:cs="宋体"/>
          <w:sz w:val="24"/>
        </w:rPr>
      </w:pPr>
      <w:r>
        <w:rPr>
          <w:rFonts w:hint="eastAsia" w:ascii="宋体" w:hAnsi="宋体" w:eastAsia="宋体" w:cs="宋体"/>
          <w:sz w:val="24"/>
        </w:rPr>
        <w:t>保密约定</w:t>
      </w:r>
    </w:p>
    <w:p>
      <w:pPr>
        <w:numPr>
          <w:ilvl w:val="0"/>
          <w:numId w:val="12"/>
        </w:numPr>
        <w:spacing w:line="360" w:lineRule="auto"/>
        <w:ind w:right="105" w:rightChars="50"/>
        <w:rPr>
          <w:rFonts w:hint="eastAsia" w:ascii="宋体" w:hAnsi="宋体" w:eastAsia="宋体" w:cs="宋体"/>
          <w:sz w:val="24"/>
        </w:rPr>
      </w:pPr>
      <w:r>
        <w:rPr>
          <w:rFonts w:hint="eastAsia" w:ascii="宋体" w:hAnsi="宋体" w:eastAsia="宋体" w:cs="宋体"/>
          <w:sz w:val="24"/>
        </w:rPr>
        <w:t>甲方不得将此项合同的价格以任何方式泄露给第三方。</w:t>
      </w:r>
    </w:p>
    <w:p>
      <w:pPr>
        <w:numPr>
          <w:ilvl w:val="0"/>
          <w:numId w:val="12"/>
        </w:numPr>
        <w:spacing w:line="360" w:lineRule="auto"/>
        <w:ind w:right="105" w:rightChars="50"/>
        <w:rPr>
          <w:rFonts w:hint="eastAsia" w:ascii="宋体" w:hAnsi="宋体" w:eastAsia="宋体" w:cs="宋体"/>
          <w:sz w:val="24"/>
        </w:rPr>
      </w:pPr>
      <w:r>
        <w:rPr>
          <w:rFonts w:hint="eastAsia" w:ascii="宋体" w:hAnsi="宋体" w:eastAsia="宋体" w:cs="宋体"/>
          <w:sz w:val="24"/>
        </w:rPr>
        <w:t>乙方不得将甲方的经营、生产状况及技术信息以任何方式泄露给第三方，但以下情况除外：a)此合同签订前乙方已了解的信息或甲方已公开的信息。b)国家法律、法规有要求时。</w:t>
      </w:r>
    </w:p>
    <w:p>
      <w:pPr>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八、</w:t>
      </w:r>
      <w:r>
        <w:rPr>
          <w:rFonts w:hint="eastAsia" w:ascii="宋体" w:hAnsi="宋体" w:eastAsia="宋体" w:cs="宋体"/>
          <w:b/>
          <w:bCs/>
          <w:sz w:val="24"/>
        </w:rPr>
        <w:t>费用、支付方式及期限</w:t>
      </w:r>
    </w:p>
    <w:p>
      <w:pPr>
        <w:numPr>
          <w:ilvl w:val="0"/>
          <w:numId w:val="13"/>
        </w:numPr>
        <w:spacing w:line="360" w:lineRule="auto"/>
        <w:ind w:right="105" w:rightChars="50"/>
        <w:rPr>
          <w:rFonts w:hint="eastAsia" w:ascii="宋体" w:hAnsi="宋体" w:eastAsia="宋体" w:cs="宋体"/>
          <w:bCs/>
          <w:sz w:val="24"/>
        </w:rPr>
      </w:pPr>
      <w:r>
        <w:rPr>
          <w:rFonts w:hint="eastAsia" w:ascii="宋体" w:hAnsi="宋体" w:eastAsia="宋体" w:cs="宋体"/>
          <w:bCs/>
          <w:sz w:val="24"/>
          <w:lang w:eastAsia="zh-CN"/>
        </w:rPr>
        <w:t>维保</w:t>
      </w:r>
      <w:r>
        <w:rPr>
          <w:rFonts w:hint="eastAsia" w:ascii="宋体" w:hAnsi="宋体" w:eastAsia="宋体" w:cs="宋体"/>
          <w:bCs/>
          <w:sz w:val="24"/>
        </w:rPr>
        <w:t>费用：根据甲乙双方商定，甲方应向乙方支付消防</w:t>
      </w:r>
      <w:r>
        <w:rPr>
          <w:rFonts w:hint="eastAsia" w:ascii="宋体" w:hAnsi="宋体" w:eastAsia="宋体" w:cs="宋体"/>
          <w:bCs/>
          <w:sz w:val="24"/>
          <w:lang w:val="en-US" w:eastAsia="zh-CN"/>
        </w:rPr>
        <w:t>维保</w:t>
      </w:r>
      <w:r>
        <w:rPr>
          <w:rFonts w:hint="eastAsia" w:ascii="宋体" w:hAnsi="宋体" w:eastAsia="宋体" w:cs="宋体"/>
          <w:bCs/>
          <w:sz w:val="24"/>
        </w:rPr>
        <w:t>费金额为人民币（大写）：</w:t>
      </w:r>
      <w:r>
        <w:rPr>
          <w:rFonts w:hint="eastAsia" w:ascii="宋体" w:hAnsi="宋体" w:eastAsia="宋体" w:cs="宋体"/>
          <w:bCs/>
          <w:sz w:val="24"/>
          <w:u w:val="single"/>
          <w:lang w:val="en-US" w:eastAsia="zh-CN"/>
        </w:rPr>
        <w:t xml:space="preserve">        元整</w:t>
      </w:r>
      <w:r>
        <w:rPr>
          <w:rFonts w:hint="eastAsia" w:ascii="宋体" w:hAnsi="宋体" w:eastAsia="宋体" w:cs="宋体"/>
          <w:bCs/>
          <w:sz w:val="24"/>
          <w:u w:val="single"/>
        </w:rPr>
        <w:t>（￥:</w:t>
      </w:r>
      <w:r>
        <w:rPr>
          <w:rFonts w:hint="eastAsia" w:ascii="宋体" w:hAnsi="宋体" w:eastAsia="宋体" w:cs="宋体"/>
          <w:bCs/>
          <w:sz w:val="24"/>
          <w:u w:val="single"/>
          <w:lang w:val="en-US" w:eastAsia="zh-CN"/>
        </w:rPr>
        <w:t xml:space="preserve">       </w:t>
      </w:r>
      <w:r>
        <w:rPr>
          <w:rFonts w:hint="eastAsia" w:ascii="宋体" w:hAnsi="宋体" w:eastAsia="宋体" w:cs="宋体"/>
          <w:bCs/>
          <w:sz w:val="24"/>
          <w:u w:val="single"/>
        </w:rPr>
        <w:t xml:space="preserve">） </w:t>
      </w:r>
      <w:r>
        <w:rPr>
          <w:rFonts w:hint="eastAsia" w:ascii="宋体" w:hAnsi="宋体" w:eastAsia="宋体" w:cs="宋体"/>
          <w:bCs/>
          <w:sz w:val="24"/>
        </w:rPr>
        <w:t>（</w:t>
      </w:r>
      <w:r>
        <w:rPr>
          <w:rFonts w:hint="eastAsia" w:ascii="宋体" w:hAnsi="宋体" w:eastAsia="宋体" w:cs="宋体"/>
          <w:bCs/>
          <w:sz w:val="24"/>
          <w:lang w:val="en-US" w:eastAsia="zh-CN"/>
        </w:rPr>
        <w:t>含</w:t>
      </w:r>
      <w:r>
        <w:rPr>
          <w:rFonts w:hint="eastAsia" w:ascii="宋体" w:hAnsi="宋体" w:eastAsia="宋体" w:cs="宋体"/>
          <w:bCs/>
          <w:sz w:val="24"/>
        </w:rPr>
        <w:t>6%增值税税率）</w:t>
      </w:r>
      <w:r>
        <w:rPr>
          <w:rFonts w:hint="eastAsia" w:ascii="宋体" w:hAnsi="宋体" w:eastAsia="宋体" w:cs="宋体"/>
          <w:bCs/>
          <w:sz w:val="24"/>
          <w:lang w:eastAsia="zh-CN"/>
        </w:rPr>
        <w:t>。</w:t>
      </w:r>
      <w:r>
        <w:rPr>
          <w:rFonts w:hint="eastAsia" w:ascii="宋体" w:hAnsi="宋体" w:eastAsia="宋体" w:cs="宋体"/>
          <w:bCs/>
          <w:sz w:val="24"/>
        </w:rPr>
        <w:t xml:space="preserve">  </w:t>
      </w:r>
    </w:p>
    <w:p>
      <w:pPr>
        <w:numPr>
          <w:ilvl w:val="0"/>
          <w:numId w:val="13"/>
        </w:numPr>
        <w:spacing w:line="360" w:lineRule="auto"/>
        <w:ind w:right="105" w:rightChars="50"/>
        <w:rPr>
          <w:rFonts w:hint="eastAsia" w:ascii="宋体" w:hAnsi="宋体" w:eastAsia="宋体" w:cs="宋体"/>
          <w:bCs/>
          <w:sz w:val="24"/>
        </w:rPr>
      </w:pPr>
      <w:r>
        <w:rPr>
          <w:rFonts w:hint="eastAsia" w:ascii="宋体" w:hAnsi="宋体" w:eastAsia="宋体" w:cs="宋体"/>
          <w:bCs/>
          <w:sz w:val="24"/>
          <w:lang w:eastAsia="zh-CN"/>
        </w:rPr>
        <w:t>检测</w:t>
      </w:r>
      <w:r>
        <w:rPr>
          <w:rFonts w:hint="eastAsia" w:ascii="宋体" w:hAnsi="宋体" w:eastAsia="宋体" w:cs="宋体"/>
          <w:bCs/>
          <w:sz w:val="24"/>
        </w:rPr>
        <w:t>费用：根据甲乙双方商定，甲方应向乙方支付消防</w:t>
      </w:r>
      <w:r>
        <w:rPr>
          <w:rFonts w:hint="eastAsia" w:ascii="宋体" w:hAnsi="宋体" w:eastAsia="宋体" w:cs="宋体"/>
          <w:bCs/>
          <w:sz w:val="24"/>
          <w:lang w:val="en-US" w:eastAsia="zh-CN"/>
        </w:rPr>
        <w:t>检测</w:t>
      </w:r>
      <w:r>
        <w:rPr>
          <w:rFonts w:hint="eastAsia" w:ascii="宋体" w:hAnsi="宋体" w:eastAsia="宋体" w:cs="宋体"/>
          <w:bCs/>
          <w:sz w:val="24"/>
        </w:rPr>
        <w:t>费金额为人民币（大写）：</w:t>
      </w:r>
      <w:r>
        <w:rPr>
          <w:rFonts w:hint="eastAsia" w:ascii="宋体" w:hAnsi="宋体" w:eastAsia="宋体" w:cs="宋体"/>
          <w:bCs/>
          <w:sz w:val="24"/>
          <w:u w:val="single"/>
          <w:lang w:val="en-US" w:eastAsia="zh-CN"/>
        </w:rPr>
        <w:t xml:space="preserve">        元整</w:t>
      </w:r>
      <w:r>
        <w:rPr>
          <w:rFonts w:hint="eastAsia" w:ascii="宋体" w:hAnsi="宋体" w:eastAsia="宋体" w:cs="宋体"/>
          <w:bCs/>
          <w:sz w:val="24"/>
          <w:u w:val="single"/>
        </w:rPr>
        <w:t>（￥:</w:t>
      </w:r>
      <w:r>
        <w:rPr>
          <w:rFonts w:hint="eastAsia" w:ascii="宋体" w:hAnsi="宋体" w:eastAsia="宋体" w:cs="宋体"/>
          <w:bCs/>
          <w:sz w:val="24"/>
          <w:u w:val="single"/>
          <w:lang w:val="en-US" w:eastAsia="zh-CN"/>
        </w:rPr>
        <w:t xml:space="preserve">       </w:t>
      </w:r>
      <w:r>
        <w:rPr>
          <w:rFonts w:hint="eastAsia" w:ascii="宋体" w:hAnsi="宋体" w:eastAsia="宋体" w:cs="宋体"/>
          <w:bCs/>
          <w:sz w:val="24"/>
          <w:u w:val="single"/>
        </w:rPr>
        <w:t xml:space="preserve">） </w:t>
      </w:r>
      <w:r>
        <w:rPr>
          <w:rFonts w:hint="eastAsia" w:ascii="宋体" w:hAnsi="宋体" w:eastAsia="宋体" w:cs="宋体"/>
          <w:bCs/>
          <w:sz w:val="24"/>
        </w:rPr>
        <w:t>（</w:t>
      </w:r>
      <w:r>
        <w:rPr>
          <w:rFonts w:hint="eastAsia" w:ascii="宋体" w:hAnsi="宋体" w:eastAsia="宋体" w:cs="宋体"/>
          <w:bCs/>
          <w:sz w:val="24"/>
          <w:lang w:val="en-US" w:eastAsia="zh-CN"/>
        </w:rPr>
        <w:t>含</w:t>
      </w:r>
      <w:r>
        <w:rPr>
          <w:rFonts w:hint="eastAsia" w:ascii="宋体" w:hAnsi="宋体" w:eastAsia="宋体" w:cs="宋体"/>
          <w:bCs/>
          <w:sz w:val="24"/>
        </w:rPr>
        <w:t>6%增值税税率）</w:t>
      </w:r>
      <w:r>
        <w:rPr>
          <w:rFonts w:hint="eastAsia" w:ascii="宋体" w:hAnsi="宋体" w:eastAsia="宋体" w:cs="宋体"/>
          <w:bCs/>
          <w:sz w:val="24"/>
          <w:lang w:eastAsia="zh-CN"/>
        </w:rPr>
        <w:t>。</w:t>
      </w:r>
      <w:r>
        <w:rPr>
          <w:rFonts w:hint="eastAsia" w:ascii="宋体" w:hAnsi="宋体" w:eastAsia="宋体" w:cs="宋体"/>
          <w:bCs/>
          <w:sz w:val="24"/>
        </w:rPr>
        <w:t xml:space="preserve">  </w:t>
      </w:r>
    </w:p>
    <w:p>
      <w:pPr>
        <w:numPr>
          <w:ilvl w:val="0"/>
          <w:numId w:val="13"/>
        </w:numPr>
        <w:spacing w:line="360" w:lineRule="auto"/>
        <w:ind w:right="105" w:rightChars="50"/>
        <w:rPr>
          <w:rFonts w:hint="eastAsia" w:ascii="宋体" w:hAnsi="宋体" w:eastAsia="宋体" w:cs="宋体"/>
          <w:bCs/>
          <w:sz w:val="24"/>
        </w:rPr>
      </w:pPr>
      <w:r>
        <w:rPr>
          <w:rFonts w:hint="eastAsia" w:ascii="宋体" w:hAnsi="宋体" w:eastAsia="宋体" w:cs="宋体"/>
          <w:bCs/>
          <w:sz w:val="24"/>
          <w:lang w:eastAsia="zh-CN"/>
        </w:rPr>
        <w:t>评估</w:t>
      </w:r>
      <w:r>
        <w:rPr>
          <w:rFonts w:hint="eastAsia" w:ascii="宋体" w:hAnsi="宋体" w:eastAsia="宋体" w:cs="宋体"/>
          <w:bCs/>
          <w:sz w:val="24"/>
        </w:rPr>
        <w:t>费用：根据甲乙双方商定，甲方应向乙方支付消防</w:t>
      </w:r>
      <w:r>
        <w:rPr>
          <w:rFonts w:hint="eastAsia" w:ascii="宋体" w:hAnsi="宋体" w:eastAsia="宋体" w:cs="宋体"/>
          <w:bCs/>
          <w:sz w:val="24"/>
          <w:lang w:val="en-US" w:eastAsia="zh-CN"/>
        </w:rPr>
        <w:t>评估</w:t>
      </w:r>
      <w:r>
        <w:rPr>
          <w:rFonts w:hint="eastAsia" w:ascii="宋体" w:hAnsi="宋体" w:eastAsia="宋体" w:cs="宋体"/>
          <w:bCs/>
          <w:sz w:val="24"/>
        </w:rPr>
        <w:t>费金额为人民币（大写）：</w:t>
      </w:r>
      <w:r>
        <w:rPr>
          <w:rFonts w:hint="eastAsia" w:ascii="宋体" w:hAnsi="宋体" w:eastAsia="宋体" w:cs="宋体"/>
          <w:bCs/>
          <w:sz w:val="24"/>
          <w:u w:val="single"/>
          <w:lang w:val="en-US" w:eastAsia="zh-CN"/>
        </w:rPr>
        <w:t xml:space="preserve">        元整</w:t>
      </w:r>
      <w:r>
        <w:rPr>
          <w:rFonts w:hint="eastAsia" w:ascii="宋体" w:hAnsi="宋体" w:eastAsia="宋体" w:cs="宋体"/>
          <w:bCs/>
          <w:sz w:val="24"/>
          <w:u w:val="single"/>
        </w:rPr>
        <w:t>（￥:</w:t>
      </w:r>
      <w:r>
        <w:rPr>
          <w:rFonts w:hint="eastAsia" w:ascii="宋体" w:hAnsi="宋体" w:eastAsia="宋体" w:cs="宋体"/>
          <w:bCs/>
          <w:sz w:val="24"/>
          <w:u w:val="single"/>
          <w:lang w:val="en-US" w:eastAsia="zh-CN"/>
        </w:rPr>
        <w:t xml:space="preserve">       </w:t>
      </w:r>
      <w:r>
        <w:rPr>
          <w:rFonts w:hint="eastAsia" w:ascii="宋体" w:hAnsi="宋体" w:eastAsia="宋体" w:cs="宋体"/>
          <w:bCs/>
          <w:sz w:val="24"/>
          <w:u w:val="single"/>
        </w:rPr>
        <w:t xml:space="preserve">） </w:t>
      </w:r>
      <w:r>
        <w:rPr>
          <w:rFonts w:hint="eastAsia" w:ascii="宋体" w:hAnsi="宋体" w:eastAsia="宋体" w:cs="宋体"/>
          <w:bCs/>
          <w:sz w:val="24"/>
        </w:rPr>
        <w:t>（</w:t>
      </w:r>
      <w:r>
        <w:rPr>
          <w:rFonts w:hint="eastAsia" w:ascii="宋体" w:hAnsi="宋体" w:eastAsia="宋体" w:cs="宋体"/>
          <w:bCs/>
          <w:sz w:val="24"/>
          <w:lang w:val="en-US" w:eastAsia="zh-CN"/>
        </w:rPr>
        <w:t>含</w:t>
      </w:r>
      <w:r>
        <w:rPr>
          <w:rFonts w:hint="eastAsia" w:ascii="宋体" w:hAnsi="宋体" w:eastAsia="宋体" w:cs="宋体"/>
          <w:bCs/>
          <w:sz w:val="24"/>
        </w:rPr>
        <w:t>6%增值税税率）</w:t>
      </w:r>
      <w:r>
        <w:rPr>
          <w:rFonts w:hint="eastAsia" w:ascii="宋体" w:hAnsi="宋体" w:eastAsia="宋体" w:cs="宋体"/>
          <w:bCs/>
          <w:sz w:val="24"/>
          <w:lang w:eastAsia="zh-CN"/>
        </w:rPr>
        <w:t>。</w:t>
      </w:r>
      <w:r>
        <w:rPr>
          <w:rFonts w:hint="eastAsia" w:ascii="宋体" w:hAnsi="宋体" w:eastAsia="宋体" w:cs="宋体"/>
          <w:bCs/>
          <w:sz w:val="24"/>
        </w:rPr>
        <w:t xml:space="preserve"> </w:t>
      </w:r>
    </w:p>
    <w:p>
      <w:pPr>
        <w:numPr>
          <w:ilvl w:val="0"/>
          <w:numId w:val="13"/>
        </w:numPr>
        <w:spacing w:line="360" w:lineRule="auto"/>
        <w:ind w:right="105" w:rightChars="50"/>
        <w:rPr>
          <w:rFonts w:hint="eastAsia" w:ascii="宋体" w:hAnsi="宋体" w:eastAsia="宋体" w:cs="宋体"/>
          <w:bCs/>
          <w:snapToGrid w:val="0"/>
          <w:kern w:val="0"/>
          <w:sz w:val="24"/>
        </w:rPr>
      </w:pPr>
      <w:r>
        <w:rPr>
          <w:rFonts w:hint="eastAsia" w:ascii="宋体" w:hAnsi="宋体" w:eastAsia="宋体" w:cs="宋体"/>
          <w:bCs/>
          <w:snapToGrid w:val="0"/>
          <w:kern w:val="0"/>
          <w:sz w:val="24"/>
          <w:lang w:eastAsia="zh-CN"/>
        </w:rPr>
        <w:t>维保</w:t>
      </w:r>
      <w:r>
        <w:rPr>
          <w:rFonts w:hint="eastAsia" w:ascii="宋体" w:hAnsi="宋体" w:eastAsia="宋体" w:cs="宋体"/>
          <w:bCs/>
          <w:snapToGrid w:val="0"/>
          <w:kern w:val="0"/>
          <w:sz w:val="24"/>
        </w:rPr>
        <w:t>支付方式：</w:t>
      </w:r>
    </w:p>
    <w:p>
      <w:pPr>
        <w:spacing w:line="360" w:lineRule="auto"/>
        <w:ind w:right="105" w:rightChars="50"/>
        <w:rPr>
          <w:rFonts w:hint="eastAsia" w:ascii="宋体" w:hAnsi="宋体" w:eastAsia="宋体" w:cs="宋体"/>
          <w:b w:val="0"/>
          <w:bCs w:val="0"/>
          <w:snapToGrid w:val="0"/>
          <w:color w:val="auto"/>
          <w:kern w:val="0"/>
          <w:sz w:val="24"/>
          <w:szCs w:val="24"/>
          <w:u w:val="single"/>
        </w:rPr>
      </w:pPr>
      <w:r>
        <w:rPr>
          <w:rFonts w:hint="eastAsia" w:ascii="宋体" w:hAnsi="宋体" w:eastAsia="宋体" w:cs="宋体"/>
          <w:b w:val="0"/>
          <w:bCs w:val="0"/>
          <w:snapToGrid w:val="0"/>
          <w:color w:val="auto"/>
          <w:kern w:val="0"/>
          <w:sz w:val="24"/>
          <w:szCs w:val="24"/>
          <w:u w:val="single"/>
        </w:rPr>
        <w:t>从</w:t>
      </w:r>
      <w:r>
        <w:rPr>
          <w:rFonts w:hint="eastAsia" w:ascii="宋体" w:hAnsi="宋体" w:eastAsia="宋体" w:cs="宋体"/>
          <w:b w:val="0"/>
          <w:bCs w:val="0"/>
          <w:color w:val="auto"/>
          <w:kern w:val="0"/>
          <w:sz w:val="24"/>
          <w:szCs w:val="24"/>
          <w:u w:val="single"/>
        </w:rPr>
        <w:t>合同签订之日起</w:t>
      </w:r>
      <w:r>
        <w:rPr>
          <w:rFonts w:hint="eastAsia" w:ascii="宋体" w:hAnsi="宋体" w:eastAsia="宋体" w:cs="宋体"/>
          <w:b w:val="0"/>
          <w:bCs w:val="0"/>
          <w:color w:val="auto"/>
          <w:kern w:val="0"/>
          <w:sz w:val="24"/>
          <w:szCs w:val="24"/>
          <w:u w:val="single"/>
          <w:lang w:val="en-US" w:eastAsia="zh-CN"/>
        </w:rPr>
        <w:t>七</w:t>
      </w:r>
      <w:r>
        <w:rPr>
          <w:rFonts w:hint="eastAsia" w:ascii="宋体" w:hAnsi="宋体" w:eastAsia="宋体" w:cs="宋体"/>
          <w:b w:val="0"/>
          <w:bCs w:val="0"/>
          <w:color w:val="auto"/>
          <w:kern w:val="0"/>
          <w:sz w:val="24"/>
          <w:szCs w:val="24"/>
          <w:u w:val="single"/>
        </w:rPr>
        <w:t>日内，</w:t>
      </w:r>
      <w:r>
        <w:rPr>
          <w:rFonts w:hint="eastAsia" w:ascii="宋体" w:hAnsi="宋体" w:eastAsia="宋体" w:cs="宋体"/>
          <w:b w:val="0"/>
          <w:bCs w:val="0"/>
          <w:snapToGrid w:val="0"/>
          <w:color w:val="auto"/>
          <w:kern w:val="0"/>
          <w:sz w:val="24"/>
          <w:szCs w:val="24"/>
          <w:u w:val="single"/>
        </w:rPr>
        <w:t>乙方负责开具</w:t>
      </w:r>
      <w:r>
        <w:rPr>
          <w:rFonts w:hint="eastAsia" w:ascii="宋体" w:hAnsi="宋体" w:eastAsia="宋体" w:cs="宋体"/>
          <w:b w:val="0"/>
          <w:bCs w:val="0"/>
          <w:snapToGrid w:val="0"/>
          <w:color w:val="auto"/>
          <w:kern w:val="0"/>
          <w:sz w:val="24"/>
          <w:szCs w:val="24"/>
          <w:u w:val="single"/>
          <w:lang w:val="en-US" w:eastAsia="zh-CN"/>
        </w:rPr>
        <w:t>符合甲方要求的</w:t>
      </w:r>
      <w:r>
        <w:rPr>
          <w:rFonts w:hint="eastAsia" w:ascii="宋体" w:hAnsi="宋体" w:eastAsia="宋体" w:cs="宋体"/>
          <w:b w:val="0"/>
          <w:bCs w:val="0"/>
          <w:snapToGrid w:val="0"/>
          <w:color w:val="auto"/>
          <w:kern w:val="0"/>
          <w:sz w:val="24"/>
          <w:szCs w:val="24"/>
          <w:u w:val="single"/>
        </w:rPr>
        <w:t>发票提供给甲方，</w:t>
      </w:r>
      <w:r>
        <w:rPr>
          <w:rFonts w:hint="eastAsia" w:ascii="宋体" w:hAnsi="宋体" w:eastAsia="宋体" w:cs="宋体"/>
          <w:b w:val="0"/>
          <w:bCs w:val="0"/>
          <w:color w:val="auto"/>
          <w:kern w:val="0"/>
          <w:sz w:val="24"/>
          <w:szCs w:val="24"/>
          <w:u w:val="single"/>
        </w:rPr>
        <w:t>甲方支付合同总金额的50%</w:t>
      </w:r>
      <w:r>
        <w:rPr>
          <w:rFonts w:hint="eastAsia" w:ascii="宋体" w:hAnsi="宋体" w:eastAsia="宋体" w:cs="宋体"/>
          <w:b w:val="0"/>
          <w:bCs w:val="0"/>
          <w:color w:val="auto"/>
          <w:kern w:val="0"/>
          <w:sz w:val="24"/>
          <w:szCs w:val="24"/>
          <w:u w:val="single"/>
          <w:lang w:eastAsia="zh-CN"/>
        </w:rPr>
        <w:t>（</w:t>
      </w:r>
      <w:r>
        <w:rPr>
          <w:rFonts w:hint="eastAsia" w:ascii="宋体" w:hAnsi="宋体" w:eastAsia="宋体" w:cs="宋体"/>
          <w:b w:val="0"/>
          <w:bCs w:val="0"/>
          <w:color w:val="auto"/>
          <w:sz w:val="24"/>
          <w:u w:val="single"/>
        </w:rPr>
        <w:t>大写）：</w:t>
      </w:r>
      <w:r>
        <w:rPr>
          <w:rFonts w:hint="eastAsia" w:ascii="宋体" w:hAnsi="宋体" w:eastAsia="宋体" w:cs="宋体"/>
          <w:b w:val="0"/>
          <w:bCs w:val="0"/>
          <w:color w:val="auto"/>
          <w:sz w:val="24"/>
          <w:u w:val="single"/>
          <w:lang w:val="en-US" w:eastAsia="zh-CN"/>
        </w:rPr>
        <w:t xml:space="preserve">      元整</w:t>
      </w:r>
      <w:r>
        <w:rPr>
          <w:rFonts w:hint="eastAsia" w:ascii="宋体" w:hAnsi="宋体" w:eastAsia="宋体" w:cs="宋体"/>
          <w:b w:val="0"/>
          <w:bCs w:val="0"/>
          <w:color w:val="auto"/>
          <w:sz w:val="24"/>
          <w:u w:val="single"/>
        </w:rPr>
        <w:t>（￥:</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u w:val="single"/>
          <w:lang w:eastAsia="zh-CN"/>
        </w:rPr>
        <w:t>）</w:t>
      </w:r>
      <w:r>
        <w:rPr>
          <w:rFonts w:hint="eastAsia" w:ascii="宋体" w:hAnsi="宋体" w:eastAsia="宋体" w:cs="宋体"/>
          <w:b w:val="0"/>
          <w:bCs w:val="0"/>
          <w:color w:val="auto"/>
          <w:kern w:val="0"/>
          <w:sz w:val="24"/>
          <w:szCs w:val="24"/>
          <w:u w:val="single"/>
        </w:rPr>
        <w:t>；合同期</w:t>
      </w:r>
      <w:r>
        <w:rPr>
          <w:rFonts w:hint="eastAsia" w:ascii="宋体" w:hAnsi="宋体" w:eastAsia="宋体" w:cs="宋体"/>
          <w:b w:val="0"/>
          <w:bCs w:val="0"/>
          <w:color w:val="auto"/>
          <w:kern w:val="0"/>
          <w:sz w:val="24"/>
          <w:szCs w:val="24"/>
          <w:u w:val="single"/>
          <w:lang w:val="en-US" w:eastAsia="zh-CN"/>
        </w:rPr>
        <w:t>执行到第七个月第一周</w:t>
      </w:r>
      <w:r>
        <w:rPr>
          <w:rFonts w:hint="eastAsia" w:ascii="宋体" w:hAnsi="宋体" w:eastAsia="宋体" w:cs="宋体"/>
          <w:b w:val="0"/>
          <w:bCs w:val="0"/>
          <w:color w:val="auto"/>
          <w:kern w:val="0"/>
          <w:sz w:val="24"/>
          <w:szCs w:val="24"/>
          <w:u w:val="single"/>
        </w:rPr>
        <w:t>，</w:t>
      </w:r>
      <w:r>
        <w:rPr>
          <w:rFonts w:hint="eastAsia" w:ascii="宋体" w:hAnsi="宋体" w:eastAsia="宋体" w:cs="宋体"/>
          <w:b w:val="0"/>
          <w:bCs w:val="0"/>
          <w:snapToGrid w:val="0"/>
          <w:color w:val="auto"/>
          <w:kern w:val="0"/>
          <w:sz w:val="24"/>
          <w:szCs w:val="24"/>
          <w:u w:val="single"/>
        </w:rPr>
        <w:t>乙方负责开具</w:t>
      </w:r>
      <w:r>
        <w:rPr>
          <w:rFonts w:hint="eastAsia" w:ascii="宋体" w:hAnsi="宋体" w:eastAsia="宋体" w:cs="宋体"/>
          <w:b w:val="0"/>
          <w:bCs w:val="0"/>
          <w:snapToGrid w:val="0"/>
          <w:color w:val="auto"/>
          <w:kern w:val="0"/>
          <w:sz w:val="24"/>
          <w:szCs w:val="24"/>
          <w:u w:val="single"/>
          <w:lang w:val="en-US" w:eastAsia="zh-CN"/>
        </w:rPr>
        <w:t>符合甲方要求的</w:t>
      </w:r>
      <w:r>
        <w:rPr>
          <w:rFonts w:hint="eastAsia" w:ascii="宋体" w:hAnsi="宋体" w:eastAsia="宋体" w:cs="宋体"/>
          <w:b w:val="0"/>
          <w:bCs w:val="0"/>
          <w:snapToGrid w:val="0"/>
          <w:color w:val="auto"/>
          <w:kern w:val="0"/>
          <w:sz w:val="24"/>
          <w:szCs w:val="24"/>
          <w:u w:val="single"/>
        </w:rPr>
        <w:t>发票提供给甲方，甲方</w:t>
      </w:r>
      <w:r>
        <w:rPr>
          <w:rFonts w:hint="eastAsia" w:ascii="宋体" w:hAnsi="宋体" w:eastAsia="宋体" w:cs="宋体"/>
          <w:b w:val="0"/>
          <w:bCs w:val="0"/>
          <w:snapToGrid w:val="0"/>
          <w:color w:val="auto"/>
          <w:kern w:val="0"/>
          <w:sz w:val="24"/>
          <w:szCs w:val="24"/>
          <w:u w:val="single"/>
          <w:lang w:val="en-US" w:eastAsia="zh-CN"/>
        </w:rPr>
        <w:t>七</w:t>
      </w:r>
      <w:r>
        <w:rPr>
          <w:rFonts w:hint="eastAsia" w:ascii="宋体" w:hAnsi="宋体" w:eastAsia="宋体" w:cs="宋体"/>
          <w:b w:val="0"/>
          <w:bCs w:val="0"/>
          <w:snapToGrid w:val="0"/>
          <w:color w:val="auto"/>
          <w:kern w:val="0"/>
          <w:sz w:val="24"/>
          <w:szCs w:val="24"/>
          <w:u w:val="single"/>
        </w:rPr>
        <w:t>日内支付余款</w:t>
      </w:r>
      <w:r>
        <w:rPr>
          <w:rFonts w:hint="eastAsia" w:ascii="宋体" w:hAnsi="宋体" w:eastAsia="宋体" w:cs="宋体"/>
          <w:b w:val="0"/>
          <w:bCs w:val="0"/>
          <w:snapToGrid w:val="0"/>
          <w:color w:val="auto"/>
          <w:kern w:val="0"/>
          <w:sz w:val="24"/>
          <w:szCs w:val="24"/>
          <w:u w:val="single"/>
          <w:lang w:eastAsia="zh-CN"/>
        </w:rPr>
        <w:t>至乙方指定账户</w:t>
      </w:r>
      <w:r>
        <w:rPr>
          <w:rFonts w:hint="eastAsia" w:ascii="宋体" w:hAnsi="宋体" w:eastAsia="宋体" w:cs="宋体"/>
          <w:b w:val="0"/>
          <w:bCs w:val="0"/>
          <w:snapToGrid w:val="0"/>
          <w:color w:val="auto"/>
          <w:kern w:val="0"/>
          <w:sz w:val="24"/>
          <w:szCs w:val="24"/>
          <w:u w:val="single"/>
        </w:rPr>
        <w:t>。</w:t>
      </w:r>
    </w:p>
    <w:p>
      <w:pPr>
        <w:numPr>
          <w:ilvl w:val="0"/>
          <w:numId w:val="13"/>
        </w:numPr>
        <w:spacing w:line="360" w:lineRule="auto"/>
        <w:ind w:right="105" w:rightChars="50"/>
        <w:rPr>
          <w:rFonts w:hint="eastAsia" w:ascii="宋体" w:hAnsi="宋体" w:eastAsia="宋体" w:cs="宋体"/>
          <w:bCs/>
          <w:snapToGrid w:val="0"/>
          <w:kern w:val="0"/>
          <w:sz w:val="24"/>
        </w:rPr>
      </w:pPr>
      <w:r>
        <w:rPr>
          <w:rFonts w:hint="eastAsia" w:ascii="宋体" w:hAnsi="宋体" w:eastAsia="宋体" w:cs="宋体"/>
          <w:bCs/>
          <w:snapToGrid w:val="0"/>
          <w:kern w:val="0"/>
          <w:sz w:val="24"/>
          <w:lang w:eastAsia="zh-CN"/>
        </w:rPr>
        <w:t>检测评估</w:t>
      </w:r>
      <w:r>
        <w:rPr>
          <w:rFonts w:hint="eastAsia" w:ascii="宋体" w:hAnsi="宋体" w:eastAsia="宋体" w:cs="宋体"/>
          <w:bCs/>
          <w:snapToGrid w:val="0"/>
          <w:kern w:val="0"/>
          <w:sz w:val="24"/>
        </w:rPr>
        <w:t>支付方式：</w:t>
      </w:r>
    </w:p>
    <w:p>
      <w:pPr>
        <w:spacing w:line="360" w:lineRule="auto"/>
        <w:ind w:left="120" w:right="105" w:rightChars="50"/>
        <w:rPr>
          <w:rFonts w:hint="default" w:ascii="宋体" w:hAnsi="宋体" w:eastAsia="宋体" w:cs="宋体"/>
          <w:b w:val="0"/>
          <w:bCs w:val="0"/>
          <w:snapToGrid w:val="0"/>
          <w:color w:val="auto"/>
          <w:kern w:val="0"/>
          <w:sz w:val="24"/>
          <w:szCs w:val="24"/>
          <w:u w:val="none"/>
          <w:lang w:val="en-US" w:eastAsia="zh-CN"/>
        </w:rPr>
      </w:pPr>
      <w:r>
        <w:rPr>
          <w:rFonts w:hint="eastAsia" w:ascii="宋体" w:hAnsi="宋体" w:eastAsia="宋体" w:cs="宋体"/>
          <w:b w:val="0"/>
          <w:bCs w:val="0"/>
          <w:snapToGrid w:val="0"/>
          <w:color w:val="auto"/>
          <w:kern w:val="0"/>
          <w:sz w:val="24"/>
          <w:szCs w:val="24"/>
          <w:u w:val="single"/>
          <w:lang w:val="en-US" w:eastAsia="zh-CN"/>
        </w:rPr>
        <w:t>乙方向甲方出具消防检测报告贰份，评估报告贰份并经甲方审核通过后，甲方一次性付清检测评估费用（大写）：       元整（</w:t>
      </w:r>
      <w:r>
        <w:rPr>
          <w:rFonts w:hint="eastAsia" w:ascii="宋体" w:hAnsi="宋体" w:eastAsia="宋体" w:cs="宋体"/>
          <w:b w:val="0"/>
          <w:bCs w:val="0"/>
          <w:color w:val="auto"/>
          <w:sz w:val="24"/>
          <w:u w:val="single"/>
        </w:rPr>
        <w:t>￥:</w:t>
      </w:r>
      <w:r>
        <w:rPr>
          <w:rFonts w:hint="eastAsia" w:ascii="宋体" w:hAnsi="宋体" w:eastAsia="宋体" w:cs="宋体"/>
          <w:b w:val="0"/>
          <w:bCs w:val="0"/>
          <w:color w:val="auto"/>
          <w:sz w:val="24"/>
          <w:u w:val="single"/>
          <w:lang w:val="en-US" w:eastAsia="zh-CN"/>
        </w:rPr>
        <w:t xml:space="preserve">      元</w:t>
      </w:r>
      <w:r>
        <w:rPr>
          <w:rFonts w:hint="eastAsia" w:ascii="宋体" w:hAnsi="宋体" w:eastAsia="宋体" w:cs="宋体"/>
          <w:b w:val="0"/>
          <w:bCs w:val="0"/>
          <w:snapToGrid w:val="0"/>
          <w:color w:val="auto"/>
          <w:kern w:val="0"/>
          <w:sz w:val="24"/>
          <w:szCs w:val="24"/>
          <w:u w:val="single"/>
          <w:lang w:val="en-US" w:eastAsia="zh-CN"/>
        </w:rPr>
        <w:t>）。</w:t>
      </w:r>
      <w:r>
        <w:rPr>
          <w:rFonts w:hint="eastAsia" w:ascii="宋体" w:hAnsi="宋体" w:eastAsia="宋体" w:cs="宋体"/>
          <w:b w:val="0"/>
          <w:bCs w:val="0"/>
          <w:snapToGrid w:val="0"/>
          <w:color w:val="auto"/>
          <w:kern w:val="0"/>
          <w:sz w:val="24"/>
          <w:szCs w:val="24"/>
          <w:u w:val="none"/>
          <w:lang w:val="en-US" w:eastAsia="zh-CN"/>
        </w:rPr>
        <w:t>甲方付款前，乙方应提供符合甲方要求的发票，否则甲方有权拒绝付款而不构成违约。</w:t>
      </w:r>
    </w:p>
    <w:p>
      <w:pPr>
        <w:numPr>
          <w:ilvl w:val="0"/>
          <w:numId w:val="13"/>
        </w:numPr>
        <w:spacing w:line="360" w:lineRule="auto"/>
        <w:ind w:right="105" w:rightChars="50" w:firstLine="0" w:firstLineChars="0"/>
        <w:rPr>
          <w:rFonts w:hint="eastAsia" w:ascii="宋体" w:hAnsi="宋体" w:eastAsia="宋体" w:cs="宋体"/>
          <w:bCs/>
          <w:sz w:val="24"/>
        </w:rPr>
      </w:pPr>
      <w:r>
        <w:rPr>
          <w:rFonts w:hint="eastAsia" w:ascii="宋体" w:hAnsi="宋体" w:eastAsia="宋体" w:cs="宋体"/>
          <w:bCs/>
          <w:sz w:val="24"/>
          <w:lang w:eastAsia="zh-CN"/>
        </w:rPr>
        <w:t>维保检测评估</w:t>
      </w:r>
      <w:r>
        <w:rPr>
          <w:rFonts w:hint="eastAsia" w:ascii="宋体" w:hAnsi="宋体" w:eastAsia="宋体" w:cs="宋体"/>
          <w:bCs/>
          <w:sz w:val="24"/>
        </w:rPr>
        <w:t xml:space="preserve">费用采用以下勾选支付方式： </w:t>
      </w:r>
      <w:r>
        <w:rPr>
          <w:rFonts w:hint="eastAsia" w:ascii="宋体" w:hAnsi="宋体" w:eastAsia="宋体" w:cs="宋体"/>
          <w:bCs/>
          <w:sz w:val="24"/>
        </w:rPr>
        <w:sym w:font="Wingdings" w:char="00FE"/>
      </w:r>
      <w:r>
        <w:rPr>
          <w:rFonts w:hint="eastAsia" w:ascii="宋体" w:hAnsi="宋体" w:eastAsia="宋体" w:cs="宋体"/>
          <w:bCs/>
          <w:sz w:val="24"/>
        </w:rPr>
        <w:t xml:space="preserve">转账支付      </w:t>
      </w:r>
      <w:r>
        <w:rPr>
          <w:rFonts w:hint="eastAsia" w:ascii="宋体" w:hAnsi="宋体" w:eastAsia="宋体" w:cs="宋体"/>
          <w:bCs/>
          <w:sz w:val="24"/>
        </w:rPr>
        <w:sym w:font="Wingdings" w:char="00A8"/>
      </w:r>
      <w:r>
        <w:rPr>
          <w:rFonts w:hint="eastAsia" w:ascii="宋体" w:hAnsi="宋体" w:eastAsia="宋体" w:cs="宋体"/>
          <w:bCs/>
          <w:sz w:val="24"/>
        </w:rPr>
        <w:t>现金方式；</w:t>
      </w:r>
    </w:p>
    <w:p>
      <w:pPr>
        <w:numPr>
          <w:ilvl w:val="0"/>
          <w:numId w:val="13"/>
        </w:numPr>
        <w:spacing w:line="360" w:lineRule="auto"/>
        <w:ind w:right="105" w:rightChars="50"/>
        <w:rPr>
          <w:rFonts w:hint="eastAsia" w:ascii="宋体" w:hAnsi="宋体" w:eastAsia="宋体" w:cs="宋体"/>
          <w:bCs/>
          <w:sz w:val="24"/>
          <w:lang w:eastAsia="zh-CN"/>
        </w:rPr>
      </w:pPr>
      <w:r>
        <w:rPr>
          <w:rFonts w:hint="eastAsia" w:ascii="宋体" w:hAnsi="宋体" w:eastAsia="宋体" w:cs="宋体"/>
          <w:bCs/>
          <w:sz w:val="24"/>
          <w:lang w:eastAsia="zh-CN"/>
        </w:rPr>
        <w:t>乙方收款账户信息如下：</w:t>
      </w:r>
    </w:p>
    <w:tbl>
      <w:tblPr>
        <w:tblStyle w:val="38"/>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6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1" w:type="dxa"/>
            <w:noWrap w:val="0"/>
            <w:vAlign w:val="top"/>
          </w:tcPr>
          <w:p>
            <w:pPr>
              <w:widowControl w:val="0"/>
              <w:spacing w:line="360" w:lineRule="auto"/>
              <w:ind w:left="120" w:right="105" w:rightChars="5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rPr>
              <w:t>开户名称</w:t>
            </w:r>
          </w:p>
        </w:tc>
        <w:tc>
          <w:tcPr>
            <w:tcW w:w="6209" w:type="dxa"/>
            <w:noWrap w:val="0"/>
            <w:vAlign w:val="top"/>
          </w:tcPr>
          <w:p>
            <w:pPr>
              <w:widowControl w:val="0"/>
              <w:spacing w:line="360" w:lineRule="auto"/>
              <w:ind w:right="105" w:rightChars="50"/>
              <w:jc w:val="both"/>
              <w:rPr>
                <w:rFonts w:hint="eastAsia" w:ascii="宋体" w:hAnsi="宋体" w:eastAsia="宋体" w:cs="宋体"/>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noWrap w:val="0"/>
            <w:vAlign w:val="top"/>
          </w:tcPr>
          <w:p>
            <w:pPr>
              <w:widowControl w:val="0"/>
              <w:spacing w:line="360" w:lineRule="auto"/>
              <w:ind w:right="105" w:rightChars="50" w:firstLine="480" w:firstLineChars="200"/>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税</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eastAsia="zh-CN"/>
              </w:rPr>
              <w:t>号</w:t>
            </w:r>
          </w:p>
        </w:tc>
        <w:tc>
          <w:tcPr>
            <w:tcW w:w="6209" w:type="dxa"/>
            <w:noWrap w:val="0"/>
            <w:vAlign w:val="top"/>
          </w:tcPr>
          <w:p>
            <w:pPr>
              <w:widowControl w:val="0"/>
              <w:spacing w:line="360" w:lineRule="auto"/>
              <w:ind w:right="105" w:rightChars="50"/>
              <w:jc w:val="both"/>
              <w:rPr>
                <w:rFonts w:hint="eastAsia" w:ascii="宋体" w:hAnsi="宋体" w:eastAsia="宋体" w:cs="宋体"/>
                <w:b w:val="0"/>
                <w:bCs/>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1" w:type="dxa"/>
            <w:noWrap w:val="0"/>
            <w:vAlign w:val="top"/>
          </w:tcPr>
          <w:p>
            <w:pPr>
              <w:widowControl w:val="0"/>
              <w:spacing w:line="360" w:lineRule="auto"/>
              <w:ind w:left="120" w:right="105" w:rightChars="5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rPr>
              <w:t>开</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户</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行</w:t>
            </w:r>
          </w:p>
        </w:tc>
        <w:tc>
          <w:tcPr>
            <w:tcW w:w="6209" w:type="dxa"/>
            <w:noWrap w:val="0"/>
            <w:vAlign w:val="top"/>
          </w:tcPr>
          <w:p>
            <w:pPr>
              <w:widowControl w:val="0"/>
              <w:overflowPunct w:val="0"/>
              <w:autoSpaceDE w:val="0"/>
              <w:autoSpaceDN w:val="0"/>
              <w:adjustRightInd w:val="0"/>
              <w:spacing w:line="360" w:lineRule="auto"/>
              <w:jc w:val="both"/>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noWrap w:val="0"/>
            <w:vAlign w:val="top"/>
          </w:tcPr>
          <w:p>
            <w:pPr>
              <w:widowControl w:val="0"/>
              <w:spacing w:line="360" w:lineRule="auto"/>
              <w:ind w:left="120" w:right="105" w:rightChars="50"/>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rPr>
              <w:t>银行账号</w:t>
            </w:r>
          </w:p>
        </w:tc>
        <w:tc>
          <w:tcPr>
            <w:tcW w:w="6209" w:type="dxa"/>
            <w:noWrap w:val="0"/>
            <w:vAlign w:val="top"/>
          </w:tcPr>
          <w:p>
            <w:pPr>
              <w:widowControl w:val="0"/>
              <w:spacing w:line="360" w:lineRule="auto"/>
              <w:ind w:right="105" w:rightChars="50"/>
              <w:jc w:val="both"/>
              <w:rPr>
                <w:rFonts w:hint="eastAsia" w:ascii="宋体" w:hAnsi="宋体" w:eastAsia="宋体" w:cs="宋体"/>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noWrap w:val="0"/>
            <w:vAlign w:val="top"/>
          </w:tcPr>
          <w:p>
            <w:pPr>
              <w:widowControl w:val="0"/>
              <w:spacing w:line="360" w:lineRule="auto"/>
              <w:ind w:left="120" w:right="105" w:rightChars="5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地址与电话号码</w:t>
            </w:r>
          </w:p>
        </w:tc>
        <w:tc>
          <w:tcPr>
            <w:tcW w:w="6209" w:type="dxa"/>
            <w:noWrap w:val="0"/>
            <w:vAlign w:val="top"/>
          </w:tcPr>
          <w:p>
            <w:pPr>
              <w:widowControl w:val="0"/>
              <w:numPr>
                <w:ilvl w:val="0"/>
                <w:numId w:val="0"/>
              </w:numPr>
              <w:jc w:val="both"/>
              <w:rPr>
                <w:rFonts w:hint="eastAsia" w:ascii="宋体" w:hAnsi="宋体" w:eastAsia="宋体" w:cs="宋体"/>
                <w:b w:val="0"/>
                <w:bCs/>
                <w:color w:val="auto"/>
                <w:sz w:val="24"/>
                <w:szCs w:val="24"/>
                <w:highlight w:val="none"/>
              </w:rPr>
            </w:pPr>
          </w:p>
        </w:tc>
      </w:tr>
    </w:tbl>
    <w:p>
      <w:pPr>
        <w:numPr>
          <w:ilvl w:val="0"/>
          <w:numId w:val="13"/>
        </w:numPr>
        <w:spacing w:line="360" w:lineRule="auto"/>
        <w:ind w:right="105" w:rightChars="50"/>
        <w:rPr>
          <w:rFonts w:hint="eastAsia" w:ascii="宋体" w:hAnsi="宋体" w:eastAsia="宋体" w:cs="宋体"/>
          <w:bCs/>
          <w:sz w:val="24"/>
        </w:rPr>
      </w:pPr>
      <w:r>
        <w:rPr>
          <w:rFonts w:hint="eastAsia" w:ascii="宋体" w:hAnsi="宋体" w:eastAsia="宋体" w:cs="宋体"/>
          <w:bCs/>
          <w:sz w:val="24"/>
        </w:rPr>
        <w:t>甲方开票信息如下：</w:t>
      </w:r>
    </w:p>
    <w:tbl>
      <w:tblPr>
        <w:tblStyle w:val="38"/>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6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noWrap w:val="0"/>
            <w:vAlign w:val="top"/>
          </w:tcPr>
          <w:p>
            <w:pPr>
              <w:widowControl w:val="0"/>
              <w:spacing w:line="360" w:lineRule="auto"/>
              <w:ind w:left="120" w:right="105" w:rightChars="50"/>
              <w:jc w:val="center"/>
              <w:rPr>
                <w:rFonts w:hint="eastAsia" w:ascii="宋体" w:hAnsi="宋体" w:eastAsia="宋体" w:cs="宋体"/>
                <w:bCs/>
                <w:color w:val="auto"/>
                <w:sz w:val="24"/>
                <w:szCs w:val="24"/>
                <w:vertAlign w:val="baseline"/>
              </w:rPr>
            </w:pPr>
            <w:r>
              <w:rPr>
                <w:rFonts w:hint="eastAsia" w:ascii="宋体" w:hAnsi="宋体" w:eastAsia="宋体" w:cs="宋体"/>
                <w:bCs/>
                <w:color w:val="auto"/>
                <w:sz w:val="24"/>
                <w:szCs w:val="24"/>
              </w:rPr>
              <w:t>开户名称</w:t>
            </w:r>
          </w:p>
        </w:tc>
        <w:tc>
          <w:tcPr>
            <w:tcW w:w="6224" w:type="dxa"/>
            <w:noWrap w:val="0"/>
            <w:vAlign w:val="top"/>
          </w:tcPr>
          <w:p>
            <w:pPr>
              <w:widowControl w:val="0"/>
              <w:spacing w:line="360" w:lineRule="auto"/>
              <w:ind w:right="105" w:rightChars="50"/>
              <w:jc w:val="both"/>
              <w:rPr>
                <w:rFonts w:hint="default" w:ascii="宋体" w:hAnsi="宋体" w:eastAsia="宋体" w:cs="宋体"/>
                <w:bCs/>
                <w:color w:val="auto"/>
                <w:sz w:val="24"/>
                <w:szCs w:val="24"/>
                <w:vertAlign w:val="baseline"/>
                <w:lang w:val="en-US" w:eastAsia="zh-CN"/>
              </w:rPr>
            </w:pPr>
            <w:r>
              <w:rPr>
                <w:rFonts w:hint="eastAsia" w:ascii="宋体" w:hAnsi="宋体" w:eastAsia="宋体" w:cs="宋体"/>
                <w:bCs/>
                <w:color w:val="auto"/>
                <w:sz w:val="24"/>
                <w:szCs w:val="24"/>
                <w:vertAlign w:val="baseline"/>
                <w:lang w:val="en-US" w:eastAsia="zh-CN"/>
              </w:rPr>
              <w:t>岳阳城陵矶新港有限公司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noWrap w:val="0"/>
            <w:vAlign w:val="top"/>
          </w:tcPr>
          <w:p>
            <w:pPr>
              <w:widowControl w:val="0"/>
              <w:spacing w:line="360" w:lineRule="auto"/>
              <w:ind w:left="120" w:right="105" w:rightChars="50"/>
              <w:jc w:val="center"/>
              <w:rPr>
                <w:rFonts w:hint="eastAsia" w:ascii="宋体" w:hAnsi="宋体" w:eastAsia="宋体" w:cs="宋体"/>
                <w:bCs/>
                <w:color w:val="auto"/>
                <w:sz w:val="24"/>
                <w:szCs w:val="24"/>
                <w:vertAlign w:val="baseline"/>
              </w:rPr>
            </w:pPr>
            <w:r>
              <w:rPr>
                <w:rFonts w:hint="eastAsia" w:ascii="宋体" w:hAnsi="宋体" w:eastAsia="宋体" w:cs="宋体"/>
                <w:bCs/>
                <w:color w:val="auto"/>
                <w:sz w:val="24"/>
                <w:szCs w:val="24"/>
              </w:rPr>
              <w:t>税</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号</w:t>
            </w:r>
          </w:p>
        </w:tc>
        <w:tc>
          <w:tcPr>
            <w:tcW w:w="6224" w:type="dxa"/>
            <w:noWrap w:val="0"/>
            <w:vAlign w:val="top"/>
          </w:tcPr>
          <w:p>
            <w:pPr>
              <w:widowControl w:val="0"/>
              <w:spacing w:line="360" w:lineRule="auto"/>
              <w:ind w:right="105" w:rightChars="50"/>
              <w:jc w:val="both"/>
              <w:rPr>
                <w:rFonts w:hint="default" w:ascii="宋体" w:hAnsi="宋体" w:eastAsia="宋体" w:cs="宋体"/>
                <w:bCs/>
                <w:color w:val="auto"/>
                <w:sz w:val="24"/>
                <w:szCs w:val="24"/>
                <w:vertAlign w:val="baseline"/>
                <w:lang w:val="en-US" w:eastAsia="zh-CN"/>
              </w:rPr>
            </w:pPr>
            <w:r>
              <w:rPr>
                <w:rFonts w:hint="eastAsia" w:ascii="宋体" w:hAnsi="宋体" w:eastAsia="宋体" w:cs="宋体"/>
                <w:bCs/>
                <w:color w:val="auto"/>
                <w:sz w:val="24"/>
                <w:szCs w:val="24"/>
                <w:vertAlign w:val="baseline"/>
                <w:lang w:val="en-US" w:eastAsia="zh-CN"/>
              </w:rPr>
              <w:t>91430600661668630D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noWrap w:val="0"/>
            <w:vAlign w:val="top"/>
          </w:tcPr>
          <w:p>
            <w:pPr>
              <w:widowControl w:val="0"/>
              <w:spacing w:line="360" w:lineRule="auto"/>
              <w:ind w:left="120" w:right="105" w:rightChars="50"/>
              <w:jc w:val="center"/>
              <w:rPr>
                <w:rFonts w:hint="eastAsia" w:ascii="宋体" w:hAnsi="宋体" w:eastAsia="宋体" w:cs="宋体"/>
                <w:bCs/>
                <w:color w:val="auto"/>
                <w:sz w:val="24"/>
                <w:szCs w:val="24"/>
                <w:vertAlign w:val="baseline"/>
              </w:rPr>
            </w:pPr>
            <w:r>
              <w:rPr>
                <w:rFonts w:hint="eastAsia" w:ascii="宋体" w:hAnsi="宋体" w:eastAsia="宋体" w:cs="宋体"/>
                <w:bCs/>
                <w:color w:val="auto"/>
                <w:sz w:val="24"/>
                <w:szCs w:val="24"/>
              </w:rPr>
              <w:t>开</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户</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行</w:t>
            </w:r>
          </w:p>
        </w:tc>
        <w:tc>
          <w:tcPr>
            <w:tcW w:w="6224" w:type="dxa"/>
            <w:noWrap w:val="0"/>
            <w:vAlign w:val="top"/>
          </w:tcPr>
          <w:p>
            <w:pPr>
              <w:widowControl w:val="0"/>
              <w:spacing w:line="360" w:lineRule="auto"/>
              <w:ind w:right="105" w:rightChars="50"/>
              <w:jc w:val="both"/>
              <w:rPr>
                <w:rFonts w:hint="default" w:ascii="宋体" w:hAnsi="宋体" w:eastAsia="宋体" w:cs="宋体"/>
                <w:bCs/>
                <w:color w:val="auto"/>
                <w:sz w:val="24"/>
                <w:szCs w:val="24"/>
                <w:vertAlign w:val="baseline"/>
                <w:lang w:val="en-US" w:eastAsia="zh-CN"/>
              </w:rPr>
            </w:pPr>
            <w:r>
              <w:rPr>
                <w:rFonts w:hint="eastAsia" w:ascii="宋体" w:hAnsi="宋体" w:eastAsia="宋体" w:cs="宋体"/>
                <w:bCs/>
                <w:color w:val="auto"/>
                <w:sz w:val="24"/>
                <w:szCs w:val="24"/>
                <w:vertAlign w:val="baseline"/>
                <w:lang w:val="en-US" w:eastAsia="zh-CN"/>
              </w:rPr>
              <w:t>交通银行云溪支行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noWrap w:val="0"/>
            <w:vAlign w:val="top"/>
          </w:tcPr>
          <w:p>
            <w:pPr>
              <w:widowControl w:val="0"/>
              <w:spacing w:line="360" w:lineRule="auto"/>
              <w:ind w:left="120" w:right="105" w:rightChars="50"/>
              <w:jc w:val="center"/>
              <w:rPr>
                <w:rFonts w:hint="eastAsia" w:ascii="宋体" w:hAnsi="宋体" w:eastAsia="宋体" w:cs="宋体"/>
                <w:bCs/>
                <w:color w:val="auto"/>
                <w:sz w:val="24"/>
                <w:szCs w:val="24"/>
                <w:vertAlign w:val="baseline"/>
              </w:rPr>
            </w:pPr>
            <w:r>
              <w:rPr>
                <w:rFonts w:hint="eastAsia" w:ascii="宋体" w:hAnsi="宋体" w:eastAsia="宋体" w:cs="宋体"/>
                <w:bCs/>
                <w:color w:val="auto"/>
                <w:sz w:val="24"/>
                <w:szCs w:val="24"/>
              </w:rPr>
              <w:t>银行账号</w:t>
            </w:r>
          </w:p>
        </w:tc>
        <w:tc>
          <w:tcPr>
            <w:tcW w:w="6224" w:type="dxa"/>
            <w:noWrap w:val="0"/>
            <w:vAlign w:val="top"/>
          </w:tcPr>
          <w:p>
            <w:pPr>
              <w:widowControl w:val="0"/>
              <w:spacing w:line="360" w:lineRule="auto"/>
              <w:ind w:right="105" w:rightChars="50"/>
              <w:jc w:val="both"/>
              <w:rPr>
                <w:rFonts w:hint="default" w:ascii="宋体" w:hAnsi="宋体" w:eastAsia="宋体" w:cs="宋体"/>
                <w:bCs/>
                <w:color w:val="auto"/>
                <w:sz w:val="24"/>
                <w:szCs w:val="24"/>
                <w:vertAlign w:val="baseline"/>
                <w:lang w:val="en-US" w:eastAsia="zh-CN"/>
              </w:rPr>
            </w:pPr>
            <w:r>
              <w:rPr>
                <w:rFonts w:hint="eastAsia" w:ascii="宋体" w:hAnsi="宋体" w:eastAsia="宋体" w:cs="宋体"/>
                <w:bCs/>
                <w:color w:val="auto"/>
                <w:sz w:val="24"/>
                <w:szCs w:val="24"/>
                <w:vertAlign w:val="baseline"/>
                <w:lang w:val="en-US" w:eastAsia="zh-CN"/>
              </w:rPr>
              <w:t>436600720018010006451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noWrap w:val="0"/>
            <w:vAlign w:val="top"/>
          </w:tcPr>
          <w:p>
            <w:pPr>
              <w:widowControl w:val="0"/>
              <w:spacing w:line="360" w:lineRule="auto"/>
              <w:ind w:left="120" w:right="105" w:rightChars="50"/>
              <w:jc w:val="center"/>
              <w:rPr>
                <w:rFonts w:hint="eastAsia" w:ascii="宋体" w:hAnsi="宋体" w:eastAsia="宋体" w:cs="宋体"/>
                <w:bCs/>
                <w:color w:val="auto"/>
                <w:sz w:val="24"/>
                <w:szCs w:val="24"/>
                <w:vertAlign w:val="baseline"/>
              </w:rPr>
            </w:pPr>
            <w:r>
              <w:rPr>
                <w:rFonts w:hint="eastAsia" w:ascii="宋体" w:hAnsi="宋体" w:eastAsia="宋体" w:cs="宋体"/>
                <w:bCs/>
                <w:color w:val="auto"/>
                <w:sz w:val="24"/>
                <w:szCs w:val="24"/>
              </w:rPr>
              <w:t>地址与电话号码</w:t>
            </w:r>
          </w:p>
        </w:tc>
        <w:tc>
          <w:tcPr>
            <w:tcW w:w="6224" w:type="dxa"/>
            <w:noWrap w:val="0"/>
            <w:vAlign w:val="top"/>
          </w:tcPr>
          <w:p>
            <w:pPr>
              <w:widowControl w:val="0"/>
              <w:spacing w:line="360" w:lineRule="auto"/>
              <w:ind w:right="105" w:rightChars="50"/>
              <w:jc w:val="both"/>
              <w:rPr>
                <w:rFonts w:hint="default" w:ascii="宋体" w:hAnsi="宋体" w:eastAsia="宋体" w:cs="宋体"/>
                <w:bCs/>
                <w:color w:val="auto"/>
                <w:sz w:val="24"/>
                <w:szCs w:val="24"/>
                <w:vertAlign w:val="baseline"/>
                <w:lang w:val="en-US" w:eastAsia="zh-CN"/>
              </w:rPr>
            </w:pPr>
            <w:r>
              <w:rPr>
                <w:rFonts w:hint="eastAsia" w:ascii="宋体" w:hAnsi="宋体" w:eastAsia="宋体" w:cs="宋体"/>
                <w:bCs/>
                <w:color w:val="auto"/>
                <w:sz w:val="24"/>
                <w:szCs w:val="24"/>
                <w:vertAlign w:val="baseline"/>
                <w:lang w:val="en-US" w:eastAsia="zh-CN"/>
              </w:rPr>
              <w:t>岳阳市城陵矶临港新区新港办公楼0730-8422012</w:t>
            </w:r>
          </w:p>
        </w:tc>
      </w:tr>
    </w:tbl>
    <w:p>
      <w:pPr>
        <w:spacing w:line="400" w:lineRule="exact"/>
        <w:jc w:val="left"/>
        <w:rPr>
          <w:rFonts w:hint="eastAsia" w:ascii="宋体" w:hAnsi="宋体" w:eastAsia="宋体" w:cs="宋体"/>
          <w:color w:val="auto"/>
          <w:sz w:val="24"/>
          <w:szCs w:val="24"/>
        </w:rPr>
      </w:pPr>
      <w:bookmarkStart w:id="4" w:name="fl06违约责任"/>
      <w:bookmarkStart w:id="5" w:name="sw06违约责任"/>
      <w:bookmarkStart w:id="6" w:name="js12违约责任"/>
      <w:r>
        <w:rPr>
          <w:rFonts w:hint="eastAsia" w:ascii="宋体" w:hAnsi="宋体" w:eastAsia="宋体" w:cs="宋体"/>
          <w:b/>
          <w:color w:val="auto"/>
          <w:sz w:val="24"/>
          <w:szCs w:val="24"/>
          <w:lang w:eastAsia="zh-CN"/>
        </w:rPr>
        <w:t>九、</w:t>
      </w:r>
      <w:r>
        <w:rPr>
          <w:rFonts w:hint="eastAsia" w:ascii="宋体" w:hAnsi="宋体" w:eastAsia="宋体" w:cs="宋体"/>
          <w:b/>
          <w:color w:val="auto"/>
          <w:sz w:val="24"/>
          <w:szCs w:val="24"/>
        </w:rPr>
        <w:t>违约责任:</w:t>
      </w:r>
    </w:p>
    <w:p>
      <w:pPr>
        <w:numPr>
          <w:ilvl w:val="0"/>
          <w:numId w:val="14"/>
        </w:numPr>
        <w:spacing w:line="360" w:lineRule="auto"/>
        <w:ind w:right="105" w:rightChars="5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甲乙双方不能按照合同约定的条款执行时，违约方应承担违约责任并赔偿因此造成的损失；</w:t>
      </w:r>
    </w:p>
    <w:p>
      <w:pPr>
        <w:numPr>
          <w:ilvl w:val="0"/>
          <w:numId w:val="14"/>
        </w:numPr>
        <w:spacing w:line="360" w:lineRule="auto"/>
        <w:ind w:right="105" w:rightChars="50"/>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rPr>
        <w:t>本合同签订后，除不可抗力外，双方务必严格遵守，全面履行，不得单方任意变更；</w:t>
      </w:r>
    </w:p>
    <w:p>
      <w:pPr>
        <w:numPr>
          <w:ilvl w:val="0"/>
          <w:numId w:val="14"/>
        </w:numPr>
        <w:spacing w:line="360" w:lineRule="auto"/>
        <w:ind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本合同签订后，由于甲方系统设备质量或历史安装问题所造成的事故责任由甲方承担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但因乙方在维保期内未及时发现相关缺陷的除外；</w:t>
      </w:r>
    </w:p>
    <w:p>
      <w:pPr>
        <w:numPr>
          <w:ilvl w:val="0"/>
          <w:numId w:val="14"/>
        </w:numPr>
        <w:spacing w:line="360" w:lineRule="auto"/>
        <w:ind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在维保期间，乙方提出了消缺整改措施，由于甲方原因未及时整改或未整改到位，导致消防系统不能正常运行造成损失，乙方不承担责任；</w:t>
      </w:r>
    </w:p>
    <w:p>
      <w:pPr>
        <w:numPr>
          <w:ilvl w:val="0"/>
          <w:numId w:val="14"/>
        </w:numPr>
        <w:spacing w:line="360" w:lineRule="auto"/>
        <w:ind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在维保期间，甲方进行二次装修，装修前应</w:t>
      </w:r>
      <w:r>
        <w:rPr>
          <w:rFonts w:hint="eastAsia" w:ascii="宋体" w:hAnsi="宋体" w:eastAsia="宋体" w:cs="宋体"/>
          <w:color w:val="auto"/>
          <w:sz w:val="24"/>
          <w:szCs w:val="24"/>
          <w:lang w:val="en-US" w:eastAsia="zh-CN"/>
        </w:rPr>
        <w:t>书面</w:t>
      </w:r>
      <w:r>
        <w:rPr>
          <w:rFonts w:hint="eastAsia" w:ascii="宋体" w:hAnsi="宋体" w:eastAsia="宋体" w:cs="宋体"/>
          <w:color w:val="auto"/>
          <w:sz w:val="24"/>
          <w:szCs w:val="24"/>
        </w:rPr>
        <w:t>告知乙方，并对消防系统正常性进行</w:t>
      </w:r>
      <w:r>
        <w:rPr>
          <w:rFonts w:hint="eastAsia" w:ascii="宋体" w:hAnsi="宋体" w:eastAsia="宋体" w:cs="宋体"/>
          <w:color w:val="auto"/>
          <w:sz w:val="24"/>
          <w:szCs w:val="24"/>
          <w:lang w:val="en-US" w:eastAsia="zh-CN"/>
        </w:rPr>
        <w:t>三方（甲方、乙方、施工方）</w:t>
      </w:r>
      <w:r>
        <w:rPr>
          <w:rFonts w:hint="eastAsia" w:ascii="宋体" w:hAnsi="宋体" w:eastAsia="宋体" w:cs="宋体"/>
          <w:color w:val="auto"/>
          <w:sz w:val="24"/>
          <w:szCs w:val="24"/>
        </w:rPr>
        <w:t>现场签字确认，装修后对消防系统正常性进行交接</w:t>
      </w:r>
      <w:r>
        <w:rPr>
          <w:rFonts w:hint="eastAsia" w:ascii="宋体" w:hAnsi="宋体" w:eastAsia="宋体" w:cs="宋体"/>
          <w:color w:val="auto"/>
          <w:sz w:val="24"/>
          <w:szCs w:val="24"/>
          <w:lang w:val="en-US" w:eastAsia="zh-CN"/>
        </w:rPr>
        <w:t>三方（甲方、乙方、施工方）</w:t>
      </w:r>
      <w:r>
        <w:rPr>
          <w:rFonts w:hint="eastAsia" w:ascii="宋体" w:hAnsi="宋体" w:eastAsia="宋体" w:cs="宋体"/>
          <w:color w:val="auto"/>
          <w:sz w:val="24"/>
          <w:szCs w:val="24"/>
        </w:rPr>
        <w:t>签字确认</w:t>
      </w:r>
      <w:r>
        <w:rPr>
          <w:rFonts w:hint="eastAsia" w:ascii="宋体" w:hAnsi="宋体" w:eastAsia="宋体" w:cs="宋体"/>
          <w:color w:val="auto"/>
          <w:sz w:val="24"/>
          <w:szCs w:val="24"/>
          <w:lang w:eastAsia="zh-CN"/>
        </w:rPr>
        <w:t>；</w:t>
      </w:r>
    </w:p>
    <w:p>
      <w:pPr>
        <w:numPr>
          <w:ilvl w:val="0"/>
          <w:numId w:val="14"/>
        </w:numPr>
        <w:spacing w:line="360" w:lineRule="auto"/>
        <w:ind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在维保期间，若装修期间</w:t>
      </w:r>
      <w:r>
        <w:rPr>
          <w:rFonts w:hint="eastAsia" w:ascii="宋体" w:hAnsi="宋体" w:eastAsia="宋体" w:cs="宋体"/>
          <w:color w:val="auto"/>
          <w:sz w:val="24"/>
          <w:szCs w:val="24"/>
          <w:lang w:val="en-US" w:eastAsia="zh-CN"/>
        </w:rPr>
        <w:t>未按乙方提出的建议</w:t>
      </w:r>
      <w:r>
        <w:rPr>
          <w:rFonts w:hint="eastAsia" w:ascii="宋体" w:hAnsi="宋体" w:eastAsia="宋体" w:cs="宋体"/>
          <w:color w:val="auto"/>
          <w:sz w:val="24"/>
          <w:szCs w:val="24"/>
        </w:rPr>
        <w:t>采取相适应消防应急预案措施，或因二次装修擅自拆除、封堵、变更、移动等导致维保范围内消防设施设备不能处于正常工作状态所造成的损失，乙方不承担责任。</w:t>
      </w:r>
    </w:p>
    <w:p>
      <w:pPr>
        <w:numPr>
          <w:ilvl w:val="0"/>
          <w:numId w:val="14"/>
        </w:numPr>
        <w:spacing w:line="360" w:lineRule="auto"/>
        <w:ind w:right="105" w:rightChars="5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在维保期内，乙方未及时发现甲方相关设备、安装或装修、二次装修中存在的消防缺陷（瑕疵）导致发生损失的，由乙方承担全部赔偿责任；因前述原因造成甲方被行政机关处罚的，乙方应支付违约金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元并承担相应的费用。</w:t>
      </w:r>
    </w:p>
    <w:p>
      <w:pPr>
        <w:numPr>
          <w:ilvl w:val="0"/>
          <w:numId w:val="14"/>
        </w:numPr>
        <w:spacing w:line="360" w:lineRule="auto"/>
        <w:ind w:right="105" w:rightChars="5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乙方逾期提供建筑消防设施检测报告、消防安全评估报告及逾期完成消防系统维护保养并出具消防设施维护保养报告的，每逾期一日需支付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元的违约金；逾期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日的，甲方有权单方解除本协议，且不予支付相应款项，同时乙方应另行支付违约金</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元。</w:t>
      </w:r>
    </w:p>
    <w:p>
      <w:pPr>
        <w:numPr>
          <w:ilvl w:val="0"/>
          <w:numId w:val="14"/>
        </w:numPr>
        <w:spacing w:line="360" w:lineRule="auto"/>
        <w:ind w:right="105" w:rightChars="5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乙方违约的，还应承担甲方为维权所支出的合理费用，包含但不限于诉讼费、律师费、保全费、保全保全费、鉴定费、 公告费等。</w:t>
      </w:r>
    </w:p>
    <w:bookmarkEnd w:id="4"/>
    <w:bookmarkEnd w:id="5"/>
    <w:bookmarkEnd w:id="6"/>
    <w:p>
      <w:pPr>
        <w:tabs>
          <w:tab w:val="left" w:pos="0"/>
        </w:tabs>
        <w:spacing w:line="400" w:lineRule="exact"/>
        <w:rPr>
          <w:rFonts w:hint="eastAsia" w:ascii="宋体" w:hAnsi="宋体" w:eastAsia="宋体" w:cs="宋体"/>
          <w:snapToGrid w:val="0"/>
          <w:color w:val="auto"/>
          <w:kern w:val="0"/>
          <w:sz w:val="24"/>
        </w:rPr>
      </w:pPr>
      <w:r>
        <w:rPr>
          <w:rFonts w:hint="eastAsia" w:ascii="宋体" w:hAnsi="宋体" w:eastAsia="宋体" w:cs="宋体"/>
          <w:b/>
          <w:snapToGrid w:val="0"/>
          <w:color w:val="auto"/>
          <w:kern w:val="0"/>
          <w:sz w:val="24"/>
          <w:lang w:eastAsia="zh-CN"/>
        </w:rPr>
        <w:t>十、</w:t>
      </w:r>
      <w:r>
        <w:rPr>
          <w:rFonts w:hint="eastAsia" w:ascii="宋体" w:hAnsi="宋体" w:eastAsia="宋体" w:cs="宋体"/>
          <w:b/>
          <w:snapToGrid w:val="0"/>
          <w:color w:val="auto"/>
          <w:kern w:val="0"/>
          <w:sz w:val="24"/>
        </w:rPr>
        <w:t>合同的生效及其他事宜</w:t>
      </w:r>
    </w:p>
    <w:p>
      <w:pPr>
        <w:numPr>
          <w:ilvl w:val="0"/>
          <w:numId w:val="15"/>
        </w:numPr>
        <w:spacing w:line="360" w:lineRule="auto"/>
        <w:ind w:right="105" w:rightChars="50"/>
        <w:rPr>
          <w:rFonts w:hint="eastAsia" w:ascii="宋体" w:hAnsi="宋体" w:eastAsia="宋体" w:cs="宋体"/>
          <w:color w:val="auto"/>
          <w:sz w:val="24"/>
        </w:rPr>
      </w:pPr>
      <w:r>
        <w:rPr>
          <w:rFonts w:hint="eastAsia" w:ascii="宋体" w:hAnsi="宋体" w:eastAsia="宋体" w:cs="宋体"/>
          <w:color w:val="auto"/>
          <w:sz w:val="24"/>
        </w:rPr>
        <w:t>本合同双方签字盖章，于签字盖章之日起生效。</w:t>
      </w:r>
    </w:p>
    <w:p>
      <w:pPr>
        <w:numPr>
          <w:ilvl w:val="0"/>
          <w:numId w:val="15"/>
        </w:numPr>
        <w:spacing w:line="360" w:lineRule="auto"/>
        <w:ind w:right="105" w:rightChars="50"/>
        <w:rPr>
          <w:rFonts w:hint="eastAsia" w:ascii="宋体" w:hAnsi="宋体" w:eastAsia="宋体" w:cs="宋体"/>
          <w:color w:val="auto"/>
          <w:sz w:val="24"/>
        </w:rPr>
      </w:pPr>
      <w:r>
        <w:rPr>
          <w:rFonts w:hint="eastAsia" w:ascii="宋体" w:hAnsi="宋体" w:eastAsia="宋体" w:cs="宋体"/>
          <w:snapToGrid w:val="0"/>
          <w:color w:val="auto"/>
          <w:kern w:val="0"/>
          <w:sz w:val="24"/>
        </w:rPr>
        <w:t>本合同未尽事宜，双方应友好协商解决，并可签署补充协议予以明确；</w:t>
      </w:r>
      <w:r>
        <w:rPr>
          <w:rFonts w:hint="eastAsia" w:ascii="宋体" w:hAnsi="宋体" w:eastAsia="宋体" w:cs="宋体"/>
          <w:color w:val="auto"/>
          <w:sz w:val="24"/>
        </w:rPr>
        <w:t>补</w:t>
      </w:r>
    </w:p>
    <w:p>
      <w:pPr>
        <w:spacing w:line="360" w:lineRule="auto"/>
        <w:ind w:left="120" w:right="105" w:rightChars="50"/>
        <w:rPr>
          <w:rFonts w:hint="default" w:ascii="宋体" w:hAnsi="宋体" w:eastAsia="宋体" w:cs="宋体"/>
          <w:color w:val="auto"/>
          <w:sz w:val="24"/>
          <w:lang w:val="en-US" w:eastAsia="zh-CN"/>
        </w:rPr>
      </w:pPr>
      <w:r>
        <w:rPr>
          <w:rFonts w:hint="eastAsia" w:ascii="宋体" w:hAnsi="宋体" w:eastAsia="宋体" w:cs="宋体"/>
          <w:color w:val="auto"/>
          <w:sz w:val="24"/>
        </w:rPr>
        <w:t>充协议是本合同组成部分，与本合同具有同等法律效力。</w:t>
      </w:r>
      <w:r>
        <w:rPr>
          <w:rFonts w:hint="eastAsia" w:ascii="宋体" w:hAnsi="宋体" w:eastAsia="宋体" w:cs="宋体"/>
          <w:snapToGrid w:val="0"/>
          <w:color w:val="auto"/>
          <w:kern w:val="0"/>
          <w:sz w:val="24"/>
          <w:lang w:val="en-US" w:eastAsia="zh-CN"/>
        </w:rPr>
        <w:t>协商、调解不成的，依法向甲方所在地人民法院起诉。</w:t>
      </w:r>
    </w:p>
    <w:p>
      <w:pPr>
        <w:numPr>
          <w:ilvl w:val="0"/>
          <w:numId w:val="15"/>
        </w:numPr>
        <w:spacing w:line="360" w:lineRule="auto"/>
        <w:ind w:right="105" w:rightChars="50"/>
        <w:rPr>
          <w:rFonts w:hint="eastAsia" w:ascii="宋体" w:hAnsi="宋体" w:eastAsia="宋体" w:cs="宋体"/>
          <w:color w:val="000000"/>
          <w:kern w:val="0"/>
          <w:sz w:val="24"/>
        </w:rPr>
      </w:pPr>
      <w:r>
        <w:rPr>
          <w:rFonts w:hint="eastAsia" w:ascii="宋体" w:hAnsi="宋体" w:eastAsia="宋体" w:cs="宋体"/>
          <w:sz w:val="24"/>
        </w:rPr>
        <w:t>本合同一式</w:t>
      </w:r>
      <w:r>
        <w:rPr>
          <w:rFonts w:hint="eastAsia" w:ascii="宋体" w:hAnsi="宋体" w:eastAsia="宋体" w:cs="宋体"/>
          <w:sz w:val="24"/>
          <w:u w:val="single"/>
        </w:rPr>
        <w:t xml:space="preserve"> </w:t>
      </w:r>
      <w:r>
        <w:rPr>
          <w:rFonts w:hint="eastAsia" w:ascii="宋体" w:hAnsi="宋体" w:eastAsia="宋体" w:cs="宋体"/>
          <w:sz w:val="24"/>
          <w:u w:val="single"/>
          <w:lang w:eastAsia="zh-CN"/>
        </w:rPr>
        <w:t>贰</w:t>
      </w:r>
      <w:r>
        <w:rPr>
          <w:rFonts w:hint="eastAsia" w:ascii="宋体" w:hAnsi="宋体" w:eastAsia="宋体" w:cs="宋体"/>
          <w:sz w:val="24"/>
          <w:u w:val="single"/>
        </w:rPr>
        <w:t xml:space="preserve"> </w:t>
      </w:r>
      <w:r>
        <w:rPr>
          <w:rFonts w:hint="eastAsia" w:ascii="宋体" w:hAnsi="宋体" w:eastAsia="宋体" w:cs="宋体"/>
          <w:sz w:val="24"/>
        </w:rPr>
        <w:t>份，甲、乙双方各执</w:t>
      </w:r>
      <w:r>
        <w:rPr>
          <w:rFonts w:hint="eastAsia" w:ascii="宋体" w:hAnsi="宋体" w:eastAsia="宋体" w:cs="宋体"/>
          <w:sz w:val="24"/>
          <w:u w:val="single"/>
        </w:rPr>
        <w:t xml:space="preserve"> </w:t>
      </w:r>
      <w:r>
        <w:rPr>
          <w:rFonts w:hint="eastAsia" w:ascii="宋体" w:hAnsi="宋体" w:eastAsia="宋体" w:cs="宋体"/>
          <w:sz w:val="24"/>
          <w:u w:val="single"/>
          <w:lang w:eastAsia="zh-CN"/>
        </w:rPr>
        <w:t>壹</w:t>
      </w:r>
      <w:r>
        <w:rPr>
          <w:rFonts w:hint="eastAsia" w:ascii="宋体" w:hAnsi="宋体" w:eastAsia="宋体" w:cs="宋体"/>
          <w:sz w:val="24"/>
          <w:u w:val="single"/>
        </w:rPr>
        <w:t xml:space="preserve"> </w:t>
      </w:r>
      <w:r>
        <w:rPr>
          <w:rFonts w:hint="eastAsia" w:ascii="宋体" w:hAnsi="宋体" w:eastAsia="宋体" w:cs="宋体"/>
          <w:sz w:val="24"/>
        </w:rPr>
        <w:t>份。</w:t>
      </w:r>
    </w:p>
    <w:p>
      <w:pPr>
        <w:widowControl w:val="0"/>
        <w:numPr>
          <w:ilvl w:val="0"/>
          <w:numId w:val="0"/>
        </w:numPr>
        <w:spacing w:line="360" w:lineRule="auto"/>
        <w:ind w:right="105" w:rightChars="50"/>
        <w:jc w:val="both"/>
        <w:rPr>
          <w:rFonts w:hint="eastAsia" w:ascii="宋体" w:hAnsi="宋体" w:eastAsia="宋体" w:cs="宋体"/>
          <w:sz w:val="24"/>
          <w:lang w:val="en-US" w:eastAsia="zh-CN"/>
        </w:rPr>
      </w:pPr>
    </w:p>
    <w:p>
      <w:pPr>
        <w:widowControl w:val="0"/>
        <w:numPr>
          <w:ilvl w:val="0"/>
          <w:numId w:val="0"/>
        </w:numPr>
        <w:spacing w:line="360" w:lineRule="auto"/>
        <w:ind w:right="105" w:rightChars="50"/>
        <w:jc w:val="both"/>
        <w:rPr>
          <w:rFonts w:hint="eastAsia" w:ascii="宋体" w:hAnsi="宋体" w:eastAsia="宋体" w:cs="宋体"/>
          <w:sz w:val="24"/>
          <w:lang w:val="en-US" w:eastAsia="zh-CN"/>
        </w:rPr>
      </w:pPr>
    </w:p>
    <w:p>
      <w:pPr>
        <w:widowControl w:val="0"/>
        <w:numPr>
          <w:ilvl w:val="0"/>
          <w:numId w:val="0"/>
        </w:numPr>
        <w:spacing w:line="360" w:lineRule="auto"/>
        <w:ind w:right="105" w:rightChars="50"/>
        <w:jc w:val="both"/>
        <w:rPr>
          <w:rFonts w:hint="eastAsia" w:ascii="宋体" w:hAnsi="宋体" w:eastAsia="宋体" w:cs="宋体"/>
          <w:sz w:val="24"/>
          <w:lang w:val="en-US" w:eastAsia="zh-CN"/>
        </w:rPr>
      </w:pPr>
      <w:r>
        <w:rPr>
          <w:rFonts w:hint="eastAsia" w:ascii="宋体" w:hAnsi="宋体" w:eastAsia="宋体" w:cs="宋体"/>
          <w:sz w:val="24"/>
          <w:lang w:val="en-US" w:eastAsia="zh-CN"/>
        </w:rPr>
        <w:t>甲      方：                           乙     方：</w:t>
      </w:r>
    </w:p>
    <w:p>
      <w:pPr>
        <w:widowControl w:val="0"/>
        <w:numPr>
          <w:ilvl w:val="0"/>
          <w:numId w:val="0"/>
        </w:numPr>
        <w:spacing w:line="360" w:lineRule="auto"/>
        <w:ind w:right="105" w:rightChars="50"/>
        <w:jc w:val="both"/>
        <w:rPr>
          <w:rFonts w:hint="eastAsia" w:ascii="宋体" w:hAnsi="宋体" w:eastAsia="宋体" w:cs="宋体"/>
          <w:sz w:val="24"/>
          <w:lang w:val="en-US" w:eastAsia="zh-CN"/>
        </w:rPr>
      </w:pPr>
      <w:r>
        <w:rPr>
          <w:rFonts w:hint="eastAsia" w:ascii="宋体" w:hAnsi="宋体" w:eastAsia="宋体" w:cs="宋体"/>
          <w:sz w:val="24"/>
          <w:lang w:val="en-US" w:eastAsia="zh-CN"/>
        </w:rPr>
        <w:t>法定代表人：                           法定代表人：</w:t>
      </w:r>
    </w:p>
    <w:p>
      <w:pPr>
        <w:widowControl w:val="0"/>
        <w:numPr>
          <w:ilvl w:val="0"/>
          <w:numId w:val="0"/>
        </w:numPr>
        <w:spacing w:line="360" w:lineRule="auto"/>
        <w:ind w:right="105" w:rightChars="50"/>
        <w:jc w:val="both"/>
        <w:rPr>
          <w:rFonts w:hint="default" w:ascii="宋体" w:hAnsi="宋体" w:eastAsia="宋体" w:cs="宋体"/>
          <w:sz w:val="24"/>
          <w:lang w:val="en-US" w:eastAsia="zh-CN"/>
        </w:rPr>
      </w:pPr>
      <w:r>
        <w:rPr>
          <w:rFonts w:hint="eastAsia" w:ascii="宋体" w:hAnsi="宋体" w:eastAsia="宋体" w:cs="宋体"/>
          <w:sz w:val="24"/>
          <w:lang w:val="en-US" w:eastAsia="zh-CN"/>
        </w:rPr>
        <w:t>日      期：                           日      期：</w:t>
      </w:r>
    </w:p>
    <w:p>
      <w:pPr>
        <w:numPr>
          <w:ilvl w:val="0"/>
          <w:numId w:val="0"/>
        </w:numPr>
        <w:tabs>
          <w:tab w:val="left" w:pos="0"/>
        </w:tabs>
        <w:spacing w:line="400" w:lineRule="exact"/>
        <w:rPr>
          <w:rFonts w:hint="eastAsia" w:ascii="宋体" w:hAnsi="宋体" w:eastAsia="宋体" w:cs="宋体"/>
          <w:lang w:val="en-US" w:eastAsia="zh-CN"/>
        </w:rPr>
      </w:pPr>
    </w:p>
    <w:p>
      <w:pPr>
        <w:numPr>
          <w:ilvl w:val="0"/>
          <w:numId w:val="0"/>
        </w:numPr>
        <w:tabs>
          <w:tab w:val="left" w:pos="0"/>
        </w:tabs>
        <w:spacing w:line="400" w:lineRule="exact"/>
        <w:rPr>
          <w:rFonts w:hint="eastAsia" w:ascii="宋体" w:hAnsi="宋体" w:eastAsia="宋体" w:cs="宋体"/>
          <w:lang w:val="en-US" w:eastAsia="zh-CN"/>
        </w:rPr>
      </w:pPr>
    </w:p>
    <w:p>
      <w:pPr>
        <w:numPr>
          <w:ilvl w:val="0"/>
          <w:numId w:val="0"/>
        </w:numPr>
        <w:tabs>
          <w:tab w:val="left" w:pos="0"/>
        </w:tabs>
        <w:spacing w:line="400" w:lineRule="exact"/>
        <w:rPr>
          <w:rFonts w:hint="eastAsia" w:ascii="宋体" w:hAnsi="宋体" w:eastAsia="宋体" w:cs="宋体"/>
          <w:lang w:val="en-US" w:eastAsia="zh-CN"/>
        </w:rPr>
      </w:pPr>
    </w:p>
    <w:p>
      <w:pPr>
        <w:spacing w:line="240" w:lineRule="auto"/>
        <w:ind w:firstLine="0"/>
        <w:jc w:val="center"/>
        <w:rPr>
          <w:rFonts w:hint="eastAsia" w:ascii="宋体" w:hAnsi="宋体" w:eastAsia="宋体" w:cs="宋体"/>
          <w:b/>
          <w:color w:val="auto"/>
          <w:sz w:val="40"/>
          <w:szCs w:val="40"/>
          <w:lang w:val="en-US" w:eastAsia="zh-CN"/>
        </w:rPr>
      </w:pPr>
      <w:r>
        <w:rPr>
          <w:rFonts w:hint="eastAsia" w:ascii="宋体" w:hAnsi="宋体" w:eastAsia="宋体" w:cs="宋体"/>
          <w:b/>
          <w:color w:val="auto"/>
          <w:sz w:val="40"/>
          <w:szCs w:val="40"/>
          <w:lang w:val="en-US" w:eastAsia="zh-CN"/>
        </w:rPr>
        <w:t>第二部分 安全协议</w:t>
      </w:r>
    </w:p>
    <w:p>
      <w:pPr>
        <w:numPr>
          <w:ilvl w:val="0"/>
          <w:numId w:val="0"/>
        </w:numPr>
        <w:rPr>
          <w:rFonts w:hint="eastAsia"/>
          <w:sz w:val="11"/>
          <w:szCs w:val="15"/>
          <w:lang w:val="en-US"/>
        </w:rPr>
      </w:pPr>
    </w:p>
    <w:p>
      <w:pPr>
        <w:numPr>
          <w:ilvl w:val="0"/>
          <w:numId w:val="0"/>
        </w:numPr>
        <w:spacing w:line="360" w:lineRule="auto"/>
        <w:ind w:left="0" w:leftChars="0" w:right="105"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为了切实做好安全生产工作，依据《中华人民共和国安全生产法》、《中华人民共和国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》以及国家有关安全生产管理的法律、法规、标准，按照“安全第一、预防为主、综合治理”的原则，明确甲乙双方责任，就甲乙双方在本项目中的安全生产事项，经协商一致，签订本</w:t>
      </w:r>
      <w:r>
        <w:rPr>
          <w:rFonts w:hint="eastAsia" w:ascii="宋体" w:hAnsi="宋体" w:eastAsia="宋体" w:cs="宋体"/>
          <w:color w:val="auto"/>
          <w:sz w:val="24"/>
          <w:szCs w:val="24"/>
          <w:lang w:eastAsia="zh-CN"/>
        </w:rPr>
        <w:t>协议</w:t>
      </w:r>
      <w:r>
        <w:rPr>
          <w:rFonts w:hint="eastAsia" w:ascii="宋体" w:hAnsi="宋体" w:eastAsia="宋体" w:cs="宋体"/>
          <w:color w:val="auto"/>
          <w:sz w:val="24"/>
          <w:szCs w:val="24"/>
        </w:rPr>
        <w:t>。</w:t>
      </w:r>
    </w:p>
    <w:p>
      <w:pPr>
        <w:numPr>
          <w:ilvl w:val="0"/>
          <w:numId w:val="0"/>
        </w:numPr>
        <w:spacing w:line="360" w:lineRule="auto"/>
        <w:ind w:left="0" w:leftChars="0" w:right="105" w:rightChars="5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第一条：</w:t>
      </w:r>
    </w:p>
    <w:p>
      <w:pPr>
        <w:numPr>
          <w:ilvl w:val="0"/>
          <w:numId w:val="0"/>
        </w:numPr>
        <w:spacing w:line="360" w:lineRule="auto"/>
        <w:ind w:left="0" w:leftChars="0" w:right="105" w:rightChars="50"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：岳阳城陵矶新港有限公司</w:t>
      </w:r>
      <w:r>
        <w:rPr>
          <w:rFonts w:hint="eastAsia" w:ascii="宋体" w:hAnsi="宋体" w:eastAsia="宋体" w:cs="宋体"/>
          <w:color w:val="auto"/>
          <w:sz w:val="24"/>
          <w:szCs w:val="24"/>
          <w:lang w:val="en-US" w:eastAsia="zh-CN"/>
        </w:rPr>
        <w:t>消防维保检测评估服务项目</w:t>
      </w:r>
    </w:p>
    <w:p>
      <w:pPr>
        <w:numPr>
          <w:ilvl w:val="0"/>
          <w:numId w:val="0"/>
        </w:numPr>
        <w:spacing w:line="360" w:lineRule="auto"/>
        <w:ind w:left="0" w:leftChars="0" w:right="105" w:rightChars="5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第二条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w:t>
      </w:r>
      <w:r>
        <w:rPr>
          <w:rFonts w:hint="eastAsia" w:ascii="宋体" w:hAnsi="宋体" w:eastAsia="宋体" w:cs="宋体"/>
          <w:color w:val="auto"/>
          <w:sz w:val="24"/>
          <w:szCs w:val="24"/>
          <w:lang w:eastAsia="zh-CN"/>
        </w:rPr>
        <w:t>协议</w:t>
      </w:r>
      <w:r>
        <w:rPr>
          <w:rFonts w:hint="eastAsia" w:ascii="宋体" w:hAnsi="宋体" w:eastAsia="宋体" w:cs="宋体"/>
          <w:color w:val="auto"/>
          <w:sz w:val="24"/>
          <w:szCs w:val="24"/>
        </w:rPr>
        <w:t>内容只涉及甲乙双方在本项目中关于安全生产的权利和责任。</w:t>
      </w:r>
    </w:p>
    <w:p>
      <w:pPr>
        <w:numPr>
          <w:ilvl w:val="0"/>
          <w:numId w:val="0"/>
        </w:numPr>
        <w:spacing w:line="360" w:lineRule="auto"/>
        <w:ind w:left="0" w:leftChars="0" w:right="105" w:rightChars="5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第三条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甲方的权利：</w:t>
      </w:r>
    </w:p>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（一）有权要求乙方建立安全组织机构或指定专人负责</w:t>
      </w:r>
      <w:r>
        <w:rPr>
          <w:rFonts w:hint="eastAsia" w:ascii="宋体" w:hAnsi="宋体" w:eastAsia="宋体" w:cs="宋体"/>
          <w:color w:val="auto"/>
          <w:sz w:val="24"/>
          <w:szCs w:val="24"/>
          <w:lang w:eastAsia="zh-CN"/>
        </w:rPr>
        <w:t>作业</w:t>
      </w:r>
      <w:r>
        <w:rPr>
          <w:rFonts w:hint="eastAsia" w:ascii="宋体" w:hAnsi="宋体" w:eastAsia="宋体" w:cs="宋体"/>
          <w:color w:val="auto"/>
          <w:sz w:val="24"/>
          <w:szCs w:val="24"/>
        </w:rPr>
        <w:t>现场安全</w:t>
      </w:r>
      <w:r>
        <w:rPr>
          <w:rFonts w:hint="eastAsia" w:ascii="宋体" w:hAnsi="宋体" w:eastAsia="宋体" w:cs="宋体"/>
          <w:color w:val="auto"/>
          <w:sz w:val="24"/>
          <w:szCs w:val="24"/>
          <w:lang w:eastAsia="zh-CN"/>
        </w:rPr>
        <w:t>监督检查</w:t>
      </w:r>
      <w:r>
        <w:rPr>
          <w:rFonts w:hint="eastAsia" w:ascii="宋体" w:hAnsi="宋体" w:eastAsia="宋体" w:cs="宋体"/>
          <w:color w:val="auto"/>
          <w:sz w:val="24"/>
          <w:szCs w:val="24"/>
        </w:rPr>
        <w:t>。严格执行安全生产法律、法规、条例、标准，遵守甲方安全生产规章制度等。</w:t>
      </w:r>
    </w:p>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（二）有权按规定对乙方安全业绩、资质进行审查，对乙方针对作业项目制定的职业健康安全、环境项目进行审查并备案。</w:t>
      </w:r>
    </w:p>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（三）有权要求乙方维护好相关甲方的安全生产设施、设备和器材。</w:t>
      </w:r>
    </w:p>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（四）有权要求乙方在进入甲方现场作业前所有作业人员接受甲方的安全培训与教育。</w:t>
      </w:r>
    </w:p>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（五）有权对乙方的作业现场的安全作业情况进行监督检查，有权对乙方不符合安全生产要求的行为进行制止、纠正、处罚、停止作业、直至清退出场。</w:t>
      </w:r>
    </w:p>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（六）有权要求乙方所有作业人员必须</w:t>
      </w:r>
      <w:r>
        <w:rPr>
          <w:rFonts w:hint="eastAsia" w:ascii="宋体" w:hAnsi="宋体" w:eastAsia="宋体" w:cs="宋体"/>
          <w:color w:val="auto"/>
          <w:sz w:val="24"/>
          <w:szCs w:val="24"/>
          <w:lang w:eastAsia="zh-CN"/>
        </w:rPr>
        <w:t>交纳</w:t>
      </w:r>
      <w:r>
        <w:rPr>
          <w:rFonts w:hint="eastAsia" w:ascii="宋体" w:hAnsi="宋体" w:eastAsia="宋体" w:cs="宋体"/>
          <w:color w:val="auto"/>
          <w:sz w:val="24"/>
          <w:szCs w:val="24"/>
        </w:rPr>
        <w:t>工伤保险和意外伤害保险。</w:t>
      </w:r>
    </w:p>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七）乙方在作业中如发生国务院《生产安全事故报告和调查处理条例》所规定的伤亡事故，甲方有权督促乙方立即通知乙方上级主管部门和当地政府安全生产监督管理部门，要求派人保护现场，并有权要求乙方提供事故调查书面结论及处理意见。发生事故后、有权根据有关规定参与事故的调查。</w:t>
      </w:r>
    </w:p>
    <w:p>
      <w:pPr>
        <w:numPr>
          <w:ilvl w:val="0"/>
          <w:numId w:val="0"/>
        </w:numPr>
        <w:spacing w:line="360" w:lineRule="auto"/>
        <w:ind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第四条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甲方的责任</w:t>
      </w:r>
    </w:p>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（一）认真贯彻落实国家有关法律、法规、标准及甲方公司安全生产规章制度。</w:t>
      </w:r>
    </w:p>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（二）向乙方明确作业区</w:t>
      </w:r>
      <w:r>
        <w:rPr>
          <w:rFonts w:hint="eastAsia" w:ascii="宋体" w:hAnsi="宋体" w:eastAsia="宋体" w:cs="宋体"/>
          <w:color w:val="auto"/>
          <w:sz w:val="24"/>
          <w:szCs w:val="24"/>
          <w:lang w:eastAsia="zh-CN"/>
        </w:rPr>
        <w:t>（甲方港内）</w:t>
      </w:r>
      <w:r>
        <w:rPr>
          <w:rFonts w:hint="eastAsia" w:ascii="宋体" w:hAnsi="宋体" w:eastAsia="宋体" w:cs="宋体"/>
          <w:color w:val="auto"/>
          <w:sz w:val="24"/>
          <w:szCs w:val="24"/>
        </w:rPr>
        <w:t>的范围、危险源及安全技术交底，并要有书面记录。</w:t>
      </w:r>
    </w:p>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（三）</w:t>
      </w:r>
      <w:r>
        <w:rPr>
          <w:rFonts w:hint="eastAsia" w:ascii="宋体" w:hAnsi="宋体" w:eastAsia="宋体" w:cs="宋体"/>
          <w:color w:val="auto"/>
          <w:sz w:val="24"/>
          <w:szCs w:val="24"/>
          <w:lang w:eastAsia="zh-CN"/>
        </w:rPr>
        <w:t>在甲方港内</w:t>
      </w:r>
      <w:r>
        <w:rPr>
          <w:rFonts w:hint="eastAsia" w:ascii="宋体" w:hAnsi="宋体" w:eastAsia="宋体" w:cs="宋体"/>
          <w:color w:val="auto"/>
          <w:sz w:val="24"/>
          <w:szCs w:val="24"/>
        </w:rPr>
        <w:t>为乙方提供项目合同中规定的安全作业条件。</w:t>
      </w:r>
    </w:p>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（四）</w:t>
      </w:r>
      <w:r>
        <w:rPr>
          <w:rFonts w:hint="eastAsia" w:ascii="宋体" w:hAnsi="宋体" w:eastAsia="宋体" w:cs="宋体"/>
          <w:color w:val="auto"/>
          <w:sz w:val="24"/>
          <w:szCs w:val="24"/>
          <w:lang w:eastAsia="zh-CN"/>
        </w:rPr>
        <w:t>在甲方港内</w:t>
      </w:r>
      <w:r>
        <w:rPr>
          <w:rFonts w:hint="eastAsia" w:ascii="宋体" w:hAnsi="宋体" w:eastAsia="宋体" w:cs="宋体"/>
          <w:color w:val="auto"/>
          <w:sz w:val="24"/>
          <w:szCs w:val="24"/>
        </w:rPr>
        <w:t>发生事故</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rPr>
        <w:t>积极协助抢险，防止事故扩大，并按照甲方公司有关规定进行报告。</w:t>
      </w:r>
    </w:p>
    <w:p>
      <w:pPr>
        <w:numPr>
          <w:ilvl w:val="0"/>
          <w:numId w:val="0"/>
        </w:numPr>
        <w:spacing w:line="360" w:lineRule="auto"/>
        <w:ind w:left="120" w:leftChars="0" w:right="105" w:rightChars="50" w:hanging="120" w:hangingChars="50"/>
        <w:rPr>
          <w:rFonts w:hint="eastAsia" w:ascii="宋体" w:hAnsi="宋体" w:eastAsia="宋体" w:cs="宋体"/>
          <w:color w:val="auto"/>
          <w:sz w:val="24"/>
          <w:szCs w:val="24"/>
        </w:rPr>
      </w:pPr>
      <w:r>
        <w:rPr>
          <w:rFonts w:hint="eastAsia" w:ascii="宋体" w:hAnsi="宋体" w:eastAsia="宋体" w:cs="宋体"/>
          <w:color w:val="auto"/>
          <w:sz w:val="24"/>
          <w:szCs w:val="24"/>
        </w:rPr>
        <w:t>第五条　乙方的权利</w:t>
      </w:r>
    </w:p>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（一）有权对甲方的安全工作提出合理化建议和改进意见。</w:t>
      </w:r>
    </w:p>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（二）日常作业中，若甲方违章指挥、强令乙方冒险作业，有权拒绝执行。</w:t>
      </w:r>
    </w:p>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（三）有权要求</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rPr>
        <w:t>甲方</w:t>
      </w:r>
      <w:r>
        <w:rPr>
          <w:rFonts w:hint="eastAsia" w:ascii="宋体" w:hAnsi="宋体" w:eastAsia="宋体" w:cs="宋体"/>
          <w:color w:val="auto"/>
          <w:sz w:val="24"/>
          <w:szCs w:val="24"/>
          <w:lang w:eastAsia="zh-CN"/>
        </w:rPr>
        <w:t>港内</w:t>
      </w:r>
      <w:r>
        <w:rPr>
          <w:rFonts w:hint="eastAsia" w:ascii="宋体" w:hAnsi="宋体" w:eastAsia="宋体" w:cs="宋体"/>
          <w:color w:val="auto"/>
          <w:sz w:val="24"/>
          <w:szCs w:val="24"/>
        </w:rPr>
        <w:t>提供符合安全作业的工艺条件和环境。</w:t>
      </w:r>
    </w:p>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（四）发生严重危及乙方生命安全的紧急情况时，乙方有权采取必要的避险措施。</w:t>
      </w:r>
    </w:p>
    <w:p>
      <w:pPr>
        <w:numPr>
          <w:ilvl w:val="0"/>
          <w:numId w:val="0"/>
        </w:numPr>
        <w:spacing w:line="360" w:lineRule="auto"/>
        <w:ind w:left="120" w:leftChars="0" w:right="105" w:rightChars="50" w:hanging="120" w:hangingChars="50"/>
        <w:jc w:val="left"/>
        <w:rPr>
          <w:rFonts w:hint="eastAsia" w:ascii="宋体" w:hAnsi="宋体" w:eastAsia="宋体" w:cs="宋体"/>
          <w:color w:val="auto"/>
          <w:sz w:val="24"/>
          <w:szCs w:val="24"/>
        </w:rPr>
      </w:pPr>
      <w:r>
        <w:rPr>
          <w:rFonts w:hint="eastAsia" w:ascii="宋体" w:hAnsi="宋体" w:eastAsia="宋体" w:cs="宋体"/>
          <w:color w:val="auto"/>
          <w:sz w:val="24"/>
          <w:szCs w:val="24"/>
        </w:rPr>
        <w:t>第六条　乙方的责任</w:t>
      </w:r>
    </w:p>
    <w:p>
      <w:pPr>
        <w:numPr>
          <w:ilvl w:val="0"/>
          <w:numId w:val="0"/>
        </w:numPr>
        <w:spacing w:line="360" w:lineRule="auto"/>
        <w:ind w:left="120" w:leftChars="0"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（一）乙方是本项目的安全生产责任主体，对本项目的安全生产工作全面负责。</w:t>
      </w:r>
    </w:p>
    <w:p>
      <w:pPr>
        <w:numPr>
          <w:ilvl w:val="0"/>
          <w:numId w:val="0"/>
        </w:numPr>
        <w:spacing w:line="360" w:lineRule="auto"/>
        <w:ind w:left="0" w:leftChars="0" w:right="105" w:rightChars="50" w:firstLine="120" w:firstLineChars="50"/>
        <w:jc w:val="left"/>
        <w:rPr>
          <w:rFonts w:hint="eastAsia" w:ascii="宋体" w:hAnsi="宋体" w:eastAsia="宋体" w:cs="宋体"/>
          <w:color w:val="auto"/>
          <w:sz w:val="24"/>
          <w:szCs w:val="24"/>
        </w:rPr>
      </w:pPr>
      <w:r>
        <w:rPr>
          <w:rFonts w:hint="eastAsia" w:ascii="宋体" w:hAnsi="宋体" w:eastAsia="宋体" w:cs="宋体"/>
          <w:color w:val="auto"/>
          <w:sz w:val="24"/>
          <w:szCs w:val="24"/>
        </w:rPr>
        <w:t>（二）健全安全组织机构，建立安全生产责任制，制定健全的安全生产规章制度，制定生产安全事故应急求援预案，配备必要的安全生产管理人员和劳动保护用品，严格执行甲方相关的规章制度。</w:t>
      </w:r>
    </w:p>
    <w:p>
      <w:pPr>
        <w:numPr>
          <w:ilvl w:val="0"/>
          <w:numId w:val="0"/>
        </w:numPr>
        <w:spacing w:line="360" w:lineRule="auto"/>
        <w:ind w:left="0" w:leftChars="0" w:right="105" w:rightChars="50" w:firstLine="120" w:firstLineChars="50"/>
        <w:jc w:val="left"/>
        <w:rPr>
          <w:rFonts w:hint="eastAsia" w:ascii="宋体" w:hAnsi="宋体" w:eastAsia="宋体" w:cs="宋体"/>
          <w:color w:val="auto"/>
          <w:sz w:val="24"/>
          <w:szCs w:val="24"/>
        </w:rPr>
      </w:pPr>
      <w:r>
        <w:rPr>
          <w:rFonts w:hint="eastAsia" w:ascii="宋体" w:hAnsi="宋体" w:eastAsia="宋体" w:cs="宋体"/>
          <w:color w:val="auto"/>
          <w:sz w:val="24"/>
          <w:szCs w:val="24"/>
        </w:rPr>
        <w:t>（三）应对作业人员进行作业前安全教育培训，使其具备相应的安全意识和安全技能；特种作业人员应具有相应的资格证书。</w:t>
      </w:r>
    </w:p>
    <w:p>
      <w:pPr>
        <w:numPr>
          <w:ilvl w:val="0"/>
          <w:numId w:val="0"/>
        </w:numPr>
        <w:spacing w:line="360" w:lineRule="auto"/>
        <w:ind w:left="0" w:leftChars="0" w:right="105" w:rightChars="50" w:firstLine="120" w:firstLine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（四）不得使用不符合国家、行业标准和甲方规定的原材料、设备、装置、防护用品、器材、安全检测仪器等。所使用的特种设备，必须经具有专业资质的检验检测机构检测。经检测不合格的，不得继续使用。</w:t>
      </w:r>
    </w:p>
    <w:p>
      <w:pPr>
        <w:numPr>
          <w:ilvl w:val="0"/>
          <w:numId w:val="0"/>
        </w:numPr>
        <w:tabs>
          <w:tab w:val="left" w:pos="0"/>
        </w:tabs>
        <w:spacing w:line="360" w:lineRule="auto"/>
        <w:ind w:left="120" w:leftChars="0"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（五）指定专人负责现场安全监督检查工作，认真开展安全检查，发现作业过程中</w:t>
      </w:r>
      <w:r>
        <w:rPr>
          <w:rFonts w:hint="eastAsia" w:ascii="宋体" w:hAnsi="宋体" w:eastAsia="宋体" w:cs="宋体"/>
          <w:color w:val="auto"/>
          <w:sz w:val="24"/>
          <w:szCs w:val="24"/>
          <w:lang w:eastAsia="zh-CN"/>
        </w:rPr>
        <w:t>人的</w:t>
      </w:r>
      <w:r>
        <w:rPr>
          <w:rFonts w:hint="eastAsia" w:ascii="宋体" w:hAnsi="宋体" w:eastAsia="宋体" w:cs="宋体"/>
          <w:color w:val="auto"/>
          <w:sz w:val="24"/>
          <w:szCs w:val="24"/>
        </w:rPr>
        <w:t>不安全行为</w:t>
      </w:r>
      <w:r>
        <w:rPr>
          <w:rFonts w:hint="eastAsia" w:ascii="宋体" w:hAnsi="宋体" w:eastAsia="宋体" w:cs="宋体"/>
          <w:color w:val="auto"/>
          <w:sz w:val="24"/>
          <w:szCs w:val="24"/>
          <w:lang w:eastAsia="zh-CN"/>
        </w:rPr>
        <w:t>及事故安全</w:t>
      </w:r>
      <w:r>
        <w:rPr>
          <w:rFonts w:hint="eastAsia" w:ascii="宋体" w:hAnsi="宋体" w:eastAsia="宋体" w:cs="宋体"/>
          <w:color w:val="auto"/>
          <w:sz w:val="24"/>
          <w:szCs w:val="24"/>
        </w:rPr>
        <w:t>隐患</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应采取有效措施积极处理。</w:t>
      </w:r>
    </w:p>
    <w:p>
      <w:pPr>
        <w:numPr>
          <w:ilvl w:val="0"/>
          <w:numId w:val="0"/>
        </w:numPr>
        <w:spacing w:line="360" w:lineRule="auto"/>
        <w:ind w:left="120" w:leftChars="0"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（六）乙方有责任对作业区域的安全生产条件进行详细了解。</w:t>
      </w:r>
    </w:p>
    <w:p>
      <w:pPr>
        <w:numPr>
          <w:ilvl w:val="0"/>
          <w:numId w:val="0"/>
        </w:numPr>
        <w:spacing w:line="360" w:lineRule="auto"/>
        <w:ind w:left="120" w:leftChars="0"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（七）乙方在作业过程中有属于危及安全生产的关键作业时，应提出切实可行的方案，经甲方同意后，方可实施。</w:t>
      </w:r>
    </w:p>
    <w:p>
      <w:pPr>
        <w:numPr>
          <w:ilvl w:val="0"/>
          <w:numId w:val="0"/>
        </w:numPr>
        <w:spacing w:line="360" w:lineRule="auto"/>
        <w:ind w:left="120" w:leftChars="0"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（八）乙方不能将项目转包给第三方。</w:t>
      </w:r>
    </w:p>
    <w:p>
      <w:pPr>
        <w:numPr>
          <w:ilvl w:val="0"/>
          <w:numId w:val="0"/>
        </w:numPr>
        <w:spacing w:line="360" w:lineRule="auto"/>
        <w:ind w:left="120" w:leftChars="0"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（九）乙方在</w:t>
      </w:r>
      <w:r>
        <w:rPr>
          <w:rFonts w:hint="eastAsia" w:ascii="宋体" w:hAnsi="宋体" w:eastAsia="宋体" w:cs="宋体"/>
          <w:color w:val="auto"/>
          <w:sz w:val="24"/>
          <w:szCs w:val="24"/>
          <w:lang w:eastAsia="zh-CN"/>
        </w:rPr>
        <w:t>甲方港内作业</w:t>
      </w:r>
      <w:r>
        <w:rPr>
          <w:rFonts w:hint="eastAsia" w:ascii="宋体" w:hAnsi="宋体" w:eastAsia="宋体" w:cs="宋体"/>
          <w:color w:val="auto"/>
          <w:sz w:val="24"/>
          <w:szCs w:val="24"/>
        </w:rPr>
        <w:t>期间只能在甲方规定的路线进出公司，只能在规定的区域内作业，禁止私自进入甲方其它生产区域。</w:t>
      </w:r>
    </w:p>
    <w:p>
      <w:pPr>
        <w:numPr>
          <w:ilvl w:val="0"/>
          <w:numId w:val="0"/>
        </w:numPr>
        <w:spacing w:line="360" w:lineRule="auto"/>
        <w:ind w:left="120" w:leftChars="0"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（十）乙方应服从甲方单位的安全管理。</w:t>
      </w:r>
    </w:p>
    <w:p>
      <w:pPr>
        <w:numPr>
          <w:ilvl w:val="0"/>
          <w:numId w:val="0"/>
        </w:numPr>
        <w:spacing w:line="360" w:lineRule="auto"/>
        <w:ind w:left="120" w:leftChars="0"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（十一）发生事故时，</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应积极抢险，避免事故的进一步扩大，并按照国家相关要求报告事故。</w:t>
      </w:r>
    </w:p>
    <w:p>
      <w:pPr>
        <w:numPr>
          <w:ilvl w:val="0"/>
          <w:numId w:val="0"/>
        </w:numPr>
        <w:spacing w:line="360" w:lineRule="auto"/>
        <w:ind w:left="120" w:leftChars="0"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（十二）当乙方在</w:t>
      </w:r>
      <w:r>
        <w:rPr>
          <w:rFonts w:hint="eastAsia" w:ascii="宋体" w:hAnsi="宋体" w:eastAsia="宋体" w:cs="宋体"/>
          <w:color w:val="auto"/>
          <w:sz w:val="24"/>
          <w:szCs w:val="24"/>
          <w:lang w:eastAsia="zh-CN"/>
        </w:rPr>
        <w:t>甲方港内作业</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eastAsia="zh-CN"/>
        </w:rPr>
        <w:t>安全责任</w:t>
      </w:r>
      <w:r>
        <w:rPr>
          <w:rFonts w:hint="eastAsia" w:ascii="宋体" w:hAnsi="宋体" w:eastAsia="宋体" w:cs="宋体"/>
          <w:color w:val="auto"/>
          <w:sz w:val="24"/>
          <w:szCs w:val="24"/>
        </w:rPr>
        <w:t>事故时，乙方作为项目的承包单位，对发生的人身伤害、设备损坏</w:t>
      </w:r>
      <w:r>
        <w:rPr>
          <w:rFonts w:hint="eastAsia" w:ascii="宋体" w:hAnsi="宋体" w:eastAsia="宋体" w:cs="宋体"/>
          <w:color w:val="auto"/>
          <w:sz w:val="24"/>
          <w:szCs w:val="24"/>
          <w:lang w:eastAsia="zh-CN"/>
        </w:rPr>
        <w:t>等</w:t>
      </w:r>
      <w:r>
        <w:rPr>
          <w:rFonts w:hint="eastAsia" w:ascii="宋体" w:hAnsi="宋体" w:eastAsia="宋体" w:cs="宋体"/>
          <w:color w:val="auto"/>
          <w:sz w:val="24"/>
          <w:szCs w:val="24"/>
        </w:rPr>
        <w:t>事故承担相应安全责任。由乙方向自己的主管上级部门及当地政府的安全生产监督管理部门、公安部门报告，并自行承担相应的责任。</w:t>
      </w:r>
    </w:p>
    <w:p>
      <w:pPr>
        <w:numPr>
          <w:ilvl w:val="0"/>
          <w:numId w:val="0"/>
        </w:numPr>
        <w:spacing w:line="360" w:lineRule="auto"/>
        <w:ind w:left="120" w:leftChars="0"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第七条  违约责任及处理</w:t>
      </w:r>
    </w:p>
    <w:p>
      <w:pPr>
        <w:numPr>
          <w:ilvl w:val="0"/>
          <w:numId w:val="0"/>
        </w:numPr>
        <w:spacing w:line="360" w:lineRule="auto"/>
        <w:ind w:left="120" w:leftChars="0"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（一）甲乙双方违反本合同要求，未造成事故时，依据相关合同对违约者进行处理（包括但不限于支付违约金、赔偿损失等）。</w:t>
      </w:r>
    </w:p>
    <w:p>
      <w:pPr>
        <w:numPr>
          <w:ilvl w:val="0"/>
          <w:numId w:val="0"/>
        </w:numPr>
        <w:spacing w:line="360" w:lineRule="auto"/>
        <w:ind w:left="120" w:leftChars="0"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color w:val="auto"/>
          <w:sz w:val="24"/>
          <w:szCs w:val="24"/>
          <w:lang w:eastAsia="zh-CN"/>
        </w:rPr>
        <w:t>在甲方港内</w:t>
      </w:r>
      <w:r>
        <w:rPr>
          <w:rFonts w:hint="eastAsia" w:ascii="宋体" w:hAnsi="宋体" w:eastAsia="宋体" w:cs="宋体"/>
          <w:color w:val="auto"/>
          <w:sz w:val="24"/>
          <w:szCs w:val="24"/>
        </w:rPr>
        <w:t>发生事故时，甲、乙双方有抢险、救灾的责任，所发生的费用由责任方承担。</w:t>
      </w:r>
    </w:p>
    <w:p>
      <w:pPr>
        <w:numPr>
          <w:ilvl w:val="0"/>
          <w:numId w:val="0"/>
        </w:numPr>
        <w:spacing w:line="360" w:lineRule="auto"/>
        <w:ind w:left="120" w:leftChars="0"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（三）发生的事故，应经事故调查确认责任；事故报告和调查应按照国家和甲方有关规定进行。           </w:t>
      </w:r>
    </w:p>
    <w:p>
      <w:pPr>
        <w:numPr>
          <w:ilvl w:val="0"/>
          <w:numId w:val="0"/>
        </w:numPr>
        <w:spacing w:line="360" w:lineRule="auto"/>
        <w:ind w:left="120" w:leftChars="0"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（四）甲方违约造成的事故，甲方承担全部责任，并按规定追究有关人员责任及上报。</w:t>
      </w:r>
    </w:p>
    <w:p>
      <w:pPr>
        <w:numPr>
          <w:ilvl w:val="0"/>
          <w:numId w:val="0"/>
        </w:numPr>
        <w:spacing w:line="360" w:lineRule="auto"/>
        <w:ind w:left="120" w:leftChars="0"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（五）乙方违约造成的事故，乙方承担全部责任，并按规定追究有关人员责任并报告甲方。</w:t>
      </w:r>
    </w:p>
    <w:p>
      <w:pPr>
        <w:numPr>
          <w:ilvl w:val="0"/>
          <w:numId w:val="0"/>
        </w:numPr>
        <w:spacing w:line="360" w:lineRule="auto"/>
        <w:ind w:left="120" w:leftChars="0"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（六）甲、乙双方共同造成的事故，按双方责任大小承担相应责任，并按规定追究有关人员责任。</w:t>
      </w:r>
    </w:p>
    <w:p>
      <w:pPr>
        <w:numPr>
          <w:ilvl w:val="0"/>
          <w:numId w:val="0"/>
        </w:numPr>
        <w:spacing w:line="360" w:lineRule="auto"/>
        <w:ind w:left="120" w:leftChars="0"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（七）对乙方发生事故后弄虚作假、隐瞒不报、迟报或谎报，一经查出，按有关规定从重处罚，情节严重的，甲方有权向当地政府安全生产监督管理部门报告，并取消其进入甲方市场资格。</w:t>
      </w:r>
    </w:p>
    <w:p>
      <w:pPr>
        <w:numPr>
          <w:ilvl w:val="0"/>
          <w:numId w:val="0"/>
        </w:numPr>
        <w:spacing w:line="360" w:lineRule="auto"/>
        <w:ind w:left="120" w:leftChars="0"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（八）</w:t>
      </w:r>
      <w:r>
        <w:rPr>
          <w:rFonts w:hint="eastAsia" w:ascii="宋体" w:hAnsi="宋体" w:eastAsia="宋体" w:cs="宋体"/>
          <w:color w:val="auto"/>
          <w:sz w:val="24"/>
          <w:szCs w:val="24"/>
          <w:lang w:eastAsia="zh-CN"/>
        </w:rPr>
        <w:t>作业</w:t>
      </w:r>
      <w:r>
        <w:rPr>
          <w:rFonts w:hint="eastAsia" w:ascii="宋体" w:hAnsi="宋体" w:eastAsia="宋体" w:cs="宋体"/>
          <w:color w:val="auto"/>
          <w:sz w:val="24"/>
          <w:szCs w:val="24"/>
        </w:rPr>
        <w:t>期间，需要办理的有关安全的批文或其它手续，乙方必须办理齐全，否则发生安全事故由乙方承担全部责任。</w:t>
      </w:r>
    </w:p>
    <w:p>
      <w:pPr>
        <w:numPr>
          <w:ilvl w:val="0"/>
          <w:numId w:val="0"/>
        </w:numPr>
        <w:spacing w:line="360" w:lineRule="auto"/>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第八条　由于不可抗力造成合同项目作业事故及生产的损失，当事人双方各自承担相应的损失。</w:t>
      </w:r>
    </w:p>
    <w:p>
      <w:pPr>
        <w:numPr>
          <w:ilvl w:val="0"/>
          <w:numId w:val="0"/>
        </w:numPr>
        <w:spacing w:line="360" w:lineRule="auto"/>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第九条　甲乙双方的作业人员和机具设备的保险，由甲乙双方依据国家相关规定或约定各自承担。</w:t>
      </w:r>
    </w:p>
    <w:p>
      <w:pPr>
        <w:numPr>
          <w:ilvl w:val="0"/>
          <w:numId w:val="0"/>
        </w:numPr>
        <w:spacing w:line="360" w:lineRule="auto"/>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第十条  本</w:t>
      </w:r>
      <w:r>
        <w:rPr>
          <w:rFonts w:hint="eastAsia" w:ascii="宋体" w:hAnsi="宋体" w:eastAsia="宋体" w:cs="宋体"/>
          <w:color w:val="auto"/>
          <w:sz w:val="24"/>
          <w:szCs w:val="24"/>
          <w:lang w:eastAsia="zh-CN"/>
        </w:rPr>
        <w:t>协议</w:t>
      </w:r>
      <w:r>
        <w:rPr>
          <w:rFonts w:hint="eastAsia" w:ascii="宋体" w:hAnsi="宋体" w:eastAsia="宋体" w:cs="宋体"/>
          <w:color w:val="auto"/>
          <w:sz w:val="24"/>
          <w:szCs w:val="24"/>
        </w:rPr>
        <w:t>履行过程中发生争议纠纷，应通过友好协商方式解决，如协商不成，按双方在项目经济合同中约定的管辖地和纠纷解决的方式执行。</w:t>
      </w:r>
    </w:p>
    <w:p>
      <w:pPr>
        <w:numPr>
          <w:ilvl w:val="0"/>
          <w:numId w:val="0"/>
        </w:numPr>
        <w:spacing w:line="360" w:lineRule="auto"/>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第十一条　本</w:t>
      </w:r>
      <w:r>
        <w:rPr>
          <w:rFonts w:hint="eastAsia" w:ascii="宋体" w:hAnsi="宋体" w:eastAsia="宋体" w:cs="宋体"/>
          <w:color w:val="auto"/>
          <w:sz w:val="24"/>
          <w:szCs w:val="24"/>
          <w:lang w:eastAsia="zh-CN"/>
        </w:rPr>
        <w:t>协议</w:t>
      </w:r>
      <w:r>
        <w:rPr>
          <w:rFonts w:hint="eastAsia" w:ascii="宋体" w:hAnsi="宋体" w:eastAsia="宋体" w:cs="宋体"/>
          <w:color w:val="auto"/>
          <w:sz w:val="24"/>
          <w:szCs w:val="24"/>
        </w:rPr>
        <w:t>是项目经济合同的附件，与项目经济合同具有同等法律效力。本</w:t>
      </w:r>
      <w:r>
        <w:rPr>
          <w:rFonts w:hint="eastAsia" w:ascii="宋体" w:hAnsi="宋体" w:eastAsia="宋体" w:cs="宋体"/>
          <w:color w:val="auto"/>
          <w:sz w:val="24"/>
          <w:szCs w:val="24"/>
          <w:lang w:eastAsia="zh-CN"/>
        </w:rPr>
        <w:t>协议</w:t>
      </w:r>
      <w:r>
        <w:rPr>
          <w:rFonts w:hint="eastAsia" w:ascii="宋体" w:hAnsi="宋体" w:eastAsia="宋体" w:cs="宋体"/>
          <w:color w:val="auto"/>
          <w:sz w:val="24"/>
          <w:szCs w:val="24"/>
        </w:rPr>
        <w:t>与项目经济合同同时生效、终止。</w:t>
      </w:r>
    </w:p>
    <w:p>
      <w:pPr>
        <w:numPr>
          <w:ilvl w:val="0"/>
          <w:numId w:val="0"/>
        </w:numPr>
        <w:spacing w:line="360" w:lineRule="auto"/>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第十二条  </w:t>
      </w:r>
      <w:r>
        <w:rPr>
          <w:rFonts w:hint="eastAsia" w:ascii="宋体" w:hAnsi="宋体" w:eastAsia="宋体" w:cs="宋体"/>
          <w:color w:val="auto"/>
          <w:sz w:val="24"/>
          <w:szCs w:val="24"/>
          <w:lang w:eastAsia="zh-CN"/>
        </w:rPr>
        <w:t>乙</w:t>
      </w:r>
      <w:r>
        <w:rPr>
          <w:rFonts w:hint="eastAsia" w:ascii="宋体" w:hAnsi="宋体" w:eastAsia="宋体" w:cs="宋体"/>
          <w:color w:val="auto"/>
          <w:sz w:val="24"/>
          <w:szCs w:val="24"/>
        </w:rPr>
        <w:t>方</w:t>
      </w:r>
      <w:r>
        <w:rPr>
          <w:rFonts w:hint="eastAsia" w:ascii="宋体" w:hAnsi="宋体" w:eastAsia="宋体" w:cs="宋体"/>
          <w:color w:val="auto"/>
          <w:sz w:val="24"/>
          <w:szCs w:val="24"/>
          <w:lang w:eastAsia="zh-CN"/>
        </w:rPr>
        <w:t>人员</w:t>
      </w:r>
      <w:r>
        <w:rPr>
          <w:rFonts w:hint="eastAsia" w:ascii="宋体" w:hAnsi="宋体" w:eastAsia="宋体" w:cs="宋体"/>
          <w:color w:val="auto"/>
          <w:sz w:val="24"/>
          <w:szCs w:val="24"/>
        </w:rPr>
        <w:t>进场前安全教育培训人员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；乙方</w:t>
      </w:r>
      <w:r>
        <w:rPr>
          <w:rFonts w:hint="eastAsia" w:ascii="宋体" w:hAnsi="宋体" w:eastAsia="宋体" w:cs="宋体"/>
          <w:color w:val="auto"/>
          <w:sz w:val="24"/>
          <w:szCs w:val="24"/>
          <w:lang w:eastAsia="zh-CN"/>
        </w:rPr>
        <w:t>作业</w:t>
      </w:r>
      <w:r>
        <w:rPr>
          <w:rFonts w:hint="eastAsia" w:ascii="宋体" w:hAnsi="宋体" w:eastAsia="宋体" w:cs="宋体"/>
          <w:color w:val="auto"/>
          <w:sz w:val="24"/>
          <w:szCs w:val="24"/>
        </w:rPr>
        <w:t>期间指定现场安全监护人员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spacing w:line="360" w:lineRule="auto"/>
        <w:jc w:val="center"/>
        <w:rPr>
          <w:rFonts w:hint="default"/>
          <w:b/>
          <w:bCs/>
          <w:color w:val="110F0F"/>
          <w:w w:val="110"/>
          <w:sz w:val="40"/>
          <w:szCs w:val="40"/>
          <w:lang w:val="en-US" w:eastAsia="zh-CN"/>
        </w:rPr>
      </w:pPr>
      <w:r>
        <w:rPr>
          <w:rFonts w:hint="eastAsia" w:ascii="宋体" w:hAnsi="宋体" w:eastAsia="宋体" w:cs="宋体"/>
          <w:b/>
          <w:color w:val="auto"/>
          <w:sz w:val="40"/>
          <w:szCs w:val="40"/>
          <w:lang w:val="en-US" w:eastAsia="zh-CN"/>
        </w:rPr>
        <w:t>第三部分 廉政协议</w:t>
      </w:r>
    </w:p>
    <w:p>
      <w:pPr>
        <w:numPr>
          <w:ilvl w:val="0"/>
          <w:numId w:val="0"/>
        </w:numPr>
        <w:spacing w:line="360" w:lineRule="auto"/>
        <w:ind w:left="120" w:leftChars="0" w:right="105" w:rightChars="5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交通运输部《关于在交通基础设施建设中加强廉政建设的若干意见》以及有关工程建设、廉政建设的规定，为做好工程建设中的党风廉政建设，保证工程建设高效优质、建设资金的安全和投资效益，以及双方合作的公平和公正，预防发包人利益受到双方经济合同之外各种不正当行为的损害，甲、乙双方经过共同协商，签订本廉政</w:t>
      </w:r>
      <w:r>
        <w:rPr>
          <w:rFonts w:hint="eastAsia" w:ascii="宋体" w:hAnsi="宋体" w:eastAsia="宋体" w:cs="宋体"/>
          <w:color w:val="auto"/>
          <w:sz w:val="24"/>
          <w:szCs w:val="24"/>
          <w:lang w:eastAsia="zh-CN"/>
        </w:rPr>
        <w:t>协议</w:t>
      </w:r>
      <w:r>
        <w:rPr>
          <w:rFonts w:hint="eastAsia" w:ascii="宋体" w:hAnsi="宋体" w:eastAsia="宋体" w:cs="宋体"/>
          <w:color w:val="auto"/>
          <w:sz w:val="24"/>
          <w:szCs w:val="24"/>
        </w:rPr>
        <w:t>，以资共同遵守。</w:t>
      </w:r>
    </w:p>
    <w:p>
      <w:pPr>
        <w:numPr>
          <w:ilvl w:val="0"/>
          <w:numId w:val="0"/>
        </w:numPr>
        <w:spacing w:line="360" w:lineRule="auto"/>
        <w:ind w:left="120" w:leftChars="0" w:right="105" w:rightChars="50"/>
        <w:rPr>
          <w:rFonts w:hint="eastAsia" w:ascii="宋体" w:hAnsi="宋体" w:eastAsia="宋体" w:cs="宋体"/>
          <w:color w:val="auto"/>
          <w:sz w:val="24"/>
          <w:szCs w:val="24"/>
        </w:rPr>
      </w:pPr>
      <w:bookmarkStart w:id="7" w:name="_Toc21390"/>
      <w:bookmarkStart w:id="8" w:name="_Toc30686"/>
      <w:bookmarkStart w:id="9" w:name="_Toc282076315"/>
      <w:r>
        <w:rPr>
          <w:rFonts w:hint="eastAsia" w:ascii="宋体" w:hAnsi="宋体" w:eastAsia="宋体" w:cs="宋体"/>
          <w:color w:val="auto"/>
          <w:sz w:val="24"/>
          <w:szCs w:val="24"/>
        </w:rPr>
        <w:t>第一条  甲乙双方的责任</w:t>
      </w:r>
      <w:bookmarkEnd w:id="7"/>
      <w:bookmarkEnd w:id="8"/>
      <w:bookmarkEnd w:id="9"/>
    </w:p>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（一）应严格遵守国家关于市场准入、项目招标投标、工程建设和市场活动等有关法律、法规，相关政策，以及廉政建设的各项规定。</w:t>
      </w:r>
    </w:p>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（二）严格执行建设工程项目相关合同文件，自觉按合同办事。</w:t>
      </w:r>
    </w:p>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（三）业务活动必须坚持公开、公平、公正、诚信、透明的原则，不得为获取不正当的利益，损害国家、集体和对方利益。</w:t>
      </w:r>
    </w:p>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（四）发现对方在业务活动中有违规、违纪、违法行为的，应及时提醒对方，情节严重的，应向其上级主管部门或纪检监察部门进行举报。</w:t>
      </w:r>
    </w:p>
    <w:p>
      <w:pPr>
        <w:numPr>
          <w:ilvl w:val="0"/>
          <w:numId w:val="0"/>
        </w:numPr>
        <w:spacing w:line="360" w:lineRule="auto"/>
        <w:ind w:left="120" w:leftChars="0" w:right="105" w:rightChars="50"/>
        <w:rPr>
          <w:rFonts w:hint="eastAsia" w:ascii="宋体" w:hAnsi="宋体" w:eastAsia="宋体" w:cs="宋体"/>
          <w:color w:val="auto"/>
          <w:sz w:val="24"/>
          <w:szCs w:val="24"/>
        </w:rPr>
      </w:pPr>
      <w:bookmarkStart w:id="10" w:name="_Toc22406"/>
      <w:bookmarkStart w:id="11" w:name="_Toc282076316"/>
      <w:bookmarkStart w:id="12" w:name="_Toc25742"/>
      <w:r>
        <w:rPr>
          <w:rFonts w:hint="eastAsia" w:ascii="宋体" w:hAnsi="宋体" w:eastAsia="宋体" w:cs="宋体"/>
          <w:color w:val="auto"/>
          <w:sz w:val="24"/>
          <w:szCs w:val="24"/>
        </w:rPr>
        <w:t>第二条  发包人的责任</w:t>
      </w:r>
      <w:bookmarkEnd w:id="10"/>
      <w:bookmarkEnd w:id="11"/>
      <w:bookmarkEnd w:id="12"/>
    </w:p>
    <w:p>
      <w:pPr>
        <w:numPr>
          <w:ilvl w:val="0"/>
          <w:numId w:val="0"/>
        </w:numPr>
        <w:spacing w:line="360" w:lineRule="auto"/>
        <w:ind w:left="120" w:leftChars="0" w:right="105" w:rightChars="5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发包人工作人员，在工程建设的事前、事中、事后应遵守以下规定：</w:t>
      </w:r>
    </w:p>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（一）不得向承包人索要或接受回扣、礼金、有价证券、贵重物品和好处费、感谢费等。</w:t>
      </w:r>
    </w:p>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（二）不得在承包人报销任何应由个人支付的费用。</w:t>
      </w:r>
    </w:p>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（三）不得要求或接受承包人为其个人装修住房或为其配偶、子女的工作安排以及出国（境）、旅游等提供方便。</w:t>
      </w:r>
    </w:p>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（四）不得参加有可能影响公正执行公务的承包人的宴请、健身和娱乐等活动。</w:t>
      </w:r>
    </w:p>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（五）不得向承包人介绍或推荐其配偶、子女及其他亲属参与承包人同发包人建设项目有关的经济活动。</w:t>
      </w:r>
    </w:p>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（六）不得以任何理由向承包人推荐分包单位或要求承包人购买项目合同规定以外的材料、设备和服务等。</w:t>
      </w:r>
    </w:p>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（七）其它与项目有关的党风廉政建设和预防腐败的规定。</w:t>
      </w:r>
    </w:p>
    <w:p>
      <w:pPr>
        <w:numPr>
          <w:ilvl w:val="0"/>
          <w:numId w:val="0"/>
        </w:numPr>
        <w:spacing w:line="360" w:lineRule="auto"/>
        <w:ind w:left="120" w:leftChars="0" w:right="105" w:rightChars="50"/>
        <w:rPr>
          <w:rFonts w:hint="eastAsia" w:ascii="宋体" w:hAnsi="宋体" w:eastAsia="宋体" w:cs="宋体"/>
          <w:color w:val="auto"/>
          <w:sz w:val="24"/>
          <w:szCs w:val="24"/>
        </w:rPr>
      </w:pPr>
      <w:bookmarkStart w:id="13" w:name="_Toc11848"/>
      <w:bookmarkStart w:id="14" w:name="_Toc14483"/>
      <w:bookmarkStart w:id="15" w:name="_Toc282076317"/>
      <w:r>
        <w:rPr>
          <w:rFonts w:hint="eastAsia" w:ascii="宋体" w:hAnsi="宋体" w:eastAsia="宋体" w:cs="宋体"/>
          <w:color w:val="auto"/>
          <w:sz w:val="24"/>
          <w:szCs w:val="24"/>
        </w:rPr>
        <w:t>第三条  承包人的责任</w:t>
      </w:r>
      <w:bookmarkEnd w:id="13"/>
      <w:bookmarkEnd w:id="14"/>
      <w:bookmarkEnd w:id="15"/>
    </w:p>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应与发包人保持正常的业务交往，按照有关法律法规和程序开展业务工作，严格执行工程建设的有关方针、政策，并遵守以下规定：</w:t>
      </w:r>
    </w:p>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（一）不得以任何理由向发包人工作人员赠送礼金、有价证券、贵重物品和回扣、好处费、感谢费等。</w:t>
      </w:r>
    </w:p>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（二）不得以任何理由为发包人工作人员报销应由其个人支付的费用。</w:t>
      </w:r>
    </w:p>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（三）不得为发包人工作人员装修住房或为其配偶、子女的工作安排以及出国（境）、旅游等提供方便。</w:t>
      </w:r>
    </w:p>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（四）不得以任何理由邀请发包人工作人员参加有可能影响公正执行公务的宴请、健身、娱乐等活动。</w:t>
      </w:r>
    </w:p>
    <w:p>
      <w:pPr>
        <w:numPr>
          <w:ilvl w:val="0"/>
          <w:numId w:val="0"/>
        </w:numPr>
        <w:spacing w:line="360" w:lineRule="auto"/>
        <w:ind w:left="120" w:leftChars="0" w:right="105" w:rightChars="50"/>
        <w:rPr>
          <w:rFonts w:hint="eastAsia" w:ascii="宋体" w:hAnsi="宋体" w:eastAsia="宋体" w:cs="宋体"/>
          <w:color w:val="auto"/>
          <w:sz w:val="24"/>
          <w:szCs w:val="24"/>
        </w:rPr>
      </w:pPr>
      <w:bookmarkStart w:id="16" w:name="OLE_LINK1"/>
      <w:r>
        <w:rPr>
          <w:rFonts w:hint="eastAsia" w:ascii="宋体" w:hAnsi="宋体" w:eastAsia="宋体" w:cs="宋体"/>
          <w:color w:val="auto"/>
          <w:sz w:val="24"/>
          <w:szCs w:val="24"/>
        </w:rPr>
        <w:t>（五）其它与项目有关的党风廉政建设和预防腐败的规定。</w:t>
      </w:r>
    </w:p>
    <w:bookmarkEnd w:id="16"/>
    <w:p>
      <w:pPr>
        <w:numPr>
          <w:ilvl w:val="0"/>
          <w:numId w:val="0"/>
        </w:numPr>
        <w:spacing w:line="360" w:lineRule="auto"/>
        <w:ind w:left="120" w:leftChars="0" w:right="105" w:rightChars="50"/>
        <w:rPr>
          <w:rFonts w:hint="eastAsia" w:ascii="宋体" w:hAnsi="宋体" w:eastAsia="宋体" w:cs="宋体"/>
          <w:color w:val="auto"/>
          <w:sz w:val="24"/>
          <w:szCs w:val="24"/>
        </w:rPr>
      </w:pPr>
      <w:bookmarkStart w:id="17" w:name="_Toc9799"/>
      <w:bookmarkStart w:id="18" w:name="_Toc32291"/>
      <w:bookmarkStart w:id="19" w:name="OLE_LINK2"/>
      <w:r>
        <w:rPr>
          <w:rFonts w:hint="eastAsia" w:ascii="宋体" w:hAnsi="宋体" w:eastAsia="宋体" w:cs="宋体"/>
          <w:color w:val="auto"/>
          <w:sz w:val="24"/>
          <w:szCs w:val="24"/>
        </w:rPr>
        <w:t>第四条  违约责任</w:t>
      </w:r>
      <w:bookmarkEnd w:id="17"/>
      <w:bookmarkEnd w:id="18"/>
    </w:p>
    <w:bookmarkEnd w:id="19"/>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一）发包人工作人员有违反本合同第一、二条行为的，经调查属实，依据有关法律法规和规定给予党纪、政纪处分或组织处理；涉嫌犯罪的，移交司法机关追究刑事责任；给承包人造成经济损失的，发包人应予以赔偿。</w:t>
      </w:r>
    </w:p>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二）承包人工作人员有违反本合同第一、三条行为的，经调查属实，依据有关法律法规和规定给予以下相应处理；给发包人造成经济损失的，承包人应予以赔偿；情节严重的，发包人建议交通工程建设主管部门给予一至三年不得进入交通建设市场的处罚；涉嫌犯罪的，移交司法机关追究刑事责任。</w:t>
      </w:r>
    </w:p>
    <w:p>
      <w:pPr>
        <w:numPr>
          <w:ilvl w:val="0"/>
          <w:numId w:val="0"/>
        </w:numPr>
        <w:spacing w:line="360" w:lineRule="auto"/>
        <w:ind w:left="120" w:leftChars="0"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三）双方约定：本合同由发包人或发包人上级单位的纪检监察机关负责监督执行。由发包人或发包人上级单位的纪检监察机关约请承包人行业主管部门的纪检监察机关对本合同执行情况进行检查，提出在本合同规定范围内的裁定意见。</w:t>
      </w:r>
    </w:p>
    <w:p>
      <w:pPr>
        <w:numPr>
          <w:ilvl w:val="0"/>
          <w:numId w:val="0"/>
        </w:numPr>
        <w:spacing w:line="360" w:lineRule="auto"/>
        <w:ind w:left="120" w:leftChars="0" w:right="105" w:rightChars="50"/>
        <w:rPr>
          <w:rFonts w:hint="eastAsia" w:ascii="宋体" w:hAnsi="宋体" w:eastAsia="宋体" w:cs="宋体"/>
          <w:color w:val="auto"/>
          <w:sz w:val="24"/>
          <w:szCs w:val="24"/>
          <w:lang w:eastAsia="zh-CN"/>
        </w:rPr>
      </w:pPr>
      <w:bookmarkStart w:id="20" w:name="_Toc28966"/>
      <w:bookmarkStart w:id="21" w:name="_Toc9354"/>
      <w:r>
        <w:rPr>
          <w:rFonts w:hint="eastAsia" w:ascii="宋体" w:hAnsi="宋体" w:eastAsia="宋体" w:cs="宋体"/>
          <w:color w:val="auto"/>
          <w:sz w:val="24"/>
          <w:szCs w:val="24"/>
        </w:rPr>
        <w:t>第五条　本合同作为甲、乙双方主合同的附件，与主合同具有同等法律效力。经双方签署后立即生效，项目决算审计后合同效力终止</w:t>
      </w:r>
      <w:bookmarkEnd w:id="20"/>
      <w:bookmarkEnd w:id="21"/>
      <w:r>
        <w:rPr>
          <w:rFonts w:hint="eastAsia" w:ascii="宋体" w:hAnsi="宋体" w:eastAsia="宋体" w:cs="宋体"/>
          <w:color w:val="auto"/>
          <w:sz w:val="24"/>
          <w:szCs w:val="24"/>
          <w:lang w:eastAsia="zh-CN"/>
        </w:rPr>
        <w:t>。</w:t>
      </w:r>
    </w:p>
    <w:p>
      <w:pPr>
        <w:numPr>
          <w:ilvl w:val="0"/>
          <w:numId w:val="0"/>
        </w:numPr>
        <w:tabs>
          <w:tab w:val="left" w:pos="0"/>
        </w:tabs>
        <w:spacing w:line="400" w:lineRule="exact"/>
        <w:rPr>
          <w:rFonts w:hint="eastAsia" w:ascii="宋体" w:hAnsi="宋体" w:eastAsia="宋体" w:cs="宋体"/>
          <w:lang w:val="en-US" w:eastAsia="zh-CN"/>
        </w:rPr>
      </w:pPr>
    </w:p>
    <w:p>
      <w:pPr>
        <w:numPr>
          <w:ilvl w:val="0"/>
          <w:numId w:val="0"/>
        </w:numPr>
        <w:tabs>
          <w:tab w:val="left" w:pos="0"/>
        </w:tabs>
        <w:spacing w:line="400" w:lineRule="exact"/>
        <w:rPr>
          <w:rFonts w:hint="eastAsia" w:ascii="宋体" w:hAnsi="宋体" w:eastAsia="宋体" w:cs="宋体"/>
          <w:lang w:val="en-US" w:eastAsia="zh-CN"/>
        </w:rPr>
      </w:pPr>
      <w:r>
        <w:rPr>
          <w:rFonts w:hint="eastAsia" w:ascii="宋体" w:hAnsi="宋体" w:eastAsia="宋体" w:cs="宋体"/>
          <w:lang w:val="en-US" w:eastAsia="zh-CN"/>
        </w:rPr>
        <w:t>（以下无正文）</w:t>
      </w:r>
    </w:p>
    <w:p>
      <w:pPr>
        <w:adjustRightInd/>
        <w:snapToGrid/>
        <w:spacing w:line="240" w:lineRule="auto"/>
        <w:jc w:val="left"/>
        <w:outlineLvl w:val="9"/>
        <w:rPr>
          <w:rFonts w:hint="eastAsia" w:ascii="黑体" w:hAnsi="黑体" w:eastAsia="黑体" w:cs="仿宋"/>
          <w:b/>
          <w:color w:val="000000"/>
          <w:sz w:val="36"/>
          <w:szCs w:val="36"/>
        </w:rPr>
      </w:pPr>
    </w:p>
    <w:p>
      <w:pPr>
        <w:adjustRightInd/>
        <w:snapToGrid/>
        <w:spacing w:line="240" w:lineRule="auto"/>
        <w:jc w:val="left"/>
        <w:outlineLvl w:val="9"/>
        <w:rPr>
          <w:rFonts w:hint="eastAsia" w:ascii="黑体" w:hAnsi="黑体" w:eastAsia="黑体" w:cs="仿宋"/>
          <w:b/>
          <w:color w:val="FF0000"/>
          <w:sz w:val="36"/>
          <w:szCs w:val="36"/>
        </w:rPr>
      </w:pPr>
      <w:r>
        <w:rPr>
          <w:rFonts w:hint="eastAsia" w:ascii="黑体" w:hAnsi="黑体" w:eastAsia="黑体" w:cs="仿宋"/>
          <w:b/>
          <w:color w:val="FF0000"/>
          <w:sz w:val="36"/>
          <w:szCs w:val="36"/>
        </w:rPr>
        <w:br w:type="page"/>
      </w:r>
    </w:p>
    <w:p>
      <w:pPr>
        <w:adjustRightInd/>
        <w:snapToGrid/>
        <w:spacing w:line="360" w:lineRule="auto"/>
        <w:jc w:val="center"/>
        <w:outlineLvl w:val="0"/>
        <w:rPr>
          <w:rFonts w:hint="eastAsia" w:ascii="宋体" w:hAnsi="宋体"/>
          <w:b/>
          <w:color w:val="auto"/>
          <w:sz w:val="24"/>
        </w:rPr>
      </w:pPr>
      <w:bookmarkStart w:id="22" w:name="_Toc31289"/>
      <w:r>
        <w:rPr>
          <w:rFonts w:hint="eastAsia" w:ascii="黑体" w:hAnsi="黑体" w:eastAsia="黑体" w:cs="仿宋"/>
          <w:b/>
          <w:color w:val="auto"/>
          <w:sz w:val="36"/>
          <w:szCs w:val="36"/>
        </w:rPr>
        <w:t>第五章  采购需求</w:t>
      </w:r>
      <w:bookmarkEnd w:id="22"/>
      <w:r>
        <w:rPr>
          <w:rFonts w:hint="eastAsia" w:ascii="宋体" w:hAnsi="宋体"/>
          <w:b/>
          <w:color w:val="auto"/>
          <w:sz w:val="24"/>
        </w:rPr>
        <w:t xml:space="preserve"> </w:t>
      </w:r>
    </w:p>
    <w:p>
      <w:pPr>
        <w:pStyle w:val="5"/>
        <w:jc w:val="both"/>
        <w:rPr>
          <w:rFonts w:ascii="Arial" w:hAnsi="Arial"/>
        </w:rPr>
      </w:pPr>
      <w:r>
        <w:rPr>
          <w:rFonts w:hint="eastAsia"/>
          <w:lang w:val="en-US" w:eastAsia="zh-CN"/>
        </w:rPr>
        <w:t>一、</w:t>
      </w:r>
      <w:r>
        <w:rPr>
          <w:rFonts w:hint="eastAsia" w:ascii="黑体" w:hAnsi="黑体"/>
        </w:rPr>
        <w:t xml:space="preserve">采购项目简介 </w:t>
      </w:r>
    </w:p>
    <w:p>
      <w:pPr>
        <w:keepNext w:val="0"/>
        <w:keepLines w:val="0"/>
        <w:widowControl/>
        <w:suppressLineNumbers w:val="0"/>
        <w:jc w:val="left"/>
        <w:rPr>
          <w:rFonts w:hint="eastAsia" w:ascii="宋体" w:hAnsi="宋体" w:eastAsia="宋体" w:cs="宋体"/>
          <w:sz w:val="24"/>
        </w:rPr>
      </w:pP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一</w:t>
      </w:r>
      <w:r>
        <w:rPr>
          <w:rFonts w:hint="eastAsia" w:ascii="宋体" w:hAnsi="宋体" w:eastAsia="宋体" w:cs="宋体"/>
          <w:b w:val="0"/>
          <w:bCs w:val="0"/>
          <w:sz w:val="24"/>
          <w:lang w:eastAsia="zh-CN"/>
        </w:rPr>
        <w:t>）</w:t>
      </w:r>
      <w:r>
        <w:rPr>
          <w:rFonts w:hint="eastAsia" w:ascii="宋体" w:hAnsi="宋体" w:eastAsia="宋体" w:cs="宋体"/>
          <w:sz w:val="24"/>
        </w:rPr>
        <w:t>采购项目名称:</w:t>
      </w:r>
      <w:r>
        <w:rPr>
          <w:rFonts w:hint="eastAsia" w:ascii="宋体" w:hAnsi="宋体" w:eastAsia="宋体" w:cs="宋体"/>
          <w:color w:val="auto"/>
          <w:kern w:val="2"/>
          <w:sz w:val="24"/>
          <w:szCs w:val="24"/>
          <w:u w:val="none"/>
          <w:lang w:val="en-US" w:eastAsia="zh-CN" w:bidi="ar"/>
        </w:rPr>
        <w:t>岳阳城陵矶新港有限公司消防维保检测评估服务项目</w:t>
      </w:r>
    </w:p>
    <w:p>
      <w:pPr>
        <w:autoSpaceDE w:val="0"/>
        <w:spacing w:line="400" w:lineRule="exact"/>
        <w:jc w:val="both"/>
        <w:rPr>
          <w:rFonts w:hint="eastAsia" w:ascii="宋体" w:hAnsi="宋体" w:eastAsia="宋体" w:cs="宋体"/>
          <w:b w:val="0"/>
          <w:bCs w:val="0"/>
          <w:sz w:val="24"/>
        </w:rPr>
      </w:pP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二</w:t>
      </w:r>
      <w:r>
        <w:rPr>
          <w:rFonts w:hint="eastAsia" w:ascii="宋体" w:hAnsi="宋体" w:eastAsia="宋体" w:cs="宋体"/>
          <w:b w:val="0"/>
          <w:bCs w:val="0"/>
          <w:sz w:val="24"/>
          <w:lang w:eastAsia="zh-CN"/>
        </w:rPr>
        <w:t>）</w:t>
      </w:r>
      <w:r>
        <w:rPr>
          <w:rFonts w:hint="eastAsia" w:ascii="宋体" w:hAnsi="宋体" w:eastAsia="宋体" w:cs="宋体"/>
          <w:sz w:val="24"/>
        </w:rPr>
        <w:t>采购人:</w:t>
      </w:r>
      <w:r>
        <w:rPr>
          <w:rFonts w:hint="eastAsia" w:ascii="宋体" w:hAnsi="宋体" w:eastAsia="宋体" w:cs="宋体"/>
          <w:sz w:val="24"/>
          <w:u w:val="none"/>
          <w:lang w:eastAsia="zh-CN"/>
        </w:rPr>
        <w:t>岳阳城陵矶新港有限公司</w:t>
      </w:r>
    </w:p>
    <w:p>
      <w:pPr>
        <w:autoSpaceDE w:val="0"/>
        <w:spacing w:line="400" w:lineRule="exact"/>
        <w:jc w:val="both"/>
        <w:rPr>
          <w:rFonts w:hint="eastAsia" w:ascii="宋体" w:hAnsi="宋体" w:eastAsia="宋体" w:cs="宋体"/>
          <w:sz w:val="24"/>
          <w:highlight w:val="none"/>
        </w:rPr>
      </w:pP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lang w:val="en-US" w:eastAsia="zh-CN"/>
        </w:rPr>
        <w:t>三</w:t>
      </w:r>
      <w:r>
        <w:rPr>
          <w:rFonts w:hint="eastAsia" w:ascii="宋体" w:hAnsi="宋体" w:eastAsia="宋体" w:cs="宋体"/>
          <w:b w:val="0"/>
          <w:bCs w:val="0"/>
          <w:sz w:val="24"/>
          <w:highlight w:val="none"/>
          <w:lang w:eastAsia="zh-CN"/>
        </w:rPr>
        <w:t>）</w:t>
      </w:r>
      <w:r>
        <w:rPr>
          <w:rFonts w:hint="eastAsia" w:ascii="宋体" w:hAnsi="宋体" w:eastAsia="宋体" w:cs="宋体"/>
          <w:sz w:val="24"/>
          <w:highlight w:val="none"/>
        </w:rPr>
        <w:t>采购代理机构:</w:t>
      </w:r>
      <w:r>
        <w:rPr>
          <w:rFonts w:hint="eastAsia" w:ascii="宋体" w:hAnsi="宋体" w:eastAsia="宋体" w:cs="宋体"/>
          <w:sz w:val="24"/>
          <w:highlight w:val="none"/>
          <w:u w:val="none"/>
          <w:lang w:eastAsia="zh-CN"/>
        </w:rPr>
        <w:t>无</w:t>
      </w:r>
    </w:p>
    <w:p>
      <w:pPr>
        <w:autoSpaceDE w:val="0"/>
        <w:spacing w:line="400" w:lineRule="exact"/>
        <w:jc w:val="both"/>
        <w:rPr>
          <w:rFonts w:hint="eastAsia" w:ascii="宋体" w:hAnsi="宋体" w:eastAsia="宋体" w:cs="宋体"/>
          <w:sz w:val="24"/>
          <w:highlight w:val="none"/>
        </w:rPr>
      </w:pP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lang w:val="en-US" w:eastAsia="zh-CN"/>
        </w:rPr>
        <w:t>四</w:t>
      </w:r>
      <w:r>
        <w:rPr>
          <w:rFonts w:hint="eastAsia" w:ascii="宋体" w:hAnsi="宋体" w:eastAsia="宋体" w:cs="宋体"/>
          <w:b w:val="0"/>
          <w:bCs w:val="0"/>
          <w:sz w:val="24"/>
          <w:highlight w:val="none"/>
          <w:lang w:eastAsia="zh-CN"/>
        </w:rPr>
        <w:t>）</w:t>
      </w:r>
      <w:r>
        <w:rPr>
          <w:rFonts w:hint="eastAsia" w:ascii="宋体" w:hAnsi="宋体" w:eastAsia="宋体" w:cs="宋体"/>
          <w:sz w:val="24"/>
          <w:highlight w:val="none"/>
        </w:rPr>
        <w:t>采购项目资金落实情况:</w:t>
      </w:r>
      <w:r>
        <w:rPr>
          <w:rFonts w:hint="eastAsia" w:ascii="宋体" w:hAnsi="宋体" w:eastAsia="宋体" w:cs="宋体"/>
          <w:sz w:val="24"/>
          <w:highlight w:val="none"/>
          <w:u w:val="none"/>
          <w:lang w:eastAsia="zh-CN"/>
        </w:rPr>
        <w:t>已落实</w:t>
      </w:r>
    </w:p>
    <w:p>
      <w:pPr>
        <w:autoSpaceDE w:val="0"/>
        <w:spacing w:line="400" w:lineRule="exact"/>
        <w:jc w:val="both"/>
        <w:rPr>
          <w:rFonts w:hint="eastAsia" w:ascii="宋体" w:hAnsi="宋体" w:eastAsia="宋体" w:cs="宋体"/>
          <w:color w:val="auto"/>
          <w:kern w:val="44"/>
          <w:sz w:val="24"/>
          <w:szCs w:val="24"/>
          <w:highlight w:val="none"/>
          <w:u w:val="none"/>
          <w:lang w:val="en-US"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五</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采购项目概况: </w:t>
      </w:r>
      <w:r>
        <w:rPr>
          <w:rFonts w:hint="eastAsia" w:ascii="宋体" w:hAnsi="宋体" w:eastAsia="宋体" w:cs="宋体"/>
          <w:i w:val="0"/>
          <w:iCs w:val="0"/>
          <w:color w:val="auto"/>
          <w:sz w:val="24"/>
          <w:szCs w:val="24"/>
          <w:highlight w:val="none"/>
          <w:u w:val="none"/>
          <w:lang w:val="zh-CN" w:eastAsia="zh-CN"/>
        </w:rPr>
        <w:t>岳阳城陵矶新港有限公司</w:t>
      </w:r>
      <w:r>
        <w:rPr>
          <w:rFonts w:hint="eastAsia" w:ascii="宋体" w:hAnsi="宋体" w:eastAsia="宋体" w:cs="宋体"/>
          <w:i w:val="0"/>
          <w:iCs w:val="0"/>
          <w:color w:val="auto"/>
          <w:sz w:val="24"/>
          <w:szCs w:val="24"/>
          <w:highlight w:val="none"/>
          <w:u w:val="none"/>
          <w:lang w:val="en-US" w:eastAsia="zh-CN"/>
        </w:rPr>
        <w:t>主要从事集装箱装缷、堆存、中转、冷藏及拆装箱业务，</w:t>
      </w:r>
      <w:r>
        <w:rPr>
          <w:rFonts w:hint="eastAsia" w:ascii="宋体" w:hAnsi="宋体" w:cs="宋体"/>
          <w:i w:val="0"/>
          <w:iCs w:val="0"/>
          <w:color w:val="auto"/>
          <w:sz w:val="24"/>
          <w:szCs w:val="24"/>
          <w:highlight w:val="none"/>
          <w:u w:val="none"/>
          <w:lang w:val="en-US" w:eastAsia="zh-CN"/>
        </w:rPr>
        <w:t>公司</w:t>
      </w:r>
      <w:r>
        <w:rPr>
          <w:rFonts w:hint="eastAsia" w:ascii="宋体" w:hAnsi="宋体" w:eastAsia="宋体" w:cs="宋体"/>
          <w:color w:val="auto"/>
          <w:kern w:val="44"/>
          <w:sz w:val="24"/>
          <w:szCs w:val="24"/>
          <w:highlight w:val="none"/>
          <w:u w:val="none"/>
          <w:lang w:val="en-US" w:eastAsia="zh-CN"/>
        </w:rPr>
        <w:t>所有消防安全设施设备系统包含</w:t>
      </w:r>
      <w:r>
        <w:rPr>
          <w:rFonts w:hint="eastAsia" w:ascii="宋体" w:hAnsi="宋体" w:eastAsia="宋体" w:cs="宋体"/>
          <w:color w:val="auto"/>
          <w:kern w:val="0"/>
          <w:sz w:val="24"/>
          <w:szCs w:val="24"/>
          <w:highlight w:val="none"/>
          <w:lang w:eastAsia="zh-CN"/>
        </w:rPr>
        <w:t>火灾自动报警系统</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室内消火栓、室外消火栓</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自动喷水灭火系统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气体灭火系统 </w:t>
      </w:r>
      <w:r>
        <w:rPr>
          <w:rFonts w:hint="eastAsia" w:ascii="宋体" w:hAnsi="宋体" w:eastAsia="宋体" w:cs="宋体"/>
          <w:color w:val="auto"/>
          <w:kern w:val="0"/>
          <w:sz w:val="24"/>
          <w:szCs w:val="24"/>
          <w:highlight w:val="none"/>
          <w:lang w:eastAsia="zh-CN"/>
        </w:rPr>
        <w:t>、应急照明和疏散指示标志、消防分隔设施</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、灭火器</w:t>
      </w:r>
      <w:r>
        <w:rPr>
          <w:rFonts w:hint="eastAsia" w:ascii="宋体" w:hAnsi="宋体" w:eastAsia="宋体" w:cs="宋体"/>
          <w:color w:val="auto"/>
          <w:kern w:val="44"/>
          <w:sz w:val="24"/>
          <w:szCs w:val="24"/>
          <w:highlight w:val="none"/>
          <w:u w:val="none"/>
          <w:lang w:val="en-US" w:eastAsia="zh-CN"/>
        </w:rPr>
        <w:t>及其他建筑消防设施等。</w:t>
      </w:r>
      <w:r>
        <w:rPr>
          <w:rFonts w:hint="eastAsia" w:ascii="宋体" w:hAnsi="宋体" w:cs="宋体"/>
          <w:i w:val="0"/>
          <w:iCs w:val="0"/>
          <w:color w:val="auto"/>
          <w:sz w:val="24"/>
          <w:szCs w:val="24"/>
          <w:highlight w:val="none"/>
          <w:u w:val="none"/>
          <w:lang w:val="en-US" w:eastAsia="zh-CN"/>
        </w:rPr>
        <w:t>本</w:t>
      </w:r>
      <w:r>
        <w:rPr>
          <w:rFonts w:hint="eastAsia" w:ascii="宋体" w:hAnsi="宋体" w:eastAsia="宋体" w:cs="宋体"/>
          <w:i w:val="0"/>
          <w:iCs w:val="0"/>
          <w:color w:val="auto"/>
          <w:sz w:val="24"/>
          <w:szCs w:val="24"/>
          <w:highlight w:val="none"/>
          <w:u w:val="none"/>
          <w:lang w:val="zh-CN" w:eastAsia="zh-CN"/>
        </w:rPr>
        <w:t>项目</w:t>
      </w:r>
      <w:r>
        <w:rPr>
          <w:rFonts w:hint="eastAsia" w:ascii="宋体" w:hAnsi="宋体" w:cs="宋体"/>
          <w:i w:val="0"/>
          <w:iCs w:val="0"/>
          <w:color w:val="auto"/>
          <w:sz w:val="24"/>
          <w:szCs w:val="24"/>
          <w:highlight w:val="none"/>
          <w:u w:val="none"/>
          <w:lang w:val="en-US" w:eastAsia="zh-CN"/>
        </w:rPr>
        <w:t>询价内容含消防月度维保、消防年度检测、消防年度评估。</w:t>
      </w:r>
    </w:p>
    <w:p>
      <w:pPr>
        <w:pStyle w:val="46"/>
        <w:rPr>
          <w:rFonts w:hint="eastAsia" w:ascii="Times New Roman" w:hAnsi="Times New Roman" w:cs="Times New Roman"/>
          <w:color w:val="auto"/>
          <w:kern w:val="44"/>
          <w:sz w:val="24"/>
          <w:szCs w:val="24"/>
          <w:u w:val="none"/>
          <w:lang w:val="en-US" w:eastAsia="zh-CN"/>
        </w:rPr>
      </w:pPr>
    </w:p>
    <w:p>
      <w:pPr>
        <w:pStyle w:val="5"/>
        <w:jc w:val="both"/>
        <w:rPr>
          <w:rFonts w:ascii="Arial" w:hAnsi="Arial"/>
        </w:rPr>
      </w:pPr>
      <w:r>
        <w:rPr>
          <w:rFonts w:hint="eastAsia"/>
          <w:lang w:val="en-US" w:eastAsia="zh-CN"/>
        </w:rPr>
        <w:t>二、</w:t>
      </w:r>
      <w:r>
        <w:rPr>
          <w:rFonts w:hint="eastAsia" w:ascii="黑体" w:hAnsi="黑体"/>
        </w:rPr>
        <w:t xml:space="preserve">采购范围及相关要求 </w:t>
      </w:r>
    </w:p>
    <w:p>
      <w:pPr>
        <w:numPr>
          <w:ilvl w:val="255"/>
          <w:numId w:val="0"/>
        </w:numPr>
        <w:spacing w:line="360" w:lineRule="auto"/>
        <w:ind w:firstLine="0" w:firstLineChars="0"/>
        <w:jc w:val="left"/>
        <w:rPr>
          <w:rFonts w:hint="eastAsia" w:ascii="Times New Roman" w:hAnsi="Times New Roman" w:cs="Times New Roman"/>
          <w:b w:val="0"/>
          <w:bCs w:val="0"/>
          <w:color w:val="auto"/>
          <w:kern w:val="44"/>
          <w:sz w:val="24"/>
          <w:szCs w:val="24"/>
          <w:u w:val="none"/>
          <w:lang w:val="en-US" w:eastAsia="zh-CN"/>
        </w:rPr>
      </w:pPr>
      <w:r>
        <w:rPr>
          <w:rFonts w:hint="eastAsia" w:ascii="Times New Roman" w:hAnsi="Times New Roman" w:cs="Times New Roman"/>
          <w:b w:val="0"/>
          <w:bCs w:val="0"/>
          <w:color w:val="auto"/>
          <w:kern w:val="44"/>
          <w:sz w:val="24"/>
          <w:u w:val="none"/>
          <w:lang w:eastAsia="zh-CN"/>
        </w:rPr>
        <w:t>（</w:t>
      </w:r>
      <w:r>
        <w:rPr>
          <w:rFonts w:hint="eastAsia" w:ascii="Times New Roman" w:hAnsi="Times New Roman" w:cs="Times New Roman"/>
          <w:b w:val="0"/>
          <w:bCs w:val="0"/>
          <w:color w:val="auto"/>
          <w:kern w:val="44"/>
          <w:sz w:val="24"/>
          <w:u w:val="none"/>
          <w:lang w:val="en-US" w:eastAsia="zh-CN"/>
        </w:rPr>
        <w:t>一</w:t>
      </w:r>
      <w:r>
        <w:rPr>
          <w:rFonts w:hint="eastAsia" w:ascii="Times New Roman" w:hAnsi="Times New Roman" w:cs="Times New Roman"/>
          <w:b w:val="0"/>
          <w:bCs w:val="0"/>
          <w:color w:val="auto"/>
          <w:kern w:val="44"/>
          <w:sz w:val="24"/>
          <w:u w:val="none"/>
          <w:lang w:eastAsia="zh-CN"/>
        </w:rPr>
        <w:t>）</w:t>
      </w:r>
      <w:r>
        <w:rPr>
          <w:rFonts w:hint="eastAsia" w:ascii="Times New Roman" w:hAnsi="Times New Roman" w:cs="Times New Roman"/>
          <w:b w:val="0"/>
          <w:bCs w:val="0"/>
          <w:color w:val="auto"/>
          <w:kern w:val="44"/>
          <w:sz w:val="24"/>
          <w:u w:val="none"/>
        </w:rPr>
        <w:t xml:space="preserve"> </w:t>
      </w:r>
      <w:r>
        <w:rPr>
          <w:rFonts w:hint="eastAsia" w:ascii="Times New Roman" w:hAnsi="Times New Roman" w:cs="Times New Roman"/>
          <w:b w:val="0"/>
          <w:bCs w:val="0"/>
          <w:color w:val="auto"/>
          <w:kern w:val="44"/>
          <w:sz w:val="24"/>
          <w:szCs w:val="24"/>
          <w:u w:val="none"/>
          <w:lang w:eastAsia="zh-CN"/>
        </w:rPr>
        <w:t>询价</w:t>
      </w:r>
      <w:r>
        <w:rPr>
          <w:rFonts w:hint="eastAsia" w:ascii="Times New Roman" w:hAnsi="Times New Roman" w:cs="Times New Roman"/>
          <w:b w:val="0"/>
          <w:bCs w:val="0"/>
          <w:color w:val="auto"/>
          <w:kern w:val="44"/>
          <w:sz w:val="24"/>
          <w:szCs w:val="24"/>
          <w:u w:val="none"/>
        </w:rPr>
        <w:t>范围：</w:t>
      </w:r>
      <w:r>
        <w:rPr>
          <w:rFonts w:hint="eastAsia" w:ascii="Times New Roman" w:hAnsi="Times New Roman" w:cs="Times New Roman"/>
          <w:b w:val="0"/>
          <w:bCs w:val="0"/>
          <w:color w:val="auto"/>
          <w:kern w:val="44"/>
          <w:sz w:val="24"/>
          <w:szCs w:val="24"/>
          <w:u w:val="none"/>
          <w:lang w:eastAsia="zh-CN"/>
        </w:rPr>
        <w:t>新港公司</w:t>
      </w:r>
      <w:r>
        <w:rPr>
          <w:rFonts w:hint="eastAsia" w:ascii="Times New Roman" w:hAnsi="Times New Roman" w:cs="Times New Roman"/>
          <w:b w:val="0"/>
          <w:bCs w:val="0"/>
          <w:color w:val="auto"/>
          <w:kern w:val="44"/>
          <w:sz w:val="24"/>
          <w:szCs w:val="24"/>
          <w:u w:val="none"/>
          <w:lang w:val="zh-CN" w:eastAsia="zh-CN"/>
        </w:rPr>
        <w:t>消防</w:t>
      </w:r>
      <w:r>
        <w:rPr>
          <w:rFonts w:hint="eastAsia" w:ascii="Times New Roman" w:hAnsi="Times New Roman" w:cs="Times New Roman"/>
          <w:b w:val="0"/>
          <w:bCs w:val="0"/>
          <w:color w:val="auto"/>
          <w:kern w:val="44"/>
          <w:sz w:val="24"/>
          <w:szCs w:val="24"/>
          <w:u w:val="none"/>
          <w:lang w:val="en-US" w:eastAsia="zh-CN"/>
        </w:rPr>
        <w:t>设施</w:t>
      </w:r>
      <w:r>
        <w:rPr>
          <w:rFonts w:hint="eastAsia" w:ascii="Times New Roman" w:hAnsi="Times New Roman" w:eastAsia="宋体" w:cs="Times New Roman"/>
          <w:b w:val="0"/>
          <w:bCs w:val="0"/>
          <w:color w:val="auto"/>
          <w:kern w:val="44"/>
          <w:sz w:val="24"/>
          <w:szCs w:val="24"/>
          <w:u w:val="none"/>
          <w:lang w:val="zh-CN" w:eastAsia="zh-CN"/>
        </w:rPr>
        <w:t>维保</w:t>
      </w:r>
      <w:r>
        <w:rPr>
          <w:rFonts w:hint="eastAsia" w:ascii="Times New Roman" w:hAnsi="Times New Roman" w:cs="Times New Roman"/>
          <w:b w:val="0"/>
          <w:bCs w:val="0"/>
          <w:color w:val="auto"/>
          <w:kern w:val="44"/>
          <w:sz w:val="24"/>
          <w:szCs w:val="24"/>
          <w:u w:val="none"/>
          <w:lang w:val="zh-CN" w:eastAsia="zh-CN"/>
        </w:rPr>
        <w:t>检测</w:t>
      </w:r>
      <w:r>
        <w:rPr>
          <w:rFonts w:hint="eastAsia" w:ascii="Times New Roman" w:hAnsi="Times New Roman" w:eastAsia="宋体" w:cs="Times New Roman"/>
          <w:b w:val="0"/>
          <w:bCs w:val="0"/>
          <w:color w:val="auto"/>
          <w:kern w:val="44"/>
          <w:sz w:val="24"/>
          <w:szCs w:val="24"/>
          <w:u w:val="none"/>
          <w:lang w:val="en-US" w:eastAsia="zh-CN"/>
        </w:rPr>
        <w:t>评估</w:t>
      </w:r>
      <w:r>
        <w:rPr>
          <w:rFonts w:hint="eastAsia" w:ascii="Times New Roman" w:hAnsi="Times New Roman" w:eastAsia="宋体" w:cs="Times New Roman"/>
          <w:b w:val="0"/>
          <w:bCs w:val="0"/>
          <w:color w:val="auto"/>
          <w:kern w:val="44"/>
          <w:sz w:val="24"/>
          <w:szCs w:val="24"/>
          <w:u w:val="none"/>
          <w:lang w:val="zh-CN" w:eastAsia="zh-CN"/>
        </w:rPr>
        <w:t>项目</w:t>
      </w:r>
      <w:r>
        <w:rPr>
          <w:rFonts w:hint="eastAsia" w:ascii="Times New Roman" w:hAnsi="Times New Roman" w:cs="Times New Roman"/>
          <w:b w:val="0"/>
          <w:bCs w:val="0"/>
          <w:color w:val="auto"/>
          <w:kern w:val="44"/>
          <w:sz w:val="24"/>
          <w:szCs w:val="24"/>
          <w:u w:val="none"/>
          <w:lang w:val="zh-CN" w:eastAsia="zh-CN"/>
        </w:rPr>
        <w:t>询价</w:t>
      </w:r>
      <w:r>
        <w:rPr>
          <w:rFonts w:hint="eastAsia" w:ascii="Times New Roman" w:hAnsi="Times New Roman" w:cs="Times New Roman"/>
          <w:b w:val="0"/>
          <w:bCs w:val="0"/>
          <w:color w:val="auto"/>
          <w:kern w:val="44"/>
          <w:sz w:val="24"/>
          <w:szCs w:val="24"/>
          <w:u w:val="none"/>
          <w:lang w:val="en-US" w:eastAsia="zh-CN"/>
        </w:rPr>
        <w:t>内容</w:t>
      </w:r>
      <w:r>
        <w:rPr>
          <w:rFonts w:hint="eastAsia" w:cs="Times New Roman"/>
          <w:b w:val="0"/>
          <w:bCs w:val="0"/>
          <w:color w:val="auto"/>
          <w:kern w:val="44"/>
          <w:sz w:val="24"/>
          <w:szCs w:val="24"/>
          <w:u w:val="none"/>
          <w:lang w:val="en-US" w:eastAsia="zh-CN"/>
        </w:rPr>
        <w:t>如下</w:t>
      </w:r>
      <w:r>
        <w:rPr>
          <w:rFonts w:hint="eastAsia" w:ascii="Times New Roman" w:hAnsi="Times New Roman" w:cs="Times New Roman"/>
          <w:b w:val="0"/>
          <w:bCs w:val="0"/>
          <w:color w:val="auto"/>
          <w:kern w:val="44"/>
          <w:sz w:val="24"/>
          <w:szCs w:val="24"/>
          <w:u w:val="none"/>
          <w:lang w:val="en-US" w:eastAsia="zh-CN"/>
        </w:rPr>
        <w:t>：</w:t>
      </w:r>
    </w:p>
    <w:p>
      <w:pPr>
        <w:pStyle w:val="46"/>
        <w:rPr>
          <w:rFonts w:hint="eastAsia"/>
          <w:lang w:val="en-US" w:eastAsia="zh-CN"/>
        </w:rPr>
      </w:pPr>
    </w:p>
    <w:tbl>
      <w:tblPr>
        <w:tblStyle w:val="37"/>
        <w:tblW w:w="84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7"/>
        <w:gridCol w:w="1061"/>
        <w:gridCol w:w="6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消防设施维保</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对火灾自动报警系统、自动喷水灭火系统、气体灭火系统、室内消火栓、室外消火栓、消防分隔设施 、应急照明和疏散指示标志等进行维护保养</w:t>
            </w:r>
            <w:r>
              <w:rPr>
                <w:rFonts w:hint="eastAsia" w:ascii="宋体" w:hAnsi="宋体" w:cs="宋体"/>
                <w:i w:val="0"/>
                <w:iCs w:val="0"/>
                <w:color w:val="000000"/>
                <w:kern w:val="0"/>
                <w:sz w:val="22"/>
                <w:szCs w:val="22"/>
                <w:u w:val="none"/>
                <w:lang w:val="en-US" w:eastAsia="zh-CN" w:bidi="ar"/>
              </w:rPr>
              <w:t>（含烟感探头及其他消防设施移位、增设等施工的人工费用）</w:t>
            </w:r>
            <w:r>
              <w:rPr>
                <w:rFonts w:hint="eastAsia" w:ascii="宋体" w:hAnsi="宋体" w:eastAsia="宋体" w:cs="宋体"/>
                <w:i w:val="0"/>
                <w:iCs w:val="0"/>
                <w:color w:val="000000"/>
                <w:kern w:val="0"/>
                <w:sz w:val="22"/>
                <w:szCs w:val="22"/>
                <w:u w:val="none"/>
                <w:lang w:val="en-US" w:eastAsia="zh-CN" w:bidi="ar"/>
              </w:rPr>
              <w:t>。维护期为一年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消防设施检测</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对火灾自动报警系统、火灾应急照明、疏散标志指示、室外消火栓系统、室内消火栓系统、自动喷水灭火系统、气体灭火系统等所有消防设施进行检测并出具检测报告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消防安全评估</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开展消防安全管理评估、建筑防火评估、消防设施评估</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并出具</w:t>
            </w:r>
            <w:r>
              <w:rPr>
                <w:rFonts w:hint="eastAsia" w:ascii="宋体" w:hAnsi="宋体" w:cs="宋体"/>
                <w:i w:val="0"/>
                <w:iCs w:val="0"/>
                <w:color w:val="auto"/>
                <w:kern w:val="0"/>
                <w:sz w:val="22"/>
                <w:szCs w:val="22"/>
                <w:u w:val="none"/>
                <w:lang w:val="en-US" w:eastAsia="zh-CN" w:bidi="ar"/>
              </w:rPr>
              <w:t>消防</w:t>
            </w:r>
            <w:r>
              <w:rPr>
                <w:rFonts w:hint="eastAsia" w:ascii="宋体" w:hAnsi="宋体" w:eastAsia="宋体" w:cs="宋体"/>
                <w:i w:val="0"/>
                <w:iCs w:val="0"/>
                <w:color w:val="auto"/>
                <w:kern w:val="0"/>
                <w:sz w:val="22"/>
                <w:szCs w:val="22"/>
                <w:u w:val="none"/>
                <w:lang w:val="en-US" w:eastAsia="zh-CN" w:bidi="ar"/>
              </w:rPr>
              <w:t>安全评估报告</w:t>
            </w:r>
          </w:p>
        </w:tc>
      </w:tr>
    </w:tbl>
    <w:p>
      <w:pPr>
        <w:numPr>
          <w:ilvl w:val="255"/>
          <w:numId w:val="0"/>
        </w:numPr>
        <w:autoSpaceDE/>
        <w:spacing w:line="360" w:lineRule="auto"/>
        <w:jc w:val="left"/>
        <w:rPr>
          <w:rFonts w:hint="eastAsia" w:ascii="宋体" w:hAnsi="宋体" w:eastAsia="宋体" w:cs="宋体"/>
          <w:b w:val="0"/>
          <w:bCs w:val="0"/>
          <w:color w:val="auto"/>
          <w:kern w:val="44"/>
          <w:sz w:val="24"/>
          <w:u w:val="none"/>
          <w:lang w:eastAsia="zh-CN"/>
        </w:rPr>
      </w:pPr>
    </w:p>
    <w:p>
      <w:pPr>
        <w:numPr>
          <w:ilvl w:val="255"/>
          <w:numId w:val="0"/>
        </w:numPr>
        <w:autoSpaceDE/>
        <w:spacing w:line="360" w:lineRule="auto"/>
        <w:jc w:val="left"/>
        <w:rPr>
          <w:rFonts w:hint="eastAsia" w:ascii="宋体" w:hAnsi="宋体" w:eastAsia="宋体" w:cs="宋体"/>
          <w:b w:val="0"/>
          <w:bCs w:val="0"/>
          <w:color w:val="auto"/>
          <w:kern w:val="44"/>
          <w:sz w:val="24"/>
          <w:u w:val="none"/>
          <w:lang w:eastAsia="zh-CN"/>
        </w:rPr>
      </w:pPr>
      <w:r>
        <w:rPr>
          <w:rFonts w:hint="eastAsia" w:ascii="宋体" w:hAnsi="宋体" w:eastAsia="宋体" w:cs="宋体"/>
          <w:b w:val="0"/>
          <w:bCs w:val="0"/>
          <w:color w:val="auto"/>
          <w:kern w:val="44"/>
          <w:sz w:val="24"/>
          <w:u w:val="none"/>
          <w:lang w:eastAsia="zh-CN"/>
        </w:rPr>
        <w:t>（</w:t>
      </w:r>
      <w:r>
        <w:rPr>
          <w:rFonts w:hint="eastAsia" w:ascii="宋体" w:hAnsi="宋体" w:eastAsia="宋体" w:cs="宋体"/>
          <w:b w:val="0"/>
          <w:bCs w:val="0"/>
          <w:color w:val="auto"/>
          <w:kern w:val="44"/>
          <w:sz w:val="24"/>
          <w:u w:val="none"/>
          <w:lang w:val="en-US" w:eastAsia="zh-CN"/>
        </w:rPr>
        <w:t>二</w:t>
      </w:r>
      <w:r>
        <w:rPr>
          <w:rFonts w:hint="eastAsia" w:ascii="宋体" w:hAnsi="宋体" w:eastAsia="宋体" w:cs="宋体"/>
          <w:b w:val="0"/>
          <w:bCs w:val="0"/>
          <w:color w:val="auto"/>
          <w:kern w:val="44"/>
          <w:sz w:val="24"/>
          <w:u w:val="none"/>
          <w:lang w:eastAsia="zh-CN"/>
        </w:rPr>
        <w:t>）</w:t>
      </w:r>
      <w:r>
        <w:rPr>
          <w:rFonts w:hint="eastAsia" w:ascii="宋体" w:hAnsi="宋体" w:eastAsia="宋体" w:cs="宋体"/>
          <w:b w:val="0"/>
          <w:bCs w:val="0"/>
          <w:color w:val="auto"/>
          <w:kern w:val="44"/>
          <w:sz w:val="24"/>
          <w:u w:val="none"/>
        </w:rPr>
        <w:t xml:space="preserve"> </w:t>
      </w:r>
      <w:r>
        <w:rPr>
          <w:rFonts w:hint="eastAsia" w:ascii="宋体" w:hAnsi="宋体" w:eastAsia="宋体" w:cs="宋体"/>
          <w:color w:val="auto"/>
          <w:kern w:val="44"/>
          <w:sz w:val="24"/>
          <w:szCs w:val="24"/>
          <w:u w:val="none"/>
        </w:rPr>
        <w:t>服务工期</w:t>
      </w:r>
      <w:r>
        <w:rPr>
          <w:rFonts w:hint="eastAsia" w:ascii="宋体" w:hAnsi="宋体" w:eastAsia="宋体" w:cs="宋体"/>
          <w:color w:val="auto"/>
          <w:kern w:val="44"/>
          <w:sz w:val="24"/>
          <w:szCs w:val="24"/>
          <w:u w:val="none"/>
          <w:lang w:eastAsia="zh-CN"/>
        </w:rPr>
        <w:t>：消防设施检测及消防安全评估需在合同签订后</w:t>
      </w:r>
      <w:r>
        <w:rPr>
          <w:rFonts w:hint="eastAsia" w:ascii="宋体" w:hAnsi="宋体" w:eastAsia="宋体" w:cs="宋体"/>
          <w:color w:val="auto"/>
          <w:kern w:val="44"/>
          <w:sz w:val="24"/>
          <w:szCs w:val="24"/>
          <w:u w:val="none"/>
          <w:lang w:val="en-US" w:eastAsia="zh-CN"/>
        </w:rPr>
        <w:t>30日内完成检测报告及安全评估报告；消防设施维保期为一年，</w:t>
      </w:r>
      <w:r>
        <w:rPr>
          <w:rFonts w:hint="eastAsia" w:ascii="宋体" w:hAnsi="宋体" w:cs="宋体"/>
          <w:color w:val="auto"/>
          <w:kern w:val="44"/>
          <w:sz w:val="24"/>
          <w:szCs w:val="24"/>
          <w:u w:val="none"/>
          <w:lang w:val="en-US" w:eastAsia="zh-CN"/>
        </w:rPr>
        <w:t>每月10日前出具上月消防设施维护保养报告书，</w:t>
      </w:r>
      <w:r>
        <w:rPr>
          <w:rFonts w:hint="eastAsia" w:ascii="宋体" w:hAnsi="宋体" w:eastAsia="宋体" w:cs="宋体"/>
          <w:color w:val="auto"/>
          <w:kern w:val="44"/>
          <w:sz w:val="24"/>
          <w:szCs w:val="24"/>
          <w:u w:val="none"/>
          <w:lang w:val="en-US" w:eastAsia="zh-CN"/>
        </w:rPr>
        <w:t>具体按中标单位实际方案施行。</w:t>
      </w:r>
    </w:p>
    <w:p>
      <w:pPr>
        <w:numPr>
          <w:ilvl w:val="255"/>
          <w:numId w:val="0"/>
        </w:numPr>
        <w:autoSpaceDE/>
        <w:spacing w:line="360" w:lineRule="auto"/>
        <w:jc w:val="left"/>
        <w:rPr>
          <w:rFonts w:hint="eastAsia" w:ascii="宋体" w:hAnsi="宋体" w:eastAsia="宋体" w:cs="宋体"/>
          <w:b w:val="0"/>
          <w:bCs w:val="0"/>
          <w:color w:val="auto"/>
          <w:kern w:val="44"/>
          <w:sz w:val="24"/>
          <w:u w:val="none"/>
        </w:rPr>
      </w:pPr>
      <w:r>
        <w:rPr>
          <w:rFonts w:hint="eastAsia" w:ascii="宋体" w:hAnsi="宋体" w:eastAsia="宋体" w:cs="宋体"/>
          <w:b w:val="0"/>
          <w:bCs w:val="0"/>
          <w:color w:val="auto"/>
          <w:kern w:val="44"/>
          <w:sz w:val="24"/>
          <w:u w:val="none"/>
          <w:lang w:eastAsia="zh-CN"/>
        </w:rPr>
        <w:t>（</w:t>
      </w:r>
      <w:r>
        <w:rPr>
          <w:rFonts w:hint="eastAsia" w:ascii="宋体" w:hAnsi="宋体" w:eastAsia="宋体" w:cs="宋体"/>
          <w:b w:val="0"/>
          <w:bCs w:val="0"/>
          <w:color w:val="auto"/>
          <w:kern w:val="44"/>
          <w:sz w:val="24"/>
          <w:u w:val="none"/>
          <w:lang w:val="en-US" w:eastAsia="zh-CN"/>
        </w:rPr>
        <w:t>三</w:t>
      </w:r>
      <w:r>
        <w:rPr>
          <w:rFonts w:hint="eastAsia" w:ascii="宋体" w:hAnsi="宋体" w:eastAsia="宋体" w:cs="宋体"/>
          <w:b w:val="0"/>
          <w:bCs w:val="0"/>
          <w:color w:val="auto"/>
          <w:kern w:val="44"/>
          <w:sz w:val="24"/>
          <w:u w:val="none"/>
          <w:lang w:eastAsia="zh-CN"/>
        </w:rPr>
        <w:t>）</w:t>
      </w:r>
      <w:r>
        <w:rPr>
          <w:rFonts w:hint="eastAsia" w:ascii="宋体" w:hAnsi="宋体" w:eastAsia="宋体" w:cs="宋体"/>
          <w:b w:val="0"/>
          <w:bCs w:val="0"/>
          <w:color w:val="auto"/>
          <w:kern w:val="44"/>
          <w:sz w:val="24"/>
          <w:u w:val="none"/>
        </w:rPr>
        <w:t xml:space="preserve">服务地点: </w:t>
      </w:r>
      <w:r>
        <w:rPr>
          <w:rFonts w:hint="eastAsia" w:ascii="宋体" w:hAnsi="宋体" w:eastAsia="宋体" w:cs="宋体"/>
          <w:b w:val="0"/>
          <w:bCs w:val="0"/>
          <w:color w:val="auto"/>
          <w:kern w:val="44"/>
          <w:sz w:val="24"/>
          <w:u w:val="none"/>
          <w:lang w:eastAsia="zh-CN"/>
        </w:rPr>
        <w:t>岳阳城陵矶新港有限公司</w:t>
      </w:r>
    </w:p>
    <w:p>
      <w:pPr>
        <w:numPr>
          <w:ilvl w:val="-1"/>
          <w:numId w:val="0"/>
        </w:numPr>
        <w:autoSpaceDE/>
        <w:spacing w:line="440" w:lineRule="exact"/>
        <w:ind w:firstLine="0" w:firstLineChars="0"/>
        <w:jc w:val="left"/>
        <w:rPr>
          <w:rFonts w:hint="eastAsia" w:ascii="宋体" w:hAnsi="宋体" w:eastAsia="宋体" w:cs="宋体"/>
          <w:color w:val="auto"/>
          <w:kern w:val="44"/>
          <w:sz w:val="24"/>
          <w:u w:val="none"/>
          <w:lang w:val="en-US" w:eastAsia="zh-CN"/>
        </w:rPr>
      </w:pPr>
      <w:r>
        <w:rPr>
          <w:rFonts w:hint="eastAsia" w:ascii="宋体" w:hAnsi="宋体" w:eastAsia="宋体" w:cs="宋体"/>
          <w:b w:val="0"/>
          <w:bCs w:val="0"/>
          <w:color w:val="auto"/>
          <w:kern w:val="44"/>
          <w:sz w:val="24"/>
          <w:u w:val="none"/>
          <w:lang w:eastAsia="zh-CN"/>
        </w:rPr>
        <w:t>（</w:t>
      </w:r>
      <w:r>
        <w:rPr>
          <w:rFonts w:hint="eastAsia" w:ascii="宋体" w:hAnsi="宋体" w:eastAsia="宋体" w:cs="宋体"/>
          <w:b w:val="0"/>
          <w:bCs w:val="0"/>
          <w:color w:val="auto"/>
          <w:kern w:val="44"/>
          <w:sz w:val="24"/>
          <w:u w:val="none"/>
          <w:lang w:val="en-US" w:eastAsia="zh-CN"/>
        </w:rPr>
        <w:t>四</w:t>
      </w:r>
      <w:r>
        <w:rPr>
          <w:rFonts w:hint="eastAsia" w:ascii="宋体" w:hAnsi="宋体" w:eastAsia="宋体" w:cs="宋体"/>
          <w:b w:val="0"/>
          <w:bCs w:val="0"/>
          <w:color w:val="auto"/>
          <w:kern w:val="44"/>
          <w:sz w:val="24"/>
          <w:u w:val="none"/>
          <w:lang w:eastAsia="zh-CN"/>
        </w:rPr>
        <w:t>）</w:t>
      </w:r>
      <w:r>
        <w:rPr>
          <w:rFonts w:hint="eastAsia" w:ascii="宋体" w:hAnsi="宋体" w:eastAsia="宋体" w:cs="宋体"/>
          <w:b w:val="0"/>
          <w:bCs w:val="0"/>
          <w:color w:val="auto"/>
          <w:kern w:val="44"/>
          <w:sz w:val="24"/>
          <w:u w:val="none"/>
        </w:rPr>
        <w:t xml:space="preserve"> 质量要</w:t>
      </w:r>
      <w:r>
        <w:rPr>
          <w:rFonts w:hint="eastAsia" w:ascii="宋体" w:hAnsi="宋体" w:eastAsia="宋体" w:cs="宋体"/>
          <w:color w:val="auto"/>
          <w:kern w:val="44"/>
          <w:sz w:val="24"/>
          <w:u w:val="none"/>
        </w:rPr>
        <w:t>求或服务标准:</w:t>
      </w:r>
      <w:r>
        <w:rPr>
          <w:rFonts w:hint="eastAsia" w:ascii="宋体" w:hAnsi="宋体" w:cs="宋体"/>
          <w:color w:val="auto"/>
          <w:kern w:val="44"/>
          <w:sz w:val="24"/>
          <w:u w:val="none"/>
          <w:lang w:val="en-US" w:eastAsia="zh-CN"/>
        </w:rPr>
        <w:t>供应商</w:t>
      </w:r>
      <w:r>
        <w:rPr>
          <w:rFonts w:hint="eastAsia"/>
          <w:color w:val="auto"/>
          <w:sz w:val="24"/>
          <w:szCs w:val="24"/>
          <w:lang w:val="en-US" w:eastAsia="zh-CN"/>
        </w:rPr>
        <w:t>实施方案应按服务项目分类为消防设施维保方案、消防设施检测方案及安全评估方案。</w:t>
      </w:r>
      <w:r>
        <w:rPr>
          <w:rFonts w:hint="eastAsia" w:ascii="宋体" w:hAnsi="宋体" w:cs="宋体"/>
          <w:color w:val="auto"/>
          <w:kern w:val="44"/>
          <w:sz w:val="24"/>
          <w:u w:val="none"/>
          <w:lang w:val="en-US" w:eastAsia="zh-CN"/>
        </w:rPr>
        <w:t>相关内容</w:t>
      </w:r>
      <w:r>
        <w:rPr>
          <w:rFonts w:hint="eastAsia" w:ascii="宋体" w:hAnsi="宋体" w:eastAsia="宋体" w:cs="宋体"/>
          <w:color w:val="auto"/>
          <w:kern w:val="44"/>
          <w:sz w:val="24"/>
          <w:u w:val="none"/>
        </w:rPr>
        <w:t>符合</w:t>
      </w:r>
      <w:r>
        <w:rPr>
          <w:rFonts w:hint="eastAsia" w:ascii="宋体" w:hAnsi="宋体" w:cs="宋体"/>
          <w:color w:val="auto"/>
          <w:kern w:val="44"/>
          <w:sz w:val="24"/>
          <w:u w:val="none"/>
          <w:lang w:eastAsia="zh-CN"/>
        </w:rPr>
        <w:t>《</w:t>
      </w:r>
      <w:r>
        <w:rPr>
          <w:rFonts w:hint="eastAsia" w:ascii="宋体" w:hAnsi="宋体" w:cs="宋体"/>
          <w:color w:val="auto"/>
          <w:kern w:val="44"/>
          <w:sz w:val="24"/>
          <w:u w:val="none"/>
          <w:lang w:val="en-US" w:eastAsia="zh-CN"/>
        </w:rPr>
        <w:t>GB25201-2010建筑消防设施的维护管理 》及国家</w:t>
      </w:r>
      <w:r>
        <w:rPr>
          <w:rFonts w:hint="eastAsia" w:ascii="宋体" w:hAnsi="宋体" w:eastAsia="宋体" w:cs="宋体"/>
          <w:color w:val="auto"/>
          <w:kern w:val="44"/>
          <w:sz w:val="24"/>
          <w:u w:val="none"/>
        </w:rPr>
        <w:t>现行消防行业标准主要</w:t>
      </w:r>
      <w:r>
        <w:rPr>
          <w:rFonts w:hint="eastAsia" w:ascii="宋体" w:hAnsi="宋体" w:cs="宋体"/>
          <w:color w:val="auto"/>
          <w:kern w:val="44"/>
          <w:sz w:val="24"/>
          <w:u w:val="none"/>
          <w:lang w:val="en-US" w:eastAsia="zh-CN"/>
        </w:rPr>
        <w:t>要</w:t>
      </w:r>
      <w:r>
        <w:rPr>
          <w:rFonts w:hint="eastAsia" w:ascii="宋体" w:hAnsi="宋体" w:eastAsia="宋体" w:cs="宋体"/>
          <w:color w:val="auto"/>
          <w:kern w:val="44"/>
          <w:sz w:val="24"/>
          <w:u w:val="none"/>
        </w:rPr>
        <w:t>求</w:t>
      </w:r>
      <w:r>
        <w:rPr>
          <w:rFonts w:hint="eastAsia" w:ascii="宋体" w:hAnsi="宋体" w:cs="宋体"/>
          <w:color w:val="auto"/>
          <w:kern w:val="44"/>
          <w:sz w:val="24"/>
          <w:u w:val="none"/>
          <w:lang w:eastAsia="zh-CN"/>
        </w:rPr>
        <w:t>，</w:t>
      </w:r>
      <w:r>
        <w:rPr>
          <w:rFonts w:hint="eastAsia" w:ascii="宋体" w:hAnsi="宋体" w:cs="宋体"/>
          <w:color w:val="auto"/>
          <w:kern w:val="44"/>
          <w:sz w:val="24"/>
          <w:u w:val="none"/>
          <w:lang w:val="en-US" w:eastAsia="zh-CN"/>
        </w:rPr>
        <w:t>按时</w:t>
      </w:r>
      <w:r>
        <w:rPr>
          <w:rFonts w:hint="eastAsia" w:ascii="宋体" w:hAnsi="宋体" w:eastAsia="宋体" w:cs="宋体"/>
          <w:color w:val="auto"/>
          <w:kern w:val="44"/>
          <w:sz w:val="24"/>
          <w:u w:val="none"/>
        </w:rPr>
        <w:t>出具</w:t>
      </w:r>
      <w:r>
        <w:rPr>
          <w:rFonts w:hint="eastAsia" w:ascii="宋体" w:hAnsi="宋体" w:cs="宋体"/>
          <w:color w:val="auto"/>
          <w:kern w:val="44"/>
          <w:sz w:val="24"/>
          <w:u w:val="none"/>
          <w:lang w:val="en-US" w:eastAsia="zh-CN"/>
        </w:rPr>
        <w:t>相应的</w:t>
      </w:r>
      <w:r>
        <w:rPr>
          <w:rFonts w:hint="eastAsia" w:ascii="宋体" w:hAnsi="宋体" w:eastAsia="宋体" w:cs="宋体"/>
          <w:color w:val="auto"/>
          <w:kern w:val="44"/>
          <w:sz w:val="24"/>
          <w:u w:val="none"/>
        </w:rPr>
        <w:t>报告文本。</w:t>
      </w:r>
    </w:p>
    <w:p>
      <w:pPr>
        <w:pStyle w:val="5"/>
        <w:rPr>
          <w:rFonts w:hint="eastAsia" w:asciiTheme="majorHAnsi" w:hAnsiTheme="majorHAnsi"/>
          <w:sz w:val="28"/>
        </w:rPr>
      </w:pPr>
      <w:r>
        <w:rPr>
          <w:rFonts w:hint="eastAsia" w:asciiTheme="majorHAnsi" w:hAnsiTheme="majorHAnsi"/>
          <w:sz w:val="28"/>
          <w:lang w:val="en-US" w:eastAsia="zh-CN"/>
        </w:rPr>
        <w:t xml:space="preserve">三 </w:t>
      </w:r>
      <w:r>
        <w:rPr>
          <w:rFonts w:hint="eastAsia" w:asciiTheme="majorHAnsi" w:hAnsiTheme="majorHAnsi"/>
          <w:sz w:val="28"/>
        </w:rPr>
        <w:t>其它需要说明的事项</w:t>
      </w:r>
    </w:p>
    <w:p>
      <w:pPr>
        <w:numPr>
          <w:ilvl w:val="0"/>
          <w:numId w:val="0"/>
        </w:numPr>
        <w:tabs>
          <w:tab w:val="left" w:pos="0"/>
        </w:tabs>
        <w:spacing w:line="400" w:lineRule="exact"/>
        <w:rPr>
          <w:rFonts w:hint="eastAsia" w:ascii="宋体" w:hAnsi="宋体" w:eastAsia="宋体" w:cs="宋体"/>
          <w:lang w:val="en-US" w:eastAsia="zh-CN"/>
        </w:rPr>
      </w:pPr>
      <w:r>
        <w:rPr>
          <w:rFonts w:hint="eastAsia" w:ascii="宋体" w:hAnsi="宋体" w:eastAsia="宋体" w:cs="宋体"/>
          <w:lang w:val="en-US" w:eastAsia="zh-CN"/>
        </w:rPr>
        <w:t>维保计划方案：</w:t>
      </w:r>
    </w:p>
    <w:tbl>
      <w:tblPr>
        <w:tblStyle w:val="37"/>
        <w:tblW w:w="9877" w:type="dxa"/>
        <w:tblInd w:w="-26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78"/>
        <w:gridCol w:w="1061"/>
        <w:gridCol w:w="2186"/>
        <w:gridCol w:w="1007"/>
        <w:gridCol w:w="50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639" w:type="dxa"/>
            <w:gridSpan w:val="2"/>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维保项目</w:t>
            </w:r>
          </w:p>
        </w:tc>
        <w:tc>
          <w:tcPr>
            <w:tcW w:w="2186"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维保内容</w:t>
            </w:r>
          </w:p>
        </w:tc>
        <w:tc>
          <w:tcPr>
            <w:tcW w:w="100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维保周期</w:t>
            </w:r>
          </w:p>
        </w:tc>
        <w:tc>
          <w:tcPr>
            <w:tcW w:w="5045"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工作标准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1" w:hRule="atLeast"/>
        </w:trPr>
        <w:tc>
          <w:tcPr>
            <w:tcW w:w="578" w:type="dxa"/>
            <w:vMerge w:val="restart"/>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火灾自动报警系统</w:t>
            </w:r>
          </w:p>
        </w:tc>
        <w:tc>
          <w:tcPr>
            <w:tcW w:w="1061"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火灾探测器</w:t>
            </w: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运行状态，抽取数量不少于总数25%的火灾探测器试验报警功能，年内全部测试一遍。</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每季度一次</w:t>
            </w:r>
          </w:p>
        </w:tc>
        <w:tc>
          <w:tcPr>
            <w:tcW w:w="5045" w:type="dxa"/>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指示灯显示正常，探测器周围0.5m内无遮挡物；探测器在规定的时间内向火灾报警控制器输出火警信号，启动探测器报警确认灯；探测器报警确认灯在手动复位前予以保持。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1"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手动报警按钮</w:t>
            </w: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运行状态，抽取数量不少于总数25%的手动报警按钮试验报警功能，年内全部测试一遍。</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每季度一次</w:t>
            </w:r>
          </w:p>
        </w:tc>
        <w:tc>
          <w:tcPr>
            <w:tcW w:w="5045" w:type="dxa"/>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外观完好，启动零件未破碎、变形或移位；触发后，向报警控制器输出火警信号，启动报警确认灯，能手动复位。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0"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vMerge w:val="restart"/>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火灾报警控制器</w:t>
            </w: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运行状况</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每月一次</w:t>
            </w:r>
          </w:p>
        </w:tc>
        <w:tc>
          <w:tcPr>
            <w:tcW w:w="5045" w:type="dxa"/>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指示灯及开关按钮等完好，显示正常，文字符号标识清晰。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8"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vMerge w:val="continue"/>
            <w:noWrap w:val="0"/>
            <w:vAlign w:val="center"/>
          </w:tcPr>
          <w:p>
            <w:pPr>
              <w:widowControl/>
              <w:jc w:val="left"/>
              <w:rPr>
                <w:rFonts w:hint="eastAsia" w:ascii="宋体" w:hAnsi="宋体" w:eastAsia="宋体" w:cs="宋体"/>
                <w:kern w:val="0"/>
                <w:sz w:val="18"/>
                <w:szCs w:val="18"/>
              </w:rPr>
            </w:pP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检测接地电阻</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每月一次</w:t>
            </w:r>
          </w:p>
        </w:tc>
        <w:tc>
          <w:tcPr>
            <w:tcW w:w="5045" w:type="dxa"/>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接地电阻值符合要求（采用专用接地装置时，接地电阻值不大于4Ω；采用共用接地装置时，接地电阻值不大于1Ω）。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vMerge w:val="continue"/>
            <w:noWrap w:val="0"/>
            <w:vAlign w:val="center"/>
          </w:tcPr>
          <w:p>
            <w:pPr>
              <w:widowControl/>
              <w:jc w:val="left"/>
              <w:rPr>
                <w:rFonts w:hint="eastAsia" w:ascii="宋体" w:hAnsi="宋体" w:eastAsia="宋体" w:cs="宋体"/>
                <w:kern w:val="0"/>
                <w:sz w:val="18"/>
                <w:szCs w:val="18"/>
              </w:rPr>
            </w:pP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检测主、备电切换功能</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每季度一次</w:t>
            </w:r>
          </w:p>
        </w:tc>
        <w:tc>
          <w:tcPr>
            <w:tcW w:w="5045" w:type="dxa"/>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主电源断电时自动转换至备用电源供电，主电源恢复后自动转换为主电源供电，并分别显示主、备电源的状态。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vMerge w:val="continue"/>
            <w:noWrap w:val="0"/>
            <w:vAlign w:val="center"/>
          </w:tcPr>
          <w:p>
            <w:pPr>
              <w:widowControl/>
              <w:jc w:val="left"/>
              <w:rPr>
                <w:rFonts w:hint="eastAsia" w:ascii="宋体" w:hAnsi="宋体" w:eastAsia="宋体" w:cs="宋体"/>
                <w:kern w:val="0"/>
                <w:sz w:val="18"/>
                <w:szCs w:val="18"/>
              </w:rPr>
            </w:pP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试验火灾报警功能、火警优先功能</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每月一次</w:t>
            </w:r>
          </w:p>
        </w:tc>
        <w:tc>
          <w:tcPr>
            <w:tcW w:w="5045" w:type="dxa"/>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符合GB4717-2005《火灾报警控制器》第5.2.2-5.2.3条要求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vMerge w:val="continue"/>
            <w:noWrap w:val="0"/>
            <w:vAlign w:val="center"/>
          </w:tcPr>
          <w:p>
            <w:pPr>
              <w:widowControl/>
              <w:jc w:val="left"/>
              <w:rPr>
                <w:rFonts w:hint="eastAsia" w:ascii="宋体" w:hAnsi="宋体" w:eastAsia="宋体" w:cs="宋体"/>
                <w:kern w:val="0"/>
                <w:sz w:val="18"/>
                <w:szCs w:val="18"/>
              </w:rPr>
            </w:pP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试验故障报警功能</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每月一次</w:t>
            </w:r>
          </w:p>
        </w:tc>
        <w:tc>
          <w:tcPr>
            <w:tcW w:w="5045" w:type="dxa"/>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符合GB4717-2005《火灾报警控制器》第5.2.4条要求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vMerge w:val="continue"/>
            <w:noWrap w:val="0"/>
            <w:vAlign w:val="center"/>
          </w:tcPr>
          <w:p>
            <w:pPr>
              <w:widowControl/>
              <w:jc w:val="left"/>
              <w:rPr>
                <w:rFonts w:hint="eastAsia" w:ascii="宋体" w:hAnsi="宋体" w:eastAsia="宋体" w:cs="宋体"/>
                <w:kern w:val="0"/>
                <w:sz w:val="18"/>
                <w:szCs w:val="18"/>
              </w:rPr>
            </w:pP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试验自检功能</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每月一次</w:t>
            </w:r>
          </w:p>
        </w:tc>
        <w:tc>
          <w:tcPr>
            <w:tcW w:w="5045" w:type="dxa"/>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符合GB4717-2005《火灾报警控制器》第5.2.7条要求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9"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vMerge w:val="continue"/>
            <w:noWrap w:val="0"/>
            <w:vAlign w:val="center"/>
          </w:tcPr>
          <w:p>
            <w:pPr>
              <w:widowControl/>
              <w:jc w:val="left"/>
              <w:rPr>
                <w:rFonts w:hint="eastAsia" w:ascii="宋体" w:hAnsi="宋体" w:eastAsia="宋体" w:cs="宋体"/>
                <w:kern w:val="0"/>
                <w:sz w:val="18"/>
                <w:szCs w:val="18"/>
              </w:rPr>
            </w:pP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试验消音复位功能</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每月一次</w:t>
            </w:r>
          </w:p>
        </w:tc>
        <w:tc>
          <w:tcPr>
            <w:tcW w:w="5045" w:type="dxa"/>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正常消音、复位。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火灾显示盘</w:t>
            </w: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试验报警、显示功能</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每月一次</w:t>
            </w:r>
          </w:p>
        </w:tc>
        <w:tc>
          <w:tcPr>
            <w:tcW w:w="5045" w:type="dxa"/>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火灾显示盘能接收来自火灾报警控制器的火灾报警信号，发出声、光报警信号，准确显示火灾部位。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CRT显示器</w:t>
            </w: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试验报警、显示功能</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每月一次</w:t>
            </w:r>
          </w:p>
        </w:tc>
        <w:tc>
          <w:tcPr>
            <w:tcW w:w="5045" w:type="dxa"/>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CRT显示器能接收来自火灾报警控制器的火灾报警、故障报警和联动动作信息信号，发出声、光报警信号，准确显示报警部位。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火灾警报装置</w:t>
            </w: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试验报警功能</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每季度一次</w:t>
            </w:r>
          </w:p>
        </w:tc>
        <w:tc>
          <w:tcPr>
            <w:tcW w:w="5045" w:type="dxa"/>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在接收火灾报警控制器输出的控制信号后，发出声警报或声、光警报；环境噪声大于60dB的场所，声警报的声压级高于背景噪声15dB。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vMerge w:val="restart"/>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消防联动控制器</w:t>
            </w: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外观及运行状况，试验故障报警、自检、信息显示及查询、电源等功能</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每月一次</w:t>
            </w:r>
          </w:p>
        </w:tc>
        <w:tc>
          <w:tcPr>
            <w:tcW w:w="5045" w:type="dxa"/>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指示灯及开关按钮等完好，显示正常，文字符号标识清晰；各项功能符合GB16806-2006《消防联动控制系统》第4.2.3-4.2.7的要求。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vMerge w:val="continue"/>
            <w:noWrap w:val="0"/>
            <w:vAlign w:val="center"/>
          </w:tcPr>
          <w:p>
            <w:pPr>
              <w:widowControl/>
              <w:jc w:val="left"/>
              <w:rPr>
                <w:rFonts w:hint="eastAsia" w:ascii="宋体" w:hAnsi="宋体" w:eastAsia="宋体" w:cs="宋体"/>
                <w:kern w:val="0"/>
                <w:sz w:val="18"/>
                <w:szCs w:val="18"/>
              </w:rPr>
            </w:pP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试验对室内消火栓系统的控制显示功能</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每季度一次</w:t>
            </w:r>
          </w:p>
        </w:tc>
        <w:tc>
          <w:tcPr>
            <w:tcW w:w="5045"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能控制消防水泵的启、停；显示消防水泵的工作、故障状态；显示启泵按钮的位置。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9"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vMerge w:val="continue"/>
            <w:noWrap w:val="0"/>
            <w:vAlign w:val="center"/>
          </w:tcPr>
          <w:p>
            <w:pPr>
              <w:widowControl/>
              <w:jc w:val="left"/>
              <w:rPr>
                <w:rFonts w:hint="eastAsia" w:ascii="宋体" w:hAnsi="宋体" w:eastAsia="宋体" w:cs="宋体"/>
                <w:kern w:val="0"/>
                <w:sz w:val="18"/>
                <w:szCs w:val="18"/>
              </w:rPr>
            </w:pP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试验对自动喷水灭火系统的控制显示功能</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每季度一次</w:t>
            </w:r>
          </w:p>
        </w:tc>
        <w:tc>
          <w:tcPr>
            <w:tcW w:w="5045"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能控制系统的启停；显示消防水泵的工作、故障状态；显示水流指示器、报警阀、安全信号阀的工作状态；能显示消防水池及水箱水位、有压气体管道气压，并能控制水泵、电磁阀、电动阀等的操作。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5"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vMerge w:val="continue"/>
            <w:noWrap w:val="0"/>
            <w:vAlign w:val="center"/>
          </w:tcPr>
          <w:p>
            <w:pPr>
              <w:widowControl/>
              <w:jc w:val="left"/>
              <w:rPr>
                <w:rFonts w:hint="eastAsia" w:ascii="宋体" w:hAnsi="宋体" w:eastAsia="宋体" w:cs="宋体"/>
                <w:kern w:val="0"/>
                <w:sz w:val="18"/>
                <w:szCs w:val="18"/>
              </w:rPr>
            </w:pP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试验对泡沫灭火系统的控制显示功能</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每季度一次</w:t>
            </w:r>
          </w:p>
        </w:tc>
        <w:tc>
          <w:tcPr>
            <w:tcW w:w="5045"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能控制泡沫泵及消防水泵的启停；显示系统的工作状态。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9"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vMerge w:val="continue"/>
            <w:noWrap w:val="0"/>
            <w:vAlign w:val="center"/>
          </w:tcPr>
          <w:p>
            <w:pPr>
              <w:widowControl/>
              <w:jc w:val="left"/>
              <w:rPr>
                <w:rFonts w:hint="eastAsia" w:ascii="宋体" w:hAnsi="宋体" w:eastAsia="宋体" w:cs="宋体"/>
                <w:kern w:val="0"/>
                <w:sz w:val="18"/>
                <w:szCs w:val="18"/>
              </w:rPr>
            </w:pP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试验对管网气体灭火系统的控制显示功能</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每季度一次</w:t>
            </w:r>
          </w:p>
        </w:tc>
        <w:tc>
          <w:tcPr>
            <w:tcW w:w="5045"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能显示系统的手动、自动工作状态；在报警、喷射各阶段，控制室有相应的声、光警报信号，并能手动切除声响信号；在延时阶段，自动关闭防火门、窗，停止通风空调系统，关闭有关部位防火阀；显示气体灭火系统防护区的报警、喷放及防火门（帘）、通风空调等设备的状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vMerge w:val="continue"/>
            <w:noWrap w:val="0"/>
            <w:vAlign w:val="center"/>
          </w:tcPr>
          <w:p>
            <w:pPr>
              <w:widowControl/>
              <w:jc w:val="left"/>
              <w:rPr>
                <w:rFonts w:hint="eastAsia" w:ascii="宋体" w:hAnsi="宋体" w:eastAsia="宋体" w:cs="宋体"/>
                <w:kern w:val="0"/>
                <w:sz w:val="18"/>
                <w:szCs w:val="18"/>
              </w:rPr>
            </w:pP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试验对干粉灭火系统的控制显示功能</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每季度一次</w:t>
            </w:r>
          </w:p>
        </w:tc>
        <w:tc>
          <w:tcPr>
            <w:tcW w:w="5045"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能控制系统的启、停；显示系统的工作状态。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8"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vMerge w:val="continue"/>
            <w:noWrap w:val="0"/>
            <w:vAlign w:val="center"/>
          </w:tcPr>
          <w:p>
            <w:pPr>
              <w:widowControl/>
              <w:jc w:val="left"/>
              <w:rPr>
                <w:rFonts w:hint="eastAsia" w:ascii="宋体" w:hAnsi="宋体" w:eastAsia="宋体" w:cs="宋体"/>
                <w:kern w:val="0"/>
                <w:sz w:val="18"/>
                <w:szCs w:val="18"/>
              </w:rPr>
            </w:pP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试验对电动防火门、防火卷帘的控制显示功能</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每季度一次</w:t>
            </w:r>
          </w:p>
        </w:tc>
        <w:tc>
          <w:tcPr>
            <w:tcW w:w="5045"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在接到相应火灾报警信号后对电动防火门、防火卷帘有控制显示功能。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1"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vMerge w:val="continue"/>
            <w:noWrap w:val="0"/>
            <w:vAlign w:val="center"/>
          </w:tcPr>
          <w:p>
            <w:pPr>
              <w:widowControl/>
              <w:jc w:val="left"/>
              <w:rPr>
                <w:rFonts w:hint="eastAsia" w:ascii="宋体" w:hAnsi="宋体" w:eastAsia="宋体" w:cs="宋体"/>
                <w:kern w:val="0"/>
                <w:sz w:val="18"/>
                <w:szCs w:val="18"/>
              </w:rPr>
            </w:pP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检查消防电梯迫降功能</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每季度一次</w:t>
            </w:r>
          </w:p>
        </w:tc>
        <w:tc>
          <w:tcPr>
            <w:tcW w:w="5045"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消防控制室手动和自动控制回落到首层，功能、信号正常。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vMerge w:val="continue"/>
            <w:noWrap w:val="0"/>
            <w:vAlign w:val="center"/>
          </w:tcPr>
          <w:p>
            <w:pPr>
              <w:widowControl/>
              <w:jc w:val="left"/>
              <w:rPr>
                <w:rFonts w:hint="eastAsia" w:ascii="宋体" w:hAnsi="宋体" w:eastAsia="宋体" w:cs="宋体"/>
                <w:kern w:val="0"/>
                <w:sz w:val="18"/>
                <w:szCs w:val="18"/>
              </w:rPr>
            </w:pP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试验对排烟阀、送风阀、电动防火阀和空调系统的控制功能</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每年一次</w:t>
            </w:r>
          </w:p>
        </w:tc>
        <w:tc>
          <w:tcPr>
            <w:tcW w:w="5045"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消防控制室自动和手动打开排烟阀，关闭电动防火阀和空调系统，功能、信号正常。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vMerge w:val="continue"/>
            <w:noWrap w:val="0"/>
            <w:vAlign w:val="center"/>
          </w:tcPr>
          <w:p>
            <w:pPr>
              <w:widowControl/>
              <w:jc w:val="left"/>
              <w:rPr>
                <w:rFonts w:hint="eastAsia" w:ascii="宋体" w:hAnsi="宋体" w:eastAsia="宋体" w:cs="宋体"/>
                <w:kern w:val="0"/>
                <w:sz w:val="18"/>
                <w:szCs w:val="18"/>
              </w:rPr>
            </w:pP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试验非消防电源的联动切断功能</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每年一次</w:t>
            </w:r>
          </w:p>
        </w:tc>
        <w:tc>
          <w:tcPr>
            <w:tcW w:w="5045"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消防控制室能强制切断有关部位的非消防电源，并接通警报装置及火灾应急照明灯和疏散指示灯，控制电梯全部停于首层。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78" w:type="dxa"/>
            <w:vMerge w:val="restart"/>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自动喷水灭火系统</w:t>
            </w:r>
          </w:p>
        </w:tc>
        <w:tc>
          <w:tcPr>
            <w:tcW w:w="1061"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喷头</w:t>
            </w: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外观，清除异物及周边障碍物</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每月一次</w:t>
            </w:r>
          </w:p>
        </w:tc>
        <w:tc>
          <w:tcPr>
            <w:tcW w:w="5045" w:type="dxa"/>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外观完好，无变形和附着物、悬挂物。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10"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湿式报警阀组</w:t>
            </w: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外观，试验报警功能</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每季度一次</w:t>
            </w:r>
          </w:p>
        </w:tc>
        <w:tc>
          <w:tcPr>
            <w:tcW w:w="5045" w:type="dxa"/>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外观完好，标志清晰正确；报警阀的压力表显示符合设定值；平时状态，报警阀延迟器无出水，放水试验时延迟器自动排水；打开试验阀放水，安装延迟器的在5s～90s内警铃开始连续报警，不安装延迟器的放水后15s内，警铃开始连续报警；距水力警铃3m处，警铃声响不小于70dB（A）；压力开关动作，消防水泵正常启动，消防控制设备及联动控制装置正确显示。关闭试验阀门，水力警铃停止报警、压力开关停止动作、报警阀上下压力表指示正常，延迟器最大排水时间不超过5mi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60"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干式报警阀组</w:t>
            </w: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外观，试验报警功能</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每季度一次</w:t>
            </w:r>
          </w:p>
        </w:tc>
        <w:tc>
          <w:tcPr>
            <w:tcW w:w="5045" w:type="dxa"/>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外观完好，标志清晰正确；报警阀的压力表显示符合设定值；空气压缩机和气压控制装置状态正常；打开系统试验阀门后，报警阀动作；距水力警铃3m处，警铃声响不小于70dB（A）；压力开关动作，消防联动控制装置有信号显示；关闭报警阀试验阀门后，水力警铃停止报警、压力开关停止动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68"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预作用报警阀组</w:t>
            </w: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外观，试验报警功能</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每季度一次</w:t>
            </w:r>
          </w:p>
        </w:tc>
        <w:tc>
          <w:tcPr>
            <w:tcW w:w="5045" w:type="dxa"/>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外观完好，标志清晰正确；报警阀的压力表显示符合设定值；配有充气装置时，空气压缩机和气压控制装置状态正常；打开系统试验阀门后，报警阀动作；距水力警铃3m处，警铃声响不小于70dB（A）；电磁阀动作正常，消防联动控制装置有信号显示；关闭报警阀试验阀门并系统复位后，水力警铃停止报警，电磁阀动作信号消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23"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雨淋报警阀组</w:t>
            </w: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外观，试验报警功能</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每季度一次</w:t>
            </w:r>
          </w:p>
        </w:tc>
        <w:tc>
          <w:tcPr>
            <w:tcW w:w="5045" w:type="dxa"/>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外观完好，标志清晰正确；打开系统手动开启装置后，报警阀在规定的时间内动作；距水力警铃3m处，警铃声响不小于70dB（A）；电磁阀动作正常，消防联动控制装置有信号显示；关闭报警阀试验阀门并系统复位后，水力警铃停止报警，电磁阀动作信号消失；配置传动管时，传动管的压力表显示符合设定值；气压传动管的空气压缩机和气压控制装置状态正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水流指示器</w:t>
            </w: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外观和开闭状态，试验报警功能</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每季度一次</w:t>
            </w:r>
          </w:p>
        </w:tc>
        <w:tc>
          <w:tcPr>
            <w:tcW w:w="5045" w:type="dxa"/>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外观完好，无碰伤、污损，有明显标志，方向指示正确，信号阀全开。开启末端试水装置，水流指示器立即启动，消防控制设备显示正确的报警信号；关闭末端试水装置，水流指示器立即复位，消防控制设备显示复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7"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末端试水装置</w:t>
            </w: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外观，放水试验</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每季度一次</w:t>
            </w:r>
          </w:p>
        </w:tc>
        <w:tc>
          <w:tcPr>
            <w:tcW w:w="5045" w:type="dxa"/>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阀门、试水接头、压力表和排水管正常；开启最不利点末端试水装置后，出水压力不低于0.05MPa，水流指示器、报警阀、压力开关动作，消防水泵正常启动，消防控制设备正确显示水流指示器、压力开关及消防水泵的反馈信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1"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系统所有控制阀门</w:t>
            </w: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检查铅封、锁链完好状况，对电磁阀和信号阀进行启动试验</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每月一次</w:t>
            </w:r>
          </w:p>
        </w:tc>
        <w:tc>
          <w:tcPr>
            <w:tcW w:w="5045" w:type="dxa"/>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阀门完好，电磁阀可正常开启；信号阀动作可靠，能将其动作状态信号传到消防控制室内。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1"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室外阀门井中控制阀门</w:t>
            </w: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外观和开启状况</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每季度一次</w:t>
            </w:r>
          </w:p>
        </w:tc>
        <w:tc>
          <w:tcPr>
            <w:tcW w:w="5045" w:type="dxa"/>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外观完好，阀门开启灵活，进水管上的控制阀门处于全开启状态。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639" w:type="dxa"/>
            <w:gridSpan w:val="2"/>
            <w:vMerge w:val="restart"/>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应急照明</w:t>
            </w: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外观和工作状态</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每月一次</w:t>
            </w:r>
          </w:p>
        </w:tc>
        <w:tc>
          <w:tcPr>
            <w:tcW w:w="5045"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牢固、无遮挡，状态指示灯正常。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atLeast"/>
        </w:trPr>
        <w:tc>
          <w:tcPr>
            <w:tcW w:w="1639" w:type="dxa"/>
            <w:gridSpan w:val="2"/>
            <w:vMerge w:val="continue"/>
            <w:noWrap w:val="0"/>
            <w:vAlign w:val="center"/>
          </w:tcPr>
          <w:p>
            <w:pPr>
              <w:widowControl/>
              <w:rPr>
                <w:rFonts w:hint="eastAsia" w:ascii="宋体" w:hAnsi="宋体" w:eastAsia="宋体" w:cs="宋体"/>
                <w:kern w:val="0"/>
                <w:sz w:val="18"/>
                <w:szCs w:val="18"/>
              </w:rPr>
            </w:pP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测试照度，电源切换、充电、放电功能</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每季度一次</w:t>
            </w:r>
          </w:p>
        </w:tc>
        <w:tc>
          <w:tcPr>
            <w:tcW w:w="5045"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切断正常供电电源后，应急工作状态的持续时间符合GA503-2004第4.11.1.2条的要求；照度符合GA503-2004第4.11.1.3条的要求。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639" w:type="dxa"/>
            <w:gridSpan w:val="2"/>
            <w:vMerge w:val="restart"/>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疏散指示标志</w:t>
            </w: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外观和工作状态</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每月一次</w:t>
            </w:r>
          </w:p>
        </w:tc>
        <w:tc>
          <w:tcPr>
            <w:tcW w:w="5045"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牢固、无遮挡，疏散方向的指示正确清晰。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 w:hRule="atLeast"/>
        </w:trPr>
        <w:tc>
          <w:tcPr>
            <w:tcW w:w="1639" w:type="dxa"/>
            <w:gridSpan w:val="2"/>
            <w:vMerge w:val="continue"/>
            <w:noWrap w:val="0"/>
            <w:vAlign w:val="center"/>
          </w:tcPr>
          <w:p>
            <w:pPr>
              <w:widowControl/>
              <w:rPr>
                <w:rFonts w:hint="eastAsia" w:ascii="宋体" w:hAnsi="宋体" w:eastAsia="宋体" w:cs="宋体"/>
                <w:kern w:val="0"/>
                <w:sz w:val="18"/>
                <w:szCs w:val="18"/>
              </w:rPr>
            </w:pP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测试照度和应急工作状态持续时间</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每季度一次</w:t>
            </w:r>
          </w:p>
        </w:tc>
        <w:tc>
          <w:tcPr>
            <w:tcW w:w="5045"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符合GA503-2004第4.11.2.2条和第4.11.2.3条的要求。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1" w:hRule="atLeast"/>
        </w:trPr>
        <w:tc>
          <w:tcPr>
            <w:tcW w:w="578" w:type="dxa"/>
            <w:vMerge w:val="restart"/>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气体灭火系统（干粉灭火系统可参照）</w:t>
            </w:r>
          </w:p>
        </w:tc>
        <w:tc>
          <w:tcPr>
            <w:tcW w:w="1061"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全部系统组件</w:t>
            </w: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外观</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每月一次</w:t>
            </w:r>
          </w:p>
        </w:tc>
        <w:tc>
          <w:tcPr>
            <w:tcW w:w="5045" w:type="dxa"/>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系统组件固定牢固，无碰撞变形及其他机械性损伤，表面无锈蚀，保护涂层完好，标志牌清晰，手动操作装置的防护罩、铅封和完全标志完好；选择阀手动启闭灵活。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vMerge w:val="restart"/>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灭火剂贮存容器</w:t>
            </w: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检查贮存容器内的压力</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每月一次</w:t>
            </w:r>
          </w:p>
        </w:tc>
        <w:tc>
          <w:tcPr>
            <w:tcW w:w="5045" w:type="dxa"/>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压力不小于设计贮存压力的90%。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vMerge w:val="continue"/>
            <w:noWrap w:val="0"/>
            <w:vAlign w:val="center"/>
          </w:tcPr>
          <w:p>
            <w:pPr>
              <w:widowControl/>
              <w:jc w:val="left"/>
              <w:rPr>
                <w:rFonts w:hint="eastAsia" w:ascii="宋体" w:hAnsi="宋体" w:eastAsia="宋体" w:cs="宋体"/>
                <w:kern w:val="0"/>
                <w:sz w:val="18"/>
                <w:szCs w:val="18"/>
              </w:rPr>
            </w:pP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逐个称重检查</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每半年一次</w:t>
            </w:r>
          </w:p>
        </w:tc>
        <w:tc>
          <w:tcPr>
            <w:tcW w:w="5045" w:type="dxa"/>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称重装置正常；灭火剂净重不小于设计量的95%；二氧化碳储瓶及储罐在灭火剂损失量达到设定值时能发出报警信号。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气动驱动装置</w:t>
            </w: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检查气动源的压力</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每月一次</w:t>
            </w:r>
          </w:p>
        </w:tc>
        <w:tc>
          <w:tcPr>
            <w:tcW w:w="5045" w:type="dxa"/>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气动源压力不小于设计压力的90%。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管道、支架</w:t>
            </w: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检查灭火剂贮瓶间设备、灭火剂输送管道和支、吊架的固定情况和高压软管的外观状况</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每半年一次</w:t>
            </w:r>
          </w:p>
        </w:tc>
        <w:tc>
          <w:tcPr>
            <w:tcW w:w="5045" w:type="dxa"/>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输送管道、支、吊架固定无松动，高压软管无变形、裂纹及老化。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喷嘴孔口</w:t>
            </w: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外观，清除异物</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每半年一次</w:t>
            </w:r>
          </w:p>
        </w:tc>
        <w:tc>
          <w:tcPr>
            <w:tcW w:w="5045" w:type="dxa"/>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喷嘴孔口无堵塞。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气体灭火控制装置</w:t>
            </w: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外观及工作状态</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每半年一次</w:t>
            </w:r>
          </w:p>
        </w:tc>
        <w:tc>
          <w:tcPr>
            <w:tcW w:w="5045" w:type="dxa"/>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符合GA503-2004第4.8.3条和5.8.3条的要求。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 w:hRule="atLeast"/>
        </w:trPr>
        <w:tc>
          <w:tcPr>
            <w:tcW w:w="578" w:type="dxa"/>
            <w:vMerge w:val="continue"/>
            <w:noWrap w:val="0"/>
            <w:vAlign w:val="center"/>
          </w:tcPr>
          <w:p>
            <w:pPr>
              <w:widowControl/>
              <w:jc w:val="left"/>
              <w:rPr>
                <w:rFonts w:hint="eastAsia" w:ascii="宋体" w:hAnsi="宋体" w:eastAsia="宋体" w:cs="宋体"/>
                <w:kern w:val="0"/>
                <w:sz w:val="18"/>
                <w:szCs w:val="18"/>
              </w:rPr>
            </w:pPr>
          </w:p>
        </w:tc>
        <w:tc>
          <w:tcPr>
            <w:tcW w:w="1061"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系统功能</w:t>
            </w: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对每个防护区进行一次模拟自动启动试验，如有不合格项目，则进行模拟喷气试验</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每半年一次</w:t>
            </w:r>
          </w:p>
        </w:tc>
        <w:tc>
          <w:tcPr>
            <w:tcW w:w="5045" w:type="dxa"/>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符合GA503-2004第4.8.4和5.8.4的要求。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78"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防火分隔设施</w:t>
            </w:r>
          </w:p>
        </w:tc>
        <w:tc>
          <w:tcPr>
            <w:tcW w:w="1061"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防火门</w:t>
            </w:r>
          </w:p>
        </w:tc>
        <w:tc>
          <w:tcPr>
            <w:tcW w:w="2186"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外观及配件完整性，防火门启闭状况</w:t>
            </w:r>
          </w:p>
        </w:tc>
        <w:tc>
          <w:tcPr>
            <w:tcW w:w="1007"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每月一次</w:t>
            </w:r>
          </w:p>
        </w:tc>
        <w:tc>
          <w:tcPr>
            <w:tcW w:w="5045" w:type="dxa"/>
            <w:noWrap w:val="0"/>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组件齐全完好，启闭灵活、关闭严密；双扇防火门能按顺序关闭，关闭后能从内、外两侧人为开启；常闭防火门开启后能自动闭合；电动常开防火门，在火灾报警后自动关闭并反馈信号；设置在疏散通道上、并设有出入口控制系统的防火门，能自动和手动解除出入口控制系统。</w:t>
            </w:r>
          </w:p>
        </w:tc>
      </w:tr>
    </w:tbl>
    <w:p>
      <w:pPr>
        <w:spacing w:line="312" w:lineRule="auto"/>
        <w:jc w:val="center"/>
        <w:outlineLvl w:val="9"/>
        <w:rPr>
          <w:rFonts w:ascii="仿宋" w:hAnsi="仿宋" w:eastAsia="仿宋" w:cs="仿宋"/>
          <w:color w:val="FF0000"/>
          <w:sz w:val="30"/>
          <w:szCs w:val="30"/>
        </w:rPr>
      </w:pPr>
    </w:p>
    <w:p>
      <w:pPr>
        <w:pStyle w:val="46"/>
        <w:sectPr>
          <w:footerReference r:id="rId8" w:type="default"/>
          <w:pgSz w:w="11906" w:h="16838"/>
          <w:pgMar w:top="1440" w:right="1080" w:bottom="1134" w:left="1080" w:header="851" w:footer="1344" w:gutter="0"/>
          <w:pgNumType w:fmt="decimal"/>
          <w:cols w:space="720" w:num="1"/>
          <w:docGrid w:linePitch="312" w:charSpace="0"/>
        </w:sectPr>
      </w:pPr>
    </w:p>
    <w:p>
      <w:pPr>
        <w:spacing w:line="312" w:lineRule="auto"/>
        <w:jc w:val="center"/>
        <w:outlineLvl w:val="0"/>
        <w:rPr>
          <w:rFonts w:ascii="黑体" w:hAnsi="黑体" w:eastAsia="黑体" w:cs="仿宋"/>
          <w:b/>
          <w:color w:val="000000"/>
          <w:sz w:val="36"/>
          <w:szCs w:val="36"/>
        </w:rPr>
      </w:pPr>
      <w:bookmarkStart w:id="23" w:name="_Toc15629"/>
      <w:r>
        <w:rPr>
          <w:rFonts w:hint="eastAsia" w:ascii="黑体" w:hAnsi="黑体" w:eastAsia="黑体" w:cs="仿宋"/>
          <w:b/>
          <w:color w:val="000000"/>
          <w:sz w:val="36"/>
          <w:szCs w:val="36"/>
        </w:rPr>
        <w:t>第六章  响应文件格式</w:t>
      </w:r>
      <w:bookmarkEnd w:id="23"/>
    </w:p>
    <w:p>
      <w:pPr>
        <w:jc w:val="center"/>
        <w:rPr>
          <w:rFonts w:ascii="仿宋" w:hAnsi="仿宋" w:eastAsia="仿宋" w:cs="仿宋"/>
          <w:sz w:val="30"/>
          <w:szCs w:val="30"/>
        </w:rPr>
      </w:pPr>
    </w:p>
    <w:p>
      <w:pPr>
        <w:jc w:val="center"/>
        <w:rPr>
          <w:rFonts w:ascii="仿宋" w:hAnsi="仿宋" w:eastAsia="仿宋" w:cs="仿宋"/>
          <w:sz w:val="30"/>
          <w:szCs w:val="30"/>
        </w:rPr>
      </w:pPr>
    </w:p>
    <w:p>
      <w:pPr>
        <w:spacing w:line="640" w:lineRule="exact"/>
        <w:jc w:val="center"/>
        <w:rPr>
          <w:rFonts w:ascii="仿宋" w:hAnsi="仿宋" w:eastAsia="仿宋" w:cs="仿宋"/>
          <w:sz w:val="30"/>
          <w:szCs w:val="30"/>
        </w:rPr>
      </w:pPr>
    </w:p>
    <w:p>
      <w:pPr>
        <w:spacing w:line="640" w:lineRule="exact"/>
        <w:jc w:val="center"/>
        <w:outlineLvl w:val="0"/>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bookmarkStart w:id="24" w:name="_Toc4798"/>
      <w:bookmarkStart w:id="25" w:name="_Toc17509"/>
      <w:bookmarkStart w:id="26" w:name="_Toc21262"/>
      <w:bookmarkStart w:id="27" w:name="_Toc22284"/>
      <w:r>
        <w:rPr>
          <w:rFonts w:hint="eastAsia" w:eastAsia="方正小标宋_GBK"/>
          <w:b/>
          <w:bCs/>
          <w:sz w:val="40"/>
          <w:szCs w:val="36"/>
        </w:rPr>
        <w:t>项目</w:t>
      </w:r>
      <w:bookmarkEnd w:id="24"/>
      <w:bookmarkEnd w:id="25"/>
      <w:bookmarkEnd w:id="26"/>
      <w:bookmarkEnd w:id="27"/>
    </w:p>
    <w:p>
      <w:pPr>
        <w:widowControl w:val="0"/>
        <w:spacing w:before="240" w:beforeLines="100" w:after="240" w:afterLines="100" w:line="640" w:lineRule="exact"/>
        <w:jc w:val="center"/>
        <w:outlineLvl w:val="0"/>
        <w:rPr>
          <w:rFonts w:eastAsia="楷体_GB2312"/>
          <w:b/>
          <w:bCs/>
          <w:sz w:val="28"/>
          <w:szCs w:val="28"/>
        </w:rPr>
      </w:pPr>
      <w:bookmarkStart w:id="28" w:name="_Toc22236"/>
      <w:bookmarkStart w:id="29" w:name="_Toc18276"/>
      <w:bookmarkStart w:id="30" w:name="_Toc27219"/>
      <w:bookmarkStart w:id="31" w:name="_Toc23687"/>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bookmarkEnd w:id="28"/>
      <w:bookmarkEnd w:id="29"/>
      <w:bookmarkEnd w:id="30"/>
      <w:bookmarkEnd w:id="31"/>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outlineLvl w:val="0"/>
        <w:rPr>
          <w:rFonts w:eastAsia="方正小标宋_GBK"/>
          <w:b/>
          <w:bCs/>
          <w:spacing w:val="160"/>
          <w:sz w:val="72"/>
          <w:szCs w:val="72"/>
        </w:rPr>
      </w:pPr>
      <w:bookmarkStart w:id="32" w:name="_Toc28114"/>
      <w:bookmarkStart w:id="33" w:name="_Toc15125"/>
      <w:bookmarkStart w:id="34" w:name="_Toc22936"/>
      <w:bookmarkStart w:id="35" w:name="_Toc605"/>
      <w:r>
        <w:rPr>
          <w:rFonts w:hint="eastAsia" w:eastAsia="方正小标宋_GBK"/>
          <w:b/>
          <w:bCs/>
          <w:spacing w:val="160"/>
          <w:sz w:val="72"/>
          <w:szCs w:val="72"/>
        </w:rPr>
        <w:t>响应</w:t>
      </w:r>
      <w:r>
        <w:rPr>
          <w:rFonts w:eastAsia="方正小标宋_GBK"/>
          <w:b/>
          <w:bCs/>
          <w:spacing w:val="160"/>
          <w:sz w:val="72"/>
          <w:szCs w:val="72"/>
        </w:rPr>
        <w:t>文件</w:t>
      </w:r>
      <w:bookmarkEnd w:id="32"/>
      <w:bookmarkEnd w:id="33"/>
      <w:bookmarkEnd w:id="34"/>
      <w:bookmarkEnd w:id="35"/>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outlineLvl w:val="0"/>
        <w:rPr>
          <w:rFonts w:eastAsia="黑体"/>
          <w:bCs/>
          <w:sz w:val="30"/>
          <w:szCs w:val="30"/>
        </w:rPr>
      </w:pPr>
      <w:bookmarkStart w:id="36" w:name="_Toc25115"/>
      <w:bookmarkStart w:id="37" w:name="_Toc16358"/>
      <w:bookmarkStart w:id="38" w:name="_Toc7376"/>
      <w:bookmarkStart w:id="39" w:name="_Toc9134"/>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全称并盖单位公章</w:t>
      </w:r>
      <w:bookmarkEnd w:id="36"/>
      <w:bookmarkEnd w:id="37"/>
      <w:bookmarkEnd w:id="38"/>
      <w:bookmarkEnd w:id="39"/>
      <w:r>
        <w:rPr>
          <w:rFonts w:eastAsia="黑体"/>
          <w:bCs/>
          <w:sz w:val="30"/>
          <w:szCs w:val="30"/>
          <w:u w:val="single"/>
        </w:rPr>
        <w:t xml:space="preserve"> </w:t>
      </w:r>
    </w:p>
    <w:p>
      <w:pPr>
        <w:spacing w:line="900" w:lineRule="exact"/>
        <w:jc w:val="center"/>
        <w:outlineLvl w:val="0"/>
        <w:rPr>
          <w:rFonts w:eastAsia="黑体"/>
          <w:sz w:val="30"/>
          <w:szCs w:val="30"/>
        </w:rPr>
      </w:pPr>
      <w:bookmarkStart w:id="40" w:name="_Toc13801"/>
      <w:bookmarkStart w:id="41" w:name="_Toc1745"/>
      <w:bookmarkStart w:id="42" w:name="_Toc19068"/>
      <w:bookmarkStart w:id="43" w:name="_Toc11928"/>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bookmarkEnd w:id="40"/>
      <w:bookmarkEnd w:id="41"/>
      <w:bookmarkEnd w:id="42"/>
      <w:bookmarkEnd w:id="43"/>
    </w:p>
    <w:p>
      <w:pPr>
        <w:adjustRightInd w:val="0"/>
        <w:snapToGrid w:val="0"/>
        <w:spacing w:line="600" w:lineRule="exact"/>
        <w:jc w:val="center"/>
        <w:outlineLvl w:val="9"/>
        <w:rPr>
          <w:rFonts w:hint="eastAsia" w:ascii="黑体" w:hAnsi="黑体" w:eastAsia="黑体" w:cs="仿宋"/>
          <w:sz w:val="36"/>
          <w:szCs w:val="36"/>
        </w:rPr>
        <w:sectPr>
          <w:footerReference r:id="rId9" w:type="default"/>
          <w:pgSz w:w="11906" w:h="16838"/>
          <w:pgMar w:top="1440" w:right="1080" w:bottom="1134" w:left="1080" w:header="851" w:footer="1344" w:gutter="0"/>
          <w:pgNumType w:fmt="decimal"/>
          <w:cols w:space="720" w:num="1"/>
          <w:docGrid w:linePitch="312" w:charSpace="0"/>
        </w:sectPr>
      </w:pPr>
      <w:bookmarkStart w:id="44" w:name="_Toc30071"/>
      <w:bookmarkStart w:id="45" w:name="_Toc11266"/>
    </w:p>
    <w:p>
      <w:pPr>
        <w:adjustRightInd w:val="0"/>
        <w:snapToGrid w:val="0"/>
        <w:spacing w:line="600" w:lineRule="exact"/>
        <w:jc w:val="center"/>
        <w:outlineLvl w:val="0"/>
        <w:rPr>
          <w:rFonts w:ascii="黑体" w:hAnsi="黑体" w:eastAsia="黑体" w:cs="仿宋"/>
          <w:sz w:val="36"/>
          <w:szCs w:val="36"/>
        </w:rPr>
      </w:pPr>
      <w:bookmarkStart w:id="46" w:name="_Toc32692"/>
      <w:bookmarkStart w:id="47" w:name="_Toc27917"/>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bookmarkEnd w:id="44"/>
      <w:bookmarkEnd w:id="45"/>
      <w:bookmarkEnd w:id="46"/>
      <w:bookmarkEnd w:id="47"/>
    </w:p>
    <w:p>
      <w:pPr>
        <w:adjustRightInd w:val="0"/>
        <w:snapToGrid w:val="0"/>
        <w:spacing w:line="600" w:lineRule="exact"/>
        <w:jc w:val="both"/>
        <w:rPr>
          <w:rFonts w:ascii="宋体" w:hAnsi="宋体" w:cs="仿宋"/>
          <w:sz w:val="36"/>
          <w:szCs w:val="36"/>
        </w:rPr>
      </w:pPr>
    </w:p>
    <w:p>
      <w:pPr>
        <w:adjustRightInd w:val="0"/>
        <w:snapToGrid w:val="0"/>
        <w:spacing w:line="600" w:lineRule="exact"/>
        <w:jc w:val="both"/>
        <w:outlineLvl w:val="0"/>
        <w:rPr>
          <w:rFonts w:hint="eastAsia" w:ascii="宋体" w:hAnsi="宋体" w:eastAsia="宋体" w:cs="仿宋"/>
          <w:sz w:val="24"/>
          <w:lang w:eastAsia="zh-CN"/>
        </w:rPr>
      </w:pPr>
      <w:bookmarkStart w:id="48" w:name="_Toc27843"/>
      <w:bookmarkStart w:id="49" w:name="_Toc18542"/>
      <w:bookmarkStart w:id="50" w:name="_Toc22599"/>
      <w:bookmarkStart w:id="51" w:name="_Toc15237"/>
      <w:r>
        <w:rPr>
          <w:rFonts w:hint="eastAsia" w:ascii="宋体" w:hAnsi="宋体" w:cs="仿宋"/>
          <w:sz w:val="24"/>
        </w:rPr>
        <w:t>一、响应函</w:t>
      </w:r>
      <w:bookmarkEnd w:id="48"/>
      <w:bookmarkEnd w:id="49"/>
      <w:bookmarkEnd w:id="50"/>
      <w:bookmarkEnd w:id="51"/>
    </w:p>
    <w:p>
      <w:pPr>
        <w:adjustRightInd w:val="0"/>
        <w:snapToGrid w:val="0"/>
        <w:spacing w:line="600" w:lineRule="exact"/>
        <w:jc w:val="both"/>
        <w:outlineLvl w:val="0"/>
        <w:rPr>
          <w:rFonts w:hint="eastAsia" w:ascii="宋体" w:hAnsi="宋体" w:eastAsia="宋体" w:cs="仿宋"/>
          <w:sz w:val="24"/>
          <w:lang w:eastAsia="zh-CN"/>
        </w:rPr>
      </w:pPr>
      <w:bookmarkStart w:id="52" w:name="_Toc28574"/>
      <w:bookmarkStart w:id="53" w:name="_Toc10896"/>
      <w:bookmarkStart w:id="54" w:name="_Toc21717"/>
      <w:bookmarkStart w:id="55" w:name="_Toc11415"/>
      <w:r>
        <w:rPr>
          <w:rFonts w:hint="eastAsia" w:ascii="宋体" w:hAnsi="宋体" w:cs="仿宋"/>
          <w:sz w:val="24"/>
        </w:rPr>
        <w:t>二、授权委托书(适用于有委托代理人的情况)</w:t>
      </w:r>
      <w:bookmarkEnd w:id="52"/>
      <w:bookmarkEnd w:id="53"/>
      <w:bookmarkEnd w:id="54"/>
      <w:bookmarkEnd w:id="55"/>
    </w:p>
    <w:p>
      <w:pPr>
        <w:adjustRightInd w:val="0"/>
        <w:snapToGrid w:val="0"/>
        <w:spacing w:line="600" w:lineRule="exact"/>
        <w:jc w:val="both"/>
        <w:outlineLvl w:val="0"/>
        <w:rPr>
          <w:rFonts w:hint="eastAsia" w:ascii="宋体" w:hAnsi="宋体" w:eastAsia="宋体" w:cs="仿宋"/>
          <w:sz w:val="24"/>
          <w:lang w:eastAsia="zh-CN"/>
        </w:rPr>
      </w:pPr>
      <w:bookmarkStart w:id="56" w:name="_Toc17939"/>
      <w:bookmarkStart w:id="57" w:name="_Toc20141"/>
      <w:bookmarkStart w:id="58" w:name="_Toc5634"/>
      <w:bookmarkStart w:id="59" w:name="_Toc840"/>
      <w:r>
        <w:rPr>
          <w:rFonts w:hint="eastAsia" w:ascii="宋体" w:hAnsi="宋体" w:cs="仿宋"/>
          <w:sz w:val="24"/>
          <w:lang w:eastAsia="zh-CN"/>
        </w:rPr>
        <w:t>三</w:t>
      </w:r>
      <w:r>
        <w:rPr>
          <w:rFonts w:hint="eastAsia" w:ascii="宋体" w:hAnsi="宋体" w:cs="仿宋"/>
          <w:sz w:val="24"/>
        </w:rPr>
        <w:t>、商务和技术偏差表</w:t>
      </w:r>
      <w:bookmarkEnd w:id="56"/>
      <w:bookmarkEnd w:id="57"/>
      <w:bookmarkEnd w:id="58"/>
      <w:bookmarkEnd w:id="59"/>
    </w:p>
    <w:p>
      <w:pPr>
        <w:adjustRightInd w:val="0"/>
        <w:snapToGrid w:val="0"/>
        <w:spacing w:line="600" w:lineRule="exact"/>
        <w:jc w:val="both"/>
        <w:outlineLvl w:val="0"/>
        <w:rPr>
          <w:rFonts w:hint="eastAsia" w:ascii="宋体" w:hAnsi="宋体" w:eastAsia="宋体" w:cs="仿宋"/>
          <w:sz w:val="24"/>
          <w:lang w:eastAsia="zh-CN"/>
        </w:rPr>
      </w:pPr>
      <w:bookmarkStart w:id="60" w:name="_Toc23159"/>
      <w:bookmarkStart w:id="61" w:name="_Toc10232"/>
      <w:bookmarkStart w:id="62" w:name="_Toc14124"/>
      <w:bookmarkStart w:id="63" w:name="_Toc25932"/>
      <w:r>
        <w:rPr>
          <w:rFonts w:hint="eastAsia" w:ascii="宋体" w:hAnsi="宋体" w:cs="仿宋"/>
          <w:sz w:val="24"/>
          <w:lang w:eastAsia="zh-CN"/>
        </w:rPr>
        <w:t>四</w:t>
      </w:r>
      <w:r>
        <w:rPr>
          <w:rFonts w:hint="eastAsia" w:ascii="宋体" w:hAnsi="宋体" w:cs="仿宋"/>
          <w:sz w:val="24"/>
        </w:rPr>
        <w:t>、报价表</w:t>
      </w:r>
      <w:bookmarkEnd w:id="60"/>
      <w:bookmarkEnd w:id="61"/>
      <w:bookmarkEnd w:id="62"/>
      <w:bookmarkEnd w:id="63"/>
    </w:p>
    <w:p>
      <w:pPr>
        <w:adjustRightInd w:val="0"/>
        <w:snapToGrid w:val="0"/>
        <w:spacing w:line="600" w:lineRule="exact"/>
        <w:jc w:val="both"/>
        <w:outlineLvl w:val="0"/>
        <w:rPr>
          <w:rFonts w:hint="eastAsia" w:ascii="宋体" w:hAnsi="宋体" w:eastAsia="宋体" w:cs="仿宋"/>
          <w:sz w:val="24"/>
          <w:lang w:eastAsia="zh-CN"/>
        </w:rPr>
      </w:pPr>
      <w:bookmarkStart w:id="64" w:name="_Toc26833"/>
      <w:bookmarkStart w:id="65" w:name="_Toc20605"/>
      <w:bookmarkStart w:id="66" w:name="_Toc20080"/>
      <w:bookmarkStart w:id="67" w:name="_Toc30470"/>
      <w:r>
        <w:rPr>
          <w:rFonts w:hint="eastAsia" w:ascii="宋体" w:hAnsi="宋体" w:cs="仿宋"/>
          <w:sz w:val="24"/>
          <w:lang w:eastAsia="zh-CN"/>
        </w:rPr>
        <w:t>五</w:t>
      </w:r>
      <w:r>
        <w:rPr>
          <w:rFonts w:hint="eastAsia" w:ascii="宋体" w:hAnsi="宋体" w:cs="仿宋"/>
          <w:sz w:val="24"/>
        </w:rPr>
        <w:t>、资格审查资料</w:t>
      </w:r>
      <w:bookmarkEnd w:id="64"/>
      <w:bookmarkEnd w:id="65"/>
      <w:bookmarkEnd w:id="66"/>
      <w:bookmarkEnd w:id="67"/>
    </w:p>
    <w:p>
      <w:pPr>
        <w:adjustRightInd w:val="0"/>
        <w:snapToGrid w:val="0"/>
        <w:spacing w:line="600" w:lineRule="exact"/>
        <w:jc w:val="both"/>
        <w:outlineLvl w:val="0"/>
        <w:rPr>
          <w:rFonts w:hint="eastAsia" w:ascii="宋体" w:hAnsi="宋体" w:eastAsia="宋体" w:cs="仿宋"/>
          <w:sz w:val="24"/>
          <w:lang w:eastAsia="zh-CN"/>
        </w:rPr>
      </w:pPr>
      <w:bookmarkStart w:id="68" w:name="_Toc10045"/>
      <w:bookmarkStart w:id="69" w:name="_Toc13764"/>
      <w:bookmarkStart w:id="70" w:name="_Toc20653"/>
      <w:bookmarkStart w:id="71" w:name="_Toc6433"/>
      <w:r>
        <w:rPr>
          <w:rFonts w:hint="eastAsia" w:ascii="宋体" w:hAnsi="宋体" w:cs="仿宋"/>
          <w:sz w:val="24"/>
          <w:lang w:eastAsia="zh-CN"/>
        </w:rPr>
        <w:t>六</w:t>
      </w:r>
      <w:r>
        <w:rPr>
          <w:rFonts w:hint="eastAsia" w:ascii="宋体" w:hAnsi="宋体" w:cs="仿宋"/>
          <w:sz w:val="24"/>
        </w:rPr>
        <w:t>、响应方案</w:t>
      </w:r>
      <w:bookmarkEnd w:id="68"/>
      <w:bookmarkEnd w:id="69"/>
      <w:bookmarkEnd w:id="70"/>
      <w:bookmarkEnd w:id="71"/>
    </w:p>
    <w:p>
      <w:pPr>
        <w:adjustRightInd w:val="0"/>
        <w:snapToGrid w:val="0"/>
        <w:spacing w:line="600" w:lineRule="exact"/>
        <w:jc w:val="both"/>
        <w:outlineLvl w:val="0"/>
        <w:rPr>
          <w:rFonts w:ascii="宋体" w:hAnsi="宋体" w:cs="仿宋"/>
          <w:sz w:val="24"/>
        </w:rPr>
      </w:pPr>
      <w:bookmarkStart w:id="72" w:name="_Toc25601"/>
      <w:bookmarkStart w:id="73" w:name="_Toc32766"/>
      <w:bookmarkStart w:id="74" w:name="_Toc25797"/>
      <w:bookmarkStart w:id="75" w:name="_Toc29182"/>
      <w:r>
        <w:rPr>
          <w:rFonts w:hint="eastAsia" w:ascii="宋体" w:hAnsi="宋体" w:cs="仿宋"/>
          <w:sz w:val="24"/>
          <w:lang w:eastAsia="zh-CN"/>
        </w:rPr>
        <w:t>七</w:t>
      </w:r>
      <w:r>
        <w:rPr>
          <w:rFonts w:hint="eastAsia" w:ascii="宋体" w:hAnsi="宋体" w:cs="仿宋"/>
          <w:sz w:val="24"/>
        </w:rPr>
        <w:t>、其他资料</w:t>
      </w:r>
      <w:bookmarkEnd w:id="72"/>
      <w:bookmarkEnd w:id="73"/>
      <w:bookmarkEnd w:id="74"/>
      <w:bookmarkEnd w:id="75"/>
    </w:p>
    <w:p>
      <w:pPr>
        <w:numPr>
          <w:ilvl w:val="0"/>
          <w:numId w:val="16"/>
        </w:numPr>
        <w:adjustRightInd w:val="0"/>
        <w:snapToGrid w:val="0"/>
        <w:spacing w:line="600" w:lineRule="exact"/>
        <w:jc w:val="center"/>
        <w:outlineLvl w:val="0"/>
        <w:rPr>
          <w:rFonts w:ascii="黑体" w:hAnsi="黑体" w:eastAsia="黑体" w:cs="仿宋"/>
          <w:sz w:val="36"/>
          <w:szCs w:val="36"/>
        </w:rPr>
        <w:sectPr>
          <w:footerReference r:id="rId10" w:type="default"/>
          <w:pgSz w:w="11906" w:h="16838"/>
          <w:pgMar w:top="1440" w:right="1080" w:bottom="1134" w:left="1080" w:header="851" w:footer="1344" w:gutter="0"/>
          <w:pgNumType w:fmt="decimal"/>
          <w:cols w:space="720" w:num="1"/>
          <w:docGrid w:linePitch="312" w:charSpace="0"/>
        </w:sectPr>
      </w:pPr>
      <w:bookmarkStart w:id="76" w:name="_Toc29407"/>
    </w:p>
    <w:p>
      <w:pPr>
        <w:numPr>
          <w:ilvl w:val="0"/>
          <w:numId w:val="16"/>
        </w:numPr>
        <w:adjustRightInd w:val="0"/>
        <w:snapToGrid w:val="0"/>
        <w:spacing w:line="600" w:lineRule="exact"/>
        <w:jc w:val="center"/>
        <w:outlineLvl w:val="0"/>
        <w:rPr>
          <w:rFonts w:ascii="黑体" w:hAnsi="黑体" w:eastAsia="黑体" w:cs="仿宋"/>
          <w:sz w:val="36"/>
          <w:szCs w:val="36"/>
        </w:rPr>
      </w:pPr>
      <w:bookmarkStart w:id="77" w:name="_Toc7868"/>
      <w:r>
        <w:rPr>
          <w:rFonts w:hint="eastAsia" w:ascii="黑体" w:hAnsi="黑体" w:eastAsia="黑体" w:cs="仿宋"/>
          <w:sz w:val="36"/>
          <w:szCs w:val="36"/>
        </w:rPr>
        <w:t>响应函</w:t>
      </w:r>
      <w:bookmarkEnd w:id="76"/>
      <w:bookmarkEnd w:id="77"/>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360" w:lineRule="auto"/>
        <w:rPr>
          <w:rFonts w:hint="eastAsia" w:ascii="宋体" w:hAnsi="宋体" w:cs="Times New Roman"/>
          <w:sz w:val="24"/>
          <w:lang w:val="en-US" w:eastAsia="zh-CN"/>
        </w:rPr>
      </w:pPr>
    </w:p>
    <w:p>
      <w:pPr>
        <w:adjustRightInd w:val="0"/>
        <w:snapToGrid w:val="0"/>
        <w:spacing w:line="360" w:lineRule="auto"/>
        <w:rPr>
          <w:rFonts w:hint="default" w:ascii="宋体" w:hAnsi="宋体" w:eastAsia="宋体" w:cs="Times New Roman"/>
          <w:sz w:val="24"/>
          <w:lang w:val="en-US" w:eastAsia="zh-CN"/>
        </w:rPr>
      </w:pPr>
      <w:r>
        <w:rPr>
          <w:rFonts w:hint="eastAsia" w:ascii="宋体" w:hAnsi="宋体" w:cs="Times New Roman"/>
          <w:sz w:val="24"/>
          <w:lang w:val="en-US" w:eastAsia="zh-CN"/>
        </w:rPr>
        <w:t>1.</w:t>
      </w:r>
      <w:r>
        <w:rPr>
          <w:rFonts w:hint="eastAsia" w:ascii="宋体" w:hAnsi="宋体" w:eastAsia="宋体" w:cs="Times New Roman"/>
          <w:sz w:val="24"/>
        </w:rPr>
        <w:t>我方已仔细研究了</w:t>
      </w:r>
      <w:r>
        <w:rPr>
          <w:rFonts w:hint="eastAsia" w:ascii="宋体" w:hAnsi="宋体" w:cs="Times New Roman"/>
          <w:sz w:val="24"/>
          <w:lang w:val="en-US" w:eastAsia="zh-CN"/>
        </w:rPr>
        <w:t>贵司消防维保检测评估服务项目</w:t>
      </w:r>
      <w:r>
        <w:rPr>
          <w:rFonts w:hint="eastAsia" w:ascii="宋体" w:hAnsi="宋体" w:eastAsia="宋体" w:cs="Times New Roman"/>
          <w:sz w:val="24"/>
        </w:rPr>
        <w:t>采购文件的全部内容，愿意以含税价人民币(大写)</w:t>
      </w:r>
      <w:r>
        <w:rPr>
          <w:rFonts w:hint="eastAsia" w:ascii="宋体" w:hAnsi="宋体" w:eastAsia="宋体" w:cs="Times New Roman"/>
          <w:sz w:val="24"/>
          <w:lang w:val="en-US" w:eastAsia="zh-CN"/>
        </w:rPr>
        <w:t xml:space="preserve">         </w:t>
      </w:r>
      <w:r>
        <w:rPr>
          <w:rFonts w:hint="eastAsia" w:ascii="宋体" w:hAnsi="宋体" w:eastAsia="宋体" w:cs="Times New Roman"/>
          <w:sz w:val="24"/>
        </w:rPr>
        <w:t>(￥</w:t>
      </w:r>
      <w:r>
        <w:rPr>
          <w:rFonts w:hint="eastAsia" w:ascii="宋体" w:hAnsi="宋体" w:cs="Times New Roman"/>
          <w:sz w:val="24"/>
          <w:lang w:eastAsia="zh-CN"/>
        </w:rPr>
        <w:t>：</w:t>
      </w:r>
      <w:r>
        <w:rPr>
          <w:rFonts w:hint="eastAsia" w:ascii="宋体" w:hAnsi="宋体" w:eastAsia="宋体" w:cs="Times New Roman"/>
          <w:sz w:val="24"/>
          <w:u w:val="none"/>
        </w:rPr>
        <w:t xml:space="preserve">         </w:t>
      </w:r>
      <w:r>
        <w:rPr>
          <w:rFonts w:hint="eastAsia" w:ascii="宋体" w:hAnsi="宋体" w:eastAsia="宋体" w:cs="Times New Roman"/>
          <w:sz w:val="24"/>
        </w:rPr>
        <w:t>)的报价</w:t>
      </w:r>
      <w:r>
        <w:rPr>
          <w:rFonts w:hint="eastAsia" w:ascii="宋体" w:hAnsi="宋体" w:eastAsia="宋体" w:cs="Times New Roman"/>
          <w:sz w:val="24"/>
          <w:lang w:val="en-US" w:eastAsia="zh-CN"/>
        </w:rPr>
        <w:t>，</w:t>
      </w:r>
      <w:r>
        <w:rPr>
          <w:rFonts w:hint="eastAsia" w:ascii="宋体" w:hAnsi="宋体" w:eastAsia="宋体" w:cs="Times New Roman"/>
          <w:sz w:val="24"/>
        </w:rPr>
        <w:t>（其中不含税价为:</w:t>
      </w:r>
      <w:r>
        <w:rPr>
          <w:rFonts w:hint="eastAsia" w:ascii="宋体" w:hAnsi="宋体" w:eastAsia="宋体" w:cs="Times New Roman"/>
          <w:sz w:val="24"/>
          <w:u w:val="none"/>
        </w:rPr>
        <w:t xml:space="preserve">       </w:t>
      </w:r>
      <w:r>
        <w:rPr>
          <w:rFonts w:hint="eastAsia" w:ascii="宋体" w:hAnsi="宋体" w:eastAsia="宋体" w:cs="Times New Roman"/>
          <w:sz w:val="24"/>
        </w:rPr>
        <w:t>;增值税税额为:</w:t>
      </w:r>
      <w:r>
        <w:rPr>
          <w:rFonts w:hint="eastAsia" w:ascii="宋体" w:hAnsi="宋体" w:eastAsia="宋体" w:cs="Times New Roman"/>
          <w:sz w:val="24"/>
          <w:u w:val="none"/>
        </w:rPr>
        <w:t xml:space="preserve">            </w:t>
      </w:r>
      <w:r>
        <w:rPr>
          <w:rFonts w:hint="eastAsia" w:ascii="宋体" w:hAnsi="宋体" w:eastAsia="宋体" w:cs="Times New Roman"/>
          <w:sz w:val="24"/>
          <w:lang w:val="en-US" w:eastAsia="zh-CN"/>
        </w:rPr>
        <w:t>提供增值税专用发票</w:t>
      </w:r>
      <w:r>
        <w:rPr>
          <w:rFonts w:hint="eastAsia" w:ascii="宋体" w:hAnsi="宋体" w:eastAsia="宋体" w:cs="Times New Roman"/>
          <w:sz w:val="24"/>
        </w:rPr>
        <w:t>)完成本项目服务，并按合同约定履行义务。</w:t>
      </w:r>
      <w:r>
        <w:rPr>
          <w:rFonts w:hint="eastAsia" w:ascii="宋体" w:hAnsi="宋体" w:eastAsia="宋体" w:cs="宋体"/>
          <w:color w:val="auto"/>
          <w:kern w:val="44"/>
          <w:sz w:val="24"/>
          <w:szCs w:val="24"/>
          <w:u w:val="none"/>
          <w:lang w:eastAsia="zh-CN"/>
        </w:rPr>
        <w:t>消防设施检测及消防安全评估在合同签订后</w:t>
      </w:r>
      <w:r>
        <w:rPr>
          <w:rFonts w:hint="eastAsia" w:ascii="宋体" w:hAnsi="宋体" w:eastAsia="宋体" w:cs="宋体"/>
          <w:color w:val="auto"/>
          <w:kern w:val="44"/>
          <w:sz w:val="24"/>
          <w:szCs w:val="24"/>
          <w:u w:val="none"/>
          <w:lang w:val="en-US" w:eastAsia="zh-CN"/>
        </w:rPr>
        <w:t>30日内完成检测报告及安全评估报告</w:t>
      </w:r>
      <w:r>
        <w:rPr>
          <w:rFonts w:hint="eastAsia" w:ascii="宋体" w:hAnsi="宋体" w:cs="宋体"/>
          <w:color w:val="auto"/>
          <w:kern w:val="44"/>
          <w:sz w:val="24"/>
          <w:szCs w:val="24"/>
          <w:u w:val="none"/>
          <w:lang w:val="en-US" w:eastAsia="zh-CN"/>
        </w:rPr>
        <w:t>，</w:t>
      </w:r>
      <w:r>
        <w:rPr>
          <w:rFonts w:hint="eastAsia" w:ascii="宋体" w:hAnsi="宋体" w:eastAsia="宋体" w:cs="宋体"/>
          <w:color w:val="auto"/>
          <w:kern w:val="44"/>
          <w:sz w:val="24"/>
          <w:szCs w:val="24"/>
          <w:u w:val="none"/>
          <w:lang w:val="en-US" w:eastAsia="zh-CN"/>
        </w:rPr>
        <w:t>消防设施维保期为一年</w:t>
      </w:r>
      <w:r>
        <w:rPr>
          <w:rFonts w:hint="eastAsia" w:ascii="宋体" w:hAnsi="宋体" w:cs="宋体"/>
          <w:color w:val="auto"/>
          <w:kern w:val="44"/>
          <w:sz w:val="24"/>
          <w:szCs w:val="24"/>
          <w:u w:val="none"/>
          <w:lang w:val="en-US" w:eastAsia="zh-CN"/>
        </w:rPr>
        <w:t>。</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3</w:t>
      </w:r>
      <w:r>
        <w:rPr>
          <w:rFonts w:hint="eastAsia" w:cs="仿宋" w:asciiTheme="minorEastAsia" w:hAnsiTheme="minorEastAsia" w:eastAsiaTheme="minorEastAsia"/>
          <w:sz w:val="24"/>
        </w:rPr>
        <w:t>)商务和技术偏差表;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4</w:t>
      </w:r>
      <w:r>
        <w:rPr>
          <w:rFonts w:hint="eastAsia" w:cs="仿宋" w:asciiTheme="minorEastAsia" w:hAnsiTheme="minorEastAsia" w:eastAsiaTheme="minorEastAsia"/>
          <w:sz w:val="24"/>
        </w:rPr>
        <w:t>)报价表;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5</w:t>
      </w:r>
      <w:r>
        <w:rPr>
          <w:rFonts w:hint="eastAsia" w:cs="仿宋" w:asciiTheme="minorEastAsia" w:hAnsiTheme="minorEastAsia" w:eastAsiaTheme="minorEastAsia"/>
          <w:sz w:val="24"/>
        </w:rPr>
        <w:t>)资格审查资料;</w:t>
      </w:r>
    </w:p>
    <w:p>
      <w:pPr>
        <w:adjustRightInd w:val="0"/>
        <w:snapToGrid w:val="0"/>
        <w:spacing w:line="6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6</w:t>
      </w:r>
      <w:r>
        <w:rPr>
          <w:rFonts w:hint="eastAsia" w:cs="仿宋" w:asciiTheme="minorEastAsia" w:hAnsiTheme="minorEastAsia" w:eastAsiaTheme="minorEastAsia"/>
          <w:sz w:val="24"/>
        </w:rPr>
        <w:t>)响应方案;</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7</w:t>
      </w: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eastAsia="zh-CN"/>
        </w:rPr>
        <w:t>其他</w:t>
      </w:r>
      <w:r>
        <w:rPr>
          <w:rFonts w:hint="eastAsia" w:cs="仿宋" w:asciiTheme="minorEastAsia" w:hAnsiTheme="minorEastAsia" w:eastAsiaTheme="minorEastAsia"/>
          <w:sz w:val="24"/>
        </w:rPr>
        <w:t>方案</w:t>
      </w:r>
      <w:r>
        <w:rPr>
          <w:rFonts w:hint="eastAsia" w:cs="仿宋" w:asciiTheme="minorEastAsia" w:hAnsiTheme="minorEastAsia" w:eastAsiaTheme="minorEastAsia"/>
          <w:sz w:val="24"/>
          <w:lang w:eastAsia="zh-CN"/>
        </w:rPr>
        <w:t>（如有））</w:t>
      </w:r>
      <w:r>
        <w:rPr>
          <w:rFonts w:hint="eastAsia" w:cs="仿宋" w:asciiTheme="minorEastAsia" w:hAnsiTheme="minorEastAsia" w:eastAsiaTheme="minorEastAsia"/>
          <w:sz w:val="24"/>
        </w:rPr>
        <w:t>;</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17"/>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w:t>
      </w: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lang w:val="en-US" w:eastAsia="zh-CN"/>
        </w:rPr>
        <w:t>90天）</w:t>
      </w:r>
      <w:r>
        <w:rPr>
          <w:rFonts w:hint="eastAsia" w:cs="仿宋" w:asciiTheme="minorEastAsia" w:hAnsiTheme="minorEastAsia" w:eastAsiaTheme="minorEastAsia"/>
          <w:sz w:val="24"/>
        </w:rPr>
        <w:t>内不撤销响应文件。</w:t>
      </w:r>
    </w:p>
    <w:p>
      <w:pPr>
        <w:numPr>
          <w:ilvl w:val="0"/>
          <w:numId w:val="17"/>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(3)按照采购文件要求递交履约保证金;</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w:t>
      </w:r>
      <w:r>
        <w:rPr>
          <w:rFonts w:hint="eastAsia" w:cs="仿宋" w:asciiTheme="minorEastAsia" w:hAnsiTheme="minorEastAsia" w:eastAsiaTheme="minorEastAsia"/>
          <w:sz w:val="24"/>
          <w:lang w:val="en-US" w:eastAsia="zh-CN"/>
        </w:rPr>
        <w:t>存</w:t>
      </w:r>
      <w:r>
        <w:rPr>
          <w:rFonts w:hint="eastAsia" w:cs="仿宋" w:asciiTheme="minorEastAsia" w:hAnsiTheme="minorEastAsia" w:eastAsiaTheme="minorEastAsia"/>
          <w:sz w:val="24"/>
        </w:rPr>
        <w:t>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lang w:val="en-US" w:eastAsia="zh-CN"/>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outlineLvl w:val="0"/>
        <w:rPr>
          <w:rFonts w:ascii="黑体" w:hAnsi="黑体" w:eastAsia="黑体" w:cs="仿宋"/>
          <w:sz w:val="36"/>
          <w:szCs w:val="36"/>
        </w:rPr>
      </w:pPr>
      <w:r>
        <w:rPr>
          <w:rFonts w:hint="eastAsia" w:cs="仿宋" w:asciiTheme="minorEastAsia" w:hAnsiTheme="minorEastAsia" w:eastAsiaTheme="minorEastAsia"/>
          <w:sz w:val="24"/>
        </w:rPr>
        <w:br w:type="page"/>
      </w:r>
      <w:bookmarkStart w:id="78" w:name="_Toc23011"/>
      <w:bookmarkStart w:id="79" w:name="_Toc27389"/>
      <w:r>
        <w:rPr>
          <w:rFonts w:hint="eastAsia" w:ascii="黑体" w:hAnsi="黑体" w:eastAsia="黑体" w:cs="仿宋"/>
          <w:sz w:val="36"/>
          <w:szCs w:val="36"/>
        </w:rPr>
        <w:t>二、授权委托书</w:t>
      </w:r>
      <w:bookmarkEnd w:id="78"/>
      <w:bookmarkEnd w:id="79"/>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(适用于有委托代理人的情况)</w:t>
      </w:r>
      <w:r>
        <w:rPr>
          <w:rFonts w:hint="eastAsia" w:cs="仿宋" w:asciiTheme="minorEastAsia" w:hAnsiTheme="minorEastAsia" w:eastAsiaTheme="minorEastAsia"/>
          <w:sz w:val="24"/>
          <w:lang w:eastAsia="zh-CN"/>
        </w:rPr>
        <w:t>：</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720" w:firstLineChars="300"/>
        <w:jc w:val="both"/>
        <w:rPr>
          <w:rFonts w:cs="仿宋" w:asciiTheme="minorEastAsia" w:hAnsiTheme="minorEastAsia" w:eastAsiaTheme="minorEastAsia"/>
          <w:sz w:val="24"/>
        </w:rPr>
      </w:pPr>
      <w:r>
        <w:rPr>
          <w:rFonts w:hint="eastAsia" w:cs="仿宋" w:asciiTheme="minorEastAsia" w:hAnsiTheme="minorEastAsia" w:eastAsiaTheme="minorEastAsia"/>
          <w:sz w:val="24"/>
        </w:rPr>
        <w:t>年</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t>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240" w:lineRule="auto"/>
        <w:jc w:val="center"/>
        <w:outlineLvl w:val="0"/>
        <w:rPr>
          <w:rFonts w:ascii="黑体" w:hAnsi="黑体" w:eastAsia="黑体" w:cs="仿宋"/>
          <w:sz w:val="36"/>
          <w:szCs w:val="36"/>
        </w:rPr>
      </w:pPr>
      <w:bookmarkStart w:id="80" w:name="_Toc19"/>
      <w:bookmarkStart w:id="81" w:name="_Toc21451"/>
      <w:r>
        <w:rPr>
          <w:rFonts w:hint="eastAsia" w:ascii="黑体" w:hAnsi="黑体" w:eastAsia="黑体" w:cs="仿宋"/>
          <w:sz w:val="36"/>
          <w:szCs w:val="36"/>
          <w:lang w:eastAsia="zh-CN"/>
        </w:rPr>
        <w:t>三</w:t>
      </w:r>
      <w:r>
        <w:rPr>
          <w:rFonts w:hint="eastAsia" w:ascii="黑体" w:hAnsi="黑体" w:eastAsia="黑体" w:cs="仿宋"/>
          <w:sz w:val="36"/>
          <w:szCs w:val="36"/>
        </w:rPr>
        <w:t>、商务和技术偏差表</w:t>
      </w:r>
      <w:bookmarkEnd w:id="80"/>
      <w:bookmarkEnd w:id="81"/>
    </w:p>
    <w:p>
      <w:pPr>
        <w:spacing w:line="600" w:lineRule="exact"/>
        <w:jc w:val="center"/>
        <w:rPr>
          <w:rFonts w:cs="仿宋" w:asciiTheme="minorEastAsia" w:hAnsiTheme="minorEastAsia" w:eastAsiaTheme="minorEastAsia"/>
          <w:sz w:val="24"/>
        </w:rPr>
      </w:pPr>
    </w:p>
    <w:tbl>
      <w:tblPr>
        <w:tblStyle w:val="3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982"/>
        <w:gridCol w:w="262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982"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621"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307"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tcPr>
          <w:p>
            <w:pPr>
              <w:widowControl/>
              <w:spacing w:line="600" w:lineRule="exact"/>
              <w:jc w:val="both"/>
              <w:rPr>
                <w:rFonts w:cs="仿宋" w:asciiTheme="minorEastAsia" w:hAnsiTheme="minorEastAsia" w:eastAsiaTheme="minorEastAsia"/>
                <w:sz w:val="24"/>
              </w:rPr>
            </w:pPr>
          </w:p>
        </w:tc>
        <w:tc>
          <w:tcPr>
            <w:tcW w:w="2982" w:type="dxa"/>
          </w:tcPr>
          <w:p>
            <w:pPr>
              <w:widowControl/>
              <w:spacing w:line="600" w:lineRule="exact"/>
              <w:jc w:val="both"/>
              <w:rPr>
                <w:rFonts w:cs="仿宋" w:asciiTheme="minorEastAsia" w:hAnsiTheme="minorEastAsia" w:eastAsiaTheme="minorEastAsia"/>
                <w:sz w:val="24"/>
              </w:rPr>
            </w:pPr>
          </w:p>
        </w:tc>
        <w:tc>
          <w:tcPr>
            <w:tcW w:w="2621" w:type="dxa"/>
          </w:tcPr>
          <w:p>
            <w:pPr>
              <w:widowControl/>
              <w:spacing w:line="600" w:lineRule="exact"/>
              <w:jc w:val="both"/>
              <w:rPr>
                <w:rFonts w:cs="仿宋" w:asciiTheme="minorEastAsia" w:hAnsiTheme="minorEastAsia" w:eastAsiaTheme="minorEastAsia"/>
                <w:sz w:val="24"/>
              </w:rPr>
            </w:pPr>
          </w:p>
        </w:tc>
        <w:tc>
          <w:tcPr>
            <w:tcW w:w="2307"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tcPr>
          <w:p>
            <w:pPr>
              <w:widowControl/>
              <w:spacing w:line="600" w:lineRule="exact"/>
              <w:jc w:val="both"/>
              <w:rPr>
                <w:rFonts w:cs="仿宋" w:asciiTheme="minorEastAsia" w:hAnsiTheme="minorEastAsia" w:eastAsiaTheme="minorEastAsia"/>
                <w:sz w:val="24"/>
              </w:rPr>
            </w:pPr>
          </w:p>
        </w:tc>
        <w:tc>
          <w:tcPr>
            <w:tcW w:w="2982" w:type="dxa"/>
          </w:tcPr>
          <w:p>
            <w:pPr>
              <w:widowControl/>
              <w:spacing w:line="600" w:lineRule="exact"/>
              <w:jc w:val="both"/>
              <w:rPr>
                <w:rFonts w:cs="仿宋" w:asciiTheme="minorEastAsia" w:hAnsiTheme="minorEastAsia" w:eastAsiaTheme="minorEastAsia"/>
                <w:sz w:val="24"/>
              </w:rPr>
            </w:pPr>
          </w:p>
        </w:tc>
        <w:tc>
          <w:tcPr>
            <w:tcW w:w="2621" w:type="dxa"/>
          </w:tcPr>
          <w:p>
            <w:pPr>
              <w:widowControl/>
              <w:spacing w:line="600" w:lineRule="exact"/>
              <w:jc w:val="both"/>
              <w:rPr>
                <w:rFonts w:cs="仿宋" w:asciiTheme="minorEastAsia" w:hAnsiTheme="minorEastAsia" w:eastAsiaTheme="minorEastAsia"/>
                <w:sz w:val="24"/>
              </w:rPr>
            </w:pPr>
          </w:p>
        </w:tc>
        <w:tc>
          <w:tcPr>
            <w:tcW w:w="2307"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tcPr>
          <w:p>
            <w:pPr>
              <w:widowControl/>
              <w:spacing w:line="600" w:lineRule="exact"/>
              <w:jc w:val="both"/>
              <w:rPr>
                <w:rFonts w:cs="仿宋" w:asciiTheme="minorEastAsia" w:hAnsiTheme="minorEastAsia" w:eastAsiaTheme="minorEastAsia"/>
                <w:sz w:val="24"/>
              </w:rPr>
            </w:pPr>
          </w:p>
        </w:tc>
        <w:tc>
          <w:tcPr>
            <w:tcW w:w="2982" w:type="dxa"/>
          </w:tcPr>
          <w:p>
            <w:pPr>
              <w:widowControl/>
              <w:spacing w:line="600" w:lineRule="exact"/>
              <w:jc w:val="both"/>
              <w:rPr>
                <w:rFonts w:cs="仿宋" w:asciiTheme="minorEastAsia" w:hAnsiTheme="minorEastAsia" w:eastAsiaTheme="minorEastAsia"/>
                <w:sz w:val="24"/>
              </w:rPr>
            </w:pPr>
          </w:p>
        </w:tc>
        <w:tc>
          <w:tcPr>
            <w:tcW w:w="2621" w:type="dxa"/>
          </w:tcPr>
          <w:p>
            <w:pPr>
              <w:widowControl/>
              <w:spacing w:line="600" w:lineRule="exact"/>
              <w:jc w:val="both"/>
              <w:rPr>
                <w:rFonts w:cs="仿宋" w:asciiTheme="minorEastAsia" w:hAnsiTheme="minorEastAsia" w:eastAsiaTheme="minorEastAsia"/>
                <w:sz w:val="24"/>
              </w:rPr>
            </w:pPr>
          </w:p>
        </w:tc>
        <w:tc>
          <w:tcPr>
            <w:tcW w:w="2307"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tcPr>
          <w:p>
            <w:pPr>
              <w:widowControl/>
              <w:spacing w:line="600" w:lineRule="exact"/>
              <w:jc w:val="both"/>
              <w:rPr>
                <w:rFonts w:cs="仿宋" w:asciiTheme="minorEastAsia" w:hAnsiTheme="minorEastAsia" w:eastAsiaTheme="minorEastAsia"/>
                <w:sz w:val="24"/>
              </w:rPr>
            </w:pPr>
          </w:p>
        </w:tc>
        <w:tc>
          <w:tcPr>
            <w:tcW w:w="2982" w:type="dxa"/>
          </w:tcPr>
          <w:p>
            <w:pPr>
              <w:widowControl/>
              <w:spacing w:line="600" w:lineRule="exact"/>
              <w:jc w:val="both"/>
              <w:rPr>
                <w:rFonts w:cs="仿宋" w:asciiTheme="minorEastAsia" w:hAnsiTheme="minorEastAsia" w:eastAsiaTheme="minorEastAsia"/>
                <w:sz w:val="24"/>
              </w:rPr>
            </w:pPr>
          </w:p>
        </w:tc>
        <w:tc>
          <w:tcPr>
            <w:tcW w:w="2621" w:type="dxa"/>
          </w:tcPr>
          <w:p>
            <w:pPr>
              <w:widowControl/>
              <w:spacing w:line="600" w:lineRule="exact"/>
              <w:jc w:val="both"/>
              <w:rPr>
                <w:rFonts w:cs="仿宋" w:asciiTheme="minorEastAsia" w:hAnsiTheme="minorEastAsia" w:eastAsiaTheme="minorEastAsia"/>
                <w:sz w:val="24"/>
              </w:rPr>
            </w:pPr>
          </w:p>
        </w:tc>
        <w:tc>
          <w:tcPr>
            <w:tcW w:w="2307"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ind w:left="0"/>
        <w:jc w:val="center"/>
        <w:outlineLvl w:val="0"/>
        <w:rPr>
          <w:rFonts w:ascii="黑体" w:hAnsi="黑体" w:eastAsia="黑体" w:cs="仿宋"/>
          <w:sz w:val="36"/>
          <w:szCs w:val="36"/>
        </w:rPr>
      </w:pPr>
      <w:bookmarkStart w:id="82" w:name="_Toc16238"/>
      <w:bookmarkStart w:id="83" w:name="_Toc31590"/>
      <w:r>
        <w:rPr>
          <w:rFonts w:hint="eastAsia" w:ascii="黑体" w:hAnsi="黑体" w:eastAsia="黑体" w:cs="仿宋"/>
          <w:sz w:val="36"/>
          <w:szCs w:val="36"/>
          <w:lang w:eastAsia="zh-CN"/>
        </w:rPr>
        <w:t>四</w:t>
      </w:r>
      <w:r>
        <w:rPr>
          <w:rFonts w:hint="eastAsia" w:ascii="黑体" w:hAnsi="黑体" w:eastAsia="黑体" w:cs="仿宋"/>
          <w:sz w:val="36"/>
          <w:szCs w:val="36"/>
        </w:rPr>
        <w:t>、报价表</w:t>
      </w:r>
      <w:bookmarkEnd w:id="82"/>
      <w:bookmarkEnd w:id="83"/>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1.报价表说明</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2.报价表</w:t>
      </w:r>
    </w:p>
    <w:tbl>
      <w:tblPr>
        <w:tblStyle w:val="38"/>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932"/>
        <w:gridCol w:w="1650"/>
        <w:gridCol w:w="1254"/>
        <w:gridCol w:w="1828"/>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5" w:type="dxa"/>
            <w:vAlign w:val="center"/>
          </w:tcPr>
          <w:p>
            <w:pPr>
              <w:widowControl/>
              <w:spacing w:line="312" w:lineRule="auto"/>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932" w:type="dxa"/>
            <w:vAlign w:val="center"/>
          </w:tcPr>
          <w:p>
            <w:pPr>
              <w:widowControl/>
              <w:spacing w:line="312" w:lineRule="auto"/>
              <w:jc w:val="center"/>
              <w:rPr>
                <w:rFonts w:hint="eastAsia" w:ascii="宋体" w:hAnsi="宋体" w:eastAsia="宋体" w:cs="宋体"/>
                <w:i w:val="0"/>
                <w:iCs w:val="0"/>
                <w:color w:val="000000"/>
                <w:kern w:val="0"/>
                <w:sz w:val="22"/>
                <w:szCs w:val="22"/>
                <w:u w:val="none"/>
                <w:lang w:val="en-US" w:eastAsia="zh-CN" w:bidi="ar"/>
              </w:rPr>
            </w:pPr>
            <w:r>
              <w:rPr>
                <w:rFonts w:hint="eastAsia" w:cs="仿宋" w:asciiTheme="minorEastAsia" w:hAnsiTheme="minorEastAsia" w:eastAsiaTheme="minorEastAsia"/>
                <w:sz w:val="24"/>
              </w:rPr>
              <w:t>服务费用分项名称</w:t>
            </w:r>
          </w:p>
        </w:tc>
        <w:tc>
          <w:tcPr>
            <w:tcW w:w="1650" w:type="dxa"/>
            <w:vAlign w:val="center"/>
          </w:tcPr>
          <w:p>
            <w:pPr>
              <w:widowControl/>
              <w:spacing w:line="312"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不含税金额</w:t>
            </w:r>
          </w:p>
        </w:tc>
        <w:tc>
          <w:tcPr>
            <w:tcW w:w="1254" w:type="dxa"/>
            <w:vAlign w:val="center"/>
          </w:tcPr>
          <w:p>
            <w:pPr>
              <w:widowControl/>
              <w:spacing w:line="312" w:lineRule="auto"/>
              <w:jc w:val="center"/>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rPr>
              <w:t>税额</w:t>
            </w:r>
          </w:p>
        </w:tc>
        <w:tc>
          <w:tcPr>
            <w:tcW w:w="1828" w:type="dxa"/>
            <w:vAlign w:val="center"/>
          </w:tcPr>
          <w:p>
            <w:pPr>
              <w:widowControl/>
              <w:spacing w:line="312" w:lineRule="auto"/>
              <w:jc w:val="center"/>
              <w:rPr>
                <w:rFonts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rPr>
              <w:t>价税合计</w:t>
            </w:r>
          </w:p>
        </w:tc>
        <w:tc>
          <w:tcPr>
            <w:tcW w:w="1291" w:type="dxa"/>
            <w:vAlign w:val="center"/>
          </w:tcPr>
          <w:p>
            <w:pPr>
              <w:widowControl/>
              <w:spacing w:line="312"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55" w:type="dxa"/>
            <w:vAlign w:val="center"/>
          </w:tcPr>
          <w:p>
            <w:pPr>
              <w:widowControl/>
              <w:spacing w:line="312"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1</w:t>
            </w:r>
          </w:p>
        </w:tc>
        <w:tc>
          <w:tcPr>
            <w:tcW w:w="2932" w:type="dxa"/>
            <w:vAlign w:val="center"/>
          </w:tcPr>
          <w:p>
            <w:pPr>
              <w:widowControl/>
              <w:spacing w:line="312" w:lineRule="auto"/>
              <w:jc w:val="center"/>
              <w:rPr>
                <w:rFonts w:cs="仿宋" w:asciiTheme="minorEastAsia" w:hAnsiTheme="minorEastAsia" w:eastAsiaTheme="minorEastAsia"/>
                <w:sz w:val="24"/>
              </w:rPr>
            </w:pPr>
            <w:r>
              <w:rPr>
                <w:rFonts w:hint="eastAsia" w:ascii="宋体" w:hAnsi="宋体" w:eastAsia="宋体" w:cs="宋体"/>
                <w:i w:val="0"/>
                <w:iCs w:val="0"/>
                <w:color w:val="000000"/>
                <w:kern w:val="0"/>
                <w:sz w:val="22"/>
                <w:szCs w:val="22"/>
                <w:u w:val="none"/>
                <w:lang w:val="en-US" w:eastAsia="zh-CN" w:bidi="ar"/>
              </w:rPr>
              <w:t>消防设施维保</w:t>
            </w:r>
          </w:p>
        </w:tc>
        <w:tc>
          <w:tcPr>
            <w:tcW w:w="1650" w:type="dxa"/>
            <w:vAlign w:val="center"/>
          </w:tcPr>
          <w:p>
            <w:pPr>
              <w:widowControl/>
              <w:spacing w:line="312" w:lineRule="auto"/>
              <w:jc w:val="center"/>
              <w:rPr>
                <w:rFonts w:cs="仿宋" w:asciiTheme="minorEastAsia" w:hAnsiTheme="minorEastAsia" w:eastAsiaTheme="minorEastAsia"/>
                <w:sz w:val="24"/>
              </w:rPr>
            </w:pPr>
          </w:p>
        </w:tc>
        <w:tc>
          <w:tcPr>
            <w:tcW w:w="1254" w:type="dxa"/>
            <w:vAlign w:val="center"/>
          </w:tcPr>
          <w:p>
            <w:pPr>
              <w:widowControl/>
              <w:spacing w:line="312" w:lineRule="auto"/>
              <w:jc w:val="center"/>
              <w:rPr>
                <w:rFonts w:cs="仿宋" w:asciiTheme="minorEastAsia" w:hAnsiTheme="minorEastAsia" w:eastAsiaTheme="minorEastAsia"/>
                <w:sz w:val="24"/>
              </w:rPr>
            </w:pPr>
          </w:p>
        </w:tc>
        <w:tc>
          <w:tcPr>
            <w:tcW w:w="1828" w:type="dxa"/>
            <w:vAlign w:val="center"/>
          </w:tcPr>
          <w:p>
            <w:pPr>
              <w:widowControl/>
              <w:spacing w:line="312" w:lineRule="auto"/>
              <w:jc w:val="center"/>
              <w:rPr>
                <w:rFonts w:cs="仿宋" w:asciiTheme="minorEastAsia" w:hAnsiTheme="minorEastAsia" w:eastAsiaTheme="minorEastAsia"/>
                <w:sz w:val="24"/>
              </w:rPr>
            </w:pPr>
          </w:p>
        </w:tc>
        <w:tc>
          <w:tcPr>
            <w:tcW w:w="1291" w:type="dxa"/>
            <w:vAlign w:val="center"/>
          </w:tcPr>
          <w:p>
            <w:pPr>
              <w:widowControl/>
              <w:spacing w:line="312"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55"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2</w:t>
            </w:r>
          </w:p>
        </w:tc>
        <w:tc>
          <w:tcPr>
            <w:tcW w:w="2932" w:type="dxa"/>
            <w:vAlign w:val="center"/>
          </w:tcPr>
          <w:p>
            <w:pPr>
              <w:widowControl/>
              <w:spacing w:line="600" w:lineRule="exact"/>
              <w:jc w:val="center"/>
              <w:rPr>
                <w:rFonts w:cs="仿宋" w:asciiTheme="minorEastAsia" w:hAnsiTheme="minorEastAsia" w:eastAsiaTheme="minorEastAsia"/>
                <w:sz w:val="24"/>
              </w:rPr>
            </w:pPr>
            <w:r>
              <w:rPr>
                <w:rFonts w:hint="eastAsia" w:ascii="宋体" w:hAnsi="宋体" w:eastAsia="宋体" w:cs="宋体"/>
                <w:i w:val="0"/>
                <w:iCs w:val="0"/>
                <w:color w:val="000000"/>
                <w:kern w:val="0"/>
                <w:sz w:val="22"/>
                <w:szCs w:val="22"/>
                <w:u w:val="none"/>
                <w:lang w:val="en-US" w:eastAsia="zh-CN" w:bidi="ar"/>
              </w:rPr>
              <w:t>消防设施检测</w:t>
            </w:r>
          </w:p>
        </w:tc>
        <w:tc>
          <w:tcPr>
            <w:tcW w:w="1650" w:type="dxa"/>
            <w:vAlign w:val="center"/>
          </w:tcPr>
          <w:p>
            <w:pPr>
              <w:widowControl/>
              <w:spacing w:line="600" w:lineRule="exact"/>
              <w:jc w:val="center"/>
              <w:rPr>
                <w:rFonts w:cs="仿宋" w:asciiTheme="minorEastAsia" w:hAnsiTheme="minorEastAsia" w:eastAsiaTheme="minorEastAsia"/>
                <w:sz w:val="24"/>
              </w:rPr>
            </w:pPr>
          </w:p>
        </w:tc>
        <w:tc>
          <w:tcPr>
            <w:tcW w:w="1254" w:type="dxa"/>
            <w:vAlign w:val="center"/>
          </w:tcPr>
          <w:p>
            <w:pPr>
              <w:widowControl/>
              <w:spacing w:line="600" w:lineRule="exact"/>
              <w:jc w:val="center"/>
              <w:rPr>
                <w:rFonts w:cs="仿宋" w:asciiTheme="minorEastAsia" w:hAnsiTheme="minorEastAsia" w:eastAsiaTheme="minorEastAsia"/>
                <w:sz w:val="24"/>
              </w:rPr>
            </w:pPr>
          </w:p>
        </w:tc>
        <w:tc>
          <w:tcPr>
            <w:tcW w:w="1828" w:type="dxa"/>
            <w:vAlign w:val="center"/>
          </w:tcPr>
          <w:p>
            <w:pPr>
              <w:widowControl/>
              <w:spacing w:line="600" w:lineRule="exact"/>
              <w:jc w:val="center"/>
              <w:rPr>
                <w:rFonts w:cs="仿宋" w:asciiTheme="minorEastAsia" w:hAnsiTheme="minorEastAsia" w:eastAsiaTheme="minorEastAsia"/>
                <w:sz w:val="24"/>
              </w:rPr>
            </w:pPr>
          </w:p>
        </w:tc>
        <w:tc>
          <w:tcPr>
            <w:tcW w:w="1291" w:type="dxa"/>
            <w:vAlign w:val="center"/>
          </w:tcPr>
          <w:p>
            <w:pPr>
              <w:widowControl/>
              <w:spacing w:line="60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55"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3</w:t>
            </w:r>
          </w:p>
        </w:tc>
        <w:tc>
          <w:tcPr>
            <w:tcW w:w="2932" w:type="dxa"/>
            <w:vAlign w:val="center"/>
          </w:tcPr>
          <w:p>
            <w:pPr>
              <w:widowControl/>
              <w:spacing w:line="600" w:lineRule="exact"/>
              <w:jc w:val="center"/>
              <w:rPr>
                <w:rFonts w:cs="仿宋" w:asciiTheme="minorEastAsia" w:hAnsiTheme="minorEastAsia" w:eastAsiaTheme="minorEastAsia"/>
                <w:sz w:val="24"/>
              </w:rPr>
            </w:pPr>
            <w:r>
              <w:rPr>
                <w:rFonts w:hint="eastAsia" w:ascii="宋体" w:hAnsi="宋体" w:eastAsia="宋体" w:cs="宋体"/>
                <w:i w:val="0"/>
                <w:iCs w:val="0"/>
                <w:color w:val="000000"/>
                <w:kern w:val="0"/>
                <w:sz w:val="22"/>
                <w:szCs w:val="22"/>
                <w:u w:val="none"/>
                <w:lang w:val="en-US" w:eastAsia="zh-CN" w:bidi="ar"/>
              </w:rPr>
              <w:t>消防安全评估</w:t>
            </w:r>
          </w:p>
        </w:tc>
        <w:tc>
          <w:tcPr>
            <w:tcW w:w="1650" w:type="dxa"/>
            <w:vAlign w:val="center"/>
          </w:tcPr>
          <w:p>
            <w:pPr>
              <w:widowControl/>
              <w:spacing w:line="600" w:lineRule="exact"/>
              <w:jc w:val="center"/>
              <w:rPr>
                <w:rFonts w:cs="仿宋" w:asciiTheme="minorEastAsia" w:hAnsiTheme="minorEastAsia" w:eastAsiaTheme="minorEastAsia"/>
                <w:sz w:val="24"/>
              </w:rPr>
            </w:pPr>
          </w:p>
        </w:tc>
        <w:tc>
          <w:tcPr>
            <w:tcW w:w="1254" w:type="dxa"/>
            <w:vAlign w:val="center"/>
          </w:tcPr>
          <w:p>
            <w:pPr>
              <w:widowControl/>
              <w:spacing w:line="600" w:lineRule="exact"/>
              <w:jc w:val="center"/>
              <w:rPr>
                <w:rFonts w:cs="仿宋" w:asciiTheme="minorEastAsia" w:hAnsiTheme="minorEastAsia" w:eastAsiaTheme="minorEastAsia"/>
                <w:sz w:val="24"/>
              </w:rPr>
            </w:pPr>
          </w:p>
        </w:tc>
        <w:tc>
          <w:tcPr>
            <w:tcW w:w="1828" w:type="dxa"/>
            <w:vAlign w:val="center"/>
          </w:tcPr>
          <w:p>
            <w:pPr>
              <w:widowControl/>
              <w:spacing w:line="600" w:lineRule="exact"/>
              <w:jc w:val="center"/>
              <w:rPr>
                <w:rFonts w:cs="仿宋" w:asciiTheme="minorEastAsia" w:hAnsiTheme="minorEastAsia" w:eastAsiaTheme="minorEastAsia"/>
                <w:sz w:val="24"/>
              </w:rPr>
            </w:pPr>
          </w:p>
        </w:tc>
        <w:tc>
          <w:tcPr>
            <w:tcW w:w="1291" w:type="dxa"/>
            <w:vAlign w:val="center"/>
          </w:tcPr>
          <w:p>
            <w:pPr>
              <w:widowControl/>
              <w:spacing w:line="60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1" w:type="dxa"/>
            <w:gridSpan w:val="4"/>
            <w:vAlign w:val="center"/>
          </w:tcPr>
          <w:p>
            <w:pPr>
              <w:widowControl/>
              <w:spacing w:line="600" w:lineRule="exact"/>
              <w:jc w:val="center"/>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报价合计</w:t>
            </w:r>
          </w:p>
        </w:tc>
        <w:tc>
          <w:tcPr>
            <w:tcW w:w="1828" w:type="dxa"/>
            <w:vAlign w:val="center"/>
          </w:tcPr>
          <w:p>
            <w:pPr>
              <w:widowControl/>
              <w:spacing w:line="600" w:lineRule="exact"/>
              <w:jc w:val="center"/>
              <w:rPr>
                <w:rFonts w:cs="仿宋" w:asciiTheme="minorEastAsia" w:hAnsiTheme="minorEastAsia" w:eastAsiaTheme="minorEastAsia"/>
                <w:sz w:val="24"/>
              </w:rPr>
            </w:pPr>
          </w:p>
        </w:tc>
        <w:tc>
          <w:tcPr>
            <w:tcW w:w="1291" w:type="dxa"/>
            <w:vAlign w:val="center"/>
          </w:tcPr>
          <w:p>
            <w:pPr>
              <w:widowControl/>
              <w:spacing w:line="600" w:lineRule="exact"/>
              <w:jc w:val="center"/>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注：若分项费用的计算依据、过程和公式不便在表中表述，可单独另附表格或描述进行说明。</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outlineLvl w:val="0"/>
        <w:rPr>
          <w:rFonts w:ascii="黑体" w:hAnsi="黑体" w:eastAsia="黑体" w:cs="仿宋"/>
          <w:sz w:val="36"/>
          <w:szCs w:val="36"/>
        </w:rPr>
      </w:pPr>
      <w:bookmarkStart w:id="84" w:name="_Toc15950"/>
      <w:bookmarkStart w:id="85" w:name="_Toc24758"/>
      <w:r>
        <w:rPr>
          <w:rFonts w:hint="eastAsia" w:ascii="黑体" w:hAnsi="黑体" w:eastAsia="黑体" w:cs="仿宋"/>
          <w:sz w:val="36"/>
          <w:szCs w:val="36"/>
          <w:lang w:eastAsia="zh-CN"/>
        </w:rPr>
        <w:t>五</w:t>
      </w:r>
      <w:r>
        <w:rPr>
          <w:rFonts w:hint="eastAsia" w:ascii="黑体" w:hAnsi="黑体" w:eastAsia="黑体" w:cs="仿宋"/>
          <w:sz w:val="36"/>
          <w:szCs w:val="36"/>
        </w:rPr>
        <w:t>、资格审查资料</w:t>
      </w:r>
      <w:bookmarkEnd w:id="84"/>
      <w:bookmarkEnd w:id="85"/>
    </w:p>
    <w:p>
      <w:pPr>
        <w:spacing w:line="600" w:lineRule="exact"/>
        <w:jc w:val="center"/>
        <w:rPr>
          <w:rFonts w:ascii="黑体" w:hAnsi="黑体" w:eastAsia="黑体" w:cs="仿宋"/>
          <w:sz w:val="36"/>
          <w:szCs w:val="36"/>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w:t>
      </w:r>
    </w:p>
    <w:p>
      <w:pPr>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供应商还应根据供应商须知前附表第3.5（5）项和第3.5（8）项的要求提供其他相关证明材料。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（二）近年财务状况</w:t>
      </w:r>
    </w:p>
    <w:p>
      <w:pPr>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供应商应根据供应商须知前附表第3.5（3）项的要求提供近年财务会计报表复印件。</w:t>
      </w:r>
    </w:p>
    <w:p>
      <w:pPr>
        <w:spacing w:line="600" w:lineRule="exact"/>
        <w:jc w:val="both"/>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rPr>
        <w:t>（三）近年的类似项目情况表</w:t>
      </w:r>
      <w:r>
        <w:rPr>
          <w:rFonts w:hint="eastAsia" w:cs="仿宋" w:asciiTheme="minorEastAsia" w:hAnsiTheme="minorEastAsia" w:eastAsiaTheme="minorEastAsia"/>
          <w:sz w:val="24"/>
          <w:lang w:val="en-US" w:eastAsia="zh-CN"/>
        </w:rPr>
        <w:t>(</w:t>
      </w:r>
      <w:r>
        <w:rPr>
          <w:rFonts w:hint="eastAsia" w:cs="仿宋" w:asciiTheme="minorEastAsia" w:hAnsiTheme="minorEastAsia" w:eastAsiaTheme="minorEastAsia"/>
          <w:sz w:val="24"/>
          <w:szCs w:val="24"/>
          <w:u w:val="none"/>
          <w:lang w:val="en-US" w:eastAsia="zh-CN"/>
        </w:rPr>
        <w:t>需</w:t>
      </w:r>
      <w:r>
        <w:rPr>
          <w:rFonts w:hint="eastAsia" w:cs="仿宋" w:asciiTheme="minorEastAsia" w:hAnsiTheme="minorEastAsia" w:eastAsiaTheme="minorEastAsia"/>
          <w:sz w:val="24"/>
          <w:szCs w:val="24"/>
          <w:u w:val="none"/>
          <w:lang w:eastAsia="zh-CN"/>
        </w:rPr>
        <w:t>提供</w:t>
      </w:r>
      <w:r>
        <w:rPr>
          <w:rFonts w:hint="eastAsia" w:cs="仿宋" w:asciiTheme="minorEastAsia" w:hAnsiTheme="minorEastAsia" w:eastAsiaTheme="minorEastAsia"/>
          <w:sz w:val="24"/>
          <w:szCs w:val="24"/>
          <w:u w:val="none"/>
          <w:lang w:val="en-US" w:eastAsia="zh-CN"/>
        </w:rPr>
        <w:t>2</w:t>
      </w:r>
      <w:r>
        <w:rPr>
          <w:rFonts w:hint="eastAsia" w:cs="仿宋" w:asciiTheme="minorEastAsia" w:hAnsiTheme="minorEastAsia" w:eastAsiaTheme="minorEastAsia"/>
          <w:sz w:val="24"/>
          <w:szCs w:val="24"/>
          <w:u w:val="none"/>
          <w:vertAlign w:val="baseline"/>
          <w:lang w:val="en-US" w:eastAsia="zh-CN"/>
        </w:rPr>
        <w:t>个消防维保</w:t>
      </w:r>
      <w:r>
        <w:rPr>
          <w:rFonts w:hint="eastAsia" w:cs="仿宋" w:asciiTheme="minorEastAsia" w:hAnsiTheme="minorEastAsia" w:eastAsiaTheme="minorEastAsia"/>
          <w:sz w:val="24"/>
          <w:szCs w:val="24"/>
          <w:u w:val="none"/>
          <w:vertAlign w:val="baseline"/>
          <w:lang w:eastAsia="zh-CN"/>
        </w:rPr>
        <w:t>及</w:t>
      </w:r>
      <w:r>
        <w:rPr>
          <w:rFonts w:hint="eastAsia" w:cs="仿宋" w:asciiTheme="minorEastAsia" w:hAnsiTheme="minorEastAsia" w:eastAsiaTheme="minorEastAsia"/>
          <w:sz w:val="24"/>
          <w:szCs w:val="24"/>
          <w:u w:val="none"/>
          <w:vertAlign w:val="baseline"/>
          <w:lang w:val="en-US" w:eastAsia="zh-CN"/>
        </w:rPr>
        <w:t>2个消防检测评估</w:t>
      </w:r>
      <w:r>
        <w:rPr>
          <w:rFonts w:hint="eastAsia" w:cs="仿宋" w:asciiTheme="minorEastAsia" w:hAnsiTheme="minorEastAsia" w:eastAsiaTheme="minorEastAsia"/>
          <w:sz w:val="24"/>
          <w:szCs w:val="24"/>
          <w:u w:val="none"/>
          <w:vertAlign w:val="baseline"/>
          <w:lang w:eastAsia="zh-CN"/>
        </w:rPr>
        <w:t>类似项目业绩</w:t>
      </w:r>
      <w:r>
        <w:rPr>
          <w:rFonts w:hint="eastAsia" w:cs="仿宋" w:asciiTheme="minorEastAsia" w:hAnsiTheme="minorEastAsia" w:eastAsiaTheme="minorEastAsia"/>
          <w:sz w:val="24"/>
          <w:szCs w:val="24"/>
          <w:u w:val="none"/>
          <w:vertAlign w:val="baseline"/>
          <w:lang w:val="en-US" w:eastAsia="zh-CN"/>
        </w:rPr>
        <w:t>证明）</w:t>
      </w:r>
    </w:p>
    <w:tbl>
      <w:tblPr>
        <w:tblStyle w:val="3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1585"/>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585" w:type="dxa"/>
            <w:vAlign w:val="center"/>
          </w:tcPr>
          <w:p>
            <w:pPr>
              <w:widowControl/>
              <w:spacing w:line="288" w:lineRule="auto"/>
              <w:jc w:val="center"/>
              <w:rPr>
                <w:rFonts w:cs="仿宋" w:asciiTheme="minorEastAsia" w:hAnsiTheme="minorEastAsia" w:eastAsiaTheme="minorEastAsia"/>
                <w:sz w:val="24"/>
              </w:rPr>
            </w:pPr>
          </w:p>
        </w:tc>
        <w:tc>
          <w:tcPr>
            <w:tcW w:w="1971" w:type="dxa"/>
            <w:vAlign w:val="center"/>
          </w:tcPr>
          <w:p>
            <w:pPr>
              <w:widowControl/>
              <w:spacing w:line="288" w:lineRule="auto"/>
              <w:jc w:val="center"/>
              <w:rPr>
                <w:rFonts w:cs="仿宋" w:asciiTheme="minorEastAsia" w:hAnsiTheme="minorEastAsia" w:eastAsiaTheme="minorEastAsia"/>
                <w:sz w:val="24"/>
              </w:rPr>
            </w:pPr>
          </w:p>
        </w:tc>
        <w:tc>
          <w:tcPr>
            <w:tcW w:w="1971" w:type="dxa"/>
            <w:vAlign w:val="center"/>
          </w:tcPr>
          <w:p>
            <w:pPr>
              <w:widowControl/>
              <w:spacing w:line="288" w:lineRule="auto"/>
              <w:jc w:val="center"/>
              <w:rPr>
                <w:rFonts w:cs="仿宋" w:asciiTheme="minorEastAsia" w:hAnsiTheme="minorEastAsia" w:eastAsiaTheme="minorEastAsia"/>
                <w:sz w:val="24"/>
              </w:rPr>
            </w:pPr>
          </w:p>
        </w:tc>
        <w:tc>
          <w:tcPr>
            <w:tcW w:w="1971" w:type="dxa"/>
            <w:vAlign w:val="center"/>
          </w:tcPr>
          <w:p>
            <w:pPr>
              <w:widowControl/>
              <w:spacing w:line="288"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1585" w:type="dxa"/>
            <w:vAlign w:val="center"/>
          </w:tcPr>
          <w:p>
            <w:pPr>
              <w:widowControl/>
              <w:spacing w:line="288" w:lineRule="auto"/>
              <w:jc w:val="center"/>
              <w:rPr>
                <w:rFonts w:cs="仿宋" w:asciiTheme="minorEastAsia" w:hAnsiTheme="minorEastAsia" w:eastAsiaTheme="minorEastAsia"/>
                <w:sz w:val="24"/>
              </w:rPr>
            </w:pPr>
          </w:p>
        </w:tc>
        <w:tc>
          <w:tcPr>
            <w:tcW w:w="1971" w:type="dxa"/>
            <w:vAlign w:val="center"/>
          </w:tcPr>
          <w:p>
            <w:pPr>
              <w:widowControl/>
              <w:spacing w:line="288" w:lineRule="auto"/>
              <w:jc w:val="center"/>
              <w:rPr>
                <w:rFonts w:cs="仿宋" w:asciiTheme="minorEastAsia" w:hAnsiTheme="minorEastAsia" w:eastAsiaTheme="minorEastAsia"/>
                <w:sz w:val="24"/>
              </w:rPr>
            </w:pPr>
          </w:p>
        </w:tc>
        <w:tc>
          <w:tcPr>
            <w:tcW w:w="1971" w:type="dxa"/>
            <w:vAlign w:val="center"/>
          </w:tcPr>
          <w:p>
            <w:pPr>
              <w:widowControl/>
              <w:spacing w:line="288" w:lineRule="auto"/>
              <w:jc w:val="center"/>
              <w:rPr>
                <w:rFonts w:cs="仿宋" w:asciiTheme="minorEastAsia" w:hAnsiTheme="minorEastAsia" w:eastAsiaTheme="minorEastAsia"/>
                <w:sz w:val="24"/>
              </w:rPr>
            </w:pPr>
          </w:p>
        </w:tc>
        <w:tc>
          <w:tcPr>
            <w:tcW w:w="1971" w:type="dxa"/>
            <w:vAlign w:val="center"/>
          </w:tcPr>
          <w:p>
            <w:pPr>
              <w:widowControl/>
              <w:spacing w:line="288"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585" w:type="dxa"/>
            <w:vAlign w:val="center"/>
          </w:tcPr>
          <w:p>
            <w:pPr>
              <w:widowControl/>
              <w:spacing w:line="288" w:lineRule="auto"/>
              <w:jc w:val="center"/>
              <w:rPr>
                <w:rFonts w:cs="仿宋" w:asciiTheme="minorEastAsia" w:hAnsiTheme="minorEastAsia" w:eastAsiaTheme="minorEastAsia"/>
                <w:sz w:val="24"/>
              </w:rPr>
            </w:pPr>
          </w:p>
        </w:tc>
        <w:tc>
          <w:tcPr>
            <w:tcW w:w="1971" w:type="dxa"/>
            <w:vAlign w:val="center"/>
          </w:tcPr>
          <w:p>
            <w:pPr>
              <w:widowControl/>
              <w:spacing w:line="288" w:lineRule="auto"/>
              <w:jc w:val="center"/>
              <w:rPr>
                <w:rFonts w:cs="仿宋" w:asciiTheme="minorEastAsia" w:hAnsiTheme="minorEastAsia" w:eastAsiaTheme="minorEastAsia"/>
                <w:sz w:val="24"/>
              </w:rPr>
            </w:pPr>
          </w:p>
        </w:tc>
        <w:tc>
          <w:tcPr>
            <w:tcW w:w="1971" w:type="dxa"/>
            <w:vAlign w:val="center"/>
          </w:tcPr>
          <w:p>
            <w:pPr>
              <w:widowControl/>
              <w:spacing w:line="288" w:lineRule="auto"/>
              <w:jc w:val="center"/>
              <w:rPr>
                <w:rFonts w:cs="仿宋" w:asciiTheme="minorEastAsia" w:hAnsiTheme="minorEastAsia" w:eastAsiaTheme="minorEastAsia"/>
                <w:sz w:val="24"/>
              </w:rPr>
            </w:pPr>
          </w:p>
        </w:tc>
        <w:tc>
          <w:tcPr>
            <w:tcW w:w="1971" w:type="dxa"/>
            <w:vAlign w:val="center"/>
          </w:tcPr>
          <w:p>
            <w:pPr>
              <w:widowControl/>
              <w:spacing w:line="288"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585" w:type="dxa"/>
            <w:vAlign w:val="center"/>
          </w:tcPr>
          <w:p>
            <w:pPr>
              <w:widowControl/>
              <w:spacing w:line="288" w:lineRule="auto"/>
              <w:jc w:val="center"/>
              <w:rPr>
                <w:rFonts w:cs="仿宋" w:asciiTheme="minorEastAsia" w:hAnsiTheme="minorEastAsia" w:eastAsiaTheme="minorEastAsia"/>
                <w:sz w:val="24"/>
              </w:rPr>
            </w:pPr>
          </w:p>
        </w:tc>
        <w:tc>
          <w:tcPr>
            <w:tcW w:w="1971" w:type="dxa"/>
            <w:vAlign w:val="center"/>
          </w:tcPr>
          <w:p>
            <w:pPr>
              <w:widowControl/>
              <w:spacing w:line="288" w:lineRule="auto"/>
              <w:jc w:val="center"/>
              <w:rPr>
                <w:rFonts w:cs="仿宋" w:asciiTheme="minorEastAsia" w:hAnsiTheme="minorEastAsia" w:eastAsiaTheme="minorEastAsia"/>
                <w:sz w:val="24"/>
              </w:rPr>
            </w:pPr>
          </w:p>
        </w:tc>
        <w:tc>
          <w:tcPr>
            <w:tcW w:w="1971" w:type="dxa"/>
            <w:vAlign w:val="center"/>
          </w:tcPr>
          <w:p>
            <w:pPr>
              <w:widowControl/>
              <w:spacing w:line="288" w:lineRule="auto"/>
              <w:jc w:val="center"/>
              <w:rPr>
                <w:rFonts w:cs="仿宋" w:asciiTheme="minorEastAsia" w:hAnsiTheme="minorEastAsia" w:eastAsiaTheme="minorEastAsia"/>
                <w:sz w:val="24"/>
              </w:rPr>
            </w:pPr>
          </w:p>
        </w:tc>
        <w:tc>
          <w:tcPr>
            <w:tcW w:w="1971" w:type="dxa"/>
            <w:vAlign w:val="center"/>
          </w:tcPr>
          <w:p>
            <w:pPr>
              <w:widowControl/>
              <w:spacing w:line="288"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585" w:type="dxa"/>
            <w:vAlign w:val="center"/>
          </w:tcPr>
          <w:p>
            <w:pPr>
              <w:widowControl/>
              <w:spacing w:line="288" w:lineRule="auto"/>
              <w:jc w:val="center"/>
              <w:rPr>
                <w:rFonts w:cs="仿宋" w:asciiTheme="minorEastAsia" w:hAnsiTheme="minorEastAsia" w:eastAsiaTheme="minorEastAsia"/>
                <w:sz w:val="24"/>
              </w:rPr>
            </w:pPr>
          </w:p>
        </w:tc>
        <w:tc>
          <w:tcPr>
            <w:tcW w:w="1971" w:type="dxa"/>
            <w:vAlign w:val="center"/>
          </w:tcPr>
          <w:p>
            <w:pPr>
              <w:widowControl/>
              <w:spacing w:line="288" w:lineRule="auto"/>
              <w:jc w:val="center"/>
              <w:rPr>
                <w:rFonts w:cs="仿宋" w:asciiTheme="minorEastAsia" w:hAnsiTheme="minorEastAsia" w:eastAsiaTheme="minorEastAsia"/>
                <w:sz w:val="24"/>
              </w:rPr>
            </w:pPr>
          </w:p>
        </w:tc>
        <w:tc>
          <w:tcPr>
            <w:tcW w:w="1971" w:type="dxa"/>
            <w:vAlign w:val="center"/>
          </w:tcPr>
          <w:p>
            <w:pPr>
              <w:widowControl/>
              <w:spacing w:line="288" w:lineRule="auto"/>
              <w:jc w:val="center"/>
              <w:rPr>
                <w:rFonts w:cs="仿宋" w:asciiTheme="minorEastAsia" w:hAnsiTheme="minorEastAsia" w:eastAsiaTheme="minorEastAsia"/>
                <w:sz w:val="24"/>
              </w:rPr>
            </w:pPr>
          </w:p>
        </w:tc>
        <w:tc>
          <w:tcPr>
            <w:tcW w:w="1971" w:type="dxa"/>
            <w:vAlign w:val="center"/>
          </w:tcPr>
          <w:p>
            <w:pPr>
              <w:widowControl/>
              <w:spacing w:line="288"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1585" w:type="dxa"/>
            <w:vAlign w:val="center"/>
          </w:tcPr>
          <w:p>
            <w:pPr>
              <w:widowControl/>
              <w:spacing w:line="288" w:lineRule="auto"/>
              <w:jc w:val="center"/>
              <w:rPr>
                <w:rFonts w:cs="仿宋" w:asciiTheme="minorEastAsia" w:hAnsiTheme="minorEastAsia" w:eastAsiaTheme="minorEastAsia"/>
                <w:sz w:val="24"/>
              </w:rPr>
            </w:pPr>
          </w:p>
        </w:tc>
        <w:tc>
          <w:tcPr>
            <w:tcW w:w="1971" w:type="dxa"/>
            <w:vAlign w:val="center"/>
          </w:tcPr>
          <w:p>
            <w:pPr>
              <w:widowControl/>
              <w:spacing w:line="288" w:lineRule="auto"/>
              <w:jc w:val="center"/>
              <w:rPr>
                <w:rFonts w:cs="仿宋" w:asciiTheme="minorEastAsia" w:hAnsiTheme="minorEastAsia" w:eastAsiaTheme="minorEastAsia"/>
                <w:sz w:val="24"/>
              </w:rPr>
            </w:pPr>
          </w:p>
        </w:tc>
        <w:tc>
          <w:tcPr>
            <w:tcW w:w="1971" w:type="dxa"/>
            <w:vAlign w:val="center"/>
          </w:tcPr>
          <w:p>
            <w:pPr>
              <w:widowControl/>
              <w:spacing w:line="288" w:lineRule="auto"/>
              <w:jc w:val="center"/>
              <w:rPr>
                <w:rFonts w:cs="仿宋" w:asciiTheme="minorEastAsia" w:hAnsiTheme="minorEastAsia" w:eastAsiaTheme="minorEastAsia"/>
                <w:sz w:val="24"/>
              </w:rPr>
            </w:pPr>
          </w:p>
        </w:tc>
        <w:tc>
          <w:tcPr>
            <w:tcW w:w="1971" w:type="dxa"/>
            <w:vAlign w:val="center"/>
          </w:tcPr>
          <w:p>
            <w:pPr>
              <w:widowControl/>
              <w:spacing w:line="288"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1585" w:type="dxa"/>
            <w:vAlign w:val="center"/>
          </w:tcPr>
          <w:p>
            <w:pPr>
              <w:widowControl/>
              <w:spacing w:line="288" w:lineRule="auto"/>
              <w:jc w:val="center"/>
              <w:rPr>
                <w:rFonts w:cs="仿宋" w:asciiTheme="minorEastAsia" w:hAnsiTheme="minorEastAsia" w:eastAsiaTheme="minorEastAsia"/>
                <w:sz w:val="24"/>
              </w:rPr>
            </w:pPr>
          </w:p>
        </w:tc>
        <w:tc>
          <w:tcPr>
            <w:tcW w:w="1971" w:type="dxa"/>
            <w:vAlign w:val="center"/>
          </w:tcPr>
          <w:p>
            <w:pPr>
              <w:widowControl/>
              <w:spacing w:line="288" w:lineRule="auto"/>
              <w:jc w:val="center"/>
              <w:rPr>
                <w:rFonts w:cs="仿宋" w:asciiTheme="minorEastAsia" w:hAnsiTheme="minorEastAsia" w:eastAsiaTheme="minorEastAsia"/>
                <w:sz w:val="24"/>
              </w:rPr>
            </w:pPr>
          </w:p>
        </w:tc>
        <w:tc>
          <w:tcPr>
            <w:tcW w:w="1971" w:type="dxa"/>
            <w:vAlign w:val="center"/>
          </w:tcPr>
          <w:p>
            <w:pPr>
              <w:widowControl/>
              <w:spacing w:line="288" w:lineRule="auto"/>
              <w:jc w:val="center"/>
              <w:rPr>
                <w:rFonts w:cs="仿宋" w:asciiTheme="minorEastAsia" w:hAnsiTheme="minorEastAsia" w:eastAsiaTheme="minorEastAsia"/>
                <w:sz w:val="24"/>
              </w:rPr>
            </w:pPr>
          </w:p>
        </w:tc>
        <w:tc>
          <w:tcPr>
            <w:tcW w:w="1971" w:type="dxa"/>
            <w:vAlign w:val="center"/>
          </w:tcPr>
          <w:p>
            <w:pPr>
              <w:widowControl/>
              <w:spacing w:line="288"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585" w:type="dxa"/>
            <w:vAlign w:val="center"/>
          </w:tcPr>
          <w:p>
            <w:pPr>
              <w:widowControl/>
              <w:spacing w:line="288" w:lineRule="auto"/>
              <w:jc w:val="center"/>
              <w:rPr>
                <w:rFonts w:cs="仿宋" w:asciiTheme="minorEastAsia" w:hAnsiTheme="minorEastAsia" w:eastAsiaTheme="minorEastAsia"/>
                <w:sz w:val="24"/>
              </w:rPr>
            </w:pPr>
          </w:p>
        </w:tc>
        <w:tc>
          <w:tcPr>
            <w:tcW w:w="1971" w:type="dxa"/>
            <w:vAlign w:val="center"/>
          </w:tcPr>
          <w:p>
            <w:pPr>
              <w:widowControl/>
              <w:spacing w:line="288" w:lineRule="auto"/>
              <w:jc w:val="center"/>
              <w:rPr>
                <w:rFonts w:cs="仿宋" w:asciiTheme="minorEastAsia" w:hAnsiTheme="minorEastAsia" w:eastAsiaTheme="minorEastAsia"/>
                <w:sz w:val="24"/>
              </w:rPr>
            </w:pPr>
          </w:p>
        </w:tc>
        <w:tc>
          <w:tcPr>
            <w:tcW w:w="1971" w:type="dxa"/>
            <w:vAlign w:val="center"/>
          </w:tcPr>
          <w:p>
            <w:pPr>
              <w:widowControl/>
              <w:spacing w:line="288" w:lineRule="auto"/>
              <w:jc w:val="center"/>
              <w:rPr>
                <w:rFonts w:cs="仿宋" w:asciiTheme="minorEastAsia" w:hAnsiTheme="minorEastAsia" w:eastAsiaTheme="minorEastAsia"/>
                <w:sz w:val="24"/>
              </w:rPr>
            </w:pPr>
          </w:p>
        </w:tc>
        <w:tc>
          <w:tcPr>
            <w:tcW w:w="1971" w:type="dxa"/>
            <w:vAlign w:val="center"/>
          </w:tcPr>
          <w:p>
            <w:pPr>
              <w:widowControl/>
              <w:spacing w:line="288"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585" w:type="dxa"/>
            <w:vAlign w:val="center"/>
          </w:tcPr>
          <w:p>
            <w:pPr>
              <w:widowControl/>
              <w:spacing w:line="288" w:lineRule="auto"/>
              <w:jc w:val="center"/>
              <w:rPr>
                <w:rFonts w:cs="仿宋" w:asciiTheme="minorEastAsia" w:hAnsiTheme="minorEastAsia" w:eastAsiaTheme="minorEastAsia"/>
                <w:sz w:val="24"/>
              </w:rPr>
            </w:pPr>
          </w:p>
        </w:tc>
        <w:tc>
          <w:tcPr>
            <w:tcW w:w="1971" w:type="dxa"/>
            <w:vAlign w:val="center"/>
          </w:tcPr>
          <w:p>
            <w:pPr>
              <w:widowControl/>
              <w:spacing w:line="288" w:lineRule="auto"/>
              <w:jc w:val="center"/>
              <w:rPr>
                <w:rFonts w:cs="仿宋" w:asciiTheme="minorEastAsia" w:hAnsiTheme="minorEastAsia" w:eastAsiaTheme="minorEastAsia"/>
                <w:sz w:val="24"/>
              </w:rPr>
            </w:pPr>
          </w:p>
        </w:tc>
        <w:tc>
          <w:tcPr>
            <w:tcW w:w="1971" w:type="dxa"/>
            <w:vAlign w:val="center"/>
          </w:tcPr>
          <w:p>
            <w:pPr>
              <w:widowControl/>
              <w:spacing w:line="288" w:lineRule="auto"/>
              <w:jc w:val="center"/>
              <w:rPr>
                <w:rFonts w:cs="仿宋" w:asciiTheme="minorEastAsia" w:hAnsiTheme="minorEastAsia" w:eastAsiaTheme="minorEastAsia"/>
                <w:sz w:val="24"/>
              </w:rPr>
            </w:pPr>
          </w:p>
        </w:tc>
        <w:tc>
          <w:tcPr>
            <w:tcW w:w="1971" w:type="dxa"/>
            <w:vAlign w:val="center"/>
          </w:tcPr>
          <w:p>
            <w:pPr>
              <w:widowControl/>
              <w:spacing w:line="288" w:lineRule="auto"/>
              <w:jc w:val="center"/>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（四）拟委任的主要人员汇总表</w:t>
      </w:r>
    </w:p>
    <w:tbl>
      <w:tblPr>
        <w:tblStyle w:val="3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095" w:type="dxa"/>
            <w:vMerge w:val="restart"/>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本项目任职</w:t>
            </w:r>
          </w:p>
        </w:tc>
        <w:tc>
          <w:tcPr>
            <w:tcW w:w="1095" w:type="dxa"/>
            <w:vMerge w:val="restart"/>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姓名</w:t>
            </w:r>
          </w:p>
        </w:tc>
        <w:tc>
          <w:tcPr>
            <w:tcW w:w="1095" w:type="dxa"/>
            <w:vMerge w:val="restart"/>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职称</w:t>
            </w:r>
          </w:p>
        </w:tc>
        <w:tc>
          <w:tcPr>
            <w:tcW w:w="1095" w:type="dxa"/>
            <w:vMerge w:val="restart"/>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专业</w:t>
            </w:r>
          </w:p>
        </w:tc>
        <w:tc>
          <w:tcPr>
            <w:tcW w:w="3285" w:type="dxa"/>
            <w:gridSpan w:val="3"/>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执业或职业资格证明</w:t>
            </w:r>
          </w:p>
        </w:tc>
        <w:tc>
          <w:tcPr>
            <w:tcW w:w="1095"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vAlign w:val="center"/>
          </w:tcPr>
          <w:p>
            <w:pPr>
              <w:widowControl/>
              <w:spacing w:line="288" w:lineRule="auto"/>
              <w:jc w:val="center"/>
              <w:rPr>
                <w:rFonts w:cs="仿宋" w:asciiTheme="minorEastAsia" w:hAnsiTheme="minorEastAsia" w:eastAsiaTheme="minorEastAsia"/>
                <w:sz w:val="24"/>
              </w:rPr>
            </w:pPr>
          </w:p>
        </w:tc>
        <w:tc>
          <w:tcPr>
            <w:tcW w:w="1095" w:type="dxa"/>
            <w:vMerge w:val="continue"/>
            <w:vAlign w:val="center"/>
          </w:tcPr>
          <w:p>
            <w:pPr>
              <w:widowControl/>
              <w:spacing w:line="288" w:lineRule="auto"/>
              <w:jc w:val="center"/>
              <w:rPr>
                <w:rFonts w:cs="仿宋" w:asciiTheme="minorEastAsia" w:hAnsiTheme="minorEastAsia" w:eastAsiaTheme="minorEastAsia"/>
                <w:sz w:val="24"/>
              </w:rPr>
            </w:pPr>
          </w:p>
        </w:tc>
        <w:tc>
          <w:tcPr>
            <w:tcW w:w="1095" w:type="dxa"/>
            <w:vMerge w:val="continue"/>
            <w:vAlign w:val="center"/>
          </w:tcPr>
          <w:p>
            <w:pPr>
              <w:widowControl/>
              <w:spacing w:line="288" w:lineRule="auto"/>
              <w:jc w:val="center"/>
              <w:rPr>
                <w:rFonts w:cs="仿宋" w:asciiTheme="minorEastAsia" w:hAnsiTheme="minorEastAsia" w:eastAsiaTheme="minorEastAsia"/>
                <w:sz w:val="24"/>
              </w:rPr>
            </w:pPr>
          </w:p>
        </w:tc>
        <w:tc>
          <w:tcPr>
            <w:tcW w:w="1095" w:type="dxa"/>
            <w:vMerge w:val="continue"/>
            <w:vAlign w:val="center"/>
          </w:tcPr>
          <w:p>
            <w:pPr>
              <w:widowControl/>
              <w:spacing w:line="288" w:lineRule="auto"/>
              <w:jc w:val="center"/>
              <w:rPr>
                <w:rFonts w:cs="仿宋" w:asciiTheme="minorEastAsia" w:hAnsiTheme="minorEastAsia" w:eastAsiaTheme="minorEastAsia"/>
                <w:sz w:val="24"/>
              </w:rPr>
            </w:pPr>
          </w:p>
        </w:tc>
        <w:tc>
          <w:tcPr>
            <w:tcW w:w="1095" w:type="dxa"/>
            <w:vMerge w:val="continue"/>
            <w:vAlign w:val="center"/>
          </w:tcPr>
          <w:p>
            <w:pPr>
              <w:widowControl/>
              <w:spacing w:line="288" w:lineRule="auto"/>
              <w:jc w:val="center"/>
              <w:rPr>
                <w:rFonts w:cs="仿宋" w:asciiTheme="minorEastAsia" w:hAnsiTheme="minorEastAsia" w:eastAsiaTheme="minorEastAsia"/>
                <w:sz w:val="24"/>
              </w:rPr>
            </w:pPr>
          </w:p>
        </w:tc>
        <w:tc>
          <w:tcPr>
            <w:tcW w:w="1095" w:type="dxa"/>
            <w:vAlign w:val="center"/>
          </w:tcPr>
          <w:p>
            <w:pPr>
              <w:widowControl/>
              <w:spacing w:line="288" w:lineRule="auto"/>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证书</w:t>
            </w:r>
          </w:p>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名称</w:t>
            </w:r>
          </w:p>
        </w:tc>
        <w:tc>
          <w:tcPr>
            <w:tcW w:w="1095"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级别</w:t>
            </w:r>
          </w:p>
        </w:tc>
        <w:tc>
          <w:tcPr>
            <w:tcW w:w="1095"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证号</w:t>
            </w:r>
          </w:p>
        </w:tc>
        <w:tc>
          <w:tcPr>
            <w:tcW w:w="1095" w:type="dxa"/>
            <w:vAlign w:val="center"/>
          </w:tcPr>
          <w:p>
            <w:pPr>
              <w:widowControl/>
              <w:spacing w:line="288"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c>
          <w:tcPr>
            <w:tcW w:w="1095" w:type="dxa"/>
            <w:vAlign w:val="center"/>
          </w:tcPr>
          <w:p>
            <w:pPr>
              <w:widowControl/>
              <w:spacing w:line="600" w:lineRule="exact"/>
              <w:jc w:val="center"/>
              <w:rPr>
                <w:rFonts w:cs="仿宋" w:asciiTheme="minorEastAsia" w:hAnsiTheme="minorEastAsia" w:eastAsiaTheme="minorEastAsia"/>
                <w:sz w:val="24"/>
              </w:rPr>
            </w:pPr>
          </w:p>
        </w:tc>
      </w:tr>
    </w:tbl>
    <w:p>
      <w:pPr>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注：供应商应根据供应商须知前附表第3.5（6）项的要求在本表后附相关证明材料。</w:t>
      </w:r>
      <w:r>
        <w:rPr>
          <w:rFonts w:hint="eastAsia" w:cs="仿宋" w:asciiTheme="minorEastAsia" w:hAnsiTheme="minorEastAsia" w:eastAsiaTheme="minorEastAsia"/>
          <w:sz w:val="24"/>
        </w:rPr>
        <w:br w:type="page"/>
      </w:r>
    </w:p>
    <w:p>
      <w:pPr>
        <w:adjustRightInd w:val="0"/>
        <w:snapToGrid w:val="0"/>
        <w:spacing w:line="600" w:lineRule="exact"/>
        <w:jc w:val="center"/>
        <w:outlineLvl w:val="0"/>
        <w:rPr>
          <w:rFonts w:hint="eastAsia" w:ascii="黑体" w:hAnsi="黑体" w:eastAsia="黑体" w:cs="仿宋"/>
          <w:sz w:val="36"/>
          <w:szCs w:val="36"/>
          <w:lang w:eastAsia="zh-CN"/>
        </w:rPr>
      </w:pPr>
      <w:bookmarkStart w:id="86" w:name="_Toc7006"/>
      <w:bookmarkStart w:id="87" w:name="_Toc2844"/>
      <w:r>
        <w:rPr>
          <w:rFonts w:hint="eastAsia" w:ascii="黑体" w:hAnsi="黑体" w:eastAsia="黑体" w:cs="仿宋"/>
          <w:sz w:val="36"/>
          <w:szCs w:val="36"/>
          <w:lang w:eastAsia="zh-CN"/>
        </w:rPr>
        <w:t>六</w:t>
      </w:r>
      <w:r>
        <w:rPr>
          <w:rFonts w:hint="eastAsia" w:ascii="黑体" w:hAnsi="黑体" w:eastAsia="黑体" w:cs="仿宋"/>
          <w:sz w:val="36"/>
          <w:szCs w:val="36"/>
        </w:rPr>
        <w:t>、响应方案</w:t>
      </w:r>
      <w:bookmarkEnd w:id="86"/>
      <w:bookmarkEnd w:id="87"/>
    </w:p>
    <w:p>
      <w:pPr>
        <w:pStyle w:val="13"/>
        <w:rPr>
          <w:rFonts w:hint="eastAsia"/>
          <w:lang w:eastAsia="zh-CN"/>
        </w:rPr>
      </w:pP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(1)对项目的理解;</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(2)服务范围及内容;</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(3)服务工作的依据、工作目标;</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(4)服务机构设置(框图)、岗位职责;</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(5)拟投入本项目的服务人员及主要人员简历;</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6</w:t>
      </w:r>
      <w:r>
        <w:rPr>
          <w:rFonts w:hint="eastAsia" w:cs="仿宋" w:asciiTheme="minorEastAsia" w:hAnsiTheme="minorEastAsia" w:eastAsiaTheme="minorEastAsia"/>
          <w:sz w:val="24"/>
        </w:rPr>
        <w:t>)服务质量、进度、保密等保证措施;</w:t>
      </w:r>
    </w:p>
    <w:p>
      <w:pPr>
        <w:adjustRightInd w:val="0"/>
        <w:snapToGrid w:val="0"/>
        <w:spacing w:line="600" w:lineRule="exact"/>
        <w:ind w:leftChars="200" w:firstLine="0" w:firstLineChars="0"/>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7</w:t>
      </w:r>
      <w:r>
        <w:rPr>
          <w:rFonts w:hint="eastAsia" w:cs="仿宋" w:asciiTheme="minorEastAsia" w:hAnsiTheme="minorEastAsia" w:eastAsiaTheme="minorEastAsia"/>
          <w:sz w:val="24"/>
        </w:rPr>
        <w:t>)服务工作重点、难点分析;</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8</w:t>
      </w:r>
      <w:r>
        <w:rPr>
          <w:rFonts w:hint="eastAsia" w:cs="仿宋" w:asciiTheme="minorEastAsia" w:hAnsiTheme="minorEastAsia" w:eastAsiaTheme="minorEastAsia"/>
          <w:sz w:val="24"/>
        </w:rPr>
        <w:t>)对本项目的合理化建议。</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outlineLvl w:val="0"/>
        <w:rPr>
          <w:rFonts w:ascii="黑体" w:hAnsi="黑体" w:eastAsia="黑体" w:cs="仿宋"/>
          <w:sz w:val="36"/>
          <w:szCs w:val="36"/>
        </w:rPr>
      </w:pPr>
      <w:bookmarkStart w:id="88" w:name="_Toc10499"/>
      <w:bookmarkStart w:id="89" w:name="_Toc23045"/>
      <w:r>
        <w:rPr>
          <w:rFonts w:hint="eastAsia" w:ascii="黑体" w:hAnsi="黑体" w:eastAsia="黑体" w:cs="仿宋"/>
          <w:sz w:val="36"/>
          <w:szCs w:val="36"/>
          <w:lang w:eastAsia="zh-CN"/>
        </w:rPr>
        <w:t>七</w:t>
      </w:r>
      <w:r>
        <w:rPr>
          <w:rFonts w:hint="eastAsia" w:ascii="黑体" w:hAnsi="黑体" w:eastAsia="黑体" w:cs="仿宋"/>
          <w:sz w:val="36"/>
          <w:szCs w:val="36"/>
        </w:rPr>
        <w:t>、其他资料</w:t>
      </w:r>
      <w:bookmarkEnd w:id="88"/>
      <w:bookmarkEnd w:id="89"/>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240" w:lineRule="auto"/>
        <w:jc w:val="both"/>
        <w:rPr>
          <w:rFonts w:asciiTheme="minorEastAsia" w:hAnsiTheme="minorEastAsia" w:eastAsiaTheme="minorEastAsia"/>
          <w:sz w:val="24"/>
        </w:rPr>
      </w:pPr>
    </w:p>
    <w:sectPr>
      <w:footerReference r:id="rId11" w:type="default"/>
      <w:pgSz w:w="11906" w:h="16838"/>
      <w:pgMar w:top="1440" w:right="1080" w:bottom="1134" w:left="1080" w:header="851" w:footer="1344"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9DFAEC8-FA40-405E-BEE5-3BC5DF33C244}"/>
  </w:font>
  <w:font w:name="Arial">
    <w:panose1 w:val="020B0604020202020204"/>
    <w:charset w:val="01"/>
    <w:family w:val="swiss"/>
    <w:pitch w:val="default"/>
    <w:sig w:usb0="E0002EFF" w:usb1="C000785B" w:usb2="00000009" w:usb3="00000000" w:csb0="400001FF" w:csb1="FFFF0000"/>
    <w:embedRegular r:id="rId2" w:fontKey="{971B6113-6E2E-4DFD-97B1-E7D6E5DBF4CC}"/>
  </w:font>
  <w:font w:name="黑体">
    <w:panose1 w:val="02010609060101010101"/>
    <w:charset w:val="86"/>
    <w:family w:val="auto"/>
    <w:pitch w:val="default"/>
    <w:sig w:usb0="800002BF" w:usb1="38CF7CFA" w:usb2="00000016" w:usb3="00000000" w:csb0="00040001" w:csb1="00000000"/>
    <w:embedRegular r:id="rId3" w:fontKey="{6AD50DEF-14A7-4977-A919-12C3620C7B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4" w:fontKey="{FF18120F-AF4B-4C25-A150-E1C21F532F26}"/>
  </w:font>
  <w:font w:name="仿宋">
    <w:panose1 w:val="02010609060101010101"/>
    <w:charset w:val="86"/>
    <w:family w:val="modern"/>
    <w:pitch w:val="default"/>
    <w:sig w:usb0="800002BF" w:usb1="38CF7CFA" w:usb2="00000016" w:usb3="00000000" w:csb0="00040001" w:csb1="00000000"/>
    <w:embedRegular r:id="rId5" w:fontKey="{32579EB9-A0AF-4C6C-AECF-5387CFC35A23}"/>
  </w:font>
  <w:font w:name="楷体">
    <w:panose1 w:val="02010609060101010101"/>
    <w:charset w:val="86"/>
    <w:family w:val="modern"/>
    <w:pitch w:val="default"/>
    <w:sig w:usb0="800002BF" w:usb1="38CF7CFA" w:usb2="00000016" w:usb3="00000000" w:csb0="00040001" w:csb1="00000000"/>
    <w:embedRegular r:id="rId6" w:fontKey="{F34DE18A-D4CA-42E6-944D-492866D9976B}"/>
  </w:font>
  <w:font w:name="微软雅黑">
    <w:panose1 w:val="020B0503020204020204"/>
    <w:charset w:val="86"/>
    <w:family w:val="swiss"/>
    <w:pitch w:val="default"/>
    <w:sig w:usb0="80000287" w:usb1="2ACF3C50" w:usb2="00000016" w:usb3="00000000" w:csb0="0004001F" w:csb1="00000000"/>
    <w:embedRegular r:id="rId7" w:fontKey="{A9D67262-5999-4233-BF4C-DCAE262237E9}"/>
  </w:font>
  <w:font w:name="Wingdings 2">
    <w:panose1 w:val="05020102010507070707"/>
    <w:charset w:val="00"/>
    <w:family w:val="auto"/>
    <w:pitch w:val="default"/>
    <w:sig w:usb0="00000000" w:usb1="00000000" w:usb2="00000000" w:usb3="00000000" w:csb0="80000000" w:csb1="00000000"/>
    <w:embedRegular r:id="rId8" w:fontKey="{7A4E4282-A276-4DCE-90FF-79A9EC919CAB}"/>
  </w:font>
  <w:font w:name="华文中宋">
    <w:panose1 w:val="02010600040101010101"/>
    <w:charset w:val="86"/>
    <w:family w:val="auto"/>
    <w:pitch w:val="default"/>
    <w:sig w:usb0="00000287" w:usb1="080F0000" w:usb2="00000000" w:usb3="00000000" w:csb0="0004009F" w:csb1="DFD70000"/>
    <w:embedRegular r:id="rId9" w:fontKey="{8BD5618B-2336-4222-93E2-426B2B0E9BB7}"/>
  </w:font>
  <w:font w:name="方正小标宋_GBK">
    <w:panose1 w:val="02000000000000000000"/>
    <w:charset w:val="86"/>
    <w:family w:val="script"/>
    <w:pitch w:val="default"/>
    <w:sig w:usb0="A00002BF" w:usb1="38CF7CFA" w:usb2="00082016" w:usb3="00000000" w:csb0="00040001" w:csb1="00000000"/>
    <w:embedRegular r:id="rId10" w:fontKey="{069C40FE-7EAA-4B54-BACD-7CE01EA4E405}"/>
  </w:font>
  <w:font w:name="楷体_GB2312">
    <w:panose1 w:val="02010609030101010101"/>
    <w:charset w:val="86"/>
    <w:family w:val="auto"/>
    <w:pitch w:val="default"/>
    <w:sig w:usb0="00000001" w:usb1="080E0000" w:usb2="00000000" w:usb3="00000000" w:csb0="00040000" w:csb1="00000000"/>
    <w:embedRegular r:id="rId11" w:fontKey="{9092784A-C02B-4A65-8B0E-40F68013CE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color w:val="auto"/>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2"/>
                      <w:rPr>
                        <w:color w:val="auto"/>
                        <w:sz w:val="24"/>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color w:val="auto"/>
                              <w:sz w:val="24"/>
                              <w:szCs w:val="24"/>
                            </w:rPr>
                          </w:pPr>
                          <w:r>
                            <w:rPr>
                              <w:color w:val="auto"/>
                              <w:sz w:val="22"/>
                              <w:szCs w:val="22"/>
                            </w:rPr>
                            <w:fldChar w:fldCharType="begin"/>
                          </w:r>
                          <w:r>
                            <w:rPr>
                              <w:color w:val="auto"/>
                              <w:sz w:val="22"/>
                              <w:szCs w:val="22"/>
                            </w:rPr>
                            <w:instrText xml:space="preserve"> PAGE  \* MERGEFORMAT </w:instrText>
                          </w:r>
                          <w:r>
                            <w:rPr>
                              <w:color w:val="auto"/>
                              <w:sz w:val="22"/>
                              <w:szCs w:val="22"/>
                            </w:rPr>
                            <w:fldChar w:fldCharType="separate"/>
                          </w:r>
                          <w:r>
                            <w:rPr>
                              <w:color w:val="auto"/>
                              <w:sz w:val="22"/>
                              <w:szCs w:val="22"/>
                            </w:rPr>
                            <w:t>1</w:t>
                          </w:r>
                          <w:r>
                            <w:rPr>
                              <w:color w:val="auto"/>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2"/>
                      <w:rPr>
                        <w:color w:val="auto"/>
                        <w:sz w:val="24"/>
                        <w:szCs w:val="24"/>
                      </w:rPr>
                    </w:pPr>
                    <w:r>
                      <w:rPr>
                        <w:color w:val="auto"/>
                        <w:sz w:val="22"/>
                        <w:szCs w:val="22"/>
                      </w:rPr>
                      <w:fldChar w:fldCharType="begin"/>
                    </w:r>
                    <w:r>
                      <w:rPr>
                        <w:color w:val="auto"/>
                        <w:sz w:val="22"/>
                        <w:szCs w:val="22"/>
                      </w:rPr>
                      <w:instrText xml:space="preserve"> PAGE  \* MERGEFORMAT </w:instrText>
                    </w:r>
                    <w:r>
                      <w:rPr>
                        <w:color w:val="auto"/>
                        <w:sz w:val="22"/>
                        <w:szCs w:val="22"/>
                      </w:rPr>
                      <w:fldChar w:fldCharType="separate"/>
                    </w:r>
                    <w:r>
                      <w:rPr>
                        <w:color w:val="auto"/>
                        <w:sz w:val="22"/>
                        <w:szCs w:val="22"/>
                      </w:rPr>
                      <w:t>1</w:t>
                    </w:r>
                    <w:r>
                      <w:rPr>
                        <w:color w:val="auto"/>
                        <w:sz w:val="22"/>
                        <w:szCs w:val="2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120" w:after="120"/>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color w:val="auto"/>
                              <w:sz w:val="22"/>
                              <w:szCs w:val="22"/>
                            </w:rPr>
                          </w:pPr>
                          <w:r>
                            <w:rPr>
                              <w:color w:val="auto"/>
                              <w:sz w:val="22"/>
                              <w:szCs w:val="22"/>
                            </w:rPr>
                            <w:fldChar w:fldCharType="begin"/>
                          </w:r>
                          <w:r>
                            <w:rPr>
                              <w:color w:val="auto"/>
                              <w:sz w:val="22"/>
                              <w:szCs w:val="22"/>
                            </w:rPr>
                            <w:instrText xml:space="preserve"> PAGE  \* MERGEFORMAT </w:instrText>
                          </w:r>
                          <w:r>
                            <w:rPr>
                              <w:color w:val="auto"/>
                              <w:sz w:val="22"/>
                              <w:szCs w:val="22"/>
                            </w:rPr>
                            <w:fldChar w:fldCharType="separate"/>
                          </w:r>
                          <w:r>
                            <w:rPr>
                              <w:color w:val="auto"/>
                              <w:sz w:val="22"/>
                              <w:szCs w:val="22"/>
                            </w:rPr>
                            <w:t>24</w:t>
                          </w:r>
                          <w:r>
                            <w:rPr>
                              <w:color w:val="auto"/>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2"/>
                      <w:rPr>
                        <w:color w:val="auto"/>
                        <w:sz w:val="22"/>
                        <w:szCs w:val="22"/>
                      </w:rPr>
                    </w:pPr>
                    <w:r>
                      <w:rPr>
                        <w:color w:val="auto"/>
                        <w:sz w:val="22"/>
                        <w:szCs w:val="22"/>
                      </w:rPr>
                      <w:fldChar w:fldCharType="begin"/>
                    </w:r>
                    <w:r>
                      <w:rPr>
                        <w:color w:val="auto"/>
                        <w:sz w:val="22"/>
                        <w:szCs w:val="22"/>
                      </w:rPr>
                      <w:instrText xml:space="preserve"> PAGE  \* MERGEFORMAT </w:instrText>
                    </w:r>
                    <w:r>
                      <w:rPr>
                        <w:color w:val="auto"/>
                        <w:sz w:val="22"/>
                        <w:szCs w:val="22"/>
                      </w:rPr>
                      <w:fldChar w:fldCharType="separate"/>
                    </w:r>
                    <w:r>
                      <w:rPr>
                        <w:color w:val="auto"/>
                        <w:sz w:val="22"/>
                        <w:szCs w:val="22"/>
                      </w:rPr>
                      <w:t>24</w:t>
                    </w:r>
                    <w:r>
                      <w:rPr>
                        <w:color w:val="auto"/>
                        <w:sz w:val="22"/>
                        <w:szCs w:val="22"/>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120" w:after="120"/>
      <w:jc w:val="both"/>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42</w:t>
                    </w:r>
                    <w: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2"/>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120" w:after="120"/>
      <w:jc w:val="both"/>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2"/>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120" w:after="120"/>
      <w:jc w:val="both"/>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color w:val="auto"/>
                              <w:sz w:val="22"/>
                              <w:szCs w:val="22"/>
                            </w:rPr>
                          </w:pPr>
                          <w:r>
                            <w:rPr>
                              <w:color w:val="auto"/>
                              <w:sz w:val="22"/>
                              <w:szCs w:val="22"/>
                            </w:rPr>
                            <w:fldChar w:fldCharType="begin"/>
                          </w:r>
                          <w:r>
                            <w:rPr>
                              <w:color w:val="auto"/>
                              <w:sz w:val="22"/>
                              <w:szCs w:val="22"/>
                            </w:rPr>
                            <w:instrText xml:space="preserve"> PAGE  \* MERGEFORMAT </w:instrText>
                          </w:r>
                          <w:r>
                            <w:rPr>
                              <w:color w:val="auto"/>
                              <w:sz w:val="22"/>
                              <w:szCs w:val="22"/>
                            </w:rPr>
                            <w:fldChar w:fldCharType="separate"/>
                          </w:r>
                          <w:r>
                            <w:rPr>
                              <w:color w:val="auto"/>
                              <w:sz w:val="22"/>
                              <w:szCs w:val="22"/>
                            </w:rPr>
                            <w:t>24</w:t>
                          </w:r>
                          <w:r>
                            <w:rPr>
                              <w:color w:val="auto"/>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2"/>
                      <w:rPr>
                        <w:color w:val="auto"/>
                        <w:sz w:val="22"/>
                        <w:szCs w:val="22"/>
                      </w:rPr>
                    </w:pPr>
                    <w:r>
                      <w:rPr>
                        <w:color w:val="auto"/>
                        <w:sz w:val="22"/>
                        <w:szCs w:val="22"/>
                      </w:rPr>
                      <w:fldChar w:fldCharType="begin"/>
                    </w:r>
                    <w:r>
                      <w:rPr>
                        <w:color w:val="auto"/>
                        <w:sz w:val="22"/>
                        <w:szCs w:val="22"/>
                      </w:rPr>
                      <w:instrText xml:space="preserve"> PAGE  \* MERGEFORMAT </w:instrText>
                    </w:r>
                    <w:r>
                      <w:rPr>
                        <w:color w:val="auto"/>
                        <w:sz w:val="22"/>
                        <w:szCs w:val="22"/>
                      </w:rPr>
                      <w:fldChar w:fldCharType="separate"/>
                    </w:r>
                    <w:r>
                      <w:rPr>
                        <w:color w:val="auto"/>
                        <w:sz w:val="22"/>
                        <w:szCs w:val="22"/>
                      </w:rPr>
                      <w:t>24</w:t>
                    </w:r>
                    <w:r>
                      <w:rPr>
                        <w:color w:val="auto"/>
                        <w:sz w:val="22"/>
                        <w:szCs w:val="22"/>
                      </w:rP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2"/>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27"/>
        <w:spacing w:line="240" w:lineRule="auto"/>
        <w:ind w:left="0" w:firstLine="0"/>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EB360"/>
    <w:multiLevelType w:val="singleLevel"/>
    <w:tmpl w:val="856EB360"/>
    <w:lvl w:ilvl="0" w:tentative="0">
      <w:start w:val="1"/>
      <w:numFmt w:val="decimal"/>
      <w:suff w:val="nothing"/>
      <w:lvlText w:val="%1、"/>
      <w:lvlJc w:val="left"/>
      <w:pPr>
        <w:ind w:left="120" w:firstLine="0"/>
      </w:pPr>
    </w:lvl>
  </w:abstractNum>
  <w:abstractNum w:abstractNumId="1">
    <w:nsid w:val="9032E7B4"/>
    <w:multiLevelType w:val="singleLevel"/>
    <w:tmpl w:val="9032E7B4"/>
    <w:lvl w:ilvl="0" w:tentative="0">
      <w:start w:val="4"/>
      <w:numFmt w:val="chineseCounting"/>
      <w:suff w:val="nothing"/>
      <w:lvlText w:val="%1、"/>
      <w:lvlJc w:val="left"/>
      <w:rPr>
        <w:rFonts w:hint="eastAsia"/>
      </w:rPr>
    </w:lvl>
  </w:abstractNum>
  <w:abstractNum w:abstractNumId="2">
    <w:nsid w:val="CAD87F7C"/>
    <w:multiLevelType w:val="singleLevel"/>
    <w:tmpl w:val="CAD87F7C"/>
    <w:lvl w:ilvl="0" w:tentative="0">
      <w:start w:val="1"/>
      <w:numFmt w:val="decimal"/>
      <w:lvlText w:val="(%1)"/>
      <w:lvlJc w:val="left"/>
      <w:pPr>
        <w:ind w:left="425" w:hanging="425"/>
      </w:pPr>
      <w:rPr>
        <w:rFonts w:hint="default"/>
      </w:rPr>
    </w:lvl>
  </w:abstractNum>
  <w:abstractNum w:abstractNumId="3">
    <w:nsid w:val="E0E88BD1"/>
    <w:multiLevelType w:val="singleLevel"/>
    <w:tmpl w:val="E0E88BD1"/>
    <w:lvl w:ilvl="0" w:tentative="0">
      <w:start w:val="1"/>
      <w:numFmt w:val="decimal"/>
      <w:suff w:val="nothing"/>
      <w:lvlText w:val="%1、"/>
      <w:lvlJc w:val="left"/>
      <w:pPr>
        <w:ind w:left="120" w:firstLine="0"/>
      </w:pPr>
    </w:lvl>
  </w:abstractNum>
  <w:abstractNum w:abstractNumId="4">
    <w:nsid w:val="E20159AB"/>
    <w:multiLevelType w:val="singleLevel"/>
    <w:tmpl w:val="E20159AB"/>
    <w:lvl w:ilvl="0" w:tentative="0">
      <w:start w:val="1"/>
      <w:numFmt w:val="decimal"/>
      <w:suff w:val="nothing"/>
      <w:lvlText w:val="%1、"/>
      <w:lvlJc w:val="left"/>
      <w:pPr>
        <w:ind w:left="120" w:firstLine="0"/>
      </w:pPr>
    </w:lvl>
  </w:abstractNum>
  <w:abstractNum w:abstractNumId="5">
    <w:nsid w:val="F18739CD"/>
    <w:multiLevelType w:val="singleLevel"/>
    <w:tmpl w:val="F18739CD"/>
    <w:lvl w:ilvl="0" w:tentative="0">
      <w:start w:val="1"/>
      <w:numFmt w:val="decimal"/>
      <w:lvlText w:val="(%1)"/>
      <w:lvlJc w:val="left"/>
      <w:pPr>
        <w:ind w:left="425" w:hanging="425"/>
      </w:pPr>
      <w:rPr>
        <w:rFonts w:hint="default"/>
      </w:rPr>
    </w:lvl>
  </w:abstractNum>
  <w:abstractNum w:abstractNumId="6">
    <w:nsid w:val="F1FEFF20"/>
    <w:multiLevelType w:val="singleLevel"/>
    <w:tmpl w:val="F1FEFF20"/>
    <w:lvl w:ilvl="0" w:tentative="0">
      <w:start w:val="1"/>
      <w:numFmt w:val="chineseCounting"/>
      <w:suff w:val="nothing"/>
      <w:lvlText w:val="%1、"/>
      <w:lvlJc w:val="left"/>
      <w:rPr>
        <w:rFonts w:hint="eastAsia"/>
      </w:rPr>
    </w:lvl>
  </w:abstractNum>
  <w:abstractNum w:abstractNumId="7">
    <w:nsid w:val="03A28DA5"/>
    <w:multiLevelType w:val="singleLevel"/>
    <w:tmpl w:val="03A28DA5"/>
    <w:lvl w:ilvl="0" w:tentative="0">
      <w:start w:val="1"/>
      <w:numFmt w:val="decimal"/>
      <w:suff w:val="nothing"/>
      <w:lvlText w:val="%1、"/>
      <w:lvlJc w:val="left"/>
      <w:pPr>
        <w:ind w:left="120" w:firstLine="0"/>
      </w:pPr>
    </w:lvl>
  </w:abstractNum>
  <w:abstractNum w:abstractNumId="8">
    <w:nsid w:val="03ECED67"/>
    <w:multiLevelType w:val="singleLevel"/>
    <w:tmpl w:val="03ECED67"/>
    <w:lvl w:ilvl="0" w:tentative="0">
      <w:start w:val="4"/>
      <w:numFmt w:val="decimal"/>
      <w:lvlText w:val="%1."/>
      <w:lvlJc w:val="left"/>
      <w:pPr>
        <w:tabs>
          <w:tab w:val="left" w:pos="312"/>
        </w:tabs>
      </w:pPr>
    </w:lvl>
  </w:abstractNum>
  <w:abstractNum w:abstractNumId="9">
    <w:nsid w:val="1C612491"/>
    <w:multiLevelType w:val="singleLevel"/>
    <w:tmpl w:val="1C612491"/>
    <w:lvl w:ilvl="0" w:tentative="0">
      <w:start w:val="1"/>
      <w:numFmt w:val="decimal"/>
      <w:suff w:val="nothing"/>
      <w:lvlText w:val="%1、"/>
      <w:lvlJc w:val="left"/>
      <w:pPr>
        <w:ind w:left="120" w:firstLine="0"/>
      </w:pPr>
    </w:lvl>
  </w:abstractNum>
  <w:abstractNum w:abstractNumId="10">
    <w:nsid w:val="2A22FCE7"/>
    <w:multiLevelType w:val="singleLevel"/>
    <w:tmpl w:val="2A22FCE7"/>
    <w:lvl w:ilvl="0" w:tentative="0">
      <w:start w:val="1"/>
      <w:numFmt w:val="decimal"/>
      <w:suff w:val="nothing"/>
      <w:lvlText w:val="%1、"/>
      <w:lvlJc w:val="left"/>
      <w:pPr>
        <w:ind w:left="120" w:firstLine="0"/>
      </w:pPr>
    </w:lvl>
  </w:abstractNum>
  <w:abstractNum w:abstractNumId="11">
    <w:nsid w:val="3601A173"/>
    <w:multiLevelType w:val="singleLevel"/>
    <w:tmpl w:val="3601A173"/>
    <w:lvl w:ilvl="0" w:tentative="0">
      <w:start w:val="1"/>
      <w:numFmt w:val="chineseCounting"/>
      <w:suff w:val="nothing"/>
      <w:lvlText w:val="%1、"/>
      <w:lvlJc w:val="left"/>
      <w:rPr>
        <w:rFonts w:hint="eastAsia"/>
      </w:rPr>
    </w:lvl>
  </w:abstractNum>
  <w:abstractNum w:abstractNumId="12">
    <w:nsid w:val="38235771"/>
    <w:multiLevelType w:val="singleLevel"/>
    <w:tmpl w:val="38235771"/>
    <w:lvl w:ilvl="0" w:tentative="0">
      <w:start w:val="1"/>
      <w:numFmt w:val="decimal"/>
      <w:lvlText w:val="(%1)"/>
      <w:lvlJc w:val="left"/>
      <w:pPr>
        <w:ind w:left="425" w:hanging="425"/>
      </w:pPr>
      <w:rPr>
        <w:rFonts w:hint="default"/>
      </w:rPr>
    </w:lvl>
  </w:abstractNum>
  <w:abstractNum w:abstractNumId="13">
    <w:nsid w:val="45D1AB88"/>
    <w:multiLevelType w:val="singleLevel"/>
    <w:tmpl w:val="45D1AB88"/>
    <w:lvl w:ilvl="0" w:tentative="0">
      <w:start w:val="1"/>
      <w:numFmt w:val="decimal"/>
      <w:suff w:val="nothing"/>
      <w:lvlText w:val="%1、"/>
      <w:lvlJc w:val="left"/>
    </w:lvl>
  </w:abstractNum>
  <w:abstractNum w:abstractNumId="14">
    <w:nsid w:val="4E148C19"/>
    <w:multiLevelType w:val="singleLevel"/>
    <w:tmpl w:val="4E148C19"/>
    <w:lvl w:ilvl="0" w:tentative="0">
      <w:start w:val="2"/>
      <w:numFmt w:val="decimal"/>
      <w:suff w:val="nothing"/>
      <w:lvlText w:val="%1、"/>
      <w:lvlJc w:val="left"/>
    </w:lvl>
  </w:abstractNum>
  <w:abstractNum w:abstractNumId="15">
    <w:nsid w:val="4F4E5E23"/>
    <w:multiLevelType w:val="singleLevel"/>
    <w:tmpl w:val="4F4E5E23"/>
    <w:lvl w:ilvl="0" w:tentative="0">
      <w:start w:val="4"/>
      <w:numFmt w:val="chineseCounting"/>
      <w:suff w:val="nothing"/>
      <w:lvlText w:val="%1、"/>
      <w:lvlJc w:val="left"/>
      <w:rPr>
        <w:rFonts w:hint="eastAsia"/>
      </w:rPr>
    </w:lvl>
  </w:abstractNum>
  <w:abstractNum w:abstractNumId="16">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6"/>
  </w:num>
  <w:num w:numId="2">
    <w:abstractNumId w:val="1"/>
  </w:num>
  <w:num w:numId="3">
    <w:abstractNumId w:val="6"/>
  </w:num>
  <w:num w:numId="4">
    <w:abstractNumId w:val="0"/>
  </w:num>
  <w:num w:numId="5">
    <w:abstractNumId w:val="14"/>
  </w:num>
  <w:num w:numId="6">
    <w:abstractNumId w:val="3"/>
  </w:num>
  <w:num w:numId="7">
    <w:abstractNumId w:val="15"/>
  </w:num>
  <w:num w:numId="8">
    <w:abstractNumId w:val="10"/>
  </w:num>
  <w:num w:numId="9">
    <w:abstractNumId w:val="5"/>
  </w:num>
  <w:num w:numId="10">
    <w:abstractNumId w:val="12"/>
  </w:num>
  <w:num w:numId="11">
    <w:abstractNumId w:val="13"/>
  </w:num>
  <w:num w:numId="12">
    <w:abstractNumId w:val="2"/>
  </w:num>
  <w:num w:numId="13">
    <w:abstractNumId w:val="7"/>
  </w:num>
  <w:num w:numId="14">
    <w:abstractNumId w:val="9"/>
  </w:num>
  <w:num w:numId="15">
    <w:abstractNumId w:val="4"/>
  </w:num>
  <w:num w:numId="16">
    <w:abstractNumId w:val="11"/>
  </w:num>
  <w:num w:numId="1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蔡艳">
    <w15:presenceInfo w15:providerId="None" w15:userId="蔡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kMDI1YzkyMWEwNWRjOThlNjFkYzkzZGIwNDk5ZTUifQ=="/>
  </w:docVars>
  <w:rsids>
    <w:rsidRoot w:val="00124EA9"/>
    <w:rsid w:val="000021E0"/>
    <w:rsid w:val="00002637"/>
    <w:rsid w:val="00004047"/>
    <w:rsid w:val="00010F56"/>
    <w:rsid w:val="00024612"/>
    <w:rsid w:val="00044051"/>
    <w:rsid w:val="00045372"/>
    <w:rsid w:val="00045996"/>
    <w:rsid w:val="00053E1B"/>
    <w:rsid w:val="00077817"/>
    <w:rsid w:val="00080B47"/>
    <w:rsid w:val="000A0047"/>
    <w:rsid w:val="000A7926"/>
    <w:rsid w:val="000B4936"/>
    <w:rsid w:val="000C4E44"/>
    <w:rsid w:val="000C5689"/>
    <w:rsid w:val="000D3A07"/>
    <w:rsid w:val="000E5829"/>
    <w:rsid w:val="000F2F60"/>
    <w:rsid w:val="000F3D59"/>
    <w:rsid w:val="000F65C5"/>
    <w:rsid w:val="00101210"/>
    <w:rsid w:val="00104451"/>
    <w:rsid w:val="00124EA9"/>
    <w:rsid w:val="00133387"/>
    <w:rsid w:val="00133753"/>
    <w:rsid w:val="00141200"/>
    <w:rsid w:val="001421A1"/>
    <w:rsid w:val="0014231F"/>
    <w:rsid w:val="001429F5"/>
    <w:rsid w:val="00144A0B"/>
    <w:rsid w:val="00155F5F"/>
    <w:rsid w:val="0016577A"/>
    <w:rsid w:val="00172E5F"/>
    <w:rsid w:val="00175066"/>
    <w:rsid w:val="00186D78"/>
    <w:rsid w:val="001A1831"/>
    <w:rsid w:val="001A77A4"/>
    <w:rsid w:val="001B2C90"/>
    <w:rsid w:val="001B336A"/>
    <w:rsid w:val="001D03F9"/>
    <w:rsid w:val="001F28D4"/>
    <w:rsid w:val="001F55EE"/>
    <w:rsid w:val="00200C8B"/>
    <w:rsid w:val="0020642B"/>
    <w:rsid w:val="00210B19"/>
    <w:rsid w:val="0021628B"/>
    <w:rsid w:val="00240105"/>
    <w:rsid w:val="00244E9B"/>
    <w:rsid w:val="0026094B"/>
    <w:rsid w:val="00281C9C"/>
    <w:rsid w:val="002832EF"/>
    <w:rsid w:val="0028390B"/>
    <w:rsid w:val="00291E30"/>
    <w:rsid w:val="00292A27"/>
    <w:rsid w:val="002A13A6"/>
    <w:rsid w:val="002A3646"/>
    <w:rsid w:val="002A69B8"/>
    <w:rsid w:val="002B225E"/>
    <w:rsid w:val="002B7B11"/>
    <w:rsid w:val="002D3DCC"/>
    <w:rsid w:val="002D460A"/>
    <w:rsid w:val="002E1D5F"/>
    <w:rsid w:val="002F4C12"/>
    <w:rsid w:val="0031048F"/>
    <w:rsid w:val="003220EE"/>
    <w:rsid w:val="003276E9"/>
    <w:rsid w:val="00333AC7"/>
    <w:rsid w:val="003346E3"/>
    <w:rsid w:val="00335C6C"/>
    <w:rsid w:val="00340982"/>
    <w:rsid w:val="00341BE1"/>
    <w:rsid w:val="00343219"/>
    <w:rsid w:val="003536C1"/>
    <w:rsid w:val="00371495"/>
    <w:rsid w:val="00392340"/>
    <w:rsid w:val="003A008A"/>
    <w:rsid w:val="003A21A4"/>
    <w:rsid w:val="003A35E6"/>
    <w:rsid w:val="003A47A2"/>
    <w:rsid w:val="003A6B66"/>
    <w:rsid w:val="003A7BE3"/>
    <w:rsid w:val="003B1B7D"/>
    <w:rsid w:val="003C0E8A"/>
    <w:rsid w:val="003C71AC"/>
    <w:rsid w:val="003E7A6F"/>
    <w:rsid w:val="004179C4"/>
    <w:rsid w:val="004212E9"/>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F03C7"/>
    <w:rsid w:val="004F1CF3"/>
    <w:rsid w:val="004F7BD5"/>
    <w:rsid w:val="004F7F0C"/>
    <w:rsid w:val="0050258D"/>
    <w:rsid w:val="0051116B"/>
    <w:rsid w:val="00514DA0"/>
    <w:rsid w:val="00527EEC"/>
    <w:rsid w:val="005307B3"/>
    <w:rsid w:val="005458F8"/>
    <w:rsid w:val="0054718F"/>
    <w:rsid w:val="0055203E"/>
    <w:rsid w:val="0055574E"/>
    <w:rsid w:val="0057297F"/>
    <w:rsid w:val="0057563C"/>
    <w:rsid w:val="00580488"/>
    <w:rsid w:val="0058176A"/>
    <w:rsid w:val="005864F4"/>
    <w:rsid w:val="005932FF"/>
    <w:rsid w:val="005A24DF"/>
    <w:rsid w:val="005A70E0"/>
    <w:rsid w:val="005B251E"/>
    <w:rsid w:val="005C4BCE"/>
    <w:rsid w:val="005E5529"/>
    <w:rsid w:val="005F29AC"/>
    <w:rsid w:val="005F3C29"/>
    <w:rsid w:val="005F499C"/>
    <w:rsid w:val="00602185"/>
    <w:rsid w:val="00612206"/>
    <w:rsid w:val="00617F38"/>
    <w:rsid w:val="006417A4"/>
    <w:rsid w:val="00641E35"/>
    <w:rsid w:val="006435FD"/>
    <w:rsid w:val="00645395"/>
    <w:rsid w:val="0065638A"/>
    <w:rsid w:val="00656CED"/>
    <w:rsid w:val="00660D70"/>
    <w:rsid w:val="00665B3C"/>
    <w:rsid w:val="00673382"/>
    <w:rsid w:val="00676BDB"/>
    <w:rsid w:val="00686532"/>
    <w:rsid w:val="00690B7C"/>
    <w:rsid w:val="006A12CE"/>
    <w:rsid w:val="006A499F"/>
    <w:rsid w:val="006B1EC2"/>
    <w:rsid w:val="006B3F31"/>
    <w:rsid w:val="006C735F"/>
    <w:rsid w:val="006D2014"/>
    <w:rsid w:val="006D3E72"/>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143C"/>
    <w:rsid w:val="00784672"/>
    <w:rsid w:val="00784F8A"/>
    <w:rsid w:val="00785C21"/>
    <w:rsid w:val="007964EF"/>
    <w:rsid w:val="007C2355"/>
    <w:rsid w:val="007C74E8"/>
    <w:rsid w:val="007D0497"/>
    <w:rsid w:val="007D29D4"/>
    <w:rsid w:val="007D3081"/>
    <w:rsid w:val="007E1F23"/>
    <w:rsid w:val="007F3D4A"/>
    <w:rsid w:val="0080745B"/>
    <w:rsid w:val="00822A51"/>
    <w:rsid w:val="00824B55"/>
    <w:rsid w:val="00855A14"/>
    <w:rsid w:val="0086172F"/>
    <w:rsid w:val="00863B59"/>
    <w:rsid w:val="00867D79"/>
    <w:rsid w:val="008705DF"/>
    <w:rsid w:val="008762E6"/>
    <w:rsid w:val="00883782"/>
    <w:rsid w:val="00892349"/>
    <w:rsid w:val="00892DCC"/>
    <w:rsid w:val="008933B7"/>
    <w:rsid w:val="00896688"/>
    <w:rsid w:val="008A4531"/>
    <w:rsid w:val="008A6664"/>
    <w:rsid w:val="008B2D72"/>
    <w:rsid w:val="008C623B"/>
    <w:rsid w:val="008F6B51"/>
    <w:rsid w:val="0090589A"/>
    <w:rsid w:val="00920750"/>
    <w:rsid w:val="009315C2"/>
    <w:rsid w:val="00935E41"/>
    <w:rsid w:val="00935ED2"/>
    <w:rsid w:val="00953D9C"/>
    <w:rsid w:val="00954F74"/>
    <w:rsid w:val="00955643"/>
    <w:rsid w:val="009573B9"/>
    <w:rsid w:val="00965E94"/>
    <w:rsid w:val="00983877"/>
    <w:rsid w:val="009A1BD2"/>
    <w:rsid w:val="009A24B1"/>
    <w:rsid w:val="009B084E"/>
    <w:rsid w:val="009B5405"/>
    <w:rsid w:val="009B626F"/>
    <w:rsid w:val="009B66AE"/>
    <w:rsid w:val="00A02DDD"/>
    <w:rsid w:val="00A12741"/>
    <w:rsid w:val="00A15750"/>
    <w:rsid w:val="00A2148B"/>
    <w:rsid w:val="00A2462C"/>
    <w:rsid w:val="00A27204"/>
    <w:rsid w:val="00A33D67"/>
    <w:rsid w:val="00A3767B"/>
    <w:rsid w:val="00A41388"/>
    <w:rsid w:val="00A477C0"/>
    <w:rsid w:val="00A507DC"/>
    <w:rsid w:val="00A54E02"/>
    <w:rsid w:val="00A67EC8"/>
    <w:rsid w:val="00A81F80"/>
    <w:rsid w:val="00A868EF"/>
    <w:rsid w:val="00A906E2"/>
    <w:rsid w:val="00A97848"/>
    <w:rsid w:val="00AA0F15"/>
    <w:rsid w:val="00AD2A48"/>
    <w:rsid w:val="00AD2C8A"/>
    <w:rsid w:val="00AD6819"/>
    <w:rsid w:val="00AE15F3"/>
    <w:rsid w:val="00AF4CC2"/>
    <w:rsid w:val="00B01BCC"/>
    <w:rsid w:val="00B25D89"/>
    <w:rsid w:val="00B3664B"/>
    <w:rsid w:val="00B439A9"/>
    <w:rsid w:val="00B4446C"/>
    <w:rsid w:val="00B60605"/>
    <w:rsid w:val="00B64A25"/>
    <w:rsid w:val="00B6591E"/>
    <w:rsid w:val="00B66C84"/>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7A21"/>
    <w:rsid w:val="00BF2669"/>
    <w:rsid w:val="00C03C07"/>
    <w:rsid w:val="00C12666"/>
    <w:rsid w:val="00C14B63"/>
    <w:rsid w:val="00C16814"/>
    <w:rsid w:val="00C20E18"/>
    <w:rsid w:val="00C22565"/>
    <w:rsid w:val="00C52E06"/>
    <w:rsid w:val="00C53A90"/>
    <w:rsid w:val="00C54AC5"/>
    <w:rsid w:val="00C7182C"/>
    <w:rsid w:val="00C80A31"/>
    <w:rsid w:val="00C938B5"/>
    <w:rsid w:val="00C94DBF"/>
    <w:rsid w:val="00CB2271"/>
    <w:rsid w:val="00CB35D3"/>
    <w:rsid w:val="00CD5814"/>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2D42"/>
    <w:rsid w:val="00D5313A"/>
    <w:rsid w:val="00D56D4E"/>
    <w:rsid w:val="00D812B2"/>
    <w:rsid w:val="00D841AD"/>
    <w:rsid w:val="00D86B1B"/>
    <w:rsid w:val="00D90F37"/>
    <w:rsid w:val="00D92EB2"/>
    <w:rsid w:val="00D962D6"/>
    <w:rsid w:val="00DA2E85"/>
    <w:rsid w:val="00DA3A70"/>
    <w:rsid w:val="00DA6572"/>
    <w:rsid w:val="00DB2007"/>
    <w:rsid w:val="00DC3790"/>
    <w:rsid w:val="00DC758D"/>
    <w:rsid w:val="00DD03AC"/>
    <w:rsid w:val="00DD081E"/>
    <w:rsid w:val="00DD63AD"/>
    <w:rsid w:val="00DD7197"/>
    <w:rsid w:val="00DF2B35"/>
    <w:rsid w:val="00E006FA"/>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C1A38"/>
    <w:rsid w:val="00EC394D"/>
    <w:rsid w:val="00EC5AF3"/>
    <w:rsid w:val="00EE75AA"/>
    <w:rsid w:val="00F014DF"/>
    <w:rsid w:val="00F067FF"/>
    <w:rsid w:val="00F138CF"/>
    <w:rsid w:val="00F17C9D"/>
    <w:rsid w:val="00F27441"/>
    <w:rsid w:val="00F31726"/>
    <w:rsid w:val="00F40991"/>
    <w:rsid w:val="00F449A4"/>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E5DE6"/>
    <w:rsid w:val="00FF43B1"/>
    <w:rsid w:val="01146687"/>
    <w:rsid w:val="015542F5"/>
    <w:rsid w:val="017165B7"/>
    <w:rsid w:val="01830099"/>
    <w:rsid w:val="01981D96"/>
    <w:rsid w:val="01A2056A"/>
    <w:rsid w:val="01A22C15"/>
    <w:rsid w:val="01AC7279"/>
    <w:rsid w:val="01B37BE7"/>
    <w:rsid w:val="01C54B55"/>
    <w:rsid w:val="01CB274F"/>
    <w:rsid w:val="01D84888"/>
    <w:rsid w:val="01E274B5"/>
    <w:rsid w:val="01ED4696"/>
    <w:rsid w:val="01F11CD4"/>
    <w:rsid w:val="01F3521E"/>
    <w:rsid w:val="01F9035B"/>
    <w:rsid w:val="02151C7F"/>
    <w:rsid w:val="021647CC"/>
    <w:rsid w:val="021F4265"/>
    <w:rsid w:val="022E6257"/>
    <w:rsid w:val="02405F8A"/>
    <w:rsid w:val="029702A0"/>
    <w:rsid w:val="029A1B3E"/>
    <w:rsid w:val="02A12ECC"/>
    <w:rsid w:val="02A91D81"/>
    <w:rsid w:val="02CE3596"/>
    <w:rsid w:val="02D92666"/>
    <w:rsid w:val="02DD1A2B"/>
    <w:rsid w:val="02DE7C7D"/>
    <w:rsid w:val="02E01C47"/>
    <w:rsid w:val="02E828A9"/>
    <w:rsid w:val="03165668"/>
    <w:rsid w:val="031F2043"/>
    <w:rsid w:val="03293533"/>
    <w:rsid w:val="033030E3"/>
    <w:rsid w:val="033C49A3"/>
    <w:rsid w:val="0350044F"/>
    <w:rsid w:val="035241C7"/>
    <w:rsid w:val="03555A65"/>
    <w:rsid w:val="0365214C"/>
    <w:rsid w:val="03655CA8"/>
    <w:rsid w:val="036B5288"/>
    <w:rsid w:val="03C74BB5"/>
    <w:rsid w:val="03CE5F43"/>
    <w:rsid w:val="03E312C3"/>
    <w:rsid w:val="0415724F"/>
    <w:rsid w:val="0420735E"/>
    <w:rsid w:val="04471852"/>
    <w:rsid w:val="04510922"/>
    <w:rsid w:val="045F4DED"/>
    <w:rsid w:val="04640655"/>
    <w:rsid w:val="04A40A52"/>
    <w:rsid w:val="04A4395C"/>
    <w:rsid w:val="04BD7D66"/>
    <w:rsid w:val="04BE5FB8"/>
    <w:rsid w:val="04C74740"/>
    <w:rsid w:val="04D23811"/>
    <w:rsid w:val="04D53301"/>
    <w:rsid w:val="04D74983"/>
    <w:rsid w:val="04E83035"/>
    <w:rsid w:val="04EE6171"/>
    <w:rsid w:val="04F30983"/>
    <w:rsid w:val="050140F6"/>
    <w:rsid w:val="051756C8"/>
    <w:rsid w:val="051A0D14"/>
    <w:rsid w:val="051C4A8C"/>
    <w:rsid w:val="05264CA2"/>
    <w:rsid w:val="053C6EDC"/>
    <w:rsid w:val="054B711F"/>
    <w:rsid w:val="05526700"/>
    <w:rsid w:val="05607A03"/>
    <w:rsid w:val="056A1C9B"/>
    <w:rsid w:val="05790131"/>
    <w:rsid w:val="05860158"/>
    <w:rsid w:val="05917228"/>
    <w:rsid w:val="05B2535C"/>
    <w:rsid w:val="05B9052D"/>
    <w:rsid w:val="05C25634"/>
    <w:rsid w:val="05C56ED2"/>
    <w:rsid w:val="05CF1AFF"/>
    <w:rsid w:val="05D830A9"/>
    <w:rsid w:val="05DB0E78"/>
    <w:rsid w:val="05EF1FFE"/>
    <w:rsid w:val="05EF3F4F"/>
    <w:rsid w:val="06053772"/>
    <w:rsid w:val="061816F7"/>
    <w:rsid w:val="062A31D9"/>
    <w:rsid w:val="063407BB"/>
    <w:rsid w:val="063522A9"/>
    <w:rsid w:val="06604E4C"/>
    <w:rsid w:val="06752E14"/>
    <w:rsid w:val="068B011B"/>
    <w:rsid w:val="069E1FBA"/>
    <w:rsid w:val="06BD229F"/>
    <w:rsid w:val="06C13B3D"/>
    <w:rsid w:val="06C47189"/>
    <w:rsid w:val="06CB0518"/>
    <w:rsid w:val="06CB49BC"/>
    <w:rsid w:val="06DB5878"/>
    <w:rsid w:val="06E65352"/>
    <w:rsid w:val="071C2DD7"/>
    <w:rsid w:val="072055FD"/>
    <w:rsid w:val="073065CD"/>
    <w:rsid w:val="07342561"/>
    <w:rsid w:val="074F739B"/>
    <w:rsid w:val="07505EC8"/>
    <w:rsid w:val="075240BF"/>
    <w:rsid w:val="07666493"/>
    <w:rsid w:val="07691ADF"/>
    <w:rsid w:val="076B5857"/>
    <w:rsid w:val="07955F76"/>
    <w:rsid w:val="07972AF0"/>
    <w:rsid w:val="07A31495"/>
    <w:rsid w:val="07B74F40"/>
    <w:rsid w:val="07BE62CF"/>
    <w:rsid w:val="07CD206E"/>
    <w:rsid w:val="07D16002"/>
    <w:rsid w:val="07D2692F"/>
    <w:rsid w:val="07E40A06"/>
    <w:rsid w:val="07E86EA8"/>
    <w:rsid w:val="07EF6488"/>
    <w:rsid w:val="07F95559"/>
    <w:rsid w:val="07FB307F"/>
    <w:rsid w:val="080041F1"/>
    <w:rsid w:val="080A1514"/>
    <w:rsid w:val="080D690E"/>
    <w:rsid w:val="08161C67"/>
    <w:rsid w:val="081B727D"/>
    <w:rsid w:val="082A74C0"/>
    <w:rsid w:val="08421BC8"/>
    <w:rsid w:val="085409E1"/>
    <w:rsid w:val="087C3466"/>
    <w:rsid w:val="088E6CB5"/>
    <w:rsid w:val="08940DDD"/>
    <w:rsid w:val="08A47272"/>
    <w:rsid w:val="08AF1338"/>
    <w:rsid w:val="08B51480"/>
    <w:rsid w:val="08D538D0"/>
    <w:rsid w:val="08D8516E"/>
    <w:rsid w:val="08EE04EE"/>
    <w:rsid w:val="090C5F95"/>
    <w:rsid w:val="090E293E"/>
    <w:rsid w:val="091B505B"/>
    <w:rsid w:val="09242161"/>
    <w:rsid w:val="0932487E"/>
    <w:rsid w:val="094620D8"/>
    <w:rsid w:val="09494CF2"/>
    <w:rsid w:val="09616F12"/>
    <w:rsid w:val="096864F2"/>
    <w:rsid w:val="096A04BC"/>
    <w:rsid w:val="09824E19"/>
    <w:rsid w:val="09833F88"/>
    <w:rsid w:val="098350DA"/>
    <w:rsid w:val="099B68C7"/>
    <w:rsid w:val="09AD65FB"/>
    <w:rsid w:val="09AF5ECF"/>
    <w:rsid w:val="09BC683E"/>
    <w:rsid w:val="09C6304D"/>
    <w:rsid w:val="09C81017"/>
    <w:rsid w:val="09CB6A81"/>
    <w:rsid w:val="09DA6CC4"/>
    <w:rsid w:val="09DE0562"/>
    <w:rsid w:val="09E85885"/>
    <w:rsid w:val="09FE1E8C"/>
    <w:rsid w:val="0A1C108A"/>
    <w:rsid w:val="0A20501F"/>
    <w:rsid w:val="0A3D3B48"/>
    <w:rsid w:val="0A522CFE"/>
    <w:rsid w:val="0A8E52AB"/>
    <w:rsid w:val="0AAA5DBE"/>
    <w:rsid w:val="0ACE4A7B"/>
    <w:rsid w:val="0AD02292"/>
    <w:rsid w:val="0ADD2F10"/>
    <w:rsid w:val="0AE47DFA"/>
    <w:rsid w:val="0AED2D32"/>
    <w:rsid w:val="0B016BFE"/>
    <w:rsid w:val="0B2B3C7B"/>
    <w:rsid w:val="0B2D79F3"/>
    <w:rsid w:val="0B464611"/>
    <w:rsid w:val="0B494D6A"/>
    <w:rsid w:val="0B4D3BF1"/>
    <w:rsid w:val="0B5A4560"/>
    <w:rsid w:val="0B5B5A5A"/>
    <w:rsid w:val="0B6C2810"/>
    <w:rsid w:val="0B837613"/>
    <w:rsid w:val="0B8D66E4"/>
    <w:rsid w:val="0B910E17"/>
    <w:rsid w:val="0B985A5A"/>
    <w:rsid w:val="0B9D61FB"/>
    <w:rsid w:val="0BA80E28"/>
    <w:rsid w:val="0BA852CC"/>
    <w:rsid w:val="0BC96FF0"/>
    <w:rsid w:val="0BD0037E"/>
    <w:rsid w:val="0BD57D80"/>
    <w:rsid w:val="0BDA2FAB"/>
    <w:rsid w:val="0BEF3DA4"/>
    <w:rsid w:val="0BFC71DD"/>
    <w:rsid w:val="0C006EB6"/>
    <w:rsid w:val="0C0A1AE2"/>
    <w:rsid w:val="0C22507E"/>
    <w:rsid w:val="0C2C7CAB"/>
    <w:rsid w:val="0C3502F0"/>
    <w:rsid w:val="0C3B7EEE"/>
    <w:rsid w:val="0C4274CE"/>
    <w:rsid w:val="0C721436"/>
    <w:rsid w:val="0C7B478E"/>
    <w:rsid w:val="0C8A6F80"/>
    <w:rsid w:val="0C905B62"/>
    <w:rsid w:val="0CA041F5"/>
    <w:rsid w:val="0CAA0BCF"/>
    <w:rsid w:val="0CAE6912"/>
    <w:rsid w:val="0CAF268A"/>
    <w:rsid w:val="0CBE467B"/>
    <w:rsid w:val="0CD93263"/>
    <w:rsid w:val="0CDA6AAC"/>
    <w:rsid w:val="0CDF2F6F"/>
    <w:rsid w:val="0CF34325"/>
    <w:rsid w:val="0D054058"/>
    <w:rsid w:val="0D2A1D10"/>
    <w:rsid w:val="0D2F2E39"/>
    <w:rsid w:val="0D334EEE"/>
    <w:rsid w:val="0D766D04"/>
    <w:rsid w:val="0DB759FC"/>
    <w:rsid w:val="0DD979BE"/>
    <w:rsid w:val="0DE16873"/>
    <w:rsid w:val="0DF02F5A"/>
    <w:rsid w:val="0E197DBB"/>
    <w:rsid w:val="0E3966AF"/>
    <w:rsid w:val="0E3B1F03"/>
    <w:rsid w:val="0E4D215A"/>
    <w:rsid w:val="0E5400D2"/>
    <w:rsid w:val="0E664FCA"/>
    <w:rsid w:val="0E72396F"/>
    <w:rsid w:val="0E7670F5"/>
    <w:rsid w:val="0E770F85"/>
    <w:rsid w:val="0E7B2FCB"/>
    <w:rsid w:val="0E820056"/>
    <w:rsid w:val="0E8536A2"/>
    <w:rsid w:val="0E8813E4"/>
    <w:rsid w:val="0E891CDE"/>
    <w:rsid w:val="0E8A6F0A"/>
    <w:rsid w:val="0EAC50D3"/>
    <w:rsid w:val="0ED71A24"/>
    <w:rsid w:val="0EE82EF2"/>
    <w:rsid w:val="0EF425D6"/>
    <w:rsid w:val="0F136F00"/>
    <w:rsid w:val="0F1B4006"/>
    <w:rsid w:val="0F29227F"/>
    <w:rsid w:val="0F3D21CF"/>
    <w:rsid w:val="0F3F5966"/>
    <w:rsid w:val="0F44355D"/>
    <w:rsid w:val="0F44530B"/>
    <w:rsid w:val="0F4A4F73"/>
    <w:rsid w:val="0F5372FC"/>
    <w:rsid w:val="0F580DB7"/>
    <w:rsid w:val="0F7B6853"/>
    <w:rsid w:val="0FA47B58"/>
    <w:rsid w:val="0FC1070A"/>
    <w:rsid w:val="100920B1"/>
    <w:rsid w:val="101C1DE4"/>
    <w:rsid w:val="101D627F"/>
    <w:rsid w:val="1021564D"/>
    <w:rsid w:val="10262C63"/>
    <w:rsid w:val="102B64CB"/>
    <w:rsid w:val="103F3D25"/>
    <w:rsid w:val="10437227"/>
    <w:rsid w:val="104B26C9"/>
    <w:rsid w:val="10613C9B"/>
    <w:rsid w:val="10667503"/>
    <w:rsid w:val="1081620D"/>
    <w:rsid w:val="108C56E8"/>
    <w:rsid w:val="10A06571"/>
    <w:rsid w:val="10A2678D"/>
    <w:rsid w:val="10AA73F0"/>
    <w:rsid w:val="10AF4A06"/>
    <w:rsid w:val="10B244F7"/>
    <w:rsid w:val="10BE10ED"/>
    <w:rsid w:val="10BE4C49"/>
    <w:rsid w:val="10C304B2"/>
    <w:rsid w:val="10C5247C"/>
    <w:rsid w:val="10D75D0B"/>
    <w:rsid w:val="10DB3A4D"/>
    <w:rsid w:val="10ED552F"/>
    <w:rsid w:val="11166833"/>
    <w:rsid w:val="11205904"/>
    <w:rsid w:val="1122167C"/>
    <w:rsid w:val="1125116C"/>
    <w:rsid w:val="11290C5D"/>
    <w:rsid w:val="1145536B"/>
    <w:rsid w:val="11525F0D"/>
    <w:rsid w:val="11692E07"/>
    <w:rsid w:val="11716160"/>
    <w:rsid w:val="117D2D56"/>
    <w:rsid w:val="117E416C"/>
    <w:rsid w:val="119E5E08"/>
    <w:rsid w:val="11BB73DB"/>
    <w:rsid w:val="11C37011"/>
    <w:rsid w:val="11C8597B"/>
    <w:rsid w:val="11E44B84"/>
    <w:rsid w:val="11E626AA"/>
    <w:rsid w:val="11F1104F"/>
    <w:rsid w:val="12015736"/>
    <w:rsid w:val="120E7E53"/>
    <w:rsid w:val="122157E3"/>
    <w:rsid w:val="12260CF8"/>
    <w:rsid w:val="125E66E4"/>
    <w:rsid w:val="12695089"/>
    <w:rsid w:val="126A32DB"/>
    <w:rsid w:val="126B2BAF"/>
    <w:rsid w:val="12771554"/>
    <w:rsid w:val="12850115"/>
    <w:rsid w:val="12952699"/>
    <w:rsid w:val="12A8795F"/>
    <w:rsid w:val="12CA1FCB"/>
    <w:rsid w:val="12CF1390"/>
    <w:rsid w:val="12F42BA4"/>
    <w:rsid w:val="12F64B6E"/>
    <w:rsid w:val="130318C7"/>
    <w:rsid w:val="13143247"/>
    <w:rsid w:val="132004B7"/>
    <w:rsid w:val="132316DC"/>
    <w:rsid w:val="135E6562"/>
    <w:rsid w:val="136A730B"/>
    <w:rsid w:val="136E0B69"/>
    <w:rsid w:val="13712447"/>
    <w:rsid w:val="137361BF"/>
    <w:rsid w:val="13914897"/>
    <w:rsid w:val="13A85E41"/>
    <w:rsid w:val="13A9775A"/>
    <w:rsid w:val="13AC7923"/>
    <w:rsid w:val="13D12EE6"/>
    <w:rsid w:val="13DB5B12"/>
    <w:rsid w:val="13DF1AA7"/>
    <w:rsid w:val="13F56BD4"/>
    <w:rsid w:val="14092680"/>
    <w:rsid w:val="141F00F5"/>
    <w:rsid w:val="1423053B"/>
    <w:rsid w:val="14237BE5"/>
    <w:rsid w:val="14411E19"/>
    <w:rsid w:val="1444100C"/>
    <w:rsid w:val="144638D4"/>
    <w:rsid w:val="14495172"/>
    <w:rsid w:val="145A2EDB"/>
    <w:rsid w:val="14641FAC"/>
    <w:rsid w:val="146B333A"/>
    <w:rsid w:val="146D0E60"/>
    <w:rsid w:val="14727F5E"/>
    <w:rsid w:val="147321EF"/>
    <w:rsid w:val="14A14FAE"/>
    <w:rsid w:val="14AB7BDB"/>
    <w:rsid w:val="14B44CE1"/>
    <w:rsid w:val="14B7032D"/>
    <w:rsid w:val="14CD7B51"/>
    <w:rsid w:val="14F06C67"/>
    <w:rsid w:val="14F74BCE"/>
    <w:rsid w:val="15003A82"/>
    <w:rsid w:val="15015A4D"/>
    <w:rsid w:val="150D16AE"/>
    <w:rsid w:val="152E23AB"/>
    <w:rsid w:val="155B515D"/>
    <w:rsid w:val="156763BF"/>
    <w:rsid w:val="158741A4"/>
    <w:rsid w:val="15916DD0"/>
    <w:rsid w:val="15AE34DE"/>
    <w:rsid w:val="15B63F8A"/>
    <w:rsid w:val="15B75DCC"/>
    <w:rsid w:val="15C727F2"/>
    <w:rsid w:val="16027CCE"/>
    <w:rsid w:val="16096967"/>
    <w:rsid w:val="161517B0"/>
    <w:rsid w:val="161C0D90"/>
    <w:rsid w:val="16314BAD"/>
    <w:rsid w:val="166B5873"/>
    <w:rsid w:val="168626AD"/>
    <w:rsid w:val="168E3310"/>
    <w:rsid w:val="16930926"/>
    <w:rsid w:val="16B0772A"/>
    <w:rsid w:val="16B40FC8"/>
    <w:rsid w:val="16CB4756"/>
    <w:rsid w:val="16D36F75"/>
    <w:rsid w:val="16E318AE"/>
    <w:rsid w:val="171B1048"/>
    <w:rsid w:val="172779EC"/>
    <w:rsid w:val="17367C2F"/>
    <w:rsid w:val="173B3498"/>
    <w:rsid w:val="174B55C6"/>
    <w:rsid w:val="174F0CF1"/>
    <w:rsid w:val="17594306"/>
    <w:rsid w:val="17872239"/>
    <w:rsid w:val="179B2648"/>
    <w:rsid w:val="17A032FB"/>
    <w:rsid w:val="17AA5F28"/>
    <w:rsid w:val="17B759B0"/>
    <w:rsid w:val="17BB6387"/>
    <w:rsid w:val="17C214C3"/>
    <w:rsid w:val="17CA65CA"/>
    <w:rsid w:val="17D539F2"/>
    <w:rsid w:val="17D80CE7"/>
    <w:rsid w:val="17E05CBA"/>
    <w:rsid w:val="17EB6C6C"/>
    <w:rsid w:val="17EC4792"/>
    <w:rsid w:val="17EF7DDE"/>
    <w:rsid w:val="17F17FFA"/>
    <w:rsid w:val="18115FA7"/>
    <w:rsid w:val="18147845"/>
    <w:rsid w:val="181B1675"/>
    <w:rsid w:val="181D2B9D"/>
    <w:rsid w:val="18221F62"/>
    <w:rsid w:val="183D6D9C"/>
    <w:rsid w:val="18420856"/>
    <w:rsid w:val="1844637C"/>
    <w:rsid w:val="184E2D57"/>
    <w:rsid w:val="185C1918"/>
    <w:rsid w:val="18656D2B"/>
    <w:rsid w:val="186E164B"/>
    <w:rsid w:val="189709F7"/>
    <w:rsid w:val="18CE52C3"/>
    <w:rsid w:val="18D019BE"/>
    <w:rsid w:val="18D92F68"/>
    <w:rsid w:val="18DF42F7"/>
    <w:rsid w:val="18E15979"/>
    <w:rsid w:val="18F03E0E"/>
    <w:rsid w:val="19097045"/>
    <w:rsid w:val="190F0738"/>
    <w:rsid w:val="191B532F"/>
    <w:rsid w:val="192D0BBE"/>
    <w:rsid w:val="192D2CC3"/>
    <w:rsid w:val="19397563"/>
    <w:rsid w:val="194303E2"/>
    <w:rsid w:val="194B4A95"/>
    <w:rsid w:val="194B7296"/>
    <w:rsid w:val="19622F5E"/>
    <w:rsid w:val="19BC32D1"/>
    <w:rsid w:val="19C07C84"/>
    <w:rsid w:val="19C72DC1"/>
    <w:rsid w:val="19EA6AAF"/>
    <w:rsid w:val="19EF056A"/>
    <w:rsid w:val="1A0E09F0"/>
    <w:rsid w:val="1A200723"/>
    <w:rsid w:val="1A2024D1"/>
    <w:rsid w:val="1A2664F0"/>
    <w:rsid w:val="1A271AB1"/>
    <w:rsid w:val="1A366198"/>
    <w:rsid w:val="1A400DC5"/>
    <w:rsid w:val="1A530AF8"/>
    <w:rsid w:val="1A7016AA"/>
    <w:rsid w:val="1A732F49"/>
    <w:rsid w:val="1A862C7C"/>
    <w:rsid w:val="1A952EBF"/>
    <w:rsid w:val="1A9A6727"/>
    <w:rsid w:val="1A9C249F"/>
    <w:rsid w:val="1AA17AB6"/>
    <w:rsid w:val="1AD27C6F"/>
    <w:rsid w:val="1AE856E5"/>
    <w:rsid w:val="1B09565B"/>
    <w:rsid w:val="1B097409"/>
    <w:rsid w:val="1B140288"/>
    <w:rsid w:val="1B1B74E6"/>
    <w:rsid w:val="1B3A3A66"/>
    <w:rsid w:val="1B416BA3"/>
    <w:rsid w:val="1B4B6E03"/>
    <w:rsid w:val="1B542D7A"/>
    <w:rsid w:val="1B59213E"/>
    <w:rsid w:val="1B9E07BD"/>
    <w:rsid w:val="1BAA4748"/>
    <w:rsid w:val="1BAF6202"/>
    <w:rsid w:val="1BB67591"/>
    <w:rsid w:val="1BBE1FA1"/>
    <w:rsid w:val="1BC81AE9"/>
    <w:rsid w:val="1BCC0B62"/>
    <w:rsid w:val="1BE51C24"/>
    <w:rsid w:val="1BF73705"/>
    <w:rsid w:val="1C0A51E7"/>
    <w:rsid w:val="1C1C4F1A"/>
    <w:rsid w:val="1C1D13BE"/>
    <w:rsid w:val="1C1E2B77"/>
    <w:rsid w:val="1C1E6EE4"/>
    <w:rsid w:val="1C36422E"/>
    <w:rsid w:val="1C4F3541"/>
    <w:rsid w:val="1C5B5A42"/>
    <w:rsid w:val="1C626DD1"/>
    <w:rsid w:val="1C7B451F"/>
    <w:rsid w:val="1C896A53"/>
    <w:rsid w:val="1C901B90"/>
    <w:rsid w:val="1C9A0C60"/>
    <w:rsid w:val="1CA4563B"/>
    <w:rsid w:val="1CBE192A"/>
    <w:rsid w:val="1CC730D8"/>
    <w:rsid w:val="1CDC4DD5"/>
    <w:rsid w:val="1CE65C54"/>
    <w:rsid w:val="1CE819CC"/>
    <w:rsid w:val="1CF55E97"/>
    <w:rsid w:val="1D294DC7"/>
    <w:rsid w:val="1D3C1D18"/>
    <w:rsid w:val="1D3F5364"/>
    <w:rsid w:val="1D484219"/>
    <w:rsid w:val="1D7D09D2"/>
    <w:rsid w:val="1D813BCE"/>
    <w:rsid w:val="1D862F93"/>
    <w:rsid w:val="1D8A6447"/>
    <w:rsid w:val="1D8F0099"/>
    <w:rsid w:val="1DB17B97"/>
    <w:rsid w:val="1DCF493A"/>
    <w:rsid w:val="1DD12460"/>
    <w:rsid w:val="1DD957B9"/>
    <w:rsid w:val="1DF63C75"/>
    <w:rsid w:val="1DF93765"/>
    <w:rsid w:val="1DFB128B"/>
    <w:rsid w:val="1DFE6AAC"/>
    <w:rsid w:val="1E0D0FBE"/>
    <w:rsid w:val="1E165F1B"/>
    <w:rsid w:val="1E1B7B7F"/>
    <w:rsid w:val="1E1E766F"/>
    <w:rsid w:val="1E1F3B60"/>
    <w:rsid w:val="1E2E78B2"/>
    <w:rsid w:val="1E360515"/>
    <w:rsid w:val="1E3824DF"/>
    <w:rsid w:val="1E41546C"/>
    <w:rsid w:val="1E57048B"/>
    <w:rsid w:val="1E5A27E5"/>
    <w:rsid w:val="1E605136"/>
    <w:rsid w:val="1E7828DC"/>
    <w:rsid w:val="1E937715"/>
    <w:rsid w:val="1EA731C1"/>
    <w:rsid w:val="1EB12291"/>
    <w:rsid w:val="1EBD39F8"/>
    <w:rsid w:val="1EE12B77"/>
    <w:rsid w:val="1F062845"/>
    <w:rsid w:val="1F095C2A"/>
    <w:rsid w:val="1F106FB8"/>
    <w:rsid w:val="1F1D36F0"/>
    <w:rsid w:val="1F2111C5"/>
    <w:rsid w:val="1F2939A5"/>
    <w:rsid w:val="1F2E0BFF"/>
    <w:rsid w:val="1F38206B"/>
    <w:rsid w:val="1F503858"/>
    <w:rsid w:val="1F506D0A"/>
    <w:rsid w:val="1F5350F7"/>
    <w:rsid w:val="1F550E3D"/>
    <w:rsid w:val="1F686DF4"/>
    <w:rsid w:val="1F947BE9"/>
    <w:rsid w:val="1F996FAD"/>
    <w:rsid w:val="1F9F20EA"/>
    <w:rsid w:val="1FB02549"/>
    <w:rsid w:val="1FB072B4"/>
    <w:rsid w:val="1FB42039"/>
    <w:rsid w:val="1FB43DE7"/>
    <w:rsid w:val="1FBC7140"/>
    <w:rsid w:val="1FBF453A"/>
    <w:rsid w:val="1FBF76D7"/>
    <w:rsid w:val="1FFE32B4"/>
    <w:rsid w:val="20052895"/>
    <w:rsid w:val="200F7270"/>
    <w:rsid w:val="20191E9C"/>
    <w:rsid w:val="203211B0"/>
    <w:rsid w:val="20340A84"/>
    <w:rsid w:val="20450EE3"/>
    <w:rsid w:val="205800C9"/>
    <w:rsid w:val="207F2647"/>
    <w:rsid w:val="208337BA"/>
    <w:rsid w:val="209C6328"/>
    <w:rsid w:val="20AD2DE7"/>
    <w:rsid w:val="20B322F1"/>
    <w:rsid w:val="20B56069"/>
    <w:rsid w:val="20B63B8F"/>
    <w:rsid w:val="20CC33B3"/>
    <w:rsid w:val="20CD515E"/>
    <w:rsid w:val="20D65FDF"/>
    <w:rsid w:val="210668C5"/>
    <w:rsid w:val="2107263D"/>
    <w:rsid w:val="210A0B42"/>
    <w:rsid w:val="210C1A01"/>
    <w:rsid w:val="21110DC5"/>
    <w:rsid w:val="212E078A"/>
    <w:rsid w:val="213B4094"/>
    <w:rsid w:val="213F1DD6"/>
    <w:rsid w:val="214C3FE6"/>
    <w:rsid w:val="215F4585"/>
    <w:rsid w:val="215F7D83"/>
    <w:rsid w:val="21674E89"/>
    <w:rsid w:val="21725D08"/>
    <w:rsid w:val="2190618E"/>
    <w:rsid w:val="219E6AFD"/>
    <w:rsid w:val="21A47E8B"/>
    <w:rsid w:val="21AB00E8"/>
    <w:rsid w:val="21AB121A"/>
    <w:rsid w:val="21B24356"/>
    <w:rsid w:val="21B93937"/>
    <w:rsid w:val="21C63053"/>
    <w:rsid w:val="21CB27F1"/>
    <w:rsid w:val="21DF0EC4"/>
    <w:rsid w:val="21E52EAF"/>
    <w:rsid w:val="21EA1D42"/>
    <w:rsid w:val="21FA5CFD"/>
    <w:rsid w:val="2210107D"/>
    <w:rsid w:val="22121299"/>
    <w:rsid w:val="221C55F6"/>
    <w:rsid w:val="22274D44"/>
    <w:rsid w:val="22347461"/>
    <w:rsid w:val="2254540E"/>
    <w:rsid w:val="225B2F61"/>
    <w:rsid w:val="22600256"/>
    <w:rsid w:val="22767981"/>
    <w:rsid w:val="227E248B"/>
    <w:rsid w:val="2298179E"/>
    <w:rsid w:val="22A16179"/>
    <w:rsid w:val="22AF4D3A"/>
    <w:rsid w:val="22C31167"/>
    <w:rsid w:val="22D95913"/>
    <w:rsid w:val="22DF7581"/>
    <w:rsid w:val="22E42C35"/>
    <w:rsid w:val="22E83DA8"/>
    <w:rsid w:val="2309444A"/>
    <w:rsid w:val="230C3F3A"/>
    <w:rsid w:val="230E380E"/>
    <w:rsid w:val="231F5A1C"/>
    <w:rsid w:val="232A616E"/>
    <w:rsid w:val="232E3EB1"/>
    <w:rsid w:val="23333275"/>
    <w:rsid w:val="234A6031"/>
    <w:rsid w:val="235638AF"/>
    <w:rsid w:val="235D6544"/>
    <w:rsid w:val="23711FEF"/>
    <w:rsid w:val="23971A56"/>
    <w:rsid w:val="239C706C"/>
    <w:rsid w:val="239F4DAE"/>
    <w:rsid w:val="23AB72AF"/>
    <w:rsid w:val="23C95987"/>
    <w:rsid w:val="23CD36CA"/>
    <w:rsid w:val="23EF1892"/>
    <w:rsid w:val="23F073B8"/>
    <w:rsid w:val="24082954"/>
    <w:rsid w:val="242B219E"/>
    <w:rsid w:val="242F4FC2"/>
    <w:rsid w:val="24305A06"/>
    <w:rsid w:val="2432352D"/>
    <w:rsid w:val="24594F5D"/>
    <w:rsid w:val="24743B45"/>
    <w:rsid w:val="24833D88"/>
    <w:rsid w:val="248B0E8F"/>
    <w:rsid w:val="248D2E59"/>
    <w:rsid w:val="248F6BD1"/>
    <w:rsid w:val="24D64800"/>
    <w:rsid w:val="24E231A5"/>
    <w:rsid w:val="24F627AC"/>
    <w:rsid w:val="25115838"/>
    <w:rsid w:val="252A4525"/>
    <w:rsid w:val="252E63EA"/>
    <w:rsid w:val="2536704D"/>
    <w:rsid w:val="253A4D8F"/>
    <w:rsid w:val="253B4663"/>
    <w:rsid w:val="25441769"/>
    <w:rsid w:val="25452493"/>
    <w:rsid w:val="254655C7"/>
    <w:rsid w:val="25506360"/>
    <w:rsid w:val="255D6CCF"/>
    <w:rsid w:val="256516E0"/>
    <w:rsid w:val="257302A1"/>
    <w:rsid w:val="25781413"/>
    <w:rsid w:val="2580476C"/>
    <w:rsid w:val="2580651A"/>
    <w:rsid w:val="2584425C"/>
    <w:rsid w:val="258D5FED"/>
    <w:rsid w:val="25902C01"/>
    <w:rsid w:val="25B54415"/>
    <w:rsid w:val="25C12DBA"/>
    <w:rsid w:val="25C74149"/>
    <w:rsid w:val="25FC0296"/>
    <w:rsid w:val="25FF7D86"/>
    <w:rsid w:val="260D24A3"/>
    <w:rsid w:val="26127ABA"/>
    <w:rsid w:val="261A071C"/>
    <w:rsid w:val="261A4BC0"/>
    <w:rsid w:val="26296BB1"/>
    <w:rsid w:val="263317DE"/>
    <w:rsid w:val="264834DB"/>
    <w:rsid w:val="264B4B51"/>
    <w:rsid w:val="264E6DB9"/>
    <w:rsid w:val="2667248C"/>
    <w:rsid w:val="26961B68"/>
    <w:rsid w:val="26A05072"/>
    <w:rsid w:val="26A83F7A"/>
    <w:rsid w:val="26B24DF9"/>
    <w:rsid w:val="26C03072"/>
    <w:rsid w:val="26D42FC1"/>
    <w:rsid w:val="26DE174A"/>
    <w:rsid w:val="26E825C8"/>
    <w:rsid w:val="26EA4592"/>
    <w:rsid w:val="270A0791"/>
    <w:rsid w:val="271B299E"/>
    <w:rsid w:val="272555CB"/>
    <w:rsid w:val="272A0E33"/>
    <w:rsid w:val="27435A51"/>
    <w:rsid w:val="27455C6D"/>
    <w:rsid w:val="275B723E"/>
    <w:rsid w:val="27651E6B"/>
    <w:rsid w:val="27982240"/>
    <w:rsid w:val="279F2435"/>
    <w:rsid w:val="27C6148F"/>
    <w:rsid w:val="27EE3C0E"/>
    <w:rsid w:val="27F531EF"/>
    <w:rsid w:val="27F84A8D"/>
    <w:rsid w:val="27FC1FF2"/>
    <w:rsid w:val="280B656E"/>
    <w:rsid w:val="28384F14"/>
    <w:rsid w:val="28584B5F"/>
    <w:rsid w:val="286363AA"/>
    <w:rsid w:val="28687E65"/>
    <w:rsid w:val="2872440F"/>
    <w:rsid w:val="288A7DDB"/>
    <w:rsid w:val="28A16ED3"/>
    <w:rsid w:val="28AB1AFF"/>
    <w:rsid w:val="28B22E8E"/>
    <w:rsid w:val="28B704A4"/>
    <w:rsid w:val="28CA467C"/>
    <w:rsid w:val="28CD7CC8"/>
    <w:rsid w:val="28D728F5"/>
    <w:rsid w:val="28E514B5"/>
    <w:rsid w:val="28EF40E2"/>
    <w:rsid w:val="28FB65E3"/>
    <w:rsid w:val="292C0E92"/>
    <w:rsid w:val="293146FB"/>
    <w:rsid w:val="295126A7"/>
    <w:rsid w:val="29534671"/>
    <w:rsid w:val="295E61D7"/>
    <w:rsid w:val="29657F00"/>
    <w:rsid w:val="296F5223"/>
    <w:rsid w:val="29921E00"/>
    <w:rsid w:val="2993214F"/>
    <w:rsid w:val="29C87B9C"/>
    <w:rsid w:val="29D357B2"/>
    <w:rsid w:val="29EB7E9F"/>
    <w:rsid w:val="29FA4AED"/>
    <w:rsid w:val="2A4915D0"/>
    <w:rsid w:val="2A4D7312"/>
    <w:rsid w:val="2A7332CF"/>
    <w:rsid w:val="2A88088E"/>
    <w:rsid w:val="2A94196C"/>
    <w:rsid w:val="2AAD1B5F"/>
    <w:rsid w:val="2AB033FD"/>
    <w:rsid w:val="2AD01CF1"/>
    <w:rsid w:val="2AE845D1"/>
    <w:rsid w:val="2B1F316D"/>
    <w:rsid w:val="2B2572E6"/>
    <w:rsid w:val="2B2B6F28"/>
    <w:rsid w:val="2B326508"/>
    <w:rsid w:val="2B373B1E"/>
    <w:rsid w:val="2B430715"/>
    <w:rsid w:val="2B485112"/>
    <w:rsid w:val="2B4E3572"/>
    <w:rsid w:val="2B520958"/>
    <w:rsid w:val="2B7B7EAF"/>
    <w:rsid w:val="2BCC24B9"/>
    <w:rsid w:val="2BCC4267"/>
    <w:rsid w:val="2BD33847"/>
    <w:rsid w:val="2BD4136D"/>
    <w:rsid w:val="2BF10955"/>
    <w:rsid w:val="2C1C3440"/>
    <w:rsid w:val="2C332538"/>
    <w:rsid w:val="2C4B7881"/>
    <w:rsid w:val="2C5A31B1"/>
    <w:rsid w:val="2C7768C8"/>
    <w:rsid w:val="2C807BF7"/>
    <w:rsid w:val="2C931228"/>
    <w:rsid w:val="2CBF201D"/>
    <w:rsid w:val="2CBF5B79"/>
    <w:rsid w:val="2CCE3761"/>
    <w:rsid w:val="2CD77367"/>
    <w:rsid w:val="2CED6B8B"/>
    <w:rsid w:val="2D053ED4"/>
    <w:rsid w:val="2D087520"/>
    <w:rsid w:val="2D0D4B37"/>
    <w:rsid w:val="2D145EC5"/>
    <w:rsid w:val="2D1C7470"/>
    <w:rsid w:val="2D26209C"/>
    <w:rsid w:val="2D285E15"/>
    <w:rsid w:val="2DA6796C"/>
    <w:rsid w:val="2DA74F8B"/>
    <w:rsid w:val="2DAD1E76"/>
    <w:rsid w:val="2DB17BB8"/>
    <w:rsid w:val="2DB9081B"/>
    <w:rsid w:val="2DBD655D"/>
    <w:rsid w:val="2DBE22D5"/>
    <w:rsid w:val="2DD81577"/>
    <w:rsid w:val="2DDF2977"/>
    <w:rsid w:val="2DEC0BF0"/>
    <w:rsid w:val="2E0A72C8"/>
    <w:rsid w:val="2E140EBA"/>
    <w:rsid w:val="2E150147"/>
    <w:rsid w:val="2E1B14D5"/>
    <w:rsid w:val="2E2B25D3"/>
    <w:rsid w:val="2E344345"/>
    <w:rsid w:val="2E41641E"/>
    <w:rsid w:val="2E536EC1"/>
    <w:rsid w:val="2E5E2464"/>
    <w:rsid w:val="2E5F13C2"/>
    <w:rsid w:val="2E644C2A"/>
    <w:rsid w:val="2E756E38"/>
    <w:rsid w:val="2E8C2297"/>
    <w:rsid w:val="2E8C4181"/>
    <w:rsid w:val="2E8C76CD"/>
    <w:rsid w:val="2E8D5CD9"/>
    <w:rsid w:val="2E8E4CCA"/>
    <w:rsid w:val="2E933762"/>
    <w:rsid w:val="2E944985"/>
    <w:rsid w:val="2E9C43C4"/>
    <w:rsid w:val="2EB55486"/>
    <w:rsid w:val="2EC27BA3"/>
    <w:rsid w:val="2ECB4CA9"/>
    <w:rsid w:val="2ED51684"/>
    <w:rsid w:val="2EEB70FA"/>
    <w:rsid w:val="2EEB761A"/>
    <w:rsid w:val="2EED10C4"/>
    <w:rsid w:val="2EEE2746"/>
    <w:rsid w:val="2EF35FAE"/>
    <w:rsid w:val="2F063F34"/>
    <w:rsid w:val="2F0C35AE"/>
    <w:rsid w:val="2F1523C9"/>
    <w:rsid w:val="2F176141"/>
    <w:rsid w:val="2F1A178D"/>
    <w:rsid w:val="2F1F6DA3"/>
    <w:rsid w:val="2F324D29"/>
    <w:rsid w:val="2F377C93"/>
    <w:rsid w:val="2F4F1437"/>
    <w:rsid w:val="2F831FDA"/>
    <w:rsid w:val="2F917CA1"/>
    <w:rsid w:val="2F94153F"/>
    <w:rsid w:val="2F9652B7"/>
    <w:rsid w:val="2FB43990"/>
    <w:rsid w:val="2FC31E25"/>
    <w:rsid w:val="2FD26F55"/>
    <w:rsid w:val="2FD44032"/>
    <w:rsid w:val="2FE029D7"/>
    <w:rsid w:val="2FF344B8"/>
    <w:rsid w:val="300761B5"/>
    <w:rsid w:val="30096558"/>
    <w:rsid w:val="300E5BA9"/>
    <w:rsid w:val="30183F1E"/>
    <w:rsid w:val="302D729E"/>
    <w:rsid w:val="30330D58"/>
    <w:rsid w:val="304E5B92"/>
    <w:rsid w:val="30656A38"/>
    <w:rsid w:val="306B6744"/>
    <w:rsid w:val="30705B08"/>
    <w:rsid w:val="30746DBB"/>
    <w:rsid w:val="30747D0C"/>
    <w:rsid w:val="307F7AFA"/>
    <w:rsid w:val="3098505F"/>
    <w:rsid w:val="309D61D2"/>
    <w:rsid w:val="30AA08EF"/>
    <w:rsid w:val="30AE03DF"/>
    <w:rsid w:val="30C2324E"/>
    <w:rsid w:val="30C776F3"/>
    <w:rsid w:val="30DB0CDC"/>
    <w:rsid w:val="30DE2DAE"/>
    <w:rsid w:val="30E85295"/>
    <w:rsid w:val="30ED53AB"/>
    <w:rsid w:val="30FC55EE"/>
    <w:rsid w:val="31140B8A"/>
    <w:rsid w:val="311C17EC"/>
    <w:rsid w:val="31233523"/>
    <w:rsid w:val="316B4522"/>
    <w:rsid w:val="316E7B6E"/>
    <w:rsid w:val="317A510B"/>
    <w:rsid w:val="31886E82"/>
    <w:rsid w:val="31903F88"/>
    <w:rsid w:val="3196159F"/>
    <w:rsid w:val="319F54BC"/>
    <w:rsid w:val="31A87524"/>
    <w:rsid w:val="31BB2DB3"/>
    <w:rsid w:val="31D200FD"/>
    <w:rsid w:val="31D9592F"/>
    <w:rsid w:val="31E83DC4"/>
    <w:rsid w:val="31E97269"/>
    <w:rsid w:val="31EA5447"/>
    <w:rsid w:val="31F664E1"/>
    <w:rsid w:val="31FB3AF8"/>
    <w:rsid w:val="32004C6A"/>
    <w:rsid w:val="321071C3"/>
    <w:rsid w:val="32193F7E"/>
    <w:rsid w:val="32195D2C"/>
    <w:rsid w:val="321D581C"/>
    <w:rsid w:val="32285F6F"/>
    <w:rsid w:val="322E7A29"/>
    <w:rsid w:val="322F4600"/>
    <w:rsid w:val="32317519"/>
    <w:rsid w:val="323B0398"/>
    <w:rsid w:val="32432DA9"/>
    <w:rsid w:val="32470AEB"/>
    <w:rsid w:val="326A6587"/>
    <w:rsid w:val="32756965"/>
    <w:rsid w:val="32756EB2"/>
    <w:rsid w:val="329D070B"/>
    <w:rsid w:val="32BF2D77"/>
    <w:rsid w:val="32C0264B"/>
    <w:rsid w:val="32C7239D"/>
    <w:rsid w:val="32D0288E"/>
    <w:rsid w:val="32D672EB"/>
    <w:rsid w:val="32D81743"/>
    <w:rsid w:val="32E14A9C"/>
    <w:rsid w:val="330469DC"/>
    <w:rsid w:val="3307027A"/>
    <w:rsid w:val="332350B4"/>
    <w:rsid w:val="33254BC2"/>
    <w:rsid w:val="33263723"/>
    <w:rsid w:val="33274478"/>
    <w:rsid w:val="332D7CE1"/>
    <w:rsid w:val="33386686"/>
    <w:rsid w:val="3344327C"/>
    <w:rsid w:val="334B460B"/>
    <w:rsid w:val="33595455"/>
    <w:rsid w:val="335C6818"/>
    <w:rsid w:val="338418CB"/>
    <w:rsid w:val="339248A7"/>
    <w:rsid w:val="33BE302F"/>
    <w:rsid w:val="33CA19D4"/>
    <w:rsid w:val="33D359F7"/>
    <w:rsid w:val="33DE547F"/>
    <w:rsid w:val="33E74334"/>
    <w:rsid w:val="33ED7470"/>
    <w:rsid w:val="33F24A4C"/>
    <w:rsid w:val="33FE342B"/>
    <w:rsid w:val="34060532"/>
    <w:rsid w:val="34264730"/>
    <w:rsid w:val="342E486E"/>
    <w:rsid w:val="343155AF"/>
    <w:rsid w:val="3442156A"/>
    <w:rsid w:val="34627E5E"/>
    <w:rsid w:val="346559BF"/>
    <w:rsid w:val="346A0AC1"/>
    <w:rsid w:val="34874156"/>
    <w:rsid w:val="34897199"/>
    <w:rsid w:val="3491604D"/>
    <w:rsid w:val="34A1724E"/>
    <w:rsid w:val="34A30B2A"/>
    <w:rsid w:val="34AE4E51"/>
    <w:rsid w:val="34B63D06"/>
    <w:rsid w:val="34BD6E42"/>
    <w:rsid w:val="34C91C8B"/>
    <w:rsid w:val="34CE49F7"/>
    <w:rsid w:val="34E22D4D"/>
    <w:rsid w:val="35032B89"/>
    <w:rsid w:val="35213875"/>
    <w:rsid w:val="35225F43"/>
    <w:rsid w:val="352B2F69"/>
    <w:rsid w:val="353F39F3"/>
    <w:rsid w:val="35415CC5"/>
    <w:rsid w:val="35470E02"/>
    <w:rsid w:val="35586B6B"/>
    <w:rsid w:val="35647C06"/>
    <w:rsid w:val="35675000"/>
    <w:rsid w:val="35860BAC"/>
    <w:rsid w:val="3586192A"/>
    <w:rsid w:val="35AD335B"/>
    <w:rsid w:val="35C30488"/>
    <w:rsid w:val="35E93C67"/>
    <w:rsid w:val="35F03248"/>
    <w:rsid w:val="35F42D38"/>
    <w:rsid w:val="360F7B72"/>
    <w:rsid w:val="361E1B63"/>
    <w:rsid w:val="362178A5"/>
    <w:rsid w:val="36226C5B"/>
    <w:rsid w:val="362551CB"/>
    <w:rsid w:val="362F5B1E"/>
    <w:rsid w:val="3647730B"/>
    <w:rsid w:val="36545584"/>
    <w:rsid w:val="3667175C"/>
    <w:rsid w:val="3684230E"/>
    <w:rsid w:val="36987B67"/>
    <w:rsid w:val="36AA789A"/>
    <w:rsid w:val="36B349A1"/>
    <w:rsid w:val="36B424C7"/>
    <w:rsid w:val="36BA5D2F"/>
    <w:rsid w:val="36BB5604"/>
    <w:rsid w:val="36C22E36"/>
    <w:rsid w:val="36C56482"/>
    <w:rsid w:val="36CF7301"/>
    <w:rsid w:val="36DD5492"/>
    <w:rsid w:val="36F04054"/>
    <w:rsid w:val="370074BA"/>
    <w:rsid w:val="371D62BE"/>
    <w:rsid w:val="372925A1"/>
    <w:rsid w:val="37353608"/>
    <w:rsid w:val="37392093"/>
    <w:rsid w:val="37605062"/>
    <w:rsid w:val="37677539"/>
    <w:rsid w:val="376D0FF4"/>
    <w:rsid w:val="37734130"/>
    <w:rsid w:val="377C4D93"/>
    <w:rsid w:val="378D53C9"/>
    <w:rsid w:val="37930470"/>
    <w:rsid w:val="379A790F"/>
    <w:rsid w:val="379B30ED"/>
    <w:rsid w:val="379F4F25"/>
    <w:rsid w:val="37A83DDA"/>
    <w:rsid w:val="37DB0E61"/>
    <w:rsid w:val="37DE5A4E"/>
    <w:rsid w:val="37E36BED"/>
    <w:rsid w:val="37E42938"/>
    <w:rsid w:val="37EB016A"/>
    <w:rsid w:val="3805665B"/>
    <w:rsid w:val="381274A5"/>
    <w:rsid w:val="38170F5F"/>
    <w:rsid w:val="382C4A0B"/>
    <w:rsid w:val="383733B0"/>
    <w:rsid w:val="385555E4"/>
    <w:rsid w:val="38591578"/>
    <w:rsid w:val="38593326"/>
    <w:rsid w:val="38685317"/>
    <w:rsid w:val="386A108F"/>
    <w:rsid w:val="38A26A7B"/>
    <w:rsid w:val="38CF35E8"/>
    <w:rsid w:val="38DE1A7D"/>
    <w:rsid w:val="38F53377"/>
    <w:rsid w:val="38FF3ECD"/>
    <w:rsid w:val="39082484"/>
    <w:rsid w:val="39102605"/>
    <w:rsid w:val="391B682D"/>
    <w:rsid w:val="392E6561"/>
    <w:rsid w:val="39301AF6"/>
    <w:rsid w:val="393873DF"/>
    <w:rsid w:val="393D0552"/>
    <w:rsid w:val="394E275F"/>
    <w:rsid w:val="394E6C03"/>
    <w:rsid w:val="395A7356"/>
    <w:rsid w:val="39697599"/>
    <w:rsid w:val="397877DC"/>
    <w:rsid w:val="39842625"/>
    <w:rsid w:val="398D7017"/>
    <w:rsid w:val="39987E7E"/>
    <w:rsid w:val="39A86313"/>
    <w:rsid w:val="39BE35F9"/>
    <w:rsid w:val="39CD5D7A"/>
    <w:rsid w:val="39E6508D"/>
    <w:rsid w:val="39E869BE"/>
    <w:rsid w:val="39F94DC1"/>
    <w:rsid w:val="3A281202"/>
    <w:rsid w:val="3A345DF9"/>
    <w:rsid w:val="3A425799"/>
    <w:rsid w:val="3A4678DA"/>
    <w:rsid w:val="3A540249"/>
    <w:rsid w:val="3A6007FA"/>
    <w:rsid w:val="3A6B7785"/>
    <w:rsid w:val="3A6F4B32"/>
    <w:rsid w:val="3A8A77C7"/>
    <w:rsid w:val="3A9643BE"/>
    <w:rsid w:val="3A974BB2"/>
    <w:rsid w:val="3A9B0070"/>
    <w:rsid w:val="3AA0348E"/>
    <w:rsid w:val="3AAD7959"/>
    <w:rsid w:val="3B194FEF"/>
    <w:rsid w:val="3B253993"/>
    <w:rsid w:val="3B2B40CB"/>
    <w:rsid w:val="3B345984"/>
    <w:rsid w:val="3B3D0CDD"/>
    <w:rsid w:val="3B4E4C98"/>
    <w:rsid w:val="3B577D04"/>
    <w:rsid w:val="3B781D15"/>
    <w:rsid w:val="3B7C29AD"/>
    <w:rsid w:val="3B7F4E52"/>
    <w:rsid w:val="3B80728A"/>
    <w:rsid w:val="3B824942"/>
    <w:rsid w:val="3B8B7C9A"/>
    <w:rsid w:val="3B9D352A"/>
    <w:rsid w:val="3BA24FE4"/>
    <w:rsid w:val="3BA42B0A"/>
    <w:rsid w:val="3BA725FA"/>
    <w:rsid w:val="3BAA5C47"/>
    <w:rsid w:val="3BC136BC"/>
    <w:rsid w:val="3BC1546A"/>
    <w:rsid w:val="3BCB0097"/>
    <w:rsid w:val="3BDF3B42"/>
    <w:rsid w:val="3BE850ED"/>
    <w:rsid w:val="3C041E34"/>
    <w:rsid w:val="3C3E056C"/>
    <w:rsid w:val="3C4D4F50"/>
    <w:rsid w:val="3C522566"/>
    <w:rsid w:val="3C724B98"/>
    <w:rsid w:val="3C9963E7"/>
    <w:rsid w:val="3C9E39FD"/>
    <w:rsid w:val="3CAF79B9"/>
    <w:rsid w:val="3CCD42E3"/>
    <w:rsid w:val="3CCF3BB7"/>
    <w:rsid w:val="3CDB171D"/>
    <w:rsid w:val="3CFB2BFE"/>
    <w:rsid w:val="3CFE624A"/>
    <w:rsid w:val="3D040D2E"/>
    <w:rsid w:val="3D09356D"/>
    <w:rsid w:val="3D167A38"/>
    <w:rsid w:val="3D1D2B74"/>
    <w:rsid w:val="3D2832C7"/>
    <w:rsid w:val="3D2C2DB7"/>
    <w:rsid w:val="3D485717"/>
    <w:rsid w:val="3D516CC2"/>
    <w:rsid w:val="3D566CE1"/>
    <w:rsid w:val="3D622C7D"/>
    <w:rsid w:val="3D672041"/>
    <w:rsid w:val="3D89020A"/>
    <w:rsid w:val="3D89645B"/>
    <w:rsid w:val="3D9B618F"/>
    <w:rsid w:val="3DB525A9"/>
    <w:rsid w:val="3DC56CDD"/>
    <w:rsid w:val="3DDA6CB7"/>
    <w:rsid w:val="3DE418E4"/>
    <w:rsid w:val="3DF838F9"/>
    <w:rsid w:val="3E104487"/>
    <w:rsid w:val="3E3208A1"/>
    <w:rsid w:val="3E42660A"/>
    <w:rsid w:val="3E4679E1"/>
    <w:rsid w:val="3E4B3711"/>
    <w:rsid w:val="3E524A9F"/>
    <w:rsid w:val="3E5F540E"/>
    <w:rsid w:val="3EA24EE2"/>
    <w:rsid w:val="3EB72B54"/>
    <w:rsid w:val="3EBC5573"/>
    <w:rsid w:val="3EC534C3"/>
    <w:rsid w:val="3EDA6843"/>
    <w:rsid w:val="3EDB4A95"/>
    <w:rsid w:val="3EE6343A"/>
    <w:rsid w:val="3EE75890"/>
    <w:rsid w:val="3EE83AF4"/>
    <w:rsid w:val="3EEF22EE"/>
    <w:rsid w:val="3F087854"/>
    <w:rsid w:val="3F0F2990"/>
    <w:rsid w:val="3F177A97"/>
    <w:rsid w:val="3F283A52"/>
    <w:rsid w:val="3F3B19D7"/>
    <w:rsid w:val="3F3E6DD2"/>
    <w:rsid w:val="3F422D66"/>
    <w:rsid w:val="3F473ED8"/>
    <w:rsid w:val="3F4940F4"/>
    <w:rsid w:val="3F6A5E19"/>
    <w:rsid w:val="3F724CCD"/>
    <w:rsid w:val="3F760C61"/>
    <w:rsid w:val="3F762A0F"/>
    <w:rsid w:val="3F8B1900"/>
    <w:rsid w:val="3F93536F"/>
    <w:rsid w:val="3F9904AC"/>
    <w:rsid w:val="3F9A4950"/>
    <w:rsid w:val="3FB13A48"/>
    <w:rsid w:val="3FB377C0"/>
    <w:rsid w:val="3FB93C81"/>
    <w:rsid w:val="3FBD063E"/>
    <w:rsid w:val="3FC1012F"/>
    <w:rsid w:val="3FD57736"/>
    <w:rsid w:val="3FE07E89"/>
    <w:rsid w:val="3FE931E1"/>
    <w:rsid w:val="3FEE07F8"/>
    <w:rsid w:val="40154528"/>
    <w:rsid w:val="401D1F44"/>
    <w:rsid w:val="401F09B1"/>
    <w:rsid w:val="4024421A"/>
    <w:rsid w:val="402E0678"/>
    <w:rsid w:val="4047615A"/>
    <w:rsid w:val="404E1296"/>
    <w:rsid w:val="4061546E"/>
    <w:rsid w:val="406960D0"/>
    <w:rsid w:val="407C0585"/>
    <w:rsid w:val="408353E4"/>
    <w:rsid w:val="408C4E44"/>
    <w:rsid w:val="409969B6"/>
    <w:rsid w:val="40BC26A4"/>
    <w:rsid w:val="40C15F0C"/>
    <w:rsid w:val="40C9397A"/>
    <w:rsid w:val="40CE4185"/>
    <w:rsid w:val="40DE6ABE"/>
    <w:rsid w:val="40FB141E"/>
    <w:rsid w:val="410D4CAE"/>
    <w:rsid w:val="410F0A26"/>
    <w:rsid w:val="41126768"/>
    <w:rsid w:val="41342EE8"/>
    <w:rsid w:val="413B7A6D"/>
    <w:rsid w:val="414D59F2"/>
    <w:rsid w:val="415648A7"/>
    <w:rsid w:val="41782A6F"/>
    <w:rsid w:val="4182744A"/>
    <w:rsid w:val="41931657"/>
    <w:rsid w:val="419E7FFC"/>
    <w:rsid w:val="41AD023F"/>
    <w:rsid w:val="41AF3FB7"/>
    <w:rsid w:val="41BC5D72"/>
    <w:rsid w:val="41D527FB"/>
    <w:rsid w:val="41D852BC"/>
    <w:rsid w:val="41F1637D"/>
    <w:rsid w:val="42085CF6"/>
    <w:rsid w:val="420A743F"/>
    <w:rsid w:val="421107CE"/>
    <w:rsid w:val="42114C71"/>
    <w:rsid w:val="42154762"/>
    <w:rsid w:val="42204EB5"/>
    <w:rsid w:val="422D13FF"/>
    <w:rsid w:val="42312C1E"/>
    <w:rsid w:val="423F358D"/>
    <w:rsid w:val="425A3F23"/>
    <w:rsid w:val="425B7C9B"/>
    <w:rsid w:val="42707BEA"/>
    <w:rsid w:val="42731488"/>
    <w:rsid w:val="42843695"/>
    <w:rsid w:val="428D1681"/>
    <w:rsid w:val="42A33B1C"/>
    <w:rsid w:val="42A47894"/>
    <w:rsid w:val="42B871F4"/>
    <w:rsid w:val="42CD6DEA"/>
    <w:rsid w:val="42CF2B62"/>
    <w:rsid w:val="42D456EC"/>
    <w:rsid w:val="42E62D18"/>
    <w:rsid w:val="42EA799C"/>
    <w:rsid w:val="43147164"/>
    <w:rsid w:val="431542ED"/>
    <w:rsid w:val="431A7B56"/>
    <w:rsid w:val="43282273"/>
    <w:rsid w:val="432A3E57"/>
    <w:rsid w:val="43303DB2"/>
    <w:rsid w:val="43315D2E"/>
    <w:rsid w:val="4355293C"/>
    <w:rsid w:val="436112E1"/>
    <w:rsid w:val="43655275"/>
    <w:rsid w:val="43761230"/>
    <w:rsid w:val="437B05F4"/>
    <w:rsid w:val="43811983"/>
    <w:rsid w:val="43866643"/>
    <w:rsid w:val="4387343D"/>
    <w:rsid w:val="4392593E"/>
    <w:rsid w:val="43B92ECB"/>
    <w:rsid w:val="43BE4985"/>
    <w:rsid w:val="43CF26EE"/>
    <w:rsid w:val="43D63A7D"/>
    <w:rsid w:val="43DB72E5"/>
    <w:rsid w:val="43E443EC"/>
    <w:rsid w:val="43FC2ACB"/>
    <w:rsid w:val="4407632C"/>
    <w:rsid w:val="442347E8"/>
    <w:rsid w:val="44291151"/>
    <w:rsid w:val="443469F5"/>
    <w:rsid w:val="444E7AB7"/>
    <w:rsid w:val="445175A7"/>
    <w:rsid w:val="445350CD"/>
    <w:rsid w:val="44654E01"/>
    <w:rsid w:val="4469669F"/>
    <w:rsid w:val="44780FD8"/>
    <w:rsid w:val="449000D0"/>
    <w:rsid w:val="44AA0685"/>
    <w:rsid w:val="44BA6EFA"/>
    <w:rsid w:val="44BE2E8F"/>
    <w:rsid w:val="44CB0AB7"/>
    <w:rsid w:val="44D14A1F"/>
    <w:rsid w:val="44D73F50"/>
    <w:rsid w:val="450042EF"/>
    <w:rsid w:val="4503099B"/>
    <w:rsid w:val="450326CB"/>
    <w:rsid w:val="4519611C"/>
    <w:rsid w:val="452B604A"/>
    <w:rsid w:val="453D7EFA"/>
    <w:rsid w:val="454315E6"/>
    <w:rsid w:val="45442C68"/>
    <w:rsid w:val="4553085F"/>
    <w:rsid w:val="456A3C1B"/>
    <w:rsid w:val="456B6447"/>
    <w:rsid w:val="458A049C"/>
    <w:rsid w:val="458B6AE9"/>
    <w:rsid w:val="459534C4"/>
    <w:rsid w:val="459F181B"/>
    <w:rsid w:val="45A1630C"/>
    <w:rsid w:val="45A656D1"/>
    <w:rsid w:val="45A831F7"/>
    <w:rsid w:val="45B002FD"/>
    <w:rsid w:val="45B24076"/>
    <w:rsid w:val="45B61DB8"/>
    <w:rsid w:val="45C269AF"/>
    <w:rsid w:val="45C53DA9"/>
    <w:rsid w:val="45CA5863"/>
    <w:rsid w:val="45CD0EAF"/>
    <w:rsid w:val="45CD7101"/>
    <w:rsid w:val="45D24718"/>
    <w:rsid w:val="45DB181E"/>
    <w:rsid w:val="45EF52CA"/>
    <w:rsid w:val="45FC511D"/>
    <w:rsid w:val="460F771A"/>
    <w:rsid w:val="462976F5"/>
    <w:rsid w:val="46445615"/>
    <w:rsid w:val="46480423"/>
    <w:rsid w:val="464E3868"/>
    <w:rsid w:val="46555DEA"/>
    <w:rsid w:val="46560EA5"/>
    <w:rsid w:val="46780E1B"/>
    <w:rsid w:val="467C3575"/>
    <w:rsid w:val="467F21AA"/>
    <w:rsid w:val="468A7A94"/>
    <w:rsid w:val="46933EA7"/>
    <w:rsid w:val="46A20FAA"/>
    <w:rsid w:val="46C44BD5"/>
    <w:rsid w:val="46CE4EDF"/>
    <w:rsid w:val="46DD5122"/>
    <w:rsid w:val="46E2098A"/>
    <w:rsid w:val="46E97F6B"/>
    <w:rsid w:val="46EE37D3"/>
    <w:rsid w:val="46FA2178"/>
    <w:rsid w:val="46FD0ED7"/>
    <w:rsid w:val="46FE177C"/>
    <w:rsid w:val="47040901"/>
    <w:rsid w:val="470E352E"/>
    <w:rsid w:val="471A6403"/>
    <w:rsid w:val="47637D1D"/>
    <w:rsid w:val="47680E90"/>
    <w:rsid w:val="47811F51"/>
    <w:rsid w:val="47877375"/>
    <w:rsid w:val="47887784"/>
    <w:rsid w:val="47906638"/>
    <w:rsid w:val="479C322F"/>
    <w:rsid w:val="47C54534"/>
    <w:rsid w:val="47D44A52"/>
    <w:rsid w:val="47DB78B4"/>
    <w:rsid w:val="480C0945"/>
    <w:rsid w:val="481334F1"/>
    <w:rsid w:val="482025B3"/>
    <w:rsid w:val="482079BC"/>
    <w:rsid w:val="48282BC5"/>
    <w:rsid w:val="48315726"/>
    <w:rsid w:val="48335942"/>
    <w:rsid w:val="4839282C"/>
    <w:rsid w:val="483D40CA"/>
    <w:rsid w:val="4851401A"/>
    <w:rsid w:val="4856518C"/>
    <w:rsid w:val="48840A79"/>
    <w:rsid w:val="4893018E"/>
    <w:rsid w:val="48A46B72"/>
    <w:rsid w:val="48AE6D76"/>
    <w:rsid w:val="48BC5937"/>
    <w:rsid w:val="48C06AA9"/>
    <w:rsid w:val="48D34A2F"/>
    <w:rsid w:val="48EB7FCA"/>
    <w:rsid w:val="48F13107"/>
    <w:rsid w:val="48FF3A76"/>
    <w:rsid w:val="4907292A"/>
    <w:rsid w:val="490A3005"/>
    <w:rsid w:val="491017DF"/>
    <w:rsid w:val="49105C83"/>
    <w:rsid w:val="491C63D6"/>
    <w:rsid w:val="493A042C"/>
    <w:rsid w:val="495913D8"/>
    <w:rsid w:val="496064DB"/>
    <w:rsid w:val="498A6FE1"/>
    <w:rsid w:val="498A77E3"/>
    <w:rsid w:val="499C3073"/>
    <w:rsid w:val="49A5461D"/>
    <w:rsid w:val="49A62736"/>
    <w:rsid w:val="49C600F0"/>
    <w:rsid w:val="49DC6F45"/>
    <w:rsid w:val="49FA5FEB"/>
    <w:rsid w:val="49FE1F7F"/>
    <w:rsid w:val="4A05330E"/>
    <w:rsid w:val="4A286FFC"/>
    <w:rsid w:val="4A396B13"/>
    <w:rsid w:val="4A45195C"/>
    <w:rsid w:val="4A5D6CA6"/>
    <w:rsid w:val="4A6C1C2A"/>
    <w:rsid w:val="4A8C758B"/>
    <w:rsid w:val="4A9E2E1A"/>
    <w:rsid w:val="4AB443EC"/>
    <w:rsid w:val="4AC565F9"/>
    <w:rsid w:val="4AD4683C"/>
    <w:rsid w:val="4ADE466E"/>
    <w:rsid w:val="4AE7656F"/>
    <w:rsid w:val="4AEC627C"/>
    <w:rsid w:val="4AEF3676"/>
    <w:rsid w:val="4B1355B6"/>
    <w:rsid w:val="4B2F4D45"/>
    <w:rsid w:val="4B4C2876"/>
    <w:rsid w:val="4B7A3887"/>
    <w:rsid w:val="4B840262"/>
    <w:rsid w:val="4B897627"/>
    <w:rsid w:val="4B991F60"/>
    <w:rsid w:val="4BB73BE9"/>
    <w:rsid w:val="4BBC17AA"/>
    <w:rsid w:val="4BC0523C"/>
    <w:rsid w:val="4BC36FDC"/>
    <w:rsid w:val="4BCB5E91"/>
    <w:rsid w:val="4BD25472"/>
    <w:rsid w:val="4BD56D10"/>
    <w:rsid w:val="4BEB2031"/>
    <w:rsid w:val="4C0D2006"/>
    <w:rsid w:val="4C312198"/>
    <w:rsid w:val="4C395F9D"/>
    <w:rsid w:val="4C4F6AC2"/>
    <w:rsid w:val="4C5E6D05"/>
    <w:rsid w:val="4C8449BE"/>
    <w:rsid w:val="4C8F3363"/>
    <w:rsid w:val="4C942727"/>
    <w:rsid w:val="4CA74208"/>
    <w:rsid w:val="4CB132D9"/>
    <w:rsid w:val="4CB61D2B"/>
    <w:rsid w:val="4CC052CA"/>
    <w:rsid w:val="4CCE3E8B"/>
    <w:rsid w:val="4D0B0C3B"/>
    <w:rsid w:val="4D243AAB"/>
    <w:rsid w:val="4D267823"/>
    <w:rsid w:val="4D340FC2"/>
    <w:rsid w:val="4D3C7046"/>
    <w:rsid w:val="4D4001B9"/>
    <w:rsid w:val="4D44414D"/>
    <w:rsid w:val="4D4E28D6"/>
    <w:rsid w:val="4D4E6D7A"/>
    <w:rsid w:val="4D5F0F87"/>
    <w:rsid w:val="4D752558"/>
    <w:rsid w:val="4D8409ED"/>
    <w:rsid w:val="4D9A5B1B"/>
    <w:rsid w:val="4D9E1AAF"/>
    <w:rsid w:val="4DBC1F35"/>
    <w:rsid w:val="4DC4703C"/>
    <w:rsid w:val="4DF72F6D"/>
    <w:rsid w:val="4DF94F37"/>
    <w:rsid w:val="4E1F24C4"/>
    <w:rsid w:val="4E265601"/>
    <w:rsid w:val="4E3E6DEE"/>
    <w:rsid w:val="4E473EF5"/>
    <w:rsid w:val="4E52289A"/>
    <w:rsid w:val="4E5F0909"/>
    <w:rsid w:val="4E6200BB"/>
    <w:rsid w:val="4E676345"/>
    <w:rsid w:val="4E6C448B"/>
    <w:rsid w:val="4E704ACE"/>
    <w:rsid w:val="4E740A62"/>
    <w:rsid w:val="4E870795"/>
    <w:rsid w:val="4E9E5ADF"/>
    <w:rsid w:val="4EA03605"/>
    <w:rsid w:val="4EA13D82"/>
    <w:rsid w:val="4EA34EA3"/>
    <w:rsid w:val="4EA8070C"/>
    <w:rsid w:val="4EE5726A"/>
    <w:rsid w:val="4EF120B3"/>
    <w:rsid w:val="4F05790C"/>
    <w:rsid w:val="4F091ADF"/>
    <w:rsid w:val="4F0A6CD0"/>
    <w:rsid w:val="4F0C0C9A"/>
    <w:rsid w:val="4F125FC0"/>
    <w:rsid w:val="4F18319B"/>
    <w:rsid w:val="4F1B2C8C"/>
    <w:rsid w:val="4F3D63EB"/>
    <w:rsid w:val="4F4A3571"/>
    <w:rsid w:val="4F5D5052"/>
    <w:rsid w:val="4F6A776F"/>
    <w:rsid w:val="4F7D56F4"/>
    <w:rsid w:val="4F7F76BE"/>
    <w:rsid w:val="4FB629B4"/>
    <w:rsid w:val="4FB95338"/>
    <w:rsid w:val="4FD23C92"/>
    <w:rsid w:val="4FD35314"/>
    <w:rsid w:val="4FDC066D"/>
    <w:rsid w:val="4FED4628"/>
    <w:rsid w:val="4FF06115"/>
    <w:rsid w:val="4FFF435B"/>
    <w:rsid w:val="4FFF663D"/>
    <w:rsid w:val="50102193"/>
    <w:rsid w:val="5019541D"/>
    <w:rsid w:val="50203001"/>
    <w:rsid w:val="50210776"/>
    <w:rsid w:val="502B33A2"/>
    <w:rsid w:val="50362B19"/>
    <w:rsid w:val="503B76B8"/>
    <w:rsid w:val="50447FC0"/>
    <w:rsid w:val="50546455"/>
    <w:rsid w:val="5060129E"/>
    <w:rsid w:val="50630D8E"/>
    <w:rsid w:val="506F0447"/>
    <w:rsid w:val="50707007"/>
    <w:rsid w:val="50770396"/>
    <w:rsid w:val="509B4084"/>
    <w:rsid w:val="50A15412"/>
    <w:rsid w:val="50A373DC"/>
    <w:rsid w:val="50B96C00"/>
    <w:rsid w:val="50BB2978"/>
    <w:rsid w:val="50D15CF8"/>
    <w:rsid w:val="50DD69A0"/>
    <w:rsid w:val="50E84DEF"/>
    <w:rsid w:val="510C6D30"/>
    <w:rsid w:val="510E210B"/>
    <w:rsid w:val="5118442F"/>
    <w:rsid w:val="5119769F"/>
    <w:rsid w:val="512027DB"/>
    <w:rsid w:val="5124300B"/>
    <w:rsid w:val="513149E8"/>
    <w:rsid w:val="51340172"/>
    <w:rsid w:val="513F5357"/>
    <w:rsid w:val="5144471C"/>
    <w:rsid w:val="51450494"/>
    <w:rsid w:val="516C3C72"/>
    <w:rsid w:val="5181771E"/>
    <w:rsid w:val="51870AAC"/>
    <w:rsid w:val="518B234A"/>
    <w:rsid w:val="518E1E3B"/>
    <w:rsid w:val="51992F95"/>
    <w:rsid w:val="51A568E3"/>
    <w:rsid w:val="51BF0246"/>
    <w:rsid w:val="51BF2715"/>
    <w:rsid w:val="51C969CF"/>
    <w:rsid w:val="51DB6702"/>
    <w:rsid w:val="51E27A91"/>
    <w:rsid w:val="51F7178E"/>
    <w:rsid w:val="51FF19B8"/>
    <w:rsid w:val="520B5239"/>
    <w:rsid w:val="521B057E"/>
    <w:rsid w:val="521C56DD"/>
    <w:rsid w:val="52354064"/>
    <w:rsid w:val="523F502A"/>
    <w:rsid w:val="525070F0"/>
    <w:rsid w:val="5257047F"/>
    <w:rsid w:val="529B480F"/>
    <w:rsid w:val="52A511EA"/>
    <w:rsid w:val="52A762F3"/>
    <w:rsid w:val="52B07B8F"/>
    <w:rsid w:val="52E31D12"/>
    <w:rsid w:val="52E33AC0"/>
    <w:rsid w:val="52E8557B"/>
    <w:rsid w:val="52EE5798"/>
    <w:rsid w:val="531243A6"/>
    <w:rsid w:val="531E0F9C"/>
    <w:rsid w:val="53283BC9"/>
    <w:rsid w:val="532D2D4F"/>
    <w:rsid w:val="532E5683"/>
    <w:rsid w:val="533B56AA"/>
    <w:rsid w:val="53566DAB"/>
    <w:rsid w:val="53590143"/>
    <w:rsid w:val="53682217"/>
    <w:rsid w:val="5382152B"/>
    <w:rsid w:val="538434F5"/>
    <w:rsid w:val="539574B0"/>
    <w:rsid w:val="53957F4A"/>
    <w:rsid w:val="53A50C88"/>
    <w:rsid w:val="53AE5BD2"/>
    <w:rsid w:val="53B536AF"/>
    <w:rsid w:val="53C03E02"/>
    <w:rsid w:val="53CE651E"/>
    <w:rsid w:val="53D8739D"/>
    <w:rsid w:val="53DB0C3B"/>
    <w:rsid w:val="53DB3E77"/>
    <w:rsid w:val="53E73A84"/>
    <w:rsid w:val="53EC1356"/>
    <w:rsid w:val="53EE4E13"/>
    <w:rsid w:val="53FC12DE"/>
    <w:rsid w:val="54260108"/>
    <w:rsid w:val="54352A41"/>
    <w:rsid w:val="545804DE"/>
    <w:rsid w:val="546E7D01"/>
    <w:rsid w:val="54774E08"/>
    <w:rsid w:val="547A7B95"/>
    <w:rsid w:val="54880DC3"/>
    <w:rsid w:val="548F2152"/>
    <w:rsid w:val="54A644CB"/>
    <w:rsid w:val="54AD4386"/>
    <w:rsid w:val="54BF230B"/>
    <w:rsid w:val="54C53DC5"/>
    <w:rsid w:val="54C87412"/>
    <w:rsid w:val="54CA2016"/>
    <w:rsid w:val="54D23DEC"/>
    <w:rsid w:val="54F226E1"/>
    <w:rsid w:val="54F65465"/>
    <w:rsid w:val="551B39E5"/>
    <w:rsid w:val="551E7032"/>
    <w:rsid w:val="55425416"/>
    <w:rsid w:val="555D3FFE"/>
    <w:rsid w:val="556A671B"/>
    <w:rsid w:val="5578388A"/>
    <w:rsid w:val="5583049E"/>
    <w:rsid w:val="55945546"/>
    <w:rsid w:val="55967510"/>
    <w:rsid w:val="559B4B26"/>
    <w:rsid w:val="55A35789"/>
    <w:rsid w:val="55B41744"/>
    <w:rsid w:val="55C67DF5"/>
    <w:rsid w:val="55CA71B9"/>
    <w:rsid w:val="55DB4F23"/>
    <w:rsid w:val="55E262B1"/>
    <w:rsid w:val="55E942F8"/>
    <w:rsid w:val="56032386"/>
    <w:rsid w:val="561225E1"/>
    <w:rsid w:val="56220DA3"/>
    <w:rsid w:val="564B02FA"/>
    <w:rsid w:val="56526537"/>
    <w:rsid w:val="56690780"/>
    <w:rsid w:val="56705FB3"/>
    <w:rsid w:val="56777B4C"/>
    <w:rsid w:val="56820D5B"/>
    <w:rsid w:val="56976B29"/>
    <w:rsid w:val="56982E14"/>
    <w:rsid w:val="56B22127"/>
    <w:rsid w:val="56B45E9F"/>
    <w:rsid w:val="56B538DA"/>
    <w:rsid w:val="56B539C6"/>
    <w:rsid w:val="56C11A4D"/>
    <w:rsid w:val="56D53F48"/>
    <w:rsid w:val="56FE711B"/>
    <w:rsid w:val="57096D7C"/>
    <w:rsid w:val="571D1000"/>
    <w:rsid w:val="572F19CA"/>
    <w:rsid w:val="5737087F"/>
    <w:rsid w:val="573C0036"/>
    <w:rsid w:val="573E7E5F"/>
    <w:rsid w:val="57475C4D"/>
    <w:rsid w:val="57511940"/>
    <w:rsid w:val="57607DD5"/>
    <w:rsid w:val="576C0528"/>
    <w:rsid w:val="577A5FB8"/>
    <w:rsid w:val="57914433"/>
    <w:rsid w:val="57924E52"/>
    <w:rsid w:val="57A04676"/>
    <w:rsid w:val="57B10631"/>
    <w:rsid w:val="57B63E99"/>
    <w:rsid w:val="57B849D9"/>
    <w:rsid w:val="57C33EC0"/>
    <w:rsid w:val="57CE2BAB"/>
    <w:rsid w:val="57D52571"/>
    <w:rsid w:val="57E97DCB"/>
    <w:rsid w:val="57FA1FD8"/>
    <w:rsid w:val="580249E9"/>
    <w:rsid w:val="58204B8A"/>
    <w:rsid w:val="582726A1"/>
    <w:rsid w:val="583D0117"/>
    <w:rsid w:val="58405511"/>
    <w:rsid w:val="5847689F"/>
    <w:rsid w:val="58607961"/>
    <w:rsid w:val="587358E6"/>
    <w:rsid w:val="58871392"/>
    <w:rsid w:val="58AA1BD1"/>
    <w:rsid w:val="58C12AF6"/>
    <w:rsid w:val="58CD4FF7"/>
    <w:rsid w:val="58D345D7"/>
    <w:rsid w:val="58E40592"/>
    <w:rsid w:val="58F11DF9"/>
    <w:rsid w:val="58F20F01"/>
    <w:rsid w:val="58FC58DC"/>
    <w:rsid w:val="59062C04"/>
    <w:rsid w:val="59262959"/>
    <w:rsid w:val="59284923"/>
    <w:rsid w:val="592B1FEE"/>
    <w:rsid w:val="593F3A1A"/>
    <w:rsid w:val="595A562B"/>
    <w:rsid w:val="596C5D9D"/>
    <w:rsid w:val="5970600A"/>
    <w:rsid w:val="597559EA"/>
    <w:rsid w:val="597A4A53"/>
    <w:rsid w:val="59822285"/>
    <w:rsid w:val="59837DAB"/>
    <w:rsid w:val="59841C6B"/>
    <w:rsid w:val="5987789B"/>
    <w:rsid w:val="598F04FE"/>
    <w:rsid w:val="59975605"/>
    <w:rsid w:val="59A0095D"/>
    <w:rsid w:val="59A044B9"/>
    <w:rsid w:val="59A246D5"/>
    <w:rsid w:val="59B77A55"/>
    <w:rsid w:val="59C52172"/>
    <w:rsid w:val="59D44D51"/>
    <w:rsid w:val="59D6649D"/>
    <w:rsid w:val="59DC7324"/>
    <w:rsid w:val="59DD395F"/>
    <w:rsid w:val="59EA607C"/>
    <w:rsid w:val="59EC76FE"/>
    <w:rsid w:val="5A0013FC"/>
    <w:rsid w:val="5A470DD9"/>
    <w:rsid w:val="5A47527D"/>
    <w:rsid w:val="5A505060"/>
    <w:rsid w:val="5A5B2AD6"/>
    <w:rsid w:val="5A5D684E"/>
    <w:rsid w:val="5A7122F9"/>
    <w:rsid w:val="5A783688"/>
    <w:rsid w:val="5A7B0A82"/>
    <w:rsid w:val="5A9D30EE"/>
    <w:rsid w:val="5AB671AC"/>
    <w:rsid w:val="5AD11250"/>
    <w:rsid w:val="5AD22D98"/>
    <w:rsid w:val="5ADB28F7"/>
    <w:rsid w:val="5AE14C16"/>
    <w:rsid w:val="5AE66844"/>
    <w:rsid w:val="5AE96334"/>
    <w:rsid w:val="5AEB5C08"/>
    <w:rsid w:val="5B1433B1"/>
    <w:rsid w:val="5B265E74"/>
    <w:rsid w:val="5B3127EE"/>
    <w:rsid w:val="5B3A6B8F"/>
    <w:rsid w:val="5B465078"/>
    <w:rsid w:val="5B465BE4"/>
    <w:rsid w:val="5B503CBD"/>
    <w:rsid w:val="5B554F2C"/>
    <w:rsid w:val="5B617DE3"/>
    <w:rsid w:val="5B726329"/>
    <w:rsid w:val="5B9C5154"/>
    <w:rsid w:val="5BA364E3"/>
    <w:rsid w:val="5BB0157C"/>
    <w:rsid w:val="5BC07095"/>
    <w:rsid w:val="5BD057D9"/>
    <w:rsid w:val="5BD448EE"/>
    <w:rsid w:val="5C186E6A"/>
    <w:rsid w:val="5C1967A5"/>
    <w:rsid w:val="5C2F02DA"/>
    <w:rsid w:val="5C2F421A"/>
    <w:rsid w:val="5C381321"/>
    <w:rsid w:val="5C3D2493"/>
    <w:rsid w:val="5C49708A"/>
    <w:rsid w:val="5C4C0928"/>
    <w:rsid w:val="5C5F065B"/>
    <w:rsid w:val="5C61026A"/>
    <w:rsid w:val="5C9B365E"/>
    <w:rsid w:val="5CAC7619"/>
    <w:rsid w:val="5CB44D92"/>
    <w:rsid w:val="5CDF64A0"/>
    <w:rsid w:val="5CE24DE9"/>
    <w:rsid w:val="5CE70651"/>
    <w:rsid w:val="5CF05758"/>
    <w:rsid w:val="5CFF3BED"/>
    <w:rsid w:val="5D00572E"/>
    <w:rsid w:val="5D052C98"/>
    <w:rsid w:val="5D17785F"/>
    <w:rsid w:val="5D215290"/>
    <w:rsid w:val="5D2B2C34"/>
    <w:rsid w:val="5D5977A1"/>
    <w:rsid w:val="5D634882"/>
    <w:rsid w:val="5D6B74D4"/>
    <w:rsid w:val="5DAA0E5A"/>
    <w:rsid w:val="5DD230AF"/>
    <w:rsid w:val="5DD35362"/>
    <w:rsid w:val="5DEC4171"/>
    <w:rsid w:val="5E007081"/>
    <w:rsid w:val="5E015742"/>
    <w:rsid w:val="5E134BF5"/>
    <w:rsid w:val="5E14191A"/>
    <w:rsid w:val="5E1611EE"/>
    <w:rsid w:val="5E162F9C"/>
    <w:rsid w:val="5E231B5D"/>
    <w:rsid w:val="5E2733FB"/>
    <w:rsid w:val="5E443FAD"/>
    <w:rsid w:val="5E4C4C10"/>
    <w:rsid w:val="5E734892"/>
    <w:rsid w:val="5E783C56"/>
    <w:rsid w:val="5E9F5687"/>
    <w:rsid w:val="5EAC1B52"/>
    <w:rsid w:val="5EC23124"/>
    <w:rsid w:val="5EC7073A"/>
    <w:rsid w:val="5ECC3FA2"/>
    <w:rsid w:val="5EDE0D55"/>
    <w:rsid w:val="5EE70DDC"/>
    <w:rsid w:val="5EEC63F2"/>
    <w:rsid w:val="5EF37781"/>
    <w:rsid w:val="5F047C1E"/>
    <w:rsid w:val="5F0B6879"/>
    <w:rsid w:val="5F117C07"/>
    <w:rsid w:val="5F1D2186"/>
    <w:rsid w:val="5F2142EE"/>
    <w:rsid w:val="5F2554D0"/>
    <w:rsid w:val="5F2E6A0B"/>
    <w:rsid w:val="5F447FDD"/>
    <w:rsid w:val="5F464536"/>
    <w:rsid w:val="5F4E2C09"/>
    <w:rsid w:val="5F577D10"/>
    <w:rsid w:val="5F585836"/>
    <w:rsid w:val="5F667F53"/>
    <w:rsid w:val="5F97010C"/>
    <w:rsid w:val="5FB76A00"/>
    <w:rsid w:val="5FBF7663"/>
    <w:rsid w:val="5FC5301A"/>
    <w:rsid w:val="5FD0361E"/>
    <w:rsid w:val="5FDC0215"/>
    <w:rsid w:val="5FEB758C"/>
    <w:rsid w:val="5FEF619A"/>
    <w:rsid w:val="5FF23595"/>
    <w:rsid w:val="5FF92B75"/>
    <w:rsid w:val="600C468D"/>
    <w:rsid w:val="600D4872"/>
    <w:rsid w:val="601A2002"/>
    <w:rsid w:val="602D6CC3"/>
    <w:rsid w:val="603718EF"/>
    <w:rsid w:val="60395667"/>
    <w:rsid w:val="60430294"/>
    <w:rsid w:val="60432042"/>
    <w:rsid w:val="6071095D"/>
    <w:rsid w:val="608763D3"/>
    <w:rsid w:val="608F5287"/>
    <w:rsid w:val="609F196E"/>
    <w:rsid w:val="60CE4002"/>
    <w:rsid w:val="60E94998"/>
    <w:rsid w:val="60EF5D26"/>
    <w:rsid w:val="60FB0B6F"/>
    <w:rsid w:val="610C7099"/>
    <w:rsid w:val="61151C31"/>
    <w:rsid w:val="61241E74"/>
    <w:rsid w:val="61477910"/>
    <w:rsid w:val="614918DA"/>
    <w:rsid w:val="614D13CA"/>
    <w:rsid w:val="615D5386"/>
    <w:rsid w:val="61686204"/>
    <w:rsid w:val="61776447"/>
    <w:rsid w:val="61826B9A"/>
    <w:rsid w:val="6183104F"/>
    <w:rsid w:val="61A15272"/>
    <w:rsid w:val="61AE798F"/>
    <w:rsid w:val="61C86CA3"/>
    <w:rsid w:val="61E82EA1"/>
    <w:rsid w:val="61F07FA8"/>
    <w:rsid w:val="622925E6"/>
    <w:rsid w:val="62525166"/>
    <w:rsid w:val="626764BC"/>
    <w:rsid w:val="62763744"/>
    <w:rsid w:val="627C183B"/>
    <w:rsid w:val="627D7A8D"/>
    <w:rsid w:val="6286415F"/>
    <w:rsid w:val="629A2C3C"/>
    <w:rsid w:val="629E7A04"/>
    <w:rsid w:val="62B15989"/>
    <w:rsid w:val="62BF53CE"/>
    <w:rsid w:val="62CA25A7"/>
    <w:rsid w:val="62D41677"/>
    <w:rsid w:val="62DA4FF2"/>
    <w:rsid w:val="62DD17EC"/>
    <w:rsid w:val="62E53885"/>
    <w:rsid w:val="62E60580"/>
    <w:rsid w:val="62E803A6"/>
    <w:rsid w:val="631D6B7A"/>
    <w:rsid w:val="632E6FDA"/>
    <w:rsid w:val="63310F09"/>
    <w:rsid w:val="634265E1"/>
    <w:rsid w:val="63497970"/>
    <w:rsid w:val="63676048"/>
    <w:rsid w:val="63870498"/>
    <w:rsid w:val="638E5CCA"/>
    <w:rsid w:val="63984453"/>
    <w:rsid w:val="63B75221"/>
    <w:rsid w:val="63B84F56"/>
    <w:rsid w:val="63C35974"/>
    <w:rsid w:val="63C60FF3"/>
    <w:rsid w:val="63D25BB7"/>
    <w:rsid w:val="63D67CA6"/>
    <w:rsid w:val="63EE1F6D"/>
    <w:rsid w:val="63F0603D"/>
    <w:rsid w:val="64047D3A"/>
    <w:rsid w:val="64063AB3"/>
    <w:rsid w:val="641B57B0"/>
    <w:rsid w:val="641E2BAA"/>
    <w:rsid w:val="64202DC6"/>
    <w:rsid w:val="642D54E3"/>
    <w:rsid w:val="64354398"/>
    <w:rsid w:val="644545DB"/>
    <w:rsid w:val="64485E79"/>
    <w:rsid w:val="644C3BBB"/>
    <w:rsid w:val="644F7208"/>
    <w:rsid w:val="645962D8"/>
    <w:rsid w:val="64610CE9"/>
    <w:rsid w:val="647C1FC7"/>
    <w:rsid w:val="648F5856"/>
    <w:rsid w:val="649410BE"/>
    <w:rsid w:val="64966BE4"/>
    <w:rsid w:val="64AF7CA6"/>
    <w:rsid w:val="64B21544"/>
    <w:rsid w:val="64C9520C"/>
    <w:rsid w:val="64D06373"/>
    <w:rsid w:val="64E85052"/>
    <w:rsid w:val="65064733"/>
    <w:rsid w:val="65167D25"/>
    <w:rsid w:val="65270184"/>
    <w:rsid w:val="65363F24"/>
    <w:rsid w:val="65393A14"/>
    <w:rsid w:val="65493C57"/>
    <w:rsid w:val="654E5711"/>
    <w:rsid w:val="654E57BD"/>
    <w:rsid w:val="65530F79"/>
    <w:rsid w:val="655F791E"/>
    <w:rsid w:val="657C5702"/>
    <w:rsid w:val="658C6239"/>
    <w:rsid w:val="659F5F6D"/>
    <w:rsid w:val="65B06E71"/>
    <w:rsid w:val="65B35574"/>
    <w:rsid w:val="65C634F9"/>
    <w:rsid w:val="65D06126"/>
    <w:rsid w:val="66014531"/>
    <w:rsid w:val="66065FEC"/>
    <w:rsid w:val="66195D1F"/>
    <w:rsid w:val="663A3EE7"/>
    <w:rsid w:val="663E10C6"/>
    <w:rsid w:val="664A237C"/>
    <w:rsid w:val="664D59C9"/>
    <w:rsid w:val="665A1E94"/>
    <w:rsid w:val="66815672"/>
    <w:rsid w:val="668F5FE1"/>
    <w:rsid w:val="669040AA"/>
    <w:rsid w:val="66A02C7C"/>
    <w:rsid w:val="66A6332B"/>
    <w:rsid w:val="66AC6B93"/>
    <w:rsid w:val="66C4402F"/>
    <w:rsid w:val="66C7577B"/>
    <w:rsid w:val="66E005EB"/>
    <w:rsid w:val="66E57B9C"/>
    <w:rsid w:val="66F71519"/>
    <w:rsid w:val="673E3563"/>
    <w:rsid w:val="67564D51"/>
    <w:rsid w:val="675E7762"/>
    <w:rsid w:val="6764121C"/>
    <w:rsid w:val="676C6322"/>
    <w:rsid w:val="6779459B"/>
    <w:rsid w:val="67891E2A"/>
    <w:rsid w:val="678F3DBF"/>
    <w:rsid w:val="67917B37"/>
    <w:rsid w:val="679F4002"/>
    <w:rsid w:val="67A07D7A"/>
    <w:rsid w:val="67A467AB"/>
    <w:rsid w:val="67B51A77"/>
    <w:rsid w:val="67C73559"/>
    <w:rsid w:val="67DB2C51"/>
    <w:rsid w:val="67FB3202"/>
    <w:rsid w:val="68000819"/>
    <w:rsid w:val="68012F0F"/>
    <w:rsid w:val="68117157"/>
    <w:rsid w:val="681744E0"/>
    <w:rsid w:val="681A5D7E"/>
    <w:rsid w:val="681B5FB7"/>
    <w:rsid w:val="6837248C"/>
    <w:rsid w:val="684D1945"/>
    <w:rsid w:val="68562B5B"/>
    <w:rsid w:val="686B311E"/>
    <w:rsid w:val="68792AA5"/>
    <w:rsid w:val="688A2F04"/>
    <w:rsid w:val="68A51AEC"/>
    <w:rsid w:val="68AD6BF3"/>
    <w:rsid w:val="68B7537B"/>
    <w:rsid w:val="68BA4E6C"/>
    <w:rsid w:val="68CF0917"/>
    <w:rsid w:val="68D56ED4"/>
    <w:rsid w:val="68DB72BC"/>
    <w:rsid w:val="68F77E6E"/>
    <w:rsid w:val="68FC0872"/>
    <w:rsid w:val="69024F03"/>
    <w:rsid w:val="6908207B"/>
    <w:rsid w:val="69085BD7"/>
    <w:rsid w:val="691722BE"/>
    <w:rsid w:val="691D0BDD"/>
    <w:rsid w:val="691E364C"/>
    <w:rsid w:val="69205616"/>
    <w:rsid w:val="6922789C"/>
    <w:rsid w:val="692331E0"/>
    <w:rsid w:val="692F7608"/>
    <w:rsid w:val="696574CD"/>
    <w:rsid w:val="696E0130"/>
    <w:rsid w:val="697143E8"/>
    <w:rsid w:val="6974326C"/>
    <w:rsid w:val="697D65C5"/>
    <w:rsid w:val="69855479"/>
    <w:rsid w:val="6986193F"/>
    <w:rsid w:val="6994390F"/>
    <w:rsid w:val="699F29DF"/>
    <w:rsid w:val="69AE677E"/>
    <w:rsid w:val="69AF24F6"/>
    <w:rsid w:val="69B33D95"/>
    <w:rsid w:val="69D874A7"/>
    <w:rsid w:val="69E14DA6"/>
    <w:rsid w:val="69EA3460"/>
    <w:rsid w:val="69F34AD9"/>
    <w:rsid w:val="6A136F29"/>
    <w:rsid w:val="6A1A3E14"/>
    <w:rsid w:val="6A2627B9"/>
    <w:rsid w:val="6A2E5B11"/>
    <w:rsid w:val="6A344904"/>
    <w:rsid w:val="6A521800"/>
    <w:rsid w:val="6A5967A9"/>
    <w:rsid w:val="6A674B7F"/>
    <w:rsid w:val="6A694D9B"/>
    <w:rsid w:val="6A745C1A"/>
    <w:rsid w:val="6A753740"/>
    <w:rsid w:val="6AAD4C88"/>
    <w:rsid w:val="6ACB7804"/>
    <w:rsid w:val="6AEB3A02"/>
    <w:rsid w:val="6B005B27"/>
    <w:rsid w:val="6B07083C"/>
    <w:rsid w:val="6B2559BE"/>
    <w:rsid w:val="6B272C8C"/>
    <w:rsid w:val="6B2A62D8"/>
    <w:rsid w:val="6B2D7B77"/>
    <w:rsid w:val="6B3B6738"/>
    <w:rsid w:val="6B431148"/>
    <w:rsid w:val="6B4F21E3"/>
    <w:rsid w:val="6B533C17"/>
    <w:rsid w:val="6B76151E"/>
    <w:rsid w:val="6B95350B"/>
    <w:rsid w:val="6BA918F3"/>
    <w:rsid w:val="6BAF2C82"/>
    <w:rsid w:val="6BB81B36"/>
    <w:rsid w:val="6BC730B4"/>
    <w:rsid w:val="6BC73B27"/>
    <w:rsid w:val="6BD34BC2"/>
    <w:rsid w:val="6BDD77EF"/>
    <w:rsid w:val="6BED0DCD"/>
    <w:rsid w:val="6C0C3C30"/>
    <w:rsid w:val="6C0E6591"/>
    <w:rsid w:val="6C184383"/>
    <w:rsid w:val="6C515AE7"/>
    <w:rsid w:val="6C64581A"/>
    <w:rsid w:val="6C757A27"/>
    <w:rsid w:val="6C7C7008"/>
    <w:rsid w:val="6C830396"/>
    <w:rsid w:val="6C861C34"/>
    <w:rsid w:val="6C96464E"/>
    <w:rsid w:val="6C990D11"/>
    <w:rsid w:val="6CED1CB3"/>
    <w:rsid w:val="6CF3094C"/>
    <w:rsid w:val="6D056FFD"/>
    <w:rsid w:val="6D140FEE"/>
    <w:rsid w:val="6D170ADE"/>
    <w:rsid w:val="6D3276C6"/>
    <w:rsid w:val="6D390A55"/>
    <w:rsid w:val="6D633D24"/>
    <w:rsid w:val="6D6A0EE9"/>
    <w:rsid w:val="6D7E290C"/>
    <w:rsid w:val="6D8A305E"/>
    <w:rsid w:val="6D8A5754"/>
    <w:rsid w:val="6D9E6B0A"/>
    <w:rsid w:val="6DA85BDA"/>
    <w:rsid w:val="6DAA3701"/>
    <w:rsid w:val="6DB77BCC"/>
    <w:rsid w:val="6DBE53FE"/>
    <w:rsid w:val="6DC26C9C"/>
    <w:rsid w:val="6DC742B3"/>
    <w:rsid w:val="6DE05374"/>
    <w:rsid w:val="6DE80D4D"/>
    <w:rsid w:val="6DE9247B"/>
    <w:rsid w:val="6DFD7CD4"/>
    <w:rsid w:val="6E113780"/>
    <w:rsid w:val="6E1B3F45"/>
    <w:rsid w:val="6E255AE7"/>
    <w:rsid w:val="6E2E6556"/>
    <w:rsid w:val="6E2E7E8E"/>
    <w:rsid w:val="6E2F03EE"/>
    <w:rsid w:val="6E313E22"/>
    <w:rsid w:val="6E4A3C26"/>
    <w:rsid w:val="6E4B6C92"/>
    <w:rsid w:val="6E5D69C5"/>
    <w:rsid w:val="6E5D7446"/>
    <w:rsid w:val="6E7066F8"/>
    <w:rsid w:val="6E8126B3"/>
    <w:rsid w:val="6E922B12"/>
    <w:rsid w:val="6E970129"/>
    <w:rsid w:val="6EAF6227"/>
    <w:rsid w:val="6EB011EB"/>
    <w:rsid w:val="6EB20ABF"/>
    <w:rsid w:val="6EB72579"/>
    <w:rsid w:val="6EB77D8C"/>
    <w:rsid w:val="6EBC7B8F"/>
    <w:rsid w:val="6ED8429D"/>
    <w:rsid w:val="6ED924EF"/>
    <w:rsid w:val="6EEA46FD"/>
    <w:rsid w:val="6F0B6FED"/>
    <w:rsid w:val="6F176B74"/>
    <w:rsid w:val="6F1A6664"/>
    <w:rsid w:val="6F217D9E"/>
    <w:rsid w:val="6F2319BD"/>
    <w:rsid w:val="6F345978"/>
    <w:rsid w:val="6F411B20"/>
    <w:rsid w:val="6F4C6BE5"/>
    <w:rsid w:val="6F504BD5"/>
    <w:rsid w:val="6F567302"/>
    <w:rsid w:val="6F5C6C7D"/>
    <w:rsid w:val="6F6B5112"/>
    <w:rsid w:val="6F6D0E8A"/>
    <w:rsid w:val="6F6E1C08"/>
    <w:rsid w:val="6F9E3E51"/>
    <w:rsid w:val="6FBC771B"/>
    <w:rsid w:val="6FC14D32"/>
    <w:rsid w:val="6FC87568"/>
    <w:rsid w:val="6FCC795E"/>
    <w:rsid w:val="6FD45398"/>
    <w:rsid w:val="6FF62C2D"/>
    <w:rsid w:val="6FFE5F86"/>
    <w:rsid w:val="70147557"/>
    <w:rsid w:val="7016507D"/>
    <w:rsid w:val="702175B2"/>
    <w:rsid w:val="7040659E"/>
    <w:rsid w:val="704C4F43"/>
    <w:rsid w:val="70716758"/>
    <w:rsid w:val="70756248"/>
    <w:rsid w:val="707A1AB0"/>
    <w:rsid w:val="70983CE4"/>
    <w:rsid w:val="70A02B99"/>
    <w:rsid w:val="70A1703D"/>
    <w:rsid w:val="70AE1EE1"/>
    <w:rsid w:val="70B90411"/>
    <w:rsid w:val="70C64CF5"/>
    <w:rsid w:val="70FD7FEB"/>
    <w:rsid w:val="70FF3D63"/>
    <w:rsid w:val="71105F71"/>
    <w:rsid w:val="712D6B22"/>
    <w:rsid w:val="713C0B14"/>
    <w:rsid w:val="713F6465"/>
    <w:rsid w:val="7148086A"/>
    <w:rsid w:val="715B3690"/>
    <w:rsid w:val="71641E18"/>
    <w:rsid w:val="71771B4C"/>
    <w:rsid w:val="71775FF0"/>
    <w:rsid w:val="71836742"/>
    <w:rsid w:val="718449C7"/>
    <w:rsid w:val="71876BD0"/>
    <w:rsid w:val="718A5D23"/>
    <w:rsid w:val="71970A57"/>
    <w:rsid w:val="719E17CE"/>
    <w:rsid w:val="71A63F49"/>
    <w:rsid w:val="71B66B18"/>
    <w:rsid w:val="71BB5EDC"/>
    <w:rsid w:val="71C805F9"/>
    <w:rsid w:val="71D90A58"/>
    <w:rsid w:val="71D945B4"/>
    <w:rsid w:val="71E13469"/>
    <w:rsid w:val="71E33685"/>
    <w:rsid w:val="71E35CD0"/>
    <w:rsid w:val="72210786"/>
    <w:rsid w:val="723F6FCC"/>
    <w:rsid w:val="724D0AFE"/>
    <w:rsid w:val="725E4ABA"/>
    <w:rsid w:val="72655E48"/>
    <w:rsid w:val="728A58AF"/>
    <w:rsid w:val="728C1627"/>
    <w:rsid w:val="72987FCC"/>
    <w:rsid w:val="72B312A9"/>
    <w:rsid w:val="72BC20E7"/>
    <w:rsid w:val="72BF37AA"/>
    <w:rsid w:val="72C753A2"/>
    <w:rsid w:val="72E17BC5"/>
    <w:rsid w:val="72E256EB"/>
    <w:rsid w:val="72EB27F1"/>
    <w:rsid w:val="7306762B"/>
    <w:rsid w:val="731E4576"/>
    <w:rsid w:val="732C6966"/>
    <w:rsid w:val="73375A36"/>
    <w:rsid w:val="73426189"/>
    <w:rsid w:val="734463A5"/>
    <w:rsid w:val="734B14E2"/>
    <w:rsid w:val="735A1725"/>
    <w:rsid w:val="738F1033"/>
    <w:rsid w:val="73903399"/>
    <w:rsid w:val="7395275D"/>
    <w:rsid w:val="739C71F7"/>
    <w:rsid w:val="73BC5AD9"/>
    <w:rsid w:val="73C179F6"/>
    <w:rsid w:val="73C31078"/>
    <w:rsid w:val="73C44DF0"/>
    <w:rsid w:val="73DB0AB8"/>
    <w:rsid w:val="73DC038C"/>
    <w:rsid w:val="73DD2093"/>
    <w:rsid w:val="740022CC"/>
    <w:rsid w:val="74220495"/>
    <w:rsid w:val="74257F85"/>
    <w:rsid w:val="743C0E2B"/>
    <w:rsid w:val="74404DBF"/>
    <w:rsid w:val="744523D5"/>
    <w:rsid w:val="744C3764"/>
    <w:rsid w:val="74510D7A"/>
    <w:rsid w:val="74582108"/>
    <w:rsid w:val="74786307"/>
    <w:rsid w:val="74793E2D"/>
    <w:rsid w:val="7496678D"/>
    <w:rsid w:val="749A44CF"/>
    <w:rsid w:val="74AC4202"/>
    <w:rsid w:val="74CD28A0"/>
    <w:rsid w:val="74D6127F"/>
    <w:rsid w:val="74DB6895"/>
    <w:rsid w:val="74E120FE"/>
    <w:rsid w:val="74E21F0E"/>
    <w:rsid w:val="74E25E76"/>
    <w:rsid w:val="74E41BEE"/>
    <w:rsid w:val="74F00593"/>
    <w:rsid w:val="74FB2A94"/>
    <w:rsid w:val="75134281"/>
    <w:rsid w:val="75175B20"/>
    <w:rsid w:val="751A5610"/>
    <w:rsid w:val="75215CF5"/>
    <w:rsid w:val="75273889"/>
    <w:rsid w:val="75510906"/>
    <w:rsid w:val="75527539"/>
    <w:rsid w:val="75530B22"/>
    <w:rsid w:val="755C1784"/>
    <w:rsid w:val="755D42CA"/>
    <w:rsid w:val="75671ED7"/>
    <w:rsid w:val="756E14B8"/>
    <w:rsid w:val="75767DC6"/>
    <w:rsid w:val="75866801"/>
    <w:rsid w:val="758A78F2"/>
    <w:rsid w:val="758D193E"/>
    <w:rsid w:val="758E56B6"/>
    <w:rsid w:val="75BC0475"/>
    <w:rsid w:val="75D457BF"/>
    <w:rsid w:val="75D94B83"/>
    <w:rsid w:val="75EB0D5A"/>
    <w:rsid w:val="75F06ACD"/>
    <w:rsid w:val="75F53987"/>
    <w:rsid w:val="760E2D01"/>
    <w:rsid w:val="761756AB"/>
    <w:rsid w:val="7619302C"/>
    <w:rsid w:val="761E6A3A"/>
    <w:rsid w:val="764D1C01"/>
    <w:rsid w:val="764F12E9"/>
    <w:rsid w:val="764F3097"/>
    <w:rsid w:val="76593F16"/>
    <w:rsid w:val="765E32DA"/>
    <w:rsid w:val="766C59F7"/>
    <w:rsid w:val="766F54E7"/>
    <w:rsid w:val="766F7295"/>
    <w:rsid w:val="76830F93"/>
    <w:rsid w:val="768E1E11"/>
    <w:rsid w:val="76966F18"/>
    <w:rsid w:val="76AF3B36"/>
    <w:rsid w:val="76C92E49"/>
    <w:rsid w:val="76DA5057"/>
    <w:rsid w:val="76DD4B47"/>
    <w:rsid w:val="76E00193"/>
    <w:rsid w:val="76E25CB9"/>
    <w:rsid w:val="76EB2555"/>
    <w:rsid w:val="76F31C74"/>
    <w:rsid w:val="76FD0D45"/>
    <w:rsid w:val="77381D7D"/>
    <w:rsid w:val="773C186D"/>
    <w:rsid w:val="773D7394"/>
    <w:rsid w:val="77521091"/>
    <w:rsid w:val="775C1F10"/>
    <w:rsid w:val="776112D4"/>
    <w:rsid w:val="77A613DD"/>
    <w:rsid w:val="77CE4490"/>
    <w:rsid w:val="77D82183"/>
    <w:rsid w:val="77F93A4F"/>
    <w:rsid w:val="77F959B0"/>
    <w:rsid w:val="780879A1"/>
    <w:rsid w:val="780B56E4"/>
    <w:rsid w:val="78104AA8"/>
    <w:rsid w:val="782D7408"/>
    <w:rsid w:val="78370287"/>
    <w:rsid w:val="784B3556"/>
    <w:rsid w:val="784D1858"/>
    <w:rsid w:val="784F55D0"/>
    <w:rsid w:val="785C7CED"/>
    <w:rsid w:val="786A065C"/>
    <w:rsid w:val="786D1EFA"/>
    <w:rsid w:val="788039DC"/>
    <w:rsid w:val="78835755"/>
    <w:rsid w:val="788A485A"/>
    <w:rsid w:val="78911745"/>
    <w:rsid w:val="78A53442"/>
    <w:rsid w:val="78AA2807"/>
    <w:rsid w:val="78BE2756"/>
    <w:rsid w:val="78CF4963"/>
    <w:rsid w:val="78D22C95"/>
    <w:rsid w:val="78EF290F"/>
    <w:rsid w:val="78F27B30"/>
    <w:rsid w:val="78F543CA"/>
    <w:rsid w:val="7903038D"/>
    <w:rsid w:val="790A599B"/>
    <w:rsid w:val="790E0FE8"/>
    <w:rsid w:val="791257C8"/>
    <w:rsid w:val="79142376"/>
    <w:rsid w:val="79467A09"/>
    <w:rsid w:val="7956473D"/>
    <w:rsid w:val="795F5CE7"/>
    <w:rsid w:val="796C3F60"/>
    <w:rsid w:val="797F3C93"/>
    <w:rsid w:val="79984D55"/>
    <w:rsid w:val="79B1217E"/>
    <w:rsid w:val="79B853F7"/>
    <w:rsid w:val="79BC0A44"/>
    <w:rsid w:val="79D06799"/>
    <w:rsid w:val="79D57D57"/>
    <w:rsid w:val="79DD09BA"/>
    <w:rsid w:val="79F006ED"/>
    <w:rsid w:val="7A1057A9"/>
    <w:rsid w:val="7A1E34AC"/>
    <w:rsid w:val="7A266805"/>
    <w:rsid w:val="7A462A03"/>
    <w:rsid w:val="7A4B0019"/>
    <w:rsid w:val="7A5944E4"/>
    <w:rsid w:val="7A5B64AE"/>
    <w:rsid w:val="7A5C5D83"/>
    <w:rsid w:val="7A765096"/>
    <w:rsid w:val="7A8772A3"/>
    <w:rsid w:val="7A897628"/>
    <w:rsid w:val="7AB75530"/>
    <w:rsid w:val="7AB94F83"/>
    <w:rsid w:val="7ACA3634"/>
    <w:rsid w:val="7ACC115A"/>
    <w:rsid w:val="7AD1743C"/>
    <w:rsid w:val="7AE55D78"/>
    <w:rsid w:val="7AF91823"/>
    <w:rsid w:val="7AF95CC7"/>
    <w:rsid w:val="7AF95E48"/>
    <w:rsid w:val="7B087CB8"/>
    <w:rsid w:val="7B0A3A31"/>
    <w:rsid w:val="7B2974D7"/>
    <w:rsid w:val="7B2F5245"/>
    <w:rsid w:val="7B2F59D6"/>
    <w:rsid w:val="7B3D7962"/>
    <w:rsid w:val="7B445194"/>
    <w:rsid w:val="7B450F0D"/>
    <w:rsid w:val="7B507E3E"/>
    <w:rsid w:val="7B7B048A"/>
    <w:rsid w:val="7B9003DA"/>
    <w:rsid w:val="7B9559F0"/>
    <w:rsid w:val="7B9A4DB4"/>
    <w:rsid w:val="7B9F061D"/>
    <w:rsid w:val="7BA619AB"/>
    <w:rsid w:val="7BB35E76"/>
    <w:rsid w:val="7BB73BB8"/>
    <w:rsid w:val="7BBA5457"/>
    <w:rsid w:val="7BC574F5"/>
    <w:rsid w:val="7BC83BA6"/>
    <w:rsid w:val="7BE20509"/>
    <w:rsid w:val="7BEC7CD3"/>
    <w:rsid w:val="7BF72207"/>
    <w:rsid w:val="7BFC46F8"/>
    <w:rsid w:val="7BFF10BB"/>
    <w:rsid w:val="7C0641F8"/>
    <w:rsid w:val="7C093CE8"/>
    <w:rsid w:val="7C120DEF"/>
    <w:rsid w:val="7C224DAA"/>
    <w:rsid w:val="7C324FED"/>
    <w:rsid w:val="7C3C2310"/>
    <w:rsid w:val="7C466627"/>
    <w:rsid w:val="7C6929D9"/>
    <w:rsid w:val="7C857813"/>
    <w:rsid w:val="7C8810B1"/>
    <w:rsid w:val="7C8B0BA1"/>
    <w:rsid w:val="7C991510"/>
    <w:rsid w:val="7CAB2FF1"/>
    <w:rsid w:val="7CB225D2"/>
    <w:rsid w:val="7CB579CC"/>
    <w:rsid w:val="7CC320E9"/>
    <w:rsid w:val="7CC83BA3"/>
    <w:rsid w:val="7CCE0404"/>
    <w:rsid w:val="7CDB5685"/>
    <w:rsid w:val="7CE17309"/>
    <w:rsid w:val="7CED53B8"/>
    <w:rsid w:val="7D23768E"/>
    <w:rsid w:val="7D3D00ED"/>
    <w:rsid w:val="7D586CD5"/>
    <w:rsid w:val="7D5E0064"/>
    <w:rsid w:val="7D605B8A"/>
    <w:rsid w:val="7D676F18"/>
    <w:rsid w:val="7D8558F5"/>
    <w:rsid w:val="7D8A2C07"/>
    <w:rsid w:val="7DB1356C"/>
    <w:rsid w:val="7DCE51E9"/>
    <w:rsid w:val="7DD345AE"/>
    <w:rsid w:val="7DDF4627"/>
    <w:rsid w:val="7DE44C6D"/>
    <w:rsid w:val="7E1A21DD"/>
    <w:rsid w:val="7E2C5AEE"/>
    <w:rsid w:val="7E3B6C3F"/>
    <w:rsid w:val="7E4234E1"/>
    <w:rsid w:val="7E795155"/>
    <w:rsid w:val="7E8D6E52"/>
    <w:rsid w:val="7E955D07"/>
    <w:rsid w:val="7EBF4783"/>
    <w:rsid w:val="7EC56A15"/>
    <w:rsid w:val="7EDC3936"/>
    <w:rsid w:val="7EE36A72"/>
    <w:rsid w:val="7EE8052D"/>
    <w:rsid w:val="7EF667A6"/>
    <w:rsid w:val="7F0C421B"/>
    <w:rsid w:val="7F1135E0"/>
    <w:rsid w:val="7F1B26B0"/>
    <w:rsid w:val="7F1F1699"/>
    <w:rsid w:val="7F2C21C7"/>
    <w:rsid w:val="7F343772"/>
    <w:rsid w:val="7F387199"/>
    <w:rsid w:val="7F437511"/>
    <w:rsid w:val="7F4C286A"/>
    <w:rsid w:val="7F4E65E2"/>
    <w:rsid w:val="7F547970"/>
    <w:rsid w:val="7F5F07EF"/>
    <w:rsid w:val="7F6000C3"/>
    <w:rsid w:val="7F726399"/>
    <w:rsid w:val="7F7F2C3F"/>
    <w:rsid w:val="7F814646"/>
    <w:rsid w:val="7F872CCD"/>
    <w:rsid w:val="7F932247"/>
    <w:rsid w:val="7F9D30C5"/>
    <w:rsid w:val="7FB64187"/>
    <w:rsid w:val="7FBF303C"/>
    <w:rsid w:val="7FC05006"/>
    <w:rsid w:val="7FC22B2C"/>
    <w:rsid w:val="7FC342AF"/>
    <w:rsid w:val="7FC50EFE"/>
    <w:rsid w:val="7FCE14D1"/>
    <w:rsid w:val="7FD60385"/>
    <w:rsid w:val="7FE17456"/>
    <w:rsid w:val="7FE26D2A"/>
    <w:rsid w:val="7FEA5B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2"/>
    <w:link w:val="48"/>
    <w:qFormat/>
    <w:uiPriority w:val="0"/>
    <w:pPr>
      <w:spacing w:before="100" w:beforeAutospacing="1" w:after="100" w:afterAutospacing="1"/>
      <w:outlineLvl w:val="1"/>
    </w:pPr>
    <w:rPr>
      <w:rFonts w:ascii="宋体" w:hAnsi="宋体"/>
      <w:b/>
      <w:bCs/>
      <w:kern w:val="0"/>
      <w:sz w:val="36"/>
      <w:szCs w:val="36"/>
    </w:rPr>
  </w:style>
  <w:style w:type="paragraph" w:styleId="2">
    <w:name w:val="heading 3"/>
    <w:basedOn w:val="3"/>
    <w:next w:val="1"/>
    <w:qFormat/>
    <w:uiPriority w:val="0"/>
    <w:pPr>
      <w:outlineLvl w:val="2"/>
    </w:pPr>
    <w:rPr>
      <w:b w:val="0"/>
      <w:bCs w:val="0"/>
    </w:rPr>
  </w:style>
  <w:style w:type="paragraph" w:styleId="5">
    <w:name w:val="heading 4"/>
    <w:basedOn w:val="1"/>
    <w:next w:val="1"/>
    <w:link w:val="183"/>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ind w:left="1680" w:hanging="210"/>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pPr>
    <w:rPr>
      <w:rFonts w:ascii="Calibri" w:hAnsi="Calibri"/>
      <w:sz w:val="20"/>
      <w:szCs w:val="20"/>
    </w:rPr>
  </w:style>
  <w:style w:type="paragraph" w:styleId="9">
    <w:name w:val="Document Map"/>
    <w:basedOn w:val="1"/>
    <w:link w:val="168"/>
    <w:semiHidden/>
    <w:qFormat/>
    <w:uiPriority w:val="0"/>
    <w:pPr>
      <w:shd w:val="clear" w:color="auto" w:fill="000080"/>
    </w:pPr>
    <w:rPr>
      <w:rFonts w:asciiTheme="minorHAnsi" w:hAnsiTheme="minorHAnsi" w:eastAsiaTheme="minorEastAsia" w:cstheme="minorBidi"/>
    </w:rPr>
  </w:style>
  <w:style w:type="paragraph" w:styleId="10">
    <w:name w:val="annotation text"/>
    <w:basedOn w:val="1"/>
    <w:link w:val="165"/>
    <w:semiHidden/>
    <w:qFormat/>
    <w:uiPriority w:val="0"/>
    <w:rPr>
      <w:rFonts w:asciiTheme="minorHAnsi" w:hAnsiTheme="minorHAnsi" w:eastAsiaTheme="minorEastAsia" w:cstheme="minorBidi"/>
    </w:rPr>
  </w:style>
  <w:style w:type="paragraph" w:styleId="11">
    <w:name w:val="index 6"/>
    <w:basedOn w:val="1"/>
    <w:next w:val="1"/>
    <w:qFormat/>
    <w:uiPriority w:val="0"/>
    <w:pPr>
      <w:ind w:left="1260" w:hanging="210"/>
    </w:pPr>
    <w:rPr>
      <w:rFonts w:ascii="Calibri" w:hAnsi="Calibri"/>
      <w:sz w:val="20"/>
      <w:szCs w:val="20"/>
    </w:rPr>
  </w:style>
  <w:style w:type="paragraph" w:styleId="12">
    <w:name w:val="Body Text 3"/>
    <w:basedOn w:val="1"/>
    <w:link w:val="176"/>
    <w:semiHidden/>
    <w:unhideWhenUsed/>
    <w:qFormat/>
    <w:uiPriority w:val="99"/>
    <w:pPr>
      <w:spacing w:after="120"/>
    </w:pPr>
    <w:rPr>
      <w:sz w:val="16"/>
      <w:szCs w:val="16"/>
    </w:rPr>
  </w:style>
  <w:style w:type="paragraph" w:styleId="13">
    <w:name w:val="Body Text"/>
    <w:basedOn w:val="1"/>
    <w:next w:val="14"/>
    <w:link w:val="181"/>
    <w:semiHidden/>
    <w:unhideWhenUsed/>
    <w:qFormat/>
    <w:uiPriority w:val="99"/>
    <w:pPr>
      <w:spacing w:after="120"/>
    </w:pPr>
  </w:style>
  <w:style w:type="paragraph" w:customStyle="1" w:styleId="14">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15">
    <w:name w:val="index 4"/>
    <w:basedOn w:val="1"/>
    <w:next w:val="1"/>
    <w:qFormat/>
    <w:uiPriority w:val="0"/>
    <w:pPr>
      <w:ind w:left="840" w:hanging="210"/>
    </w:pPr>
    <w:rPr>
      <w:rFonts w:ascii="Calibri" w:hAnsi="Calibri"/>
      <w:sz w:val="20"/>
      <w:szCs w:val="20"/>
    </w:rPr>
  </w:style>
  <w:style w:type="paragraph" w:styleId="16">
    <w:name w:val="Plain Text"/>
    <w:basedOn w:val="1"/>
    <w:link w:val="179"/>
    <w:unhideWhenUsed/>
    <w:qFormat/>
    <w:uiPriority w:val="99"/>
    <w:pPr>
      <w:widowControl w:val="0"/>
      <w:spacing w:line="240" w:lineRule="auto"/>
      <w:jc w:val="both"/>
    </w:pPr>
    <w:rPr>
      <w:rFonts w:ascii="宋体" w:hAnsi="Courier New" w:cs="Courier New"/>
      <w:szCs w:val="21"/>
    </w:rPr>
  </w:style>
  <w:style w:type="paragraph" w:styleId="17">
    <w:name w:val="index 3"/>
    <w:basedOn w:val="1"/>
    <w:next w:val="1"/>
    <w:qFormat/>
    <w:uiPriority w:val="0"/>
    <w:pPr>
      <w:ind w:left="630" w:hanging="210"/>
    </w:pPr>
    <w:rPr>
      <w:rFonts w:ascii="Calibri" w:hAnsi="Calibri"/>
      <w:sz w:val="20"/>
      <w:szCs w:val="20"/>
    </w:rPr>
  </w:style>
  <w:style w:type="paragraph" w:styleId="18">
    <w:name w:val="Date"/>
    <w:basedOn w:val="1"/>
    <w:next w:val="1"/>
    <w:link w:val="167"/>
    <w:qFormat/>
    <w:uiPriority w:val="99"/>
    <w:pPr>
      <w:ind w:left="100" w:leftChars="2500"/>
    </w:pPr>
    <w:rPr>
      <w:rFonts w:asciiTheme="minorHAnsi" w:hAnsiTheme="minorHAnsi" w:eastAsiaTheme="minorEastAsia" w:cstheme="minorBidi"/>
    </w:rPr>
  </w:style>
  <w:style w:type="paragraph" w:styleId="19">
    <w:name w:val="Body Text Indent 2"/>
    <w:basedOn w:val="1"/>
    <w:link w:val="157"/>
    <w:qFormat/>
    <w:uiPriority w:val="99"/>
    <w:pPr>
      <w:spacing w:after="120" w:line="480" w:lineRule="auto"/>
      <w:ind w:left="420" w:leftChars="200"/>
    </w:pPr>
    <w:rPr>
      <w:rFonts w:asciiTheme="minorHAnsi" w:hAnsiTheme="minorHAnsi" w:eastAsiaTheme="minorEastAsia" w:cstheme="minorBidi"/>
    </w:rPr>
  </w:style>
  <w:style w:type="paragraph" w:styleId="20">
    <w:name w:val="endnote text"/>
    <w:basedOn w:val="1"/>
    <w:link w:val="174"/>
    <w:semiHidden/>
    <w:qFormat/>
    <w:uiPriority w:val="0"/>
    <w:pPr>
      <w:snapToGrid w:val="0"/>
    </w:pPr>
    <w:rPr>
      <w:rFonts w:asciiTheme="minorHAnsi" w:hAnsiTheme="minorHAnsi" w:eastAsiaTheme="minorEastAsia" w:cstheme="minorBidi"/>
    </w:rPr>
  </w:style>
  <w:style w:type="paragraph" w:styleId="21">
    <w:name w:val="Balloon Text"/>
    <w:basedOn w:val="1"/>
    <w:link w:val="143"/>
    <w:qFormat/>
    <w:uiPriority w:val="99"/>
    <w:rPr>
      <w:rFonts w:asciiTheme="minorHAnsi" w:hAnsiTheme="minorHAnsi" w:eastAsiaTheme="minorEastAsia" w:cstheme="minorBidi"/>
      <w:sz w:val="18"/>
      <w:szCs w:val="18"/>
    </w:rPr>
  </w:style>
  <w:style w:type="paragraph" w:styleId="22">
    <w:name w:val="footer"/>
    <w:basedOn w:val="1"/>
    <w:link w:val="164"/>
    <w:qFormat/>
    <w:uiPriority w:val="99"/>
    <w:pPr>
      <w:snapToGrid w:val="0"/>
      <w:ind w:right="210" w:rightChars="100"/>
      <w:jc w:val="right"/>
    </w:pPr>
    <w:rPr>
      <w:rFonts w:asciiTheme="minorHAnsi" w:hAnsiTheme="minorHAnsi" w:eastAsiaTheme="minorEastAsia" w:cstheme="minorBidi"/>
      <w:sz w:val="18"/>
      <w:szCs w:val="18"/>
    </w:rPr>
  </w:style>
  <w:style w:type="paragraph" w:styleId="23">
    <w:name w:val="header"/>
    <w:basedOn w:val="1"/>
    <w:link w:val="146"/>
    <w:qFormat/>
    <w:uiPriority w:val="99"/>
    <w:pPr>
      <w:snapToGrid w:val="0"/>
    </w:pPr>
    <w:rPr>
      <w:rFonts w:asciiTheme="minorHAnsi" w:hAnsiTheme="minorHAnsi" w:eastAsiaTheme="minorEastAsia" w:cstheme="minorBidi"/>
      <w:sz w:val="18"/>
      <w:szCs w:val="18"/>
    </w:rPr>
  </w:style>
  <w:style w:type="paragraph" w:styleId="24">
    <w:name w:val="toc 1"/>
    <w:basedOn w:val="1"/>
    <w:next w:val="1"/>
    <w:semiHidden/>
    <w:qFormat/>
    <w:uiPriority w:val="0"/>
    <w:pPr>
      <w:tabs>
        <w:tab w:val="right" w:leader="dot" w:pos="9242"/>
      </w:tabs>
      <w:spacing w:beforeLines="25" w:afterLines="25"/>
    </w:pPr>
    <w:rPr>
      <w:rFonts w:ascii="宋体"/>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1"/>
    <w:unhideWhenUsed/>
    <w:qFormat/>
    <w:uiPriority w:val="0"/>
  </w:style>
  <w:style w:type="paragraph" w:styleId="27">
    <w:name w:val="footnote text"/>
    <w:basedOn w:val="1"/>
    <w:link w:val="153"/>
    <w:qFormat/>
    <w:uiPriority w:val="0"/>
    <w:pPr>
      <w:tabs>
        <w:tab w:val="left" w:pos="0"/>
      </w:tabs>
      <w:snapToGrid w:val="0"/>
      <w:ind w:left="720" w:hanging="357"/>
    </w:pPr>
    <w:rPr>
      <w:rFonts w:ascii="宋体" w:hAnsiTheme="minorHAnsi" w:eastAsiaTheme="minorEastAsia" w:cstheme="minorBidi"/>
      <w:sz w:val="18"/>
      <w:szCs w:val="18"/>
    </w:rPr>
  </w:style>
  <w:style w:type="paragraph" w:styleId="28">
    <w:name w:val="index 7"/>
    <w:basedOn w:val="1"/>
    <w:next w:val="1"/>
    <w:qFormat/>
    <w:uiPriority w:val="0"/>
    <w:pPr>
      <w:ind w:left="1470" w:hanging="210"/>
    </w:pPr>
    <w:rPr>
      <w:rFonts w:ascii="Calibri" w:hAnsi="Calibri"/>
      <w:sz w:val="20"/>
      <w:szCs w:val="20"/>
    </w:rPr>
  </w:style>
  <w:style w:type="paragraph" w:styleId="29">
    <w:name w:val="index 9"/>
    <w:basedOn w:val="1"/>
    <w:next w:val="1"/>
    <w:qFormat/>
    <w:uiPriority w:val="0"/>
    <w:pPr>
      <w:ind w:left="1890" w:hanging="210"/>
    </w:pPr>
    <w:rPr>
      <w:rFonts w:ascii="Calibri" w:hAnsi="Calibri"/>
      <w:sz w:val="20"/>
      <w:szCs w:val="20"/>
    </w:rPr>
  </w:style>
  <w:style w:type="paragraph" w:styleId="30">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1">
    <w:name w:val="HTML Preformatted"/>
    <w:basedOn w:val="1"/>
    <w:link w:val="151"/>
    <w:qFormat/>
    <w:uiPriority w:val="0"/>
    <w:rPr>
      <w:rFonts w:ascii="Courier New" w:hAnsi="Courier New" w:cs="Courier New" w:eastAsiaTheme="minorEastAsia"/>
      <w:szCs w:val="22"/>
    </w:rPr>
  </w:style>
  <w:style w:type="paragraph" w:styleId="32">
    <w:name w:val="Normal (Web)"/>
    <w:basedOn w:val="1"/>
    <w:unhideWhenUsed/>
    <w:qFormat/>
    <w:uiPriority w:val="99"/>
    <w:pPr>
      <w:spacing w:before="100" w:beforeAutospacing="1" w:after="100" w:afterAutospacing="1"/>
    </w:pPr>
    <w:rPr>
      <w:rFonts w:ascii="宋体" w:hAnsi="宋体" w:cs="宋体"/>
      <w:kern w:val="0"/>
      <w:sz w:val="24"/>
    </w:rPr>
  </w:style>
  <w:style w:type="paragraph" w:styleId="33">
    <w:name w:val="index 2"/>
    <w:basedOn w:val="1"/>
    <w:next w:val="1"/>
    <w:qFormat/>
    <w:uiPriority w:val="0"/>
    <w:pPr>
      <w:ind w:left="420" w:hanging="210"/>
    </w:pPr>
    <w:rPr>
      <w:rFonts w:ascii="Calibri" w:hAnsi="Calibri"/>
      <w:sz w:val="20"/>
      <w:szCs w:val="20"/>
    </w:rPr>
  </w:style>
  <w:style w:type="paragraph" w:styleId="34">
    <w:name w:val="Title"/>
    <w:basedOn w:val="1"/>
    <w:link w:val="177"/>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5">
    <w:name w:val="annotation subject"/>
    <w:basedOn w:val="10"/>
    <w:next w:val="10"/>
    <w:link w:val="173"/>
    <w:semiHidden/>
    <w:qFormat/>
    <w:uiPriority w:val="0"/>
    <w:rPr>
      <w:b/>
      <w:bCs/>
    </w:rPr>
  </w:style>
  <w:style w:type="paragraph" w:styleId="36">
    <w:name w:val="Body Text First Indent"/>
    <w:basedOn w:val="13"/>
    <w:qFormat/>
    <w:uiPriority w:val="0"/>
    <w:pPr>
      <w:adjustRightInd w:val="0"/>
      <w:snapToGrid w:val="0"/>
      <w:ind w:firstLine="420"/>
      <w:textAlignment w:val="baseline"/>
    </w:pPr>
    <w:rPr>
      <w:rFonts w:ascii="宋体"/>
      <w:snapToGrid w:val="0"/>
      <w:kern w:val="24"/>
      <w:sz w:val="24"/>
      <w:szCs w:val="20"/>
    </w:rPr>
  </w:style>
  <w:style w:type="table" w:styleId="38">
    <w:name w:val="Table Grid"/>
    <w:basedOn w:val="3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bCs/>
    </w:rPr>
  </w:style>
  <w:style w:type="character" w:styleId="41">
    <w:name w:val="page number"/>
    <w:qFormat/>
    <w:uiPriority w:val="99"/>
    <w:rPr>
      <w:rFonts w:ascii="Times New Roman" w:hAnsi="Times New Roman" w:eastAsia="宋体"/>
      <w:sz w:val="18"/>
    </w:rPr>
  </w:style>
  <w:style w:type="character" w:styleId="42">
    <w:name w:val="FollowedHyperlink"/>
    <w:qFormat/>
    <w:uiPriority w:val="0"/>
    <w:rPr>
      <w:color w:val="800080"/>
      <w:u w:val="single"/>
    </w:rPr>
  </w:style>
  <w:style w:type="character" w:styleId="43">
    <w:name w:val="Emphasis"/>
    <w:qFormat/>
    <w:uiPriority w:val="20"/>
    <w:rPr>
      <w:color w:val="CC0000"/>
    </w:rPr>
  </w:style>
  <w:style w:type="character" w:styleId="44">
    <w:name w:val="Hyperlink"/>
    <w:qFormat/>
    <w:uiPriority w:val="99"/>
    <w:rPr>
      <w:color w:val="0000FF"/>
      <w:spacing w:val="0"/>
      <w:w w:val="100"/>
      <w:szCs w:val="21"/>
      <w:u w:val="single"/>
      <w:lang w:val="en-US" w:eastAsia="zh-CN"/>
    </w:rPr>
  </w:style>
  <w:style w:type="character" w:styleId="45">
    <w:name w:val="footnote reference"/>
    <w:qFormat/>
    <w:uiPriority w:val="0"/>
    <w:rPr>
      <w:vertAlign w:val="superscript"/>
    </w:rPr>
  </w:style>
  <w:style w:type="paragraph" w:customStyle="1" w:styleId="46">
    <w:name w:val="正文1"/>
    <w:qFormat/>
    <w:uiPriority w:val="0"/>
    <w:pPr>
      <w:widowControl w:val="0"/>
      <w:adjustRightInd w:val="0"/>
      <w:spacing w:line="312" w:lineRule="atLeast"/>
      <w:jc w:val="both"/>
      <w:textAlignment w:val="baseline"/>
    </w:pPr>
    <w:rPr>
      <w:rFonts w:ascii="宋体" w:hAnsi="宋体" w:eastAsia="宋体" w:cs="Times New Roman"/>
      <w:sz w:val="24"/>
      <w:lang w:val="en-US" w:eastAsia="zh-CN" w:bidi="ar-SA"/>
    </w:rPr>
  </w:style>
  <w:style w:type="character" w:customStyle="1" w:styleId="47">
    <w:name w:val="标题 1 字符"/>
    <w:basedOn w:val="39"/>
    <w:link w:val="4"/>
    <w:qFormat/>
    <w:uiPriority w:val="0"/>
    <w:rPr>
      <w:rFonts w:ascii="Times New Roman" w:hAnsi="Times New Roman" w:eastAsia="宋体" w:cs="Times New Roman"/>
      <w:b/>
      <w:bCs/>
      <w:kern w:val="44"/>
      <w:sz w:val="44"/>
      <w:szCs w:val="44"/>
    </w:rPr>
  </w:style>
  <w:style w:type="character" w:customStyle="1" w:styleId="48">
    <w:name w:val="标题 2 字符"/>
    <w:basedOn w:val="39"/>
    <w:link w:val="3"/>
    <w:qFormat/>
    <w:uiPriority w:val="0"/>
    <w:rPr>
      <w:rFonts w:ascii="宋体" w:hAnsi="宋体" w:eastAsia="宋体" w:cs="Times New Roman"/>
      <w:b/>
      <w:bCs/>
      <w:kern w:val="0"/>
      <w:sz w:val="36"/>
      <w:szCs w:val="36"/>
    </w:rPr>
  </w:style>
  <w:style w:type="character" w:customStyle="1" w:styleId="49">
    <w:name w:val="批注文字 Char"/>
    <w:semiHidden/>
    <w:qFormat/>
    <w:uiPriority w:val="0"/>
    <w:rPr>
      <w:szCs w:val="24"/>
    </w:rPr>
  </w:style>
  <w:style w:type="character" w:customStyle="1" w:styleId="50">
    <w:name w:val="批注主题 Char"/>
    <w:semiHidden/>
    <w:qFormat/>
    <w:uiPriority w:val="0"/>
    <w:rPr>
      <w:b/>
      <w:bCs/>
      <w:szCs w:val="24"/>
    </w:rPr>
  </w:style>
  <w:style w:type="character" w:customStyle="1" w:styleId="51">
    <w:name w:val="文档结构图 Char"/>
    <w:semiHidden/>
    <w:qFormat/>
    <w:uiPriority w:val="0"/>
    <w:rPr>
      <w:szCs w:val="24"/>
      <w:shd w:val="clear" w:color="auto" w:fill="000080"/>
    </w:rPr>
  </w:style>
  <w:style w:type="character" w:customStyle="1" w:styleId="52">
    <w:name w:val="脚注文本 Char"/>
    <w:qFormat/>
    <w:uiPriority w:val="0"/>
    <w:rPr>
      <w:rFonts w:ascii="宋体"/>
      <w:sz w:val="18"/>
      <w:szCs w:val="18"/>
    </w:rPr>
  </w:style>
  <w:style w:type="character" w:customStyle="1" w:styleId="53">
    <w:name w:val="con"/>
    <w:qFormat/>
    <w:uiPriority w:val="0"/>
  </w:style>
  <w:style w:type="character" w:customStyle="1" w:styleId="54">
    <w:name w:val="bar-label2"/>
    <w:qFormat/>
    <w:uiPriority w:val="99"/>
  </w:style>
  <w:style w:type="character" w:customStyle="1" w:styleId="55">
    <w:name w:val="正文文本缩进 2 Char"/>
    <w:qFormat/>
    <w:uiPriority w:val="99"/>
    <w:rPr>
      <w:szCs w:val="24"/>
    </w:rPr>
  </w:style>
  <w:style w:type="character" w:customStyle="1" w:styleId="56">
    <w:name w:val="日期 Char"/>
    <w:qFormat/>
    <w:uiPriority w:val="99"/>
    <w:rPr>
      <w:szCs w:val="24"/>
    </w:rPr>
  </w:style>
  <w:style w:type="character" w:customStyle="1" w:styleId="57">
    <w:name w:val="页脚 Char"/>
    <w:qFormat/>
    <w:locked/>
    <w:uiPriority w:val="99"/>
    <w:rPr>
      <w:sz w:val="18"/>
      <w:szCs w:val="18"/>
    </w:rPr>
  </w:style>
  <w:style w:type="character" w:customStyle="1" w:styleId="58">
    <w:name w:val="apple-converted-space"/>
    <w:basedOn w:val="39"/>
    <w:qFormat/>
    <w:uiPriority w:val="0"/>
  </w:style>
  <w:style w:type="character" w:customStyle="1" w:styleId="59">
    <w:name w:val="批注框文本 Char"/>
    <w:qFormat/>
    <w:uiPriority w:val="99"/>
    <w:rPr>
      <w:sz w:val="18"/>
      <w:szCs w:val="18"/>
    </w:rPr>
  </w:style>
  <w:style w:type="character" w:customStyle="1" w:styleId="60">
    <w:name w:val="页眉 Char"/>
    <w:qFormat/>
    <w:locked/>
    <w:uiPriority w:val="99"/>
    <w:rPr>
      <w:sz w:val="18"/>
      <w:szCs w:val="18"/>
    </w:rPr>
  </w:style>
  <w:style w:type="character" w:customStyle="1" w:styleId="61">
    <w:name w:val="首示例 Char"/>
    <w:link w:val="62"/>
    <w:qFormat/>
    <w:uiPriority w:val="0"/>
    <w:rPr>
      <w:rFonts w:ascii="宋体" w:hAnsi="宋体"/>
      <w:sz w:val="18"/>
      <w:szCs w:val="18"/>
    </w:rPr>
  </w:style>
  <w:style w:type="paragraph" w:customStyle="1" w:styleId="62">
    <w:name w:val="首示例"/>
    <w:next w:val="63"/>
    <w:link w:val="61"/>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3">
    <w:name w:val="段"/>
    <w:link w:val="64"/>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4">
    <w:name w:val="段 Char"/>
    <w:link w:val="63"/>
    <w:qFormat/>
    <w:uiPriority w:val="0"/>
    <w:rPr>
      <w:rFonts w:ascii="宋体"/>
    </w:rPr>
  </w:style>
  <w:style w:type="character" w:customStyle="1" w:styleId="65">
    <w:name w:val="附录公式 Char"/>
    <w:basedOn w:val="64"/>
    <w:link w:val="66"/>
    <w:qFormat/>
    <w:uiPriority w:val="0"/>
    <w:rPr>
      <w:rFonts w:ascii="宋体"/>
    </w:rPr>
  </w:style>
  <w:style w:type="paragraph" w:customStyle="1" w:styleId="66">
    <w:name w:val="附录公式"/>
    <w:basedOn w:val="63"/>
    <w:next w:val="63"/>
    <w:link w:val="65"/>
    <w:qFormat/>
    <w:uiPriority w:val="0"/>
  </w:style>
  <w:style w:type="character" w:customStyle="1" w:styleId="67">
    <w:name w:val="发布"/>
    <w:qFormat/>
    <w:uiPriority w:val="0"/>
    <w:rPr>
      <w:rFonts w:ascii="黑体" w:eastAsia="黑体"/>
      <w:spacing w:val="85"/>
      <w:w w:val="100"/>
      <w:position w:val="3"/>
      <w:sz w:val="28"/>
      <w:szCs w:val="28"/>
    </w:rPr>
  </w:style>
  <w:style w:type="character" w:customStyle="1" w:styleId="68">
    <w:name w:val="一级条标题 Char"/>
    <w:link w:val="69"/>
    <w:qFormat/>
    <w:uiPriority w:val="0"/>
    <w:rPr>
      <w:rFonts w:ascii="黑体" w:eastAsia="黑体"/>
      <w:szCs w:val="21"/>
    </w:rPr>
  </w:style>
  <w:style w:type="paragraph" w:customStyle="1" w:styleId="69">
    <w:name w:val="一级条标题"/>
    <w:next w:val="63"/>
    <w:link w:val="68"/>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0">
    <w:name w:val="HTML 预设格式 Char"/>
    <w:qFormat/>
    <w:uiPriority w:val="0"/>
    <w:rPr>
      <w:rFonts w:ascii="Courier New" w:hAnsi="Courier New" w:cs="Courier New"/>
    </w:rPr>
  </w:style>
  <w:style w:type="character" w:customStyle="1" w:styleId="71">
    <w:name w:val="尾注文本 Char"/>
    <w:semiHidden/>
    <w:qFormat/>
    <w:uiPriority w:val="0"/>
    <w:rPr>
      <w:szCs w:val="24"/>
    </w:rPr>
  </w:style>
  <w:style w:type="paragraph" w:customStyle="1" w:styleId="72">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73">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74">
    <w:name w:val="List Paragraph"/>
    <w:basedOn w:val="1"/>
    <w:qFormat/>
    <w:uiPriority w:val="34"/>
    <w:pPr>
      <w:ind w:firstLine="420" w:firstLineChars="200"/>
    </w:pPr>
    <w:rPr>
      <w:rFonts w:ascii="宋体" w:hAnsi="宋体" w:cs="宋体"/>
      <w:kern w:val="0"/>
      <w:sz w:val="24"/>
    </w:rPr>
  </w:style>
  <w:style w:type="paragraph" w:customStyle="1" w:styleId="75">
    <w:name w:val="封面一致性程度标识2"/>
    <w:basedOn w:val="76"/>
    <w:qFormat/>
    <w:uiPriority w:val="0"/>
    <w:pPr>
      <w:framePr w:wrap="around" w:y="4469"/>
    </w:pPr>
  </w:style>
  <w:style w:type="paragraph" w:customStyle="1" w:styleId="76">
    <w:name w:val="封面一致性程度标识"/>
    <w:basedOn w:val="77"/>
    <w:qFormat/>
    <w:uiPriority w:val="0"/>
    <w:pPr>
      <w:framePr w:wrap="around"/>
      <w:spacing w:before="440"/>
    </w:pPr>
    <w:rPr>
      <w:rFonts w:ascii="宋体" w:eastAsia="宋体"/>
    </w:rPr>
  </w:style>
  <w:style w:type="paragraph" w:customStyle="1" w:styleId="77">
    <w:name w:val="封面标准英文名称"/>
    <w:basedOn w:val="78"/>
    <w:qFormat/>
    <w:uiPriority w:val="0"/>
    <w:pPr>
      <w:framePr w:wrap="around"/>
      <w:spacing w:before="370" w:line="400" w:lineRule="exact"/>
    </w:pPr>
    <w:rPr>
      <w:rFonts w:ascii="Times New Roman"/>
      <w:sz w:val="28"/>
      <w:szCs w:val="28"/>
    </w:rPr>
  </w:style>
  <w:style w:type="paragraph" w:customStyle="1" w:styleId="7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9">
    <w:name w:val="封面标准英文名称2"/>
    <w:basedOn w:val="77"/>
    <w:qFormat/>
    <w:uiPriority w:val="0"/>
    <w:pPr>
      <w:framePr w:wrap="around" w:y="4469"/>
    </w:pPr>
  </w:style>
  <w:style w:type="paragraph" w:customStyle="1" w:styleId="80">
    <w:name w:val="其他发布日期"/>
    <w:basedOn w:val="81"/>
    <w:qFormat/>
    <w:uiPriority w:val="0"/>
    <w:pPr>
      <w:framePr w:wrap="around" w:vAnchor="page" w:hAnchor="text" w:x="1419"/>
    </w:pPr>
  </w:style>
  <w:style w:type="paragraph" w:customStyle="1" w:styleId="81">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2">
    <w:name w:val="正文公式编号制表符"/>
    <w:basedOn w:val="63"/>
    <w:next w:val="63"/>
    <w:qFormat/>
    <w:uiPriority w:val="0"/>
    <w:pPr>
      <w:ind w:firstLine="0" w:firstLineChars="0"/>
    </w:pPr>
  </w:style>
  <w:style w:type="paragraph" w:customStyle="1" w:styleId="83">
    <w:name w:val="正文表标题"/>
    <w:next w:val="63"/>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4">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85">
    <w:name w:val="一级无"/>
    <w:basedOn w:val="69"/>
    <w:qFormat/>
    <w:uiPriority w:val="0"/>
  </w:style>
  <w:style w:type="paragraph" w:customStyle="1" w:styleId="86">
    <w:name w:val="图的脚注"/>
    <w:next w:val="63"/>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87">
    <w:name w:val="图标脚注说明"/>
    <w:basedOn w:val="63"/>
    <w:qFormat/>
    <w:uiPriority w:val="0"/>
    <w:pPr>
      <w:ind w:left="840" w:hanging="420" w:firstLineChars="0"/>
    </w:pPr>
    <w:rPr>
      <w:sz w:val="18"/>
      <w:szCs w:val="18"/>
    </w:rPr>
  </w:style>
  <w:style w:type="paragraph" w:customStyle="1" w:styleId="88">
    <w:name w:val="示例后文字"/>
    <w:basedOn w:val="63"/>
    <w:next w:val="63"/>
    <w:qFormat/>
    <w:uiPriority w:val="0"/>
    <w:pPr>
      <w:ind w:firstLine="360"/>
    </w:pPr>
    <w:rPr>
      <w:sz w:val="18"/>
    </w:rPr>
  </w:style>
  <w:style w:type="paragraph" w:customStyle="1" w:styleId="89">
    <w:name w:val="实施日期"/>
    <w:basedOn w:val="81"/>
    <w:qFormat/>
    <w:uiPriority w:val="0"/>
    <w:pPr>
      <w:framePr w:wrap="around" w:vAnchor="page" w:hAnchor="text"/>
      <w:jc w:val="right"/>
    </w:pPr>
  </w:style>
  <w:style w:type="paragraph" w:customStyle="1" w:styleId="90">
    <w:name w:val="前言、引言标题"/>
    <w:next w:val="63"/>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3">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94">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95">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96">
    <w:name w:val="条文脚注"/>
    <w:basedOn w:val="27"/>
    <w:qFormat/>
    <w:uiPriority w:val="0"/>
    <w:pPr>
      <w:ind w:left="0" w:firstLine="0"/>
      <w:jc w:val="both"/>
    </w:pPr>
  </w:style>
  <w:style w:type="paragraph" w:customStyle="1" w:styleId="97">
    <w:name w:val="附录一级无"/>
    <w:basedOn w:val="98"/>
    <w:qFormat/>
    <w:uiPriority w:val="0"/>
    <w:pPr>
      <w:tabs>
        <w:tab w:val="left" w:pos="360"/>
      </w:tabs>
      <w:spacing w:beforeLines="0" w:afterLines="0"/>
    </w:pPr>
    <w:rPr>
      <w:rFonts w:ascii="宋体" w:eastAsia="宋体"/>
      <w:szCs w:val="21"/>
    </w:rPr>
  </w:style>
  <w:style w:type="paragraph" w:customStyle="1" w:styleId="98">
    <w:name w:val="附录一级条标题"/>
    <w:basedOn w:val="99"/>
    <w:next w:val="63"/>
    <w:qFormat/>
    <w:uiPriority w:val="0"/>
    <w:pPr>
      <w:tabs>
        <w:tab w:val="left" w:pos="360"/>
      </w:tabs>
      <w:autoSpaceDN w:val="0"/>
      <w:spacing w:beforeLines="50" w:afterLines="50"/>
      <w:outlineLvl w:val="2"/>
    </w:pPr>
  </w:style>
  <w:style w:type="paragraph" w:customStyle="1" w:styleId="99">
    <w:name w:val="附录章标题"/>
    <w:next w:val="63"/>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0">
    <w:name w:val="附录五级无"/>
    <w:basedOn w:val="101"/>
    <w:qFormat/>
    <w:uiPriority w:val="0"/>
    <w:pPr>
      <w:tabs>
        <w:tab w:val="left" w:pos="360"/>
      </w:tabs>
      <w:spacing w:beforeLines="0" w:afterLines="0"/>
    </w:pPr>
    <w:rPr>
      <w:rFonts w:ascii="宋体" w:eastAsia="宋体"/>
      <w:szCs w:val="21"/>
    </w:rPr>
  </w:style>
  <w:style w:type="paragraph" w:customStyle="1" w:styleId="101">
    <w:name w:val="附录五级条标题"/>
    <w:basedOn w:val="102"/>
    <w:next w:val="63"/>
    <w:qFormat/>
    <w:uiPriority w:val="0"/>
    <w:pPr>
      <w:tabs>
        <w:tab w:val="left" w:pos="360"/>
      </w:tabs>
      <w:outlineLvl w:val="6"/>
    </w:pPr>
  </w:style>
  <w:style w:type="paragraph" w:customStyle="1" w:styleId="102">
    <w:name w:val="附录四级条标题"/>
    <w:basedOn w:val="103"/>
    <w:next w:val="63"/>
    <w:qFormat/>
    <w:uiPriority w:val="0"/>
    <w:pPr>
      <w:tabs>
        <w:tab w:val="left" w:pos="360"/>
      </w:tabs>
    </w:pPr>
  </w:style>
  <w:style w:type="paragraph" w:customStyle="1" w:styleId="103">
    <w:name w:val="附录三级条标题"/>
    <w:basedOn w:val="104"/>
    <w:next w:val="63"/>
    <w:qFormat/>
    <w:uiPriority w:val="0"/>
    <w:pPr>
      <w:tabs>
        <w:tab w:val="left" w:pos="360"/>
      </w:tabs>
    </w:pPr>
  </w:style>
  <w:style w:type="paragraph" w:customStyle="1" w:styleId="104">
    <w:name w:val="附录二级条标题"/>
    <w:basedOn w:val="1"/>
    <w:next w:val="63"/>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5">
    <w:name w:val="附录图标题"/>
    <w:basedOn w:val="1"/>
    <w:next w:val="63"/>
    <w:qFormat/>
    <w:uiPriority w:val="0"/>
    <w:pPr>
      <w:tabs>
        <w:tab w:val="left" w:pos="363"/>
      </w:tabs>
      <w:spacing w:beforeLines="50" w:afterLines="50"/>
      <w:jc w:val="center"/>
    </w:pPr>
    <w:rPr>
      <w:rFonts w:ascii="黑体" w:eastAsia="黑体"/>
      <w:szCs w:val="21"/>
    </w:rPr>
  </w:style>
  <w:style w:type="paragraph" w:customStyle="1" w:styleId="106">
    <w:name w:val="附录图标号"/>
    <w:basedOn w:val="1"/>
    <w:qFormat/>
    <w:uiPriority w:val="0"/>
    <w:pPr>
      <w:keepNext/>
      <w:pageBreakBefore/>
      <w:spacing w:line="14" w:lineRule="exact"/>
      <w:ind w:firstLine="363"/>
      <w:jc w:val="center"/>
      <w:outlineLvl w:val="0"/>
    </w:pPr>
    <w:rPr>
      <w:color w:val="FFFFFF"/>
    </w:rPr>
  </w:style>
  <w:style w:type="paragraph" w:customStyle="1" w:styleId="107">
    <w:name w:val="附录四级无"/>
    <w:basedOn w:val="102"/>
    <w:qFormat/>
    <w:uiPriority w:val="0"/>
    <w:pPr>
      <w:tabs>
        <w:tab w:val="clear" w:pos="360"/>
      </w:tabs>
      <w:spacing w:beforeLines="0" w:afterLines="0"/>
      <w:outlineLvl w:val="5"/>
    </w:pPr>
    <w:rPr>
      <w:rFonts w:ascii="宋体" w:eastAsia="宋体"/>
      <w:szCs w:val="21"/>
    </w:rPr>
  </w:style>
  <w:style w:type="paragraph" w:customStyle="1" w:styleId="108">
    <w:name w:val="附录三级无"/>
    <w:basedOn w:val="103"/>
    <w:qFormat/>
    <w:uiPriority w:val="0"/>
  </w:style>
  <w:style w:type="paragraph" w:customStyle="1" w:styleId="109">
    <w:name w:val="注："/>
    <w:next w:val="63"/>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0">
    <w:name w:val="附录公式编号制表符"/>
    <w:basedOn w:val="1"/>
    <w:next w:val="63"/>
    <w:qFormat/>
    <w:uiPriority w:val="0"/>
    <w:pPr>
      <w:tabs>
        <w:tab w:val="center" w:pos="4201"/>
        <w:tab w:val="right" w:leader="dot" w:pos="9298"/>
      </w:tabs>
      <w:autoSpaceDE w:val="0"/>
      <w:autoSpaceDN w:val="0"/>
    </w:pPr>
    <w:rPr>
      <w:rFonts w:ascii="宋体"/>
      <w:kern w:val="0"/>
      <w:szCs w:val="20"/>
    </w:rPr>
  </w:style>
  <w:style w:type="paragraph" w:customStyle="1" w:styleId="111">
    <w:name w:val="附录二级无"/>
    <w:basedOn w:val="104"/>
    <w:qFormat/>
    <w:uiPriority w:val="0"/>
  </w:style>
  <w:style w:type="paragraph" w:customStyle="1" w:styleId="112">
    <w:name w:val="附录标题"/>
    <w:basedOn w:val="63"/>
    <w:next w:val="63"/>
    <w:qFormat/>
    <w:uiPriority w:val="0"/>
    <w:pPr>
      <w:ind w:firstLine="0" w:firstLineChars="0"/>
      <w:jc w:val="center"/>
    </w:pPr>
    <w:rPr>
      <w:rFonts w:ascii="黑体" w:eastAsia="黑体"/>
    </w:rPr>
  </w:style>
  <w:style w:type="paragraph" w:customStyle="1" w:styleId="113">
    <w:name w:val="参考文献"/>
    <w:basedOn w:val="1"/>
    <w:next w:val="63"/>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4">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15">
    <w:name w:val="封面标准文稿类别"/>
    <w:basedOn w:val="76"/>
    <w:qFormat/>
    <w:uiPriority w:val="0"/>
    <w:pPr>
      <w:framePr w:wrap="around"/>
      <w:spacing w:after="160" w:line="240" w:lineRule="auto"/>
    </w:pPr>
    <w:rPr>
      <w:sz w:val="24"/>
    </w:rPr>
  </w:style>
  <w:style w:type="paragraph" w:customStyle="1" w:styleId="116">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17">
    <w:name w:val="其他实施日期"/>
    <w:basedOn w:val="89"/>
    <w:qFormat/>
    <w:uiPriority w:val="0"/>
    <w:pPr>
      <w:framePr w:wrap="around" w:vAnchor="margin" w:hAnchor="page"/>
    </w:pPr>
  </w:style>
  <w:style w:type="paragraph" w:customStyle="1" w:styleId="11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9">
    <w:name w:val="发布部门"/>
    <w:next w:val="63"/>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0">
    <w:name w:val="注：（正文）"/>
    <w:basedOn w:val="109"/>
    <w:next w:val="63"/>
    <w:qFormat/>
    <w:uiPriority w:val="0"/>
  </w:style>
  <w:style w:type="paragraph" w:customStyle="1" w:styleId="121">
    <w:name w:val="参考文献、索引标题"/>
    <w:basedOn w:val="1"/>
    <w:next w:val="63"/>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4">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25">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26">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27">
    <w:name w:val="示例×："/>
    <w:basedOn w:val="128"/>
    <w:qFormat/>
    <w:uiPriority w:val="0"/>
    <w:pPr>
      <w:spacing w:beforeLines="0" w:afterLines="0"/>
      <w:ind w:firstLine="363"/>
      <w:outlineLvl w:val="9"/>
    </w:pPr>
    <w:rPr>
      <w:rFonts w:ascii="宋体" w:eastAsia="宋体"/>
      <w:sz w:val="18"/>
      <w:szCs w:val="18"/>
    </w:rPr>
  </w:style>
  <w:style w:type="paragraph" w:customStyle="1" w:styleId="128">
    <w:name w:val="章标题"/>
    <w:next w:val="63"/>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29">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0">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1">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2">
    <w:name w:val="五级无"/>
    <w:basedOn w:val="133"/>
    <w:qFormat/>
    <w:uiPriority w:val="0"/>
    <w:pPr>
      <w:spacing w:beforeLines="0" w:afterLines="0"/>
      <w:outlineLvl w:val="6"/>
    </w:pPr>
    <w:rPr>
      <w:rFonts w:ascii="宋体" w:eastAsia="宋体"/>
    </w:rPr>
  </w:style>
  <w:style w:type="paragraph" w:customStyle="1" w:styleId="133">
    <w:name w:val="五级条标题"/>
    <w:basedOn w:val="134"/>
    <w:next w:val="63"/>
    <w:qFormat/>
    <w:uiPriority w:val="0"/>
  </w:style>
  <w:style w:type="paragraph" w:customStyle="1" w:styleId="134">
    <w:name w:val="四级条标题"/>
    <w:basedOn w:val="135"/>
    <w:next w:val="63"/>
    <w:qFormat/>
    <w:uiPriority w:val="0"/>
  </w:style>
  <w:style w:type="paragraph" w:customStyle="1" w:styleId="135">
    <w:name w:val="三级条标题"/>
    <w:basedOn w:val="136"/>
    <w:next w:val="63"/>
    <w:qFormat/>
    <w:uiPriority w:val="0"/>
  </w:style>
  <w:style w:type="paragraph" w:customStyle="1" w:styleId="136">
    <w:name w:val="二级条标题"/>
    <w:basedOn w:val="69"/>
    <w:next w:val="63"/>
    <w:qFormat/>
    <w:uiPriority w:val="0"/>
  </w:style>
  <w:style w:type="paragraph" w:customStyle="1" w:styleId="137">
    <w:name w:val="四级无"/>
    <w:basedOn w:val="134"/>
    <w:qFormat/>
    <w:uiPriority w:val="0"/>
  </w:style>
  <w:style w:type="paragraph" w:customStyle="1" w:styleId="138">
    <w:name w:val="三级无"/>
    <w:basedOn w:val="135"/>
    <w:qFormat/>
    <w:uiPriority w:val="0"/>
  </w:style>
  <w:style w:type="paragraph" w:customStyle="1" w:styleId="139">
    <w:name w:val="其他标准标志"/>
    <w:basedOn w:val="123"/>
    <w:qFormat/>
    <w:uiPriority w:val="0"/>
    <w:pPr>
      <w:framePr w:w="6101" w:wrap="around" w:vAnchor="page" w:hAnchor="page" w:x="4673" w:y="942"/>
    </w:pPr>
    <w:rPr>
      <w:w w:val="130"/>
    </w:rPr>
  </w:style>
  <w:style w:type="paragraph" w:customStyle="1" w:styleId="140">
    <w:name w:val="目次、标准名称标题"/>
    <w:basedOn w:val="1"/>
    <w:next w:val="63"/>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2">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3">
    <w:name w:val="批注框文本 字符"/>
    <w:basedOn w:val="39"/>
    <w:link w:val="21"/>
    <w:semiHidden/>
    <w:qFormat/>
    <w:uiPriority w:val="99"/>
    <w:rPr>
      <w:rFonts w:ascii="Times New Roman" w:hAnsi="Times New Roman" w:eastAsia="宋体" w:cs="Times New Roman"/>
      <w:sz w:val="18"/>
      <w:szCs w:val="18"/>
    </w:rPr>
  </w:style>
  <w:style w:type="paragraph" w:customStyle="1" w:styleId="144">
    <w:name w:val="列项◆（三级）"/>
    <w:basedOn w:val="1"/>
    <w:qFormat/>
    <w:uiPriority w:val="99"/>
    <w:pPr>
      <w:tabs>
        <w:tab w:val="left" w:pos="969"/>
      </w:tabs>
      <w:ind w:left="969" w:hanging="414"/>
    </w:pPr>
    <w:rPr>
      <w:rFonts w:ascii="宋体"/>
      <w:szCs w:val="21"/>
    </w:rPr>
  </w:style>
  <w:style w:type="paragraph" w:customStyle="1" w:styleId="145">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46">
    <w:name w:val="页眉 字符"/>
    <w:basedOn w:val="39"/>
    <w:link w:val="23"/>
    <w:semiHidden/>
    <w:qFormat/>
    <w:uiPriority w:val="99"/>
    <w:rPr>
      <w:rFonts w:ascii="Times New Roman" w:hAnsi="Times New Roman" w:eastAsia="宋体" w:cs="Times New Roman"/>
      <w:sz w:val="18"/>
      <w:szCs w:val="18"/>
    </w:rPr>
  </w:style>
  <w:style w:type="paragraph" w:customStyle="1" w:styleId="147">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48">
    <w:name w:val="其他发布部门"/>
    <w:basedOn w:val="119"/>
    <w:qFormat/>
    <w:uiPriority w:val="0"/>
    <w:pPr>
      <w:framePr w:wrap="around" w:y="15310"/>
      <w:spacing w:line="0" w:lineRule="atLeast"/>
    </w:pPr>
    <w:rPr>
      <w:rFonts w:ascii="黑体" w:eastAsia="黑体"/>
      <w:b w:val="0"/>
    </w:rPr>
  </w:style>
  <w:style w:type="paragraph" w:customStyle="1" w:styleId="149">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0">
    <w:name w:val="正文图标题"/>
    <w:next w:val="63"/>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1">
    <w:name w:val="HTML 预设格式 字符"/>
    <w:basedOn w:val="39"/>
    <w:link w:val="31"/>
    <w:semiHidden/>
    <w:qFormat/>
    <w:uiPriority w:val="99"/>
    <w:rPr>
      <w:rFonts w:ascii="Courier New" w:hAnsi="Courier New" w:eastAsia="宋体" w:cs="Courier New"/>
      <w:sz w:val="20"/>
      <w:szCs w:val="20"/>
    </w:rPr>
  </w:style>
  <w:style w:type="paragraph" w:customStyle="1" w:styleId="152">
    <w:name w:val="附录标识"/>
    <w:basedOn w:val="1"/>
    <w:next w:val="63"/>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3">
    <w:name w:val="脚注文本 字符"/>
    <w:basedOn w:val="39"/>
    <w:link w:val="27"/>
    <w:semiHidden/>
    <w:qFormat/>
    <w:uiPriority w:val="99"/>
    <w:rPr>
      <w:rFonts w:ascii="Times New Roman" w:hAnsi="Times New Roman" w:eastAsia="宋体" w:cs="Times New Roman"/>
      <w:sz w:val="18"/>
      <w:szCs w:val="18"/>
    </w:rPr>
  </w:style>
  <w:style w:type="paragraph" w:customStyle="1" w:styleId="154">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55">
    <w:name w:val="二级无"/>
    <w:basedOn w:val="136"/>
    <w:qFormat/>
    <w:uiPriority w:val="0"/>
  </w:style>
  <w:style w:type="paragraph" w:customStyle="1" w:styleId="156">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57">
    <w:name w:val="正文文本缩进 2 字符"/>
    <w:basedOn w:val="39"/>
    <w:link w:val="19"/>
    <w:semiHidden/>
    <w:qFormat/>
    <w:uiPriority w:val="99"/>
    <w:rPr>
      <w:rFonts w:ascii="Times New Roman" w:hAnsi="Times New Roman" w:eastAsia="宋体" w:cs="Times New Roman"/>
      <w:szCs w:val="24"/>
    </w:rPr>
  </w:style>
  <w:style w:type="paragraph" w:customStyle="1" w:styleId="158">
    <w:name w:val="封面标准文稿编辑信息2"/>
    <w:basedOn w:val="159"/>
    <w:qFormat/>
    <w:uiPriority w:val="0"/>
    <w:pPr>
      <w:framePr w:wrap="around" w:y="4469"/>
    </w:pPr>
  </w:style>
  <w:style w:type="paragraph" w:customStyle="1" w:styleId="159">
    <w:name w:val="封面标准文稿编辑信息"/>
    <w:basedOn w:val="115"/>
    <w:qFormat/>
    <w:uiPriority w:val="0"/>
    <w:pPr>
      <w:framePr w:wrap="around"/>
      <w:spacing w:before="180" w:line="180" w:lineRule="exact"/>
    </w:pPr>
    <w:rPr>
      <w:sz w:val="21"/>
    </w:rPr>
  </w:style>
  <w:style w:type="paragraph" w:customStyle="1" w:styleId="160">
    <w:name w:val="附录表标题"/>
    <w:basedOn w:val="1"/>
    <w:next w:val="63"/>
    <w:qFormat/>
    <w:uiPriority w:val="0"/>
    <w:pPr>
      <w:tabs>
        <w:tab w:val="left" w:pos="180"/>
      </w:tabs>
      <w:spacing w:beforeLines="50" w:afterLines="50"/>
      <w:jc w:val="center"/>
    </w:pPr>
    <w:rPr>
      <w:rFonts w:ascii="黑体" w:eastAsia="黑体"/>
      <w:szCs w:val="21"/>
    </w:rPr>
  </w:style>
  <w:style w:type="paragraph" w:customStyle="1" w:styleId="161">
    <w:name w:val="标准书眉_偶数页"/>
    <w:basedOn w:val="145"/>
    <w:next w:val="1"/>
    <w:qFormat/>
    <w:uiPriority w:val="0"/>
    <w:pPr>
      <w:jc w:val="left"/>
    </w:pPr>
  </w:style>
  <w:style w:type="paragraph" w:customStyle="1" w:styleId="162">
    <w:name w:val="附录表标号"/>
    <w:basedOn w:val="1"/>
    <w:next w:val="63"/>
    <w:qFormat/>
    <w:uiPriority w:val="0"/>
    <w:pPr>
      <w:spacing w:line="14" w:lineRule="exact"/>
      <w:ind w:left="811" w:hanging="448"/>
      <w:jc w:val="center"/>
      <w:outlineLvl w:val="0"/>
    </w:pPr>
    <w:rPr>
      <w:color w:val="FFFFFF"/>
    </w:rPr>
  </w:style>
  <w:style w:type="paragraph" w:customStyle="1" w:styleId="163">
    <w:name w:val="图表脚注说明"/>
    <w:basedOn w:val="1"/>
    <w:qFormat/>
    <w:uiPriority w:val="0"/>
    <w:pPr>
      <w:ind w:left="544" w:hanging="181"/>
    </w:pPr>
    <w:rPr>
      <w:rFonts w:ascii="宋体"/>
      <w:sz w:val="18"/>
      <w:szCs w:val="18"/>
    </w:rPr>
  </w:style>
  <w:style w:type="character" w:customStyle="1" w:styleId="164">
    <w:name w:val="页脚 字符"/>
    <w:basedOn w:val="39"/>
    <w:link w:val="22"/>
    <w:semiHidden/>
    <w:qFormat/>
    <w:uiPriority w:val="99"/>
    <w:rPr>
      <w:rFonts w:ascii="Times New Roman" w:hAnsi="Times New Roman" w:eastAsia="宋体" w:cs="Times New Roman"/>
      <w:sz w:val="18"/>
      <w:szCs w:val="18"/>
    </w:rPr>
  </w:style>
  <w:style w:type="character" w:customStyle="1" w:styleId="165">
    <w:name w:val="批注文字 字符"/>
    <w:basedOn w:val="39"/>
    <w:link w:val="10"/>
    <w:semiHidden/>
    <w:qFormat/>
    <w:uiPriority w:val="99"/>
    <w:rPr>
      <w:rFonts w:ascii="Times New Roman" w:hAnsi="Times New Roman" w:eastAsia="宋体" w:cs="Times New Roman"/>
      <w:szCs w:val="24"/>
    </w:rPr>
  </w:style>
  <w:style w:type="paragraph" w:customStyle="1" w:styleId="166">
    <w:name w:val="封面标准名称2"/>
    <w:basedOn w:val="78"/>
    <w:qFormat/>
    <w:uiPriority w:val="0"/>
    <w:pPr>
      <w:framePr w:wrap="around" w:y="4469"/>
      <w:spacing w:beforeLines="630"/>
    </w:pPr>
  </w:style>
  <w:style w:type="character" w:customStyle="1" w:styleId="167">
    <w:name w:val="日期 字符"/>
    <w:basedOn w:val="39"/>
    <w:link w:val="18"/>
    <w:semiHidden/>
    <w:qFormat/>
    <w:uiPriority w:val="99"/>
    <w:rPr>
      <w:rFonts w:ascii="Times New Roman" w:hAnsi="Times New Roman" w:eastAsia="宋体" w:cs="Times New Roman"/>
      <w:szCs w:val="24"/>
    </w:rPr>
  </w:style>
  <w:style w:type="character" w:customStyle="1" w:styleId="168">
    <w:name w:val="文档结构图 字符"/>
    <w:basedOn w:val="39"/>
    <w:link w:val="9"/>
    <w:semiHidden/>
    <w:qFormat/>
    <w:uiPriority w:val="99"/>
    <w:rPr>
      <w:rFonts w:ascii="宋体" w:hAnsi="Times New Roman" w:eastAsia="宋体" w:cs="Times New Roman"/>
      <w:sz w:val="18"/>
      <w:szCs w:val="18"/>
    </w:rPr>
  </w:style>
  <w:style w:type="paragraph" w:customStyle="1" w:styleId="169">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0">
    <w:name w:val="封面标准文稿类别2"/>
    <w:basedOn w:val="115"/>
    <w:qFormat/>
    <w:uiPriority w:val="0"/>
    <w:pPr>
      <w:framePr w:wrap="around" w:y="4469"/>
    </w:pPr>
  </w:style>
  <w:style w:type="paragraph" w:customStyle="1" w:styleId="171">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2">
    <w:name w:val="终结线"/>
    <w:basedOn w:val="1"/>
    <w:qFormat/>
    <w:uiPriority w:val="0"/>
    <w:pPr>
      <w:framePr w:hSpace="181" w:vSpace="181" w:wrap="around" w:vAnchor="text" w:hAnchor="margin" w:xAlign="center" w:y="285"/>
    </w:pPr>
  </w:style>
  <w:style w:type="character" w:customStyle="1" w:styleId="173">
    <w:name w:val="批注主题 字符"/>
    <w:basedOn w:val="165"/>
    <w:link w:val="35"/>
    <w:semiHidden/>
    <w:qFormat/>
    <w:uiPriority w:val="99"/>
    <w:rPr>
      <w:rFonts w:ascii="Times New Roman" w:hAnsi="Times New Roman" w:eastAsia="宋体" w:cs="Times New Roman"/>
      <w:b/>
      <w:bCs/>
      <w:szCs w:val="24"/>
    </w:rPr>
  </w:style>
  <w:style w:type="character" w:customStyle="1" w:styleId="174">
    <w:name w:val="尾注文本 字符"/>
    <w:basedOn w:val="39"/>
    <w:link w:val="20"/>
    <w:semiHidden/>
    <w:qFormat/>
    <w:uiPriority w:val="99"/>
    <w:rPr>
      <w:rFonts w:ascii="Times New Roman" w:hAnsi="Times New Roman" w:eastAsia="宋体" w:cs="Times New Roman"/>
      <w:szCs w:val="24"/>
    </w:rPr>
  </w:style>
  <w:style w:type="paragraph" w:customStyle="1" w:styleId="175">
    <w:name w:val="示例"/>
    <w:next w:val="126"/>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76">
    <w:name w:val="正文文本 3 字符"/>
    <w:basedOn w:val="39"/>
    <w:link w:val="12"/>
    <w:semiHidden/>
    <w:qFormat/>
    <w:uiPriority w:val="99"/>
    <w:rPr>
      <w:rFonts w:ascii="Times New Roman" w:hAnsi="Times New Roman" w:eastAsia="宋体" w:cs="Times New Roman"/>
      <w:sz w:val="16"/>
      <w:szCs w:val="16"/>
    </w:rPr>
  </w:style>
  <w:style w:type="character" w:customStyle="1" w:styleId="177">
    <w:name w:val="标题 字符"/>
    <w:basedOn w:val="39"/>
    <w:link w:val="34"/>
    <w:qFormat/>
    <w:uiPriority w:val="0"/>
    <w:rPr>
      <w:rFonts w:ascii="Arial" w:hAnsi="Arial" w:eastAsia="宋体" w:cs="Times New Roman"/>
      <w:b/>
      <w:kern w:val="0"/>
      <w:sz w:val="32"/>
      <w:szCs w:val="20"/>
    </w:rPr>
  </w:style>
  <w:style w:type="paragraph" w:customStyle="1" w:styleId="178">
    <w:name w:val="p0"/>
    <w:basedOn w:val="1"/>
    <w:qFormat/>
    <w:uiPriority w:val="0"/>
    <w:pPr>
      <w:spacing w:line="240" w:lineRule="auto"/>
      <w:jc w:val="both"/>
    </w:pPr>
    <w:rPr>
      <w:kern w:val="0"/>
      <w:szCs w:val="21"/>
    </w:rPr>
  </w:style>
  <w:style w:type="character" w:customStyle="1" w:styleId="179">
    <w:name w:val="纯文本 字符"/>
    <w:basedOn w:val="39"/>
    <w:link w:val="16"/>
    <w:qFormat/>
    <w:uiPriority w:val="99"/>
    <w:rPr>
      <w:rFonts w:ascii="宋体" w:hAnsi="Courier New" w:eastAsia="宋体" w:cs="Courier New"/>
      <w:szCs w:val="21"/>
    </w:rPr>
  </w:style>
  <w:style w:type="paragraph" w:customStyle="1" w:styleId="18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1">
    <w:name w:val="正文文本 字符"/>
    <w:basedOn w:val="39"/>
    <w:link w:val="13"/>
    <w:semiHidden/>
    <w:qFormat/>
    <w:uiPriority w:val="99"/>
    <w:rPr>
      <w:kern w:val="2"/>
      <w:sz w:val="21"/>
      <w:szCs w:val="24"/>
    </w:rPr>
  </w:style>
  <w:style w:type="paragraph" w:customStyle="1" w:styleId="182">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3">
    <w:name w:val="标题 4 字符"/>
    <w:basedOn w:val="39"/>
    <w:link w:val="5"/>
    <w:semiHidden/>
    <w:qFormat/>
    <w:uiPriority w:val="9"/>
    <w:rPr>
      <w:rFonts w:asciiTheme="majorHAnsi" w:hAnsiTheme="majorHAnsi" w:eastAsiaTheme="majorEastAsia" w:cstheme="majorBidi"/>
      <w:b/>
      <w:bCs/>
      <w:kern w:val="2"/>
      <w:sz w:val="28"/>
      <w:szCs w:val="28"/>
    </w:rPr>
  </w:style>
  <w:style w:type="paragraph" w:customStyle="1" w:styleId="184">
    <w:name w:val="_Style 2"/>
    <w:basedOn w:val="4"/>
    <w:next w:val="1"/>
    <w:qFormat/>
    <w:uiPriority w:val="0"/>
    <w:pPr>
      <w:spacing w:before="480" w:after="0" w:line="276" w:lineRule="auto"/>
      <w:outlineLvl w:val="9"/>
    </w:pPr>
    <w:rPr>
      <w:rFonts w:ascii="Cambria" w:hAnsi="Cambria"/>
      <w:color w:val="365F91"/>
      <w:kern w:val="0"/>
      <w:sz w:val="28"/>
      <w:szCs w:val="28"/>
    </w:rPr>
  </w:style>
  <w:style w:type="paragraph" w:customStyle="1" w:styleId="18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ACCD6C-217F-40B0-82C1-42DA7BA2403D}">
  <ds:schemaRefs/>
</ds:datastoreItem>
</file>

<file path=docProps/app.xml><?xml version="1.0" encoding="utf-8"?>
<Properties xmlns="http://schemas.openxmlformats.org/officeDocument/2006/extended-properties" xmlns:vt="http://schemas.openxmlformats.org/officeDocument/2006/docPropsVTypes">
  <Template>738F129A</Template>
  <Company>china</Company>
  <Pages>55</Pages>
  <Words>27040</Words>
  <Characters>29058</Characters>
  <Lines>74</Lines>
  <Paragraphs>62</Paragraphs>
  <TotalTime>2</TotalTime>
  <ScaleCrop>false</ScaleCrop>
  <LinksUpToDate>false</LinksUpToDate>
  <CharactersWithSpaces>31121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2021-09-07T07:24:00Z</dcterms:created>
  <dc:creator>杨玲</dc:creator>
  <cp:lastModifiedBy>蔡艳</cp:lastModifiedBy>
  <cp:lastPrinted>2021-10-27T06:00:00Z</cp:lastPrinted>
  <dcterms:modified xsi:type="dcterms:W3CDTF">2022-08-02T03:14:12Z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20187E4216284010B8E0511CEEBBDBFD</vt:lpwstr>
  </property>
</Properties>
</file>