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800" w:lineRule="exact"/>
        <w:jc w:val="distribute"/>
        <w:rPr>
          <w:rFonts w:ascii="楷体" w:hAnsi="楷体" w:eastAsia="楷体" w:cs="微软雅黑"/>
          <w:b/>
          <w:sz w:val="56"/>
          <w:szCs w:val="72"/>
        </w:rPr>
      </w:pPr>
    </w:p>
    <w:p>
      <w:pPr>
        <w:snapToGrid w:val="0"/>
        <w:spacing w:line="900" w:lineRule="exact"/>
        <w:jc w:val="center"/>
        <w:rPr>
          <w:rFonts w:ascii="黑体" w:hAnsi="黑体" w:eastAsia="黑体"/>
          <w:b/>
          <w:bCs/>
          <w:sz w:val="52"/>
          <w:szCs w:val="52"/>
        </w:rPr>
      </w:pPr>
      <w:r>
        <w:rPr>
          <w:rFonts w:hint="eastAsia" w:ascii="黑体" w:hAnsi="黑体" w:eastAsia="黑体"/>
          <w:b/>
          <w:bCs/>
          <w:sz w:val="52"/>
          <w:szCs w:val="52"/>
        </w:rPr>
        <w:t>岳阳城陵矶港务有限责任公司</w:t>
      </w:r>
    </w:p>
    <w:p>
      <w:pPr>
        <w:snapToGrid w:val="0"/>
        <w:spacing w:line="900" w:lineRule="exact"/>
        <w:jc w:val="center"/>
        <w:rPr>
          <w:rFonts w:ascii="黑体" w:hAnsi="黑体" w:eastAsia="黑体"/>
          <w:b/>
          <w:bCs/>
          <w:sz w:val="52"/>
          <w:szCs w:val="52"/>
        </w:rPr>
      </w:pPr>
      <w:r>
        <w:rPr>
          <w:rFonts w:hint="eastAsia" w:ascii="黑体" w:hAnsi="黑体" w:eastAsia="黑体"/>
          <w:b/>
          <w:bCs/>
          <w:sz w:val="52"/>
          <w:szCs w:val="52"/>
        </w:rPr>
        <w:t>城港囤船6</w:t>
      </w:r>
      <w:r>
        <w:rPr>
          <w:rFonts w:ascii="黑体" w:hAnsi="黑体" w:eastAsia="黑体"/>
          <w:b/>
          <w:bCs/>
          <w:sz w:val="52"/>
          <w:szCs w:val="52"/>
        </w:rPr>
        <w:t>5-2</w:t>
      </w:r>
      <w:r>
        <w:rPr>
          <w:rFonts w:hint="eastAsia" w:ascii="黑体" w:hAnsi="黑体" w:eastAsia="黑体"/>
          <w:b/>
          <w:bCs/>
          <w:sz w:val="52"/>
          <w:szCs w:val="52"/>
        </w:rPr>
        <w:t>特检坞修项目</w:t>
      </w:r>
    </w:p>
    <w:p>
      <w:pPr>
        <w:snapToGrid w:val="0"/>
        <w:spacing w:line="900" w:lineRule="exact"/>
        <w:jc w:val="center"/>
        <w:rPr>
          <w:rFonts w:ascii="黑体" w:hAnsi="黑体" w:eastAsia="黑体"/>
          <w:b/>
          <w:bCs/>
          <w:sz w:val="52"/>
          <w:szCs w:val="52"/>
        </w:rPr>
      </w:pPr>
      <w:r>
        <w:rPr>
          <w:rFonts w:hint="eastAsia" w:ascii="黑体" w:hAnsi="黑体" w:eastAsia="黑体"/>
          <w:b/>
          <w:bCs/>
          <w:sz w:val="52"/>
          <w:szCs w:val="52"/>
        </w:rPr>
        <w:t>采购文件</w:t>
      </w:r>
    </w:p>
    <w:p>
      <w:pPr>
        <w:jc w:val="center"/>
        <w:rPr>
          <w:rFonts w:ascii="宋体" w:hAnsi="宋体" w:cs="宋体"/>
          <w:b/>
          <w:color w:val="000000"/>
          <w:kern w:val="0"/>
          <w:sz w:val="28"/>
          <w:szCs w:val="28"/>
        </w:rPr>
      </w:pPr>
    </w:p>
    <w:p>
      <w:pPr>
        <w:jc w:val="center"/>
        <w:rPr>
          <w:rFonts w:ascii="宋体" w:hAnsi="宋体" w:cs="宋体"/>
          <w:b/>
          <w:color w:val="000000"/>
          <w:kern w:val="0"/>
          <w:sz w:val="28"/>
          <w:szCs w:val="28"/>
        </w:rPr>
      </w:pPr>
    </w:p>
    <w:p>
      <w:pPr>
        <w:snapToGrid w:val="0"/>
        <w:spacing w:line="480" w:lineRule="auto"/>
        <w:jc w:val="center"/>
        <w:rPr>
          <w:b/>
          <w:bCs/>
          <w:sz w:val="48"/>
          <w:szCs w:val="48"/>
        </w:rPr>
      </w:pPr>
      <w:r>
        <w:rPr>
          <w:rFonts w:hint="eastAsia" w:ascii="黑体" w:hAnsi="黑体" w:eastAsia="黑体" w:cs="黑体"/>
          <w:sz w:val="28"/>
          <w:szCs w:val="28"/>
        </w:rPr>
        <w:t>采购编号：省港服（2022）年询第</w:t>
      </w:r>
      <w:r>
        <w:rPr>
          <w:rFonts w:ascii="黑体" w:hAnsi="黑体" w:eastAsia="黑体" w:cs="黑体"/>
          <w:sz w:val="28"/>
          <w:szCs w:val="28"/>
        </w:rPr>
        <w:t xml:space="preserve"> </w:t>
      </w:r>
      <w:r>
        <w:rPr>
          <w:rFonts w:hint="eastAsia" w:ascii="黑体" w:hAnsi="黑体" w:eastAsia="黑体" w:cs="黑体"/>
          <w:sz w:val="28"/>
          <w:szCs w:val="28"/>
          <w:lang w:val="en-US" w:eastAsia="zh-CN"/>
        </w:rPr>
        <w:t>24</w:t>
      </w:r>
      <w:r>
        <w:rPr>
          <w:rFonts w:hint="eastAsia" w:ascii="黑体" w:hAnsi="黑体" w:eastAsia="黑体" w:cs="黑体"/>
          <w:sz w:val="28"/>
          <w:szCs w:val="28"/>
        </w:rPr>
        <w:t>号【城港</w:t>
      </w:r>
      <w:r>
        <w:rPr>
          <w:rFonts w:ascii="黑体" w:hAnsi="黑体" w:eastAsia="黑体" w:cs="黑体"/>
          <w:sz w:val="28"/>
          <w:szCs w:val="28"/>
        </w:rPr>
        <w:t>】</w:t>
      </w:r>
    </w:p>
    <w:p>
      <w:pPr>
        <w:spacing w:line="480" w:lineRule="auto"/>
        <w:jc w:val="center"/>
        <w:rPr>
          <w:rFonts w:ascii="宋体" w:hAnsi="宋体" w:cs="宋体"/>
          <w:b/>
          <w:color w:val="000000"/>
          <w:kern w:val="0"/>
          <w:sz w:val="28"/>
          <w:szCs w:val="28"/>
        </w:rPr>
      </w:pPr>
    </w:p>
    <w:p>
      <w:pPr>
        <w:spacing w:line="480" w:lineRule="auto"/>
        <w:jc w:val="center"/>
        <w:rPr>
          <w:rFonts w:ascii="宋体" w:hAnsi="宋体" w:cs="宋体"/>
          <w:b/>
          <w:color w:val="000000"/>
          <w:kern w:val="0"/>
          <w:sz w:val="28"/>
          <w:szCs w:val="28"/>
        </w:rPr>
      </w:pPr>
    </w:p>
    <w:p>
      <w:pPr>
        <w:spacing w:line="480" w:lineRule="auto"/>
        <w:jc w:val="center"/>
        <w:rPr>
          <w:rFonts w:ascii="宋体" w:hAnsi="宋体" w:cs="宋体"/>
          <w:b/>
          <w:color w:val="000000"/>
          <w:kern w:val="0"/>
          <w:sz w:val="28"/>
          <w:szCs w:val="28"/>
        </w:rPr>
      </w:pPr>
    </w:p>
    <w:p>
      <w:pPr>
        <w:spacing w:line="480" w:lineRule="auto"/>
        <w:jc w:val="center"/>
        <w:rPr>
          <w:rFonts w:ascii="宋体" w:hAnsi="宋体" w:cs="宋体"/>
          <w:b/>
          <w:color w:val="000000"/>
          <w:kern w:val="0"/>
          <w:sz w:val="28"/>
          <w:szCs w:val="28"/>
        </w:rPr>
      </w:pPr>
    </w:p>
    <w:p>
      <w:pPr>
        <w:snapToGrid w:val="0"/>
        <w:spacing w:line="480" w:lineRule="auto"/>
        <w:jc w:val="center"/>
        <w:rPr>
          <w:rFonts w:ascii="黑体" w:hAnsi="黑体" w:eastAsia="黑体"/>
          <w:b/>
          <w:bCs/>
          <w:sz w:val="52"/>
          <w:szCs w:val="48"/>
        </w:rPr>
      </w:pPr>
    </w:p>
    <w:p>
      <w:pPr>
        <w:snapToGrid w:val="0"/>
        <w:spacing w:line="480" w:lineRule="auto"/>
        <w:jc w:val="center"/>
        <w:rPr>
          <w:b/>
          <w:bCs/>
          <w:sz w:val="48"/>
          <w:szCs w:val="48"/>
        </w:rPr>
      </w:pPr>
    </w:p>
    <w:p>
      <w:pPr>
        <w:spacing w:line="600" w:lineRule="exact"/>
      </w:pPr>
    </w:p>
    <w:p>
      <w:pPr>
        <w:tabs>
          <w:tab w:val="left" w:pos="0"/>
          <w:tab w:val="left" w:pos="4185"/>
        </w:tabs>
        <w:spacing w:line="288" w:lineRule="auto"/>
        <w:ind w:right="-6"/>
        <w:jc w:val="center"/>
        <w:rPr>
          <w:rFonts w:ascii="黑体" w:hAnsi="黑体" w:eastAsia="黑体"/>
          <w:sz w:val="40"/>
          <w:szCs w:val="40"/>
        </w:rPr>
      </w:pPr>
      <w:r>
        <w:rPr>
          <w:rFonts w:hint="eastAsia" w:ascii="黑体" w:hAnsi="黑体" w:eastAsia="黑体"/>
          <w:bCs/>
          <w:sz w:val="48"/>
          <w:szCs w:val="48"/>
        </w:rPr>
        <w:t>二О二二年</w:t>
      </w:r>
      <w:r>
        <w:rPr>
          <w:rFonts w:hint="eastAsia" w:ascii="黑体" w:hAnsi="黑体" w:eastAsia="黑体"/>
          <w:bCs/>
          <w:sz w:val="48"/>
          <w:szCs w:val="48"/>
          <w:lang w:val="en-US" w:eastAsia="zh-CN"/>
        </w:rPr>
        <w:t>七</w:t>
      </w:r>
      <w:r>
        <w:rPr>
          <w:rFonts w:hint="eastAsia" w:ascii="黑体" w:hAnsi="黑体" w:eastAsia="黑体"/>
          <w:bCs/>
          <w:sz w:val="48"/>
          <w:szCs w:val="48"/>
        </w:rPr>
        <w:t>月</w:t>
      </w:r>
    </w:p>
    <w:p>
      <w:pPr>
        <w:sectPr>
          <w:pgSz w:w="11906" w:h="16838"/>
          <w:pgMar w:top="1797" w:right="1440" w:bottom="1797" w:left="1440" w:header="907" w:footer="1344" w:gutter="0"/>
          <w:cols w:space="720" w:num="1"/>
          <w:vAlign w:val="both"/>
          <w:docGrid w:linePitch="312" w:charSpace="0"/>
        </w:sectPr>
      </w:pPr>
    </w:p>
    <w:p>
      <w:pPr>
        <w:pStyle w:val="36"/>
      </w:pPr>
    </w:p>
    <w:sdt>
      <w:sdtPr>
        <w:rPr>
          <w:rFonts w:ascii="宋体" w:hAnsi="宋体"/>
          <w:b/>
          <w:bCs/>
          <w:sz w:val="32"/>
          <w:szCs w:val="32"/>
        </w:rPr>
        <w:id w:val="147482724"/>
        <w15:color w:val="DBDBDB"/>
        <w:docPartObj>
          <w:docPartGallery w:val="Table of Contents"/>
          <w:docPartUnique/>
        </w:docPartObj>
      </w:sdtPr>
      <w:sdtEndPr>
        <w:rPr>
          <w:rFonts w:ascii="宋体" w:hAnsi="宋体"/>
          <w:b/>
          <w:bCs/>
          <w:sz w:val="32"/>
          <w:szCs w:val="32"/>
        </w:rPr>
      </w:sdtEndPr>
      <w:sdtContent>
        <w:p>
          <w:pPr>
            <w:spacing w:line="240" w:lineRule="auto"/>
            <w:jc w:val="center"/>
            <w:rPr>
              <w:b/>
              <w:bCs/>
              <w:sz w:val="32"/>
              <w:szCs w:val="32"/>
            </w:rPr>
          </w:pPr>
          <w:r>
            <w:rPr>
              <w:rFonts w:ascii="宋体" w:hAnsi="宋体"/>
              <w:b/>
              <w:bCs/>
              <w:sz w:val="32"/>
              <w:szCs w:val="32"/>
            </w:rPr>
            <w:t>目</w:t>
          </w:r>
          <w:r>
            <w:rPr>
              <w:rFonts w:hint="eastAsia" w:ascii="宋体" w:hAnsi="宋体"/>
              <w:b/>
              <w:bCs/>
              <w:sz w:val="32"/>
              <w:szCs w:val="32"/>
            </w:rPr>
            <w:t xml:space="preserve">   </w:t>
          </w:r>
          <w:r>
            <w:rPr>
              <w:rFonts w:ascii="宋体" w:hAnsi="宋体"/>
              <w:b/>
              <w:bCs/>
              <w:sz w:val="32"/>
              <w:szCs w:val="32"/>
            </w:rPr>
            <w:t>录</w:t>
          </w:r>
        </w:p>
        <w:p>
          <w:pPr>
            <w:pStyle w:val="227"/>
            <w:tabs>
              <w:tab w:val="right" w:leader="dot" w:pos="9746"/>
            </w:tabs>
          </w:pPr>
          <w:r>
            <w:fldChar w:fldCharType="begin"/>
          </w:r>
          <w:r>
            <w:instrText xml:space="preserve">TOC \o "1-1" \h \u </w:instrText>
          </w:r>
          <w:r>
            <w:fldChar w:fldCharType="separate"/>
          </w:r>
          <w:r>
            <w:fldChar w:fldCharType="begin"/>
          </w:r>
          <w:r>
            <w:instrText xml:space="preserve"> HYPERLINK \l "_Toc6314" </w:instrText>
          </w:r>
          <w:r>
            <w:fldChar w:fldCharType="separate"/>
          </w:r>
          <w:r>
            <w:rPr>
              <w:rFonts w:ascii="黑体" w:hAnsi="黑体" w:eastAsia="黑体" w:cs="仿宋"/>
              <w:szCs w:val="44"/>
            </w:rPr>
            <w:t xml:space="preserve">第一章 </w:t>
          </w:r>
          <w:r>
            <w:rPr>
              <w:rFonts w:hint="eastAsia" w:ascii="黑体" w:hAnsi="黑体" w:eastAsia="黑体" w:cs="仿宋"/>
              <w:szCs w:val="44"/>
            </w:rPr>
            <w:t>采购公告</w:t>
          </w:r>
          <w:r>
            <w:tab/>
          </w:r>
          <w:r>
            <w:fldChar w:fldCharType="begin"/>
          </w:r>
          <w:r>
            <w:instrText xml:space="preserve"> PAGEREF _Toc6314 \h </w:instrText>
          </w:r>
          <w:r>
            <w:fldChar w:fldCharType="separate"/>
          </w:r>
          <w:r>
            <w:t>2</w:t>
          </w:r>
          <w:r>
            <w:fldChar w:fldCharType="end"/>
          </w:r>
          <w:r>
            <w:fldChar w:fldCharType="end"/>
          </w:r>
        </w:p>
        <w:p>
          <w:pPr>
            <w:pStyle w:val="227"/>
            <w:tabs>
              <w:tab w:val="right" w:leader="dot" w:pos="9746"/>
            </w:tabs>
          </w:pPr>
          <w:r>
            <w:fldChar w:fldCharType="begin"/>
          </w:r>
          <w:r>
            <w:instrText xml:space="preserve"> HYPERLINK \l "_Toc489" </w:instrText>
          </w:r>
          <w:r>
            <w:fldChar w:fldCharType="separate"/>
          </w:r>
          <w:r>
            <w:rPr>
              <w:rFonts w:hint="eastAsia" w:ascii="黑体" w:hAnsi="黑体" w:eastAsia="黑体"/>
              <w:szCs w:val="32"/>
            </w:rPr>
            <w:t>第二章 供应商须知</w:t>
          </w:r>
          <w:r>
            <w:tab/>
          </w:r>
          <w:r>
            <w:fldChar w:fldCharType="begin"/>
          </w:r>
          <w:r>
            <w:instrText xml:space="preserve"> PAGEREF _Toc489 \h </w:instrText>
          </w:r>
          <w:r>
            <w:fldChar w:fldCharType="separate"/>
          </w:r>
          <w:r>
            <w:t>5</w:t>
          </w:r>
          <w:r>
            <w:fldChar w:fldCharType="end"/>
          </w:r>
          <w:r>
            <w:fldChar w:fldCharType="end"/>
          </w:r>
        </w:p>
        <w:p>
          <w:pPr>
            <w:pStyle w:val="227"/>
            <w:tabs>
              <w:tab w:val="right" w:leader="dot" w:pos="9746"/>
            </w:tabs>
          </w:pPr>
          <w:r>
            <w:fldChar w:fldCharType="begin"/>
          </w:r>
          <w:r>
            <w:instrText xml:space="preserve"> HYPERLINK \l "_Toc18948" </w:instrText>
          </w:r>
          <w:r>
            <w:fldChar w:fldCharType="separate"/>
          </w:r>
          <w:r>
            <w:rPr>
              <w:rFonts w:hint="eastAsia" w:ascii="华文中宋" w:hAnsi="华文中宋" w:eastAsia="华文中宋" w:cs="仿宋"/>
              <w:bCs/>
              <w:szCs w:val="30"/>
            </w:rPr>
            <w:t>第二章 供应商须知正文</w:t>
          </w:r>
          <w:r>
            <w:tab/>
          </w:r>
          <w:r>
            <w:fldChar w:fldCharType="begin"/>
          </w:r>
          <w:r>
            <w:instrText xml:space="preserve"> PAGEREF _Toc18948 \h </w:instrText>
          </w:r>
          <w:r>
            <w:fldChar w:fldCharType="separate"/>
          </w:r>
          <w:r>
            <w:t>9</w:t>
          </w:r>
          <w:r>
            <w:fldChar w:fldCharType="end"/>
          </w:r>
          <w:r>
            <w:fldChar w:fldCharType="end"/>
          </w:r>
        </w:p>
        <w:p>
          <w:pPr>
            <w:pStyle w:val="227"/>
            <w:tabs>
              <w:tab w:val="right" w:leader="dot" w:pos="9746"/>
            </w:tabs>
          </w:pPr>
          <w:r>
            <w:fldChar w:fldCharType="begin"/>
          </w:r>
          <w:r>
            <w:instrText xml:space="preserve"> HYPERLINK \l "_Toc27750" </w:instrText>
          </w:r>
          <w:r>
            <w:fldChar w:fldCharType="separate"/>
          </w:r>
          <w:r>
            <w:rPr>
              <w:rFonts w:hint="eastAsia" w:ascii="黑体" w:hAnsi="黑体" w:eastAsia="黑体" w:cs="仿宋"/>
              <w:bCs/>
              <w:szCs w:val="36"/>
            </w:rPr>
            <w:t>第三章 评审办法</w:t>
          </w:r>
          <w:r>
            <w:tab/>
          </w:r>
          <w:r>
            <w:fldChar w:fldCharType="begin"/>
          </w:r>
          <w:r>
            <w:instrText xml:space="preserve"> PAGEREF _Toc27750 \h </w:instrText>
          </w:r>
          <w:r>
            <w:fldChar w:fldCharType="separate"/>
          </w:r>
          <w:r>
            <w:t>22</w:t>
          </w:r>
          <w:r>
            <w:fldChar w:fldCharType="end"/>
          </w:r>
          <w:r>
            <w:fldChar w:fldCharType="end"/>
          </w:r>
        </w:p>
        <w:p>
          <w:pPr>
            <w:pStyle w:val="227"/>
            <w:tabs>
              <w:tab w:val="right" w:leader="dot" w:pos="9746"/>
            </w:tabs>
          </w:pPr>
          <w:r>
            <w:fldChar w:fldCharType="begin"/>
          </w:r>
          <w:r>
            <w:instrText xml:space="preserve"> HYPERLINK \l "_Toc23588" </w:instrText>
          </w:r>
          <w:r>
            <w:fldChar w:fldCharType="separate"/>
          </w:r>
          <w:r>
            <w:rPr>
              <w:rFonts w:hint="eastAsia" w:ascii="黑体" w:hAnsi="黑体" w:eastAsia="黑体" w:cs="仿宋"/>
              <w:szCs w:val="36"/>
            </w:rPr>
            <w:t>第四章 合同条款及格式</w:t>
          </w:r>
          <w:r>
            <w:tab/>
          </w:r>
          <w:r>
            <w:fldChar w:fldCharType="begin"/>
          </w:r>
          <w:r>
            <w:instrText xml:space="preserve"> PAGEREF _Toc23588 \h </w:instrText>
          </w:r>
          <w:r>
            <w:fldChar w:fldCharType="separate"/>
          </w:r>
          <w:r>
            <w:t>25</w:t>
          </w:r>
          <w:r>
            <w:fldChar w:fldCharType="end"/>
          </w:r>
          <w:r>
            <w:fldChar w:fldCharType="end"/>
          </w:r>
        </w:p>
        <w:p>
          <w:pPr>
            <w:pStyle w:val="227"/>
            <w:tabs>
              <w:tab w:val="right" w:leader="dot" w:pos="9746"/>
            </w:tabs>
          </w:pPr>
          <w:r>
            <w:fldChar w:fldCharType="begin"/>
          </w:r>
          <w:r>
            <w:instrText xml:space="preserve"> HYPERLINK \l "_Toc27625" </w:instrText>
          </w:r>
          <w:r>
            <w:fldChar w:fldCharType="separate"/>
          </w:r>
          <w:r>
            <w:rPr>
              <w:rFonts w:hint="eastAsia" w:ascii="黑体" w:hAnsi="黑体" w:eastAsia="黑体" w:cs="仿宋"/>
              <w:szCs w:val="36"/>
            </w:rPr>
            <w:t>第五章 采购需求</w:t>
          </w:r>
          <w:r>
            <w:tab/>
          </w:r>
          <w:r>
            <w:fldChar w:fldCharType="begin"/>
          </w:r>
          <w:r>
            <w:instrText xml:space="preserve"> PAGEREF _Toc27625 \h </w:instrText>
          </w:r>
          <w:r>
            <w:fldChar w:fldCharType="separate"/>
          </w:r>
          <w:r>
            <w:t>28</w:t>
          </w:r>
          <w:r>
            <w:fldChar w:fldCharType="end"/>
          </w:r>
          <w:r>
            <w:fldChar w:fldCharType="end"/>
          </w:r>
        </w:p>
        <w:p>
          <w:pPr>
            <w:pStyle w:val="227"/>
            <w:tabs>
              <w:tab w:val="right" w:leader="dot" w:pos="9746"/>
            </w:tabs>
          </w:pPr>
          <w:r>
            <w:fldChar w:fldCharType="begin"/>
          </w:r>
          <w:r>
            <w:instrText xml:space="preserve"> HYPERLINK \l "_Toc13448" </w:instrText>
          </w:r>
          <w:r>
            <w:fldChar w:fldCharType="separate"/>
          </w:r>
          <w:r>
            <w:rPr>
              <w:rFonts w:hint="eastAsia" w:ascii="黑体" w:hAnsi="黑体" w:eastAsia="黑体" w:cs="仿宋"/>
              <w:szCs w:val="36"/>
            </w:rPr>
            <w:t>第六章 响应文件格式</w:t>
          </w:r>
          <w:r>
            <w:tab/>
          </w:r>
          <w:r>
            <w:fldChar w:fldCharType="begin"/>
          </w:r>
          <w:r>
            <w:instrText xml:space="preserve"> PAGEREF _Toc13448 \h </w:instrText>
          </w:r>
          <w:r>
            <w:fldChar w:fldCharType="separate"/>
          </w:r>
          <w:r>
            <w:t>32</w:t>
          </w:r>
          <w:r>
            <w:fldChar w:fldCharType="end"/>
          </w:r>
          <w:r>
            <w:fldChar w:fldCharType="end"/>
          </w:r>
        </w:p>
        <w:p>
          <w:pPr>
            <w:pStyle w:val="227"/>
            <w:tabs>
              <w:tab w:val="right" w:leader="dot" w:pos="9746"/>
            </w:tabs>
          </w:pPr>
          <w:r>
            <w:fldChar w:fldCharType="begin"/>
          </w:r>
          <w:r>
            <w:instrText xml:space="preserve"> HYPERLINK \l "_Toc3411" </w:instrText>
          </w:r>
          <w:r>
            <w:fldChar w:fldCharType="separate"/>
          </w:r>
          <w:r>
            <w:rPr>
              <w:rFonts w:hint="eastAsia" w:ascii="黑体" w:hAnsi="黑体" w:eastAsia="黑体" w:cs="仿宋"/>
              <w:szCs w:val="36"/>
            </w:rPr>
            <w:t>一、 响应函</w:t>
          </w:r>
          <w:r>
            <w:tab/>
          </w:r>
          <w:r>
            <w:fldChar w:fldCharType="begin"/>
          </w:r>
          <w:r>
            <w:instrText xml:space="preserve"> PAGEREF _Toc3411 \h </w:instrText>
          </w:r>
          <w:r>
            <w:fldChar w:fldCharType="separate"/>
          </w:r>
          <w:r>
            <w:t>34</w:t>
          </w:r>
          <w:r>
            <w:fldChar w:fldCharType="end"/>
          </w:r>
          <w:r>
            <w:fldChar w:fldCharType="end"/>
          </w:r>
        </w:p>
        <w:p>
          <w:pPr>
            <w:pStyle w:val="227"/>
            <w:tabs>
              <w:tab w:val="right" w:leader="dot" w:pos="9746"/>
            </w:tabs>
          </w:pPr>
          <w:r>
            <w:fldChar w:fldCharType="begin"/>
          </w:r>
          <w:r>
            <w:instrText xml:space="preserve"> HYPERLINK \l "_Toc27960" </w:instrText>
          </w:r>
          <w:r>
            <w:fldChar w:fldCharType="separate"/>
          </w:r>
          <w:r>
            <w:rPr>
              <w:rFonts w:hint="eastAsia" w:ascii="黑体" w:hAnsi="黑体" w:eastAsia="黑体" w:cs="仿宋"/>
              <w:szCs w:val="36"/>
            </w:rPr>
            <w:t>二、授权委托书</w:t>
          </w:r>
          <w:r>
            <w:tab/>
          </w:r>
          <w:r>
            <w:fldChar w:fldCharType="begin"/>
          </w:r>
          <w:r>
            <w:instrText xml:space="preserve"> PAGEREF _Toc27960 \h </w:instrText>
          </w:r>
          <w:r>
            <w:fldChar w:fldCharType="separate"/>
          </w:r>
          <w:r>
            <w:t>38</w:t>
          </w:r>
          <w:r>
            <w:fldChar w:fldCharType="end"/>
          </w:r>
          <w:r>
            <w:fldChar w:fldCharType="end"/>
          </w:r>
        </w:p>
        <w:p>
          <w:pPr>
            <w:pStyle w:val="227"/>
            <w:tabs>
              <w:tab w:val="right" w:leader="dot" w:pos="9746"/>
            </w:tabs>
          </w:pPr>
          <w:r>
            <w:fldChar w:fldCharType="begin"/>
          </w:r>
          <w:r>
            <w:instrText xml:space="preserve"> HYPERLINK \l "_Toc21753" </w:instrText>
          </w:r>
          <w:r>
            <w:fldChar w:fldCharType="separate"/>
          </w:r>
          <w:r>
            <w:rPr>
              <w:rFonts w:hint="eastAsia" w:ascii="黑体" w:hAnsi="黑体" w:eastAsia="黑体" w:cs="仿宋"/>
              <w:szCs w:val="36"/>
            </w:rPr>
            <w:t>三、商务和技术偏差表</w:t>
          </w:r>
          <w:r>
            <w:tab/>
          </w:r>
          <w:r>
            <w:fldChar w:fldCharType="begin"/>
          </w:r>
          <w:r>
            <w:instrText xml:space="preserve"> PAGEREF _Toc21753 \h </w:instrText>
          </w:r>
          <w:r>
            <w:fldChar w:fldCharType="separate"/>
          </w:r>
          <w:r>
            <w:t>39</w:t>
          </w:r>
          <w:r>
            <w:fldChar w:fldCharType="end"/>
          </w:r>
          <w:r>
            <w:fldChar w:fldCharType="end"/>
          </w:r>
        </w:p>
        <w:p>
          <w:pPr>
            <w:pStyle w:val="227"/>
            <w:tabs>
              <w:tab w:val="right" w:leader="dot" w:pos="9746"/>
            </w:tabs>
          </w:pPr>
          <w:r>
            <w:fldChar w:fldCharType="begin"/>
          </w:r>
          <w:r>
            <w:instrText xml:space="preserve"> HYPERLINK \l "_Toc15578" </w:instrText>
          </w:r>
          <w:r>
            <w:fldChar w:fldCharType="separate"/>
          </w:r>
          <w:r>
            <w:rPr>
              <w:rFonts w:hint="eastAsia" w:ascii="黑体" w:hAnsi="黑体" w:eastAsia="黑体" w:cs="仿宋"/>
              <w:szCs w:val="36"/>
            </w:rPr>
            <w:t>四、报价表）</w:t>
          </w:r>
          <w:r>
            <w:tab/>
          </w:r>
          <w:r>
            <w:fldChar w:fldCharType="begin"/>
          </w:r>
          <w:r>
            <w:instrText xml:space="preserve"> PAGEREF _Toc15578 \h </w:instrText>
          </w:r>
          <w:r>
            <w:fldChar w:fldCharType="separate"/>
          </w:r>
          <w:r>
            <w:t>40</w:t>
          </w:r>
          <w:r>
            <w:fldChar w:fldCharType="end"/>
          </w:r>
          <w:r>
            <w:fldChar w:fldCharType="end"/>
          </w:r>
        </w:p>
        <w:p>
          <w:pPr>
            <w:pStyle w:val="227"/>
            <w:tabs>
              <w:tab w:val="right" w:leader="dot" w:pos="9746"/>
            </w:tabs>
          </w:pPr>
          <w:r>
            <w:fldChar w:fldCharType="begin"/>
          </w:r>
          <w:r>
            <w:instrText xml:space="preserve"> HYPERLINK \l "_Toc18300" </w:instrText>
          </w:r>
          <w:r>
            <w:fldChar w:fldCharType="separate"/>
          </w:r>
          <w:r>
            <w:rPr>
              <w:rFonts w:hint="eastAsia" w:ascii="黑体" w:hAnsi="黑体" w:eastAsia="黑体" w:cs="仿宋"/>
              <w:szCs w:val="36"/>
            </w:rPr>
            <w:t>五、资格审查资料</w:t>
          </w:r>
          <w:r>
            <w:tab/>
          </w:r>
          <w:r>
            <w:fldChar w:fldCharType="begin"/>
          </w:r>
          <w:r>
            <w:instrText xml:space="preserve"> PAGEREF _Toc18300 \h </w:instrText>
          </w:r>
          <w:r>
            <w:fldChar w:fldCharType="separate"/>
          </w:r>
          <w:r>
            <w:t>41</w:t>
          </w:r>
          <w:r>
            <w:fldChar w:fldCharType="end"/>
          </w:r>
          <w:r>
            <w:fldChar w:fldCharType="end"/>
          </w:r>
        </w:p>
        <w:p>
          <w:pPr>
            <w:pStyle w:val="227"/>
            <w:tabs>
              <w:tab w:val="right" w:leader="dot" w:pos="9746"/>
            </w:tabs>
          </w:pPr>
          <w:r>
            <w:fldChar w:fldCharType="begin"/>
          </w:r>
          <w:r>
            <w:instrText xml:space="preserve"> HYPERLINK \l "_Toc8638" </w:instrText>
          </w:r>
          <w:r>
            <w:fldChar w:fldCharType="separate"/>
          </w:r>
          <w:r>
            <w:rPr>
              <w:rFonts w:hint="eastAsia" w:ascii="黑体" w:hAnsi="黑体" w:eastAsia="黑体" w:cs="仿宋"/>
              <w:szCs w:val="36"/>
            </w:rPr>
            <w:t>六、响应方案</w:t>
          </w:r>
          <w:r>
            <w:tab/>
          </w:r>
          <w:r>
            <w:fldChar w:fldCharType="begin"/>
          </w:r>
          <w:r>
            <w:instrText xml:space="preserve"> PAGEREF _Toc8638 \h </w:instrText>
          </w:r>
          <w:r>
            <w:fldChar w:fldCharType="separate"/>
          </w:r>
          <w:r>
            <w:t>44</w:t>
          </w:r>
          <w:r>
            <w:fldChar w:fldCharType="end"/>
          </w:r>
          <w:r>
            <w:fldChar w:fldCharType="end"/>
          </w:r>
        </w:p>
        <w:p>
          <w:pPr>
            <w:pStyle w:val="227"/>
            <w:tabs>
              <w:tab w:val="right" w:leader="dot" w:pos="9746"/>
            </w:tabs>
          </w:pPr>
          <w:r>
            <w:fldChar w:fldCharType="begin"/>
          </w:r>
          <w:r>
            <w:instrText xml:space="preserve"> HYPERLINK \l "_Toc32229" </w:instrText>
          </w:r>
          <w:r>
            <w:fldChar w:fldCharType="separate"/>
          </w:r>
          <w:r>
            <w:rPr>
              <w:rFonts w:hint="eastAsia" w:ascii="黑体" w:hAnsi="黑体" w:eastAsia="黑体" w:cs="仿宋"/>
              <w:szCs w:val="36"/>
            </w:rPr>
            <w:t>七、其他资料</w:t>
          </w:r>
          <w:r>
            <w:tab/>
          </w:r>
          <w:r>
            <w:fldChar w:fldCharType="begin"/>
          </w:r>
          <w:r>
            <w:instrText xml:space="preserve"> PAGEREF _Toc32229 \h </w:instrText>
          </w:r>
          <w:r>
            <w:fldChar w:fldCharType="separate"/>
          </w:r>
          <w:r>
            <w:t>45</w:t>
          </w:r>
          <w:r>
            <w:fldChar w:fldCharType="end"/>
          </w:r>
          <w:r>
            <w:fldChar w:fldCharType="end"/>
          </w:r>
        </w:p>
        <w:p>
          <w:r>
            <w:fldChar w:fldCharType="end"/>
          </w:r>
        </w:p>
      </w:sdtContent>
    </w:sdt>
    <w:p>
      <w:pPr>
        <w:pStyle w:val="30"/>
        <w:tabs>
          <w:tab w:val="right" w:leader="dot" w:pos="8948"/>
        </w:tabs>
        <w:adjustRightInd w:val="0"/>
        <w:snapToGrid w:val="0"/>
        <w:rPr>
          <w:rFonts w:ascii="微软雅黑" w:hAnsi="微软雅黑" w:eastAsia="微软雅黑"/>
          <w:sz w:val="24"/>
          <w:szCs w:val="24"/>
        </w:rPr>
      </w:pPr>
      <w:r>
        <w:rPr>
          <w:rFonts w:ascii="微软雅黑" w:hAnsi="微软雅黑" w:eastAsia="微软雅黑"/>
          <w:sz w:val="24"/>
          <w:szCs w:val="24"/>
        </w:rPr>
        <w:fldChar w:fldCharType="begin"/>
      </w:r>
      <w:r>
        <w:rPr>
          <w:rFonts w:ascii="微软雅黑" w:hAnsi="微软雅黑" w:eastAsia="微软雅黑"/>
          <w:sz w:val="24"/>
          <w:szCs w:val="24"/>
        </w:rPr>
        <w:instrText xml:space="preserve"> TOC \o "1-3" \h \z \u </w:instrText>
      </w:r>
      <w:r>
        <w:rPr>
          <w:rFonts w:ascii="微软雅黑" w:hAnsi="微软雅黑" w:eastAsia="微软雅黑"/>
          <w:sz w:val="24"/>
          <w:szCs w:val="24"/>
        </w:rPr>
        <w:fldChar w:fldCharType="separate"/>
      </w:r>
    </w:p>
    <w:p>
      <w:pPr>
        <w:rPr>
          <w:rFonts w:ascii="微软雅黑" w:hAnsi="微软雅黑" w:eastAsia="微软雅黑"/>
          <w:sz w:val="24"/>
        </w:rPr>
      </w:pPr>
    </w:p>
    <w:p>
      <w:pPr>
        <w:rPr>
          <w:rFonts w:ascii="微软雅黑" w:hAnsi="微软雅黑" w:eastAsia="微软雅黑"/>
          <w:sz w:val="24"/>
        </w:rPr>
      </w:pPr>
    </w:p>
    <w:p>
      <w:pPr>
        <w:rPr>
          <w:rFonts w:ascii="微软雅黑" w:hAnsi="微软雅黑" w:eastAsia="微软雅黑"/>
          <w:sz w:val="24"/>
        </w:rPr>
      </w:pPr>
    </w:p>
    <w:p>
      <w:pPr>
        <w:rPr>
          <w:rFonts w:ascii="微软雅黑" w:hAnsi="微软雅黑" w:eastAsia="微软雅黑"/>
          <w:sz w:val="24"/>
        </w:rPr>
      </w:pPr>
    </w:p>
    <w:p>
      <w:pPr>
        <w:rPr>
          <w:rFonts w:ascii="微软雅黑" w:hAnsi="微软雅黑" w:eastAsia="微软雅黑"/>
          <w:sz w:val="24"/>
        </w:rPr>
      </w:pPr>
    </w:p>
    <w:p>
      <w:pPr>
        <w:rPr>
          <w:rFonts w:ascii="微软雅黑" w:hAnsi="微软雅黑" w:eastAsia="微软雅黑"/>
          <w:sz w:val="24"/>
        </w:rPr>
      </w:pPr>
    </w:p>
    <w:p>
      <w:pPr>
        <w:rPr>
          <w:rFonts w:ascii="微软雅黑" w:hAnsi="微软雅黑" w:eastAsia="微软雅黑"/>
          <w:sz w:val="24"/>
        </w:rPr>
      </w:pPr>
    </w:p>
    <w:p>
      <w:pPr>
        <w:rPr>
          <w:rFonts w:ascii="微软雅黑" w:hAnsi="微软雅黑" w:eastAsia="微软雅黑"/>
          <w:sz w:val="24"/>
        </w:rPr>
      </w:pPr>
    </w:p>
    <w:p>
      <w:pPr>
        <w:rPr>
          <w:rFonts w:ascii="微软雅黑" w:hAnsi="微软雅黑" w:eastAsia="微软雅黑"/>
          <w:sz w:val="24"/>
        </w:rPr>
      </w:pPr>
    </w:p>
    <w:p>
      <w:pPr>
        <w:rPr>
          <w:rFonts w:ascii="微软雅黑" w:hAnsi="微软雅黑" w:eastAsia="微软雅黑"/>
          <w:sz w:val="24"/>
        </w:rPr>
      </w:pPr>
    </w:p>
    <w:p>
      <w:pPr>
        <w:rPr>
          <w:rFonts w:ascii="微软雅黑" w:hAnsi="微软雅黑" w:eastAsia="微软雅黑"/>
          <w:sz w:val="24"/>
        </w:rPr>
      </w:pPr>
    </w:p>
    <w:p>
      <w:pPr>
        <w:rPr>
          <w:rFonts w:ascii="微软雅黑" w:hAnsi="微软雅黑" w:eastAsia="微软雅黑"/>
          <w:sz w:val="24"/>
        </w:rPr>
      </w:pPr>
    </w:p>
    <w:p>
      <w:pPr>
        <w:rPr>
          <w:rFonts w:ascii="微软雅黑" w:hAnsi="微软雅黑" w:eastAsia="微软雅黑"/>
          <w:sz w:val="24"/>
        </w:rPr>
      </w:pPr>
    </w:p>
    <w:p>
      <w:pPr>
        <w:rPr>
          <w:rFonts w:ascii="微软雅黑" w:hAnsi="微软雅黑" w:eastAsia="微软雅黑"/>
          <w:sz w:val="24"/>
        </w:rPr>
      </w:pPr>
    </w:p>
    <w:p>
      <w:pPr>
        <w:rPr>
          <w:rFonts w:ascii="微软雅黑" w:hAnsi="微软雅黑" w:eastAsia="微软雅黑"/>
          <w:sz w:val="24"/>
        </w:rPr>
      </w:pPr>
    </w:p>
    <w:p>
      <w:pPr>
        <w:rPr>
          <w:rFonts w:ascii="微软雅黑" w:hAnsi="微软雅黑" w:eastAsia="微软雅黑"/>
          <w:sz w:val="24"/>
        </w:rPr>
      </w:pPr>
    </w:p>
    <w:p>
      <w:pPr>
        <w:pStyle w:val="24"/>
        <w:widowControl w:val="0"/>
        <w:tabs>
          <w:tab w:val="right" w:leader="dot" w:pos="8948"/>
          <w:tab w:val="clear" w:pos="9242"/>
        </w:tabs>
        <w:adjustRightInd w:val="0"/>
        <w:snapToGrid w:val="0"/>
        <w:spacing w:before="60" w:after="60" w:line="312" w:lineRule="auto"/>
        <w:rPr>
          <w:rFonts w:ascii="Times New Roman"/>
          <w:sz w:val="24"/>
          <w:szCs w:val="24"/>
        </w:rPr>
      </w:pPr>
      <w:r>
        <w:rPr>
          <w:rFonts w:ascii="微软雅黑" w:hAnsi="微软雅黑" w:eastAsia="微软雅黑"/>
          <w:sz w:val="24"/>
          <w:szCs w:val="24"/>
          <w:lang w:val="zh-CN"/>
        </w:rPr>
        <w:fldChar w:fldCharType="end"/>
      </w: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widowControl w:val="0"/>
        <w:adjustRightInd w:val="0"/>
        <w:snapToGrid w:val="0"/>
        <w:spacing w:line="240" w:lineRule="auto"/>
        <w:ind w:firstLine="420" w:firstLineChars="200"/>
        <w:rPr>
          <w:szCs w:val="21"/>
        </w:rPr>
      </w:pPr>
    </w:p>
    <w:p>
      <w:pPr>
        <w:pStyle w:val="74"/>
        <w:numPr>
          <w:ilvl w:val="0"/>
          <w:numId w:val="1"/>
        </w:numPr>
        <w:spacing w:line="600" w:lineRule="exact"/>
        <w:ind w:firstLineChars="0"/>
        <w:jc w:val="center"/>
        <w:outlineLvl w:val="0"/>
        <w:rPr>
          <w:rFonts w:ascii="黑体" w:hAnsi="黑体" w:eastAsia="黑体" w:cs="仿宋"/>
          <w:b/>
          <w:color w:val="000000"/>
          <w:sz w:val="44"/>
          <w:szCs w:val="44"/>
        </w:rPr>
      </w:pPr>
      <w:bookmarkStart w:id="0" w:name="_Toc6314"/>
      <w:bookmarkStart w:id="1" w:name="_Hlk97535188"/>
      <w:r>
        <w:rPr>
          <w:rFonts w:hint="eastAsia" w:ascii="黑体" w:hAnsi="黑体" w:eastAsia="黑体" w:cs="仿宋"/>
          <w:b/>
          <w:color w:val="000000"/>
          <w:sz w:val="44"/>
          <w:szCs w:val="44"/>
        </w:rPr>
        <w:t>采购公告</w:t>
      </w:r>
      <w:bookmarkEnd w:id="0"/>
    </w:p>
    <w:p>
      <w:pPr>
        <w:pStyle w:val="74"/>
        <w:spacing w:line="600" w:lineRule="exact"/>
        <w:ind w:left="1785" w:firstLine="0" w:firstLineChars="0"/>
        <w:jc w:val="center"/>
        <w:rPr>
          <w:rFonts w:ascii="黑体" w:hAnsi="黑体" w:eastAsia="黑体" w:cs="仿宋"/>
          <w:b/>
          <w:color w:val="000000"/>
          <w:sz w:val="44"/>
          <w:szCs w:val="44"/>
        </w:rPr>
      </w:pPr>
    </w:p>
    <w:p>
      <w:pPr>
        <w:pStyle w:val="32"/>
        <w:spacing w:before="0" w:beforeAutospacing="0" w:after="0" w:afterAutospacing="0"/>
        <w:ind w:firstLine="2560" w:firstLineChars="800"/>
        <w:jc w:val="both"/>
        <w:rPr>
          <w:rFonts w:hint="eastAsia" w:ascii="黑体" w:hAnsi="黑体" w:eastAsia="黑体"/>
          <w:sz w:val="32"/>
          <w:szCs w:val="32"/>
        </w:rPr>
      </w:pPr>
      <w:r>
        <w:rPr>
          <w:rFonts w:hint="eastAsia" w:ascii="黑体" w:hAnsi="黑体" w:eastAsia="黑体"/>
          <w:sz w:val="32"/>
          <w:szCs w:val="32"/>
        </w:rPr>
        <w:t>岳阳城陵矶港务有限责任公司</w:t>
      </w:r>
    </w:p>
    <w:p>
      <w:pPr>
        <w:pStyle w:val="32"/>
        <w:spacing w:before="0" w:beforeAutospacing="0" w:after="0" w:afterAutospacing="0"/>
        <w:ind w:firstLine="2240" w:firstLineChars="700"/>
        <w:jc w:val="both"/>
        <w:rPr>
          <w:rFonts w:ascii="黑体" w:hAnsi="黑体" w:eastAsia="黑体"/>
          <w:sz w:val="32"/>
          <w:szCs w:val="32"/>
        </w:rPr>
      </w:pPr>
      <w:r>
        <w:rPr>
          <w:rFonts w:hint="eastAsia" w:ascii="黑体" w:hAnsi="黑体" w:eastAsia="黑体"/>
          <w:sz w:val="32"/>
          <w:szCs w:val="32"/>
          <w:lang w:val="en-US" w:eastAsia="zh-CN"/>
        </w:rPr>
        <w:t>城港</w:t>
      </w:r>
      <w:r>
        <w:rPr>
          <w:rFonts w:hint="eastAsia" w:ascii="黑体" w:hAnsi="黑体" w:eastAsia="黑体"/>
          <w:sz w:val="32"/>
          <w:szCs w:val="32"/>
        </w:rPr>
        <w:t>囤船6</w:t>
      </w:r>
      <w:r>
        <w:rPr>
          <w:rFonts w:ascii="黑体" w:hAnsi="黑体" w:eastAsia="黑体"/>
          <w:sz w:val="32"/>
          <w:szCs w:val="32"/>
        </w:rPr>
        <w:t>5-2</w:t>
      </w:r>
      <w:r>
        <w:rPr>
          <w:rFonts w:hint="eastAsia" w:ascii="黑体" w:hAnsi="黑体" w:eastAsia="黑体"/>
          <w:sz w:val="32"/>
          <w:szCs w:val="32"/>
        </w:rPr>
        <w:t>特检坞修项目</w:t>
      </w:r>
      <w:r>
        <w:rPr>
          <w:rFonts w:hint="eastAsia" w:ascii="黑体" w:hAnsi="黑体" w:eastAsia="黑体"/>
          <w:sz w:val="32"/>
          <w:szCs w:val="32"/>
          <w:lang w:val="en-US" w:eastAsia="zh-CN"/>
        </w:rPr>
        <w:t>询价</w:t>
      </w:r>
      <w:r>
        <w:rPr>
          <w:rFonts w:hint="eastAsia" w:ascii="黑体" w:hAnsi="黑体" w:eastAsia="黑体"/>
          <w:sz w:val="32"/>
          <w:szCs w:val="32"/>
        </w:rPr>
        <w:t>公告</w:t>
      </w:r>
    </w:p>
    <w:p>
      <w:pPr>
        <w:pStyle w:val="32"/>
        <w:spacing w:before="0" w:beforeAutospacing="0" w:after="0" w:afterAutospacing="0"/>
        <w:ind w:firstLine="2880" w:firstLineChars="1200"/>
        <w:jc w:val="center"/>
      </w:pPr>
    </w:p>
    <w:p>
      <w:pPr>
        <w:autoSpaceDE w:val="0"/>
        <w:spacing w:line="400" w:lineRule="exact"/>
        <w:jc w:val="both"/>
        <w:rPr>
          <w:rFonts w:ascii="宋体" w:hAnsi="宋体"/>
          <w:sz w:val="24"/>
        </w:rPr>
      </w:pPr>
      <w:r>
        <w:rPr>
          <w:rFonts w:hint="eastAsia" w:ascii="宋体" w:hAnsi="宋体"/>
        </w:rPr>
        <w:t xml:space="preserve">  </w:t>
      </w:r>
      <w:r>
        <w:rPr>
          <w:rFonts w:hint="eastAsia" w:ascii="宋体" w:hAnsi="宋体"/>
          <w:sz w:val="24"/>
        </w:rPr>
        <w:t xml:space="preserve">   岳阳城陵矶港务有限责任公司</w:t>
      </w:r>
      <w:r>
        <w:rPr>
          <w:rFonts w:hint="eastAsia" w:ascii="宋体" w:hAnsi="宋体"/>
          <w:sz w:val="24"/>
          <w:lang w:val="en-US" w:eastAsia="zh-CN"/>
        </w:rPr>
        <w:t>城港</w:t>
      </w:r>
      <w:bookmarkStart w:id="41" w:name="_GoBack"/>
      <w:bookmarkEnd w:id="41"/>
      <w:r>
        <w:rPr>
          <w:rFonts w:hint="eastAsia" w:ascii="宋体" w:hAnsi="宋体"/>
          <w:sz w:val="24"/>
        </w:rPr>
        <w:t>囤船</w:t>
      </w:r>
      <w:r>
        <w:rPr>
          <w:rFonts w:ascii="宋体" w:hAnsi="宋体"/>
          <w:sz w:val="24"/>
        </w:rPr>
        <w:t>65-2</w:t>
      </w:r>
      <w:r>
        <w:rPr>
          <w:rFonts w:hint="eastAsia" w:ascii="宋体" w:hAnsi="宋体"/>
          <w:sz w:val="24"/>
        </w:rPr>
        <w:t xml:space="preserve">特检坞修项目已具备采购条件，现公开邀请供应商参加采购活动。 </w:t>
      </w:r>
    </w:p>
    <w:p>
      <w:pPr>
        <w:autoSpaceDE w:val="0"/>
        <w:spacing w:line="400" w:lineRule="exact"/>
        <w:jc w:val="both"/>
        <w:rPr>
          <w:rFonts w:ascii="宋体" w:hAnsi="宋体"/>
          <w:sz w:val="24"/>
        </w:rPr>
      </w:pPr>
      <w:r>
        <w:rPr>
          <w:rFonts w:hint="eastAsia" w:ascii="宋体" w:hAnsi="宋体"/>
          <w:sz w:val="24"/>
        </w:rPr>
        <w:t xml:space="preserve"> </w:t>
      </w:r>
    </w:p>
    <w:p>
      <w:pPr>
        <w:pStyle w:val="5"/>
        <w:jc w:val="both"/>
        <w:rPr>
          <w:rFonts w:ascii="Arial" w:hAnsi="Arial"/>
        </w:rPr>
      </w:pPr>
      <w:r>
        <w:rPr>
          <w:rFonts w:hint="eastAsia"/>
        </w:rPr>
        <w:t>一、</w:t>
      </w:r>
      <w:r>
        <w:rPr>
          <w:rFonts w:hint="eastAsia" w:ascii="黑体" w:hAnsi="黑体"/>
        </w:rPr>
        <w:t xml:space="preserve">采购项目简介 </w:t>
      </w:r>
    </w:p>
    <w:p>
      <w:pPr>
        <w:autoSpaceDE w:val="0"/>
        <w:spacing w:line="400" w:lineRule="exact"/>
        <w:jc w:val="both"/>
        <w:rPr>
          <w:rFonts w:ascii="宋体" w:hAnsi="宋体"/>
          <w:sz w:val="24"/>
        </w:rPr>
      </w:pPr>
      <w:r>
        <w:rPr>
          <w:rFonts w:hint="eastAsia" w:ascii="宋体" w:hAnsi="宋体"/>
          <w:sz w:val="24"/>
        </w:rPr>
        <w:t>（一）采购项目名称:城港囤船</w:t>
      </w:r>
      <w:r>
        <w:rPr>
          <w:rFonts w:ascii="宋体" w:hAnsi="宋体"/>
          <w:sz w:val="24"/>
        </w:rPr>
        <w:t>65-2</w:t>
      </w:r>
      <w:r>
        <w:rPr>
          <w:rFonts w:hint="eastAsia" w:ascii="宋体" w:hAnsi="宋体"/>
          <w:sz w:val="24"/>
        </w:rPr>
        <w:t xml:space="preserve">特检坞修项目 </w:t>
      </w:r>
      <w:r>
        <w:rPr>
          <w:rFonts w:ascii="宋体" w:hAnsi="宋体"/>
          <w:sz w:val="24"/>
        </w:rPr>
        <w:t xml:space="preserve">                           </w:t>
      </w:r>
    </w:p>
    <w:p>
      <w:pPr>
        <w:autoSpaceDE w:val="0"/>
        <w:spacing w:line="400" w:lineRule="exact"/>
        <w:jc w:val="both"/>
        <w:rPr>
          <w:rFonts w:ascii="宋体" w:hAnsi="宋体"/>
          <w:sz w:val="24"/>
        </w:rPr>
      </w:pPr>
      <w:r>
        <w:rPr>
          <w:rFonts w:hint="eastAsia" w:ascii="宋体" w:hAnsi="宋体"/>
          <w:sz w:val="24"/>
        </w:rPr>
        <w:t>（二）采购人:岳阳城陵矶港务有限责任公司。</w:t>
      </w:r>
    </w:p>
    <w:p>
      <w:pPr>
        <w:autoSpaceDE w:val="0"/>
        <w:spacing w:line="400" w:lineRule="exact"/>
        <w:jc w:val="both"/>
        <w:rPr>
          <w:rFonts w:ascii="宋体" w:hAnsi="宋体"/>
          <w:sz w:val="24"/>
        </w:rPr>
      </w:pPr>
      <w:r>
        <w:rPr>
          <w:rFonts w:hint="eastAsia" w:ascii="宋体" w:hAnsi="宋体"/>
          <w:sz w:val="24"/>
        </w:rPr>
        <w:t>（三）采购代理机构:无。</w:t>
      </w:r>
    </w:p>
    <w:p>
      <w:pPr>
        <w:autoSpaceDE w:val="0"/>
        <w:spacing w:line="400" w:lineRule="exact"/>
        <w:jc w:val="both"/>
        <w:rPr>
          <w:rFonts w:ascii="宋体" w:hAnsi="宋体"/>
          <w:sz w:val="24"/>
        </w:rPr>
      </w:pPr>
      <w:r>
        <w:rPr>
          <w:rFonts w:hint="eastAsia" w:ascii="宋体" w:hAnsi="宋体"/>
          <w:sz w:val="24"/>
        </w:rPr>
        <w:t>（四）采购项目资金落实情况:自筹。</w:t>
      </w:r>
    </w:p>
    <w:p>
      <w:pPr>
        <w:autoSpaceDE w:val="0"/>
        <w:spacing w:line="400" w:lineRule="exact"/>
        <w:jc w:val="both"/>
        <w:rPr>
          <w:rFonts w:ascii="宋体" w:hAnsi="宋体"/>
          <w:sz w:val="24"/>
        </w:rPr>
      </w:pPr>
      <w:r>
        <w:rPr>
          <w:rFonts w:hint="eastAsia" w:ascii="宋体" w:hAnsi="宋体"/>
          <w:sz w:val="24"/>
        </w:rPr>
        <w:t xml:space="preserve">（五）采购项目概况: </w:t>
      </w:r>
      <w:bookmarkStart w:id="2" w:name="_Hlk68447484"/>
      <w:bookmarkStart w:id="3" w:name="_Hlk101779116"/>
      <w:r>
        <w:rPr>
          <w:rFonts w:hint="eastAsia" w:ascii="宋体" w:hAnsi="宋体"/>
          <w:sz w:val="24"/>
        </w:rPr>
        <w:t>城港</w:t>
      </w:r>
      <w:bookmarkEnd w:id="2"/>
      <w:r>
        <w:rPr>
          <w:rFonts w:hint="eastAsia" w:ascii="宋体" w:hAnsi="宋体"/>
          <w:sz w:val="24"/>
        </w:rPr>
        <w:t>囤船</w:t>
      </w:r>
      <w:r>
        <w:rPr>
          <w:rFonts w:ascii="宋体" w:hAnsi="宋体"/>
          <w:sz w:val="24"/>
        </w:rPr>
        <w:t>65-2</w:t>
      </w:r>
      <w:r>
        <w:rPr>
          <w:rFonts w:hint="eastAsia" w:ascii="宋体" w:hAnsi="宋体"/>
          <w:sz w:val="24"/>
        </w:rPr>
        <w:t>是</w:t>
      </w:r>
      <w:r>
        <w:rPr>
          <w:rFonts w:ascii="宋体" w:hAnsi="宋体"/>
          <w:sz w:val="24"/>
        </w:rPr>
        <w:t>1992</w:t>
      </w:r>
      <w:r>
        <w:rPr>
          <w:rFonts w:hint="eastAsia" w:ascii="宋体" w:hAnsi="宋体"/>
          <w:sz w:val="24"/>
        </w:rPr>
        <w:t>年</w:t>
      </w:r>
      <w:r>
        <w:rPr>
          <w:rFonts w:ascii="宋体" w:hAnsi="宋体"/>
          <w:sz w:val="24"/>
        </w:rPr>
        <w:t>9</w:t>
      </w:r>
      <w:r>
        <w:rPr>
          <w:rFonts w:hint="eastAsia" w:ascii="宋体" w:hAnsi="宋体"/>
          <w:sz w:val="24"/>
        </w:rPr>
        <w:t>月由湖北鄂州市造船厂完成建造并投入使用，</w:t>
      </w:r>
      <w:r>
        <w:rPr>
          <w:rFonts w:ascii="宋体" w:hAnsi="宋体"/>
          <w:sz w:val="24"/>
        </w:rPr>
        <w:t>2022</w:t>
      </w:r>
      <w:r>
        <w:rPr>
          <w:rFonts w:hint="eastAsia" w:ascii="宋体" w:hAnsi="宋体"/>
          <w:sz w:val="24"/>
        </w:rPr>
        <w:t>年</w:t>
      </w:r>
      <w:r>
        <w:rPr>
          <w:rFonts w:ascii="宋体" w:hAnsi="宋体"/>
          <w:sz w:val="24"/>
        </w:rPr>
        <w:t>8</w:t>
      </w:r>
      <w:r>
        <w:rPr>
          <w:rFonts w:hint="eastAsia" w:ascii="宋体" w:hAnsi="宋体"/>
          <w:sz w:val="24"/>
        </w:rPr>
        <w:t>月</w:t>
      </w:r>
      <w:r>
        <w:rPr>
          <w:rFonts w:ascii="宋体" w:hAnsi="宋体"/>
          <w:sz w:val="24"/>
        </w:rPr>
        <w:t>31</w:t>
      </w:r>
      <w:r>
        <w:rPr>
          <w:rFonts w:hint="eastAsia" w:ascii="宋体" w:hAnsi="宋体"/>
          <w:sz w:val="24"/>
        </w:rPr>
        <w:t>日到特别检验换证周期，须按中国船级社《钢质内河船舶入级与建造规范》的规定船体进行上坞系统厂修并</w:t>
      </w:r>
      <w:bookmarkStart w:id="4" w:name="_Hlk68447606"/>
      <w:r>
        <w:rPr>
          <w:rFonts w:hint="eastAsia" w:ascii="宋体" w:hAnsi="宋体"/>
          <w:sz w:val="24"/>
        </w:rPr>
        <w:t>通过</w:t>
      </w:r>
      <w:r>
        <w:rPr>
          <w:rFonts w:ascii="宋体" w:hAnsi="宋体"/>
          <w:sz w:val="24"/>
        </w:rPr>
        <w:t>CCS</w:t>
      </w:r>
      <w:r>
        <w:rPr>
          <w:rFonts w:hint="eastAsia" w:ascii="宋体" w:hAnsi="宋体"/>
          <w:sz w:val="24"/>
        </w:rPr>
        <w:t>武汉船级社的特别检验</w:t>
      </w:r>
      <w:bookmarkEnd w:id="4"/>
      <w:r>
        <w:rPr>
          <w:rFonts w:hint="eastAsia" w:ascii="宋体" w:hAnsi="宋体"/>
          <w:sz w:val="24"/>
        </w:rPr>
        <w:t>。</w:t>
      </w:r>
    </w:p>
    <w:bookmarkEnd w:id="3"/>
    <w:p>
      <w:pPr>
        <w:pStyle w:val="5"/>
        <w:jc w:val="both"/>
        <w:rPr>
          <w:rFonts w:ascii="Arial" w:hAnsi="Arial"/>
        </w:rPr>
      </w:pPr>
      <w:r>
        <w:rPr>
          <w:rFonts w:hint="eastAsia"/>
        </w:rPr>
        <w:t>二、</w:t>
      </w:r>
      <w:r>
        <w:rPr>
          <w:rFonts w:hint="eastAsia" w:ascii="黑体" w:hAnsi="黑体"/>
        </w:rPr>
        <w:t>采购范围及相关要求</w:t>
      </w:r>
    </w:p>
    <w:p>
      <w:pPr>
        <w:autoSpaceDE w:val="0"/>
        <w:spacing w:line="400" w:lineRule="exact"/>
        <w:jc w:val="both"/>
        <w:rPr>
          <w:rFonts w:ascii="宋体" w:hAnsi="宋体"/>
          <w:sz w:val="24"/>
        </w:rPr>
      </w:pPr>
      <w:r>
        <w:rPr>
          <w:rFonts w:hint="eastAsia" w:ascii="宋体" w:hAnsi="宋体"/>
          <w:sz w:val="24"/>
        </w:rPr>
        <w:t>（一）采购范围: 根据《城港囤船</w:t>
      </w:r>
      <w:r>
        <w:rPr>
          <w:rFonts w:ascii="宋体" w:hAnsi="宋体"/>
          <w:sz w:val="24"/>
        </w:rPr>
        <w:t>65-2</w:t>
      </w:r>
      <w:r>
        <w:rPr>
          <w:rFonts w:hint="eastAsia" w:ascii="宋体" w:hAnsi="宋体"/>
          <w:sz w:val="24"/>
        </w:rPr>
        <w:t>特检坞修清单》完成城港囤船</w:t>
      </w:r>
      <w:r>
        <w:rPr>
          <w:rFonts w:ascii="宋体" w:hAnsi="宋体"/>
          <w:sz w:val="24"/>
        </w:rPr>
        <w:t>65-2</w:t>
      </w:r>
      <w:r>
        <w:rPr>
          <w:rFonts w:hint="eastAsia" w:ascii="宋体" w:hAnsi="宋体"/>
          <w:sz w:val="24"/>
        </w:rPr>
        <w:t>上坞修理。</w:t>
      </w:r>
    </w:p>
    <w:p>
      <w:pPr>
        <w:autoSpaceDE w:val="0"/>
        <w:spacing w:line="400" w:lineRule="exact"/>
        <w:jc w:val="both"/>
        <w:rPr>
          <w:rFonts w:ascii="宋体" w:hAnsi="宋体"/>
          <w:sz w:val="24"/>
        </w:rPr>
      </w:pPr>
      <w:r>
        <w:rPr>
          <w:rFonts w:hint="eastAsia" w:ascii="宋体" w:hAnsi="宋体"/>
          <w:sz w:val="24"/>
        </w:rPr>
        <w:t>（二）服务期限: 修理期限</w:t>
      </w:r>
      <w:r>
        <w:rPr>
          <w:rFonts w:ascii="宋体" w:hAnsi="宋体"/>
          <w:sz w:val="24"/>
        </w:rPr>
        <w:t>15</w:t>
      </w:r>
      <w:r>
        <w:rPr>
          <w:rFonts w:hint="eastAsia" w:ascii="宋体" w:hAnsi="宋体"/>
          <w:sz w:val="24"/>
        </w:rPr>
        <w:t xml:space="preserve">天 </w:t>
      </w:r>
      <w:r>
        <w:rPr>
          <w:rFonts w:ascii="宋体" w:hAnsi="宋体"/>
          <w:sz w:val="24"/>
        </w:rPr>
        <w:t xml:space="preserve">             </w:t>
      </w:r>
    </w:p>
    <w:p>
      <w:pPr>
        <w:autoSpaceDE w:val="0"/>
        <w:spacing w:line="400" w:lineRule="exact"/>
        <w:jc w:val="both"/>
        <w:rPr>
          <w:rFonts w:hint="eastAsia" w:ascii="宋体" w:hAnsi="宋体"/>
          <w:sz w:val="24"/>
          <w:lang w:val="en-US" w:eastAsia="zh-CN"/>
        </w:rPr>
      </w:pPr>
      <w:r>
        <w:rPr>
          <w:rFonts w:hint="eastAsia" w:ascii="宋体" w:hAnsi="宋体"/>
          <w:sz w:val="24"/>
        </w:rPr>
        <w:t xml:space="preserve">（三）服务地点: </w:t>
      </w:r>
      <w:r>
        <w:rPr>
          <w:rFonts w:hint="eastAsia" w:ascii="宋体" w:hAnsi="宋体"/>
          <w:sz w:val="24"/>
          <w:lang w:val="en-US" w:eastAsia="zh-CN"/>
        </w:rPr>
        <w:t>湖南岳阳</w:t>
      </w:r>
    </w:p>
    <w:p>
      <w:pPr>
        <w:autoSpaceDE w:val="0"/>
        <w:spacing w:line="400" w:lineRule="exact"/>
        <w:jc w:val="both"/>
        <w:rPr>
          <w:rFonts w:ascii="宋体" w:hAnsi="宋体"/>
          <w:sz w:val="24"/>
        </w:rPr>
      </w:pPr>
      <w:r>
        <w:rPr>
          <w:rFonts w:hint="eastAsia" w:ascii="宋体" w:hAnsi="宋体"/>
          <w:sz w:val="24"/>
        </w:rPr>
        <w:t xml:space="preserve">（四）质量要求或服务标准: 完成坞修并通过CCS武汉船级社的特别检验 。    </w:t>
      </w:r>
      <w:r>
        <w:t xml:space="preserve">           </w:t>
      </w:r>
    </w:p>
    <w:p>
      <w:pPr>
        <w:pStyle w:val="5"/>
        <w:jc w:val="both"/>
        <w:rPr>
          <w:rFonts w:ascii="Arial" w:hAnsi="Arial"/>
        </w:rPr>
      </w:pPr>
      <w:r>
        <w:rPr>
          <w:rFonts w:hint="eastAsia"/>
        </w:rPr>
        <w:t>三、</w:t>
      </w:r>
      <w:r>
        <w:rPr>
          <w:rFonts w:hint="eastAsia" w:ascii="黑体" w:hAnsi="黑体"/>
        </w:rPr>
        <w:t>供应商资格要求</w:t>
      </w:r>
    </w:p>
    <w:p>
      <w:pPr>
        <w:autoSpaceDE w:val="0"/>
        <w:spacing w:line="400" w:lineRule="exact"/>
        <w:jc w:val="both"/>
        <w:rPr>
          <w:rFonts w:ascii="宋体" w:hAnsi="宋体"/>
          <w:sz w:val="24"/>
        </w:rPr>
      </w:pPr>
      <w:r>
        <w:rPr>
          <w:rFonts w:hint="eastAsia" w:ascii="宋体" w:hAnsi="宋体"/>
          <w:sz w:val="24"/>
        </w:rPr>
        <w:t>（一）供应商不得存在下列情形之一:</w:t>
      </w:r>
    </w:p>
    <w:p>
      <w:pPr>
        <w:autoSpaceDE w:val="0"/>
        <w:spacing w:line="400" w:lineRule="exact"/>
        <w:ind w:firstLine="240" w:firstLineChars="100"/>
        <w:jc w:val="both"/>
        <w:rPr>
          <w:rFonts w:ascii="宋体" w:hAnsi="宋体"/>
          <w:sz w:val="24"/>
        </w:rPr>
      </w:pPr>
      <w:r>
        <w:rPr>
          <w:rFonts w:hint="eastAsia" w:ascii="宋体" w:hAnsi="宋体"/>
          <w:sz w:val="24"/>
        </w:rPr>
        <w:t>1.处于被责令停产停业、暂扣或者吊销执照、暂扣或者吊销许可证、吊销资质证书状态;</w:t>
      </w:r>
    </w:p>
    <w:p>
      <w:pPr>
        <w:autoSpaceDE w:val="0"/>
        <w:spacing w:line="400" w:lineRule="exact"/>
        <w:ind w:firstLine="240" w:firstLineChars="100"/>
        <w:jc w:val="both"/>
        <w:rPr>
          <w:rFonts w:ascii="宋体" w:hAnsi="宋体"/>
          <w:sz w:val="24"/>
        </w:rPr>
      </w:pPr>
      <w:r>
        <w:rPr>
          <w:rFonts w:hint="eastAsia" w:ascii="宋体" w:hAnsi="宋体"/>
          <w:sz w:val="24"/>
        </w:rPr>
        <w:t>2.进入清算程序，或被宣告破产，或其他丧失履约能力的情形;</w:t>
      </w:r>
    </w:p>
    <w:p>
      <w:pPr>
        <w:autoSpaceDE w:val="0"/>
        <w:spacing w:line="400" w:lineRule="exact"/>
        <w:ind w:firstLine="240" w:firstLineChars="100"/>
        <w:jc w:val="both"/>
        <w:rPr>
          <w:rFonts w:ascii="宋体" w:hAnsi="宋体"/>
          <w:sz w:val="24"/>
        </w:rPr>
      </w:pPr>
      <w:r>
        <w:rPr>
          <w:rFonts w:hint="eastAsia" w:ascii="宋体" w:hAnsi="宋体"/>
          <w:sz w:val="24"/>
        </w:rPr>
        <w:t>3.被采购人或采购人上级单位纳入黑名单</w:t>
      </w:r>
    </w:p>
    <w:p>
      <w:pPr>
        <w:autoSpaceDE w:val="0"/>
        <w:spacing w:line="400" w:lineRule="exact"/>
        <w:jc w:val="both"/>
        <w:rPr>
          <w:rFonts w:ascii="宋体" w:hAnsi="宋体"/>
          <w:sz w:val="24"/>
        </w:rPr>
      </w:pPr>
      <w:r>
        <w:rPr>
          <w:rFonts w:hint="eastAsia" w:ascii="宋体" w:hAnsi="宋体"/>
          <w:sz w:val="24"/>
        </w:rPr>
        <w:t>（二）供应商应满足如下要求:</w:t>
      </w:r>
    </w:p>
    <w:tbl>
      <w:tblPr>
        <w:tblStyle w:val="38"/>
        <w:tblW w:w="98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0"/>
        <w:gridCol w:w="1786"/>
        <w:gridCol w:w="54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center"/>
              <w:rPr>
                <w:rFonts w:ascii="宋体" w:hAnsi="宋体"/>
                <w:sz w:val="24"/>
              </w:rPr>
            </w:pPr>
            <w:r>
              <w:rPr>
                <w:rFonts w:hint="eastAsia" w:ascii="宋体" w:hAnsi="宋体"/>
                <w:sz w:val="24"/>
              </w:rPr>
              <w:t>资格条件</w:t>
            </w:r>
          </w:p>
        </w:tc>
        <w:tc>
          <w:tcPr>
            <w:tcW w:w="1786" w:type="dxa"/>
          </w:tcPr>
          <w:p>
            <w:pPr>
              <w:widowControl w:val="0"/>
              <w:spacing w:line="320" w:lineRule="exact"/>
              <w:jc w:val="center"/>
              <w:rPr>
                <w:rFonts w:ascii="宋体" w:hAnsi="宋体"/>
                <w:sz w:val="24"/>
              </w:rPr>
            </w:pPr>
            <w:r>
              <w:rPr>
                <w:rFonts w:hint="eastAsia" w:ascii="宋体" w:hAnsi="宋体"/>
                <w:sz w:val="24"/>
              </w:rPr>
              <w:t>对供应商要求</w:t>
            </w:r>
          </w:p>
        </w:tc>
        <w:tc>
          <w:tcPr>
            <w:tcW w:w="5443" w:type="dxa"/>
          </w:tcPr>
          <w:p>
            <w:pPr>
              <w:widowControl w:val="0"/>
              <w:spacing w:line="320" w:lineRule="exact"/>
              <w:jc w:val="center"/>
              <w:rPr>
                <w:rFonts w:ascii="宋体" w:hAnsi="宋体"/>
                <w:sz w:val="24"/>
              </w:rPr>
            </w:pPr>
            <w:r>
              <w:rPr>
                <w:rFonts w:hint="eastAsia" w:ascii="宋体" w:hAnsi="宋体"/>
                <w:sz w:val="24"/>
              </w:rPr>
              <w:t>证明材料要求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sz w:val="24"/>
              </w:rPr>
            </w:pPr>
            <w:r>
              <w:rPr>
                <w:rFonts w:hint="eastAsia" w:ascii="宋体" w:hAnsi="宋体"/>
                <w:sz w:val="24"/>
              </w:rPr>
              <w:t>（1）依法设立</w:t>
            </w:r>
          </w:p>
        </w:tc>
        <w:tc>
          <w:tcPr>
            <w:tcW w:w="1786" w:type="dxa"/>
          </w:tcPr>
          <w:p>
            <w:pPr>
              <w:widowControl w:val="0"/>
              <w:spacing w:line="320" w:lineRule="exact"/>
              <w:jc w:val="both"/>
              <w:rPr>
                <w:rStyle w:val="40"/>
                <w:u w:val="single"/>
              </w:rPr>
            </w:pP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sym w:font="Wingdings 2" w:char="0052"/>
            </w:r>
            <w:r>
              <w:rPr>
                <w:rStyle w:val="40"/>
                <w:rFonts w:hint="eastAsia"/>
                <w:u w:val="single"/>
              </w:rPr>
              <w:t>适用</w:t>
            </w:r>
          </w:p>
        </w:tc>
        <w:tc>
          <w:tcPr>
            <w:tcW w:w="5443" w:type="dxa"/>
          </w:tcPr>
          <w:p>
            <w:pPr>
              <w:widowControl w:val="0"/>
              <w:spacing w:line="320" w:lineRule="exact"/>
              <w:jc w:val="both"/>
              <w:rPr>
                <w:rStyle w:val="40"/>
                <w:u w:val="single"/>
              </w:rPr>
            </w:pP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sym w:font="Wingdings 2" w:char="0052"/>
            </w:r>
            <w:r>
              <w:rPr>
                <w:rStyle w:val="40"/>
                <w:rFonts w:hint="eastAsia"/>
                <w:u w:val="single"/>
              </w:rPr>
              <w:t>适用,见采购文件供应商须知前附表3.5（1）。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sz w:val="24"/>
              </w:rPr>
            </w:pPr>
            <w:r>
              <w:rPr>
                <w:rFonts w:hint="eastAsia" w:ascii="宋体" w:hAnsi="宋体"/>
                <w:sz w:val="24"/>
              </w:rPr>
              <w:t>（2）资质要求</w:t>
            </w:r>
          </w:p>
        </w:tc>
        <w:tc>
          <w:tcPr>
            <w:tcW w:w="1786" w:type="dxa"/>
          </w:tcPr>
          <w:p>
            <w:pPr>
              <w:widowControl w:val="0"/>
              <w:spacing w:line="320" w:lineRule="exact"/>
              <w:jc w:val="both"/>
              <w:rPr>
                <w:rStyle w:val="40"/>
                <w:u w:val="single"/>
              </w:rPr>
            </w:pP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sym w:font="Wingdings 2" w:char="0052"/>
            </w:r>
            <w:r>
              <w:rPr>
                <w:rStyle w:val="40"/>
                <w:rFonts w:hint="eastAsia"/>
                <w:u w:val="single"/>
              </w:rPr>
              <w:t>适用</w:t>
            </w:r>
          </w:p>
        </w:tc>
        <w:tc>
          <w:tcPr>
            <w:tcW w:w="5443" w:type="dxa"/>
          </w:tcPr>
          <w:p>
            <w:pPr>
              <w:widowControl w:val="0"/>
              <w:spacing w:line="320" w:lineRule="exact"/>
              <w:jc w:val="both"/>
              <w:rPr>
                <w:rStyle w:val="40"/>
                <w:u w:val="single"/>
              </w:rPr>
            </w:pP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sym w:font="Wingdings 2" w:char="0052"/>
            </w:r>
            <w:r>
              <w:rPr>
                <w:rStyle w:val="40"/>
                <w:rFonts w:hint="eastAsia"/>
                <w:u w:val="single"/>
              </w:rPr>
              <w:t>适用,见采购文件供应商须知前附表3.5（2）。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sz w:val="24"/>
              </w:rPr>
            </w:pPr>
            <w:r>
              <w:rPr>
                <w:rFonts w:hint="eastAsia" w:ascii="宋体" w:hAnsi="宋体"/>
                <w:sz w:val="24"/>
              </w:rPr>
              <w:t>（3）财务要求</w:t>
            </w:r>
          </w:p>
        </w:tc>
        <w:tc>
          <w:tcPr>
            <w:tcW w:w="1786" w:type="dxa"/>
          </w:tcPr>
          <w:p>
            <w:pPr>
              <w:widowControl w:val="0"/>
              <w:spacing w:line="320" w:lineRule="exact"/>
              <w:jc w:val="both"/>
              <w:rPr>
                <w:rStyle w:val="40"/>
                <w:u w:val="single"/>
              </w:rPr>
            </w:pPr>
            <w:r>
              <w:rPr>
                <w:rStyle w:val="40"/>
                <w:rFonts w:hint="eastAsia"/>
                <w:u w:val="single"/>
              </w:rPr>
              <w:sym w:font="Wingdings 2" w:char="0052"/>
            </w: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t>□适用</w:t>
            </w:r>
          </w:p>
        </w:tc>
        <w:tc>
          <w:tcPr>
            <w:tcW w:w="5443" w:type="dxa"/>
          </w:tcPr>
          <w:p>
            <w:pPr>
              <w:widowControl w:val="0"/>
              <w:spacing w:line="320" w:lineRule="exact"/>
              <w:jc w:val="both"/>
              <w:rPr>
                <w:rStyle w:val="40"/>
                <w:u w:val="single"/>
              </w:rPr>
            </w:pPr>
            <w:r>
              <w:rPr>
                <w:rStyle w:val="40"/>
                <w:rFonts w:hint="eastAsia"/>
                <w:u w:val="single"/>
              </w:rPr>
              <w:sym w:font="Wingdings 2" w:char="0052"/>
            </w: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t>□适用,见采购文件供应商须知前附表3.5（3）。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sz w:val="24"/>
              </w:rPr>
            </w:pPr>
            <w:r>
              <w:rPr>
                <w:rFonts w:hint="eastAsia" w:ascii="宋体" w:hAnsi="宋体"/>
                <w:sz w:val="24"/>
              </w:rPr>
              <w:t>（4）业绩要求</w:t>
            </w:r>
          </w:p>
        </w:tc>
        <w:tc>
          <w:tcPr>
            <w:tcW w:w="1786" w:type="dxa"/>
          </w:tcPr>
          <w:p>
            <w:pPr>
              <w:widowControl w:val="0"/>
              <w:spacing w:line="320" w:lineRule="exact"/>
              <w:jc w:val="both"/>
              <w:rPr>
                <w:rStyle w:val="40"/>
                <w:u w:val="single"/>
              </w:rPr>
            </w:pP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sym w:font="Wingdings 2" w:char="0052"/>
            </w:r>
            <w:r>
              <w:rPr>
                <w:rStyle w:val="40"/>
                <w:rFonts w:hint="eastAsia"/>
                <w:u w:val="single"/>
              </w:rPr>
              <w:t>适用</w:t>
            </w:r>
          </w:p>
        </w:tc>
        <w:tc>
          <w:tcPr>
            <w:tcW w:w="5443" w:type="dxa"/>
          </w:tcPr>
          <w:p>
            <w:pPr>
              <w:widowControl w:val="0"/>
              <w:spacing w:line="320" w:lineRule="exact"/>
              <w:jc w:val="both"/>
              <w:rPr>
                <w:rStyle w:val="40"/>
                <w:u w:val="single"/>
              </w:rPr>
            </w:pP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sym w:font="Wingdings 2" w:char="0052"/>
            </w:r>
            <w:r>
              <w:rPr>
                <w:rStyle w:val="40"/>
                <w:rFonts w:hint="eastAsia"/>
                <w:u w:val="single"/>
              </w:rPr>
              <w:t>适用,见采购文件供应商须知前附表3.5（4）。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sz w:val="24"/>
              </w:rPr>
            </w:pPr>
            <w:r>
              <w:rPr>
                <w:rFonts w:hint="eastAsia" w:ascii="宋体" w:hAnsi="宋体"/>
                <w:sz w:val="24"/>
              </w:rPr>
              <w:t>（5）信誉要求</w:t>
            </w:r>
          </w:p>
        </w:tc>
        <w:tc>
          <w:tcPr>
            <w:tcW w:w="1786" w:type="dxa"/>
          </w:tcPr>
          <w:p>
            <w:pPr>
              <w:widowControl w:val="0"/>
              <w:spacing w:line="320" w:lineRule="exact"/>
              <w:jc w:val="both"/>
              <w:rPr>
                <w:rStyle w:val="40"/>
                <w:u w:val="single"/>
              </w:rPr>
            </w:pP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sym w:font="Wingdings 2" w:char="0052"/>
            </w:r>
            <w:r>
              <w:rPr>
                <w:rStyle w:val="40"/>
                <w:rFonts w:hint="eastAsia"/>
                <w:u w:val="single"/>
              </w:rPr>
              <w:t>适用</w:t>
            </w:r>
          </w:p>
        </w:tc>
        <w:tc>
          <w:tcPr>
            <w:tcW w:w="5443" w:type="dxa"/>
          </w:tcPr>
          <w:p>
            <w:pPr>
              <w:widowControl w:val="0"/>
              <w:spacing w:line="320" w:lineRule="exact"/>
              <w:jc w:val="both"/>
              <w:rPr>
                <w:rStyle w:val="40"/>
                <w:u w:val="single"/>
              </w:rPr>
            </w:pP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sym w:font="Wingdings 2" w:char="0052"/>
            </w:r>
            <w:r>
              <w:rPr>
                <w:rStyle w:val="40"/>
                <w:rFonts w:hint="eastAsia"/>
                <w:u w:val="single"/>
              </w:rPr>
              <w:t>适用,见采购文件供应商须知前附表3.5（5）。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288" w:lineRule="auto"/>
              <w:jc w:val="both"/>
              <w:rPr>
                <w:rFonts w:ascii="宋体" w:hAnsi="宋体"/>
                <w:sz w:val="24"/>
              </w:rPr>
            </w:pPr>
            <w:r>
              <w:rPr>
                <w:rFonts w:hint="eastAsia" w:ascii="宋体" w:hAnsi="宋体"/>
                <w:sz w:val="24"/>
              </w:rPr>
              <w:t>（6）承担本项目的主要人员要求</w:t>
            </w:r>
          </w:p>
        </w:tc>
        <w:tc>
          <w:tcPr>
            <w:tcW w:w="1786" w:type="dxa"/>
          </w:tcPr>
          <w:p>
            <w:pPr>
              <w:widowControl w:val="0"/>
              <w:spacing w:line="320" w:lineRule="exact"/>
              <w:jc w:val="both"/>
              <w:rPr>
                <w:rStyle w:val="40"/>
                <w:u w:val="single"/>
              </w:rPr>
            </w:pPr>
            <w:r>
              <w:rPr>
                <w:rStyle w:val="40"/>
                <w:rFonts w:hint="eastAsia"/>
                <w:u w:val="single"/>
              </w:rPr>
              <w:sym w:font="Wingdings 2" w:char="0052"/>
            </w: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t>□适用</w:t>
            </w:r>
          </w:p>
        </w:tc>
        <w:tc>
          <w:tcPr>
            <w:tcW w:w="5443" w:type="dxa"/>
          </w:tcPr>
          <w:p>
            <w:pPr>
              <w:widowControl w:val="0"/>
              <w:spacing w:line="320" w:lineRule="exact"/>
              <w:jc w:val="both"/>
              <w:rPr>
                <w:rStyle w:val="40"/>
                <w:u w:val="single"/>
              </w:rPr>
            </w:pPr>
            <w:r>
              <w:rPr>
                <w:rStyle w:val="40"/>
                <w:rFonts w:hint="eastAsia"/>
                <w:u w:val="single"/>
              </w:rPr>
              <w:sym w:font="Wingdings 2" w:char="0052"/>
            </w: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sym w:font="Wingdings 2" w:char="00A3"/>
            </w:r>
            <w:r>
              <w:rPr>
                <w:rStyle w:val="40"/>
                <w:rFonts w:hint="eastAsia"/>
                <w:u w:val="single"/>
              </w:rPr>
              <w:t>适用,见采购文件供应商须知前附表3.5（6）。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sz w:val="24"/>
              </w:rPr>
            </w:pPr>
            <w:r>
              <w:rPr>
                <w:rFonts w:hint="eastAsia" w:ascii="宋体" w:hAnsi="宋体"/>
                <w:sz w:val="24"/>
              </w:rPr>
              <w:t>（7）其他要求</w:t>
            </w:r>
          </w:p>
        </w:tc>
        <w:tc>
          <w:tcPr>
            <w:tcW w:w="1786" w:type="dxa"/>
          </w:tcPr>
          <w:p>
            <w:pPr>
              <w:widowControl w:val="0"/>
              <w:spacing w:line="320" w:lineRule="exact"/>
              <w:jc w:val="both"/>
              <w:rPr>
                <w:rStyle w:val="40"/>
                <w:u w:val="single"/>
              </w:rPr>
            </w:pPr>
            <w:r>
              <w:rPr>
                <w:rStyle w:val="40"/>
                <w:rFonts w:hint="eastAsia"/>
                <w:u w:val="single"/>
              </w:rPr>
              <w:sym w:font="Wingdings 2" w:char="0052"/>
            </w: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t>□适用</w:t>
            </w:r>
          </w:p>
        </w:tc>
        <w:tc>
          <w:tcPr>
            <w:tcW w:w="5443" w:type="dxa"/>
          </w:tcPr>
          <w:p>
            <w:pPr>
              <w:widowControl w:val="0"/>
              <w:spacing w:line="320" w:lineRule="exact"/>
              <w:jc w:val="both"/>
              <w:rPr>
                <w:rStyle w:val="40"/>
                <w:u w:val="single"/>
              </w:rPr>
            </w:pPr>
            <w:r>
              <w:rPr>
                <w:rStyle w:val="40"/>
                <w:rFonts w:hint="eastAsia"/>
                <w:u w:val="single"/>
              </w:rPr>
              <w:sym w:font="Wingdings 2" w:char="0052"/>
            </w: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t>□适用,见采购文件供应商须知前附表3.5（7）。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widowControl w:val="0"/>
              <w:spacing w:line="288" w:lineRule="auto"/>
              <w:jc w:val="both"/>
              <w:rPr>
                <w:rFonts w:ascii="宋体" w:hAnsi="宋体"/>
                <w:sz w:val="24"/>
              </w:rPr>
            </w:pPr>
            <w:r>
              <w:rPr>
                <w:rFonts w:hint="eastAsia" w:ascii="宋体" w:hAnsi="宋体"/>
                <w:sz w:val="24"/>
              </w:rPr>
              <w:t>（8）供应商不存在第一章3.1款情形的证明材料</w:t>
            </w:r>
          </w:p>
        </w:tc>
        <w:tc>
          <w:tcPr>
            <w:tcW w:w="1786" w:type="dxa"/>
          </w:tcPr>
          <w:p>
            <w:pPr>
              <w:widowControl w:val="0"/>
              <w:spacing w:line="320" w:lineRule="exact"/>
              <w:jc w:val="both"/>
              <w:rPr>
                <w:rStyle w:val="40"/>
                <w:u w:val="single"/>
              </w:rPr>
            </w:pPr>
            <w:r>
              <w:rPr>
                <w:rStyle w:val="40"/>
                <w:rFonts w:hint="eastAsia"/>
                <w:u w:val="single"/>
              </w:rPr>
              <w:sym w:font="Wingdings 2" w:char="0052"/>
            </w: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t>□适用</w:t>
            </w:r>
          </w:p>
        </w:tc>
        <w:tc>
          <w:tcPr>
            <w:tcW w:w="5443" w:type="dxa"/>
          </w:tcPr>
          <w:p>
            <w:pPr>
              <w:widowControl w:val="0"/>
              <w:spacing w:line="320" w:lineRule="exact"/>
              <w:jc w:val="both"/>
              <w:rPr>
                <w:rStyle w:val="40"/>
                <w:u w:val="single"/>
              </w:rPr>
            </w:pPr>
            <w:r>
              <w:rPr>
                <w:rStyle w:val="40"/>
                <w:rFonts w:hint="eastAsia"/>
                <w:u w:val="single"/>
              </w:rPr>
              <w:sym w:font="Wingdings 2" w:char="0052"/>
            </w:r>
            <w:r>
              <w:rPr>
                <w:rStyle w:val="40"/>
                <w:rFonts w:hint="eastAsia"/>
                <w:u w:val="single"/>
              </w:rPr>
              <w:t xml:space="preserve">不适用  </w:t>
            </w:r>
          </w:p>
          <w:p>
            <w:pPr>
              <w:widowControl w:val="0"/>
              <w:spacing w:line="320" w:lineRule="exact"/>
              <w:jc w:val="both"/>
              <w:rPr>
                <w:rFonts w:ascii="宋体" w:hAnsi="宋体"/>
                <w:sz w:val="24"/>
              </w:rPr>
            </w:pPr>
            <w:r>
              <w:rPr>
                <w:rStyle w:val="40"/>
                <w:rFonts w:hint="eastAsia"/>
                <w:u w:val="single"/>
              </w:rPr>
              <w:t>□适用,见采购文件供应商须知前附表3.5（8）。</w:t>
            </w:r>
          </w:p>
        </w:tc>
      </w:tr>
    </w:tbl>
    <w:p>
      <w:pPr>
        <w:pStyle w:val="5"/>
        <w:jc w:val="both"/>
        <w:rPr>
          <w:rFonts w:ascii="Arial" w:hAnsi="Arial"/>
        </w:rPr>
      </w:pPr>
      <w:r>
        <w:rPr>
          <w:rFonts w:hint="eastAsia"/>
        </w:rPr>
        <w:t>四、</w:t>
      </w:r>
      <w:r>
        <w:rPr>
          <w:rFonts w:hint="eastAsia" w:ascii="黑体" w:hAnsi="黑体"/>
        </w:rPr>
        <w:t>响应保证金</w:t>
      </w:r>
    </w:p>
    <w:tbl>
      <w:tblPr>
        <w:tblStyle w:val="38"/>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72"/>
        <w:gridCol w:w="3597"/>
        <w:gridCol w:w="32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72" w:type="dxa"/>
          </w:tcPr>
          <w:p>
            <w:pPr>
              <w:widowControl w:val="0"/>
              <w:autoSpaceDE w:val="0"/>
              <w:spacing w:line="400" w:lineRule="exact"/>
              <w:jc w:val="both"/>
              <w:rPr>
                <w:rFonts w:ascii="黑体" w:hAnsi="黑体"/>
              </w:rPr>
            </w:pPr>
            <w:r>
              <w:rPr>
                <w:rFonts w:hint="eastAsia" w:ascii="黑体" w:hAnsi="黑体"/>
              </w:rPr>
              <w:t>响应</w:t>
            </w:r>
            <w:r>
              <w:rPr>
                <w:rFonts w:hint="eastAsia" w:ascii="宋体" w:hAnsi="宋体"/>
                <w:sz w:val="24"/>
              </w:rPr>
              <w:t>保证金的递交</w:t>
            </w:r>
          </w:p>
        </w:tc>
        <w:tc>
          <w:tcPr>
            <w:tcW w:w="3597" w:type="dxa"/>
          </w:tcPr>
          <w:p>
            <w:pPr>
              <w:widowControl w:val="0"/>
              <w:autoSpaceDE w:val="0"/>
              <w:spacing w:line="400" w:lineRule="exact"/>
              <w:jc w:val="both"/>
              <w:rPr>
                <w:rFonts w:ascii="黑体" w:hAnsi="黑体"/>
              </w:rPr>
            </w:pPr>
            <w:r>
              <w:rPr>
                <w:rFonts w:hint="eastAsia" w:ascii="宋体" w:hAnsi="宋体"/>
                <w:sz w:val="24"/>
              </w:rPr>
              <w:t>不退还响应保证金的其他情形</w:t>
            </w:r>
          </w:p>
        </w:tc>
        <w:tc>
          <w:tcPr>
            <w:tcW w:w="3285" w:type="dxa"/>
          </w:tcPr>
          <w:p>
            <w:pPr>
              <w:widowControl w:val="0"/>
              <w:autoSpaceDE w:val="0"/>
              <w:spacing w:line="400" w:lineRule="exact"/>
              <w:jc w:val="both"/>
              <w:rPr>
                <w:rFonts w:ascii="黑体" w:hAnsi="黑体"/>
              </w:rPr>
            </w:pPr>
            <w:r>
              <w:rPr>
                <w:rFonts w:hint="eastAsia" w:ascii="宋体" w:hAnsi="宋体"/>
                <w:sz w:val="24"/>
              </w:rPr>
              <w:t>退还响应保证金的时间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72" w:type="dxa"/>
          </w:tcPr>
          <w:p>
            <w:pPr>
              <w:widowControl w:val="0"/>
              <w:autoSpaceDE w:val="0"/>
              <w:spacing w:line="400" w:lineRule="exact"/>
              <w:jc w:val="both"/>
              <w:rPr>
                <w:rFonts w:ascii="宋体" w:hAnsi="宋体"/>
                <w:sz w:val="24"/>
              </w:rPr>
            </w:pPr>
            <w:r>
              <w:rPr>
                <w:rStyle w:val="40"/>
                <w:rFonts w:hint="eastAsia"/>
                <w:u w:val="single"/>
              </w:rPr>
              <w:sym w:font="Wingdings 2" w:char="0052"/>
            </w:r>
            <w:r>
              <w:rPr>
                <w:rFonts w:hint="eastAsia" w:ascii="宋体" w:hAnsi="宋体"/>
                <w:sz w:val="24"/>
              </w:rPr>
              <w:t>不要求递交</w:t>
            </w:r>
          </w:p>
          <w:p>
            <w:pPr>
              <w:widowControl w:val="0"/>
              <w:autoSpaceDE w:val="0"/>
              <w:spacing w:line="400" w:lineRule="exact"/>
              <w:jc w:val="both"/>
              <w:rPr>
                <w:rFonts w:ascii="宋体" w:hAnsi="宋体"/>
                <w:sz w:val="24"/>
              </w:rPr>
            </w:pPr>
            <w:r>
              <w:rPr>
                <w:rStyle w:val="40"/>
                <w:rFonts w:hint="eastAsia"/>
              </w:rPr>
              <w:t>□</w:t>
            </w:r>
            <w:r>
              <w:rPr>
                <w:rFonts w:hint="eastAsia" w:ascii="宋体" w:hAnsi="宋体"/>
                <w:sz w:val="24"/>
              </w:rPr>
              <w:t>要求递交</w:t>
            </w:r>
          </w:p>
          <w:p>
            <w:pPr>
              <w:widowControl w:val="0"/>
              <w:autoSpaceDE w:val="0"/>
              <w:spacing w:line="400" w:lineRule="exact"/>
              <w:jc w:val="both"/>
              <w:rPr>
                <w:rFonts w:ascii="宋体" w:hAnsi="宋体"/>
                <w:sz w:val="24"/>
              </w:rPr>
            </w:pPr>
            <w:r>
              <w:rPr>
                <w:rFonts w:hint="eastAsia" w:ascii="宋体" w:hAnsi="宋体"/>
                <w:sz w:val="24"/>
              </w:rPr>
              <w:t>保证金金额：_________；</w:t>
            </w:r>
          </w:p>
          <w:p>
            <w:pPr>
              <w:widowControl w:val="0"/>
              <w:autoSpaceDE w:val="0"/>
              <w:spacing w:line="400" w:lineRule="exact"/>
              <w:jc w:val="both"/>
              <w:rPr>
                <w:rFonts w:ascii="宋体" w:hAnsi="宋体"/>
                <w:sz w:val="24"/>
              </w:rPr>
            </w:pPr>
            <w:r>
              <w:rPr>
                <w:rFonts w:hint="eastAsia" w:ascii="宋体" w:hAnsi="宋体"/>
                <w:sz w:val="24"/>
              </w:rPr>
              <w:t>保证金形式：________；</w:t>
            </w:r>
          </w:p>
        </w:tc>
        <w:tc>
          <w:tcPr>
            <w:tcW w:w="3597" w:type="dxa"/>
          </w:tcPr>
          <w:p>
            <w:pPr>
              <w:widowControl w:val="0"/>
              <w:autoSpaceDE w:val="0"/>
              <w:spacing w:line="400" w:lineRule="exact"/>
              <w:jc w:val="both"/>
              <w:rPr>
                <w:rFonts w:ascii="宋体" w:hAnsi="宋体"/>
                <w:sz w:val="24"/>
              </w:rPr>
            </w:pPr>
            <w:r>
              <w:rPr>
                <w:rStyle w:val="40"/>
                <w:rFonts w:hint="eastAsia"/>
                <w:u w:val="single"/>
              </w:rPr>
              <w:sym w:font="Wingdings 2" w:char="0052"/>
            </w:r>
            <w:r>
              <w:rPr>
                <w:rStyle w:val="40"/>
                <w:rFonts w:hint="eastAsia"/>
              </w:rPr>
              <w:t>不</w:t>
            </w:r>
            <w:r>
              <w:rPr>
                <w:rFonts w:hint="eastAsia" w:ascii="宋体" w:hAnsi="宋体"/>
                <w:sz w:val="24"/>
              </w:rPr>
              <w:t>适用</w:t>
            </w:r>
          </w:p>
          <w:p>
            <w:pPr>
              <w:widowControl w:val="0"/>
              <w:autoSpaceDE w:val="0"/>
              <w:spacing w:line="400" w:lineRule="exact"/>
              <w:jc w:val="both"/>
              <w:rPr>
                <w:rFonts w:ascii="宋体" w:hAnsi="宋体"/>
                <w:sz w:val="24"/>
              </w:rPr>
            </w:pPr>
            <w:r>
              <w:rPr>
                <w:rStyle w:val="40"/>
                <w:rFonts w:hint="eastAsia"/>
              </w:rPr>
              <w:t>□</w:t>
            </w:r>
            <w:r>
              <w:rPr>
                <w:rFonts w:hint="eastAsia" w:ascii="宋体" w:hAnsi="宋体"/>
                <w:sz w:val="24"/>
              </w:rPr>
              <w:t>适用，具体如下：</w:t>
            </w:r>
          </w:p>
          <w:p>
            <w:pPr>
              <w:widowControl w:val="0"/>
              <w:autoSpaceDE w:val="0"/>
              <w:spacing w:line="400" w:lineRule="exact"/>
              <w:jc w:val="both"/>
              <w:rPr>
                <w:rFonts w:ascii="宋体" w:hAnsi="宋体"/>
                <w:sz w:val="24"/>
              </w:rPr>
            </w:pPr>
          </w:p>
          <w:p>
            <w:pPr>
              <w:widowControl w:val="0"/>
              <w:autoSpaceDE w:val="0"/>
              <w:spacing w:line="400" w:lineRule="exact"/>
              <w:jc w:val="both"/>
              <w:rPr>
                <w:rFonts w:ascii="黑体" w:hAnsi="黑体"/>
              </w:rPr>
            </w:pPr>
          </w:p>
        </w:tc>
        <w:tc>
          <w:tcPr>
            <w:tcW w:w="3285" w:type="dxa"/>
          </w:tcPr>
          <w:p>
            <w:pPr>
              <w:widowControl w:val="0"/>
              <w:autoSpaceDE w:val="0"/>
              <w:spacing w:line="400" w:lineRule="exact"/>
              <w:jc w:val="both"/>
              <w:rPr>
                <w:rFonts w:ascii="宋体" w:hAnsi="宋体"/>
                <w:sz w:val="24"/>
              </w:rPr>
            </w:pPr>
            <w:r>
              <w:rPr>
                <w:rStyle w:val="40"/>
                <w:rFonts w:hint="eastAsia"/>
                <w:u w:val="single"/>
              </w:rPr>
              <w:sym w:font="Wingdings 2" w:char="0052"/>
            </w:r>
            <w:r>
              <w:rPr>
                <w:rFonts w:hint="eastAsia" w:ascii="宋体" w:hAnsi="宋体"/>
                <w:sz w:val="24"/>
              </w:rPr>
              <w:t>不适用</w:t>
            </w:r>
          </w:p>
          <w:p>
            <w:pPr>
              <w:widowControl w:val="0"/>
              <w:autoSpaceDE w:val="0"/>
              <w:spacing w:line="400" w:lineRule="exact"/>
              <w:jc w:val="both"/>
              <w:rPr>
                <w:rFonts w:ascii="宋体" w:hAnsi="宋体"/>
                <w:sz w:val="24"/>
              </w:rPr>
            </w:pPr>
            <w:r>
              <w:rPr>
                <w:rStyle w:val="40"/>
                <w:rFonts w:hint="eastAsia"/>
              </w:rPr>
              <w:t>□</w:t>
            </w:r>
            <w:r>
              <w:rPr>
                <w:rFonts w:hint="eastAsia" w:ascii="宋体" w:hAnsi="宋体"/>
                <w:sz w:val="24"/>
              </w:rPr>
              <w:t>适用，具体如下：</w:t>
            </w:r>
          </w:p>
          <w:p>
            <w:pPr>
              <w:widowControl w:val="0"/>
              <w:autoSpaceDE w:val="0"/>
              <w:spacing w:line="400" w:lineRule="exact"/>
              <w:jc w:val="both"/>
              <w:rPr>
                <w:rFonts w:ascii="宋体" w:hAnsi="宋体"/>
                <w:sz w:val="24"/>
              </w:rPr>
            </w:pPr>
          </w:p>
          <w:p>
            <w:pPr>
              <w:widowControl w:val="0"/>
              <w:autoSpaceDE w:val="0"/>
              <w:spacing w:line="400" w:lineRule="exact"/>
              <w:jc w:val="both"/>
              <w:rPr>
                <w:rFonts w:ascii="黑体" w:hAnsi="黑体"/>
              </w:rPr>
            </w:pPr>
          </w:p>
        </w:tc>
      </w:tr>
    </w:tbl>
    <w:p>
      <w:pPr>
        <w:pStyle w:val="5"/>
        <w:jc w:val="both"/>
        <w:rPr>
          <w:rFonts w:ascii="Arial" w:hAnsi="Arial"/>
        </w:rPr>
      </w:pPr>
      <w:r>
        <w:rPr>
          <w:rFonts w:hint="eastAsia"/>
        </w:rPr>
        <w:t>五、</w:t>
      </w:r>
      <w:r>
        <w:rPr>
          <w:rFonts w:hint="eastAsia" w:ascii="黑体" w:hAnsi="黑体"/>
        </w:rPr>
        <w:t>确定成交供应商的方法</w:t>
      </w:r>
    </w:p>
    <w:p>
      <w:pPr>
        <w:autoSpaceDE w:val="0"/>
        <w:spacing w:line="400" w:lineRule="exact"/>
        <w:jc w:val="both"/>
        <w:rPr>
          <w:rFonts w:hint="eastAsia" w:ascii="宋体" w:hAnsi="宋体"/>
          <w:sz w:val="24"/>
        </w:rPr>
      </w:pPr>
      <w:r>
        <w:rPr>
          <w:rFonts w:hint="eastAsia" w:ascii="宋体" w:hAnsi="宋体"/>
          <w:sz w:val="24"/>
        </w:rPr>
        <w:t>（一）最低价法</w:t>
      </w:r>
    </w:p>
    <w:p>
      <w:pPr>
        <w:autoSpaceDE w:val="0"/>
        <w:spacing w:line="400" w:lineRule="exact"/>
        <w:jc w:val="both"/>
        <w:rPr>
          <w:rFonts w:ascii="宋体" w:hAnsi="宋体"/>
          <w:sz w:val="24"/>
        </w:rPr>
      </w:pPr>
      <w:r>
        <w:rPr>
          <w:rFonts w:hint="eastAsia" w:ascii="宋体" w:hAnsi="宋体"/>
          <w:sz w:val="24"/>
        </w:rPr>
        <w:t xml:space="preserve">（二）采购人应当确定排名第一的成交候选供应商为成交供应商。若排名第一的成交候选供应商未通过履约能力和报价核查，采购人应按推荐的名单排序依次确定其他成交候选供应商为成交供应商。 </w:t>
      </w:r>
    </w:p>
    <w:p>
      <w:pPr>
        <w:pStyle w:val="5"/>
        <w:jc w:val="both"/>
        <w:rPr>
          <w:rFonts w:ascii="Arial" w:hAnsi="Arial"/>
        </w:rPr>
      </w:pPr>
      <w:r>
        <w:rPr>
          <w:rFonts w:hint="eastAsia"/>
        </w:rPr>
        <w:t>六、</w:t>
      </w:r>
      <w:r>
        <w:rPr>
          <w:rFonts w:hint="eastAsia" w:ascii="黑体" w:hAnsi="黑体"/>
        </w:rPr>
        <w:t>采购文件获取</w:t>
      </w:r>
    </w:p>
    <w:p>
      <w:pPr>
        <w:autoSpaceDE w:val="0"/>
        <w:spacing w:line="400" w:lineRule="exact"/>
        <w:jc w:val="both"/>
        <w:rPr>
          <w:rFonts w:ascii="宋体" w:hAnsi="宋体"/>
          <w:sz w:val="24"/>
        </w:rPr>
      </w:pPr>
      <w:r>
        <w:rPr>
          <w:rFonts w:hint="eastAsia" w:ascii="宋体" w:hAnsi="宋体"/>
          <w:sz w:val="24"/>
        </w:rPr>
        <w:t>（一）供应商应当于</w:t>
      </w:r>
      <w:r>
        <w:rPr>
          <w:rFonts w:ascii="宋体" w:hAnsi="宋体"/>
          <w:sz w:val="24"/>
        </w:rPr>
        <w:t>2022</w:t>
      </w:r>
      <w:r>
        <w:rPr>
          <w:rFonts w:hint="eastAsia" w:ascii="宋体" w:hAnsi="宋体"/>
          <w:sz w:val="24"/>
        </w:rPr>
        <w:t>年</w:t>
      </w:r>
      <w:r>
        <w:rPr>
          <w:rFonts w:hint="eastAsia" w:ascii="宋体" w:hAnsi="宋体"/>
          <w:sz w:val="24"/>
          <w:lang w:val="en-US" w:eastAsia="zh-CN"/>
        </w:rPr>
        <w:t>7</w:t>
      </w:r>
      <w:r>
        <w:rPr>
          <w:rFonts w:hint="eastAsia" w:ascii="宋体" w:hAnsi="宋体"/>
          <w:sz w:val="24"/>
        </w:rPr>
        <w:t>月</w:t>
      </w:r>
      <w:r>
        <w:rPr>
          <w:rFonts w:hint="eastAsia" w:ascii="宋体" w:hAnsi="宋体"/>
          <w:sz w:val="24"/>
          <w:lang w:val="en-US" w:eastAsia="zh-CN"/>
        </w:rPr>
        <w:t>21</w:t>
      </w:r>
      <w:r>
        <w:rPr>
          <w:rFonts w:hint="eastAsia" w:ascii="宋体" w:hAnsi="宋体"/>
          <w:sz w:val="24"/>
        </w:rPr>
        <w:t>日至</w:t>
      </w:r>
      <w:r>
        <w:rPr>
          <w:rFonts w:ascii="宋体" w:hAnsi="宋体"/>
          <w:sz w:val="24"/>
        </w:rPr>
        <w:t>2022</w:t>
      </w:r>
      <w:r>
        <w:rPr>
          <w:rFonts w:hint="eastAsia" w:ascii="宋体" w:hAnsi="宋体"/>
          <w:sz w:val="24"/>
        </w:rPr>
        <w:t>年</w:t>
      </w:r>
      <w:r>
        <w:rPr>
          <w:rFonts w:hint="eastAsia" w:ascii="宋体" w:hAnsi="宋体"/>
          <w:sz w:val="24"/>
          <w:lang w:val="en-US" w:eastAsia="zh-CN"/>
        </w:rPr>
        <w:t>7</w:t>
      </w:r>
      <w:r>
        <w:rPr>
          <w:rFonts w:hint="eastAsia" w:ascii="宋体" w:hAnsi="宋体"/>
          <w:sz w:val="24"/>
        </w:rPr>
        <w:t>月</w:t>
      </w:r>
      <w:r>
        <w:rPr>
          <w:rFonts w:hint="eastAsia" w:ascii="宋体" w:hAnsi="宋体"/>
          <w:sz w:val="24"/>
          <w:lang w:val="en-US" w:eastAsia="zh-CN"/>
        </w:rPr>
        <w:t>25</w:t>
      </w:r>
      <w:r>
        <w:rPr>
          <w:rFonts w:hint="eastAsia" w:ascii="宋体" w:hAnsi="宋体"/>
          <w:sz w:val="24"/>
        </w:rPr>
        <w:t>日，在中国招标投标公共服务平台（http：//www.cebpubservice.com）、湖南省湘水集团有限公司网站（http：//www.hnsxsjt.com）、湖南省港务集团有限公司（http://www.hnsgwjt.com）上获取采购文件:</w:t>
      </w:r>
    </w:p>
    <w:p>
      <w:pPr>
        <w:autoSpaceDE w:val="0"/>
        <w:spacing w:line="400" w:lineRule="exact"/>
        <w:jc w:val="both"/>
        <w:rPr>
          <w:rFonts w:hint="default" w:ascii="宋体" w:hAnsi="宋体" w:eastAsiaTheme="minorEastAsia"/>
          <w:sz w:val="24"/>
          <w:lang w:val="en-US" w:eastAsia="zh-CN"/>
        </w:rPr>
      </w:pPr>
      <w:r>
        <w:rPr>
          <w:rFonts w:hint="eastAsia" w:ascii="宋体" w:hAnsi="宋体"/>
          <w:sz w:val="24"/>
        </w:rPr>
        <w:t>（二）供应商若对本项目采购需求、资格要求等有疑问的，应当于</w:t>
      </w:r>
      <w:r>
        <w:rPr>
          <w:rFonts w:ascii="宋体" w:hAnsi="宋体"/>
          <w:sz w:val="24"/>
        </w:rPr>
        <w:t>2022</w:t>
      </w:r>
      <w:r>
        <w:rPr>
          <w:rFonts w:hint="eastAsia" w:ascii="宋体" w:hAnsi="宋体"/>
          <w:sz w:val="24"/>
        </w:rPr>
        <w:t>年</w:t>
      </w:r>
      <w:r>
        <w:rPr>
          <w:rFonts w:hint="eastAsia" w:ascii="宋体" w:hAnsi="宋体"/>
          <w:sz w:val="24"/>
          <w:lang w:val="en-US" w:eastAsia="zh-CN"/>
        </w:rPr>
        <w:t>7</w:t>
      </w:r>
      <w:r>
        <w:rPr>
          <w:rFonts w:hint="eastAsia" w:ascii="宋体" w:hAnsi="宋体"/>
          <w:sz w:val="24"/>
        </w:rPr>
        <w:t xml:space="preserve"> 月</w:t>
      </w:r>
      <w:r>
        <w:rPr>
          <w:rFonts w:hint="eastAsia" w:ascii="宋体" w:hAnsi="宋体"/>
          <w:sz w:val="24"/>
          <w:lang w:val="en-US" w:eastAsia="zh-CN"/>
        </w:rPr>
        <w:t>26</w:t>
      </w:r>
      <w:r>
        <w:rPr>
          <w:rFonts w:hint="eastAsia" w:ascii="宋体" w:hAnsi="宋体"/>
          <w:sz w:val="24"/>
        </w:rPr>
        <w:t>日</w:t>
      </w:r>
      <w:r>
        <w:rPr>
          <w:rFonts w:hint="eastAsia" w:ascii="宋体" w:hAnsi="宋体"/>
          <w:sz w:val="24"/>
          <w:lang w:val="en-US" w:eastAsia="zh-CN"/>
        </w:rPr>
        <w:t>15</w:t>
      </w:r>
      <w:r>
        <w:rPr>
          <w:rFonts w:hint="eastAsia" w:ascii="宋体" w:hAnsi="宋体"/>
          <w:sz w:val="24"/>
        </w:rPr>
        <w:t>时</w:t>
      </w:r>
      <w:r>
        <w:rPr>
          <w:rFonts w:hint="eastAsia" w:ascii="宋体" w:hAnsi="宋体"/>
          <w:sz w:val="24"/>
          <w:lang w:val="en-US" w:eastAsia="zh-CN"/>
        </w:rPr>
        <w:t>0</w:t>
      </w:r>
      <w:r>
        <w:rPr>
          <w:rFonts w:ascii="宋体" w:hAnsi="宋体"/>
          <w:sz w:val="24"/>
        </w:rPr>
        <w:t>0</w:t>
      </w:r>
      <w:r>
        <w:rPr>
          <w:rFonts w:hint="eastAsia" w:ascii="宋体" w:hAnsi="宋体"/>
          <w:sz w:val="24"/>
        </w:rPr>
        <w:t>分前向采购人提出澄清要求。</w:t>
      </w:r>
      <w:r>
        <w:rPr>
          <w:rFonts w:hint="eastAsia" w:cs="宋体" w:asciiTheme="minorEastAsia" w:hAnsiTheme="minorEastAsia" w:eastAsiaTheme="minorEastAsia"/>
          <w:color w:val="000000"/>
          <w:sz w:val="24"/>
        </w:rPr>
        <w:t>递交响应文件截止时间</w:t>
      </w:r>
      <w:r>
        <w:rPr>
          <w:rFonts w:hint="eastAsia" w:cs="宋体" w:asciiTheme="minorEastAsia" w:hAnsiTheme="minorEastAsia" w:eastAsiaTheme="minorEastAsia"/>
          <w:color w:val="000000"/>
          <w:sz w:val="24"/>
          <w:lang w:eastAsia="zh-CN"/>
        </w:rPr>
        <w:t>：</w:t>
      </w:r>
      <w:r>
        <w:rPr>
          <w:rFonts w:hint="eastAsia" w:cs="宋体" w:asciiTheme="minorEastAsia" w:hAnsiTheme="minorEastAsia" w:eastAsiaTheme="minorEastAsia"/>
          <w:color w:val="000000"/>
          <w:sz w:val="24"/>
          <w:lang w:val="en-US" w:eastAsia="zh-CN"/>
        </w:rPr>
        <w:t>2022年7月27日15时00分。</w:t>
      </w:r>
    </w:p>
    <w:p>
      <w:pPr>
        <w:pStyle w:val="5"/>
        <w:jc w:val="both"/>
      </w:pPr>
      <w:r>
        <w:rPr>
          <w:rFonts w:hint="eastAsia"/>
        </w:rPr>
        <w:t>七、最高限价</w:t>
      </w:r>
    </w:p>
    <w:p>
      <w:pPr>
        <w:spacing w:line="312" w:lineRule="auto"/>
        <w:ind w:firstLine="482"/>
        <w:rPr>
          <w:rFonts w:ascii="宋体" w:hAnsi="宋体"/>
          <w:color w:val="000000"/>
          <w:sz w:val="24"/>
        </w:rPr>
      </w:pPr>
      <w:bookmarkStart w:id="5" w:name="_Toc38287094"/>
      <w:bookmarkStart w:id="6" w:name="_Toc40274970"/>
      <w:r>
        <w:rPr>
          <w:rFonts w:hint="eastAsia" w:ascii="宋体" w:hAnsi="宋体"/>
          <w:color w:val="000000"/>
          <w:sz w:val="24"/>
        </w:rPr>
        <w:t xml:space="preserve">采购人为本次招标编制了最高限价，最高限价： </w:t>
      </w:r>
      <w:r>
        <w:rPr>
          <w:rFonts w:hint="eastAsia" w:ascii="宋体" w:hAnsi="宋体"/>
          <w:color w:val="000000"/>
          <w:sz w:val="24"/>
          <w:u w:val="single"/>
        </w:rPr>
        <w:t>大写：</w:t>
      </w:r>
      <w:r>
        <w:rPr>
          <w:rFonts w:hint="eastAsia" w:ascii="宋体" w:hAnsi="宋体"/>
          <w:color w:val="000000"/>
          <w:sz w:val="24"/>
          <w:u w:val="single"/>
          <w:lang w:val="en-US" w:eastAsia="zh-CN"/>
        </w:rPr>
        <w:t>叁</w:t>
      </w:r>
      <w:r>
        <w:rPr>
          <w:rFonts w:hint="eastAsia" w:ascii="宋体" w:hAnsi="宋体"/>
          <w:color w:val="000000"/>
          <w:sz w:val="24"/>
          <w:u w:val="single"/>
        </w:rPr>
        <w:t>拾</w:t>
      </w:r>
      <w:r>
        <w:rPr>
          <w:rFonts w:hint="eastAsia" w:ascii="宋体" w:hAnsi="宋体"/>
          <w:color w:val="000000"/>
          <w:sz w:val="24"/>
          <w:u w:val="single"/>
          <w:lang w:val="en-US" w:eastAsia="zh-CN"/>
        </w:rPr>
        <w:t>玖</w:t>
      </w:r>
      <w:r>
        <w:rPr>
          <w:rFonts w:hint="eastAsia" w:ascii="宋体" w:hAnsi="宋体"/>
          <w:color w:val="000000"/>
          <w:sz w:val="24"/>
          <w:u w:val="single"/>
        </w:rPr>
        <w:t>万</w:t>
      </w:r>
      <w:r>
        <w:rPr>
          <w:rFonts w:hint="eastAsia" w:ascii="宋体" w:hAnsi="宋体"/>
          <w:color w:val="000000"/>
          <w:sz w:val="24"/>
          <w:u w:val="single"/>
          <w:lang w:val="en-US" w:eastAsia="zh-CN"/>
        </w:rPr>
        <w:t>伍</w:t>
      </w:r>
      <w:r>
        <w:rPr>
          <w:rFonts w:hint="eastAsia" w:ascii="宋体" w:hAnsi="宋体"/>
          <w:color w:val="000000"/>
          <w:sz w:val="24"/>
          <w:u w:val="single"/>
        </w:rPr>
        <w:t xml:space="preserve">元整   </w:t>
      </w:r>
      <w:r>
        <w:rPr>
          <w:rFonts w:hint="eastAsia" w:ascii="宋体" w:hAnsi="宋体"/>
          <w:color w:val="000000"/>
          <w:sz w:val="24"/>
        </w:rPr>
        <w:t>（小写：￥</w:t>
      </w:r>
      <w:r>
        <w:rPr>
          <w:rFonts w:hint="eastAsia" w:ascii="宋体" w:hAnsi="宋体"/>
          <w:color w:val="000000"/>
          <w:sz w:val="24"/>
          <w:u w:val="single"/>
        </w:rPr>
        <w:t xml:space="preserve"> </w:t>
      </w:r>
      <w:r>
        <w:rPr>
          <w:rFonts w:hint="eastAsia" w:ascii="宋体" w:hAnsi="宋体"/>
          <w:color w:val="000000"/>
          <w:sz w:val="24"/>
          <w:u w:val="single"/>
          <w:lang w:val="en-US" w:eastAsia="zh-CN"/>
        </w:rPr>
        <w:t>395，</w:t>
      </w:r>
      <w:r>
        <w:rPr>
          <w:rFonts w:ascii="宋体" w:hAnsi="宋体"/>
          <w:color w:val="000000"/>
          <w:sz w:val="24"/>
          <w:u w:val="single"/>
        </w:rPr>
        <w:t>000</w:t>
      </w:r>
      <w:r>
        <w:rPr>
          <w:rFonts w:hint="eastAsia" w:ascii="宋体" w:hAnsi="宋体"/>
          <w:color w:val="000000"/>
          <w:sz w:val="24"/>
          <w:u w:val="single"/>
          <w:lang w:val="en-US" w:eastAsia="zh-CN"/>
        </w:rPr>
        <w:t>.00</w:t>
      </w:r>
      <w:r>
        <w:rPr>
          <w:rFonts w:hint="eastAsia" w:ascii="宋体" w:hAnsi="宋体"/>
          <w:color w:val="000000"/>
          <w:sz w:val="24"/>
        </w:rPr>
        <w:t>）含13%增值税税率。</w:t>
      </w:r>
    </w:p>
    <w:p>
      <w:pPr>
        <w:spacing w:line="312" w:lineRule="auto"/>
        <w:ind w:firstLine="482"/>
      </w:pPr>
      <w:r>
        <w:rPr>
          <w:rFonts w:hint="eastAsia" w:ascii="宋体" w:hAnsi="宋体"/>
          <w:color w:val="000000"/>
          <w:sz w:val="24"/>
        </w:rPr>
        <w:t>采购人响应报价应不高于最高限价，否则其响应文件将被否决。</w:t>
      </w:r>
      <w:bookmarkEnd w:id="5"/>
      <w:bookmarkEnd w:id="6"/>
    </w:p>
    <w:p>
      <w:pPr>
        <w:pStyle w:val="5"/>
        <w:jc w:val="both"/>
      </w:pPr>
      <w:bookmarkStart w:id="7" w:name="_Toc76635692"/>
      <w:bookmarkStart w:id="8" w:name="_Toc512257471"/>
      <w:bookmarkStart w:id="9" w:name="_Toc77254104"/>
      <w:bookmarkStart w:id="10" w:name="_Toc79596547"/>
      <w:r>
        <w:rPr>
          <w:rFonts w:hint="eastAsia"/>
        </w:rPr>
        <w:t>八、</w:t>
      </w:r>
      <w:r>
        <w:t>监督</w:t>
      </w:r>
      <w:bookmarkEnd w:id="7"/>
      <w:bookmarkEnd w:id="8"/>
      <w:bookmarkEnd w:id="9"/>
      <w:r>
        <w:rPr>
          <w:rFonts w:hint="eastAsia"/>
        </w:rPr>
        <w:t>部门</w:t>
      </w:r>
      <w:bookmarkEnd w:id="10"/>
    </w:p>
    <w:p>
      <w:pPr>
        <w:pStyle w:val="32"/>
        <w:widowControl w:val="0"/>
        <w:adjustRightInd w:val="0"/>
        <w:snapToGrid w:val="0"/>
        <w:spacing w:before="0" w:beforeAutospacing="0" w:after="0" w:afterAutospacing="0" w:line="312" w:lineRule="auto"/>
        <w:ind w:firstLine="480" w:firstLineChars="200"/>
        <w:jc w:val="both"/>
        <w:rPr>
          <w:rFonts w:cs="Times New Roman"/>
        </w:rPr>
      </w:pPr>
      <w:r>
        <w:rPr>
          <w:rFonts w:cs="Times New Roman"/>
        </w:rPr>
        <w:t>本次</w:t>
      </w:r>
      <w:r>
        <w:rPr>
          <w:rFonts w:hint="eastAsia" w:cs="Times New Roman"/>
        </w:rPr>
        <w:t>采购</w:t>
      </w:r>
      <w:r>
        <w:rPr>
          <w:rFonts w:cs="Times New Roman"/>
        </w:rPr>
        <w:t xml:space="preserve">监督部门为 </w:t>
      </w:r>
      <w:r>
        <w:rPr>
          <w:rFonts w:hint="eastAsia" w:cs="Times New Roman"/>
        </w:rPr>
        <w:t>岳阳城陵矶港务有限责任公司纪委</w:t>
      </w:r>
      <w:r>
        <w:rPr>
          <w:rFonts w:cs="Times New Roman"/>
        </w:rPr>
        <w:t xml:space="preserve"> </w:t>
      </w:r>
    </w:p>
    <w:p>
      <w:pPr>
        <w:pStyle w:val="32"/>
        <w:widowControl w:val="0"/>
        <w:adjustRightInd w:val="0"/>
        <w:snapToGrid w:val="0"/>
        <w:spacing w:before="0" w:beforeAutospacing="0" w:after="0" w:afterAutospacing="0" w:line="312" w:lineRule="auto"/>
        <w:ind w:firstLine="480" w:firstLineChars="200"/>
        <w:jc w:val="both"/>
        <w:rPr>
          <w:rFonts w:cs="Times New Roman"/>
        </w:rPr>
      </w:pPr>
      <w:r>
        <w:rPr>
          <w:rFonts w:cs="Times New Roman"/>
        </w:rPr>
        <w:t xml:space="preserve">电话： </w:t>
      </w:r>
      <w:r>
        <w:rPr>
          <w:rFonts w:hint="eastAsia" w:cs="Times New Roman"/>
        </w:rPr>
        <w:t>0730-3050160</w:t>
      </w:r>
    </w:p>
    <w:p>
      <w:pPr>
        <w:pStyle w:val="5"/>
        <w:jc w:val="both"/>
        <w:rPr>
          <w:rFonts w:ascii="Arial" w:hAnsi="Arial"/>
        </w:rPr>
      </w:pPr>
      <w:r>
        <w:rPr>
          <w:rFonts w:hint="eastAsia"/>
        </w:rPr>
        <w:t>九、</w:t>
      </w:r>
      <w:r>
        <w:rPr>
          <w:rFonts w:hint="eastAsia" w:ascii="黑体" w:hAnsi="黑体"/>
        </w:rPr>
        <w:t>联系方式</w:t>
      </w:r>
    </w:p>
    <w:p>
      <w:pPr>
        <w:autoSpaceDE w:val="0"/>
        <w:spacing w:line="400" w:lineRule="exact"/>
        <w:ind w:firstLine="240" w:firstLineChars="100"/>
        <w:jc w:val="both"/>
        <w:rPr>
          <w:rFonts w:ascii="宋体" w:hAnsi="宋体"/>
          <w:sz w:val="24"/>
        </w:rPr>
      </w:pPr>
      <w:r>
        <w:rPr>
          <w:rFonts w:hint="eastAsia" w:ascii="宋体" w:hAnsi="宋体"/>
          <w:sz w:val="24"/>
        </w:rPr>
        <w:t xml:space="preserve">采 购 人: </w:t>
      </w:r>
      <w:r>
        <w:rPr>
          <w:rFonts w:ascii="宋体" w:hAnsi="宋体"/>
          <w:sz w:val="24"/>
        </w:rPr>
        <w:t xml:space="preserve"> 岳阳城陵矶港务有限责任公司 </w:t>
      </w:r>
      <w:r>
        <w:rPr>
          <w:rFonts w:hint="eastAsia" w:ascii="宋体" w:hAnsi="宋体"/>
          <w:sz w:val="24"/>
        </w:rPr>
        <w:t xml:space="preserve">    </w:t>
      </w:r>
    </w:p>
    <w:p>
      <w:pPr>
        <w:autoSpaceDE w:val="0"/>
        <w:spacing w:line="400" w:lineRule="exact"/>
        <w:ind w:firstLine="240" w:firstLineChars="100"/>
        <w:jc w:val="both"/>
        <w:rPr>
          <w:rFonts w:ascii="宋体" w:hAnsi="宋体"/>
          <w:sz w:val="24"/>
        </w:rPr>
      </w:pPr>
      <w:r>
        <w:rPr>
          <w:rFonts w:hint="eastAsia" w:ascii="宋体" w:hAnsi="宋体"/>
          <w:sz w:val="24"/>
        </w:rPr>
        <w:t xml:space="preserve">地    址: </w:t>
      </w:r>
      <w:r>
        <w:rPr>
          <w:rFonts w:ascii="宋体" w:hAnsi="宋体"/>
          <w:sz w:val="24"/>
        </w:rPr>
        <w:t xml:space="preserve"> </w:t>
      </w:r>
      <w:r>
        <w:rPr>
          <w:rFonts w:hint="eastAsia" w:ascii="宋体" w:hAnsi="宋体"/>
          <w:sz w:val="24"/>
        </w:rPr>
        <w:t>岳阳城陵矶长江路二号</w:t>
      </w:r>
      <w:r>
        <w:rPr>
          <w:rFonts w:ascii="宋体" w:hAnsi="宋体"/>
          <w:sz w:val="24"/>
        </w:rPr>
        <w:t xml:space="preserve">  </w:t>
      </w:r>
      <w:r>
        <w:rPr>
          <w:rFonts w:hint="eastAsia" w:ascii="宋体" w:hAnsi="宋体"/>
          <w:sz w:val="24"/>
        </w:rPr>
        <w:t xml:space="preserve">   </w:t>
      </w:r>
    </w:p>
    <w:p>
      <w:pPr>
        <w:autoSpaceDE w:val="0"/>
        <w:spacing w:line="400" w:lineRule="exact"/>
        <w:jc w:val="both"/>
        <w:rPr>
          <w:rFonts w:ascii="宋体" w:hAnsi="宋体"/>
          <w:sz w:val="24"/>
        </w:rPr>
      </w:pPr>
      <w:r>
        <w:rPr>
          <w:rFonts w:ascii="宋体" w:hAnsi="宋体"/>
          <w:sz w:val="24"/>
        </w:rPr>
        <w:t xml:space="preserve">  </w:t>
      </w:r>
      <w:r>
        <w:rPr>
          <w:rFonts w:hint="eastAsia" w:ascii="宋体" w:hAnsi="宋体"/>
          <w:sz w:val="24"/>
        </w:rPr>
        <w:t xml:space="preserve">联 系 人: </w:t>
      </w:r>
      <w:r>
        <w:rPr>
          <w:rFonts w:ascii="宋体" w:hAnsi="宋体"/>
          <w:sz w:val="24"/>
        </w:rPr>
        <w:t xml:space="preserve"> </w:t>
      </w:r>
      <w:r>
        <w:rPr>
          <w:rFonts w:hint="eastAsia" w:ascii="宋体" w:hAnsi="宋体"/>
          <w:sz w:val="24"/>
        </w:rPr>
        <w:t>谢挺</w:t>
      </w:r>
      <w:r>
        <w:rPr>
          <w:rFonts w:ascii="宋体" w:hAnsi="宋体"/>
          <w:sz w:val="24"/>
        </w:rPr>
        <w:t xml:space="preserve">                  </w:t>
      </w:r>
      <w:r>
        <w:rPr>
          <w:rFonts w:hint="eastAsia" w:ascii="宋体" w:hAnsi="宋体"/>
          <w:sz w:val="24"/>
        </w:rPr>
        <w:t xml:space="preserve">       </w:t>
      </w:r>
    </w:p>
    <w:p>
      <w:pPr>
        <w:autoSpaceDE w:val="0"/>
        <w:spacing w:line="400" w:lineRule="exact"/>
        <w:ind w:firstLine="240" w:firstLineChars="100"/>
        <w:jc w:val="both"/>
        <w:rPr>
          <w:rFonts w:ascii="宋体" w:hAnsi="宋体"/>
          <w:sz w:val="24"/>
        </w:rPr>
      </w:pPr>
      <w:r>
        <w:rPr>
          <w:rFonts w:hint="eastAsia" w:ascii="宋体" w:hAnsi="宋体"/>
          <w:sz w:val="24"/>
        </w:rPr>
        <w:t xml:space="preserve">电    话: </w:t>
      </w:r>
      <w:r>
        <w:rPr>
          <w:rFonts w:ascii="宋体" w:hAnsi="宋体"/>
          <w:sz w:val="24"/>
        </w:rPr>
        <w:t xml:space="preserve"> 0730-3050157       </w:t>
      </w:r>
      <w:r>
        <w:rPr>
          <w:rFonts w:hint="eastAsia" w:ascii="宋体" w:hAnsi="宋体"/>
          <w:sz w:val="24"/>
        </w:rPr>
        <w:t xml:space="preserve">     </w:t>
      </w:r>
      <w:r>
        <w:rPr>
          <w:rFonts w:ascii="宋体" w:hAnsi="宋体"/>
          <w:sz w:val="24"/>
        </w:rPr>
        <w:t xml:space="preserve">  </w:t>
      </w:r>
      <w:r>
        <w:rPr>
          <w:rFonts w:hint="eastAsia" w:ascii="宋体" w:hAnsi="宋体"/>
          <w:sz w:val="24"/>
        </w:rPr>
        <w:t xml:space="preserve">    </w:t>
      </w:r>
    </w:p>
    <w:p>
      <w:pPr>
        <w:autoSpaceDE w:val="0"/>
        <w:spacing w:line="400" w:lineRule="exact"/>
        <w:jc w:val="both"/>
        <w:rPr>
          <w:rFonts w:ascii="宋体" w:hAnsi="宋体"/>
          <w:sz w:val="24"/>
        </w:rPr>
      </w:pPr>
      <w:r>
        <w:rPr>
          <w:rFonts w:hint="eastAsia" w:ascii="宋体" w:hAnsi="宋体"/>
          <w:sz w:val="24"/>
        </w:rPr>
        <w:t xml:space="preserve">  电子邮箱: </w:t>
      </w:r>
      <w:r>
        <w:rPr>
          <w:rFonts w:ascii="宋体" w:hAnsi="宋体"/>
          <w:sz w:val="24"/>
        </w:rPr>
        <w:t xml:space="preserve"> 199573382@qq.com       </w:t>
      </w:r>
      <w:r>
        <w:rPr>
          <w:rFonts w:hint="eastAsia" w:ascii="宋体" w:hAnsi="宋体"/>
          <w:sz w:val="24"/>
        </w:rPr>
        <w:t xml:space="preserve">        </w:t>
      </w:r>
    </w:p>
    <w:p>
      <w:pPr>
        <w:autoSpaceDE w:val="0"/>
        <w:spacing w:line="400" w:lineRule="exact"/>
        <w:ind w:firstLine="240" w:firstLineChars="100"/>
        <w:jc w:val="both"/>
        <w:rPr>
          <w:rFonts w:ascii="宋体" w:hAnsi="宋体"/>
          <w:sz w:val="24"/>
        </w:rPr>
      </w:pPr>
      <w:r>
        <w:rPr>
          <w:rFonts w:hint="eastAsia" w:ascii="宋体" w:hAnsi="宋体"/>
          <w:sz w:val="24"/>
        </w:rPr>
        <w:t xml:space="preserve">开户银行: </w:t>
      </w:r>
      <w:r>
        <w:rPr>
          <w:rFonts w:ascii="宋体" w:hAnsi="宋体"/>
          <w:sz w:val="24"/>
        </w:rPr>
        <w:t xml:space="preserve"> 岳阳建行城陵矶支行    </w:t>
      </w:r>
      <w:r>
        <w:rPr>
          <w:rFonts w:hint="eastAsia" w:ascii="宋体" w:hAnsi="宋体"/>
          <w:sz w:val="24"/>
        </w:rPr>
        <w:t xml:space="preserve">         </w:t>
      </w:r>
    </w:p>
    <w:p>
      <w:pPr>
        <w:autoSpaceDE w:val="0"/>
        <w:spacing w:line="400" w:lineRule="exact"/>
        <w:ind w:firstLine="240" w:firstLineChars="100"/>
        <w:jc w:val="both"/>
        <w:rPr>
          <w:rFonts w:ascii="宋体" w:hAnsi="宋体"/>
          <w:sz w:val="24"/>
        </w:rPr>
      </w:pPr>
      <w:r>
        <w:rPr>
          <w:rFonts w:hint="eastAsia" w:ascii="宋体" w:hAnsi="宋体"/>
          <w:sz w:val="24"/>
        </w:rPr>
        <w:t xml:space="preserve">账    号: </w:t>
      </w:r>
      <w:r>
        <w:rPr>
          <w:rFonts w:ascii="宋体" w:hAnsi="宋体"/>
          <w:sz w:val="24"/>
        </w:rPr>
        <w:t xml:space="preserve"> 43001650066050000703</w:t>
      </w:r>
    </w:p>
    <w:p>
      <w:pPr>
        <w:spacing w:line="600" w:lineRule="exact"/>
        <w:jc w:val="center"/>
        <w:rPr>
          <w:rFonts w:ascii="黑体" w:hAnsi="黑体" w:eastAsia="黑体"/>
          <w:sz w:val="32"/>
          <w:szCs w:val="32"/>
        </w:rPr>
      </w:pPr>
      <w:bookmarkStart w:id="11" w:name="_Toc517787494"/>
      <w:bookmarkStart w:id="12" w:name="_Toc234832861"/>
    </w:p>
    <w:p>
      <w:pPr>
        <w:spacing w:line="600" w:lineRule="exact"/>
        <w:jc w:val="center"/>
        <w:rPr>
          <w:rFonts w:ascii="黑体" w:hAnsi="黑体" w:eastAsia="黑体"/>
          <w:sz w:val="32"/>
          <w:szCs w:val="32"/>
        </w:rPr>
      </w:pPr>
    </w:p>
    <w:p>
      <w:pPr>
        <w:spacing w:line="600" w:lineRule="exact"/>
        <w:jc w:val="center"/>
        <w:outlineLvl w:val="0"/>
        <w:rPr>
          <w:rFonts w:ascii="黑体" w:hAnsi="黑体" w:eastAsia="黑体"/>
          <w:sz w:val="32"/>
          <w:szCs w:val="32"/>
        </w:rPr>
      </w:pPr>
      <w:bookmarkStart w:id="13" w:name="_Toc489"/>
      <w:r>
        <w:rPr>
          <w:rFonts w:hint="eastAsia" w:ascii="黑体" w:hAnsi="黑体" w:eastAsia="黑体"/>
          <w:sz w:val="32"/>
          <w:szCs w:val="32"/>
        </w:rPr>
        <w:t>第二章  供应商须知</w:t>
      </w:r>
      <w:bookmarkEnd w:id="11"/>
      <w:bookmarkEnd w:id="12"/>
      <w:bookmarkEnd w:id="13"/>
    </w:p>
    <w:p>
      <w:pPr>
        <w:pStyle w:val="4"/>
        <w:spacing w:before="240" w:after="240" w:line="600" w:lineRule="exact"/>
        <w:jc w:val="both"/>
        <w:rPr>
          <w:rFonts w:ascii="仿宋" w:hAnsi="仿宋" w:eastAsia="仿宋" w:cs="仿宋"/>
          <w:sz w:val="30"/>
          <w:szCs w:val="30"/>
        </w:rPr>
      </w:pPr>
      <w:bookmarkStart w:id="14" w:name="_Toc419"/>
      <w:bookmarkStart w:id="15" w:name="_Toc234832862"/>
      <w:bookmarkStart w:id="16" w:name="_Toc517787495"/>
      <w:r>
        <w:rPr>
          <w:rFonts w:hint="eastAsia" w:ascii="仿宋" w:hAnsi="仿宋" w:eastAsia="仿宋" w:cs="仿宋"/>
          <w:sz w:val="30"/>
          <w:szCs w:val="30"/>
        </w:rPr>
        <w:t>供应商须知前附表</w:t>
      </w:r>
      <w:r>
        <w:rPr>
          <w:rStyle w:val="46"/>
          <w:rFonts w:hint="eastAsia" w:ascii="仿宋" w:hAnsi="仿宋" w:eastAsia="仿宋" w:cs="仿宋"/>
          <w:sz w:val="30"/>
          <w:szCs w:val="30"/>
        </w:rPr>
        <w:footnoteReference w:id="0"/>
      </w:r>
      <w:bookmarkEnd w:id="14"/>
      <w:bookmarkEnd w:id="15"/>
      <w:bookmarkEnd w:id="16"/>
    </w:p>
    <w:tbl>
      <w:tblPr>
        <w:tblStyle w:val="37"/>
        <w:tblW w:w="9209" w:type="dxa"/>
        <w:tblInd w:w="0" w:type="dxa"/>
        <w:tblLayout w:type="fixed"/>
        <w:tblCellMar>
          <w:top w:w="0" w:type="dxa"/>
          <w:left w:w="108" w:type="dxa"/>
          <w:bottom w:w="0" w:type="dxa"/>
          <w:right w:w="108" w:type="dxa"/>
        </w:tblCellMar>
      </w:tblPr>
      <w:tblGrid>
        <w:gridCol w:w="1415"/>
        <w:gridCol w:w="3090"/>
        <w:gridCol w:w="4704"/>
      </w:tblGrid>
      <w:tr>
        <w:tblPrEx>
          <w:tblCellMar>
            <w:top w:w="0" w:type="dxa"/>
            <w:left w:w="108" w:type="dxa"/>
            <w:bottom w:w="0" w:type="dxa"/>
            <w:right w:w="108" w:type="dxa"/>
          </w:tblCellMar>
        </w:tblPrEx>
        <w:trPr>
          <w:trHeight w:val="90" w:hRule="atLeast"/>
          <w:tblHeader/>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条款号</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条  款  名  称</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编  列  内  容</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1.1.1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采购方法</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asciiTheme="minorEastAsia" w:hAnsiTheme="minorEastAsia" w:eastAsiaTheme="minorEastAsia"/>
                <w:sz w:val="24"/>
              </w:rPr>
              <w:t>√</w:t>
            </w:r>
            <w:r>
              <w:rPr>
                <w:rFonts w:hint="eastAsia" w:cs="仿宋" w:asciiTheme="minorEastAsia" w:hAnsiTheme="minorEastAsia" w:eastAsiaTheme="minorEastAsia"/>
                <w:sz w:val="24"/>
              </w:rPr>
              <w:t>询价</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□竞争性谈判</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□单一来源</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□直接采购</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1.1.2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评审办法</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asciiTheme="minorEastAsia" w:hAnsiTheme="minorEastAsia" w:eastAsiaTheme="minorEastAsia"/>
                <w:sz w:val="24"/>
              </w:rPr>
              <w:t>√</w:t>
            </w:r>
            <w:r>
              <w:rPr>
                <w:rFonts w:hint="eastAsia" w:cs="仿宋" w:asciiTheme="minorEastAsia" w:hAnsiTheme="minorEastAsia" w:eastAsiaTheme="minorEastAsia"/>
                <w:sz w:val="24"/>
              </w:rPr>
              <w:t>最低价法（同质比价法）</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□综合评分法（性价比法）</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1.7.1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踏勘现场</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asciiTheme="minorEastAsia" w:hAnsiTheme="minorEastAsia" w:eastAsiaTheme="minorEastAsia"/>
                <w:sz w:val="24"/>
              </w:rPr>
              <w:t>√</w:t>
            </w:r>
            <w:r>
              <w:rPr>
                <w:rFonts w:hint="eastAsia" w:cs="仿宋" w:asciiTheme="minorEastAsia" w:hAnsiTheme="minorEastAsia" w:eastAsiaTheme="minorEastAsia"/>
                <w:sz w:val="24"/>
              </w:rPr>
              <w:t>不组织</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□组织，踏勘时间：              </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踏勘集中地点：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1.8</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采购预备会</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asciiTheme="minorEastAsia" w:hAnsiTheme="minorEastAsia" w:eastAsiaTheme="minorEastAsia"/>
                <w:sz w:val="24"/>
              </w:rPr>
              <w:t>√</w:t>
            </w:r>
            <w:r>
              <w:rPr>
                <w:rFonts w:hint="eastAsia" w:cs="仿宋" w:asciiTheme="minorEastAsia" w:hAnsiTheme="minorEastAsia" w:eastAsiaTheme="minorEastAsia"/>
                <w:sz w:val="24"/>
              </w:rPr>
              <w:t>不召开</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□召开，召开时间：              </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召开地点：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1.9</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（A、C）</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分包</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不得分包的内容：全部</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对分包供应商的要求：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1.10.2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对非关键条款的偏差</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eastAsia" w:cs="仿宋" w:asciiTheme="minorEastAsia" w:hAnsiTheme="minorEastAsia" w:eastAsiaTheme="minorEastAsia"/>
                <w:sz w:val="24"/>
                <w:lang w:eastAsia="zh-CN"/>
              </w:rPr>
            </w:pPr>
            <w:r>
              <w:rPr>
                <w:rFonts w:hint="eastAsia" w:cs="仿宋" w:asciiTheme="minorEastAsia" w:hAnsiTheme="minorEastAsia" w:eastAsiaTheme="minorEastAsia"/>
                <w:sz w:val="24"/>
              </w:rPr>
              <w:t>允许偏差的范围：允许细微偏离</w:t>
            </w:r>
            <w:r>
              <w:rPr>
                <w:rFonts w:hint="eastAsia" w:cs="仿宋" w:asciiTheme="minorEastAsia" w:hAnsiTheme="minorEastAsia" w:eastAsiaTheme="minorEastAsia"/>
                <w:sz w:val="24"/>
                <w:lang w:eastAsia="zh-CN"/>
              </w:rPr>
              <w:t>，</w:t>
            </w:r>
            <w:r>
              <w:rPr>
                <w:rFonts w:hint="eastAsia" w:cs="仿宋" w:asciiTheme="minorEastAsia" w:hAnsiTheme="minorEastAsia" w:eastAsiaTheme="minorEastAsia"/>
                <w:sz w:val="24"/>
                <w:highlight w:val="none"/>
                <w:u w:val="none"/>
              </w:rPr>
              <w:t>响应</w:t>
            </w:r>
            <w:r>
              <w:rPr>
                <w:rFonts w:hint="eastAsia" w:ascii="宋体" w:hAnsi="宋体" w:cs="宋体"/>
                <w:sz w:val="24"/>
                <w:highlight w:val="none"/>
                <w:u w:val="none"/>
              </w:rPr>
              <w:t>文件在实质上响应招标文件要求，但存在含义不明确的内容、明显文字或计算错误等情况，此条件下允许供应商进行澄清解释。</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允许偏差的项数：  </w:t>
            </w:r>
            <w:r>
              <w:rPr>
                <w:rFonts w:hint="eastAsia" w:cs="仿宋" w:asciiTheme="minorEastAsia" w:hAnsiTheme="minorEastAsia" w:eastAsiaTheme="minorEastAsia"/>
                <w:sz w:val="24"/>
                <w:lang w:val="en-US" w:eastAsia="zh-CN"/>
              </w:rPr>
              <w:t>2</w:t>
            </w:r>
            <w:r>
              <w:rPr>
                <w:rFonts w:hint="eastAsia" w:cs="仿宋" w:asciiTheme="minorEastAsia" w:hAnsiTheme="minorEastAsia" w:eastAsiaTheme="minorEastAsia"/>
                <w:sz w:val="24"/>
              </w:rPr>
              <w:t xml:space="preserve">项                                              </w:t>
            </w:r>
          </w:p>
        </w:tc>
      </w:tr>
      <w:tr>
        <w:tblPrEx>
          <w:tblCellMar>
            <w:top w:w="0" w:type="dxa"/>
            <w:left w:w="108" w:type="dxa"/>
            <w:bottom w:w="0" w:type="dxa"/>
            <w:right w:w="108" w:type="dxa"/>
          </w:tblCellMar>
        </w:tblPrEx>
        <w:trPr>
          <w:trHeight w:val="552"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2.1(7)</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构成采购文件的其他资料</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资料名称：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2.2.1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供应商要求澄清采购文件的时间</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ascii="宋体" w:hAnsi="宋体"/>
                <w:sz w:val="24"/>
              </w:rPr>
              <w:t>2022</w:t>
            </w:r>
            <w:r>
              <w:rPr>
                <w:rFonts w:hint="eastAsia" w:ascii="宋体" w:hAnsi="宋体"/>
                <w:sz w:val="24"/>
              </w:rPr>
              <w:t>年</w:t>
            </w:r>
            <w:r>
              <w:rPr>
                <w:rFonts w:hint="eastAsia" w:ascii="宋体" w:hAnsi="宋体"/>
                <w:sz w:val="24"/>
                <w:lang w:val="en-US" w:eastAsia="zh-CN"/>
              </w:rPr>
              <w:t>7</w:t>
            </w:r>
            <w:r>
              <w:rPr>
                <w:rFonts w:hint="eastAsia" w:ascii="宋体" w:hAnsi="宋体"/>
                <w:sz w:val="24"/>
              </w:rPr>
              <w:t xml:space="preserve"> 月</w:t>
            </w:r>
            <w:r>
              <w:rPr>
                <w:rFonts w:hint="eastAsia" w:ascii="宋体" w:hAnsi="宋体"/>
                <w:sz w:val="24"/>
                <w:lang w:val="en-US" w:eastAsia="zh-CN"/>
              </w:rPr>
              <w:t>26</w:t>
            </w:r>
            <w:r>
              <w:rPr>
                <w:rFonts w:hint="eastAsia" w:ascii="宋体" w:hAnsi="宋体"/>
                <w:sz w:val="24"/>
              </w:rPr>
              <w:t>日</w:t>
            </w:r>
            <w:r>
              <w:rPr>
                <w:rFonts w:hint="eastAsia" w:ascii="宋体" w:hAnsi="宋体"/>
                <w:sz w:val="24"/>
                <w:lang w:val="en-US" w:eastAsia="zh-CN"/>
              </w:rPr>
              <w:t>15</w:t>
            </w:r>
            <w:r>
              <w:rPr>
                <w:rFonts w:hint="eastAsia" w:ascii="宋体" w:hAnsi="宋体"/>
                <w:sz w:val="24"/>
              </w:rPr>
              <w:t>时</w:t>
            </w:r>
            <w:r>
              <w:rPr>
                <w:rFonts w:hint="eastAsia" w:ascii="宋体" w:hAnsi="宋体"/>
                <w:sz w:val="24"/>
                <w:lang w:val="en-US" w:eastAsia="zh-CN"/>
              </w:rPr>
              <w:t>0</w:t>
            </w:r>
            <w:r>
              <w:rPr>
                <w:rFonts w:ascii="宋体" w:hAnsi="宋体"/>
                <w:sz w:val="24"/>
              </w:rPr>
              <w:t>0</w:t>
            </w:r>
            <w:r>
              <w:rPr>
                <w:rFonts w:hint="eastAsia" w:ascii="宋体" w:hAnsi="宋体"/>
                <w:sz w:val="24"/>
              </w:rPr>
              <w:t>分前</w:t>
            </w:r>
            <w:r>
              <w:rPr>
                <w:rFonts w:hint="eastAsia" w:cs="仿宋" w:asciiTheme="minorEastAsia" w:hAnsiTheme="minorEastAsia" w:eastAsiaTheme="minorEastAsia"/>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2.2.3</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供应商确认收到采购文件补充文件</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确认的最晚时间：补充文件发出后24小时</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确定的方式：补充文件接收确认函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3.1.1（9）</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构成响应文件的其他资料</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资料名称： 采购文件补遗书及答疑书（如果有）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3.2.2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采购标的数量增减幅度</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采购标的数量增减幅度： </w:t>
            </w:r>
            <w:r>
              <w:rPr>
                <w:rFonts w:cs="仿宋" w:asciiTheme="minorEastAsia" w:hAnsiTheme="minorEastAsia" w:eastAsiaTheme="minorEastAsia"/>
                <w:sz w:val="24"/>
              </w:rPr>
              <w:t>10%</w:t>
            </w:r>
            <w:r>
              <w:rPr>
                <w:rFonts w:hint="eastAsia" w:cs="仿宋" w:asciiTheme="minorEastAsia" w:hAnsiTheme="minorEastAsia" w:eastAsiaTheme="minorEastAsia"/>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3.2.3</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最高限价或其计算方法</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□无</w:t>
            </w:r>
          </w:p>
          <w:p>
            <w:pPr>
              <w:spacing w:line="288" w:lineRule="auto"/>
              <w:jc w:val="both"/>
              <w:rPr>
                <w:rFonts w:cs="仿宋" w:asciiTheme="minorEastAsia" w:hAnsiTheme="minorEastAsia" w:eastAsiaTheme="minorEastAsia"/>
                <w:sz w:val="24"/>
              </w:rPr>
            </w:pPr>
            <w:r>
              <w:rPr>
                <w:rStyle w:val="40"/>
                <w:rFonts w:hint="eastAsia"/>
                <w:u w:val="single"/>
              </w:rPr>
              <w:sym w:font="Wingdings 2" w:char="0052"/>
            </w:r>
            <w:r>
              <w:rPr>
                <w:rFonts w:hint="eastAsia" w:cs="仿宋" w:asciiTheme="minorEastAsia" w:hAnsiTheme="minorEastAsia" w:eastAsiaTheme="minorEastAsia"/>
                <w:sz w:val="24"/>
              </w:rPr>
              <w:t>有，最高限价：</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人民币叁拾玖万伍仟元（小写：</w:t>
            </w:r>
            <w:r>
              <w:rPr>
                <w:rFonts w:cs="仿宋" w:asciiTheme="minorEastAsia" w:hAnsiTheme="minorEastAsia" w:eastAsiaTheme="minorEastAsia"/>
                <w:sz w:val="24"/>
              </w:rPr>
              <w:t>¥395</w:t>
            </w:r>
            <w:r>
              <w:rPr>
                <w:rFonts w:hint="eastAsia" w:cs="仿宋" w:asciiTheme="minorEastAsia" w:hAnsiTheme="minorEastAsia" w:eastAsiaTheme="minorEastAsia"/>
                <w:sz w:val="24"/>
              </w:rPr>
              <w:t>，</w:t>
            </w:r>
            <w:r>
              <w:rPr>
                <w:rFonts w:cs="仿宋" w:asciiTheme="minorEastAsia" w:hAnsiTheme="minorEastAsia" w:eastAsiaTheme="minorEastAsia"/>
                <w:sz w:val="24"/>
              </w:rPr>
              <w:t>000.00</w:t>
            </w:r>
            <w:r>
              <w:rPr>
                <w:rFonts w:hint="eastAsia" w:cs="仿宋" w:asciiTheme="minorEastAsia" w:hAnsiTheme="minorEastAsia" w:eastAsiaTheme="minorEastAsia"/>
                <w:sz w:val="24"/>
              </w:rPr>
              <w:t xml:space="preserve">）含13%的增值税，超过最高限价作废。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3.2.4</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报价的其他要求</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highlight w:val="none"/>
                <w:lang w:val="en-US" w:eastAsia="zh-CN"/>
              </w:rPr>
              <w:t>单价</w:t>
            </w:r>
            <w:r>
              <w:rPr>
                <w:rFonts w:hint="eastAsia" w:cs="仿宋" w:asciiTheme="minorEastAsia" w:hAnsiTheme="minorEastAsia" w:eastAsiaTheme="minorEastAsia"/>
                <w:sz w:val="24"/>
                <w:highlight w:val="none"/>
                <w:lang w:eastAsia="zh-CN"/>
              </w:rPr>
              <w:t>报价应包含</w:t>
            </w:r>
            <w:r>
              <w:rPr>
                <w:rFonts w:hint="eastAsia" w:cs="仿宋" w:asciiTheme="minorEastAsia" w:hAnsiTheme="minorEastAsia" w:eastAsiaTheme="minorEastAsia"/>
                <w:sz w:val="24"/>
                <w:highlight w:val="none"/>
                <w:lang w:val="en-US" w:eastAsia="zh-CN"/>
              </w:rPr>
              <w:t>文明施工</w:t>
            </w:r>
            <w:r>
              <w:rPr>
                <w:rFonts w:hint="eastAsia" w:cs="仿宋" w:asciiTheme="minorEastAsia" w:hAnsiTheme="minorEastAsia" w:eastAsiaTheme="minorEastAsia"/>
                <w:sz w:val="24"/>
                <w:highlight w:val="none"/>
                <w:lang w:eastAsia="zh-CN"/>
              </w:rPr>
              <w:t>费、</w:t>
            </w:r>
            <w:r>
              <w:rPr>
                <w:rFonts w:hint="eastAsia" w:cs="仿宋" w:asciiTheme="minorEastAsia" w:hAnsiTheme="minorEastAsia" w:eastAsiaTheme="minorEastAsia"/>
                <w:sz w:val="24"/>
                <w:highlight w:val="none"/>
                <w:lang w:val="en-US" w:eastAsia="zh-CN"/>
              </w:rPr>
              <w:t>管理</w:t>
            </w:r>
            <w:r>
              <w:rPr>
                <w:rFonts w:hint="eastAsia" w:cs="仿宋" w:asciiTheme="minorEastAsia" w:hAnsiTheme="minorEastAsia" w:eastAsiaTheme="minorEastAsia"/>
                <w:sz w:val="24"/>
                <w:highlight w:val="none"/>
                <w:lang w:eastAsia="zh-CN"/>
              </w:rPr>
              <w:t>费、税金等</w:t>
            </w:r>
            <w:r>
              <w:rPr>
                <w:rFonts w:hint="eastAsia" w:cs="仿宋" w:asciiTheme="minorEastAsia" w:hAnsiTheme="minorEastAsia" w:eastAsiaTheme="minorEastAsia"/>
                <w:sz w:val="24"/>
                <w:highlight w:val="none"/>
                <w:lang w:val="en-US" w:eastAsia="zh-CN"/>
              </w:rPr>
              <w:t>所有</w:t>
            </w:r>
            <w:r>
              <w:rPr>
                <w:rFonts w:hint="eastAsia" w:cs="仿宋" w:asciiTheme="minorEastAsia" w:hAnsiTheme="minorEastAsia" w:eastAsiaTheme="minorEastAsia"/>
                <w:sz w:val="24"/>
                <w:highlight w:val="none"/>
                <w:lang w:eastAsia="zh-CN"/>
              </w:rPr>
              <w:t>费用。</w:t>
            </w:r>
            <w:r>
              <w:rPr>
                <w:rFonts w:hint="eastAsia" w:cs="仿宋" w:asciiTheme="minorEastAsia" w:hAnsiTheme="minorEastAsia" w:eastAsiaTheme="minorEastAsia"/>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3.3.1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响应文件有效期</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递交响应文件截止之日起90日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3.4.1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响应保证金</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Style w:val="40"/>
                <w:rFonts w:hint="eastAsia"/>
                <w:u w:val="single"/>
              </w:rPr>
              <w:sym w:font="Wingdings 2" w:char="0052"/>
            </w:r>
            <w:r>
              <w:rPr>
                <w:rFonts w:hint="eastAsia" w:cs="仿宋" w:asciiTheme="minorEastAsia" w:hAnsiTheme="minorEastAsia" w:eastAsiaTheme="minorEastAsia"/>
                <w:sz w:val="24"/>
              </w:rPr>
              <w:t>不要求递交</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□要求递交，</w:t>
            </w:r>
          </w:p>
          <w:p>
            <w:pPr>
              <w:spacing w:line="288" w:lineRule="auto"/>
              <w:ind w:firstLine="360" w:firstLineChars="15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保证金的金额：              </w:t>
            </w:r>
          </w:p>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保证金的形式：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3.4.2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退还响应保证金的时间</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w:t>
            </w:r>
            <w:r>
              <w:rPr>
                <w:rFonts w:hint="eastAsia" w:cs="仿宋" w:asciiTheme="minorEastAsia" w:hAnsiTheme="minorEastAsia" w:eastAsiaTheme="minorEastAsia"/>
                <w:sz w:val="24"/>
                <w:lang w:val="en-US" w:eastAsia="zh-CN"/>
              </w:rPr>
              <w:t>无</w:t>
            </w:r>
            <w:r>
              <w:rPr>
                <w:rFonts w:hint="eastAsia" w:cs="仿宋" w:asciiTheme="minorEastAsia" w:hAnsiTheme="minorEastAsia" w:eastAsiaTheme="minorEastAsia"/>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3.4.3</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不退还响应保证金的其他情形</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w:t>
            </w:r>
            <w:r>
              <w:rPr>
                <w:rFonts w:hint="eastAsia" w:cs="仿宋" w:asciiTheme="minorEastAsia" w:hAnsiTheme="minorEastAsia" w:eastAsiaTheme="minorEastAsia"/>
                <w:sz w:val="24"/>
                <w:lang w:val="en-US" w:eastAsia="zh-CN"/>
              </w:rPr>
              <w:t>无</w:t>
            </w:r>
            <w:r>
              <w:rPr>
                <w:rFonts w:hint="eastAsia" w:cs="仿宋" w:asciiTheme="minorEastAsia" w:hAnsiTheme="minorEastAsia" w:eastAsiaTheme="minorEastAsia"/>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3.5（1）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Style w:val="40"/>
                <w:rFonts w:asciiTheme="minorEastAsia" w:hAnsiTheme="minorEastAsia" w:eastAsiaTheme="minorEastAsia"/>
                <w:b w:val="0"/>
                <w:color w:val="000000"/>
                <w:sz w:val="24"/>
              </w:rPr>
            </w:pPr>
            <w:r>
              <w:rPr>
                <w:rStyle w:val="40"/>
                <w:rFonts w:hint="eastAsia" w:asciiTheme="minorEastAsia" w:hAnsiTheme="minorEastAsia" w:eastAsiaTheme="minorEastAsia"/>
                <w:b w:val="0"/>
                <w:color w:val="000000"/>
                <w:sz w:val="24"/>
              </w:rPr>
              <w:t>依法设立的证明材料</w:t>
            </w:r>
          </w:p>
        </w:tc>
        <w:tc>
          <w:tcPr>
            <w:tcW w:w="4704" w:type="dxa"/>
            <w:tcBorders>
              <w:top w:val="single" w:color="auto" w:sz="4" w:space="0"/>
              <w:left w:val="single" w:color="auto" w:sz="4" w:space="0"/>
              <w:bottom w:val="single" w:color="auto" w:sz="4" w:space="0"/>
              <w:right w:val="single" w:color="auto" w:sz="4" w:space="0"/>
            </w:tcBorders>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□不适用。</w:t>
            </w:r>
          </w:p>
          <w:p>
            <w:pPr>
              <w:spacing w:line="288" w:lineRule="auto"/>
              <w:jc w:val="both"/>
              <w:rPr>
                <w:rFonts w:asciiTheme="minorEastAsia" w:hAnsiTheme="minorEastAsia" w:eastAsiaTheme="minorEastAsia"/>
                <w:color w:val="000000"/>
                <w:sz w:val="24"/>
              </w:rPr>
            </w:pPr>
            <w:r>
              <w:rPr>
                <w:rStyle w:val="40"/>
                <w:rFonts w:hint="eastAsia"/>
                <w:u w:val="single"/>
              </w:rPr>
              <w:sym w:font="Wingdings 2" w:char="0052"/>
            </w:r>
            <w:r>
              <w:rPr>
                <w:rFonts w:hint="eastAsia" w:cs="仿宋" w:asciiTheme="minorEastAsia" w:hAnsiTheme="minorEastAsia" w:eastAsiaTheme="minorEastAsia"/>
                <w:sz w:val="24"/>
              </w:rPr>
              <w:t>适用。</w:t>
            </w:r>
            <w:r>
              <w:rPr>
                <w:rFonts w:hint="eastAsia" w:asciiTheme="minorEastAsia" w:hAnsiTheme="minorEastAsia" w:eastAsiaTheme="minorEastAsia"/>
                <w:color w:val="000000"/>
                <w:sz w:val="24"/>
              </w:rPr>
              <w:t>供应商应提供市场监管部门或其他行政机关颁发的可以合法开展业务的执照或证书。</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3.5（2）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Style w:val="40"/>
                <w:rFonts w:hint="eastAsia" w:asciiTheme="minorEastAsia" w:hAnsiTheme="minorEastAsia" w:eastAsiaTheme="minorEastAsia"/>
                <w:b w:val="0"/>
                <w:color w:val="000000"/>
                <w:sz w:val="24"/>
              </w:rPr>
              <w:t>资质要求证明材料</w:t>
            </w:r>
          </w:p>
        </w:tc>
        <w:tc>
          <w:tcPr>
            <w:tcW w:w="4704" w:type="dxa"/>
            <w:tcBorders>
              <w:top w:val="single" w:color="auto" w:sz="4" w:space="0"/>
              <w:left w:val="single" w:color="auto" w:sz="4" w:space="0"/>
              <w:bottom w:val="single" w:color="auto" w:sz="4" w:space="0"/>
              <w:right w:val="single" w:color="auto" w:sz="4" w:space="0"/>
            </w:tcBorders>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□不适用</w:t>
            </w:r>
          </w:p>
          <w:p>
            <w:pPr>
              <w:spacing w:line="288" w:lineRule="auto"/>
              <w:jc w:val="both"/>
              <w:rPr>
                <w:rFonts w:cs="宋体" w:asciiTheme="minorEastAsia" w:hAnsiTheme="minorEastAsia" w:eastAsiaTheme="minorEastAsia"/>
                <w:color w:val="000000"/>
                <w:sz w:val="24"/>
              </w:rPr>
            </w:pPr>
            <w:r>
              <w:rPr>
                <w:rStyle w:val="40"/>
                <w:rFonts w:hint="eastAsia"/>
                <w:u w:val="single"/>
              </w:rPr>
              <w:sym w:font="Wingdings 2" w:char="0052"/>
            </w:r>
            <w:r>
              <w:rPr>
                <w:rFonts w:hint="eastAsia" w:cs="宋体" w:asciiTheme="minorEastAsia" w:hAnsiTheme="minorEastAsia" w:eastAsiaTheme="minorEastAsia"/>
                <w:color w:val="000000"/>
                <w:sz w:val="24"/>
              </w:rPr>
              <w:t>适用。供应商应提供相关资质证书副本的复印件，以证明供应商具有承担本项目要求的资质。</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资质证书包括：国防科工委颁发的船舶修造、建造许可证</w:t>
            </w:r>
            <w:r>
              <w:rPr>
                <w:rFonts w:hint="eastAsia" w:cs="宋体" w:asciiTheme="minorEastAsia" w:hAnsiTheme="minorEastAsia" w:eastAsiaTheme="minorEastAsia"/>
                <w:color w:val="000000"/>
                <w:sz w:val="24"/>
                <w:lang w:val="en-US" w:eastAsia="zh-CN"/>
              </w:rPr>
              <w:t>复印件盖公章</w:t>
            </w:r>
            <w:r>
              <w:rPr>
                <w:rFonts w:hint="eastAsia" w:cs="宋体" w:asciiTheme="minorEastAsia" w:hAnsiTheme="minorEastAsia" w:eastAsiaTheme="minorEastAsia"/>
                <w:color w:val="000000"/>
                <w:sz w:val="24"/>
              </w:rPr>
              <w:t>。</w:t>
            </w:r>
          </w:p>
        </w:tc>
      </w:tr>
      <w:tr>
        <w:tblPrEx>
          <w:tblCellMar>
            <w:top w:w="0" w:type="dxa"/>
            <w:left w:w="108" w:type="dxa"/>
            <w:bottom w:w="0" w:type="dxa"/>
            <w:right w:w="108" w:type="dxa"/>
          </w:tblCellMar>
        </w:tblPrEx>
        <w:trPr>
          <w:trHeight w:val="9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3.5（3）</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Style w:val="40"/>
                <w:rFonts w:asciiTheme="minorEastAsia" w:hAnsiTheme="minorEastAsia" w:eastAsiaTheme="minorEastAsia"/>
                <w:b w:val="0"/>
                <w:color w:val="000000"/>
                <w:sz w:val="24"/>
              </w:rPr>
            </w:pPr>
            <w:r>
              <w:rPr>
                <w:rStyle w:val="40"/>
                <w:rFonts w:hint="eastAsia" w:asciiTheme="minorEastAsia" w:hAnsiTheme="minorEastAsia" w:eastAsiaTheme="minorEastAsia"/>
                <w:b w:val="0"/>
                <w:color w:val="000000"/>
                <w:sz w:val="24"/>
              </w:rPr>
              <w:t>财务要求证明材料</w:t>
            </w:r>
          </w:p>
        </w:tc>
        <w:tc>
          <w:tcPr>
            <w:tcW w:w="4704" w:type="dxa"/>
            <w:tcBorders>
              <w:top w:val="single" w:color="auto" w:sz="4" w:space="0"/>
              <w:left w:val="single" w:color="auto" w:sz="4" w:space="0"/>
              <w:bottom w:val="single" w:color="auto" w:sz="4" w:space="0"/>
              <w:right w:val="single" w:color="auto" w:sz="4" w:space="0"/>
            </w:tcBorders>
          </w:tcPr>
          <w:p>
            <w:pPr>
              <w:spacing w:line="288" w:lineRule="auto"/>
              <w:jc w:val="both"/>
              <w:rPr>
                <w:rFonts w:asciiTheme="minorEastAsia" w:hAnsiTheme="minorEastAsia" w:eastAsiaTheme="minorEastAsia"/>
                <w:color w:val="000000"/>
                <w:sz w:val="24"/>
              </w:rPr>
            </w:pPr>
            <w:r>
              <w:rPr>
                <w:rStyle w:val="40"/>
                <w:rFonts w:hint="eastAsia"/>
                <w:u w:val="single"/>
              </w:rPr>
              <w:sym w:font="Wingdings 2" w:char="0052"/>
            </w:r>
            <w:r>
              <w:rPr>
                <w:rFonts w:hint="eastAsia" w:cs="宋体" w:asciiTheme="minorEastAsia" w:hAnsiTheme="minorEastAsia" w:eastAsiaTheme="minorEastAsia"/>
                <w:color w:val="000000"/>
                <w:sz w:val="24"/>
              </w:rPr>
              <w:t>不适用</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3.5（4）</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业绩要求证明材料</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□不适用</w:t>
            </w:r>
          </w:p>
          <w:p>
            <w:pPr>
              <w:spacing w:line="288" w:lineRule="auto"/>
              <w:jc w:val="both"/>
              <w:rPr>
                <w:rFonts w:hint="default" w:cs="宋体" w:asciiTheme="minorEastAsia" w:hAnsiTheme="minorEastAsia" w:eastAsiaTheme="minorEastAsia"/>
                <w:color w:val="000000"/>
                <w:sz w:val="24"/>
                <w:u w:val="single"/>
                <w:lang w:val="en-US" w:eastAsia="zh-CN"/>
              </w:rPr>
            </w:pPr>
            <w:r>
              <w:rPr>
                <w:rStyle w:val="40"/>
                <w:rFonts w:hint="eastAsia"/>
                <w:u w:val="single"/>
              </w:rPr>
              <w:sym w:font="Wingdings 2" w:char="0052"/>
            </w:r>
            <w:r>
              <w:rPr>
                <w:rFonts w:hint="eastAsia" w:cs="宋体" w:asciiTheme="minorEastAsia" w:hAnsiTheme="minorEastAsia" w:eastAsiaTheme="minorEastAsia"/>
                <w:color w:val="000000"/>
                <w:sz w:val="24"/>
              </w:rPr>
              <w:t>适用。供应商应提供近年的类似项目情况表（格式见第六章“响应文件格式”七、资格审查资料（三）近年的类似项目情况表），以证明供应商具有承担本项目要求的业绩。近年是指</w:t>
            </w:r>
            <w:r>
              <w:rPr>
                <w:rFonts w:hint="eastAsia" w:cs="宋体" w:asciiTheme="minorEastAsia" w:hAnsiTheme="minorEastAsia" w:eastAsiaTheme="minorEastAsia"/>
                <w:color w:val="000000"/>
                <w:sz w:val="24"/>
                <w:u w:val="single"/>
              </w:rPr>
              <w:t xml:space="preserve"> </w:t>
            </w:r>
            <w:r>
              <w:rPr>
                <w:rFonts w:cs="宋体" w:asciiTheme="minorEastAsia" w:hAnsiTheme="minorEastAsia" w:eastAsiaTheme="minorEastAsia"/>
                <w:color w:val="000000"/>
                <w:sz w:val="24"/>
                <w:u w:val="single"/>
              </w:rPr>
              <w:t>2020</w:t>
            </w:r>
            <w:r>
              <w:rPr>
                <w:rFonts w:hint="eastAsia" w:cs="宋体" w:asciiTheme="minorEastAsia" w:hAnsiTheme="minorEastAsia" w:eastAsiaTheme="minorEastAsia"/>
                <w:color w:val="000000"/>
                <w:sz w:val="24"/>
                <w:u w:val="single"/>
              </w:rPr>
              <w:t>年</w:t>
            </w:r>
            <w:r>
              <w:rPr>
                <w:rFonts w:hint="eastAsia" w:cs="宋体" w:asciiTheme="minorEastAsia" w:hAnsiTheme="minorEastAsia" w:eastAsiaTheme="minorEastAsia"/>
                <w:color w:val="000000"/>
                <w:sz w:val="24"/>
                <w:u w:val="single"/>
                <w:lang w:val="en-US" w:eastAsia="zh-CN"/>
              </w:rPr>
              <w:t>7月28日</w:t>
            </w:r>
            <w:r>
              <w:rPr>
                <w:rFonts w:hint="eastAsia" w:cs="宋体" w:asciiTheme="minorEastAsia" w:hAnsiTheme="minorEastAsia" w:eastAsiaTheme="minorEastAsia"/>
                <w:color w:val="000000"/>
                <w:sz w:val="24"/>
              </w:rPr>
              <w:t>至</w:t>
            </w:r>
            <w:r>
              <w:rPr>
                <w:rFonts w:cs="宋体" w:asciiTheme="minorEastAsia" w:hAnsiTheme="minorEastAsia" w:eastAsiaTheme="minorEastAsia"/>
                <w:color w:val="000000"/>
                <w:sz w:val="24"/>
                <w:u w:val="single"/>
              </w:rPr>
              <w:t>2022</w:t>
            </w:r>
            <w:r>
              <w:rPr>
                <w:rFonts w:hint="eastAsia" w:cs="宋体" w:asciiTheme="minorEastAsia" w:hAnsiTheme="minorEastAsia" w:eastAsiaTheme="minorEastAsia"/>
                <w:color w:val="000000"/>
                <w:sz w:val="24"/>
                <w:u w:val="single"/>
              </w:rPr>
              <w:t>年</w:t>
            </w:r>
            <w:r>
              <w:rPr>
                <w:rFonts w:hint="eastAsia" w:cs="宋体" w:asciiTheme="minorEastAsia" w:hAnsiTheme="minorEastAsia" w:eastAsiaTheme="minorEastAsia"/>
                <w:color w:val="000000"/>
                <w:sz w:val="24"/>
                <w:u w:val="single"/>
                <w:lang w:val="en-US" w:eastAsia="zh-CN"/>
              </w:rPr>
              <w:t>7</w:t>
            </w:r>
            <w:r>
              <w:rPr>
                <w:rFonts w:hint="eastAsia" w:cs="宋体" w:asciiTheme="minorEastAsia" w:hAnsiTheme="minorEastAsia" w:eastAsiaTheme="minorEastAsia"/>
                <w:color w:val="000000"/>
                <w:sz w:val="24"/>
                <w:u w:val="single"/>
              </w:rPr>
              <w:t>月</w:t>
            </w:r>
            <w:r>
              <w:rPr>
                <w:rFonts w:hint="eastAsia" w:cs="宋体" w:asciiTheme="minorEastAsia" w:hAnsiTheme="minorEastAsia" w:eastAsiaTheme="minorEastAsia"/>
                <w:color w:val="000000"/>
                <w:sz w:val="24"/>
                <w:u w:val="single"/>
                <w:lang w:val="en-US" w:eastAsia="zh-CN"/>
              </w:rPr>
              <w:t>28日（以甲方签署时间为准）</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业绩证明材料：</w:t>
            </w:r>
          </w:p>
          <w:p>
            <w:pPr>
              <w:spacing w:line="288" w:lineRule="auto"/>
              <w:jc w:val="both"/>
              <w:rPr>
                <w:rFonts w:cs="宋体" w:asciiTheme="minorEastAsia" w:hAnsiTheme="minorEastAsia" w:eastAsiaTheme="minorEastAsia"/>
                <w:color w:val="000000"/>
                <w:sz w:val="24"/>
              </w:rPr>
            </w:pPr>
            <w:r>
              <w:rPr>
                <w:rStyle w:val="40"/>
                <w:rFonts w:hint="eastAsia"/>
                <w:u w:val="single"/>
              </w:rPr>
              <w:sym w:font="Wingdings 2" w:char="0052"/>
            </w:r>
            <w:r>
              <w:rPr>
                <w:rFonts w:hint="eastAsia" w:cs="宋体" w:asciiTheme="minorEastAsia" w:hAnsiTheme="minorEastAsia" w:eastAsiaTheme="minorEastAsia"/>
                <w:color w:val="000000"/>
                <w:sz w:val="24"/>
              </w:rPr>
              <w:t>合同/订单</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□中标通知书/成交通知书</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□竣工验收报告/验收证明</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□业主证明</w:t>
            </w:r>
          </w:p>
          <w:p>
            <w:pPr>
              <w:spacing w:line="288" w:lineRule="auto"/>
              <w:jc w:val="both"/>
              <w:rPr>
                <w:rFonts w:cs="宋体" w:asciiTheme="minorEastAsia" w:hAnsiTheme="minorEastAsia" w:eastAsiaTheme="minorEastAsia"/>
                <w:color w:val="000000"/>
                <w:sz w:val="24"/>
                <w:u w:val="single"/>
              </w:rPr>
            </w:pPr>
            <w:r>
              <w:rPr>
                <w:rFonts w:hint="eastAsia" w:cs="宋体" w:asciiTheme="minorEastAsia" w:hAnsiTheme="minorEastAsia" w:eastAsiaTheme="minorEastAsia"/>
                <w:color w:val="000000"/>
                <w:sz w:val="24"/>
              </w:rPr>
              <w:t>□其他材料：</w:t>
            </w:r>
            <w:r>
              <w:rPr>
                <w:rFonts w:hint="eastAsia" w:cs="宋体" w:asciiTheme="minorEastAsia" w:hAnsiTheme="minorEastAsia" w:eastAsiaTheme="minorEastAsia"/>
                <w:color w:val="000000"/>
                <w:sz w:val="24"/>
                <w:u w:val="single"/>
              </w:rPr>
              <w:t xml:space="preserve">                    </w:t>
            </w:r>
          </w:p>
          <w:p>
            <w:pPr>
              <w:spacing w:line="288" w:lineRule="auto"/>
              <w:jc w:val="both"/>
              <w:rPr>
                <w:rFonts w:cs="宋体" w:asciiTheme="minorEastAsia" w:hAnsiTheme="minorEastAsia" w:eastAsiaTheme="minorEastAsia"/>
                <w:color w:val="000000"/>
                <w:sz w:val="24"/>
              </w:rPr>
            </w:pP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业绩证明材料种类要求：</w:t>
            </w:r>
          </w:p>
          <w:p>
            <w:pPr>
              <w:spacing w:line="288" w:lineRule="auto"/>
              <w:jc w:val="both"/>
              <w:rPr>
                <w:rFonts w:cs="宋体" w:asciiTheme="minorEastAsia" w:hAnsiTheme="minorEastAsia" w:eastAsiaTheme="minorEastAsia"/>
                <w:color w:val="000000"/>
                <w:sz w:val="24"/>
              </w:rPr>
            </w:pPr>
            <w:r>
              <w:rPr>
                <w:rFonts w:hint="eastAsia" w:asciiTheme="minorEastAsia" w:hAnsiTheme="minorEastAsia" w:eastAsiaTheme="minorEastAsia"/>
                <w:sz w:val="24"/>
              </w:rPr>
              <w:t>√</w:t>
            </w:r>
            <w:r>
              <w:rPr>
                <w:rFonts w:hint="eastAsia" w:cs="宋体" w:asciiTheme="minorEastAsia" w:hAnsiTheme="minorEastAsia" w:eastAsiaTheme="minorEastAsia"/>
                <w:color w:val="000000"/>
                <w:sz w:val="24"/>
              </w:rPr>
              <w:t>需同时提供上述勾选的所有证明材料</w:t>
            </w:r>
          </w:p>
          <w:p>
            <w:pPr>
              <w:spacing w:line="288" w:lineRule="auto"/>
              <w:jc w:val="both"/>
              <w:rPr>
                <w:rFonts w:cs="仿宋" w:asciiTheme="minorEastAsia" w:hAnsiTheme="minorEastAsia" w:eastAsiaTheme="minorEastAsia"/>
                <w:sz w:val="24"/>
              </w:rPr>
            </w:pPr>
            <w:r>
              <w:rPr>
                <w:rFonts w:hint="eastAsia" w:cs="宋体" w:asciiTheme="minorEastAsia" w:hAnsiTheme="minorEastAsia" w:eastAsiaTheme="minorEastAsia"/>
                <w:color w:val="000000"/>
                <w:sz w:val="24"/>
              </w:rPr>
              <w:sym w:font="Wingdings 2" w:char="0052"/>
            </w:r>
            <w:r>
              <w:rPr>
                <w:rFonts w:hint="eastAsia" w:cs="宋体" w:asciiTheme="minorEastAsia" w:hAnsiTheme="minorEastAsia" w:eastAsiaTheme="minorEastAsia"/>
                <w:color w:val="000000"/>
                <w:sz w:val="24"/>
              </w:rPr>
              <w:t>其他要求：提供一项船舶中修业绩。</w:t>
            </w:r>
            <w:r>
              <w:rPr>
                <w:rFonts w:cs="宋体" w:asciiTheme="minorEastAsia" w:hAnsiTheme="minorEastAsia" w:eastAsiaTheme="minorEastAsia"/>
                <w:color w:val="000000"/>
                <w:sz w:val="24"/>
              </w:rPr>
              <w:t xml:space="preserve"> </w:t>
            </w:r>
            <w:r>
              <w:rPr>
                <w:rFonts w:hint="eastAsia" w:cs="宋体" w:asciiTheme="minorEastAsia" w:hAnsiTheme="minorEastAsia" w:eastAsiaTheme="minorEastAsia"/>
                <w:color w:val="000000"/>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3.5（5）</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信誉要求证明材料</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□不适用</w:t>
            </w:r>
          </w:p>
          <w:p>
            <w:pPr>
              <w:spacing w:line="288" w:lineRule="auto"/>
              <w:jc w:val="both"/>
              <w:rPr>
                <w:rFonts w:hint="eastAsia" w:ascii="宋体" w:hAnsi="宋体" w:cs="宋体"/>
                <w:color w:val="000000"/>
                <w:sz w:val="24"/>
              </w:rPr>
            </w:pPr>
            <w:r>
              <w:rPr>
                <w:rFonts w:hint="eastAsia" w:cs="宋体" w:asciiTheme="minorEastAsia" w:hAnsiTheme="minorEastAsia" w:eastAsiaTheme="minorEastAsia"/>
                <w:color w:val="000000"/>
                <w:sz w:val="24"/>
              </w:rPr>
              <w:sym w:font="Wingdings 2" w:char="0052"/>
            </w:r>
            <w:r>
              <w:rPr>
                <w:rFonts w:hint="eastAsia" w:cs="宋体" w:asciiTheme="minorEastAsia" w:hAnsiTheme="minorEastAsia" w:eastAsiaTheme="minorEastAsia"/>
                <w:color w:val="000000"/>
                <w:sz w:val="24"/>
              </w:rPr>
              <w:t>适用。供应商应提供相关信誉情况的证明材料，</w:t>
            </w:r>
            <w:r>
              <w:rPr>
                <w:rFonts w:hint="eastAsia" w:ascii="宋体" w:hAnsi="宋体" w:cs="宋体"/>
                <w:color w:val="000000"/>
                <w:sz w:val="24"/>
              </w:rPr>
              <w:t>包括：</w:t>
            </w:r>
          </w:p>
          <w:p>
            <w:pPr>
              <w:spacing w:line="288" w:lineRule="auto"/>
              <w:jc w:val="both"/>
              <w:rPr>
                <w:rFonts w:ascii="宋体" w:hAnsi="宋体" w:cs="宋体"/>
                <w:color w:val="000000"/>
                <w:sz w:val="24"/>
              </w:rPr>
            </w:pPr>
            <w:r>
              <w:rPr>
                <w:rFonts w:hint="eastAsia" w:ascii="宋体" w:hAnsi="宋体" w:cs="宋体"/>
                <w:color w:val="000000"/>
                <w:sz w:val="24"/>
              </w:rPr>
              <w:t>1．全国企业信用信息公示系统中未列入严重违法失信企业名单的网页截图。</w:t>
            </w:r>
          </w:p>
          <w:p>
            <w:pPr>
              <w:spacing w:line="288" w:lineRule="auto"/>
              <w:jc w:val="both"/>
              <w:rPr>
                <w:rFonts w:cs="仿宋" w:asciiTheme="minorEastAsia" w:hAnsiTheme="minorEastAsia" w:eastAsiaTheme="minorEastAsia"/>
                <w:sz w:val="24"/>
              </w:rPr>
            </w:pPr>
            <w:r>
              <w:rPr>
                <w:rFonts w:hint="eastAsia" w:ascii="宋体" w:hAnsi="宋体" w:cs="宋体"/>
                <w:color w:val="000000"/>
                <w:sz w:val="24"/>
              </w:rPr>
              <w:t>2.被最高人民法院在“信用中国”网站（www.creditchina.gov.cn）中未列入失信被执行人名单的网页截图。</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3.5（6）</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承担本项目的主要人员要求证明材料</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highlight w:val="none"/>
              </w:rPr>
            </w:pPr>
            <w:r>
              <w:rPr>
                <w:rStyle w:val="40"/>
                <w:rFonts w:hint="eastAsia"/>
                <w:u w:val="single"/>
              </w:rPr>
              <w:sym w:font="Wingdings 2" w:char="0052"/>
            </w:r>
            <w:r>
              <w:rPr>
                <w:rFonts w:hint="eastAsia" w:cs="宋体" w:asciiTheme="minorEastAsia" w:hAnsiTheme="minorEastAsia" w:eastAsiaTheme="minorEastAsia"/>
                <w:color w:val="auto"/>
                <w:sz w:val="24"/>
                <w:highlight w:val="none"/>
              </w:rPr>
              <w:t>不适用</w:t>
            </w:r>
          </w:p>
          <w:p>
            <w:pPr>
              <w:spacing w:line="288" w:lineRule="auto"/>
              <w:jc w:val="both"/>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适用。供应商应提供拟委任的主要人员汇总表和主要人员简历表（格式见第六章“响应文件格式”五、资格审查资料（四）拟委任的主要人员汇总表和（五）主要人员简历表）。供应商应填报满足第一章“采购公告”规定的项目负责人和其他主要人员的相关信息，并按如下要求提供相关证明文件：</w:t>
            </w:r>
          </w:p>
        </w:tc>
      </w:tr>
      <w:tr>
        <w:tblPrEx>
          <w:tblCellMar>
            <w:top w:w="0" w:type="dxa"/>
            <w:left w:w="108" w:type="dxa"/>
            <w:bottom w:w="0" w:type="dxa"/>
            <w:right w:w="108" w:type="dxa"/>
          </w:tblCellMar>
        </w:tblPrEx>
        <w:trPr>
          <w:trHeight w:val="9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3.5（7）</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其他要求的证明材料</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p>
        </w:tc>
      </w:tr>
      <w:tr>
        <w:tblPrEx>
          <w:tblCellMar>
            <w:top w:w="0" w:type="dxa"/>
            <w:left w:w="108" w:type="dxa"/>
            <w:bottom w:w="0" w:type="dxa"/>
            <w:right w:w="108" w:type="dxa"/>
          </w:tblCellMar>
        </w:tblPrEx>
        <w:trPr>
          <w:trHeight w:val="647"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3.5（8）</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供应商不存在第一章3.1款情形的证明材料</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Style w:val="40"/>
                <w:rFonts w:hint="eastAsia"/>
                <w:u w:val="single"/>
              </w:rPr>
              <w:sym w:font="Wingdings 2" w:char="0052"/>
            </w:r>
            <w:r>
              <w:rPr>
                <w:rFonts w:hint="eastAsia" w:cs="宋体" w:asciiTheme="minorEastAsia" w:hAnsiTheme="minorEastAsia" w:eastAsiaTheme="minorEastAsia"/>
                <w:color w:val="000000"/>
                <w:sz w:val="24"/>
              </w:rPr>
              <w:t>不需要提供证明材料</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□需要提供证明材料，包括：</w:t>
            </w:r>
            <w:r>
              <w:rPr>
                <w:rFonts w:hint="eastAsia" w:cs="宋体" w:asciiTheme="minorEastAsia" w:hAnsiTheme="minorEastAsia" w:eastAsiaTheme="minorEastAsia"/>
                <w:color w:val="000000"/>
                <w:sz w:val="24"/>
                <w:u w:val="single"/>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3.6.1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对关键条款进行响应的证据或证明材料要求</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无</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3.6.2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响应方案数量</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Style w:val="40"/>
                <w:rFonts w:hint="eastAsia"/>
                <w:u w:val="single"/>
              </w:rPr>
              <w:sym w:font="Wingdings 2" w:char="0052"/>
            </w:r>
            <w:r>
              <w:rPr>
                <w:rFonts w:hint="eastAsia" w:cs="宋体" w:asciiTheme="minorEastAsia" w:hAnsiTheme="minorEastAsia" w:eastAsiaTheme="minorEastAsia"/>
                <w:color w:val="000000"/>
                <w:sz w:val="24"/>
              </w:rPr>
              <w:t>供应商只能提出唯一响应方案</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□供应商可提出多个响应方案</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3.7.5</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响应文件及电子版要求</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是否要求提供电子版响应文件：</w:t>
            </w:r>
          </w:p>
          <w:p>
            <w:pPr>
              <w:spacing w:line="288" w:lineRule="auto"/>
              <w:jc w:val="both"/>
              <w:rPr>
                <w:rFonts w:cs="宋体" w:asciiTheme="minorEastAsia" w:hAnsiTheme="minorEastAsia" w:eastAsiaTheme="minorEastAsia"/>
                <w:color w:val="000000"/>
                <w:sz w:val="24"/>
              </w:rPr>
            </w:pPr>
            <w:r>
              <w:rPr>
                <w:rStyle w:val="40"/>
                <w:rFonts w:hint="eastAsia"/>
                <w:u w:val="single"/>
              </w:rPr>
              <w:sym w:font="Wingdings 2" w:char="0052"/>
            </w:r>
            <w:r>
              <w:rPr>
                <w:rFonts w:hint="eastAsia" w:cs="宋体" w:asciiTheme="minorEastAsia" w:hAnsiTheme="minorEastAsia" w:eastAsiaTheme="minorEastAsia"/>
                <w:color w:val="000000"/>
                <w:sz w:val="24"/>
              </w:rPr>
              <w:t>不要求</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□要求，提供电子版响应文件的形式</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4.1.1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响应文件的密封</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响应文件一正二副，须密封包装，并在封套的封口处加盖供应商单位公章。</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4.1.2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封套上应载明的信息</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□不适用</w:t>
            </w:r>
          </w:p>
          <w:p>
            <w:pPr>
              <w:spacing w:line="288" w:lineRule="auto"/>
              <w:rPr>
                <w:rFonts w:cs="宋体" w:asciiTheme="minorEastAsia" w:hAnsiTheme="minorEastAsia" w:eastAsiaTheme="minorEastAsia"/>
                <w:color w:val="000000"/>
                <w:sz w:val="24"/>
              </w:rPr>
            </w:pPr>
            <w:r>
              <w:rPr>
                <w:rStyle w:val="40"/>
                <w:rFonts w:hint="eastAsia"/>
                <w:u w:val="single"/>
              </w:rPr>
              <w:sym w:font="Wingdings 2" w:char="0052"/>
            </w:r>
            <w:r>
              <w:rPr>
                <w:rFonts w:hint="eastAsia" w:cs="宋体" w:asciiTheme="minorEastAsia" w:hAnsiTheme="minorEastAsia" w:eastAsiaTheme="minorEastAsia"/>
                <w:color w:val="000000"/>
                <w:sz w:val="24"/>
              </w:rPr>
              <w:t>适用，供应商名称：</w:t>
            </w:r>
            <w:r>
              <w:rPr>
                <w:rFonts w:hint="eastAsia" w:ascii="宋体" w:hAnsi="宋体"/>
                <w:sz w:val="24"/>
                <w:u w:val="single"/>
              </w:rPr>
              <w:t>城港囤船</w:t>
            </w:r>
            <w:r>
              <w:rPr>
                <w:rFonts w:ascii="宋体" w:hAnsi="宋体"/>
                <w:sz w:val="24"/>
                <w:u w:val="single"/>
              </w:rPr>
              <w:t>65-2</w:t>
            </w:r>
            <w:r>
              <w:rPr>
                <w:rFonts w:hint="eastAsia" w:ascii="宋体" w:hAnsi="宋体"/>
                <w:sz w:val="24"/>
                <w:u w:val="single"/>
              </w:rPr>
              <w:t>特检坞修项目</w:t>
            </w:r>
            <w:r>
              <w:rPr>
                <w:rFonts w:hint="eastAsia" w:cs="宋体" w:asciiTheme="minorEastAsia" w:hAnsiTheme="minorEastAsia" w:eastAsiaTheme="minorEastAsia"/>
                <w:color w:val="000000"/>
                <w:sz w:val="24"/>
              </w:rPr>
              <w:t>响应文件</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4.2.1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递交响应文件截止时间和地点</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u w:val="single"/>
              </w:rPr>
            </w:pPr>
            <w:r>
              <w:rPr>
                <w:rFonts w:hint="eastAsia" w:cs="宋体" w:asciiTheme="minorEastAsia" w:hAnsiTheme="minorEastAsia" w:eastAsiaTheme="minorEastAsia"/>
                <w:color w:val="000000"/>
                <w:sz w:val="24"/>
              </w:rPr>
              <w:t>截止时间：</w:t>
            </w:r>
            <w:r>
              <w:rPr>
                <w:rFonts w:hint="eastAsia" w:cs="宋体" w:asciiTheme="minorEastAsia" w:hAnsiTheme="minorEastAsia" w:eastAsiaTheme="minorEastAsia"/>
                <w:color w:val="000000"/>
                <w:sz w:val="24"/>
                <w:u w:val="single"/>
              </w:rPr>
              <w:t xml:space="preserve"> </w:t>
            </w:r>
            <w:r>
              <w:rPr>
                <w:rFonts w:cs="宋体" w:asciiTheme="minorEastAsia" w:hAnsiTheme="minorEastAsia" w:eastAsiaTheme="minorEastAsia"/>
                <w:color w:val="000000"/>
                <w:sz w:val="24"/>
                <w:u w:val="single"/>
              </w:rPr>
              <w:t>2022</w:t>
            </w:r>
            <w:r>
              <w:rPr>
                <w:rFonts w:hint="eastAsia" w:cs="宋体" w:asciiTheme="minorEastAsia" w:hAnsiTheme="minorEastAsia" w:eastAsiaTheme="minorEastAsia"/>
                <w:color w:val="000000"/>
                <w:sz w:val="24"/>
                <w:u w:val="single"/>
              </w:rPr>
              <w:t>年</w:t>
            </w:r>
            <w:r>
              <w:rPr>
                <w:rFonts w:hint="eastAsia" w:cs="宋体" w:asciiTheme="minorEastAsia" w:hAnsiTheme="minorEastAsia" w:eastAsiaTheme="minorEastAsia"/>
                <w:color w:val="000000"/>
                <w:sz w:val="24"/>
                <w:u w:val="single"/>
                <w:lang w:val="en-US" w:eastAsia="zh-CN"/>
              </w:rPr>
              <w:t>7</w:t>
            </w:r>
            <w:r>
              <w:rPr>
                <w:rFonts w:hint="eastAsia" w:cs="宋体" w:asciiTheme="minorEastAsia" w:hAnsiTheme="minorEastAsia" w:eastAsiaTheme="minorEastAsia"/>
                <w:color w:val="000000"/>
                <w:sz w:val="24"/>
                <w:u w:val="single"/>
              </w:rPr>
              <w:t>月</w:t>
            </w:r>
            <w:r>
              <w:rPr>
                <w:rFonts w:hint="eastAsia" w:cs="宋体" w:asciiTheme="minorEastAsia" w:hAnsiTheme="minorEastAsia" w:eastAsiaTheme="minorEastAsia"/>
                <w:color w:val="000000"/>
                <w:sz w:val="24"/>
                <w:u w:val="single"/>
                <w:lang w:val="en-US" w:eastAsia="zh-CN"/>
              </w:rPr>
              <w:t>27</w:t>
            </w:r>
            <w:r>
              <w:rPr>
                <w:rFonts w:hint="eastAsia" w:cs="宋体" w:asciiTheme="minorEastAsia" w:hAnsiTheme="minorEastAsia" w:eastAsiaTheme="minorEastAsia"/>
                <w:color w:val="000000"/>
                <w:sz w:val="24"/>
                <w:u w:val="single"/>
              </w:rPr>
              <w:t>日1</w:t>
            </w:r>
            <w:r>
              <w:rPr>
                <w:rFonts w:hint="eastAsia" w:cs="宋体" w:asciiTheme="minorEastAsia" w:hAnsiTheme="minorEastAsia" w:eastAsiaTheme="minorEastAsia"/>
                <w:color w:val="000000"/>
                <w:sz w:val="24"/>
                <w:u w:val="single"/>
                <w:lang w:val="en-US" w:eastAsia="zh-CN"/>
              </w:rPr>
              <w:t>5</w:t>
            </w:r>
            <w:r>
              <w:rPr>
                <w:rFonts w:hint="eastAsia" w:cs="宋体" w:asciiTheme="minorEastAsia" w:hAnsiTheme="minorEastAsia" w:eastAsiaTheme="minorEastAsia"/>
                <w:color w:val="000000"/>
                <w:sz w:val="24"/>
                <w:u w:val="single"/>
              </w:rPr>
              <w:t>时</w:t>
            </w:r>
            <w:r>
              <w:rPr>
                <w:rFonts w:hint="eastAsia" w:cs="宋体" w:asciiTheme="minorEastAsia" w:hAnsiTheme="minorEastAsia" w:eastAsiaTheme="minorEastAsia"/>
                <w:color w:val="000000"/>
                <w:sz w:val="24"/>
                <w:u w:val="single"/>
                <w:lang w:val="en-US" w:eastAsia="zh-CN"/>
              </w:rPr>
              <w:t>0</w:t>
            </w:r>
            <w:r>
              <w:rPr>
                <w:rFonts w:cs="宋体" w:asciiTheme="minorEastAsia" w:hAnsiTheme="minorEastAsia" w:eastAsiaTheme="minorEastAsia"/>
                <w:color w:val="000000"/>
                <w:sz w:val="24"/>
                <w:u w:val="single"/>
              </w:rPr>
              <w:t>0</w:t>
            </w:r>
            <w:r>
              <w:rPr>
                <w:rFonts w:hint="eastAsia" w:cs="宋体" w:asciiTheme="minorEastAsia" w:hAnsiTheme="minorEastAsia" w:eastAsiaTheme="minorEastAsia"/>
                <w:color w:val="000000"/>
                <w:sz w:val="24"/>
                <w:u w:val="single"/>
              </w:rPr>
              <w:t xml:space="preserve">分                    </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递交响应文件的地点</w:t>
            </w:r>
            <w:r>
              <w:rPr>
                <w:rFonts w:hint="eastAsia" w:cs="宋体" w:asciiTheme="minorEastAsia" w:hAnsiTheme="minorEastAsia" w:eastAsiaTheme="minorEastAsia"/>
                <w:color w:val="000000"/>
                <w:sz w:val="24"/>
                <w:lang w:eastAsia="zh-CN"/>
              </w:rPr>
              <w:t>：</w:t>
            </w:r>
            <w:r>
              <w:rPr>
                <w:rFonts w:hint="eastAsia" w:cs="宋体" w:asciiTheme="minorEastAsia" w:hAnsiTheme="minorEastAsia" w:eastAsiaTheme="minorEastAsia"/>
                <w:color w:val="000000"/>
                <w:sz w:val="24"/>
                <w:u w:val="single"/>
              </w:rPr>
              <w:t xml:space="preserve"> 岳阳城陵矶港办公楼3</w:t>
            </w:r>
            <w:r>
              <w:rPr>
                <w:rFonts w:cs="宋体" w:asciiTheme="minorEastAsia" w:hAnsiTheme="minorEastAsia" w:eastAsiaTheme="minorEastAsia"/>
                <w:color w:val="000000"/>
                <w:sz w:val="24"/>
                <w:u w:val="single"/>
              </w:rPr>
              <w:t>26</w:t>
            </w:r>
            <w:r>
              <w:rPr>
                <w:rFonts w:hint="eastAsia" w:cs="宋体" w:asciiTheme="minorEastAsia" w:hAnsiTheme="minorEastAsia" w:eastAsiaTheme="minorEastAsia"/>
                <w:color w:val="000000"/>
                <w:sz w:val="24"/>
                <w:u w:val="single"/>
              </w:rPr>
              <w:t>室</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4.2.2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是否退还响应文件</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Style w:val="40"/>
                <w:rFonts w:hint="eastAsia"/>
                <w:u w:val="single"/>
              </w:rPr>
              <w:sym w:font="Wingdings 2" w:char="0052"/>
            </w:r>
            <w:r>
              <w:rPr>
                <w:rFonts w:hint="eastAsia" w:cs="宋体" w:asciiTheme="minorEastAsia" w:hAnsiTheme="minorEastAsia" w:eastAsiaTheme="minorEastAsia"/>
                <w:color w:val="000000"/>
                <w:sz w:val="24"/>
              </w:rPr>
              <w:t>否</w:t>
            </w:r>
          </w:p>
          <w:p>
            <w:pPr>
              <w:spacing w:line="288" w:lineRule="auto"/>
              <w:jc w:val="both"/>
              <w:rPr>
                <w:rFonts w:cs="宋体" w:asciiTheme="minorEastAsia" w:hAnsiTheme="minorEastAsia" w:eastAsiaTheme="minorEastAsia"/>
                <w:color w:val="000000"/>
                <w:sz w:val="24"/>
              </w:rPr>
            </w:pPr>
            <w:r>
              <w:rPr>
                <w:rStyle w:val="40"/>
                <w:rFonts w:hint="eastAsia"/>
                <w:u w:val="single"/>
              </w:rPr>
              <w:sym w:font="Wingdings 2" w:char="0052"/>
            </w:r>
            <w:r>
              <w:rPr>
                <w:rFonts w:hint="eastAsia" w:cs="宋体" w:asciiTheme="minorEastAsia" w:hAnsiTheme="minorEastAsia" w:eastAsiaTheme="minorEastAsia"/>
                <w:color w:val="000000"/>
                <w:sz w:val="24"/>
              </w:rPr>
              <w:t>是，退还时间：</w:t>
            </w:r>
            <w:r>
              <w:rPr>
                <w:rFonts w:hint="eastAsia" w:cs="宋体" w:asciiTheme="minorEastAsia" w:hAnsiTheme="minorEastAsia" w:eastAsiaTheme="minorEastAsia"/>
                <w:color w:val="000000"/>
                <w:sz w:val="24"/>
                <w:u w:val="single"/>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5</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是否公开开启响应文件</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□是</w:t>
            </w:r>
          </w:p>
          <w:p>
            <w:pPr>
              <w:spacing w:line="288" w:lineRule="auto"/>
              <w:jc w:val="both"/>
              <w:rPr>
                <w:rFonts w:cs="宋体" w:asciiTheme="minorEastAsia" w:hAnsiTheme="minorEastAsia" w:eastAsiaTheme="minorEastAsia"/>
                <w:color w:val="000000"/>
                <w:sz w:val="24"/>
              </w:rPr>
            </w:pPr>
            <w:r>
              <w:rPr>
                <w:rStyle w:val="40"/>
                <w:rFonts w:hint="eastAsia"/>
                <w:u w:val="single"/>
              </w:rPr>
              <w:sym w:font="Wingdings 2" w:char="0052"/>
            </w:r>
            <w:r>
              <w:rPr>
                <w:rFonts w:hint="eastAsia" w:cs="宋体" w:asciiTheme="minorEastAsia" w:hAnsiTheme="minorEastAsia" w:eastAsiaTheme="minorEastAsia"/>
                <w:color w:val="000000"/>
                <w:sz w:val="24"/>
              </w:rPr>
              <w:t>否</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5.1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开启地点</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湖南省港务集团有限公司办公楼6</w:t>
            </w:r>
            <w:r>
              <w:rPr>
                <w:rFonts w:cs="宋体" w:asciiTheme="minorEastAsia" w:hAnsiTheme="minorEastAsia" w:eastAsiaTheme="minorEastAsia"/>
                <w:color w:val="000000"/>
                <w:sz w:val="24"/>
              </w:rPr>
              <w:t>02</w:t>
            </w:r>
            <w:r>
              <w:rPr>
                <w:rFonts w:hint="eastAsia" w:cs="宋体" w:asciiTheme="minorEastAsia" w:hAnsiTheme="minorEastAsia" w:eastAsiaTheme="minorEastAsia"/>
                <w:color w:val="000000"/>
                <w:sz w:val="24"/>
              </w:rPr>
              <w:t>室</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5.2（4）</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开启程序</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开启顺序：</w:t>
            </w:r>
            <w:r>
              <w:rPr>
                <w:rFonts w:hint="eastAsia" w:cs="宋体" w:asciiTheme="minorEastAsia" w:hAnsiTheme="minorEastAsia" w:eastAsiaTheme="minorEastAsia"/>
                <w:color w:val="000000"/>
                <w:sz w:val="24"/>
                <w:u w:val="single"/>
              </w:rPr>
              <w:t xml:space="preserve">   随机 </w:t>
            </w:r>
            <w:r>
              <w:rPr>
                <w:rFonts w:cs="宋体" w:asciiTheme="minorEastAsia" w:hAnsiTheme="minorEastAsia" w:eastAsiaTheme="minorEastAsia"/>
                <w:color w:val="000000"/>
                <w:sz w:val="24"/>
                <w:u w:val="single"/>
              </w:rPr>
              <w:t xml:space="preserve"> </w:t>
            </w:r>
            <w:r>
              <w:rPr>
                <w:rFonts w:hint="eastAsia" w:cs="宋体" w:asciiTheme="minorEastAsia" w:hAnsiTheme="minorEastAsia" w:eastAsiaTheme="minorEastAsia"/>
                <w:color w:val="000000"/>
                <w:sz w:val="24"/>
                <w:u w:val="single"/>
              </w:rPr>
              <w:t xml:space="preserve">     </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其他应公布的信息：</w:t>
            </w:r>
            <w:r>
              <w:rPr>
                <w:rFonts w:hint="eastAsia" w:cs="宋体" w:asciiTheme="minorEastAsia" w:hAnsiTheme="minorEastAsia" w:eastAsiaTheme="minorEastAsia"/>
                <w:color w:val="000000"/>
                <w:sz w:val="24"/>
                <w:u w:val="single"/>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6.1.1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评审（谈判）小组的组建</w:t>
            </w:r>
            <w:r>
              <w:rPr>
                <w:rStyle w:val="46"/>
                <w:rFonts w:cs="宋体" w:asciiTheme="minorEastAsia" w:hAnsiTheme="minorEastAsia" w:eastAsiaTheme="minorEastAsia"/>
                <w:color w:val="000000"/>
                <w:sz w:val="24"/>
              </w:rPr>
              <w:footnoteReference w:id="1"/>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评标（谈判）小组构成：</w:t>
            </w:r>
            <w:r>
              <w:rPr>
                <w:rFonts w:cs="宋体" w:asciiTheme="minorEastAsia" w:hAnsiTheme="minorEastAsia" w:eastAsiaTheme="minorEastAsia"/>
                <w:color w:val="000000"/>
                <w:sz w:val="24"/>
              </w:rPr>
              <w:t>3</w:t>
            </w:r>
            <w:r>
              <w:rPr>
                <w:rFonts w:hint="eastAsia" w:cs="宋体" w:asciiTheme="minorEastAsia" w:hAnsiTheme="minorEastAsia" w:eastAsiaTheme="minorEastAsia"/>
                <w:color w:val="000000"/>
                <w:sz w:val="24"/>
              </w:rPr>
              <w:t>人。</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评审（谈判）专家确定方式：在湖南省</w:t>
            </w:r>
            <w:r>
              <w:rPr>
                <w:rFonts w:hint="eastAsia" w:cs="宋体" w:asciiTheme="minorEastAsia" w:hAnsiTheme="minorEastAsia" w:eastAsiaTheme="minorEastAsia"/>
                <w:color w:val="000000"/>
                <w:sz w:val="24"/>
                <w:lang w:val="en-US" w:eastAsia="zh-CN"/>
              </w:rPr>
              <w:t>湘水</w:t>
            </w:r>
            <w:r>
              <w:rPr>
                <w:rFonts w:hint="eastAsia" w:cs="宋体" w:asciiTheme="minorEastAsia" w:hAnsiTheme="minorEastAsia" w:eastAsiaTheme="minorEastAsia"/>
                <w:color w:val="000000"/>
                <w:sz w:val="24"/>
              </w:rPr>
              <w:t>集团有限公司综合评标专家库中随机抽取2人，业主代表1人。</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6.2.2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评审小组推荐成交候选供应商的数量</w:t>
            </w:r>
            <w:r>
              <w:rPr>
                <w:rStyle w:val="46"/>
                <w:rFonts w:cs="宋体" w:asciiTheme="minorEastAsia" w:hAnsiTheme="minorEastAsia" w:eastAsiaTheme="minorEastAsia"/>
                <w:color w:val="000000"/>
                <w:sz w:val="24"/>
              </w:rPr>
              <w:footnoteReference w:id="2"/>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cs="宋体" w:asciiTheme="minorEastAsia" w:hAnsiTheme="minorEastAsia" w:eastAsiaTheme="minorEastAsia"/>
                <w:b/>
                <w:bCs/>
                <w:color w:val="000000"/>
                <w:sz w:val="24"/>
              </w:rPr>
              <w:t xml:space="preserve">  </w:t>
            </w:r>
            <w:r>
              <w:rPr>
                <w:rFonts w:hint="eastAsia" w:cs="宋体" w:asciiTheme="minorEastAsia" w:hAnsiTheme="minorEastAsia" w:eastAsiaTheme="minorEastAsia"/>
                <w:b/>
                <w:bCs/>
                <w:color w:val="000000"/>
                <w:sz w:val="24"/>
                <w:lang w:val="en-US" w:eastAsia="zh-CN"/>
              </w:rPr>
              <w:t>2</w:t>
            </w:r>
            <w:r>
              <w:rPr>
                <w:rFonts w:cs="宋体" w:asciiTheme="minorEastAsia" w:hAnsiTheme="minorEastAsia" w:eastAsiaTheme="minorEastAsia"/>
                <w:b/>
                <w:bCs/>
                <w:color w:val="000000"/>
                <w:sz w:val="24"/>
              </w:rPr>
              <w:t>-3</w:t>
            </w:r>
            <w:r>
              <w:rPr>
                <w:rFonts w:hint="eastAsia" w:cs="宋体" w:asciiTheme="minorEastAsia" w:hAnsiTheme="minorEastAsia" w:eastAsiaTheme="minorEastAsia"/>
                <w:color w:val="000000"/>
                <w:sz w:val="24"/>
              </w:rPr>
              <w:t>个（不超过3个），并标明推荐顺序。</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6.6</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是否公开开启最终报价</w:t>
            </w: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t>□否</w:t>
            </w:r>
          </w:p>
          <w:p>
            <w:pPr>
              <w:spacing w:line="288" w:lineRule="auto"/>
              <w:jc w:val="both"/>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rPr>
              <w:sym w:font="Wingdings 2" w:char="0052"/>
            </w:r>
            <w:r>
              <w:rPr>
                <w:rFonts w:hint="eastAsia" w:cs="宋体" w:asciiTheme="minorEastAsia" w:hAnsiTheme="minorEastAsia" w:eastAsiaTheme="minorEastAsia"/>
                <w:color w:val="000000"/>
                <w:sz w:val="24"/>
              </w:rPr>
              <w:t>是</w:t>
            </w:r>
          </w:p>
        </w:tc>
      </w:tr>
      <w:tr>
        <w:tblPrEx>
          <w:tblCellMar>
            <w:top w:w="0" w:type="dxa"/>
            <w:left w:w="108" w:type="dxa"/>
            <w:bottom w:w="0" w:type="dxa"/>
            <w:right w:w="108" w:type="dxa"/>
          </w:tblCellMar>
        </w:tblPrEx>
        <w:trPr>
          <w:trHeight w:val="9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p>
        </w:tc>
        <w:tc>
          <w:tcPr>
            <w:tcW w:w="4704"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rPr>
            </w:pPr>
          </w:p>
        </w:tc>
      </w:tr>
    </w:tbl>
    <w:p>
      <w:pPr>
        <w:spacing w:line="240" w:lineRule="auto"/>
        <w:jc w:val="center"/>
        <w:outlineLvl w:val="0"/>
        <w:rPr>
          <w:rFonts w:ascii="仿宋" w:hAnsi="仿宋" w:eastAsia="仿宋" w:cs="仿宋"/>
          <w:sz w:val="30"/>
          <w:szCs w:val="30"/>
        </w:rPr>
      </w:pPr>
      <w:r>
        <w:rPr>
          <w:rFonts w:ascii="仿宋" w:hAnsi="仿宋" w:eastAsia="仿宋" w:cs="仿宋"/>
          <w:b/>
          <w:bCs/>
          <w:sz w:val="30"/>
          <w:szCs w:val="30"/>
        </w:rPr>
        <w:br w:type="page"/>
      </w:r>
      <w:bookmarkStart w:id="17" w:name="_Toc18948"/>
      <w:r>
        <w:rPr>
          <w:rFonts w:hint="eastAsia" w:ascii="华文中宋" w:hAnsi="华文中宋" w:eastAsia="华文中宋" w:cs="仿宋"/>
          <w:b/>
          <w:bCs/>
          <w:sz w:val="30"/>
          <w:szCs w:val="30"/>
        </w:rPr>
        <w:t>第二章 供应商须知正文</w:t>
      </w:r>
      <w:bookmarkEnd w:id="17"/>
    </w:p>
    <w:p>
      <w:pPr>
        <w:adjustRightInd w:val="0"/>
        <w:snapToGrid w:val="0"/>
        <w:spacing w:before="120" w:beforeLines="50" w:after="120" w:afterLines="50" w:line="312" w:lineRule="auto"/>
        <w:jc w:val="both"/>
        <w:rPr>
          <w:rFonts w:ascii="宋体" w:hAnsi="宋体" w:cs="仿宋"/>
          <w:b/>
          <w:bCs/>
          <w:sz w:val="24"/>
        </w:rPr>
      </w:pPr>
      <w:r>
        <w:rPr>
          <w:rFonts w:hint="eastAsia" w:ascii="宋体" w:hAnsi="宋体" w:cs="仿宋"/>
          <w:b/>
          <w:bCs/>
          <w:sz w:val="24"/>
        </w:rPr>
        <w:t>1 总则</w:t>
      </w:r>
    </w:p>
    <w:p>
      <w:pPr>
        <w:adjustRightInd w:val="0"/>
        <w:snapToGrid w:val="0"/>
        <w:spacing w:line="312" w:lineRule="auto"/>
        <w:jc w:val="both"/>
        <w:rPr>
          <w:rFonts w:ascii="宋体" w:hAnsi="宋体" w:cs="仿宋"/>
          <w:b/>
          <w:bCs/>
          <w:sz w:val="24"/>
        </w:rPr>
      </w:pPr>
      <w:r>
        <w:rPr>
          <w:rFonts w:hint="eastAsia" w:ascii="宋体" w:hAnsi="宋体" w:cs="仿宋"/>
          <w:b/>
          <w:bCs/>
          <w:sz w:val="24"/>
        </w:rPr>
        <w:t>1.1采购方法和评审办法</w:t>
      </w:r>
    </w:p>
    <w:p>
      <w:pPr>
        <w:pStyle w:val="69"/>
        <w:spacing w:before="120" w:after="120" w:line="312" w:lineRule="auto"/>
        <w:ind w:left="426" w:firstLine="48" w:firstLineChars="20"/>
        <w:jc w:val="both"/>
        <w:rPr>
          <w:rFonts w:ascii="宋体" w:hAnsi="宋体" w:eastAsia="宋体" w:cs="仿宋"/>
          <w:sz w:val="24"/>
          <w:szCs w:val="24"/>
        </w:rPr>
      </w:pPr>
      <w:r>
        <w:rPr>
          <w:rFonts w:hint="eastAsia" w:ascii="宋体" w:hAnsi="宋体" w:eastAsia="宋体" w:cs="仿宋"/>
          <w:sz w:val="24"/>
          <w:szCs w:val="24"/>
        </w:rPr>
        <w:t>本项目采用供应商须知前附表规定的采购方式和评审办法。</w:t>
      </w:r>
    </w:p>
    <w:p>
      <w:pPr>
        <w:pStyle w:val="63"/>
        <w:spacing w:line="312" w:lineRule="auto"/>
        <w:ind w:firstLine="0" w:firstLineChars="0"/>
        <w:rPr>
          <w:rFonts w:hAnsi="宋体" w:eastAsia="宋体" w:cs="仿宋"/>
          <w:sz w:val="24"/>
          <w:szCs w:val="24"/>
        </w:rPr>
      </w:pPr>
      <w:r>
        <w:rPr>
          <w:rFonts w:hint="eastAsia" w:hAnsi="宋体" w:eastAsia="宋体" w:cs="仿宋"/>
          <w:sz w:val="24"/>
          <w:szCs w:val="24"/>
        </w:rPr>
        <w:t>1.1.1采购方法</w:t>
      </w:r>
    </w:p>
    <w:p>
      <w:pPr>
        <w:pStyle w:val="63"/>
        <w:spacing w:line="312" w:lineRule="auto"/>
        <w:ind w:firstLine="453" w:firstLineChars="189"/>
        <w:rPr>
          <w:rFonts w:hAnsi="宋体" w:eastAsia="宋体" w:cs="仿宋"/>
          <w:sz w:val="24"/>
          <w:szCs w:val="24"/>
        </w:rPr>
      </w:pPr>
      <w:r>
        <w:rPr>
          <w:rFonts w:hint="eastAsia" w:hAnsi="宋体" w:eastAsia="宋体" w:cs="仿宋"/>
          <w:sz w:val="24"/>
          <w:szCs w:val="24"/>
        </w:rPr>
        <w:t>询价采购，是指按照规定程序就采购项目向符合资格要求的供应商进行询价，通过评审、比较确定成交供应商的采购方式。</w:t>
      </w:r>
    </w:p>
    <w:p>
      <w:pPr>
        <w:pStyle w:val="63"/>
        <w:spacing w:line="312" w:lineRule="auto"/>
        <w:ind w:firstLine="0" w:firstLineChars="0"/>
        <w:rPr>
          <w:rFonts w:hAnsi="宋体" w:eastAsia="宋体" w:cs="仿宋"/>
          <w:sz w:val="24"/>
          <w:szCs w:val="24"/>
        </w:rPr>
      </w:pPr>
      <w:r>
        <w:rPr>
          <w:rFonts w:hint="eastAsia" w:hAnsi="宋体" w:eastAsia="宋体" w:cs="仿宋"/>
          <w:sz w:val="24"/>
          <w:szCs w:val="24"/>
        </w:rPr>
        <w:t>1.1.2评审办法</w:t>
      </w:r>
    </w:p>
    <w:p>
      <w:pPr>
        <w:pStyle w:val="63"/>
        <w:spacing w:line="312" w:lineRule="auto"/>
        <w:ind w:firstLine="453" w:firstLineChars="189"/>
        <w:rPr>
          <w:rFonts w:hAnsi="宋体" w:eastAsia="宋体" w:cs="仿宋"/>
          <w:sz w:val="24"/>
          <w:szCs w:val="24"/>
        </w:rPr>
      </w:pPr>
      <w:r>
        <w:rPr>
          <w:rFonts w:hint="eastAsia" w:hAnsi="宋体" w:eastAsia="宋体" w:cs="仿宋"/>
          <w:sz w:val="24"/>
          <w:szCs w:val="24"/>
        </w:rPr>
        <w:t>最低价法，是指在资质、业绩、信誉等条件均满足询价文件要求的前提下，按单项或总价价格最低原则确定成交供应商。包括同质比价法和同价比质法。</w:t>
      </w:r>
    </w:p>
    <w:p>
      <w:pPr>
        <w:adjustRightInd w:val="0"/>
        <w:snapToGrid w:val="0"/>
        <w:spacing w:line="312" w:lineRule="auto"/>
        <w:jc w:val="both"/>
        <w:rPr>
          <w:rFonts w:ascii="宋体" w:hAnsi="宋体" w:cs="仿宋"/>
          <w:b/>
          <w:bCs/>
          <w:sz w:val="24"/>
        </w:rPr>
      </w:pPr>
      <w:r>
        <w:rPr>
          <w:rFonts w:hint="eastAsia" w:ascii="宋体" w:hAnsi="宋体" w:cs="仿宋"/>
          <w:b/>
          <w:bCs/>
          <w:sz w:val="24"/>
        </w:rPr>
        <w:t>1.2采购项目概况和供应商资格要求</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采购项目概况和供应商资格要求见第一章“采购公告”。</w:t>
      </w:r>
    </w:p>
    <w:p>
      <w:pPr>
        <w:adjustRightInd w:val="0"/>
        <w:snapToGrid w:val="0"/>
        <w:spacing w:line="312" w:lineRule="auto"/>
        <w:jc w:val="both"/>
        <w:rPr>
          <w:rFonts w:ascii="宋体" w:hAnsi="宋体" w:cs="仿宋"/>
          <w:b/>
          <w:bCs/>
          <w:sz w:val="24"/>
        </w:rPr>
      </w:pPr>
      <w:r>
        <w:rPr>
          <w:rFonts w:hint="eastAsia" w:ascii="宋体" w:hAnsi="宋体" w:cs="仿宋"/>
          <w:b/>
          <w:bCs/>
          <w:sz w:val="24"/>
        </w:rPr>
        <w:t>1.3 费用承担</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供应商准备和参加采购活动所发生的各种费用由供应商自行承担。</w:t>
      </w:r>
    </w:p>
    <w:p>
      <w:pPr>
        <w:adjustRightInd w:val="0"/>
        <w:snapToGrid w:val="0"/>
        <w:spacing w:line="312" w:lineRule="auto"/>
        <w:jc w:val="both"/>
        <w:rPr>
          <w:rFonts w:ascii="宋体" w:hAnsi="宋体" w:cs="仿宋"/>
          <w:b/>
          <w:bCs/>
          <w:sz w:val="24"/>
        </w:rPr>
      </w:pPr>
      <w:r>
        <w:rPr>
          <w:rFonts w:hint="eastAsia" w:ascii="宋体" w:hAnsi="宋体" w:cs="仿宋"/>
          <w:b/>
          <w:bCs/>
          <w:sz w:val="24"/>
        </w:rPr>
        <w:t>1.4保密</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参加采购活动的各方应对采购文件和响应文件中的商业和技术等秘密保密，否则应承担相应的法律责任。</w:t>
      </w:r>
    </w:p>
    <w:p>
      <w:pPr>
        <w:adjustRightInd w:val="0"/>
        <w:snapToGrid w:val="0"/>
        <w:spacing w:line="312" w:lineRule="auto"/>
        <w:jc w:val="both"/>
        <w:rPr>
          <w:rFonts w:ascii="宋体" w:hAnsi="宋体" w:cs="仿宋"/>
          <w:b/>
          <w:bCs/>
          <w:sz w:val="24"/>
        </w:rPr>
      </w:pPr>
      <w:r>
        <w:rPr>
          <w:rFonts w:hint="eastAsia" w:ascii="宋体" w:hAnsi="宋体" w:cs="仿宋"/>
          <w:b/>
          <w:bCs/>
          <w:sz w:val="24"/>
        </w:rPr>
        <w:t>1.5语言文字</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采购文件和响应文件使用的语言文字为中文。专用术语使用外文的，应附有中文注释。</w:t>
      </w:r>
    </w:p>
    <w:p>
      <w:pPr>
        <w:adjustRightInd w:val="0"/>
        <w:snapToGrid w:val="0"/>
        <w:spacing w:line="312" w:lineRule="auto"/>
        <w:jc w:val="both"/>
        <w:rPr>
          <w:rFonts w:ascii="宋体" w:hAnsi="宋体" w:cs="仿宋"/>
          <w:b/>
          <w:bCs/>
          <w:sz w:val="24"/>
        </w:rPr>
      </w:pPr>
      <w:r>
        <w:rPr>
          <w:rFonts w:hint="eastAsia" w:ascii="宋体" w:hAnsi="宋体" w:cs="仿宋"/>
          <w:b/>
          <w:bCs/>
          <w:sz w:val="24"/>
        </w:rPr>
        <w:t>1.6计量单位</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所有计量均采用中华人民共和国法定计量单位。</w:t>
      </w:r>
    </w:p>
    <w:p>
      <w:pPr>
        <w:adjustRightInd w:val="0"/>
        <w:snapToGrid w:val="0"/>
        <w:spacing w:line="312" w:lineRule="auto"/>
        <w:jc w:val="both"/>
        <w:rPr>
          <w:rFonts w:ascii="宋体" w:hAnsi="宋体" w:cs="仿宋"/>
          <w:b/>
          <w:bCs/>
          <w:sz w:val="24"/>
        </w:rPr>
      </w:pPr>
      <w:r>
        <w:rPr>
          <w:rFonts w:hint="eastAsia" w:ascii="宋体" w:hAnsi="宋体" w:cs="仿宋"/>
          <w:b/>
          <w:bCs/>
          <w:sz w:val="24"/>
        </w:rPr>
        <w:t>1.7踏勘现场</w:t>
      </w:r>
    </w:p>
    <w:p>
      <w:pPr>
        <w:adjustRightInd w:val="0"/>
        <w:snapToGrid w:val="0"/>
        <w:spacing w:line="312" w:lineRule="auto"/>
        <w:jc w:val="both"/>
        <w:rPr>
          <w:rFonts w:ascii="宋体" w:hAnsi="宋体" w:cs="仿宋"/>
          <w:sz w:val="24"/>
        </w:rPr>
      </w:pPr>
      <w:r>
        <w:rPr>
          <w:rFonts w:hint="eastAsia" w:ascii="宋体" w:hAnsi="宋体" w:cs="仿宋"/>
          <w:sz w:val="24"/>
        </w:rPr>
        <w:t>1.7.1供应商须知前附表规定组织踏勘现场的，采购人应按供应商须知前附表规定的时间、地点组织供应商踏勘项目现场。部分供应商未按时参加踏勘现场的，不影响踏勘现场的正常进行。</w:t>
      </w:r>
    </w:p>
    <w:p>
      <w:pPr>
        <w:adjustRightInd w:val="0"/>
        <w:snapToGrid w:val="0"/>
        <w:spacing w:line="312" w:lineRule="auto"/>
        <w:jc w:val="both"/>
        <w:rPr>
          <w:rFonts w:ascii="宋体" w:hAnsi="宋体" w:cs="仿宋"/>
          <w:sz w:val="24"/>
        </w:rPr>
      </w:pPr>
      <w:r>
        <w:rPr>
          <w:rFonts w:hint="eastAsia" w:ascii="宋体" w:hAnsi="宋体" w:cs="仿宋"/>
          <w:sz w:val="24"/>
        </w:rPr>
        <w:t>1.7.2供应商可自愿参加踏勘现场活动。除采购人的原因外，采购人对供应商参加踏勘现场中所发生的人员伤亡和财产损失不承担责任。</w:t>
      </w:r>
    </w:p>
    <w:p>
      <w:pPr>
        <w:adjustRightInd w:val="0"/>
        <w:snapToGrid w:val="0"/>
        <w:spacing w:line="312" w:lineRule="auto"/>
        <w:jc w:val="both"/>
        <w:rPr>
          <w:rFonts w:ascii="宋体" w:hAnsi="宋体" w:cs="仿宋"/>
          <w:sz w:val="24"/>
        </w:rPr>
      </w:pPr>
      <w:r>
        <w:rPr>
          <w:rFonts w:hint="eastAsia" w:ascii="宋体" w:hAnsi="宋体" w:cs="仿宋"/>
          <w:sz w:val="24"/>
        </w:rPr>
        <w:t>1.7.3采购人在踏勘现场中介绍的工程场地和相关的周边环境情况，仅作为供应商编制响应文件的参考，采购人不对供应商据此作出的判断和决策负责。</w:t>
      </w:r>
    </w:p>
    <w:p>
      <w:pPr>
        <w:adjustRightInd w:val="0"/>
        <w:snapToGrid w:val="0"/>
        <w:spacing w:line="312" w:lineRule="auto"/>
        <w:jc w:val="both"/>
        <w:rPr>
          <w:rFonts w:ascii="宋体" w:hAnsi="宋体" w:cs="仿宋"/>
          <w:b/>
          <w:bCs/>
          <w:sz w:val="24"/>
        </w:rPr>
      </w:pPr>
      <w:r>
        <w:rPr>
          <w:rFonts w:hint="eastAsia" w:ascii="宋体" w:hAnsi="宋体" w:cs="仿宋"/>
          <w:b/>
          <w:bCs/>
          <w:sz w:val="24"/>
        </w:rPr>
        <w:t>1.8采购预备会</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供应商须知前附表规定召开采购预备会的，采购人按供应商须知前附表规定的时间和地点召开采购预备会。</w:t>
      </w:r>
    </w:p>
    <w:p>
      <w:pPr>
        <w:adjustRightInd w:val="0"/>
        <w:snapToGrid w:val="0"/>
        <w:spacing w:line="312" w:lineRule="auto"/>
        <w:jc w:val="both"/>
        <w:rPr>
          <w:rFonts w:ascii="宋体" w:hAnsi="宋体" w:cs="仿宋"/>
          <w:b/>
          <w:bCs/>
          <w:sz w:val="24"/>
        </w:rPr>
      </w:pPr>
      <w:r>
        <w:rPr>
          <w:rFonts w:hint="eastAsia" w:ascii="宋体" w:hAnsi="宋体" w:cs="仿宋"/>
          <w:b/>
          <w:bCs/>
          <w:sz w:val="24"/>
        </w:rPr>
        <w:t>1.9分包</w:t>
      </w:r>
    </w:p>
    <w:p>
      <w:pPr>
        <w:adjustRightInd w:val="0"/>
        <w:snapToGrid w:val="0"/>
        <w:spacing w:line="312" w:lineRule="auto"/>
        <w:jc w:val="both"/>
        <w:rPr>
          <w:rFonts w:ascii="宋体" w:hAnsi="宋体" w:cs="仿宋"/>
          <w:sz w:val="24"/>
        </w:rPr>
      </w:pPr>
      <w:r>
        <w:rPr>
          <w:rFonts w:hint="eastAsia" w:ascii="宋体" w:hAnsi="宋体" w:cs="仿宋"/>
          <w:sz w:val="24"/>
        </w:rPr>
        <w:t>本项目不得分包</w:t>
      </w:r>
    </w:p>
    <w:p>
      <w:pPr>
        <w:adjustRightInd w:val="0"/>
        <w:snapToGrid w:val="0"/>
        <w:spacing w:line="312" w:lineRule="auto"/>
        <w:jc w:val="both"/>
        <w:rPr>
          <w:rFonts w:ascii="宋体" w:hAnsi="宋体" w:cs="仿宋"/>
          <w:b/>
          <w:bCs/>
          <w:sz w:val="24"/>
        </w:rPr>
      </w:pPr>
      <w:r>
        <w:rPr>
          <w:rFonts w:hint="eastAsia" w:ascii="宋体" w:hAnsi="宋体" w:cs="仿宋"/>
          <w:b/>
          <w:bCs/>
          <w:sz w:val="24"/>
        </w:rPr>
        <w:t>1.10响应和偏差</w:t>
      </w:r>
    </w:p>
    <w:p>
      <w:pPr>
        <w:adjustRightInd w:val="0"/>
        <w:snapToGrid w:val="0"/>
        <w:spacing w:line="312" w:lineRule="auto"/>
        <w:jc w:val="both"/>
        <w:rPr>
          <w:rFonts w:ascii="宋体" w:hAnsi="宋体" w:cs="仿宋"/>
          <w:sz w:val="24"/>
        </w:rPr>
      </w:pPr>
      <w:r>
        <w:rPr>
          <w:rFonts w:hint="eastAsia" w:ascii="宋体" w:hAnsi="宋体" w:cs="仿宋"/>
          <w:sz w:val="24"/>
        </w:rPr>
        <w:t>1.10.1采购需求和合同草案中的关键条款均以“*”符号标记。响应文件应当对采购需求和合同草案的关键条款作出满足性或更有利于采购人的响应，否则，供应商的响应文件将被视为无效。</w:t>
      </w:r>
    </w:p>
    <w:p>
      <w:pPr>
        <w:adjustRightInd w:val="0"/>
        <w:snapToGrid w:val="0"/>
        <w:spacing w:line="312" w:lineRule="auto"/>
        <w:ind w:left="105" w:leftChars="50"/>
        <w:jc w:val="both"/>
        <w:rPr>
          <w:rFonts w:ascii="宋体" w:hAnsi="宋体" w:cs="仿宋"/>
          <w:sz w:val="24"/>
        </w:rPr>
      </w:pPr>
      <w:r>
        <w:rPr>
          <w:rFonts w:hint="eastAsia" w:ascii="宋体" w:hAnsi="宋体" w:cs="仿宋"/>
          <w:sz w:val="24"/>
        </w:rPr>
        <w:t>1.10.2供应商须知前附表规定了对非关键条款允许偏差的范围和可以偏差的项数的，如响应文件存在的偏差超出上述范围或项数，将被视为无效。</w:t>
      </w:r>
    </w:p>
    <w:p>
      <w:pPr>
        <w:adjustRightInd w:val="0"/>
        <w:snapToGrid w:val="0"/>
        <w:spacing w:line="312" w:lineRule="auto"/>
        <w:jc w:val="both"/>
        <w:rPr>
          <w:rFonts w:ascii="宋体" w:hAnsi="宋体" w:cs="仿宋"/>
          <w:b/>
          <w:bCs/>
          <w:sz w:val="24"/>
        </w:rPr>
      </w:pPr>
      <w:r>
        <w:rPr>
          <w:rFonts w:hint="eastAsia" w:ascii="宋体" w:hAnsi="宋体" w:cs="仿宋"/>
          <w:b/>
          <w:bCs/>
          <w:sz w:val="24"/>
        </w:rPr>
        <w:t>2采购文件</w:t>
      </w:r>
    </w:p>
    <w:p>
      <w:pPr>
        <w:adjustRightInd w:val="0"/>
        <w:snapToGrid w:val="0"/>
        <w:spacing w:line="312" w:lineRule="auto"/>
        <w:jc w:val="both"/>
        <w:rPr>
          <w:rFonts w:ascii="宋体" w:hAnsi="宋体" w:cs="仿宋"/>
          <w:b/>
          <w:bCs/>
          <w:sz w:val="24"/>
        </w:rPr>
      </w:pPr>
      <w:r>
        <w:rPr>
          <w:rFonts w:hint="eastAsia" w:ascii="宋体" w:hAnsi="宋体" w:cs="仿宋"/>
          <w:b/>
          <w:bCs/>
          <w:sz w:val="24"/>
        </w:rPr>
        <w:t>2.1采购文件的组成</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本采购文件包括:</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(1)采购公告:</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(2)供应商须知;</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(3)评审办法;</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(4)合同条款及格式;</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(5)采购需求;</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(6)响应文件格式;</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(7)供应商须知前附表规定的其他资料。</w:t>
      </w:r>
    </w:p>
    <w:p>
      <w:pPr>
        <w:adjustRightInd w:val="0"/>
        <w:snapToGrid w:val="0"/>
        <w:spacing w:line="312" w:lineRule="auto"/>
        <w:ind w:left="105" w:leftChars="50" w:firstLine="453" w:firstLineChars="189"/>
        <w:jc w:val="both"/>
        <w:rPr>
          <w:rFonts w:ascii="宋体" w:hAnsi="宋体" w:cs="仿宋"/>
          <w:sz w:val="24"/>
        </w:rPr>
      </w:pPr>
      <w:r>
        <w:rPr>
          <w:rFonts w:hint="eastAsia" w:ascii="宋体" w:hAnsi="宋体" w:cs="仿宋"/>
          <w:sz w:val="24"/>
        </w:rPr>
        <w:t>采购人依照本章规定，对采购文件所作的澄清、修改，构成采购文件的组成部分。</w:t>
      </w:r>
    </w:p>
    <w:p>
      <w:pPr>
        <w:adjustRightInd w:val="0"/>
        <w:snapToGrid w:val="0"/>
        <w:spacing w:line="312" w:lineRule="auto"/>
        <w:jc w:val="both"/>
        <w:rPr>
          <w:rFonts w:ascii="宋体" w:hAnsi="宋体" w:cs="仿宋"/>
          <w:b/>
          <w:bCs/>
          <w:sz w:val="24"/>
        </w:rPr>
      </w:pPr>
      <w:r>
        <w:rPr>
          <w:rFonts w:hint="eastAsia" w:ascii="宋体" w:hAnsi="宋体" w:cs="仿宋"/>
          <w:b/>
          <w:bCs/>
          <w:sz w:val="24"/>
        </w:rPr>
        <w:t>2.2采购文件的澄清和修改</w:t>
      </w:r>
    </w:p>
    <w:p>
      <w:pPr>
        <w:adjustRightInd w:val="0"/>
        <w:snapToGrid w:val="0"/>
        <w:spacing w:line="312" w:lineRule="auto"/>
        <w:ind w:left="105" w:leftChars="50"/>
        <w:jc w:val="both"/>
        <w:rPr>
          <w:rFonts w:ascii="宋体" w:hAnsi="宋体" w:cs="仿宋"/>
          <w:sz w:val="24"/>
        </w:rPr>
      </w:pPr>
      <w:r>
        <w:rPr>
          <w:rFonts w:hint="eastAsia" w:ascii="宋体" w:hAnsi="宋体" w:cs="仿宋"/>
          <w:sz w:val="24"/>
        </w:rPr>
        <w:t>2.2.1供应商应仔细阅读和检查采购文件的全部内容。如发现缺页或内容不全，应及时向采购人提出，以便补齐。如有疑问，应在供应商须知前附表规定的时间前，以书面形式要求采购人对采购文件予以澄清。</w:t>
      </w:r>
    </w:p>
    <w:p>
      <w:pPr>
        <w:adjustRightInd w:val="0"/>
        <w:snapToGrid w:val="0"/>
        <w:spacing w:line="312" w:lineRule="auto"/>
        <w:ind w:left="105" w:leftChars="50"/>
        <w:jc w:val="both"/>
        <w:rPr>
          <w:rFonts w:ascii="宋体" w:hAnsi="宋体" w:cs="仿宋"/>
          <w:sz w:val="24"/>
        </w:rPr>
      </w:pPr>
      <w:r>
        <w:rPr>
          <w:rFonts w:hint="eastAsia" w:ascii="宋体" w:hAnsi="宋体" w:cs="仿宋"/>
          <w:sz w:val="24"/>
        </w:rPr>
        <w:t>2.2.2采购人可根据供应商的要求或主动对采购文件进行澄清或修改。澄清或修改的内容以补充文件的形式发给所有获取采购文件的供应商。采购人可视具体情况在补充文件中通知供应商推迟递交响应文件的截止时间。</w:t>
      </w:r>
    </w:p>
    <w:p>
      <w:pPr>
        <w:adjustRightInd w:val="0"/>
        <w:snapToGrid w:val="0"/>
        <w:spacing w:line="312" w:lineRule="auto"/>
        <w:ind w:left="105" w:leftChars="50"/>
        <w:jc w:val="both"/>
        <w:rPr>
          <w:rFonts w:ascii="宋体" w:hAnsi="宋体" w:cs="仿宋"/>
          <w:sz w:val="24"/>
        </w:rPr>
      </w:pPr>
      <w:r>
        <w:rPr>
          <w:rFonts w:hint="eastAsia" w:ascii="宋体" w:hAnsi="宋体" w:cs="仿宋"/>
          <w:sz w:val="24"/>
        </w:rPr>
        <w:t>2.2.3供应商在收到补充文件后，应按供应商须知前附表规定的时间和方式通知采购人，确认已收到该补充文件。</w:t>
      </w:r>
    </w:p>
    <w:p>
      <w:pPr>
        <w:adjustRightInd w:val="0"/>
        <w:snapToGrid w:val="0"/>
        <w:spacing w:line="312" w:lineRule="auto"/>
        <w:ind w:left="105" w:leftChars="50"/>
        <w:jc w:val="both"/>
        <w:rPr>
          <w:rFonts w:ascii="宋体" w:hAnsi="宋体" w:cs="仿宋"/>
          <w:sz w:val="24"/>
        </w:rPr>
      </w:pPr>
      <w:r>
        <w:rPr>
          <w:rFonts w:hint="eastAsia" w:ascii="宋体" w:hAnsi="宋体" w:cs="仿宋"/>
          <w:sz w:val="24"/>
        </w:rPr>
        <w:t>2.2.4除非确有必要，采购人有权拒绝回复供应商在本章第2.2.1项规定的时间后提出的任何澄清要求。</w:t>
      </w:r>
    </w:p>
    <w:p>
      <w:pPr>
        <w:adjustRightInd w:val="0"/>
        <w:snapToGrid w:val="0"/>
        <w:spacing w:line="312" w:lineRule="auto"/>
        <w:jc w:val="both"/>
        <w:rPr>
          <w:rFonts w:ascii="宋体" w:hAnsi="宋体" w:cs="仿宋"/>
          <w:b/>
          <w:bCs/>
          <w:sz w:val="24"/>
        </w:rPr>
      </w:pPr>
      <w:r>
        <w:rPr>
          <w:rFonts w:hint="eastAsia" w:ascii="宋体" w:hAnsi="宋体" w:cs="仿宋"/>
          <w:b/>
          <w:bCs/>
          <w:sz w:val="24"/>
        </w:rPr>
        <w:t>3响应文件</w:t>
      </w:r>
    </w:p>
    <w:p>
      <w:pPr>
        <w:adjustRightInd w:val="0"/>
        <w:snapToGrid w:val="0"/>
        <w:spacing w:line="312" w:lineRule="auto"/>
        <w:jc w:val="both"/>
        <w:rPr>
          <w:rFonts w:ascii="宋体" w:hAnsi="宋体" w:cs="仿宋"/>
          <w:b/>
          <w:bCs/>
          <w:sz w:val="24"/>
        </w:rPr>
      </w:pPr>
      <w:r>
        <w:rPr>
          <w:rFonts w:hint="eastAsia" w:ascii="宋体" w:hAnsi="宋体" w:cs="仿宋"/>
          <w:b/>
          <w:bCs/>
          <w:sz w:val="24"/>
        </w:rPr>
        <w:t>3.1响应文件的组成</w:t>
      </w:r>
    </w:p>
    <w:p>
      <w:pPr>
        <w:adjustRightInd w:val="0"/>
        <w:snapToGrid w:val="0"/>
        <w:spacing w:line="312" w:lineRule="auto"/>
        <w:jc w:val="both"/>
        <w:rPr>
          <w:rFonts w:ascii="宋体" w:hAnsi="宋体" w:cs="仿宋"/>
          <w:sz w:val="24"/>
        </w:rPr>
      </w:pPr>
      <w:r>
        <w:rPr>
          <w:rFonts w:hint="eastAsia" w:ascii="宋体" w:hAnsi="宋体" w:cs="仿宋"/>
          <w:sz w:val="24"/>
        </w:rPr>
        <w:t>3.1.1响应文件应包括下列内容:</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(1)响应函;</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(2)授权委托书(如有);</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(3)联合体协议书(如有);</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(4)响应保证金(如有);</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(5)商务和技术偏差表;</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(6)报价表;</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(7)资格审查资料;</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(8)响应方案;</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(9)供应商须知前附表规定的其他资料。</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供应商在评审过程中作出的符合采购文件要求的澄清、说明和补正，构成响应文件的组成部分。</w:t>
      </w:r>
    </w:p>
    <w:p>
      <w:pPr>
        <w:adjustRightInd w:val="0"/>
        <w:snapToGrid w:val="0"/>
        <w:spacing w:line="312" w:lineRule="auto"/>
        <w:jc w:val="both"/>
        <w:rPr>
          <w:rFonts w:ascii="宋体" w:hAnsi="宋体" w:cs="仿宋"/>
          <w:sz w:val="24"/>
        </w:rPr>
      </w:pPr>
      <w:r>
        <w:rPr>
          <w:rFonts w:hint="eastAsia" w:ascii="宋体" w:hAnsi="宋体" w:cs="仿宋"/>
          <w:sz w:val="24"/>
        </w:rPr>
        <w:t>3.1.2供应商的法定代表人(单位负责人)亲自签署响应文件、亲自参加采购的，响应文件不包括第3.1.1(2)目所指的授权委托书。第一章“采购公告”规定不接受联合体的，或供应商没有组成联合体的，响应文件不包括第3.1.1(3)目所指的联合体协议书。供应商须知前附表未要求供应商递交响应保证金的，响应文件不包括第3.1.1(4)目所指的响应保证金。</w:t>
      </w:r>
    </w:p>
    <w:p>
      <w:pPr>
        <w:adjustRightInd w:val="0"/>
        <w:snapToGrid w:val="0"/>
        <w:spacing w:line="312" w:lineRule="auto"/>
        <w:jc w:val="both"/>
        <w:rPr>
          <w:rFonts w:ascii="宋体" w:hAnsi="宋体" w:cs="仿宋"/>
          <w:b/>
          <w:bCs/>
          <w:sz w:val="24"/>
        </w:rPr>
      </w:pPr>
      <w:r>
        <w:rPr>
          <w:rFonts w:hint="eastAsia" w:ascii="宋体" w:hAnsi="宋体" w:cs="仿宋"/>
          <w:b/>
          <w:bCs/>
          <w:sz w:val="24"/>
        </w:rPr>
        <w:t>3.2报价</w:t>
      </w:r>
    </w:p>
    <w:p>
      <w:pPr>
        <w:adjustRightInd w:val="0"/>
        <w:snapToGrid w:val="0"/>
        <w:spacing w:line="312" w:lineRule="auto"/>
        <w:jc w:val="both"/>
        <w:rPr>
          <w:rFonts w:ascii="宋体" w:hAnsi="宋体" w:cs="仿宋"/>
          <w:color w:val="FF0000"/>
          <w:sz w:val="24"/>
        </w:rPr>
      </w:pPr>
      <w:r>
        <w:rPr>
          <w:rFonts w:hint="eastAsia" w:ascii="宋体" w:hAnsi="宋体" w:cs="仿宋"/>
          <w:sz w:val="24"/>
        </w:rPr>
        <w:t>3.2.1供应商应按采购文件提供的格式(见第六章“响应文件格式”)在响应函和报价表中进行报价。响应函中报价应为包含国家规定的增值税在内的含税价格，同时应列明不含税价格和增值税税额，采购人将根据项目情况，在第三章“评审办法"第2.2.2项中选择按照含税价格或不含税价格对供应商进行价格评审。</w:t>
      </w:r>
    </w:p>
    <w:p>
      <w:pPr>
        <w:adjustRightInd w:val="0"/>
        <w:snapToGrid w:val="0"/>
        <w:spacing w:line="312" w:lineRule="auto"/>
        <w:jc w:val="both"/>
        <w:rPr>
          <w:rFonts w:ascii="宋体" w:hAnsi="宋体" w:cs="仿宋"/>
          <w:sz w:val="24"/>
        </w:rPr>
      </w:pPr>
      <w:r>
        <w:rPr>
          <w:rFonts w:hint="eastAsia" w:ascii="宋体" w:hAnsi="宋体" w:cs="仿宋"/>
          <w:sz w:val="24"/>
        </w:rPr>
        <w:t>3.2.2供应商应充分了解采购项目的总体情况以及影响报价的其他要素。对于货物和服务采购项目，采购人在签署采购合同时及合同履行过程中，有权在供应商须知前附表规定的幅度内对采购标的的数量进行增加或减少。</w:t>
      </w:r>
    </w:p>
    <w:p>
      <w:pPr>
        <w:adjustRightInd w:val="0"/>
        <w:snapToGrid w:val="0"/>
        <w:spacing w:line="312" w:lineRule="auto"/>
        <w:jc w:val="both"/>
        <w:rPr>
          <w:rFonts w:ascii="宋体" w:hAnsi="宋体" w:cs="仿宋"/>
          <w:sz w:val="24"/>
        </w:rPr>
      </w:pPr>
      <w:r>
        <w:rPr>
          <w:rFonts w:hint="eastAsia" w:ascii="宋体" w:hAnsi="宋体" w:cs="仿宋"/>
          <w:sz w:val="24"/>
        </w:rPr>
        <w:t>3.2.3采购人设有最高限价的，供应商的报价不得超过最高限价。最高限价或最高限价计算方法在供应商须知前附表中载明。</w:t>
      </w:r>
    </w:p>
    <w:p>
      <w:pPr>
        <w:adjustRightInd w:val="0"/>
        <w:snapToGrid w:val="0"/>
        <w:spacing w:line="312" w:lineRule="auto"/>
        <w:jc w:val="both"/>
        <w:rPr>
          <w:rFonts w:ascii="宋体" w:hAnsi="宋体" w:cs="仿宋"/>
          <w:sz w:val="24"/>
        </w:rPr>
      </w:pPr>
      <w:r>
        <w:rPr>
          <w:rFonts w:hint="eastAsia" w:ascii="宋体" w:hAnsi="宋体" w:cs="仿宋"/>
          <w:sz w:val="24"/>
        </w:rPr>
        <w:t>3.2.4报价的其他要求见供应商须知前附表。</w:t>
      </w:r>
    </w:p>
    <w:p>
      <w:pPr>
        <w:adjustRightInd w:val="0"/>
        <w:snapToGrid w:val="0"/>
        <w:spacing w:line="312" w:lineRule="auto"/>
        <w:jc w:val="both"/>
        <w:rPr>
          <w:rFonts w:ascii="宋体" w:hAnsi="宋体" w:cs="仿宋"/>
          <w:b/>
          <w:bCs/>
          <w:sz w:val="24"/>
        </w:rPr>
      </w:pPr>
      <w:r>
        <w:rPr>
          <w:rFonts w:hint="eastAsia" w:ascii="宋体" w:hAnsi="宋体" w:cs="仿宋"/>
          <w:b/>
          <w:bCs/>
          <w:sz w:val="24"/>
        </w:rPr>
        <w:t>3.3响应文件有效期</w:t>
      </w:r>
    </w:p>
    <w:p>
      <w:pPr>
        <w:adjustRightInd w:val="0"/>
        <w:snapToGrid w:val="0"/>
        <w:spacing w:line="312" w:lineRule="auto"/>
        <w:jc w:val="both"/>
        <w:rPr>
          <w:rFonts w:ascii="宋体" w:hAnsi="宋体" w:cs="仿宋"/>
          <w:sz w:val="24"/>
        </w:rPr>
      </w:pPr>
      <w:r>
        <w:rPr>
          <w:rFonts w:hint="eastAsia" w:ascii="宋体" w:hAnsi="宋体" w:cs="仿宋"/>
          <w:sz w:val="24"/>
        </w:rPr>
        <w:t>3.3.1除供应商须知前附表另有规定外，响应文件有效期应为90日，从采购文件规定的递交响应文件的截止时间开始计算。</w:t>
      </w:r>
    </w:p>
    <w:p>
      <w:pPr>
        <w:adjustRightInd w:val="0"/>
        <w:snapToGrid w:val="0"/>
        <w:spacing w:line="312" w:lineRule="auto"/>
        <w:jc w:val="both"/>
        <w:rPr>
          <w:rFonts w:ascii="宋体" w:hAnsi="宋体" w:cs="仿宋"/>
          <w:sz w:val="24"/>
        </w:rPr>
      </w:pPr>
      <w:r>
        <w:rPr>
          <w:rFonts w:hint="eastAsia" w:ascii="宋体" w:hAnsi="宋体" w:cs="仿宋"/>
          <w:sz w:val="24"/>
        </w:rPr>
        <w:t>3.3.2出现特殊情况需要延长响应文件有效期，采购人以书面形式通知所有供应商延长响应文件有效期的，供应商应予以书面答复。同意延长的，应相应延长其响应保证金的有效期，但不得修改其响应文件；供应商商拒绝延长的，其响应文件在原有效期届满后失效，但供应商有权收回其响应保证金。</w:t>
      </w:r>
    </w:p>
    <w:p>
      <w:pPr>
        <w:adjustRightInd w:val="0"/>
        <w:snapToGrid w:val="0"/>
        <w:spacing w:line="312" w:lineRule="auto"/>
        <w:jc w:val="both"/>
        <w:rPr>
          <w:rFonts w:ascii="宋体" w:hAnsi="宋体" w:cs="仿宋"/>
          <w:b/>
          <w:bCs/>
          <w:sz w:val="24"/>
        </w:rPr>
      </w:pPr>
      <w:r>
        <w:rPr>
          <w:rFonts w:hint="eastAsia" w:ascii="宋体" w:hAnsi="宋体" w:cs="仿宋"/>
          <w:b/>
          <w:bCs/>
          <w:sz w:val="24"/>
        </w:rPr>
        <w:t>3.4响应保证金</w:t>
      </w:r>
    </w:p>
    <w:p>
      <w:pPr>
        <w:adjustRightInd w:val="0"/>
        <w:snapToGrid w:val="0"/>
        <w:spacing w:line="312" w:lineRule="auto"/>
        <w:jc w:val="both"/>
        <w:rPr>
          <w:rFonts w:ascii="宋体" w:hAnsi="宋体" w:cs="仿宋"/>
          <w:sz w:val="24"/>
        </w:rPr>
      </w:pPr>
      <w:r>
        <w:rPr>
          <w:rFonts w:hint="eastAsia" w:ascii="宋体" w:hAnsi="宋体" w:cs="仿宋"/>
          <w:sz w:val="24"/>
        </w:rPr>
        <w:t>（本项目不提交响应保证金）</w:t>
      </w:r>
    </w:p>
    <w:p>
      <w:pPr>
        <w:adjustRightInd w:val="0"/>
        <w:snapToGrid w:val="0"/>
        <w:spacing w:line="312" w:lineRule="auto"/>
        <w:ind w:left="120" w:hanging="120" w:hangingChars="50"/>
        <w:jc w:val="both"/>
        <w:rPr>
          <w:rFonts w:ascii="宋体" w:hAnsi="宋体" w:cs="仿宋"/>
          <w:b/>
          <w:bCs/>
          <w:sz w:val="24"/>
        </w:rPr>
      </w:pPr>
      <w:r>
        <w:rPr>
          <w:rFonts w:hint="eastAsia" w:ascii="宋体" w:hAnsi="宋体" w:cs="仿宋"/>
          <w:b/>
          <w:bCs/>
          <w:sz w:val="24"/>
        </w:rPr>
        <w:t>3.5资格审查资料</w:t>
      </w:r>
    </w:p>
    <w:p>
      <w:pPr>
        <w:adjustRightInd w:val="0"/>
        <w:snapToGrid w:val="0"/>
        <w:spacing w:line="312" w:lineRule="auto"/>
        <w:ind w:left="149" w:leftChars="71" w:firstLine="360" w:firstLineChars="150"/>
        <w:jc w:val="both"/>
        <w:rPr>
          <w:rFonts w:ascii="宋体" w:hAnsi="宋体" w:cs="仿宋"/>
          <w:sz w:val="24"/>
        </w:rPr>
      </w:pPr>
      <w:r>
        <w:rPr>
          <w:rFonts w:hint="eastAsia" w:ascii="宋体" w:hAnsi="宋体" w:cs="仿宋"/>
          <w:sz w:val="24"/>
        </w:rPr>
        <w:t>供应商应提供供应商须知前附表3.5(1)-3.5(9)中规定的资格审查资料，以证明其满足第一章“采购公告”对供应商的各项资格要求。</w:t>
      </w:r>
    </w:p>
    <w:p>
      <w:pPr>
        <w:adjustRightInd w:val="0"/>
        <w:snapToGrid w:val="0"/>
        <w:spacing w:line="312" w:lineRule="auto"/>
        <w:jc w:val="both"/>
        <w:rPr>
          <w:rFonts w:ascii="宋体" w:hAnsi="宋体" w:cs="仿宋"/>
          <w:b/>
          <w:bCs/>
          <w:sz w:val="24"/>
        </w:rPr>
      </w:pPr>
      <w:r>
        <w:rPr>
          <w:rFonts w:hint="eastAsia" w:ascii="宋体" w:hAnsi="宋体" w:cs="仿宋"/>
          <w:b/>
          <w:bCs/>
          <w:sz w:val="24"/>
        </w:rPr>
        <w:t>3.6响应方案</w:t>
      </w:r>
    </w:p>
    <w:p>
      <w:pPr>
        <w:adjustRightInd w:val="0"/>
        <w:snapToGrid w:val="0"/>
        <w:spacing w:line="312" w:lineRule="auto"/>
        <w:jc w:val="both"/>
        <w:rPr>
          <w:rFonts w:ascii="宋体" w:hAnsi="宋体" w:cs="仿宋"/>
          <w:sz w:val="24"/>
        </w:rPr>
      </w:pPr>
      <w:r>
        <w:rPr>
          <w:rFonts w:hint="eastAsia" w:ascii="宋体" w:hAnsi="宋体" w:cs="仿宋"/>
          <w:sz w:val="24"/>
        </w:rPr>
        <w:t>3.6.1响应文件应当对采购文件中的实质性内容作出响应。采购需求中明确为关键条款(标记“*”)的，供应商还应按照供应商须知前附表的规定提供有关证据或证明材料。</w:t>
      </w:r>
    </w:p>
    <w:p>
      <w:pPr>
        <w:adjustRightInd w:val="0"/>
        <w:snapToGrid w:val="0"/>
        <w:spacing w:line="312" w:lineRule="auto"/>
        <w:jc w:val="both"/>
        <w:rPr>
          <w:rFonts w:ascii="宋体" w:hAnsi="宋体" w:cs="仿宋"/>
          <w:sz w:val="24"/>
        </w:rPr>
      </w:pPr>
      <w:r>
        <w:rPr>
          <w:rFonts w:hint="eastAsia" w:ascii="宋体" w:hAnsi="宋体" w:cs="仿宋"/>
          <w:sz w:val="24"/>
        </w:rPr>
        <w:t>3.6.2供应商只能提出唯一的响应方案。供应商在响应文件中提出多个响应方案的，其响应文件将被视为无效。</w:t>
      </w:r>
    </w:p>
    <w:p>
      <w:pPr>
        <w:adjustRightInd w:val="0"/>
        <w:snapToGrid w:val="0"/>
        <w:spacing w:line="312" w:lineRule="auto"/>
        <w:jc w:val="both"/>
        <w:rPr>
          <w:rFonts w:ascii="宋体" w:hAnsi="宋体" w:cs="仿宋"/>
          <w:sz w:val="24"/>
        </w:rPr>
      </w:pPr>
      <w:r>
        <w:rPr>
          <w:rFonts w:hint="eastAsia" w:ascii="宋体" w:hAnsi="宋体" w:cs="仿宋"/>
          <w:sz w:val="24"/>
        </w:rPr>
        <w:t>3.6.3响应文件对采购文件的全部偏差，均应在响应文件的商务和技术偏差表中列明。响应文件偏差表中未列明的内容，将视为供应商响应采购文件的要求:但如发现响应文件的其他部分与商务和技术偏差表的描述不一致或供应商的响应缺乏支持性文件，则评审小组有权要求供应商对相关问题进行澄清，并根据澄清结果对供应商的响应文件进行评审。</w:t>
      </w:r>
    </w:p>
    <w:p>
      <w:pPr>
        <w:adjustRightInd w:val="0"/>
        <w:snapToGrid w:val="0"/>
        <w:spacing w:line="312" w:lineRule="auto"/>
        <w:jc w:val="both"/>
        <w:rPr>
          <w:rFonts w:ascii="宋体" w:hAnsi="宋体" w:cs="仿宋"/>
          <w:b/>
          <w:bCs/>
          <w:sz w:val="24"/>
        </w:rPr>
      </w:pPr>
      <w:r>
        <w:rPr>
          <w:rFonts w:hint="eastAsia" w:ascii="宋体" w:hAnsi="宋体" w:cs="仿宋"/>
          <w:b/>
          <w:bCs/>
          <w:sz w:val="24"/>
        </w:rPr>
        <w:t>3.7响应文件的编制</w:t>
      </w:r>
    </w:p>
    <w:p>
      <w:pPr>
        <w:adjustRightInd w:val="0"/>
        <w:snapToGrid w:val="0"/>
        <w:spacing w:line="312" w:lineRule="auto"/>
        <w:jc w:val="both"/>
        <w:rPr>
          <w:rFonts w:ascii="宋体" w:hAnsi="宋体" w:cs="仿宋"/>
          <w:sz w:val="24"/>
        </w:rPr>
      </w:pPr>
      <w:r>
        <w:rPr>
          <w:rFonts w:hint="eastAsia" w:ascii="宋体" w:hAnsi="宋体" w:cs="仿宋"/>
          <w:sz w:val="24"/>
        </w:rPr>
        <w:t>3.7.1响应文件应按第六章“响应文件格式”进行编写，如有必要，可以增加附件作为响应文件的组成部分。</w:t>
      </w:r>
    </w:p>
    <w:p>
      <w:pPr>
        <w:adjustRightInd w:val="0"/>
        <w:snapToGrid w:val="0"/>
        <w:spacing w:line="312" w:lineRule="auto"/>
        <w:jc w:val="both"/>
        <w:rPr>
          <w:rFonts w:ascii="宋体" w:hAnsi="宋体" w:cs="仿宋"/>
          <w:sz w:val="24"/>
        </w:rPr>
      </w:pPr>
      <w:r>
        <w:rPr>
          <w:rFonts w:hint="eastAsia" w:ascii="宋体" w:hAnsi="宋体" w:cs="仿宋"/>
          <w:sz w:val="24"/>
        </w:rPr>
        <w:t>3.7.2响应文件应用不褪色的的材料书写或打印。</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响应函应由供应商的法定代表人(单位负责人)或其授权的代理人签字并加盖单位章。联合体协议书(如有)应由联合体各方的法定代表人(单位负责人)或其授权的代理人签字并加盖单位章。</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响应函或联合体协议书(如有)由代理人签字的，应在响应文件中附授权委托书，授权委托书应由供应商或联合体各方的法定代表人(单位负责人)签字并加盖单位章。</w:t>
      </w:r>
    </w:p>
    <w:p>
      <w:pPr>
        <w:adjustRightInd w:val="0"/>
        <w:snapToGrid w:val="0"/>
        <w:spacing w:line="312" w:lineRule="auto"/>
        <w:jc w:val="both"/>
        <w:rPr>
          <w:rFonts w:ascii="宋体" w:hAnsi="宋体" w:cs="仿宋"/>
          <w:sz w:val="24"/>
        </w:rPr>
      </w:pPr>
      <w:r>
        <w:rPr>
          <w:rFonts w:hint="eastAsia" w:ascii="宋体" w:hAnsi="宋体" w:cs="仿宋"/>
          <w:sz w:val="24"/>
        </w:rPr>
        <w:t>3.7.3评审过程中供应商对响应文件的澄清、说明和补正应由供应商的法定代表人(单位负责人)或其授权的代理人签字或加盖单位章。</w:t>
      </w:r>
    </w:p>
    <w:p>
      <w:pPr>
        <w:adjustRightInd w:val="0"/>
        <w:snapToGrid w:val="0"/>
        <w:spacing w:line="312" w:lineRule="auto"/>
        <w:jc w:val="both"/>
        <w:rPr>
          <w:rFonts w:ascii="宋体" w:hAnsi="宋体" w:cs="仿宋"/>
          <w:sz w:val="24"/>
        </w:rPr>
      </w:pPr>
      <w:r>
        <w:rPr>
          <w:rFonts w:hint="eastAsia" w:ascii="宋体" w:hAnsi="宋体" w:cs="仿宋"/>
          <w:sz w:val="24"/>
        </w:rPr>
        <w:t>3.7.4响应文件应尽量避免涂改、行间插字或删除。如果出现上述情况，改动之处应由供应商的法定代表人(单位负责人)或其授权的代理人签字或加盖单位章。</w:t>
      </w:r>
    </w:p>
    <w:p>
      <w:pPr>
        <w:adjustRightInd w:val="0"/>
        <w:snapToGrid w:val="0"/>
        <w:spacing w:line="312" w:lineRule="auto"/>
        <w:jc w:val="both"/>
        <w:rPr>
          <w:rFonts w:ascii="宋体" w:hAnsi="宋体" w:cs="仿宋"/>
          <w:sz w:val="24"/>
        </w:rPr>
      </w:pPr>
      <w:r>
        <w:rPr>
          <w:rFonts w:ascii="宋体" w:hAnsi="宋体" w:cs="仿宋"/>
          <w:sz w:val="24"/>
        </w:rPr>
        <w:t>3.7.5响应文件正本一份，副本份数见供应商须知前附表。正本和副本的封面右上角应清楚地标记“正本”或“副本”的字样。供应商应根据供应商须知前附表要求提供电子版文件。当副本和正本不致，或电子版文件和纸质正本文件不一致时，以纸质正本文件为准。</w:t>
      </w:r>
    </w:p>
    <w:p>
      <w:pPr>
        <w:adjustRightInd w:val="0"/>
        <w:snapToGrid w:val="0"/>
        <w:spacing w:line="312" w:lineRule="auto"/>
        <w:jc w:val="both"/>
        <w:rPr>
          <w:rFonts w:ascii="宋体" w:hAnsi="宋体" w:cs="仿宋"/>
          <w:sz w:val="24"/>
        </w:rPr>
      </w:pPr>
      <w:r>
        <w:rPr>
          <w:rFonts w:ascii="宋体" w:hAnsi="宋体" w:cs="仿宋"/>
          <w:sz w:val="24"/>
        </w:rPr>
        <w:t>3.7.6响应文件的正本与副本应分别装订，并编制目录。响应文件需分册装订的，具体分册装订要求见供应商须知前附表规定。</w:t>
      </w:r>
    </w:p>
    <w:p>
      <w:pPr>
        <w:adjustRightInd w:val="0"/>
        <w:snapToGrid w:val="0"/>
        <w:spacing w:line="312" w:lineRule="auto"/>
        <w:jc w:val="both"/>
        <w:rPr>
          <w:rFonts w:ascii="宋体" w:hAnsi="宋体" w:cs="仿宋"/>
          <w:b/>
          <w:bCs/>
          <w:sz w:val="24"/>
        </w:rPr>
      </w:pPr>
      <w:r>
        <w:rPr>
          <w:rFonts w:hint="eastAsia" w:ascii="宋体" w:hAnsi="宋体" w:cs="仿宋"/>
          <w:b/>
          <w:bCs/>
          <w:sz w:val="24"/>
        </w:rPr>
        <w:t>4响应文件的递交</w:t>
      </w:r>
    </w:p>
    <w:p>
      <w:pPr>
        <w:adjustRightInd w:val="0"/>
        <w:snapToGrid w:val="0"/>
        <w:spacing w:line="312" w:lineRule="auto"/>
        <w:jc w:val="both"/>
        <w:rPr>
          <w:rFonts w:ascii="宋体" w:hAnsi="宋体" w:cs="仿宋"/>
          <w:b/>
          <w:bCs/>
          <w:sz w:val="24"/>
        </w:rPr>
      </w:pPr>
      <w:r>
        <w:rPr>
          <w:rFonts w:ascii="宋体" w:hAnsi="宋体" w:cs="仿宋"/>
          <w:b/>
          <w:bCs/>
          <w:sz w:val="24"/>
        </w:rPr>
        <w:t>4.1响应文件的包装与标记</w:t>
      </w:r>
    </w:p>
    <w:p>
      <w:pPr>
        <w:adjustRightInd w:val="0"/>
        <w:snapToGrid w:val="0"/>
        <w:spacing w:line="312" w:lineRule="auto"/>
        <w:jc w:val="both"/>
        <w:rPr>
          <w:rFonts w:ascii="宋体" w:hAnsi="宋体" w:cs="仿宋"/>
          <w:sz w:val="24"/>
        </w:rPr>
      </w:pPr>
      <w:r>
        <w:rPr>
          <w:rFonts w:ascii="宋体" w:hAnsi="宋体" w:cs="仿宋"/>
          <w:sz w:val="24"/>
        </w:rPr>
        <w:t>4.1.1响应文件应安善包装。供应商须知前附表规定响应文件应密封的，响应文件应按要求密封。</w:t>
      </w:r>
    </w:p>
    <w:p>
      <w:pPr>
        <w:adjustRightInd w:val="0"/>
        <w:snapToGrid w:val="0"/>
        <w:spacing w:line="312" w:lineRule="auto"/>
        <w:jc w:val="both"/>
        <w:rPr>
          <w:rFonts w:ascii="宋体" w:hAnsi="宋体" w:cs="仿宋"/>
          <w:sz w:val="24"/>
        </w:rPr>
      </w:pPr>
      <w:r>
        <w:rPr>
          <w:rFonts w:ascii="宋体" w:hAnsi="宋体" w:cs="仿宋"/>
          <w:sz w:val="24"/>
        </w:rPr>
        <w:t>4.1.2响应文件封套上应载明的内容见供应商须知前附表。</w:t>
      </w:r>
    </w:p>
    <w:p>
      <w:pPr>
        <w:adjustRightInd w:val="0"/>
        <w:snapToGrid w:val="0"/>
        <w:spacing w:line="312" w:lineRule="auto"/>
        <w:jc w:val="both"/>
        <w:rPr>
          <w:rFonts w:ascii="宋体" w:hAnsi="宋体" w:cs="仿宋"/>
          <w:b/>
          <w:bCs/>
          <w:sz w:val="24"/>
        </w:rPr>
      </w:pPr>
      <w:r>
        <w:rPr>
          <w:rFonts w:hint="eastAsia" w:ascii="宋体" w:hAnsi="宋体" w:cs="仿宋"/>
          <w:b/>
          <w:bCs/>
          <w:sz w:val="24"/>
        </w:rPr>
        <w:t>4.2响应文件的递交</w:t>
      </w:r>
    </w:p>
    <w:p>
      <w:pPr>
        <w:adjustRightInd w:val="0"/>
        <w:snapToGrid w:val="0"/>
        <w:spacing w:line="312" w:lineRule="auto"/>
        <w:jc w:val="both"/>
        <w:rPr>
          <w:rFonts w:ascii="宋体" w:hAnsi="宋体" w:cs="仿宋"/>
          <w:sz w:val="24"/>
        </w:rPr>
      </w:pPr>
      <w:r>
        <w:rPr>
          <w:rFonts w:hint="eastAsia" w:ascii="宋体" w:hAnsi="宋体" w:cs="仿宋"/>
          <w:sz w:val="24"/>
        </w:rPr>
        <w:t>4.2.1供应商应在供应商须知前附表规定的递交响应文件的截止时间前，将响应文件递交到供应商须知前附表规定的地点。逾期送达的或者未送达指定地点的响应文件，采购人将拒绝接收。采购人收到响应文件后，向供应商出具接收凭证。</w:t>
      </w:r>
    </w:p>
    <w:p>
      <w:pPr>
        <w:adjustRightInd w:val="0"/>
        <w:snapToGrid w:val="0"/>
        <w:spacing w:line="312" w:lineRule="auto"/>
        <w:jc w:val="both"/>
        <w:rPr>
          <w:rFonts w:ascii="宋体" w:hAnsi="宋体" w:cs="仿宋"/>
          <w:sz w:val="24"/>
        </w:rPr>
      </w:pPr>
      <w:r>
        <w:rPr>
          <w:rFonts w:hint="eastAsia" w:ascii="宋体" w:hAnsi="宋体" w:cs="仿宋"/>
          <w:sz w:val="24"/>
        </w:rPr>
        <w:t>4.2.2除供应商须知前附表另有规定外，供应商所提交的响应文件不于退还。</w:t>
      </w:r>
    </w:p>
    <w:p>
      <w:pPr>
        <w:adjustRightInd w:val="0"/>
        <w:snapToGrid w:val="0"/>
        <w:spacing w:line="312" w:lineRule="auto"/>
        <w:jc w:val="both"/>
        <w:rPr>
          <w:rFonts w:ascii="宋体" w:hAnsi="宋体" w:cs="仿宋"/>
          <w:b/>
          <w:bCs/>
          <w:sz w:val="24"/>
        </w:rPr>
      </w:pPr>
      <w:r>
        <w:rPr>
          <w:rFonts w:hint="eastAsia" w:ascii="宋体" w:hAnsi="宋体" w:cs="仿宋"/>
          <w:b/>
          <w:bCs/>
          <w:sz w:val="24"/>
        </w:rPr>
        <w:t>4.3响应文件的修改与撤回</w:t>
      </w:r>
    </w:p>
    <w:p>
      <w:pPr>
        <w:adjustRightInd w:val="0"/>
        <w:snapToGrid w:val="0"/>
        <w:spacing w:line="312" w:lineRule="auto"/>
        <w:jc w:val="both"/>
        <w:rPr>
          <w:rFonts w:ascii="宋体" w:hAnsi="宋体" w:cs="仿宋"/>
          <w:sz w:val="24"/>
        </w:rPr>
      </w:pPr>
      <w:r>
        <w:rPr>
          <w:rFonts w:hint="eastAsia" w:ascii="宋体" w:hAnsi="宋体" w:cs="仿宋"/>
          <w:sz w:val="24"/>
        </w:rPr>
        <w:t>4.3.1在本章第4.2.1项规定的递交响应文件的截止时间前，供应商可以修改或撤回已递交的响应文件。</w:t>
      </w:r>
    </w:p>
    <w:p>
      <w:pPr>
        <w:adjustRightInd w:val="0"/>
        <w:snapToGrid w:val="0"/>
        <w:spacing w:line="312" w:lineRule="auto"/>
        <w:jc w:val="both"/>
        <w:rPr>
          <w:rFonts w:ascii="宋体" w:hAnsi="宋体" w:cs="仿宋"/>
          <w:sz w:val="24"/>
        </w:rPr>
      </w:pPr>
      <w:r>
        <w:rPr>
          <w:rFonts w:hint="eastAsia" w:ascii="宋体" w:hAnsi="宋体" w:cs="仿宋"/>
          <w:sz w:val="24"/>
        </w:rPr>
        <w:t>4.3.2</w:t>
      </w:r>
      <w:r>
        <w:rPr>
          <w:rFonts w:ascii="宋体" w:hAnsi="宋体" w:cs="仿宋"/>
          <w:sz w:val="24"/>
        </w:rPr>
        <w:t>响应文件的修改文件或供应商</w:t>
      </w:r>
      <w:r>
        <w:rPr>
          <w:rFonts w:hint="eastAsia" w:ascii="宋体" w:hAnsi="宋体" w:cs="仿宋"/>
          <w:sz w:val="24"/>
        </w:rPr>
        <w:t>撤</w:t>
      </w:r>
      <w:r>
        <w:rPr>
          <w:rFonts w:ascii="宋体" w:hAnsi="宋体" w:cs="仿宋"/>
          <w:sz w:val="24"/>
        </w:rPr>
        <w:t>回已递交响应文件的书面通知应由供应商的法定代表人(单位负责人)或其授权的代理人签字并加盖单位章。采购人收到供应商修改响应文件的书面文件后，向供应商出具接收凭证;采购人收到供应商撤回响应文件的书面通知后，退回供应商的响应文件。</w:t>
      </w:r>
    </w:p>
    <w:p>
      <w:pPr>
        <w:adjustRightInd w:val="0"/>
        <w:snapToGrid w:val="0"/>
        <w:spacing w:line="312" w:lineRule="auto"/>
        <w:jc w:val="both"/>
        <w:rPr>
          <w:rFonts w:ascii="宋体" w:hAnsi="宋体" w:cs="仿宋"/>
          <w:sz w:val="24"/>
        </w:rPr>
      </w:pPr>
      <w:r>
        <w:rPr>
          <w:rFonts w:hint="eastAsia" w:ascii="宋体" w:hAnsi="宋体" w:cs="仿宋"/>
          <w:sz w:val="24"/>
        </w:rPr>
        <w:t>4.3.3除供应商须知前附表另有规定外，供应商撤回响应文件的，采购人应在5日内退还已收取的响应保证金。</w:t>
      </w:r>
    </w:p>
    <w:p>
      <w:pPr>
        <w:adjustRightInd w:val="0"/>
        <w:snapToGrid w:val="0"/>
        <w:spacing w:line="312" w:lineRule="auto"/>
        <w:jc w:val="both"/>
        <w:rPr>
          <w:rFonts w:ascii="宋体" w:hAnsi="宋体" w:cs="仿宋"/>
          <w:sz w:val="24"/>
        </w:rPr>
      </w:pPr>
      <w:r>
        <w:rPr>
          <w:rFonts w:hint="eastAsia" w:ascii="宋体" w:hAnsi="宋体" w:cs="仿宋"/>
          <w:sz w:val="24"/>
        </w:rPr>
        <w:t>4.3.4修改的内容为响应文件的组成部分。响应文件的修改文件应按照本章第3条、第4条的规定进行编制、包装、标记和递交，并注明“修改”字样。</w:t>
      </w:r>
    </w:p>
    <w:p>
      <w:pPr>
        <w:adjustRightInd w:val="0"/>
        <w:snapToGrid w:val="0"/>
        <w:spacing w:line="312" w:lineRule="auto"/>
        <w:jc w:val="both"/>
        <w:rPr>
          <w:rFonts w:ascii="宋体" w:hAnsi="宋体" w:cs="仿宋"/>
          <w:b/>
          <w:bCs/>
          <w:sz w:val="24"/>
        </w:rPr>
      </w:pPr>
      <w:r>
        <w:rPr>
          <w:rFonts w:hint="eastAsia" w:ascii="宋体" w:hAnsi="宋体" w:cs="仿宋"/>
          <w:b/>
          <w:bCs/>
          <w:sz w:val="24"/>
        </w:rPr>
        <w:t>5开启响应文件</w:t>
      </w:r>
    </w:p>
    <w:p>
      <w:pPr>
        <w:adjustRightInd w:val="0"/>
        <w:snapToGrid w:val="0"/>
        <w:spacing w:line="312" w:lineRule="auto"/>
        <w:ind w:firstLine="455" w:firstLineChars="189"/>
        <w:jc w:val="both"/>
        <w:rPr>
          <w:rFonts w:ascii="宋体" w:hAnsi="宋体" w:cs="仿宋"/>
          <w:sz w:val="24"/>
        </w:rPr>
      </w:pPr>
      <w:r>
        <w:rPr>
          <w:rFonts w:hint="eastAsia" w:ascii="宋体" w:hAnsi="宋体" w:cs="仿宋"/>
          <w:b/>
          <w:sz w:val="24"/>
        </w:rPr>
        <w:t>采购人一般不公开开启响应文件。如</w:t>
      </w:r>
      <w:r>
        <w:rPr>
          <w:rFonts w:hint="eastAsia" w:ascii="宋体" w:hAnsi="宋体" w:cs="仿宋"/>
          <w:sz w:val="24"/>
        </w:rPr>
        <w:t>供应商须知前附表规定公开开启响应文件的，开启活动应按本条规定执行。</w:t>
      </w:r>
    </w:p>
    <w:p>
      <w:pPr>
        <w:adjustRightInd w:val="0"/>
        <w:snapToGrid w:val="0"/>
        <w:spacing w:line="312" w:lineRule="auto"/>
        <w:jc w:val="both"/>
        <w:rPr>
          <w:rFonts w:ascii="宋体" w:hAnsi="宋体" w:cs="仿宋"/>
          <w:b/>
          <w:bCs/>
          <w:sz w:val="24"/>
        </w:rPr>
      </w:pPr>
      <w:r>
        <w:rPr>
          <w:rFonts w:hint="eastAsia" w:ascii="宋体" w:hAnsi="宋体" w:cs="仿宋"/>
          <w:b/>
          <w:bCs/>
          <w:sz w:val="24"/>
        </w:rPr>
        <w:t>5.1开启响应文件的时间和地点</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采购人在本章第4.2.1项规定的递交响应文件的截止时间和地点公开开启响应文件，并邀请所有供应商的法定代表人(单位负责人)或其授权的代理人参加开启会议，供应商未派代表参加的，视为默认开启结果。</w:t>
      </w:r>
    </w:p>
    <w:p>
      <w:pPr>
        <w:adjustRightInd w:val="0"/>
        <w:snapToGrid w:val="0"/>
        <w:spacing w:line="312" w:lineRule="auto"/>
        <w:jc w:val="both"/>
        <w:rPr>
          <w:rFonts w:ascii="宋体" w:hAnsi="宋体" w:cs="仿宋"/>
          <w:b/>
          <w:bCs/>
          <w:sz w:val="24"/>
        </w:rPr>
      </w:pPr>
      <w:r>
        <w:rPr>
          <w:rFonts w:hint="eastAsia" w:ascii="宋体" w:hAnsi="宋体" w:cs="仿宋"/>
          <w:b/>
          <w:bCs/>
          <w:sz w:val="24"/>
        </w:rPr>
        <w:t>5.2开启程序</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主持人按下列程序公开开启响应文件:</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(1)按照供应商须知前附表规定的开启顺序开启响应文件，公布递交响应文件的供应商名称、响应报价及供应商须知前附表规定的其他应公布的信息，并记录在案;</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(2)开启会议结束。</w:t>
      </w:r>
      <w:r>
        <w:rPr>
          <w:rFonts w:hint="eastAsia" w:ascii="宋体" w:hAnsi="宋体" w:cs="仿宋"/>
          <w:sz w:val="24"/>
        </w:rPr>
        <w:br w:type="textWrapping"/>
      </w:r>
      <w:r>
        <w:rPr>
          <w:rFonts w:hint="eastAsia" w:ascii="宋体" w:hAnsi="宋体" w:cs="仿宋"/>
          <w:b/>
          <w:bCs/>
          <w:sz w:val="24"/>
        </w:rPr>
        <w:t>5.3递交响应文件的供应商不足的情形</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递交响应文件的供应商数量不足三家时，应终止采购并重新组织采购。重新采购递交响应文件的供应商不少于两家时，可开启响应文件并组织评审；重新采购递交响应文件的供应商只有一家时，经审批同意后可以采取单一来源采购方式。</w:t>
      </w:r>
    </w:p>
    <w:p>
      <w:pPr>
        <w:adjustRightInd w:val="0"/>
        <w:snapToGrid w:val="0"/>
        <w:spacing w:line="312" w:lineRule="auto"/>
        <w:jc w:val="both"/>
        <w:rPr>
          <w:rFonts w:ascii="宋体" w:hAnsi="宋体" w:cs="仿宋"/>
          <w:b/>
          <w:bCs/>
          <w:sz w:val="24"/>
        </w:rPr>
      </w:pPr>
      <w:r>
        <w:rPr>
          <w:rFonts w:hint="eastAsia" w:ascii="宋体" w:hAnsi="宋体" w:cs="仿宋"/>
          <w:b/>
          <w:bCs/>
          <w:sz w:val="24"/>
        </w:rPr>
        <w:t>6评审</w:t>
      </w:r>
    </w:p>
    <w:p>
      <w:pPr>
        <w:adjustRightInd w:val="0"/>
        <w:snapToGrid w:val="0"/>
        <w:spacing w:line="312" w:lineRule="auto"/>
        <w:jc w:val="both"/>
        <w:rPr>
          <w:rFonts w:ascii="宋体" w:hAnsi="宋体" w:cs="仿宋"/>
          <w:b/>
          <w:bCs/>
          <w:sz w:val="24"/>
        </w:rPr>
      </w:pPr>
      <w:r>
        <w:rPr>
          <w:rFonts w:hint="eastAsia" w:ascii="宋体" w:hAnsi="宋体" w:cs="仿宋"/>
          <w:b/>
          <w:bCs/>
          <w:sz w:val="24"/>
        </w:rPr>
        <w:t>6.1评审小组</w:t>
      </w:r>
    </w:p>
    <w:p>
      <w:pPr>
        <w:adjustRightInd w:val="0"/>
        <w:snapToGrid w:val="0"/>
        <w:spacing w:line="312" w:lineRule="auto"/>
        <w:jc w:val="both"/>
        <w:rPr>
          <w:rFonts w:ascii="宋体" w:hAnsi="宋体" w:cs="仿宋"/>
          <w:sz w:val="24"/>
        </w:rPr>
      </w:pPr>
      <w:r>
        <w:rPr>
          <w:rFonts w:hint="eastAsia" w:ascii="宋体" w:hAnsi="宋体" w:cs="仿宋"/>
          <w:sz w:val="24"/>
        </w:rPr>
        <w:t>6.1.1评审由采购人组建的评审小组负责。</w:t>
      </w:r>
    </w:p>
    <w:p>
      <w:pPr>
        <w:adjustRightInd w:val="0"/>
        <w:snapToGrid w:val="0"/>
        <w:spacing w:line="312" w:lineRule="auto"/>
        <w:jc w:val="both"/>
        <w:rPr>
          <w:rFonts w:ascii="宋体" w:hAnsi="宋体" w:cs="仿宋"/>
          <w:sz w:val="24"/>
        </w:rPr>
      </w:pPr>
      <w:r>
        <w:rPr>
          <w:rFonts w:hint="eastAsia" w:ascii="宋体" w:hAnsi="宋体" w:cs="仿宋"/>
          <w:sz w:val="24"/>
        </w:rPr>
        <w:t>6.1.2评审小组成员有下列情形之的，应当回避:</w:t>
      </w:r>
    </w:p>
    <w:p>
      <w:pPr>
        <w:adjustRightInd w:val="0"/>
        <w:snapToGrid w:val="0"/>
        <w:spacing w:line="312" w:lineRule="auto"/>
        <w:ind w:left="716" w:leftChars="284" w:hanging="120" w:hangingChars="50"/>
        <w:jc w:val="both"/>
        <w:rPr>
          <w:rFonts w:ascii="宋体" w:hAnsi="宋体" w:cs="仿宋"/>
          <w:sz w:val="24"/>
        </w:rPr>
      </w:pPr>
      <w:r>
        <w:rPr>
          <w:rFonts w:hint="eastAsia" w:ascii="宋体" w:hAnsi="宋体" w:cs="仿宋"/>
          <w:sz w:val="24"/>
        </w:rPr>
        <w:t>（1）供应商主要负责人或供应商主要负责人的近亲属;</w:t>
      </w:r>
      <w:r>
        <w:rPr>
          <w:rFonts w:hint="eastAsia" w:ascii="宋体" w:hAnsi="宋体" w:cs="仿宋"/>
          <w:sz w:val="24"/>
        </w:rPr>
        <w:br w:type="textWrapping"/>
      </w:r>
      <w:r>
        <w:rPr>
          <w:rFonts w:hint="eastAsia" w:ascii="宋体" w:hAnsi="宋体" w:cs="仿宋"/>
          <w:sz w:val="24"/>
        </w:rPr>
        <w:t>(2)与供应商有经济利益关系或其他利害关系，可能影响公正评审的。</w:t>
      </w:r>
    </w:p>
    <w:p>
      <w:pPr>
        <w:adjustRightInd w:val="0"/>
        <w:snapToGrid w:val="0"/>
        <w:spacing w:line="312" w:lineRule="auto"/>
        <w:jc w:val="both"/>
        <w:rPr>
          <w:rFonts w:ascii="宋体" w:hAnsi="宋体" w:cs="仿宋"/>
          <w:sz w:val="24"/>
        </w:rPr>
      </w:pPr>
      <w:r>
        <w:rPr>
          <w:rFonts w:hint="eastAsia" w:ascii="宋体" w:hAnsi="宋体" w:cs="仿宋"/>
          <w:sz w:val="24"/>
        </w:rPr>
        <w:t>6.1.3评审小组组建后，评审小组成员共同推选或或由采购人指定评审小组组长，评审小组组长负责组织评审工作。</w:t>
      </w:r>
    </w:p>
    <w:p>
      <w:pPr>
        <w:adjustRightInd w:val="0"/>
        <w:snapToGrid w:val="0"/>
        <w:spacing w:line="312" w:lineRule="auto"/>
        <w:jc w:val="both"/>
        <w:rPr>
          <w:rFonts w:ascii="宋体" w:hAnsi="宋体" w:cs="仿宋"/>
          <w:sz w:val="24"/>
        </w:rPr>
      </w:pPr>
      <w:r>
        <w:rPr>
          <w:rFonts w:hint="eastAsia" w:ascii="宋体" w:hAnsi="宋体" w:cs="仿宋"/>
          <w:sz w:val="24"/>
        </w:rPr>
        <w:t>6.1.4在评审过程中，评审小组成员对需要共同认定的事项存在争议的，将按照少数服从多数的原则作出结论。持不同意见的评审小组成员应当在评审报告上签署不同意见及理由，否则视为同意评审报告。</w:t>
      </w:r>
    </w:p>
    <w:p>
      <w:pPr>
        <w:adjustRightInd w:val="0"/>
        <w:snapToGrid w:val="0"/>
        <w:spacing w:line="312" w:lineRule="auto"/>
        <w:jc w:val="both"/>
        <w:rPr>
          <w:rFonts w:ascii="宋体" w:hAnsi="宋体" w:cs="仿宋"/>
          <w:b/>
          <w:bCs/>
          <w:sz w:val="24"/>
        </w:rPr>
      </w:pPr>
      <w:r>
        <w:rPr>
          <w:rFonts w:hint="eastAsia" w:ascii="宋体" w:hAnsi="宋体" w:cs="仿宋"/>
          <w:b/>
          <w:bCs/>
          <w:sz w:val="24"/>
        </w:rPr>
        <w:t>6.2评审</w:t>
      </w:r>
    </w:p>
    <w:p>
      <w:pPr>
        <w:adjustRightInd w:val="0"/>
        <w:snapToGrid w:val="0"/>
        <w:spacing w:line="312" w:lineRule="auto"/>
        <w:jc w:val="both"/>
        <w:rPr>
          <w:rFonts w:ascii="宋体" w:hAnsi="宋体" w:cs="仿宋"/>
          <w:sz w:val="24"/>
        </w:rPr>
      </w:pPr>
      <w:r>
        <w:rPr>
          <w:rFonts w:hint="eastAsia" w:ascii="宋体" w:hAnsi="宋体" w:cs="仿宋"/>
          <w:sz w:val="24"/>
        </w:rPr>
        <w:t>6.2.1评审小组按照第三章“评审办法”规定的评审标准和程序对响应文件进行评审和比较。</w:t>
      </w:r>
    </w:p>
    <w:p>
      <w:pPr>
        <w:adjustRightInd w:val="0"/>
        <w:snapToGrid w:val="0"/>
        <w:spacing w:line="312" w:lineRule="auto"/>
        <w:jc w:val="both"/>
        <w:rPr>
          <w:rFonts w:ascii="宋体" w:hAnsi="宋体" w:cs="仿宋"/>
          <w:color w:val="000000" w:themeColor="text1"/>
          <w:sz w:val="24"/>
          <w14:textFill>
            <w14:solidFill>
              <w14:schemeClr w14:val="tx1"/>
            </w14:solidFill>
          </w14:textFill>
        </w:rPr>
      </w:pPr>
      <w:r>
        <w:rPr>
          <w:rFonts w:hint="eastAsia" w:ascii="宋体" w:hAnsi="宋体" w:cs="仿宋"/>
          <w:sz w:val="24"/>
        </w:rPr>
        <w:t>6.2.2评审完成后，评审小组应当向采购人提交书面评审报告和成交候选供应商名单。评审小组推荐成交候选供应商的排序要求及数量见供应商须知前附表。</w:t>
      </w:r>
    </w:p>
    <w:p>
      <w:pPr>
        <w:adjustRightInd w:val="0"/>
        <w:snapToGrid w:val="0"/>
        <w:spacing w:line="312" w:lineRule="auto"/>
        <w:jc w:val="both"/>
        <w:rPr>
          <w:rFonts w:ascii="宋体" w:hAnsi="宋体" w:cs="仿宋"/>
          <w:b/>
          <w:bCs/>
          <w:sz w:val="24"/>
        </w:rPr>
      </w:pPr>
      <w:r>
        <w:rPr>
          <w:rFonts w:hint="eastAsia" w:ascii="宋体" w:hAnsi="宋体" w:cs="仿宋"/>
          <w:b/>
          <w:bCs/>
          <w:sz w:val="24"/>
        </w:rPr>
        <w:t>7合同授予</w:t>
      </w:r>
    </w:p>
    <w:p>
      <w:pPr>
        <w:adjustRightInd w:val="0"/>
        <w:snapToGrid w:val="0"/>
        <w:spacing w:line="312" w:lineRule="auto"/>
        <w:jc w:val="both"/>
        <w:rPr>
          <w:rFonts w:ascii="宋体" w:hAnsi="宋体" w:cs="仿宋"/>
          <w:b/>
          <w:bCs/>
          <w:sz w:val="24"/>
        </w:rPr>
      </w:pPr>
      <w:r>
        <w:rPr>
          <w:rFonts w:hint="eastAsia" w:ascii="宋体" w:hAnsi="宋体" w:cs="仿宋"/>
          <w:b/>
          <w:bCs/>
          <w:sz w:val="24"/>
        </w:rPr>
        <w:t>7.1成交候选供应商报价核查</w:t>
      </w:r>
    </w:p>
    <w:p>
      <w:pPr>
        <w:widowControl w:val="0"/>
        <w:adjustRightInd w:val="0"/>
        <w:snapToGrid w:val="0"/>
        <w:spacing w:line="312" w:lineRule="auto"/>
        <w:ind w:firstLine="475" w:firstLineChars="198"/>
        <w:jc w:val="both"/>
        <w:rPr>
          <w:rFonts w:ascii="宋体" w:hAnsi="宋体" w:cs="仿宋"/>
          <w:sz w:val="24"/>
        </w:rPr>
      </w:pPr>
      <w:r>
        <w:rPr>
          <w:rFonts w:hint="eastAsia" w:ascii="宋体" w:hAnsi="宋体" w:cs="仿宋"/>
          <w:sz w:val="24"/>
        </w:rPr>
        <w:t>项目评审后，如果采购人认为推荐的成交候选供应商报价明显偏离市场价格时，采购人可以对该报价进行验证，验证后，对明显偏离市场价格的报价不予接受。</w:t>
      </w:r>
    </w:p>
    <w:p>
      <w:pPr>
        <w:widowControl w:val="0"/>
        <w:adjustRightInd w:val="0"/>
        <w:snapToGrid w:val="0"/>
        <w:spacing w:line="312" w:lineRule="auto"/>
        <w:jc w:val="both"/>
        <w:rPr>
          <w:rFonts w:ascii="宋体" w:hAnsi="宋体" w:cs="宋体"/>
          <w:b/>
          <w:bCs/>
          <w:sz w:val="24"/>
        </w:rPr>
      </w:pPr>
      <w:r>
        <w:rPr>
          <w:rFonts w:hint="eastAsia" w:ascii="宋体" w:hAnsi="宋体" w:cs="仿宋"/>
          <w:b/>
          <w:bCs/>
          <w:sz w:val="24"/>
        </w:rPr>
        <w:t>7.2</w:t>
      </w:r>
      <w:r>
        <w:rPr>
          <w:rFonts w:hint="eastAsia" w:ascii="宋体" w:hAnsi="宋体" w:cs="宋体"/>
          <w:b/>
          <w:bCs/>
          <w:sz w:val="24"/>
        </w:rPr>
        <w:t>成交候选</w:t>
      </w:r>
      <w:r>
        <w:rPr>
          <w:rFonts w:hint="eastAsia" w:ascii="宋体" w:hAnsi="宋体" w:cs="仿宋"/>
          <w:b/>
          <w:bCs/>
          <w:sz w:val="24"/>
        </w:rPr>
        <w:t>供应商</w:t>
      </w:r>
      <w:r>
        <w:rPr>
          <w:rFonts w:hint="eastAsia" w:ascii="宋体" w:hAnsi="宋体" w:cs="宋体"/>
          <w:b/>
          <w:bCs/>
          <w:sz w:val="24"/>
        </w:rPr>
        <w:t xml:space="preserve">公示 </w:t>
      </w:r>
    </w:p>
    <w:p>
      <w:pPr>
        <w:widowControl w:val="0"/>
        <w:adjustRightInd w:val="0"/>
        <w:snapToGrid w:val="0"/>
        <w:spacing w:line="312" w:lineRule="auto"/>
        <w:ind w:firstLine="480" w:firstLineChars="200"/>
        <w:jc w:val="both"/>
        <w:rPr>
          <w:rFonts w:ascii="宋体" w:hAnsi="宋体" w:cs="宋体"/>
          <w:sz w:val="24"/>
        </w:rPr>
      </w:pPr>
      <w:r>
        <w:rPr>
          <w:rFonts w:hint="eastAsia" w:ascii="宋体" w:hAnsi="宋体" w:cs="宋体"/>
          <w:sz w:val="24"/>
        </w:rPr>
        <w:t>采购人按照供应商须知前附表规定的公示媒介和期限公示成交候选供应商。</w:t>
      </w:r>
    </w:p>
    <w:p>
      <w:pPr>
        <w:widowControl w:val="0"/>
        <w:adjustRightInd w:val="0"/>
        <w:snapToGrid w:val="0"/>
        <w:spacing w:line="312" w:lineRule="auto"/>
        <w:jc w:val="both"/>
        <w:rPr>
          <w:rFonts w:ascii="宋体" w:hAnsi="宋体" w:cs="宋体"/>
          <w:b/>
          <w:bCs/>
          <w:sz w:val="24"/>
        </w:rPr>
      </w:pPr>
      <w:bookmarkStart w:id="18" w:name="_Toc24135"/>
      <w:r>
        <w:rPr>
          <w:rFonts w:hint="eastAsia" w:ascii="宋体" w:hAnsi="宋体" w:cs="宋体"/>
          <w:b/>
          <w:bCs/>
          <w:sz w:val="24"/>
        </w:rPr>
        <w:t>7.3成交结果异议</w:t>
      </w:r>
      <w:bookmarkEnd w:id="18"/>
      <w:r>
        <w:rPr>
          <w:rFonts w:hint="eastAsia" w:ascii="宋体" w:hAnsi="宋体" w:cs="宋体"/>
          <w:b/>
          <w:bCs/>
          <w:sz w:val="24"/>
        </w:rPr>
        <w:t xml:space="preserve"> </w:t>
      </w:r>
    </w:p>
    <w:p>
      <w:pPr>
        <w:adjustRightInd w:val="0"/>
        <w:snapToGrid w:val="0"/>
        <w:spacing w:line="312" w:lineRule="auto"/>
        <w:ind w:firstLine="424" w:firstLineChars="177"/>
        <w:jc w:val="both"/>
        <w:rPr>
          <w:rFonts w:ascii="宋体" w:hAnsi="宋体" w:cs="宋体"/>
          <w:sz w:val="24"/>
        </w:rPr>
      </w:pPr>
      <w:r>
        <w:rPr>
          <w:rFonts w:hint="eastAsia" w:ascii="宋体" w:hAnsi="宋体" w:cs="宋体"/>
          <w:sz w:val="24"/>
        </w:rPr>
        <w:t>供应商或者其他利害关系人对采购结果有异议的，应当在成交候选供应商公示期间提出。</w:t>
      </w:r>
    </w:p>
    <w:p>
      <w:pPr>
        <w:adjustRightInd w:val="0"/>
        <w:snapToGrid w:val="0"/>
        <w:spacing w:line="312" w:lineRule="auto"/>
        <w:jc w:val="both"/>
        <w:rPr>
          <w:rFonts w:ascii="宋体" w:hAnsi="宋体" w:cs="仿宋"/>
          <w:b/>
          <w:bCs/>
          <w:sz w:val="24"/>
        </w:rPr>
      </w:pPr>
      <w:r>
        <w:rPr>
          <w:rFonts w:hint="eastAsia" w:ascii="宋体" w:hAnsi="宋体" w:cs="仿宋"/>
          <w:b/>
          <w:bCs/>
          <w:sz w:val="24"/>
        </w:rPr>
        <w:t>7.4成交候选供应商履约能力核查</w:t>
      </w:r>
    </w:p>
    <w:p>
      <w:pPr>
        <w:spacing w:line="312" w:lineRule="auto"/>
        <w:ind w:firstLine="453" w:firstLineChars="189"/>
        <w:jc w:val="both"/>
        <w:rPr>
          <w:rFonts w:ascii="宋体" w:hAnsi="宋体" w:cs="仿宋"/>
          <w:sz w:val="24"/>
        </w:rPr>
      </w:pPr>
      <w:r>
        <w:rPr>
          <w:rFonts w:hint="eastAsia" w:ascii="宋体" w:hAnsi="宋体" w:cs="仿宋"/>
          <w:sz w:val="24"/>
        </w:rPr>
        <w:t>采购人可对成交候选供应商的相关证明材料原件进行核验或组织现场考察，以确认成交候选供应商的生产经营、财务等实际状况与响应文件是否一致及是否存在其他可能影响供应商履约能力的情况。核查结果将作为采购人选择确定成交供应商的依据之一。</w:t>
      </w:r>
    </w:p>
    <w:p>
      <w:pPr>
        <w:adjustRightInd w:val="0"/>
        <w:snapToGrid w:val="0"/>
        <w:spacing w:line="312" w:lineRule="auto"/>
        <w:jc w:val="both"/>
        <w:rPr>
          <w:rFonts w:ascii="宋体" w:hAnsi="宋体" w:cs="仿宋"/>
          <w:b/>
          <w:bCs/>
          <w:sz w:val="24"/>
        </w:rPr>
      </w:pPr>
      <w:r>
        <w:rPr>
          <w:rFonts w:hint="eastAsia" w:ascii="宋体" w:hAnsi="宋体" w:cs="仿宋"/>
          <w:b/>
          <w:bCs/>
          <w:sz w:val="24"/>
        </w:rPr>
        <w:t>7.5发出成交通知书</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公示期结束后，在本章第3.3款规定的响应文件有效期内，采购人以书面形式向成交供应商发出成交通知书，并将成交结果书面通知所有提交响应文件的供应商。</w:t>
      </w:r>
    </w:p>
    <w:p>
      <w:pPr>
        <w:adjustRightInd w:val="0"/>
        <w:snapToGrid w:val="0"/>
        <w:spacing w:line="312" w:lineRule="auto"/>
        <w:jc w:val="both"/>
        <w:rPr>
          <w:rFonts w:ascii="宋体" w:hAnsi="宋体" w:cs="仿宋"/>
          <w:b/>
          <w:bCs/>
          <w:sz w:val="24"/>
        </w:rPr>
      </w:pPr>
      <w:r>
        <w:rPr>
          <w:rFonts w:hint="eastAsia" w:ascii="宋体" w:hAnsi="宋体" w:cs="仿宋"/>
          <w:b/>
          <w:bCs/>
          <w:sz w:val="24"/>
        </w:rPr>
        <w:t>7.6履约保证金</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供应商须知前附表规定递交履约保证金的，成交供应商应按供应商须知前附表规定的形式、有效期限和递交时间向采购人递交履约保证金。除供应商须知前附表另有规定外，履约保证金为采购合同金额的</w:t>
      </w:r>
      <w:r>
        <w:rPr>
          <w:rFonts w:ascii="宋体" w:hAnsi="宋体" w:cs="仿宋"/>
          <w:sz w:val="24"/>
        </w:rPr>
        <w:t>10</w:t>
      </w:r>
      <w:r>
        <w:rPr>
          <w:rFonts w:hint="eastAsia" w:ascii="宋体" w:hAnsi="宋体" w:cs="仿宋"/>
          <w:sz w:val="24"/>
        </w:rPr>
        <w:t>%。</w:t>
      </w:r>
    </w:p>
    <w:p>
      <w:pPr>
        <w:adjustRightInd w:val="0"/>
        <w:snapToGrid w:val="0"/>
        <w:spacing w:line="312" w:lineRule="auto"/>
        <w:jc w:val="both"/>
        <w:rPr>
          <w:rFonts w:ascii="宋体" w:hAnsi="宋体" w:cs="仿宋"/>
          <w:b/>
          <w:bCs/>
          <w:sz w:val="24"/>
        </w:rPr>
      </w:pPr>
      <w:r>
        <w:rPr>
          <w:rFonts w:hint="eastAsia" w:ascii="宋体" w:hAnsi="宋体" w:cs="仿宋"/>
          <w:b/>
          <w:bCs/>
          <w:sz w:val="24"/>
        </w:rPr>
        <w:t>7.7签订合同</w:t>
      </w:r>
    </w:p>
    <w:p>
      <w:pPr>
        <w:adjustRightInd w:val="0"/>
        <w:snapToGrid w:val="0"/>
        <w:spacing w:line="312" w:lineRule="auto"/>
        <w:jc w:val="both"/>
        <w:rPr>
          <w:rFonts w:ascii="宋体" w:hAnsi="宋体" w:cs="仿宋"/>
          <w:sz w:val="24"/>
        </w:rPr>
      </w:pPr>
      <w:r>
        <w:rPr>
          <w:rFonts w:hint="eastAsia" w:ascii="宋体" w:hAnsi="宋体" w:cs="仿宋"/>
          <w:sz w:val="24"/>
        </w:rPr>
        <w:t>7.7.1采购人和成交供应商应当在成交通知书规定的期限内，根据采购文件和成交供应商的响应文件订立书面合同。成交供应商无正当理由拒绝签订合同，在签订合同时向采购人提出附加条件，或者不按照采购文件要求递交履约保证金的，采购人取消其成交资格，其响应保证金不予退还；给采购人造成的损失超过响应保证金数额的，成交供应商还应当对超过部分予以赔偿。</w:t>
      </w:r>
    </w:p>
    <w:p>
      <w:pPr>
        <w:adjustRightInd w:val="0"/>
        <w:snapToGrid w:val="0"/>
        <w:spacing w:line="312" w:lineRule="auto"/>
        <w:jc w:val="both"/>
        <w:rPr>
          <w:rFonts w:ascii="宋体" w:hAnsi="宋体" w:cs="仿宋"/>
          <w:sz w:val="24"/>
        </w:rPr>
      </w:pPr>
      <w:r>
        <w:rPr>
          <w:rFonts w:hint="eastAsia" w:ascii="宋体" w:hAnsi="宋体" w:cs="仿宋"/>
          <w:sz w:val="24"/>
        </w:rPr>
        <w:t>7.7.2发出成交通知书后，采购人无正当理由拒绝签订合同，或者在签订合同时向成交供应商提出附加条件的，采购人向成交供应商退还响应保证金；给成交供应商造成损失的，还应当赔偿损失。</w:t>
      </w:r>
    </w:p>
    <w:p>
      <w:pPr>
        <w:adjustRightInd w:val="0"/>
        <w:snapToGrid w:val="0"/>
        <w:spacing w:line="312" w:lineRule="auto"/>
        <w:jc w:val="both"/>
        <w:rPr>
          <w:rFonts w:ascii="宋体" w:hAnsi="宋体" w:cs="仿宋"/>
          <w:sz w:val="24"/>
        </w:rPr>
      </w:pPr>
      <w:r>
        <w:rPr>
          <w:rFonts w:hint="eastAsia" w:ascii="宋体" w:hAnsi="宋体" w:cs="仿宋"/>
          <w:sz w:val="24"/>
        </w:rPr>
        <w:t>7.7.3联合体成交的，联合体各方应当共同与采购人签订合同，就成交项目向采购人承担连带责任。</w:t>
      </w:r>
    </w:p>
    <w:p>
      <w:pPr>
        <w:adjustRightInd w:val="0"/>
        <w:snapToGrid w:val="0"/>
        <w:spacing w:line="312" w:lineRule="auto"/>
        <w:jc w:val="both"/>
        <w:rPr>
          <w:rFonts w:ascii="宋体" w:hAnsi="宋体" w:cs="仿宋"/>
          <w:sz w:val="24"/>
        </w:rPr>
      </w:pPr>
      <w:r>
        <w:rPr>
          <w:rFonts w:hint="eastAsia" w:ascii="宋体" w:hAnsi="宋体" w:cs="仿宋"/>
          <w:sz w:val="24"/>
        </w:rPr>
        <w:t>7.7.4除供应商须知前附表另有规定外，按照第三章“评审办法”第2.2.3项规定对响应报价进行修正后，若修正后的响应报价小于按照第三章“评审办法”第2.2.2项规定确定的评审价格，则签订合同时以修正后的响应报价为准;若修正后的响应报价大于评审价格，则签订合同时以评审价格为准。同时按比例修正相应子目的单价或合价(采购文件不允许调整的费率和金额除外)。</w:t>
      </w:r>
    </w:p>
    <w:p>
      <w:pPr>
        <w:adjustRightInd w:val="0"/>
        <w:snapToGrid w:val="0"/>
        <w:spacing w:line="312" w:lineRule="auto"/>
        <w:jc w:val="both"/>
        <w:rPr>
          <w:rFonts w:ascii="宋体" w:hAnsi="宋体" w:cs="仿宋"/>
          <w:b/>
          <w:bCs/>
          <w:sz w:val="24"/>
        </w:rPr>
      </w:pPr>
      <w:r>
        <w:rPr>
          <w:rFonts w:hint="eastAsia" w:ascii="宋体" w:hAnsi="宋体" w:cs="仿宋"/>
          <w:b/>
          <w:bCs/>
          <w:sz w:val="24"/>
        </w:rPr>
        <w:t>7.</w:t>
      </w:r>
      <w:r>
        <w:rPr>
          <w:rFonts w:ascii="宋体" w:hAnsi="宋体" w:cs="仿宋"/>
          <w:b/>
          <w:bCs/>
          <w:sz w:val="24"/>
        </w:rPr>
        <w:t>8</w:t>
      </w:r>
      <w:r>
        <w:rPr>
          <w:rFonts w:hint="eastAsia" w:ascii="宋体" w:hAnsi="宋体" w:cs="仿宋"/>
          <w:b/>
          <w:bCs/>
          <w:sz w:val="24"/>
        </w:rPr>
        <w:t>特殊情形处理</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因供应商对成交结果提出异议、成交供应商无正当理由拒绝签订合同、成交供应商在签订合同时向采购人提出附加条件或者不按照采购文件要求递交履约保证金等导致采购人变更成交结果的，采购人应按照本条规定的程序重新选择成交供应商、进行公示并公告。</w:t>
      </w:r>
    </w:p>
    <w:p>
      <w:pPr>
        <w:adjustRightInd w:val="0"/>
        <w:snapToGrid w:val="0"/>
        <w:spacing w:line="312" w:lineRule="auto"/>
        <w:jc w:val="both"/>
        <w:rPr>
          <w:rFonts w:ascii="宋体" w:hAnsi="宋体" w:cs="仿宋"/>
          <w:b/>
          <w:bCs/>
          <w:sz w:val="24"/>
        </w:rPr>
      </w:pPr>
      <w:r>
        <w:rPr>
          <w:rFonts w:hint="eastAsia" w:ascii="宋体" w:hAnsi="宋体" w:cs="仿宋"/>
          <w:b/>
          <w:bCs/>
          <w:sz w:val="24"/>
        </w:rPr>
        <w:t>8异议</w:t>
      </w:r>
    </w:p>
    <w:p>
      <w:pPr>
        <w:adjustRightInd w:val="0"/>
        <w:snapToGrid w:val="0"/>
        <w:spacing w:line="312" w:lineRule="auto"/>
        <w:jc w:val="both"/>
        <w:rPr>
          <w:rFonts w:ascii="宋体" w:hAnsi="宋体" w:cs="仿宋"/>
          <w:b/>
          <w:bCs/>
          <w:sz w:val="24"/>
        </w:rPr>
      </w:pPr>
      <w:r>
        <w:rPr>
          <w:rFonts w:hint="eastAsia" w:ascii="宋体" w:hAnsi="宋体" w:cs="仿宋"/>
          <w:b/>
          <w:bCs/>
          <w:sz w:val="24"/>
        </w:rPr>
        <w:t>8.1提出异议</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供应商或者其他利害关系人可以对成交结果提出异议。异议应在成交结果公示期间通过供应商须知前附表规定的异议渠道提出，并递交异议函和必要的证明材料。异议函包括但不限于下列内容:</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 xml:space="preserve"> (1)异议人名称、地址、邮政编码、联系人及联系电话;</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 xml:space="preserve"> (2)具体、明确的异议事项、事实依据及与异议事项相关的请求。</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异议函应由异议人的法定代表人(单位负责人)或其授权的代理人签字并加盖单位章。</w:t>
      </w:r>
    </w:p>
    <w:p>
      <w:pPr>
        <w:adjustRightInd w:val="0"/>
        <w:snapToGrid w:val="0"/>
        <w:spacing w:line="312" w:lineRule="auto"/>
        <w:jc w:val="both"/>
        <w:rPr>
          <w:rFonts w:ascii="宋体" w:hAnsi="宋体" w:cs="仿宋"/>
          <w:b/>
          <w:bCs/>
          <w:sz w:val="24"/>
        </w:rPr>
      </w:pPr>
      <w:r>
        <w:rPr>
          <w:rFonts w:hint="eastAsia" w:ascii="宋体" w:hAnsi="宋体" w:cs="仿宋"/>
          <w:b/>
          <w:bCs/>
          <w:sz w:val="24"/>
        </w:rPr>
        <w:t>8.2异议处理</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采购人将针对异议事项进行核查，经过核查，发现异议人对相关问题理解有误的，应作出解释；发现采购活动中确实存在错误或不当行为的，应及时予以改正或补救。</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采购人认为异议不成立或不影响采购结果的，可以继续进行采购活动。</w:t>
      </w:r>
    </w:p>
    <w:p>
      <w:pPr>
        <w:adjustRightInd w:val="0"/>
        <w:snapToGrid w:val="0"/>
        <w:spacing w:line="312" w:lineRule="auto"/>
        <w:jc w:val="both"/>
        <w:rPr>
          <w:rFonts w:ascii="宋体" w:hAnsi="宋体" w:cs="仿宋"/>
          <w:b/>
          <w:bCs/>
          <w:sz w:val="24"/>
        </w:rPr>
      </w:pPr>
      <w:r>
        <w:rPr>
          <w:rFonts w:hint="eastAsia" w:ascii="宋体" w:hAnsi="宋体" w:cs="仿宋"/>
          <w:b/>
          <w:bCs/>
          <w:sz w:val="24"/>
        </w:rPr>
        <w:t>9纪律要求</w:t>
      </w:r>
    </w:p>
    <w:p>
      <w:pPr>
        <w:adjustRightInd w:val="0"/>
        <w:snapToGrid w:val="0"/>
        <w:spacing w:line="312" w:lineRule="auto"/>
        <w:jc w:val="both"/>
        <w:rPr>
          <w:rFonts w:ascii="宋体" w:hAnsi="宋体" w:cs="仿宋"/>
          <w:b/>
          <w:bCs/>
          <w:sz w:val="24"/>
        </w:rPr>
      </w:pPr>
      <w:r>
        <w:rPr>
          <w:rFonts w:hint="eastAsia" w:ascii="宋体" w:hAnsi="宋体" w:cs="仿宋"/>
          <w:b/>
          <w:bCs/>
          <w:sz w:val="24"/>
        </w:rPr>
        <w:t>9.1对采购人的纪律要求</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采购人不得泄露采购活动中应当保密的情况和资料，不得与供应商串通损害国家利益、社会公共利益或者他人合法权益。</w:t>
      </w:r>
    </w:p>
    <w:p>
      <w:pPr>
        <w:adjustRightInd w:val="0"/>
        <w:snapToGrid w:val="0"/>
        <w:spacing w:line="312" w:lineRule="auto"/>
        <w:jc w:val="both"/>
        <w:rPr>
          <w:rFonts w:ascii="宋体" w:hAnsi="宋体" w:cs="仿宋"/>
          <w:b/>
          <w:bCs/>
          <w:sz w:val="24"/>
        </w:rPr>
      </w:pPr>
      <w:r>
        <w:rPr>
          <w:rFonts w:hint="eastAsia" w:ascii="宋体" w:hAnsi="宋体" w:cs="仿宋"/>
          <w:b/>
          <w:bCs/>
          <w:sz w:val="24"/>
        </w:rPr>
        <w:t>9.2对供应商的纪律要求</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供应商不得相互串通或者与采购人串通，不得向采购人或者评审小组成员行贿谋取成交，不得以他人名义参加采购活动或者以其他方式弄虚作假骗取成交；供应商不得以任何方式干扰、影响评审工作。</w:t>
      </w:r>
    </w:p>
    <w:p>
      <w:pPr>
        <w:adjustRightInd w:val="0"/>
        <w:snapToGrid w:val="0"/>
        <w:spacing w:line="312" w:lineRule="auto"/>
        <w:jc w:val="both"/>
        <w:rPr>
          <w:rFonts w:ascii="宋体" w:hAnsi="宋体" w:cs="仿宋"/>
          <w:b/>
          <w:bCs/>
          <w:sz w:val="24"/>
        </w:rPr>
      </w:pPr>
      <w:r>
        <w:rPr>
          <w:rFonts w:hint="eastAsia" w:ascii="宋体" w:hAnsi="宋体" w:cs="仿宋"/>
          <w:b/>
          <w:bCs/>
          <w:sz w:val="24"/>
        </w:rPr>
        <w:t>9.3对评审小组成员的纪律要求</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评审小组成员不得收受他人的财物或者其他好处，不得向他人透露对响应文件的评审和比较、成交候选供应商的推荐情况以及评审有关的其他情况。在评审活动中，评审小组成员应当客观、公正地履行职责，遵守职业道德，不得擅离职守，影响评审工作正常进行，不得使用第三章“评审办法”没有规定的评审因素和标准进行评审。</w:t>
      </w:r>
    </w:p>
    <w:p>
      <w:pPr>
        <w:adjustRightInd w:val="0"/>
        <w:snapToGrid w:val="0"/>
        <w:spacing w:line="312" w:lineRule="auto"/>
        <w:jc w:val="both"/>
        <w:rPr>
          <w:rFonts w:ascii="宋体" w:hAnsi="宋体" w:cs="仿宋"/>
          <w:b/>
          <w:bCs/>
          <w:sz w:val="24"/>
        </w:rPr>
      </w:pPr>
      <w:r>
        <w:rPr>
          <w:rFonts w:hint="eastAsia" w:ascii="宋体" w:hAnsi="宋体" w:cs="仿宋"/>
          <w:b/>
          <w:bCs/>
          <w:sz w:val="24"/>
        </w:rPr>
        <w:t>9.4对与采购活动有关的工作人员的纪律要求</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与采购活动有关的工作人员不得收受他人的财物或者其他好处，不得向他人透露对响应文件的评审和比较、成交候选供应商的推荐情况以及采购有关的其他情况。在采购活动中，与采购活动有关的工作人员不得擅离职守，影响评审工作正常进行。</w:t>
      </w:r>
    </w:p>
    <w:p>
      <w:pPr>
        <w:adjustRightInd w:val="0"/>
        <w:snapToGrid w:val="0"/>
        <w:spacing w:line="312" w:lineRule="auto"/>
        <w:jc w:val="both"/>
        <w:rPr>
          <w:rFonts w:ascii="宋体" w:hAnsi="宋体" w:cs="仿宋"/>
          <w:b/>
          <w:bCs/>
          <w:sz w:val="24"/>
        </w:rPr>
      </w:pPr>
      <w:r>
        <w:rPr>
          <w:rFonts w:hint="eastAsia" w:ascii="宋体" w:hAnsi="宋体" w:cs="仿宋"/>
          <w:b/>
          <w:bCs/>
          <w:sz w:val="24"/>
        </w:rPr>
        <w:t>10</w:t>
      </w:r>
      <w:r>
        <w:rPr>
          <w:rFonts w:ascii="宋体" w:hAnsi="宋体" w:cs="仿宋"/>
          <w:b/>
          <w:bCs/>
          <w:sz w:val="24"/>
        </w:rPr>
        <w:t xml:space="preserve"> </w:t>
      </w:r>
      <w:r>
        <w:rPr>
          <w:rFonts w:hint="eastAsia" w:ascii="宋体" w:hAnsi="宋体" w:cs="仿宋"/>
          <w:b/>
          <w:bCs/>
          <w:sz w:val="24"/>
        </w:rPr>
        <w:t>需要补充的其他内容</w:t>
      </w:r>
    </w:p>
    <w:p>
      <w:pPr>
        <w:adjustRightInd w:val="0"/>
        <w:snapToGrid w:val="0"/>
        <w:spacing w:line="312" w:lineRule="auto"/>
        <w:jc w:val="both"/>
        <w:rPr>
          <w:rFonts w:ascii="宋体" w:hAnsi="宋体" w:cs="仿宋"/>
          <w:b/>
          <w:bCs/>
          <w:sz w:val="24"/>
        </w:rPr>
      </w:pPr>
      <w:r>
        <w:rPr>
          <w:rFonts w:hint="eastAsia" w:ascii="宋体" w:hAnsi="宋体" w:cs="仿宋"/>
          <w:b/>
          <w:bCs/>
          <w:sz w:val="24"/>
        </w:rPr>
        <w:t>10.1采购代理服务费</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供应商须知前附表规定由供应商承担采购代理服务费的，供应商应按照供应商须知前附表规定的费用标准或金额、交费时间和方式向采购代理机构支付代理服务费。</w:t>
      </w:r>
    </w:p>
    <w:p>
      <w:pPr>
        <w:adjustRightInd w:val="0"/>
        <w:snapToGrid w:val="0"/>
        <w:spacing w:line="312" w:lineRule="auto"/>
        <w:jc w:val="both"/>
        <w:rPr>
          <w:rFonts w:ascii="宋体" w:hAnsi="宋体" w:cs="仿宋"/>
          <w:b/>
          <w:bCs/>
          <w:sz w:val="24"/>
        </w:rPr>
      </w:pPr>
      <w:r>
        <w:rPr>
          <w:rFonts w:hint="eastAsia" w:ascii="宋体" w:hAnsi="宋体" w:cs="仿宋"/>
          <w:b/>
          <w:bCs/>
          <w:sz w:val="24"/>
        </w:rPr>
        <w:t>10.2其他</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需更补充的其他内容:见供应商须知前附表。</w:t>
      </w:r>
    </w:p>
    <w:p>
      <w:pPr>
        <w:adjustRightInd w:val="0"/>
        <w:snapToGrid w:val="0"/>
        <w:spacing w:line="312" w:lineRule="auto"/>
        <w:jc w:val="both"/>
        <w:rPr>
          <w:rFonts w:ascii="宋体" w:hAnsi="宋体" w:cs="仿宋"/>
          <w:sz w:val="24"/>
        </w:rPr>
      </w:pPr>
    </w:p>
    <w:p>
      <w:pPr>
        <w:adjustRightInd w:val="0"/>
        <w:snapToGrid w:val="0"/>
        <w:spacing w:line="312" w:lineRule="auto"/>
        <w:ind w:firstLine="453" w:firstLineChars="189"/>
        <w:jc w:val="both"/>
        <w:rPr>
          <w:rFonts w:ascii="宋体" w:hAnsi="宋体" w:cs="仿宋"/>
          <w:sz w:val="24"/>
        </w:rPr>
      </w:pPr>
    </w:p>
    <w:p>
      <w:pPr>
        <w:spacing w:line="312" w:lineRule="auto"/>
        <w:jc w:val="both"/>
        <w:rPr>
          <w:rFonts w:ascii="宋体" w:hAnsi="宋体" w:cs="仿宋"/>
          <w:sz w:val="24"/>
        </w:rPr>
      </w:pPr>
      <w:r>
        <w:rPr>
          <w:rFonts w:hint="eastAsia" w:ascii="宋体" w:hAnsi="宋体" w:cs="仿宋"/>
          <w:sz w:val="24"/>
        </w:rPr>
        <w:br w:type="page"/>
      </w:r>
    </w:p>
    <w:p>
      <w:pPr>
        <w:adjustRightInd w:val="0"/>
        <w:snapToGrid w:val="0"/>
        <w:spacing w:line="600" w:lineRule="exact"/>
        <w:ind w:firstLine="600" w:firstLineChars="200"/>
        <w:rPr>
          <w:rFonts w:ascii="宋体" w:hAnsi="宋体" w:cs="宋体"/>
          <w:sz w:val="30"/>
          <w:szCs w:val="30"/>
        </w:rPr>
      </w:pPr>
      <w:r>
        <w:rPr>
          <w:rFonts w:hint="eastAsia" w:ascii="宋体" w:hAnsi="宋体" w:cs="宋体"/>
          <w:sz w:val="30"/>
          <w:szCs w:val="30"/>
        </w:rPr>
        <w:t>附件1  开启记录表</w:t>
      </w:r>
    </w:p>
    <w:p>
      <w:pPr>
        <w:adjustRightInd w:val="0"/>
        <w:snapToGrid w:val="0"/>
        <w:spacing w:line="600" w:lineRule="exact"/>
        <w:ind w:firstLine="723" w:firstLineChars="200"/>
        <w:jc w:val="center"/>
        <w:rPr>
          <w:rFonts w:ascii="宋体" w:hAnsi="宋体" w:cs="宋体"/>
          <w:b/>
          <w:bCs/>
          <w:sz w:val="36"/>
          <w:szCs w:val="36"/>
        </w:rPr>
      </w:pPr>
    </w:p>
    <w:p>
      <w:pPr>
        <w:adjustRightInd w:val="0"/>
        <w:snapToGrid w:val="0"/>
        <w:spacing w:line="600" w:lineRule="exact"/>
        <w:ind w:firstLine="723" w:firstLineChars="200"/>
        <w:jc w:val="center"/>
        <w:rPr>
          <w:rFonts w:ascii="宋体" w:hAnsi="宋体" w:cs="宋体"/>
          <w:b/>
          <w:bCs/>
          <w:sz w:val="36"/>
          <w:szCs w:val="36"/>
        </w:rPr>
      </w:pPr>
      <w:r>
        <w:rPr>
          <w:rFonts w:hint="eastAsia" w:ascii="宋体" w:hAnsi="宋体" w:cs="宋体"/>
          <w:b/>
          <w:bCs/>
          <w:sz w:val="36"/>
          <w:szCs w:val="36"/>
        </w:rPr>
        <w:t>开启记录表</w:t>
      </w:r>
    </w:p>
    <w:p>
      <w:pPr>
        <w:adjustRightInd w:val="0"/>
        <w:snapToGrid w:val="0"/>
        <w:spacing w:line="600" w:lineRule="exact"/>
        <w:ind w:firstLine="723" w:firstLineChars="200"/>
        <w:jc w:val="center"/>
        <w:rPr>
          <w:rFonts w:ascii="宋体" w:hAnsi="宋体" w:cs="宋体"/>
          <w:b/>
          <w:bCs/>
          <w:sz w:val="36"/>
          <w:szCs w:val="36"/>
        </w:rPr>
      </w:pPr>
    </w:p>
    <w:p>
      <w:pPr>
        <w:spacing w:line="240" w:lineRule="auto"/>
        <w:jc w:val="center"/>
        <w:rPr>
          <w:rFonts w:ascii="宋体" w:hAnsi="宋体" w:cs="宋体"/>
          <w:sz w:val="24"/>
        </w:rPr>
      </w:pPr>
      <w:r>
        <w:rPr>
          <w:rFonts w:hint="eastAsia" w:ascii="宋体" w:hAnsi="宋体" w:cs="宋体"/>
          <w:sz w:val="24"/>
        </w:rPr>
        <w:t xml:space="preserve">                                          开启时间：</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r>
        <w:rPr>
          <w:rFonts w:hint="eastAsia" w:ascii="宋体" w:hAnsi="宋体" w:cs="宋体"/>
          <w:sz w:val="24"/>
          <w:u w:val="single"/>
        </w:rPr>
        <w:t xml:space="preserve">  </w:t>
      </w:r>
      <w:r>
        <w:rPr>
          <w:rFonts w:hint="eastAsia" w:ascii="宋体" w:hAnsi="宋体" w:cs="宋体"/>
          <w:sz w:val="24"/>
        </w:rPr>
        <w:t>时</w:t>
      </w:r>
      <w:r>
        <w:rPr>
          <w:rFonts w:hint="eastAsia" w:ascii="宋体" w:hAnsi="宋体" w:cs="宋体"/>
          <w:sz w:val="24"/>
          <w:u w:val="single"/>
        </w:rPr>
        <w:t xml:space="preserve">  </w:t>
      </w:r>
      <w:r>
        <w:rPr>
          <w:rFonts w:hint="eastAsia" w:ascii="宋体" w:hAnsi="宋体" w:cs="宋体"/>
          <w:sz w:val="24"/>
        </w:rPr>
        <w:t>分</w:t>
      </w:r>
    </w:p>
    <w:tbl>
      <w:tblPr>
        <w:tblStyle w:val="38"/>
        <w:tblW w:w="4857" w:type="pct"/>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1"/>
        <w:gridCol w:w="2223"/>
        <w:gridCol w:w="1848"/>
        <w:gridCol w:w="1848"/>
        <w:gridCol w:w="18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pct"/>
            <w:vAlign w:val="center"/>
          </w:tcPr>
          <w:p>
            <w:pPr>
              <w:widowControl w:val="0"/>
              <w:spacing w:line="240" w:lineRule="auto"/>
              <w:jc w:val="center"/>
              <w:rPr>
                <w:rFonts w:ascii="宋体" w:hAnsi="宋体" w:cs="宋体"/>
                <w:sz w:val="24"/>
              </w:rPr>
            </w:pPr>
            <w:r>
              <w:rPr>
                <w:rFonts w:hint="eastAsia" w:ascii="宋体" w:hAnsi="宋体" w:cs="宋体"/>
                <w:sz w:val="24"/>
              </w:rPr>
              <w:t>序 号</w:t>
            </w:r>
          </w:p>
        </w:tc>
        <w:tc>
          <w:tcPr>
            <w:tcW w:w="1238" w:type="pct"/>
            <w:vAlign w:val="center"/>
          </w:tcPr>
          <w:p>
            <w:pPr>
              <w:widowControl w:val="0"/>
              <w:spacing w:line="240" w:lineRule="auto"/>
              <w:jc w:val="center"/>
              <w:rPr>
                <w:rFonts w:hint="eastAsia" w:ascii="宋体" w:hAnsi="宋体" w:eastAsia="宋体" w:cs="宋体"/>
                <w:sz w:val="24"/>
                <w:lang w:eastAsia="zh-CN"/>
              </w:rPr>
            </w:pPr>
            <w:r>
              <w:rPr>
                <w:rFonts w:hint="eastAsia" w:ascii="宋体" w:hAnsi="宋体" w:cs="宋体"/>
                <w:sz w:val="24"/>
                <w:lang w:eastAsia="zh-CN"/>
              </w:rPr>
              <w:t>服务商</w:t>
            </w:r>
          </w:p>
        </w:tc>
        <w:tc>
          <w:tcPr>
            <w:tcW w:w="1029" w:type="pct"/>
            <w:vAlign w:val="center"/>
          </w:tcPr>
          <w:p>
            <w:pPr>
              <w:widowControl w:val="0"/>
              <w:spacing w:line="240" w:lineRule="auto"/>
              <w:jc w:val="center"/>
              <w:rPr>
                <w:rFonts w:ascii="宋体" w:hAnsi="宋体" w:cs="宋体"/>
                <w:sz w:val="24"/>
              </w:rPr>
            </w:pPr>
            <w:r>
              <w:rPr>
                <w:rFonts w:hint="eastAsia" w:ascii="宋体" w:hAnsi="宋体" w:cs="宋体"/>
                <w:sz w:val="24"/>
              </w:rPr>
              <w:t>密封情况</w:t>
            </w:r>
          </w:p>
        </w:tc>
        <w:tc>
          <w:tcPr>
            <w:tcW w:w="1029" w:type="pct"/>
            <w:vAlign w:val="center"/>
          </w:tcPr>
          <w:p>
            <w:pPr>
              <w:widowControl w:val="0"/>
              <w:spacing w:line="240" w:lineRule="auto"/>
              <w:jc w:val="center"/>
              <w:rPr>
                <w:rFonts w:ascii="宋体" w:hAnsi="宋体" w:cs="宋体"/>
                <w:sz w:val="24"/>
              </w:rPr>
            </w:pPr>
            <w:r>
              <w:rPr>
                <w:rFonts w:hint="eastAsia" w:ascii="宋体" w:hAnsi="宋体" w:cs="宋体"/>
                <w:sz w:val="24"/>
              </w:rPr>
              <w:t>报价</w:t>
            </w:r>
          </w:p>
        </w:tc>
        <w:tc>
          <w:tcPr>
            <w:tcW w:w="1029" w:type="pct"/>
            <w:vAlign w:val="center"/>
          </w:tcPr>
          <w:p>
            <w:pPr>
              <w:widowControl w:val="0"/>
              <w:spacing w:line="240" w:lineRule="auto"/>
              <w:jc w:val="center"/>
              <w:rPr>
                <w:rFonts w:ascii="宋体" w:hAns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ascii="宋体" w:hAnsi="宋体" w:cs="宋体"/>
                <w:sz w:val="24"/>
              </w:rPr>
            </w:pPr>
          </w:p>
        </w:tc>
        <w:tc>
          <w:tcPr>
            <w:tcW w:w="1238" w:type="pct"/>
            <w:vAlign w:val="center"/>
          </w:tcPr>
          <w:p>
            <w:pPr>
              <w:widowControl w:val="0"/>
              <w:spacing w:line="240" w:lineRule="auto"/>
              <w:jc w:val="both"/>
              <w:rPr>
                <w:rFonts w:ascii="宋体" w:hAnsi="宋体" w:cs="宋体"/>
                <w:sz w:val="24"/>
              </w:rPr>
            </w:pPr>
          </w:p>
        </w:tc>
        <w:tc>
          <w:tcPr>
            <w:tcW w:w="1029" w:type="pct"/>
            <w:vAlign w:val="center"/>
          </w:tcPr>
          <w:p>
            <w:pPr>
              <w:widowControl w:val="0"/>
              <w:spacing w:line="240" w:lineRule="auto"/>
              <w:jc w:val="both"/>
              <w:rPr>
                <w:rFonts w:ascii="宋体" w:hAnsi="宋体" w:cs="宋体"/>
                <w:sz w:val="24"/>
              </w:rPr>
            </w:pPr>
          </w:p>
        </w:tc>
        <w:tc>
          <w:tcPr>
            <w:tcW w:w="1029" w:type="pct"/>
            <w:vAlign w:val="center"/>
          </w:tcPr>
          <w:p>
            <w:pPr>
              <w:widowControl w:val="0"/>
              <w:spacing w:line="240" w:lineRule="auto"/>
              <w:jc w:val="both"/>
              <w:rPr>
                <w:rFonts w:ascii="宋体" w:hAnsi="宋体" w:cs="宋体"/>
                <w:sz w:val="24"/>
              </w:rPr>
            </w:pPr>
          </w:p>
        </w:tc>
        <w:tc>
          <w:tcPr>
            <w:tcW w:w="1029" w:type="pct"/>
            <w:vAlign w:val="center"/>
          </w:tcPr>
          <w:p>
            <w:pPr>
              <w:widowControl w:val="0"/>
              <w:spacing w:line="240" w:lineRule="auto"/>
              <w:jc w:val="both"/>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ascii="宋体" w:hAnsi="宋体" w:cs="宋体"/>
                <w:sz w:val="24"/>
              </w:rPr>
            </w:pPr>
          </w:p>
        </w:tc>
        <w:tc>
          <w:tcPr>
            <w:tcW w:w="1238" w:type="pct"/>
            <w:vAlign w:val="center"/>
          </w:tcPr>
          <w:p>
            <w:pPr>
              <w:widowControl w:val="0"/>
              <w:spacing w:line="240" w:lineRule="auto"/>
              <w:jc w:val="both"/>
              <w:rPr>
                <w:rFonts w:ascii="宋体" w:hAnsi="宋体" w:cs="宋体"/>
                <w:sz w:val="24"/>
              </w:rPr>
            </w:pPr>
          </w:p>
        </w:tc>
        <w:tc>
          <w:tcPr>
            <w:tcW w:w="1029" w:type="pct"/>
            <w:vAlign w:val="center"/>
          </w:tcPr>
          <w:p>
            <w:pPr>
              <w:widowControl w:val="0"/>
              <w:spacing w:line="240" w:lineRule="auto"/>
              <w:jc w:val="both"/>
              <w:rPr>
                <w:rFonts w:ascii="宋体" w:hAnsi="宋体" w:cs="宋体"/>
                <w:sz w:val="24"/>
              </w:rPr>
            </w:pPr>
          </w:p>
        </w:tc>
        <w:tc>
          <w:tcPr>
            <w:tcW w:w="1029" w:type="pct"/>
            <w:vAlign w:val="center"/>
          </w:tcPr>
          <w:p>
            <w:pPr>
              <w:widowControl w:val="0"/>
              <w:spacing w:line="240" w:lineRule="auto"/>
              <w:jc w:val="both"/>
              <w:rPr>
                <w:rFonts w:ascii="宋体" w:hAnsi="宋体" w:cs="宋体"/>
                <w:sz w:val="24"/>
              </w:rPr>
            </w:pPr>
          </w:p>
        </w:tc>
        <w:tc>
          <w:tcPr>
            <w:tcW w:w="1029" w:type="pct"/>
            <w:vAlign w:val="center"/>
          </w:tcPr>
          <w:p>
            <w:pPr>
              <w:widowControl w:val="0"/>
              <w:spacing w:line="240" w:lineRule="auto"/>
              <w:jc w:val="both"/>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ascii="宋体" w:hAnsi="宋体" w:cs="宋体"/>
                <w:sz w:val="24"/>
              </w:rPr>
            </w:pPr>
          </w:p>
        </w:tc>
        <w:tc>
          <w:tcPr>
            <w:tcW w:w="1238" w:type="pct"/>
            <w:vAlign w:val="center"/>
          </w:tcPr>
          <w:p>
            <w:pPr>
              <w:widowControl w:val="0"/>
              <w:spacing w:line="240" w:lineRule="auto"/>
              <w:jc w:val="both"/>
              <w:rPr>
                <w:rFonts w:ascii="宋体" w:hAnsi="宋体" w:cs="宋体"/>
                <w:sz w:val="24"/>
              </w:rPr>
            </w:pPr>
          </w:p>
        </w:tc>
        <w:tc>
          <w:tcPr>
            <w:tcW w:w="1029" w:type="pct"/>
            <w:vAlign w:val="center"/>
          </w:tcPr>
          <w:p>
            <w:pPr>
              <w:widowControl w:val="0"/>
              <w:spacing w:line="240" w:lineRule="auto"/>
              <w:jc w:val="both"/>
              <w:rPr>
                <w:rFonts w:ascii="宋体" w:hAnsi="宋体" w:cs="宋体"/>
                <w:sz w:val="24"/>
              </w:rPr>
            </w:pPr>
          </w:p>
        </w:tc>
        <w:tc>
          <w:tcPr>
            <w:tcW w:w="1029" w:type="pct"/>
            <w:vAlign w:val="center"/>
          </w:tcPr>
          <w:p>
            <w:pPr>
              <w:widowControl w:val="0"/>
              <w:spacing w:line="240" w:lineRule="auto"/>
              <w:jc w:val="both"/>
              <w:rPr>
                <w:rFonts w:ascii="宋体" w:hAnsi="宋体" w:cs="宋体"/>
                <w:sz w:val="24"/>
              </w:rPr>
            </w:pPr>
          </w:p>
        </w:tc>
        <w:tc>
          <w:tcPr>
            <w:tcW w:w="1029" w:type="pct"/>
            <w:vAlign w:val="center"/>
          </w:tcPr>
          <w:p>
            <w:pPr>
              <w:widowControl w:val="0"/>
              <w:spacing w:line="240" w:lineRule="auto"/>
              <w:jc w:val="both"/>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ascii="宋体" w:hAnsi="宋体" w:cs="宋体"/>
                <w:sz w:val="24"/>
              </w:rPr>
            </w:pPr>
          </w:p>
        </w:tc>
        <w:tc>
          <w:tcPr>
            <w:tcW w:w="1238" w:type="pct"/>
            <w:vAlign w:val="center"/>
          </w:tcPr>
          <w:p>
            <w:pPr>
              <w:widowControl w:val="0"/>
              <w:spacing w:line="240" w:lineRule="auto"/>
              <w:jc w:val="both"/>
              <w:rPr>
                <w:rFonts w:ascii="宋体" w:hAnsi="宋体" w:cs="宋体"/>
                <w:sz w:val="24"/>
              </w:rPr>
            </w:pPr>
          </w:p>
        </w:tc>
        <w:tc>
          <w:tcPr>
            <w:tcW w:w="1029" w:type="pct"/>
            <w:vAlign w:val="center"/>
          </w:tcPr>
          <w:p>
            <w:pPr>
              <w:widowControl w:val="0"/>
              <w:spacing w:line="240" w:lineRule="auto"/>
              <w:jc w:val="both"/>
              <w:rPr>
                <w:rFonts w:ascii="宋体" w:hAnsi="宋体" w:cs="宋体"/>
                <w:sz w:val="24"/>
              </w:rPr>
            </w:pPr>
          </w:p>
        </w:tc>
        <w:tc>
          <w:tcPr>
            <w:tcW w:w="1029" w:type="pct"/>
            <w:vAlign w:val="center"/>
          </w:tcPr>
          <w:p>
            <w:pPr>
              <w:widowControl w:val="0"/>
              <w:spacing w:line="240" w:lineRule="auto"/>
              <w:jc w:val="both"/>
              <w:rPr>
                <w:rFonts w:ascii="宋体" w:hAnsi="宋体" w:cs="宋体"/>
                <w:sz w:val="24"/>
              </w:rPr>
            </w:pPr>
          </w:p>
        </w:tc>
        <w:tc>
          <w:tcPr>
            <w:tcW w:w="1029" w:type="pct"/>
            <w:vAlign w:val="center"/>
          </w:tcPr>
          <w:p>
            <w:pPr>
              <w:widowControl w:val="0"/>
              <w:spacing w:line="240" w:lineRule="auto"/>
              <w:jc w:val="both"/>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ascii="宋体" w:hAnsi="宋体" w:cs="宋体"/>
                <w:sz w:val="24"/>
              </w:rPr>
            </w:pPr>
          </w:p>
        </w:tc>
        <w:tc>
          <w:tcPr>
            <w:tcW w:w="1238" w:type="pct"/>
            <w:vAlign w:val="center"/>
          </w:tcPr>
          <w:p>
            <w:pPr>
              <w:widowControl w:val="0"/>
              <w:spacing w:line="240" w:lineRule="auto"/>
              <w:jc w:val="both"/>
              <w:rPr>
                <w:rFonts w:ascii="宋体" w:hAnsi="宋体" w:cs="宋体"/>
                <w:sz w:val="24"/>
              </w:rPr>
            </w:pPr>
          </w:p>
        </w:tc>
        <w:tc>
          <w:tcPr>
            <w:tcW w:w="1029" w:type="pct"/>
            <w:vAlign w:val="center"/>
          </w:tcPr>
          <w:p>
            <w:pPr>
              <w:widowControl w:val="0"/>
              <w:spacing w:line="240" w:lineRule="auto"/>
              <w:jc w:val="both"/>
              <w:rPr>
                <w:rFonts w:ascii="宋体" w:hAnsi="宋体" w:cs="宋体"/>
                <w:sz w:val="24"/>
              </w:rPr>
            </w:pPr>
          </w:p>
        </w:tc>
        <w:tc>
          <w:tcPr>
            <w:tcW w:w="1029" w:type="pct"/>
            <w:vAlign w:val="center"/>
          </w:tcPr>
          <w:p>
            <w:pPr>
              <w:widowControl w:val="0"/>
              <w:spacing w:line="240" w:lineRule="auto"/>
              <w:jc w:val="both"/>
              <w:rPr>
                <w:rFonts w:ascii="宋体" w:hAnsi="宋体" w:cs="宋体"/>
                <w:sz w:val="24"/>
              </w:rPr>
            </w:pPr>
          </w:p>
        </w:tc>
        <w:tc>
          <w:tcPr>
            <w:tcW w:w="1029" w:type="pct"/>
            <w:vAlign w:val="center"/>
          </w:tcPr>
          <w:p>
            <w:pPr>
              <w:widowControl w:val="0"/>
              <w:spacing w:line="240" w:lineRule="auto"/>
              <w:jc w:val="both"/>
              <w:rPr>
                <w:rFonts w:ascii="宋体" w:hAnsi="宋体" w:cs="宋体"/>
                <w:sz w:val="24"/>
              </w:rPr>
            </w:pPr>
          </w:p>
        </w:tc>
      </w:tr>
    </w:tbl>
    <w:p>
      <w:pPr>
        <w:spacing w:line="240" w:lineRule="auto"/>
        <w:jc w:val="both"/>
        <w:rPr>
          <w:rFonts w:ascii="宋体" w:hAnsi="宋体" w:cs="宋体"/>
          <w:sz w:val="24"/>
        </w:rPr>
      </w:pPr>
    </w:p>
    <w:p>
      <w:pPr>
        <w:spacing w:line="240" w:lineRule="auto"/>
        <w:ind w:firstLine="1200" w:firstLineChars="500"/>
        <w:jc w:val="both"/>
        <w:rPr>
          <w:rFonts w:ascii="宋体" w:hAnsi="宋体" w:cs="宋体"/>
          <w:sz w:val="24"/>
          <w:u w:val="single"/>
        </w:rPr>
      </w:pPr>
      <w:r>
        <w:rPr>
          <w:rFonts w:hint="eastAsia" w:ascii="宋体" w:hAnsi="宋体" w:cs="宋体"/>
          <w:sz w:val="24"/>
        </w:rPr>
        <w:t>采购人代表：</w:t>
      </w:r>
      <w:r>
        <w:rPr>
          <w:rFonts w:hint="eastAsia" w:ascii="宋体" w:hAnsi="宋体" w:cs="宋体"/>
          <w:sz w:val="24"/>
          <w:u w:val="single"/>
        </w:rPr>
        <w:t xml:space="preserve">          </w:t>
      </w:r>
      <w:r>
        <w:rPr>
          <w:rFonts w:hint="eastAsia" w:ascii="宋体" w:hAnsi="宋体" w:cs="宋体"/>
          <w:sz w:val="24"/>
        </w:rPr>
        <w:t xml:space="preserve">      记录人：</w:t>
      </w:r>
      <w:r>
        <w:rPr>
          <w:rFonts w:hint="eastAsia" w:ascii="宋体" w:hAnsi="宋体" w:cs="宋体"/>
          <w:sz w:val="24"/>
          <w:u w:val="single"/>
        </w:rPr>
        <w:t xml:space="preserve">      </w:t>
      </w:r>
      <w:r>
        <w:rPr>
          <w:rFonts w:hint="eastAsia" w:ascii="宋体" w:hAnsi="宋体" w:cs="宋体"/>
          <w:sz w:val="24"/>
        </w:rPr>
        <w:t xml:space="preserve">        监督人：</w:t>
      </w:r>
      <w:r>
        <w:rPr>
          <w:rFonts w:hint="eastAsia" w:ascii="宋体" w:hAnsi="宋体" w:cs="宋体"/>
          <w:sz w:val="24"/>
          <w:u w:val="single"/>
        </w:rPr>
        <w:t xml:space="preserve">        </w:t>
      </w:r>
    </w:p>
    <w:p>
      <w:pPr>
        <w:spacing w:line="240" w:lineRule="auto"/>
        <w:jc w:val="both"/>
        <w:rPr>
          <w:rFonts w:ascii="宋体" w:hAnsi="宋体" w:cs="宋体"/>
          <w:sz w:val="24"/>
        </w:rPr>
      </w:pPr>
    </w:p>
    <w:p>
      <w:pPr>
        <w:spacing w:line="240" w:lineRule="auto"/>
        <w:jc w:val="both"/>
        <w:rPr>
          <w:rFonts w:ascii="宋体" w:hAnsi="宋体" w:cs="宋体"/>
          <w:sz w:val="30"/>
          <w:szCs w:val="30"/>
        </w:rPr>
      </w:pPr>
    </w:p>
    <w:p>
      <w:pPr>
        <w:spacing w:line="240" w:lineRule="auto"/>
        <w:jc w:val="both"/>
        <w:rPr>
          <w:rFonts w:ascii="宋体" w:hAnsi="宋体" w:cs="宋体"/>
          <w:sz w:val="30"/>
          <w:szCs w:val="30"/>
        </w:rPr>
      </w:pPr>
      <w:r>
        <w:rPr>
          <w:rFonts w:hint="eastAsia" w:ascii="宋体" w:hAnsi="宋体" w:cs="宋体"/>
          <w:sz w:val="30"/>
          <w:szCs w:val="30"/>
        </w:rPr>
        <w:br w:type="page"/>
      </w:r>
    </w:p>
    <w:p>
      <w:pPr>
        <w:adjustRightInd w:val="0"/>
        <w:snapToGrid w:val="0"/>
        <w:spacing w:line="600" w:lineRule="exact"/>
        <w:ind w:firstLine="600" w:firstLineChars="200"/>
        <w:rPr>
          <w:rFonts w:ascii="宋体" w:hAnsi="宋体" w:cs="宋体"/>
          <w:sz w:val="30"/>
          <w:szCs w:val="30"/>
        </w:rPr>
      </w:pPr>
      <w:r>
        <w:rPr>
          <w:rFonts w:hint="eastAsia" w:ascii="宋体" w:hAnsi="宋体" w:cs="宋体"/>
          <w:sz w:val="30"/>
          <w:szCs w:val="30"/>
        </w:rPr>
        <w:t>附件2  问题澄清通知</w:t>
      </w:r>
    </w:p>
    <w:p>
      <w:pPr>
        <w:adjustRightInd w:val="0"/>
        <w:snapToGrid w:val="0"/>
        <w:spacing w:line="600" w:lineRule="exact"/>
        <w:ind w:firstLine="723" w:firstLineChars="200"/>
        <w:jc w:val="center"/>
        <w:rPr>
          <w:rFonts w:ascii="宋体" w:hAnsi="宋体" w:cs="宋体"/>
          <w:b/>
          <w:bCs/>
          <w:sz w:val="36"/>
          <w:szCs w:val="36"/>
        </w:rPr>
      </w:pPr>
    </w:p>
    <w:p>
      <w:pPr>
        <w:adjustRightInd w:val="0"/>
        <w:snapToGrid w:val="0"/>
        <w:spacing w:line="600" w:lineRule="exact"/>
        <w:ind w:firstLine="723" w:firstLineChars="200"/>
        <w:jc w:val="center"/>
        <w:rPr>
          <w:rFonts w:ascii="宋体" w:hAnsi="宋体" w:cs="宋体"/>
          <w:b/>
          <w:bCs/>
          <w:sz w:val="36"/>
          <w:szCs w:val="36"/>
        </w:rPr>
      </w:pPr>
      <w:r>
        <w:rPr>
          <w:rFonts w:hint="eastAsia" w:ascii="宋体" w:hAnsi="宋体" w:cs="宋体"/>
          <w:b/>
          <w:bCs/>
          <w:sz w:val="36"/>
          <w:szCs w:val="36"/>
        </w:rPr>
        <w:t>问题澄清通知</w:t>
      </w:r>
    </w:p>
    <w:p>
      <w:pPr>
        <w:adjustRightInd w:val="0"/>
        <w:snapToGrid w:val="0"/>
        <w:spacing w:line="600" w:lineRule="exact"/>
        <w:ind w:firstLine="480" w:firstLineChars="200"/>
        <w:jc w:val="center"/>
        <w:rPr>
          <w:rFonts w:ascii="宋体" w:hAnsi="宋体" w:cs="宋体"/>
          <w:sz w:val="24"/>
        </w:rPr>
      </w:pPr>
      <w:r>
        <w:rPr>
          <w:rFonts w:hint="eastAsia" w:ascii="宋体" w:hAnsi="宋体" w:cs="宋体"/>
          <w:sz w:val="24"/>
        </w:rPr>
        <w:t>(编号:</w:t>
      </w:r>
      <w:r>
        <w:rPr>
          <w:rFonts w:hint="eastAsia" w:ascii="宋体" w:hAnsi="宋体" w:cs="宋体"/>
          <w:sz w:val="24"/>
          <w:u w:val="single"/>
        </w:rPr>
        <w:t xml:space="preserve">          </w:t>
      </w:r>
      <w:r>
        <w:rPr>
          <w:rFonts w:hint="eastAsia" w:ascii="宋体" w:hAnsi="宋体" w:cs="宋体"/>
          <w:sz w:val="24"/>
        </w:rPr>
        <w:t>）</w:t>
      </w:r>
    </w:p>
    <w:p>
      <w:pPr>
        <w:adjustRightInd w:val="0"/>
        <w:snapToGrid w:val="0"/>
        <w:spacing w:line="600" w:lineRule="exact"/>
        <w:ind w:left="210" w:leftChars="100" w:firstLine="240" w:firstLineChars="100"/>
        <w:jc w:val="both"/>
        <w:rPr>
          <w:rFonts w:ascii="宋体" w:hAnsi="宋体" w:cs="宋体"/>
          <w:sz w:val="24"/>
          <w:u w:val="single"/>
        </w:rPr>
      </w:pPr>
      <w:r>
        <w:rPr>
          <w:rFonts w:hint="eastAsia" w:ascii="宋体" w:hAnsi="宋体" w:cs="宋体"/>
          <w:sz w:val="24"/>
          <w:u w:val="single"/>
        </w:rPr>
        <w:t>(</w:t>
      </w:r>
      <w:r>
        <w:rPr>
          <w:rFonts w:hint="eastAsia" w:ascii="宋体" w:hAnsi="宋体" w:cs="宋体"/>
          <w:sz w:val="24"/>
          <w:u w:val="single"/>
          <w:lang w:eastAsia="zh-CN"/>
        </w:rPr>
        <w:t>服务商</w:t>
      </w:r>
      <w:r>
        <w:rPr>
          <w:rFonts w:hint="eastAsia" w:ascii="宋体" w:hAnsi="宋体" w:cs="宋体"/>
          <w:sz w:val="24"/>
          <w:u w:val="single"/>
        </w:rPr>
        <w:t>名称):</w:t>
      </w:r>
    </w:p>
    <w:p>
      <w:pPr>
        <w:adjustRightInd w:val="0"/>
        <w:snapToGrid w:val="0"/>
        <w:spacing w:line="600" w:lineRule="exact"/>
        <w:ind w:left="210" w:leftChars="100" w:firstLine="496" w:firstLineChars="207"/>
        <w:jc w:val="both"/>
        <w:rPr>
          <w:rFonts w:ascii="宋体" w:hAnsi="宋体" w:cs="宋体"/>
          <w:sz w:val="24"/>
        </w:rPr>
      </w:pPr>
      <w:r>
        <w:rPr>
          <w:rFonts w:hint="eastAsia" w:ascii="宋体" w:hAnsi="宋体" w:cs="宋体"/>
          <w:sz w:val="24"/>
        </w:rPr>
        <w:t>评审小组对你方的响应文件进行了仔细的审查，现需你方对下列问题以书面形式予以澄清、说明和补正:</w:t>
      </w:r>
    </w:p>
    <w:p>
      <w:pPr>
        <w:adjustRightInd w:val="0"/>
        <w:snapToGrid w:val="0"/>
        <w:spacing w:line="600" w:lineRule="exact"/>
        <w:ind w:left="210" w:leftChars="100" w:firstLine="496" w:firstLineChars="207"/>
        <w:jc w:val="both"/>
        <w:rPr>
          <w:rFonts w:ascii="宋体" w:hAnsi="宋体" w:cs="宋体"/>
          <w:sz w:val="24"/>
        </w:rPr>
      </w:pPr>
      <w:r>
        <w:rPr>
          <w:rFonts w:hint="eastAsia" w:ascii="宋体" w:hAnsi="宋体" w:cs="宋体"/>
          <w:sz w:val="24"/>
        </w:rPr>
        <w:t>1.</w:t>
      </w:r>
    </w:p>
    <w:p>
      <w:pPr>
        <w:adjustRightInd w:val="0"/>
        <w:snapToGrid w:val="0"/>
        <w:spacing w:line="600" w:lineRule="exact"/>
        <w:ind w:left="210" w:leftChars="100" w:firstLine="496" w:firstLineChars="207"/>
        <w:jc w:val="both"/>
        <w:rPr>
          <w:rFonts w:ascii="宋体" w:hAnsi="宋体" w:cs="宋体"/>
          <w:sz w:val="24"/>
        </w:rPr>
      </w:pPr>
      <w:r>
        <w:rPr>
          <w:rFonts w:hint="eastAsia" w:ascii="宋体" w:hAnsi="宋体" w:cs="宋体"/>
          <w:sz w:val="24"/>
        </w:rPr>
        <w:t>2.</w:t>
      </w:r>
    </w:p>
    <w:p>
      <w:pPr>
        <w:adjustRightInd w:val="0"/>
        <w:snapToGrid w:val="0"/>
        <w:spacing w:line="600" w:lineRule="exact"/>
        <w:ind w:left="508" w:leftChars="242" w:firstLine="496" w:firstLineChars="207"/>
        <w:jc w:val="both"/>
        <w:rPr>
          <w:rFonts w:ascii="宋体" w:hAnsi="宋体" w:cs="宋体"/>
          <w:sz w:val="24"/>
        </w:rPr>
      </w:pPr>
      <w:r>
        <w:rPr>
          <w:rFonts w:hint="eastAsia" w:ascii="宋体" w:hAnsi="宋体" w:cs="宋体"/>
          <w:sz w:val="24"/>
        </w:rPr>
        <w:t>......</w:t>
      </w:r>
    </w:p>
    <w:p>
      <w:pPr>
        <w:adjustRightInd w:val="0"/>
        <w:snapToGrid w:val="0"/>
        <w:spacing w:line="600" w:lineRule="exact"/>
        <w:ind w:left="141" w:leftChars="67" w:firstLine="566" w:firstLineChars="236"/>
        <w:jc w:val="both"/>
        <w:rPr>
          <w:rFonts w:ascii="宋体" w:hAnsi="宋体" w:cs="宋体"/>
          <w:sz w:val="24"/>
        </w:rPr>
      </w:pPr>
      <w:r>
        <w:rPr>
          <w:rFonts w:hint="eastAsia" w:ascii="宋体" w:hAnsi="宋体" w:cs="宋体"/>
          <w:sz w:val="24"/>
        </w:rPr>
        <w:t>请将上述问题的澄清、说明和补正于</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r>
        <w:rPr>
          <w:rFonts w:hint="eastAsia" w:ascii="宋体" w:hAnsi="宋体" w:cs="宋体"/>
          <w:sz w:val="24"/>
          <w:u w:val="single"/>
        </w:rPr>
        <w:t xml:space="preserve">  </w:t>
      </w:r>
      <w:r>
        <w:rPr>
          <w:rFonts w:hint="eastAsia" w:ascii="宋体" w:hAnsi="宋体" w:cs="宋体"/>
          <w:sz w:val="24"/>
        </w:rPr>
        <w:t>时前递交至</w:t>
      </w:r>
      <w:r>
        <w:rPr>
          <w:rFonts w:hint="eastAsia" w:ascii="宋体" w:hAnsi="宋体" w:cs="宋体"/>
          <w:sz w:val="24"/>
          <w:u w:val="single"/>
        </w:rPr>
        <w:t>(详细地址)</w:t>
      </w:r>
      <w:r>
        <w:rPr>
          <w:rFonts w:hint="eastAsia" w:ascii="宋体" w:hAnsi="宋体" w:cs="宋体"/>
          <w:sz w:val="24"/>
        </w:rPr>
        <w:t>或发电子邮件至</w:t>
      </w:r>
      <w:r>
        <w:rPr>
          <w:rFonts w:hint="eastAsia" w:ascii="宋体" w:hAnsi="宋体" w:cs="宋体"/>
          <w:sz w:val="24"/>
          <w:u w:val="single"/>
        </w:rPr>
        <w:t>(电子邮箱地址)</w:t>
      </w:r>
      <w:r>
        <w:rPr>
          <w:rFonts w:hint="eastAsia" w:ascii="宋体" w:hAnsi="宋体" w:cs="宋体"/>
          <w:sz w:val="24"/>
        </w:rPr>
        <w:t>。采用电子邮件方式的，应在</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日_时前将原件递交至</w:t>
      </w:r>
      <w:r>
        <w:rPr>
          <w:rFonts w:hint="eastAsia" w:ascii="宋体" w:hAnsi="宋体" w:cs="宋体"/>
          <w:sz w:val="24"/>
          <w:u w:val="single"/>
        </w:rPr>
        <w:t>(详细地址)</w:t>
      </w:r>
      <w:r>
        <w:rPr>
          <w:rFonts w:hint="eastAsia" w:ascii="宋体" w:hAnsi="宋体" w:cs="宋体"/>
          <w:sz w:val="24"/>
        </w:rPr>
        <w:t>。</w:t>
      </w:r>
    </w:p>
    <w:p>
      <w:pPr>
        <w:adjustRightInd w:val="0"/>
        <w:snapToGrid w:val="0"/>
        <w:spacing w:line="600" w:lineRule="exact"/>
        <w:ind w:left="141" w:leftChars="67" w:firstLine="566" w:firstLineChars="236"/>
        <w:jc w:val="both"/>
        <w:rPr>
          <w:rFonts w:ascii="宋体" w:hAnsi="宋体" w:cs="宋体"/>
          <w:sz w:val="24"/>
        </w:rPr>
      </w:pPr>
    </w:p>
    <w:p>
      <w:pPr>
        <w:adjustRightInd w:val="0"/>
        <w:snapToGrid w:val="0"/>
        <w:spacing w:line="600" w:lineRule="exact"/>
        <w:ind w:left="210" w:leftChars="100" w:firstLine="240" w:firstLineChars="100"/>
        <w:jc w:val="both"/>
        <w:rPr>
          <w:rFonts w:ascii="宋体" w:hAnsi="宋体" w:cs="宋体"/>
          <w:sz w:val="24"/>
        </w:rPr>
      </w:pPr>
    </w:p>
    <w:p>
      <w:pPr>
        <w:adjustRightInd w:val="0"/>
        <w:snapToGrid w:val="0"/>
        <w:spacing w:line="600" w:lineRule="exact"/>
        <w:ind w:left="210" w:leftChars="100" w:firstLine="240" w:firstLineChars="100"/>
        <w:jc w:val="both"/>
        <w:rPr>
          <w:rFonts w:ascii="宋体" w:hAnsi="宋体" w:cs="宋体"/>
          <w:sz w:val="24"/>
        </w:rPr>
      </w:pPr>
    </w:p>
    <w:p>
      <w:pPr>
        <w:adjustRightInd w:val="0"/>
        <w:snapToGrid w:val="0"/>
        <w:spacing w:line="600" w:lineRule="exact"/>
        <w:ind w:left="210" w:leftChars="100" w:firstLine="4560" w:firstLineChars="1900"/>
        <w:jc w:val="both"/>
        <w:rPr>
          <w:rFonts w:ascii="宋体" w:hAnsi="宋体" w:cs="宋体"/>
          <w:sz w:val="24"/>
          <w:u w:val="single"/>
        </w:rPr>
      </w:pPr>
      <w:r>
        <w:rPr>
          <w:rFonts w:hint="eastAsia" w:ascii="宋体" w:hAnsi="宋体" w:cs="宋体"/>
          <w:sz w:val="24"/>
        </w:rPr>
        <w:t>采购人(或采购代理机构):</w:t>
      </w:r>
      <w:r>
        <w:rPr>
          <w:rFonts w:hint="eastAsia" w:ascii="宋体" w:hAnsi="宋体" w:cs="宋体"/>
          <w:sz w:val="24"/>
          <w:u w:val="single"/>
        </w:rPr>
        <w:t>(签字或盖单位章)</w:t>
      </w:r>
    </w:p>
    <w:p>
      <w:pPr>
        <w:spacing w:line="600" w:lineRule="exact"/>
        <w:ind w:firstLine="6480" w:firstLineChars="2700"/>
        <w:jc w:val="both"/>
        <w:rPr>
          <w:rFonts w:ascii="宋体" w:hAnsi="宋体" w:cs="宋体"/>
          <w:sz w:val="30"/>
          <w:szCs w:val="30"/>
        </w:rPr>
      </w:pP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r>
        <w:rPr>
          <w:rFonts w:hint="eastAsia" w:ascii="宋体" w:hAnsi="宋体" w:cs="宋体"/>
          <w:sz w:val="30"/>
          <w:szCs w:val="30"/>
        </w:rPr>
        <w:br w:type="page"/>
      </w:r>
    </w:p>
    <w:p>
      <w:pPr>
        <w:adjustRightInd w:val="0"/>
        <w:snapToGrid w:val="0"/>
        <w:spacing w:line="600" w:lineRule="exact"/>
        <w:ind w:firstLine="567" w:firstLineChars="189"/>
        <w:rPr>
          <w:rFonts w:ascii="宋体" w:hAnsi="宋体" w:cs="宋体"/>
          <w:sz w:val="30"/>
          <w:szCs w:val="30"/>
        </w:rPr>
      </w:pPr>
      <w:r>
        <w:rPr>
          <w:rFonts w:hint="eastAsia" w:ascii="宋体" w:hAnsi="宋体" w:cs="宋体"/>
          <w:sz w:val="30"/>
          <w:szCs w:val="30"/>
        </w:rPr>
        <w:t>附件3  问题的澄清</w:t>
      </w:r>
    </w:p>
    <w:p>
      <w:pPr>
        <w:adjustRightInd w:val="0"/>
        <w:snapToGrid w:val="0"/>
        <w:spacing w:line="600" w:lineRule="exact"/>
        <w:jc w:val="center"/>
        <w:rPr>
          <w:rFonts w:ascii="宋体" w:hAnsi="宋体" w:cs="宋体"/>
          <w:b/>
          <w:bCs/>
          <w:sz w:val="36"/>
          <w:szCs w:val="36"/>
        </w:rPr>
      </w:pPr>
    </w:p>
    <w:p>
      <w:pPr>
        <w:adjustRightInd w:val="0"/>
        <w:snapToGrid w:val="0"/>
        <w:spacing w:line="600" w:lineRule="exact"/>
        <w:jc w:val="center"/>
        <w:rPr>
          <w:rFonts w:ascii="宋体" w:hAnsi="宋体" w:cs="宋体"/>
          <w:b/>
          <w:bCs/>
          <w:sz w:val="36"/>
          <w:szCs w:val="36"/>
        </w:rPr>
      </w:pPr>
      <w:r>
        <w:rPr>
          <w:rFonts w:hint="eastAsia" w:ascii="宋体" w:hAnsi="宋体" w:cs="宋体"/>
          <w:b/>
          <w:bCs/>
          <w:sz w:val="36"/>
          <w:szCs w:val="36"/>
        </w:rPr>
        <w:t>问题的澄清</w:t>
      </w:r>
    </w:p>
    <w:p>
      <w:pPr>
        <w:adjustRightInd w:val="0"/>
        <w:snapToGrid w:val="0"/>
        <w:spacing w:line="600" w:lineRule="exact"/>
        <w:ind w:firstLine="480" w:firstLineChars="200"/>
        <w:jc w:val="center"/>
        <w:rPr>
          <w:rFonts w:ascii="宋体" w:hAnsi="宋体" w:cs="宋体"/>
          <w:sz w:val="24"/>
        </w:rPr>
      </w:pPr>
      <w:r>
        <w:rPr>
          <w:rFonts w:hint="eastAsia" w:ascii="宋体" w:hAnsi="宋体" w:cs="宋体"/>
          <w:sz w:val="24"/>
        </w:rPr>
        <w:t>(编号:</w:t>
      </w:r>
      <w:r>
        <w:rPr>
          <w:rFonts w:hint="eastAsia" w:ascii="宋体" w:hAnsi="宋体" w:cs="宋体"/>
          <w:sz w:val="24"/>
          <w:u w:val="single"/>
        </w:rPr>
        <w:t xml:space="preserve">                 </w:t>
      </w:r>
      <w:r>
        <w:rPr>
          <w:rFonts w:hint="eastAsia" w:ascii="宋体" w:hAnsi="宋体" w:cs="宋体"/>
          <w:sz w:val="24"/>
        </w:rPr>
        <w:t>)</w:t>
      </w:r>
    </w:p>
    <w:p>
      <w:pPr>
        <w:adjustRightInd w:val="0"/>
        <w:snapToGrid w:val="0"/>
        <w:spacing w:line="600" w:lineRule="exact"/>
        <w:jc w:val="both"/>
        <w:rPr>
          <w:rFonts w:ascii="宋体" w:hAnsi="宋体" w:cs="宋体"/>
          <w:sz w:val="24"/>
        </w:rPr>
      </w:pPr>
      <w:r>
        <w:rPr>
          <w:rFonts w:hint="eastAsia" w:ascii="宋体" w:hAnsi="宋体" w:cs="宋体"/>
          <w:sz w:val="24"/>
        </w:rPr>
        <w:t>评审小组:</w:t>
      </w:r>
    </w:p>
    <w:p>
      <w:pPr>
        <w:adjustRightInd w:val="0"/>
        <w:snapToGrid w:val="0"/>
        <w:spacing w:line="600" w:lineRule="exact"/>
        <w:ind w:firstLine="530" w:firstLineChars="221"/>
        <w:jc w:val="both"/>
        <w:rPr>
          <w:rFonts w:ascii="宋体" w:hAnsi="宋体" w:cs="宋体"/>
          <w:sz w:val="24"/>
        </w:rPr>
      </w:pPr>
      <w:r>
        <w:rPr>
          <w:rFonts w:hint="eastAsia" w:ascii="宋体" w:hAnsi="宋体" w:cs="宋体"/>
          <w:sz w:val="24"/>
        </w:rPr>
        <w:t>问题澄清通知(编号:</w:t>
      </w:r>
      <w:r>
        <w:rPr>
          <w:rFonts w:hint="eastAsia" w:ascii="宋体" w:hAnsi="宋体" w:cs="宋体"/>
          <w:sz w:val="24"/>
          <w:u w:val="single"/>
        </w:rPr>
        <w:t xml:space="preserve">                </w:t>
      </w:r>
      <w:r>
        <w:rPr>
          <w:rFonts w:hint="eastAsia" w:ascii="宋体" w:hAnsi="宋体" w:cs="宋体"/>
          <w:sz w:val="24"/>
        </w:rPr>
        <w:t>)已收悉，现澄清、说明和补正如下：</w:t>
      </w:r>
    </w:p>
    <w:p>
      <w:pPr>
        <w:adjustRightInd w:val="0"/>
        <w:snapToGrid w:val="0"/>
        <w:spacing w:line="600" w:lineRule="exact"/>
        <w:ind w:firstLine="530" w:firstLineChars="221"/>
        <w:jc w:val="both"/>
        <w:rPr>
          <w:rFonts w:ascii="宋体" w:hAnsi="宋体" w:cs="宋体"/>
          <w:sz w:val="24"/>
        </w:rPr>
      </w:pPr>
      <w:r>
        <w:rPr>
          <w:rFonts w:hint="eastAsia" w:ascii="宋体" w:hAnsi="宋体" w:cs="宋体"/>
          <w:sz w:val="24"/>
        </w:rPr>
        <w:t>1.</w:t>
      </w:r>
    </w:p>
    <w:p>
      <w:pPr>
        <w:adjustRightInd w:val="0"/>
        <w:snapToGrid w:val="0"/>
        <w:spacing w:line="600" w:lineRule="exact"/>
        <w:ind w:firstLine="530" w:firstLineChars="221"/>
        <w:jc w:val="both"/>
        <w:rPr>
          <w:rFonts w:ascii="宋体" w:hAnsi="宋体" w:cs="宋体"/>
          <w:sz w:val="24"/>
        </w:rPr>
      </w:pPr>
      <w:r>
        <w:rPr>
          <w:rFonts w:hint="eastAsia" w:ascii="宋体" w:hAnsi="宋体" w:cs="宋体"/>
          <w:sz w:val="24"/>
        </w:rPr>
        <w:t>2.</w:t>
      </w:r>
    </w:p>
    <w:p>
      <w:pPr>
        <w:adjustRightInd w:val="0"/>
        <w:snapToGrid w:val="0"/>
        <w:spacing w:line="600" w:lineRule="exact"/>
        <w:ind w:firstLine="530" w:firstLineChars="221"/>
        <w:jc w:val="both"/>
        <w:rPr>
          <w:rFonts w:ascii="宋体" w:hAnsi="宋体" w:cs="宋体"/>
          <w:sz w:val="24"/>
        </w:rPr>
      </w:pPr>
      <w:r>
        <w:rPr>
          <w:rFonts w:hint="eastAsia" w:ascii="宋体" w:hAnsi="宋体" w:cs="宋体"/>
          <w:sz w:val="24"/>
        </w:rPr>
        <w:t>......</w:t>
      </w:r>
    </w:p>
    <w:p>
      <w:pPr>
        <w:adjustRightInd w:val="0"/>
        <w:snapToGrid w:val="0"/>
        <w:spacing w:line="600" w:lineRule="exact"/>
        <w:ind w:firstLine="530" w:firstLineChars="221"/>
        <w:jc w:val="both"/>
        <w:rPr>
          <w:rFonts w:ascii="宋体" w:hAnsi="宋体" w:cs="宋体"/>
          <w:sz w:val="24"/>
        </w:rPr>
      </w:pPr>
      <w:r>
        <w:rPr>
          <w:rFonts w:hint="eastAsia" w:ascii="宋体" w:hAnsi="宋体" w:cs="宋体"/>
          <w:sz w:val="24"/>
        </w:rPr>
        <w:t>上述问题澄清、说明和补正，构成我方响应文件的组成部分。</w:t>
      </w:r>
    </w:p>
    <w:p>
      <w:pPr>
        <w:adjustRightInd w:val="0"/>
        <w:snapToGrid w:val="0"/>
        <w:spacing w:line="600" w:lineRule="exact"/>
        <w:ind w:firstLine="530" w:firstLineChars="221"/>
        <w:jc w:val="both"/>
        <w:rPr>
          <w:rFonts w:ascii="宋体" w:hAnsi="宋体" w:cs="宋体"/>
          <w:sz w:val="24"/>
        </w:rPr>
      </w:pPr>
    </w:p>
    <w:p>
      <w:pPr>
        <w:adjustRightInd w:val="0"/>
        <w:snapToGrid w:val="0"/>
        <w:spacing w:line="600" w:lineRule="exact"/>
        <w:ind w:firstLine="5090" w:firstLineChars="2121"/>
        <w:jc w:val="both"/>
        <w:rPr>
          <w:rFonts w:ascii="宋体" w:hAnsi="宋体" w:cs="宋体"/>
          <w:sz w:val="24"/>
          <w:u w:val="single"/>
        </w:rPr>
      </w:pPr>
      <w:r>
        <w:rPr>
          <w:rFonts w:hint="eastAsia" w:ascii="宋体" w:hAnsi="宋体" w:cs="宋体"/>
          <w:sz w:val="24"/>
          <w:lang w:eastAsia="zh-CN"/>
        </w:rPr>
        <w:t>服务商</w:t>
      </w:r>
      <w:r>
        <w:rPr>
          <w:rFonts w:hint="eastAsia" w:ascii="宋体" w:hAnsi="宋体" w:cs="宋体"/>
          <w:sz w:val="24"/>
        </w:rPr>
        <w:t xml:space="preserve">: </w:t>
      </w:r>
      <w:r>
        <w:rPr>
          <w:rFonts w:hint="eastAsia" w:ascii="宋体" w:hAnsi="宋体" w:cs="宋体"/>
          <w:sz w:val="24"/>
          <w:u w:val="single"/>
        </w:rPr>
        <w:t xml:space="preserve">        (盖单位章)      </w:t>
      </w:r>
    </w:p>
    <w:p>
      <w:pPr>
        <w:adjustRightInd w:val="0"/>
        <w:snapToGrid w:val="0"/>
        <w:spacing w:line="600" w:lineRule="exact"/>
        <w:ind w:firstLine="3410" w:firstLineChars="1421"/>
        <w:jc w:val="both"/>
        <w:rPr>
          <w:rFonts w:ascii="宋体" w:hAnsi="宋体" w:cs="宋体"/>
          <w:sz w:val="24"/>
          <w:u w:val="single"/>
        </w:rPr>
      </w:pPr>
      <w:r>
        <w:rPr>
          <w:rFonts w:hint="eastAsia" w:ascii="宋体" w:hAnsi="宋体" w:cs="宋体"/>
          <w:sz w:val="24"/>
        </w:rPr>
        <w:t>法定代表人(单位负责人)或其授权的代理人:</w:t>
      </w:r>
      <w:r>
        <w:rPr>
          <w:rFonts w:hint="eastAsia" w:ascii="宋体" w:hAnsi="宋体" w:cs="宋体"/>
          <w:sz w:val="24"/>
          <w:u w:val="single"/>
        </w:rPr>
        <w:t xml:space="preserve">  (签字)  </w:t>
      </w:r>
    </w:p>
    <w:p>
      <w:pPr>
        <w:spacing w:line="600" w:lineRule="exact"/>
        <w:ind w:firstLine="5570" w:firstLineChars="2321"/>
        <w:jc w:val="both"/>
        <w:rPr>
          <w:rFonts w:ascii="宋体" w:hAnsi="宋体" w:cs="宋体"/>
          <w:sz w:val="24"/>
        </w:rPr>
      </w:pP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r>
        <w:rPr>
          <w:rFonts w:hint="eastAsia" w:ascii="宋体" w:hAnsi="宋体" w:cs="宋体"/>
          <w:sz w:val="24"/>
        </w:rPr>
        <w:br w:type="page"/>
      </w:r>
    </w:p>
    <w:p>
      <w:pPr>
        <w:adjustRightInd w:val="0"/>
        <w:snapToGrid w:val="0"/>
        <w:spacing w:line="600" w:lineRule="exact"/>
        <w:ind w:firstLine="567" w:firstLineChars="189"/>
        <w:rPr>
          <w:rFonts w:ascii="宋体" w:hAnsi="宋体" w:cs="宋体"/>
          <w:sz w:val="30"/>
          <w:szCs w:val="30"/>
        </w:rPr>
      </w:pPr>
      <w:r>
        <w:rPr>
          <w:rFonts w:hint="eastAsia" w:ascii="宋体" w:hAnsi="宋体" w:cs="宋体"/>
          <w:sz w:val="30"/>
          <w:szCs w:val="30"/>
        </w:rPr>
        <w:t>附件4  成交通知书</w:t>
      </w:r>
    </w:p>
    <w:p>
      <w:pPr>
        <w:adjustRightInd w:val="0"/>
        <w:snapToGrid w:val="0"/>
        <w:spacing w:line="600" w:lineRule="exact"/>
        <w:jc w:val="center"/>
        <w:rPr>
          <w:rFonts w:ascii="宋体" w:hAnsi="宋体" w:cs="宋体"/>
          <w:b/>
          <w:bCs/>
          <w:sz w:val="36"/>
          <w:szCs w:val="36"/>
        </w:rPr>
      </w:pPr>
    </w:p>
    <w:p>
      <w:pPr>
        <w:adjustRightInd w:val="0"/>
        <w:snapToGrid w:val="0"/>
        <w:spacing w:line="600" w:lineRule="exact"/>
        <w:jc w:val="center"/>
        <w:rPr>
          <w:rFonts w:ascii="宋体" w:hAnsi="宋体" w:cs="宋体"/>
          <w:b/>
          <w:bCs/>
          <w:sz w:val="36"/>
          <w:szCs w:val="36"/>
        </w:rPr>
      </w:pPr>
      <w:r>
        <w:rPr>
          <w:rFonts w:hint="eastAsia" w:ascii="宋体" w:hAnsi="宋体" w:cs="宋体"/>
          <w:b/>
          <w:bCs/>
          <w:sz w:val="36"/>
          <w:szCs w:val="36"/>
        </w:rPr>
        <w:t>成交通知书</w:t>
      </w:r>
    </w:p>
    <w:p>
      <w:pPr>
        <w:adjustRightInd w:val="0"/>
        <w:snapToGrid w:val="0"/>
        <w:spacing w:line="600" w:lineRule="exact"/>
        <w:ind w:firstLine="723" w:firstLineChars="200"/>
        <w:jc w:val="both"/>
        <w:rPr>
          <w:rFonts w:ascii="宋体" w:hAnsi="宋体" w:cs="宋体"/>
          <w:b/>
          <w:bCs/>
          <w:sz w:val="36"/>
          <w:szCs w:val="36"/>
        </w:rPr>
      </w:pPr>
    </w:p>
    <w:p>
      <w:pPr>
        <w:adjustRightInd w:val="0"/>
        <w:snapToGrid w:val="0"/>
        <w:spacing w:line="600" w:lineRule="exact"/>
        <w:ind w:firstLine="480" w:firstLineChars="200"/>
        <w:jc w:val="both"/>
        <w:rPr>
          <w:rFonts w:ascii="宋体" w:hAnsi="宋体" w:cs="宋体"/>
          <w:sz w:val="24"/>
        </w:rPr>
      </w:pPr>
      <w:r>
        <w:rPr>
          <w:rFonts w:hint="eastAsia" w:ascii="宋体" w:hAnsi="宋体" w:cs="宋体"/>
          <w:sz w:val="24"/>
          <w:u w:val="single"/>
        </w:rPr>
        <w:t>(成交</w:t>
      </w:r>
      <w:r>
        <w:rPr>
          <w:rFonts w:hint="eastAsia" w:ascii="宋体" w:hAnsi="宋体" w:cs="宋体"/>
          <w:sz w:val="24"/>
          <w:u w:val="single"/>
          <w:lang w:eastAsia="zh-CN"/>
        </w:rPr>
        <w:t>服务商</w:t>
      </w:r>
      <w:r>
        <w:rPr>
          <w:rFonts w:hint="eastAsia" w:ascii="宋体" w:hAnsi="宋体" w:cs="宋体"/>
          <w:sz w:val="24"/>
          <w:u w:val="single"/>
        </w:rPr>
        <w:t>名称)</w:t>
      </w:r>
      <w:r>
        <w:rPr>
          <w:rFonts w:hint="eastAsia" w:ascii="宋体" w:hAnsi="宋体" w:cs="宋体"/>
          <w:sz w:val="24"/>
        </w:rPr>
        <w:t>:</w:t>
      </w:r>
    </w:p>
    <w:p>
      <w:pPr>
        <w:adjustRightInd w:val="0"/>
        <w:snapToGrid w:val="0"/>
        <w:spacing w:line="600" w:lineRule="exact"/>
        <w:ind w:firstLine="480" w:firstLineChars="200"/>
        <w:jc w:val="both"/>
        <w:rPr>
          <w:rFonts w:ascii="宋体" w:hAnsi="宋体" w:cs="宋体"/>
          <w:sz w:val="24"/>
        </w:rPr>
      </w:pPr>
      <w:r>
        <w:rPr>
          <w:rFonts w:hint="eastAsia" w:ascii="宋体" w:hAnsi="宋体" w:cs="宋体"/>
          <w:sz w:val="24"/>
        </w:rPr>
        <w:t>你方所递交的</w:t>
      </w:r>
      <w:r>
        <w:rPr>
          <w:rFonts w:hint="eastAsia" w:ascii="宋体" w:hAnsi="宋体" w:cs="宋体"/>
          <w:sz w:val="24"/>
          <w:u w:val="single"/>
        </w:rPr>
        <w:t>(项目名称)</w:t>
      </w:r>
      <w:r>
        <w:rPr>
          <w:rFonts w:hint="eastAsia" w:ascii="宋体" w:hAnsi="宋体" w:cs="宋体"/>
          <w:sz w:val="24"/>
        </w:rPr>
        <w:t>的响应文件已被我方接受，被确定为成交</w:t>
      </w:r>
      <w:r>
        <w:rPr>
          <w:rFonts w:hint="eastAsia" w:ascii="宋体" w:hAnsi="宋体" w:cs="宋体"/>
          <w:sz w:val="24"/>
          <w:lang w:eastAsia="zh-CN"/>
        </w:rPr>
        <w:t>服务商</w:t>
      </w:r>
      <w:r>
        <w:rPr>
          <w:rFonts w:hint="eastAsia" w:ascii="宋体" w:hAnsi="宋体" w:cs="宋体"/>
          <w:sz w:val="24"/>
        </w:rPr>
        <w:t>。</w:t>
      </w:r>
    </w:p>
    <w:p>
      <w:pPr>
        <w:adjustRightInd w:val="0"/>
        <w:snapToGrid w:val="0"/>
        <w:spacing w:line="600" w:lineRule="exact"/>
        <w:ind w:firstLine="480" w:firstLineChars="200"/>
        <w:jc w:val="both"/>
        <w:rPr>
          <w:rFonts w:ascii="宋体" w:hAnsi="宋体" w:cs="宋体"/>
          <w:sz w:val="24"/>
          <w:u w:val="single"/>
        </w:rPr>
      </w:pPr>
      <w:r>
        <w:rPr>
          <w:rFonts w:hint="eastAsia" w:ascii="宋体" w:hAnsi="宋体" w:cs="宋体"/>
          <w:sz w:val="24"/>
        </w:rPr>
        <w:t>成交价:</w:t>
      </w:r>
      <w:r>
        <w:rPr>
          <w:rFonts w:hint="eastAsia" w:ascii="宋体" w:hAnsi="宋体" w:cs="宋体"/>
          <w:sz w:val="24"/>
          <w:u w:val="single"/>
        </w:rPr>
        <w:t xml:space="preserve">         </w:t>
      </w:r>
      <w:r>
        <w:rPr>
          <w:rFonts w:hint="eastAsia" w:ascii="宋体" w:hAnsi="宋体" w:cs="宋体"/>
          <w:sz w:val="24"/>
        </w:rPr>
        <w:t xml:space="preserve"> 。</w:t>
      </w:r>
    </w:p>
    <w:p>
      <w:pPr>
        <w:adjustRightInd w:val="0"/>
        <w:snapToGrid w:val="0"/>
        <w:spacing w:line="600" w:lineRule="exact"/>
        <w:ind w:firstLine="480" w:firstLineChars="200"/>
        <w:jc w:val="both"/>
        <w:rPr>
          <w:rFonts w:ascii="宋体" w:hAnsi="宋体" w:cs="宋体"/>
          <w:sz w:val="24"/>
        </w:rPr>
      </w:pPr>
      <w:r>
        <w:rPr>
          <w:rFonts w:hint="eastAsia" w:ascii="宋体" w:hAnsi="宋体" w:cs="宋体"/>
          <w:sz w:val="24"/>
        </w:rPr>
        <w:t>请你方在接到本通知书后的</w:t>
      </w:r>
      <w:r>
        <w:rPr>
          <w:rFonts w:hint="eastAsia" w:ascii="宋体" w:hAnsi="宋体" w:cs="宋体"/>
          <w:sz w:val="24"/>
          <w:u w:val="single"/>
        </w:rPr>
        <w:t xml:space="preserve">    </w:t>
      </w:r>
      <w:r>
        <w:rPr>
          <w:rFonts w:hint="eastAsia" w:ascii="宋体" w:hAnsi="宋体" w:cs="宋体"/>
          <w:sz w:val="24"/>
        </w:rPr>
        <w:t>日内到</w:t>
      </w:r>
      <w:r>
        <w:rPr>
          <w:rFonts w:hint="eastAsia" w:ascii="宋体" w:hAnsi="宋体" w:cs="宋体"/>
          <w:sz w:val="24"/>
          <w:u w:val="single"/>
        </w:rPr>
        <w:t>(指定地点)</w:t>
      </w:r>
      <w:r>
        <w:rPr>
          <w:rFonts w:hint="eastAsia" w:ascii="宋体" w:hAnsi="宋体" w:cs="宋体"/>
          <w:sz w:val="24"/>
        </w:rPr>
        <w:t>与我方签订采购合同，并按采购文件第二章“</w:t>
      </w:r>
      <w:r>
        <w:rPr>
          <w:rFonts w:hint="eastAsia" w:ascii="宋体" w:hAnsi="宋体" w:cs="宋体"/>
          <w:sz w:val="24"/>
          <w:lang w:eastAsia="zh-CN"/>
        </w:rPr>
        <w:t>服务商</w:t>
      </w:r>
      <w:r>
        <w:rPr>
          <w:rFonts w:hint="eastAsia" w:ascii="宋体" w:hAnsi="宋体" w:cs="宋体"/>
          <w:sz w:val="24"/>
        </w:rPr>
        <w:t>须知”第7.6款规定向我方递交履约保证金。</w:t>
      </w:r>
    </w:p>
    <w:p>
      <w:pPr>
        <w:adjustRightInd w:val="0"/>
        <w:snapToGrid w:val="0"/>
        <w:spacing w:line="600" w:lineRule="exact"/>
        <w:ind w:firstLine="480" w:firstLineChars="200"/>
        <w:jc w:val="both"/>
        <w:rPr>
          <w:rFonts w:ascii="宋体" w:hAnsi="宋体" w:cs="宋体"/>
          <w:sz w:val="24"/>
        </w:rPr>
      </w:pPr>
      <w:r>
        <w:rPr>
          <w:rFonts w:hint="eastAsia" w:ascii="宋体" w:hAnsi="宋体" w:cs="宋体"/>
          <w:sz w:val="24"/>
        </w:rPr>
        <w:t>特此通知。</w:t>
      </w:r>
    </w:p>
    <w:p>
      <w:pPr>
        <w:adjustRightInd w:val="0"/>
        <w:snapToGrid w:val="0"/>
        <w:spacing w:line="600" w:lineRule="exact"/>
        <w:ind w:firstLine="480" w:firstLineChars="200"/>
        <w:jc w:val="both"/>
        <w:rPr>
          <w:rFonts w:ascii="宋体" w:hAnsi="宋体" w:cs="宋体"/>
          <w:sz w:val="24"/>
        </w:rPr>
      </w:pPr>
    </w:p>
    <w:p>
      <w:pPr>
        <w:adjustRightInd w:val="0"/>
        <w:snapToGrid w:val="0"/>
        <w:spacing w:line="600" w:lineRule="exact"/>
        <w:ind w:firstLine="4080" w:firstLineChars="1700"/>
        <w:jc w:val="both"/>
        <w:rPr>
          <w:rFonts w:ascii="宋体" w:hAnsi="宋体" w:cs="宋体"/>
          <w:sz w:val="24"/>
          <w:u w:val="single"/>
        </w:rPr>
      </w:pPr>
      <w:r>
        <w:rPr>
          <w:rFonts w:hint="eastAsia" w:ascii="宋体" w:hAnsi="宋体" w:cs="宋体"/>
          <w:sz w:val="24"/>
        </w:rPr>
        <w:t>采购人(或采购代理机构):</w:t>
      </w:r>
      <w:r>
        <w:rPr>
          <w:rFonts w:hint="eastAsia" w:ascii="宋体" w:hAnsi="宋体" w:cs="宋体"/>
          <w:sz w:val="24"/>
          <w:u w:val="single"/>
        </w:rPr>
        <w:t xml:space="preserve">   (盖单位章)      </w:t>
      </w:r>
    </w:p>
    <w:p>
      <w:pPr>
        <w:adjustRightInd w:val="0"/>
        <w:snapToGrid w:val="0"/>
        <w:spacing w:line="600" w:lineRule="exact"/>
        <w:ind w:firstLine="5760" w:firstLineChars="2400"/>
        <w:jc w:val="both"/>
        <w:rPr>
          <w:rFonts w:ascii="宋体" w:hAnsi="宋体" w:cs="宋体"/>
          <w:sz w:val="30"/>
          <w:szCs w:val="30"/>
        </w:rPr>
      </w:pP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r>
        <w:rPr>
          <w:rFonts w:hint="eastAsia" w:ascii="宋体" w:hAnsi="宋体" w:cs="宋体"/>
          <w:sz w:val="30"/>
          <w:szCs w:val="30"/>
        </w:rPr>
        <w:br w:type="page"/>
      </w:r>
    </w:p>
    <w:p>
      <w:pPr>
        <w:spacing w:line="240" w:lineRule="auto"/>
        <w:jc w:val="center"/>
        <w:rPr>
          <w:rFonts w:ascii="黑体" w:hAnsi="黑体" w:eastAsia="黑体" w:cs="仿宋"/>
          <w:bCs/>
          <w:sz w:val="36"/>
          <w:szCs w:val="36"/>
        </w:rPr>
      </w:pPr>
      <w:bookmarkStart w:id="19" w:name="_Toc27750"/>
      <w:r>
        <w:rPr>
          <w:rFonts w:hint="eastAsia" w:ascii="黑体" w:hAnsi="黑体" w:eastAsia="黑体" w:cs="仿宋"/>
          <w:bCs/>
          <w:sz w:val="36"/>
          <w:szCs w:val="36"/>
        </w:rPr>
        <w:t>第三章 评审办法</w:t>
      </w:r>
      <w:bookmarkEnd w:id="19"/>
    </w:p>
    <w:p>
      <w:pPr>
        <w:adjustRightInd w:val="0"/>
        <w:snapToGrid w:val="0"/>
        <w:spacing w:before="120" w:beforeLines="50" w:after="120" w:afterLines="50" w:line="312" w:lineRule="auto"/>
        <w:jc w:val="center"/>
        <w:rPr>
          <w:rFonts w:ascii="黑体" w:hAnsi="黑体" w:eastAsia="黑体" w:cs="仿宋"/>
          <w:bCs/>
          <w:sz w:val="32"/>
          <w:szCs w:val="32"/>
        </w:rPr>
      </w:pPr>
      <w:r>
        <w:rPr>
          <w:rFonts w:hint="eastAsia" w:ascii="黑体" w:hAnsi="黑体" w:eastAsia="黑体" w:cs="仿宋"/>
          <w:bCs/>
          <w:sz w:val="32"/>
          <w:szCs w:val="32"/>
        </w:rPr>
        <w:t>评审办法前附表</w:t>
      </w:r>
    </w:p>
    <w:tbl>
      <w:tblPr>
        <w:tblStyle w:val="38"/>
        <w:tblW w:w="97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1252"/>
        <w:gridCol w:w="1687"/>
        <w:gridCol w:w="55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522" w:type="dxa"/>
            <w:gridSpan w:val="2"/>
            <w:vAlign w:val="center"/>
          </w:tcPr>
          <w:p>
            <w:pPr>
              <w:widowControl/>
              <w:adjustRightInd w:val="0"/>
              <w:snapToGrid w:val="0"/>
              <w:spacing w:line="288" w:lineRule="auto"/>
              <w:jc w:val="center"/>
              <w:rPr>
                <w:rFonts w:cs="仿宋" w:asciiTheme="minorEastAsia" w:hAnsiTheme="minorEastAsia" w:eastAsiaTheme="minorEastAsia"/>
                <w:szCs w:val="21"/>
              </w:rPr>
            </w:pPr>
            <w:r>
              <w:rPr>
                <w:rFonts w:hint="eastAsia" w:cs="仿宋" w:asciiTheme="minorEastAsia" w:hAnsiTheme="minorEastAsia" w:eastAsiaTheme="minorEastAsia"/>
                <w:szCs w:val="21"/>
              </w:rPr>
              <w:t>条款号及名称</w:t>
            </w:r>
          </w:p>
        </w:tc>
        <w:tc>
          <w:tcPr>
            <w:tcW w:w="1687" w:type="dxa"/>
            <w:vAlign w:val="center"/>
          </w:tcPr>
          <w:p>
            <w:pPr>
              <w:widowControl/>
              <w:adjustRightInd w:val="0"/>
              <w:snapToGrid w:val="0"/>
              <w:spacing w:line="288" w:lineRule="auto"/>
              <w:jc w:val="center"/>
              <w:rPr>
                <w:rFonts w:cs="仿宋" w:asciiTheme="minorEastAsia" w:hAnsiTheme="minorEastAsia" w:eastAsiaTheme="minorEastAsia"/>
                <w:szCs w:val="21"/>
              </w:rPr>
            </w:pPr>
            <w:r>
              <w:rPr>
                <w:rFonts w:hint="eastAsia" w:cs="仿宋" w:asciiTheme="minorEastAsia" w:hAnsiTheme="minorEastAsia" w:eastAsiaTheme="minorEastAsia"/>
                <w:szCs w:val="21"/>
              </w:rPr>
              <w:t>评审因素</w:t>
            </w:r>
          </w:p>
        </w:tc>
        <w:tc>
          <w:tcPr>
            <w:tcW w:w="5562" w:type="dxa"/>
            <w:vAlign w:val="center"/>
          </w:tcPr>
          <w:p>
            <w:pPr>
              <w:widowControl/>
              <w:adjustRightInd w:val="0"/>
              <w:snapToGrid w:val="0"/>
              <w:spacing w:line="288" w:lineRule="auto"/>
              <w:jc w:val="center"/>
              <w:rPr>
                <w:rFonts w:cs="仿宋" w:asciiTheme="minorEastAsia" w:hAnsiTheme="minorEastAsia" w:eastAsiaTheme="minorEastAsia"/>
                <w:szCs w:val="21"/>
              </w:rPr>
            </w:pPr>
            <w:r>
              <w:rPr>
                <w:rFonts w:hint="eastAsia" w:cs="仿宋" w:asciiTheme="minorEastAsia" w:hAnsiTheme="minorEastAsia" w:eastAsiaTheme="minorEastAsia"/>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1</w:t>
            </w:r>
          </w:p>
        </w:tc>
        <w:tc>
          <w:tcPr>
            <w:tcW w:w="125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评审方法</w:t>
            </w: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评审方法</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最低价法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restart"/>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2.1.1</w:t>
            </w:r>
          </w:p>
        </w:tc>
        <w:tc>
          <w:tcPr>
            <w:tcW w:w="1252" w:type="dxa"/>
            <w:vMerge w:val="restart"/>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形式评审标准</w:t>
            </w: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供应商名称</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响应文件签字盖章</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符合第二章第3.7.2项及第3.7.3项的规定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响应函中实质性内容</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是否响应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restart"/>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2.1.2</w:t>
            </w:r>
          </w:p>
        </w:tc>
        <w:tc>
          <w:tcPr>
            <w:tcW w:w="1252" w:type="dxa"/>
            <w:vMerge w:val="restart"/>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资格评审标准</w:t>
            </w: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依法设立</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符合第一章第3.1款及供应商须知前附表第3.5（1）款规定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资质要求</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符合第一章第3.1款及供应商须知前附表第3.5（2）款规定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财务要求</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符合第一章第3.1款及供应商须知前附表第3.5（3）款规定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业绩要求</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符合第一章第3.1款及供应商须知前附表第3.5（4）款规定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信誉要求</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符合第一章第3.1款及供应商须知前附表第3.5（5）款规定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人员要求</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符合第一章第3.1款及供应商须知前附表第3.5（6）款规定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其他要求</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符合第一章第3.1款及供应商须知前附表第3.5（7）款规定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不存在第一章第3.2款情形</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符合第一章第3.1款及供应商须知前附表第3.5（8）款规定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0" w:type="dxa"/>
            <w:vMerge w:val="restart"/>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2.1.3</w:t>
            </w:r>
          </w:p>
        </w:tc>
        <w:tc>
          <w:tcPr>
            <w:tcW w:w="1252" w:type="dxa"/>
            <w:vMerge w:val="restart"/>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响应性评审标准</w:t>
            </w: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报价</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符合第二章第3.2款规定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响应文件有效期</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符合第二章第3.3.1项规定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响应保证金</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符合第二章第3.4.1项规定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响应方案</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符合第二章第3.6款规定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质量标准</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符合第一章第2条规定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完成期限</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符合第一章第2条规定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合同条款</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符合第二章第1.10.1项规定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对非关键条款的偏差</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偏差范围和偏差项数符合第二章第1.10.2项的规定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0"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2.2.2</w:t>
            </w:r>
          </w:p>
        </w:tc>
        <w:tc>
          <w:tcPr>
            <w:tcW w:w="1252" w:type="dxa"/>
          </w:tcPr>
          <w:p>
            <w:pPr>
              <w:widowControl/>
              <w:adjustRightInd w:val="0"/>
              <w:snapToGrid w:val="0"/>
              <w:spacing w:line="288" w:lineRule="auto"/>
              <w:jc w:val="both"/>
              <w:rPr>
                <w:rFonts w:cs="仿宋" w:asciiTheme="minorEastAsia" w:hAnsiTheme="minorEastAsia" w:eastAsiaTheme="minorEastAsia"/>
                <w:szCs w:val="21"/>
              </w:rPr>
            </w:pP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评审价格</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大写含税价格。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1" w:type="dxa"/>
            <w:gridSpan w:val="4"/>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3 详细评审标准和程序（最低价法）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22" w:type="dxa"/>
            <w:gridSpan w:val="2"/>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条款号</w:t>
            </w:r>
          </w:p>
        </w:tc>
        <w:tc>
          <w:tcPr>
            <w:tcW w:w="1687"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条款内容</w:t>
            </w:r>
          </w:p>
        </w:tc>
        <w:tc>
          <w:tcPr>
            <w:tcW w:w="5562" w:type="dxa"/>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22" w:type="dxa"/>
            <w:gridSpan w:val="2"/>
          </w:tcPr>
          <w:p>
            <w:pPr>
              <w:widowControl/>
              <w:adjustRightInd w:val="0"/>
              <w:snapToGrid w:val="0"/>
              <w:spacing w:line="288" w:lineRule="auto"/>
              <w:jc w:val="both"/>
              <w:rPr>
                <w:rFonts w:cs="仿宋" w:asciiTheme="minorEastAsia" w:hAnsiTheme="minorEastAsia" w:eastAsiaTheme="minorEastAsia"/>
                <w:szCs w:val="21"/>
              </w:rPr>
            </w:pPr>
            <w:r>
              <w:rPr>
                <w:rFonts w:hint="eastAsia" w:cs="仿宋" w:asciiTheme="minorEastAsia" w:hAnsiTheme="minorEastAsia" w:eastAsiaTheme="minorEastAsia"/>
                <w:szCs w:val="21"/>
              </w:rPr>
              <w:t>3</w:t>
            </w:r>
          </w:p>
        </w:tc>
        <w:tc>
          <w:tcPr>
            <w:tcW w:w="1687" w:type="dxa"/>
            <w:vAlign w:val="center"/>
          </w:tcPr>
          <w:p>
            <w:pPr>
              <w:widowControl w:val="0"/>
              <w:spacing w:line="288" w:lineRule="auto"/>
              <w:jc w:val="center"/>
              <w:rPr>
                <w:rFonts w:asciiTheme="minorEastAsia" w:hAnsiTheme="minorEastAsia" w:eastAsiaTheme="minorEastAsia"/>
                <w:szCs w:val="21"/>
              </w:rPr>
            </w:pPr>
            <w:r>
              <w:rPr>
                <w:rFonts w:hint="eastAsia" w:asciiTheme="minorEastAsia" w:hAnsiTheme="minorEastAsia" w:eastAsiaTheme="minorEastAsia"/>
                <w:szCs w:val="21"/>
              </w:rPr>
              <w:t>报价</w:t>
            </w:r>
          </w:p>
        </w:tc>
        <w:tc>
          <w:tcPr>
            <w:tcW w:w="5562" w:type="dxa"/>
          </w:tcPr>
          <w:p>
            <w:pPr>
              <w:widowControl w:val="0"/>
              <w:adjustRightInd w:val="0"/>
              <w:snapToGrid w:val="0"/>
              <w:spacing w:line="288" w:lineRule="auto"/>
              <w:jc w:val="both"/>
              <w:rPr>
                <w:rFonts w:cs="仿宋" w:asciiTheme="minorEastAsia" w:hAnsiTheme="minorEastAsia" w:eastAsiaTheme="minorEastAsia"/>
                <w:szCs w:val="21"/>
              </w:rPr>
            </w:pPr>
            <w:r>
              <w:rPr>
                <w:rFonts w:hint="eastAsia" w:asciiTheme="minorEastAsia" w:hAnsiTheme="minorEastAsia" w:eastAsiaTheme="minorEastAsia"/>
                <w:szCs w:val="21"/>
              </w:rPr>
              <w:t>根据</w:t>
            </w:r>
            <w:r>
              <w:rPr>
                <w:rFonts w:asciiTheme="minorEastAsia" w:hAnsiTheme="minorEastAsia" w:eastAsiaTheme="minorEastAsia"/>
                <w:szCs w:val="21"/>
              </w:rPr>
              <w:t>2</w:t>
            </w:r>
            <w:r>
              <w:rPr>
                <w:rFonts w:hint="eastAsia" w:asciiTheme="minorEastAsia" w:hAnsiTheme="minorEastAsia" w:eastAsiaTheme="minorEastAsia"/>
                <w:szCs w:val="21"/>
              </w:rPr>
              <w:t>.</w:t>
            </w:r>
            <w:r>
              <w:rPr>
                <w:rFonts w:asciiTheme="minorEastAsia" w:hAnsiTheme="minorEastAsia" w:eastAsiaTheme="minorEastAsia"/>
                <w:szCs w:val="21"/>
              </w:rPr>
              <w:t>2</w:t>
            </w:r>
            <w:r>
              <w:rPr>
                <w:rFonts w:hint="eastAsia" w:asciiTheme="minorEastAsia" w:hAnsiTheme="minorEastAsia" w:eastAsiaTheme="minorEastAsia"/>
                <w:szCs w:val="21"/>
              </w:rPr>
              <w:t>.</w:t>
            </w:r>
            <w:r>
              <w:rPr>
                <w:rFonts w:asciiTheme="minorEastAsia" w:hAnsiTheme="minorEastAsia" w:eastAsiaTheme="minorEastAsia"/>
                <w:szCs w:val="21"/>
              </w:rPr>
              <w:t>2</w:t>
            </w:r>
            <w:r>
              <w:rPr>
                <w:rFonts w:hint="eastAsia" w:asciiTheme="minorEastAsia" w:hAnsiTheme="minorEastAsia" w:eastAsiaTheme="minorEastAsia"/>
                <w:szCs w:val="21"/>
              </w:rPr>
              <w:t>条规定，</w:t>
            </w:r>
            <w:r>
              <w:rPr>
                <w:rFonts w:hint="eastAsia" w:cs="仿宋" w:asciiTheme="minorEastAsia" w:hAnsiTheme="minorEastAsia" w:eastAsiaTheme="minorEastAsia"/>
                <w:szCs w:val="21"/>
              </w:rPr>
              <w:t>按照评审价格由低到高的顺序推荐成交候选供应商。</w:t>
            </w:r>
          </w:p>
        </w:tc>
      </w:tr>
    </w:tbl>
    <w:p>
      <w:pPr>
        <w:spacing w:line="288" w:lineRule="auto"/>
        <w:jc w:val="both"/>
        <w:rPr>
          <w:rFonts w:ascii="宋体" w:hAnsi="宋体" w:cs="仿宋"/>
          <w:sz w:val="24"/>
        </w:rPr>
      </w:pPr>
      <w:r>
        <w:rPr>
          <w:rFonts w:hint="eastAsia" w:ascii="宋体" w:hAnsi="宋体" w:cs="仿宋"/>
          <w:sz w:val="24"/>
        </w:rPr>
        <w:br w:type="page"/>
      </w:r>
    </w:p>
    <w:p>
      <w:pPr>
        <w:adjustRightInd w:val="0"/>
        <w:snapToGrid w:val="0"/>
        <w:spacing w:line="312" w:lineRule="auto"/>
        <w:jc w:val="center"/>
        <w:rPr>
          <w:rFonts w:ascii="宋体" w:hAnsi="宋体" w:cs="仿宋"/>
          <w:b/>
          <w:bCs/>
          <w:sz w:val="36"/>
          <w:szCs w:val="36"/>
        </w:rPr>
      </w:pPr>
      <w:r>
        <w:rPr>
          <w:rFonts w:hint="eastAsia" w:ascii="宋体" w:hAnsi="宋体" w:cs="仿宋"/>
          <w:b/>
          <w:bCs/>
          <w:sz w:val="36"/>
          <w:szCs w:val="36"/>
        </w:rPr>
        <w:t>评审办法正文</w:t>
      </w:r>
    </w:p>
    <w:p>
      <w:pPr>
        <w:adjustRightInd w:val="0"/>
        <w:snapToGrid w:val="0"/>
        <w:spacing w:line="312" w:lineRule="auto"/>
        <w:jc w:val="both"/>
        <w:rPr>
          <w:rFonts w:ascii="宋体" w:hAnsi="宋体" w:cs="仿宋"/>
          <w:b/>
          <w:bCs/>
          <w:sz w:val="36"/>
          <w:szCs w:val="36"/>
        </w:rPr>
      </w:pPr>
    </w:p>
    <w:p>
      <w:pPr>
        <w:adjustRightInd w:val="0"/>
        <w:snapToGrid w:val="0"/>
        <w:spacing w:line="312" w:lineRule="auto"/>
        <w:jc w:val="both"/>
        <w:rPr>
          <w:rFonts w:ascii="宋体" w:hAnsi="宋体" w:cs="仿宋"/>
          <w:b/>
          <w:bCs/>
          <w:sz w:val="24"/>
        </w:rPr>
      </w:pPr>
      <w:r>
        <w:rPr>
          <w:rFonts w:hint="eastAsia" w:ascii="宋体" w:hAnsi="宋体" w:cs="仿宋"/>
          <w:b/>
          <w:bCs/>
          <w:sz w:val="24"/>
        </w:rPr>
        <w:t>1评审方法(最低价法)</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本次评审采用最低价法。评审小组对满足采购文件实质性要求的响应文件按照本章第2.2.2项规定的方法确定供应商响应报价的评审价格，并按照评审价格由低到高的顺序推荐成交候选供应商。</w:t>
      </w:r>
    </w:p>
    <w:p>
      <w:pPr>
        <w:adjustRightInd w:val="0"/>
        <w:snapToGrid w:val="0"/>
        <w:spacing w:line="312" w:lineRule="auto"/>
        <w:jc w:val="both"/>
        <w:rPr>
          <w:rFonts w:ascii="宋体" w:hAnsi="宋体" w:cs="仿宋"/>
          <w:b/>
          <w:bCs/>
          <w:sz w:val="24"/>
        </w:rPr>
      </w:pPr>
      <w:r>
        <w:rPr>
          <w:rFonts w:hint="eastAsia" w:ascii="宋体" w:hAnsi="宋体" w:cs="仿宋"/>
          <w:b/>
          <w:bCs/>
          <w:sz w:val="24"/>
        </w:rPr>
        <w:t>2初步评审标准和程序</w:t>
      </w:r>
    </w:p>
    <w:p>
      <w:pPr>
        <w:adjustRightInd w:val="0"/>
        <w:snapToGrid w:val="0"/>
        <w:spacing w:line="312" w:lineRule="auto"/>
        <w:jc w:val="both"/>
        <w:rPr>
          <w:rFonts w:ascii="宋体" w:hAnsi="宋体" w:cs="仿宋"/>
          <w:b/>
          <w:bCs/>
          <w:sz w:val="24"/>
        </w:rPr>
      </w:pPr>
      <w:r>
        <w:rPr>
          <w:rFonts w:hint="eastAsia" w:ascii="宋体" w:hAnsi="宋体" w:cs="仿宋"/>
          <w:b/>
          <w:bCs/>
          <w:sz w:val="24"/>
        </w:rPr>
        <w:t>2.1初步评审标准</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2.1.1形式评审标准:见评审办法前附表。</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2.1.2资格评审标准:见评审办法前附表。</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2.1.3响应性评审标准:见评审办法前附表。</w:t>
      </w:r>
    </w:p>
    <w:p>
      <w:pPr>
        <w:adjustRightInd w:val="0"/>
        <w:snapToGrid w:val="0"/>
        <w:spacing w:line="312" w:lineRule="auto"/>
        <w:jc w:val="both"/>
        <w:rPr>
          <w:rFonts w:ascii="宋体" w:hAnsi="宋体" w:cs="仿宋"/>
          <w:b/>
          <w:bCs/>
          <w:sz w:val="24"/>
        </w:rPr>
      </w:pPr>
      <w:r>
        <w:rPr>
          <w:rFonts w:hint="eastAsia" w:ascii="宋体" w:hAnsi="宋体" w:cs="仿宋"/>
          <w:b/>
          <w:bCs/>
          <w:sz w:val="24"/>
        </w:rPr>
        <w:t>2.2初步评审程序</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2.2.1评审小组依据本章第2.1款规定的标准对供应商速交的响应文件进行初步评审，判断响应文件的形式是否符合要求，供应商是否符合资格条件，响应文件是否实质性响应采购文件的要求。只有以上评审合格的响应文件才可通过初步评审。</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2.2.2除评审办法前附表另有规定外，评审价格为供应商在响应函中填报的大写含税价格。</w:t>
      </w:r>
    </w:p>
    <w:p>
      <w:pPr>
        <w:adjustRightInd w:val="0"/>
        <w:snapToGrid w:val="0"/>
        <w:spacing w:line="312" w:lineRule="auto"/>
        <w:jc w:val="both"/>
        <w:rPr>
          <w:rFonts w:ascii="宋体" w:hAnsi="宋体" w:cs="仿宋"/>
          <w:sz w:val="24"/>
        </w:rPr>
      </w:pPr>
      <w:r>
        <w:rPr>
          <w:rFonts w:hint="eastAsia" w:ascii="宋体" w:hAnsi="宋体" w:cs="仿宋"/>
          <w:sz w:val="24"/>
        </w:rPr>
        <w:t>提供</w:t>
      </w:r>
      <w:r>
        <w:rPr>
          <w:rFonts w:ascii="宋体" w:hAnsi="宋体" w:cs="仿宋"/>
          <w:sz w:val="24"/>
        </w:rPr>
        <w:t>13%的的增值税专用发票，超过最高限价的作废。如果报价人提供其他税率的增值税专用发票，招标人按13%的的增值税税率调整报价后参</w:t>
      </w:r>
      <w:r>
        <w:rPr>
          <w:rFonts w:hint="eastAsia" w:ascii="宋体" w:hAnsi="宋体" w:cs="仿宋"/>
          <w:sz w:val="24"/>
        </w:rPr>
        <w:t>按照评审价格由低到高的顺序推荐成交候选供应商。税率调整后的评审价格若超过最高限价，其响应文件将被视为无效。</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评审小组经过对供应商的报价进行比较或基于专业经验认为某一供应商的报价异常过低，可能对其履约造成影响时，应当要求该供应商作出书面说明并提供相应的证明材料。供应商不能合理说明或者不能提供相应证明材料的，其响应文件将被视为无效。</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2.2.3响应文件中有含义不明确、同类问题表述不一致或有明显文字和计算错误的内容，评审小组可要求供应商在规定时间内进行澄清、说明和补正。供应商澄清、说明和补正的内容应由法定代表人(单位负责人)或其授权的代理人签字或加盖单位章。澄清、说明和补正不得超出响应文件的范围且不得改变响应文件的实质性内容，并构成响应文件的组成部分。</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响应报价有算术错误及其他错误的，评审小组按以下原则要求供应商对响应报价进行修正，并要求供应商书面澄清确认。供应商拒不澄清确认的，其响应文件将被视为无效:</w:t>
      </w:r>
    </w:p>
    <w:p>
      <w:pPr>
        <w:tabs>
          <w:tab w:val="left" w:pos="312"/>
        </w:tabs>
        <w:adjustRightInd w:val="0"/>
        <w:snapToGrid w:val="0"/>
        <w:spacing w:line="312" w:lineRule="auto"/>
        <w:ind w:firstLine="453" w:firstLineChars="189"/>
        <w:jc w:val="both"/>
        <w:rPr>
          <w:rFonts w:ascii="宋体" w:hAnsi="宋体" w:cs="仿宋"/>
          <w:sz w:val="24"/>
        </w:rPr>
      </w:pPr>
      <w:r>
        <w:rPr>
          <w:rFonts w:hint="eastAsia" w:ascii="宋体" w:hAnsi="宋体" w:cs="仿宋"/>
          <w:sz w:val="24"/>
        </w:rPr>
        <w:t>(1)大写金额与小写金额不一致的，以大写金额为准;</w:t>
      </w:r>
    </w:p>
    <w:p>
      <w:pPr>
        <w:tabs>
          <w:tab w:val="left" w:pos="312"/>
        </w:tabs>
        <w:adjustRightInd w:val="0"/>
        <w:snapToGrid w:val="0"/>
        <w:spacing w:line="312" w:lineRule="auto"/>
        <w:ind w:firstLine="453" w:firstLineChars="189"/>
        <w:jc w:val="both"/>
        <w:rPr>
          <w:rFonts w:ascii="宋体" w:hAnsi="宋体" w:cs="仿宋"/>
          <w:sz w:val="24"/>
        </w:rPr>
      </w:pPr>
      <w:r>
        <w:rPr>
          <w:rFonts w:hint="eastAsia" w:ascii="宋体" w:hAnsi="宋体" w:cs="仿宋"/>
          <w:sz w:val="24"/>
        </w:rPr>
        <w:t>(2)总价金额与单价金额不一致的，以单价金额为准，但单价金额小数点有明显错误的除外;</w:t>
      </w:r>
    </w:p>
    <w:p>
      <w:pPr>
        <w:tabs>
          <w:tab w:val="left" w:pos="312"/>
        </w:tabs>
        <w:adjustRightInd w:val="0"/>
        <w:snapToGrid w:val="0"/>
        <w:spacing w:line="312" w:lineRule="auto"/>
        <w:ind w:firstLine="453" w:firstLineChars="189"/>
        <w:jc w:val="both"/>
        <w:rPr>
          <w:rFonts w:ascii="宋体" w:hAnsi="宋体" w:cs="仿宋"/>
          <w:sz w:val="24"/>
        </w:rPr>
      </w:pPr>
      <w:r>
        <w:rPr>
          <w:rFonts w:hint="eastAsia" w:ascii="宋体" w:hAnsi="宋体" w:cs="仿宋"/>
          <w:sz w:val="24"/>
        </w:rPr>
        <w:t>(3)报价表合计报价与分项报价的合计不一致的，以各分项报价的合价累计数为准;</w:t>
      </w:r>
    </w:p>
    <w:p>
      <w:pPr>
        <w:tabs>
          <w:tab w:val="left" w:pos="312"/>
        </w:tabs>
        <w:adjustRightInd w:val="0"/>
        <w:snapToGrid w:val="0"/>
        <w:spacing w:line="312" w:lineRule="auto"/>
        <w:ind w:firstLine="453" w:firstLineChars="189"/>
        <w:jc w:val="both"/>
        <w:rPr>
          <w:rFonts w:ascii="宋体" w:hAnsi="宋体" w:cs="仿宋"/>
          <w:sz w:val="24"/>
        </w:rPr>
      </w:pPr>
      <w:r>
        <w:rPr>
          <w:rFonts w:hint="eastAsia" w:ascii="宋体" w:hAnsi="宋体" w:cs="仿宋"/>
          <w:sz w:val="24"/>
        </w:rPr>
        <w:t>(4)如果分项报价中存在缺漏项，且缺漏项内容不属于实质性偏差的，则视为缺漏项内容的价格已包含在其他分项报价之中。</w:t>
      </w:r>
    </w:p>
    <w:p>
      <w:pPr>
        <w:tabs>
          <w:tab w:val="left" w:pos="312"/>
        </w:tabs>
        <w:adjustRightInd w:val="0"/>
        <w:snapToGrid w:val="0"/>
        <w:spacing w:line="312" w:lineRule="auto"/>
        <w:ind w:firstLine="453" w:firstLineChars="189"/>
        <w:jc w:val="both"/>
        <w:rPr>
          <w:rFonts w:ascii="宋体" w:hAnsi="宋体" w:cs="仿宋"/>
          <w:sz w:val="24"/>
        </w:rPr>
      </w:pPr>
      <w:r>
        <w:rPr>
          <w:rFonts w:hint="eastAsia" w:ascii="宋体" w:hAnsi="宋体" w:cs="仿宋"/>
          <w:sz w:val="24"/>
        </w:rPr>
        <w:t>(5)响应报价的算术错误修正不改变评审依据的响应总报价。当修正后的总报价高于原响应报价时，视同供应商响应报价错误产生少漏计费用，签订合同时由供应商承担，如评审小组认为供应商无法承受少漏计费用，可以将响应报价作为异常低价处理；当修正后的总报价低于原响应报价时，签订合同时以修正后的报价为准。</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2.2.4供应商有串通，弄虚作假、行贿等违法行为的，其响应文件将被视为无效。</w:t>
      </w:r>
    </w:p>
    <w:p>
      <w:pPr>
        <w:adjustRightInd w:val="0"/>
        <w:snapToGrid w:val="0"/>
        <w:spacing w:line="312" w:lineRule="auto"/>
        <w:jc w:val="both"/>
        <w:rPr>
          <w:rFonts w:ascii="宋体" w:hAnsi="宋体" w:cs="仿宋"/>
          <w:b/>
          <w:bCs/>
          <w:sz w:val="24"/>
        </w:rPr>
      </w:pPr>
      <w:r>
        <w:rPr>
          <w:rFonts w:hint="eastAsia" w:ascii="宋体" w:hAnsi="宋体" w:cs="仿宋"/>
          <w:b/>
          <w:bCs/>
          <w:sz w:val="24"/>
        </w:rPr>
        <w:t>3详细评审标准和程序(最低价法)</w:t>
      </w:r>
    </w:p>
    <w:p>
      <w:pPr>
        <w:adjustRightInd w:val="0"/>
        <w:snapToGrid w:val="0"/>
        <w:spacing w:line="312" w:lineRule="auto"/>
        <w:ind w:firstLine="480" w:firstLineChars="200"/>
        <w:jc w:val="both"/>
        <w:rPr>
          <w:rFonts w:ascii="宋体" w:hAnsi="宋体" w:cs="仿宋"/>
          <w:sz w:val="24"/>
        </w:rPr>
      </w:pPr>
      <w:r>
        <w:rPr>
          <w:rFonts w:hint="eastAsia" w:ascii="宋体" w:hAnsi="宋体" w:cs="仿宋"/>
          <w:sz w:val="24"/>
        </w:rPr>
        <w:t>评审小组对评审价格进行比较后，按照评审价格由低到高的顺序对供应商排序。供应商评审价格相等时，则以投标报价低的投标人优先，若评审价相同且报价也相同时，以技术优的投标人优先。若评审价相同、报价相同且技术也相同时则按抽签决定排名顺序。</w:t>
      </w:r>
    </w:p>
    <w:p>
      <w:pPr>
        <w:adjustRightInd w:val="0"/>
        <w:snapToGrid w:val="0"/>
        <w:spacing w:line="312" w:lineRule="auto"/>
        <w:jc w:val="both"/>
        <w:rPr>
          <w:rFonts w:ascii="宋体" w:hAnsi="宋体" w:cs="仿宋"/>
          <w:b/>
          <w:bCs/>
          <w:sz w:val="24"/>
        </w:rPr>
      </w:pPr>
      <w:r>
        <w:rPr>
          <w:rFonts w:hint="eastAsia" w:ascii="宋体" w:hAnsi="宋体" w:cs="仿宋"/>
          <w:b/>
          <w:bCs/>
          <w:sz w:val="24"/>
        </w:rPr>
        <w:t>4评审结果</w:t>
      </w:r>
    </w:p>
    <w:p>
      <w:pPr>
        <w:adjustRightInd w:val="0"/>
        <w:snapToGrid w:val="0"/>
        <w:spacing w:line="312" w:lineRule="auto"/>
        <w:jc w:val="both"/>
        <w:rPr>
          <w:rFonts w:ascii="宋体" w:hAnsi="宋体" w:cs="仿宋"/>
          <w:b/>
          <w:bCs/>
          <w:sz w:val="24"/>
        </w:rPr>
      </w:pPr>
      <w:r>
        <w:rPr>
          <w:rFonts w:hint="eastAsia" w:ascii="宋体" w:hAnsi="宋体" w:cs="仿宋"/>
          <w:b/>
          <w:bCs/>
          <w:sz w:val="24"/>
        </w:rPr>
        <w:t>4.1提交书面评审报告</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评审小组完成评审后，应当向采购人提交书面评审报告。</w:t>
      </w:r>
    </w:p>
    <w:p>
      <w:pPr>
        <w:adjustRightInd w:val="0"/>
        <w:snapToGrid w:val="0"/>
        <w:spacing w:line="312" w:lineRule="auto"/>
        <w:jc w:val="both"/>
        <w:rPr>
          <w:rFonts w:ascii="宋体" w:hAnsi="宋体" w:cs="仿宋"/>
          <w:b/>
          <w:bCs/>
          <w:sz w:val="24"/>
        </w:rPr>
      </w:pPr>
      <w:r>
        <w:rPr>
          <w:rFonts w:hint="eastAsia" w:ascii="宋体" w:hAnsi="宋体" w:cs="仿宋"/>
          <w:b/>
          <w:bCs/>
          <w:sz w:val="24"/>
        </w:rPr>
        <w:t>4.2推荐成交候选供应商排序要求及数量</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评审小组应在书面评审报告中按照供应商排列的优先顺序向采购人推荐成交候选供应商(排序或不排序)。成交候选供应商的排序要求及数量见第二章“供应商须知”。</w:t>
      </w:r>
    </w:p>
    <w:p>
      <w:pPr>
        <w:widowControl w:val="0"/>
        <w:snapToGrid w:val="0"/>
        <w:spacing w:line="490" w:lineRule="exact"/>
        <w:jc w:val="center"/>
        <w:rPr>
          <w:rFonts w:ascii="黑体" w:hAnsi="黑体" w:eastAsia="黑体" w:cs="宋体"/>
          <w:kern w:val="44"/>
          <w:sz w:val="32"/>
          <w:szCs w:val="32"/>
        </w:rPr>
      </w:pPr>
    </w:p>
    <w:p>
      <w:pPr>
        <w:widowControl w:val="0"/>
        <w:snapToGrid w:val="0"/>
        <w:spacing w:line="490" w:lineRule="exact"/>
        <w:jc w:val="center"/>
        <w:rPr>
          <w:rFonts w:ascii="黑体" w:hAnsi="黑体" w:eastAsia="黑体" w:cs="宋体"/>
          <w:kern w:val="44"/>
          <w:sz w:val="32"/>
          <w:szCs w:val="32"/>
        </w:rPr>
      </w:pPr>
    </w:p>
    <w:p>
      <w:pPr>
        <w:widowControl w:val="0"/>
        <w:snapToGrid w:val="0"/>
        <w:spacing w:line="490" w:lineRule="exact"/>
        <w:jc w:val="center"/>
        <w:rPr>
          <w:rFonts w:ascii="黑体" w:hAnsi="黑体" w:eastAsia="黑体" w:cs="宋体"/>
          <w:kern w:val="44"/>
          <w:sz w:val="32"/>
          <w:szCs w:val="32"/>
        </w:rPr>
      </w:pPr>
    </w:p>
    <w:p>
      <w:pPr>
        <w:widowControl w:val="0"/>
        <w:snapToGrid w:val="0"/>
        <w:spacing w:line="490" w:lineRule="exact"/>
        <w:jc w:val="center"/>
        <w:rPr>
          <w:rFonts w:ascii="黑体" w:hAnsi="黑体" w:eastAsia="黑体" w:cs="宋体"/>
          <w:kern w:val="44"/>
          <w:sz w:val="32"/>
          <w:szCs w:val="32"/>
        </w:rPr>
      </w:pPr>
    </w:p>
    <w:p>
      <w:pPr>
        <w:widowControl w:val="0"/>
        <w:snapToGrid w:val="0"/>
        <w:spacing w:line="490" w:lineRule="exact"/>
        <w:jc w:val="center"/>
        <w:rPr>
          <w:rFonts w:ascii="黑体" w:hAnsi="黑体" w:eastAsia="黑体" w:cs="宋体"/>
          <w:kern w:val="44"/>
          <w:sz w:val="32"/>
          <w:szCs w:val="32"/>
        </w:rPr>
      </w:pPr>
    </w:p>
    <w:p>
      <w:pPr>
        <w:widowControl w:val="0"/>
        <w:snapToGrid w:val="0"/>
        <w:spacing w:line="490" w:lineRule="exact"/>
        <w:rPr>
          <w:rFonts w:ascii="黑体" w:hAnsi="黑体" w:eastAsia="黑体" w:cs="宋体"/>
          <w:kern w:val="44"/>
          <w:sz w:val="32"/>
          <w:szCs w:val="32"/>
        </w:rPr>
      </w:pPr>
    </w:p>
    <w:p>
      <w:pPr>
        <w:pStyle w:val="74"/>
        <w:spacing w:line="600" w:lineRule="exact"/>
        <w:ind w:left="420" w:firstLine="0" w:firstLineChars="0"/>
        <w:jc w:val="center"/>
        <w:outlineLvl w:val="0"/>
        <w:rPr>
          <w:rFonts w:ascii="黑体" w:hAnsi="黑体" w:eastAsia="黑体" w:cs="仿宋"/>
          <w:b/>
          <w:color w:val="000000"/>
          <w:sz w:val="36"/>
          <w:szCs w:val="36"/>
        </w:rPr>
      </w:pPr>
      <w:bookmarkStart w:id="20" w:name="_Toc23588"/>
      <w:r>
        <w:rPr>
          <w:rFonts w:hint="eastAsia" w:ascii="黑体" w:hAnsi="黑体" w:eastAsia="黑体" w:cs="仿宋"/>
          <w:b/>
          <w:color w:val="000000"/>
          <w:sz w:val="36"/>
          <w:szCs w:val="36"/>
        </w:rPr>
        <w:t>第四章  合同条款及格式</w:t>
      </w:r>
      <w:bookmarkEnd w:id="20"/>
    </w:p>
    <w:p>
      <w:pPr>
        <w:pStyle w:val="74"/>
        <w:spacing w:line="600" w:lineRule="exact"/>
        <w:ind w:left="420" w:firstLine="0" w:firstLineChars="0"/>
        <w:jc w:val="center"/>
        <w:outlineLvl w:val="0"/>
        <w:rPr>
          <w:bCs/>
        </w:rPr>
      </w:pPr>
      <w:r>
        <w:rPr>
          <w:rFonts w:hint="eastAsia" w:ascii="黑体" w:hAnsi="黑体" w:eastAsia="黑体" w:cs="仿宋"/>
          <w:bCs/>
          <w:color w:val="000000"/>
          <w:sz w:val="36"/>
          <w:szCs w:val="36"/>
        </w:rPr>
        <w:t>合同专用条款</w:t>
      </w:r>
    </w:p>
    <w:p>
      <w:pPr>
        <w:spacing w:line="312" w:lineRule="auto"/>
        <w:jc w:val="both"/>
        <w:rPr>
          <w:rFonts w:cs="仿宋" w:asciiTheme="minorEastAsia" w:hAnsiTheme="minorEastAsia" w:eastAsiaTheme="minorEastAsia"/>
          <w:sz w:val="24"/>
        </w:rPr>
      </w:pPr>
    </w:p>
    <w:p>
      <w:pPr>
        <w:adjustRightInd w:val="0"/>
        <w:snapToGrid w:val="0"/>
        <w:spacing w:line="312" w:lineRule="auto"/>
        <w:ind w:firstLine="396" w:firstLineChars="189"/>
        <w:jc w:val="both"/>
        <w:rPr>
          <w:rFonts w:ascii="宋体" w:hAnsi="宋体" w:cs="仿宋"/>
          <w:sz w:val="24"/>
        </w:rPr>
      </w:pPr>
      <w:r>
        <w:t xml:space="preserve">    </w:t>
      </w:r>
      <w:r>
        <w:rPr>
          <w:rFonts w:hint="eastAsia" w:ascii="宋体" w:hAnsi="宋体" w:cs="仿宋"/>
          <w:sz w:val="24"/>
        </w:rPr>
        <w:t>本合同特殊条款为合同一般条款的补充和修改。如果两者之间有抵触，应以本特殊条款为准。投标人文件对合同特殊条款逐条响应，若有偏离，应以偏离表表示。</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1</w:t>
      </w:r>
      <w:r>
        <w:rPr>
          <w:rFonts w:hint="eastAsia" w:ascii="宋体" w:hAnsi="宋体" w:cs="仿宋"/>
          <w:sz w:val="24"/>
        </w:rPr>
        <w:t>、维修工期：船舶进厂</w:t>
      </w:r>
      <w:r>
        <w:rPr>
          <w:rFonts w:ascii="宋体" w:hAnsi="宋体" w:cs="仿宋"/>
          <w:sz w:val="24"/>
        </w:rPr>
        <w:t>15</w:t>
      </w:r>
      <w:r>
        <w:rPr>
          <w:rFonts w:hint="eastAsia" w:ascii="宋体" w:hAnsi="宋体" w:cs="仿宋"/>
          <w:sz w:val="24"/>
        </w:rPr>
        <w:t>日历日</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2</w:t>
      </w:r>
      <w:r>
        <w:rPr>
          <w:rFonts w:hint="eastAsia" w:ascii="宋体" w:hAnsi="宋体" w:cs="仿宋"/>
          <w:sz w:val="24"/>
        </w:rPr>
        <w:t>、交接地点：承修方维修现场</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3</w:t>
      </w:r>
      <w:r>
        <w:rPr>
          <w:rFonts w:hint="eastAsia" w:ascii="宋体" w:hAnsi="宋体" w:cs="仿宋"/>
          <w:sz w:val="24"/>
        </w:rPr>
        <w:t>、其它服务：合同履行期间及船舶交付使用期间，承修方应根据委修方的要求就特检维修检验、操作、调试和维护免费提供技术咨询。</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4</w:t>
      </w:r>
      <w:r>
        <w:rPr>
          <w:rFonts w:hint="eastAsia" w:ascii="宋体" w:hAnsi="宋体" w:cs="仿宋"/>
          <w:sz w:val="24"/>
        </w:rPr>
        <w:t>、在施工过程中因隐蔽工程或委修方提出增加项目，须以委修方代表签字的修理单为准；隐蔽工程修费不得超过合同修理单项目费用总额的</w:t>
      </w:r>
      <w:r>
        <w:rPr>
          <w:rFonts w:ascii="宋体" w:hAnsi="宋体" w:cs="仿宋"/>
          <w:sz w:val="24"/>
        </w:rPr>
        <w:t>10%</w:t>
      </w:r>
      <w:r>
        <w:rPr>
          <w:rFonts w:hint="eastAsia" w:ascii="宋体" w:hAnsi="宋体" w:cs="仿宋"/>
          <w:sz w:val="24"/>
        </w:rPr>
        <w:t>。</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5</w:t>
      </w:r>
      <w:r>
        <w:rPr>
          <w:rFonts w:hint="eastAsia" w:ascii="宋体" w:hAnsi="宋体" w:cs="仿宋"/>
          <w:sz w:val="24"/>
        </w:rPr>
        <w:t>、委修方如在工程总工期的</w:t>
      </w:r>
      <w:r>
        <w:rPr>
          <w:rFonts w:ascii="宋体" w:hAnsi="宋体" w:cs="仿宋"/>
          <w:sz w:val="24"/>
        </w:rPr>
        <w:t>1/4</w:t>
      </w:r>
      <w:r>
        <w:rPr>
          <w:rFonts w:hint="eastAsia" w:ascii="宋体" w:hAnsi="宋体" w:cs="仿宋"/>
          <w:sz w:val="24"/>
        </w:rPr>
        <w:t>时间后提出增补工程，委修方和承修方视工程大小增加修期，并签订补充合同。</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6</w:t>
      </w:r>
      <w:r>
        <w:rPr>
          <w:rFonts w:hint="eastAsia" w:ascii="宋体" w:hAnsi="宋体" w:cs="仿宋"/>
          <w:sz w:val="24"/>
        </w:rPr>
        <w:t>、付款方式</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委修方给承修方付款分为</w:t>
      </w:r>
      <w:r>
        <w:rPr>
          <w:rFonts w:ascii="宋体" w:hAnsi="宋体" w:cs="仿宋"/>
          <w:sz w:val="24"/>
        </w:rPr>
        <w:t xml:space="preserve">2 </w:t>
      </w:r>
      <w:r>
        <w:rPr>
          <w:rFonts w:hint="eastAsia" w:ascii="宋体" w:hAnsi="宋体" w:cs="仿宋"/>
          <w:sz w:val="24"/>
        </w:rPr>
        <w:t>次：船舶修理验收完工且开具</w:t>
      </w:r>
      <w:r>
        <w:rPr>
          <w:rFonts w:ascii="宋体" w:hAnsi="宋体" w:cs="仿宋"/>
          <w:sz w:val="24"/>
        </w:rPr>
        <w:t>16%</w:t>
      </w:r>
      <w:r>
        <w:rPr>
          <w:rFonts w:hint="eastAsia" w:ascii="宋体" w:hAnsi="宋体" w:cs="仿宋"/>
          <w:sz w:val="24"/>
        </w:rPr>
        <w:t>增值税发票后支付修理费总额的</w:t>
      </w:r>
      <w:r>
        <w:rPr>
          <w:rFonts w:ascii="宋体" w:hAnsi="宋体" w:cs="仿宋"/>
          <w:sz w:val="24"/>
        </w:rPr>
        <w:t>90%</w:t>
      </w:r>
      <w:r>
        <w:rPr>
          <w:rFonts w:hint="eastAsia" w:ascii="宋体" w:hAnsi="宋体" w:cs="仿宋"/>
          <w:sz w:val="24"/>
        </w:rPr>
        <w:t>，余款</w:t>
      </w:r>
      <w:r>
        <w:rPr>
          <w:rFonts w:ascii="宋体" w:hAnsi="宋体" w:cs="仿宋"/>
          <w:sz w:val="24"/>
        </w:rPr>
        <w:t>10%</w:t>
      </w:r>
      <w:r>
        <w:rPr>
          <w:rFonts w:hint="eastAsia" w:ascii="宋体" w:hAnsi="宋体" w:cs="仿宋"/>
          <w:sz w:val="24"/>
        </w:rPr>
        <w:t>作为质保金，质保期到期后无质量问题</w:t>
      </w:r>
      <w:r>
        <w:rPr>
          <w:rFonts w:ascii="宋体" w:hAnsi="宋体" w:cs="仿宋"/>
          <w:sz w:val="24"/>
        </w:rPr>
        <w:t>7</w:t>
      </w:r>
      <w:r>
        <w:rPr>
          <w:rFonts w:hint="eastAsia" w:ascii="宋体" w:hAnsi="宋体" w:cs="仿宋"/>
          <w:sz w:val="24"/>
        </w:rPr>
        <w:t>日内付清质保金余款。质保期为</w:t>
      </w:r>
      <w:r>
        <w:rPr>
          <w:rFonts w:ascii="宋体" w:hAnsi="宋体" w:cs="仿宋"/>
          <w:sz w:val="24"/>
        </w:rPr>
        <w:t>6</w:t>
      </w:r>
      <w:r>
        <w:rPr>
          <w:rFonts w:hint="eastAsia" w:ascii="宋体" w:hAnsi="宋体" w:cs="仿宋"/>
          <w:sz w:val="24"/>
        </w:rPr>
        <w:t>个月，从船检通过日开始计时。承修方同意接受银行承兑汇票</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7</w:t>
      </w:r>
      <w:r>
        <w:rPr>
          <w:rFonts w:hint="eastAsia" w:ascii="宋体" w:hAnsi="宋体" w:cs="仿宋"/>
          <w:sz w:val="24"/>
        </w:rPr>
        <w:t>、质量保证及缺陷责任</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7.1</w:t>
      </w:r>
      <w:r>
        <w:rPr>
          <w:rFonts w:hint="eastAsia" w:ascii="宋体" w:hAnsi="宋体" w:cs="仿宋"/>
          <w:sz w:val="24"/>
        </w:rPr>
        <w:t>承修方保证维修质量达到国家相应标准和行业标准。</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7.2</w:t>
      </w:r>
      <w:r>
        <w:rPr>
          <w:rFonts w:hint="eastAsia" w:ascii="宋体" w:hAnsi="宋体" w:cs="仿宋"/>
          <w:sz w:val="24"/>
        </w:rPr>
        <w:t>承修方承诺在合同规定的质量保证期内，对因其提供的设维修服务或材料缺陷引起的任何故障和损坏负责。</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7.3</w:t>
      </w:r>
      <w:r>
        <w:rPr>
          <w:rFonts w:hint="eastAsia" w:ascii="宋体" w:hAnsi="宋体" w:cs="仿宋"/>
          <w:sz w:val="24"/>
        </w:rPr>
        <w:t>保质期内委修方发现因维修质量引起缺陷后通知承修方，承修方应迅速派人至城港囤6</w:t>
      </w:r>
      <w:r>
        <w:rPr>
          <w:rFonts w:ascii="宋体" w:hAnsi="宋体" w:cs="仿宋"/>
          <w:sz w:val="24"/>
        </w:rPr>
        <w:t>5-2</w:t>
      </w:r>
      <w:r>
        <w:rPr>
          <w:rFonts w:hint="eastAsia" w:ascii="宋体" w:hAnsi="宋体" w:cs="仿宋"/>
          <w:sz w:val="24"/>
        </w:rPr>
        <w:t>所在地点复修缺陷，承修方应承担由此产生的所有费用。</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7.4</w:t>
      </w:r>
      <w:r>
        <w:rPr>
          <w:rFonts w:hint="eastAsia" w:ascii="宋体" w:hAnsi="宋体" w:cs="仿宋"/>
          <w:sz w:val="24"/>
        </w:rPr>
        <w:t>承修方在签订维修合同后，必须按照有关条款认真履行合同。除不可抗力因素外，不得延期维修工期。</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8</w:t>
      </w:r>
      <w:r>
        <w:rPr>
          <w:rFonts w:hint="eastAsia" w:ascii="宋体" w:hAnsi="宋体" w:cs="仿宋"/>
          <w:sz w:val="24"/>
        </w:rPr>
        <w:t>、违约责任</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8.1</w:t>
      </w:r>
      <w:r>
        <w:rPr>
          <w:rFonts w:hint="eastAsia" w:ascii="宋体" w:hAnsi="宋体" w:cs="仿宋"/>
          <w:sz w:val="24"/>
        </w:rPr>
        <w:t>质量不符合合同规定的，委修方有权要求承修方继续整改至验收合格为止，由此造成的返工费用由承修方承担。</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8.2</w:t>
      </w:r>
      <w:r>
        <w:rPr>
          <w:rFonts w:hint="eastAsia" w:ascii="宋体" w:hAnsi="宋体" w:cs="仿宋"/>
          <w:sz w:val="24"/>
        </w:rPr>
        <w:t>由于修理或返工造成逾期交付使用的，逾期每天按合同总价的千分之三偿付逾期违约金。</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8.3</w:t>
      </w:r>
      <w:r>
        <w:rPr>
          <w:rFonts w:hint="eastAsia" w:ascii="宋体" w:hAnsi="宋体" w:cs="仿宋"/>
          <w:sz w:val="24"/>
        </w:rPr>
        <w:t>委修方未按合同约定支付维修费用的，逾期每天按合同约定未支付款额的千分之三偿付逾期违约金。</w:t>
      </w:r>
    </w:p>
    <w:p>
      <w:pPr>
        <w:adjustRightInd w:val="0"/>
        <w:snapToGrid w:val="0"/>
        <w:spacing w:line="312" w:lineRule="auto"/>
        <w:ind w:firstLine="453" w:firstLineChars="189"/>
        <w:jc w:val="both"/>
        <w:rPr>
          <w:rFonts w:ascii="宋体" w:hAnsi="宋体" w:cs="仿宋"/>
          <w:sz w:val="24"/>
        </w:rPr>
      </w:pPr>
      <w:r>
        <w:rPr>
          <w:rFonts w:ascii="宋体" w:hAnsi="宋体" w:cs="仿宋"/>
          <w:sz w:val="24"/>
        </w:rPr>
        <w:t xml:space="preserve">9. </w:t>
      </w:r>
      <w:r>
        <w:rPr>
          <w:rFonts w:hint="eastAsia" w:ascii="宋体" w:hAnsi="宋体" w:cs="仿宋"/>
          <w:sz w:val="24"/>
        </w:rPr>
        <w:t>争议的解决</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本款约定为：争议的最终解决方式：□仲裁</w:t>
      </w:r>
      <w:r>
        <w:rPr>
          <w:rFonts w:ascii="宋体" w:hAnsi="宋体" w:cs="仿宋"/>
          <w:sz w:val="24"/>
        </w:rPr>
        <w:t>/☑</w:t>
      </w:r>
      <w:r>
        <w:rPr>
          <w:rFonts w:hint="eastAsia" w:ascii="宋体" w:hAnsi="宋体" w:cs="仿宋"/>
          <w:sz w:val="24"/>
        </w:rPr>
        <w:t>诉讼。</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如采用仲裁，仲裁机构名称：</w:t>
      </w:r>
      <w:r>
        <w:rPr>
          <w:rFonts w:ascii="宋体" w:hAnsi="宋体" w:cs="仿宋"/>
          <w:sz w:val="24"/>
        </w:rPr>
        <w:t xml:space="preserve">               </w:t>
      </w:r>
      <w:r>
        <w:rPr>
          <w:rFonts w:hint="eastAsia" w:ascii="宋体" w:hAnsi="宋体" w:cs="仿宋"/>
          <w:sz w:val="24"/>
        </w:rPr>
        <w:t>。</w:t>
      </w:r>
    </w:p>
    <w:p>
      <w:pPr>
        <w:adjustRightInd w:val="0"/>
        <w:snapToGrid w:val="0"/>
        <w:spacing w:line="312" w:lineRule="auto"/>
        <w:ind w:firstLine="453" w:firstLineChars="189"/>
        <w:jc w:val="both"/>
        <w:rPr>
          <w:rFonts w:ascii="宋体" w:hAnsi="宋体" w:cs="仿宋"/>
          <w:sz w:val="24"/>
        </w:rPr>
      </w:pPr>
      <w:r>
        <w:rPr>
          <w:rFonts w:hint="eastAsia" w:ascii="宋体" w:hAnsi="宋体" w:cs="仿宋"/>
          <w:sz w:val="24"/>
        </w:rPr>
        <w:t>如果用诉讼，诉讼机构名称：</w:t>
      </w:r>
      <w:r>
        <w:rPr>
          <w:rFonts w:ascii="宋体" w:hAnsi="宋体" w:cs="仿宋"/>
          <w:sz w:val="24"/>
        </w:rPr>
        <w:t xml:space="preserve"> 合同签订所在地有管辖权的</w:t>
      </w:r>
      <w:r>
        <w:rPr>
          <w:rFonts w:hint="eastAsia" w:ascii="宋体" w:hAnsi="宋体" w:cs="仿宋"/>
          <w:sz w:val="24"/>
        </w:rPr>
        <w:t>人民法院。</w:t>
      </w:r>
    </w:p>
    <w:p>
      <w:pPr>
        <w:adjustRightInd w:val="0"/>
        <w:snapToGrid w:val="0"/>
        <w:spacing w:line="312" w:lineRule="auto"/>
        <w:ind w:firstLine="453" w:firstLineChars="189"/>
        <w:jc w:val="center"/>
        <w:rPr>
          <w:rFonts w:ascii="宋体" w:hAnsi="宋体" w:cs="仿宋"/>
          <w:sz w:val="24"/>
        </w:rPr>
      </w:pPr>
    </w:p>
    <w:p>
      <w:pPr>
        <w:adjustRightInd w:val="0"/>
        <w:snapToGrid w:val="0"/>
        <w:spacing w:line="312" w:lineRule="auto"/>
        <w:ind w:firstLine="453" w:firstLineChars="189"/>
        <w:jc w:val="center"/>
        <w:rPr>
          <w:rFonts w:ascii="宋体" w:hAnsi="宋体" w:cs="仿宋"/>
          <w:sz w:val="24"/>
        </w:rPr>
      </w:pPr>
    </w:p>
    <w:p>
      <w:pPr>
        <w:pStyle w:val="2"/>
        <w:rPr>
          <w:rFonts w:ascii="宋体" w:hAnsi="宋体" w:cs="仿宋"/>
          <w:sz w:val="24"/>
          <w:szCs w:val="24"/>
        </w:rPr>
      </w:pPr>
      <w:r>
        <w:rPr>
          <w:rFonts w:hint="eastAsia" w:ascii="宋体" w:hAnsi="宋体" w:cs="仿宋"/>
          <w:sz w:val="24"/>
          <w:szCs w:val="24"/>
        </w:rPr>
        <w:t>附件：合同协议书</w:t>
      </w:r>
    </w:p>
    <w:p>
      <w:pPr>
        <w:pStyle w:val="5"/>
        <w:jc w:val="center"/>
        <w:rPr>
          <w:rFonts w:ascii="宋体" w:hAnsi="宋体" w:eastAsia="宋体" w:cs="仿宋"/>
          <w:sz w:val="24"/>
          <w:szCs w:val="24"/>
        </w:rPr>
      </w:pPr>
      <w:r>
        <w:rPr>
          <w:rFonts w:hint="eastAsia" w:ascii="宋体" w:hAnsi="宋体" w:eastAsia="宋体" w:cs="仿宋"/>
          <w:sz w:val="24"/>
          <w:szCs w:val="24"/>
        </w:rPr>
        <w:t>一、合同协议书</w:t>
      </w:r>
    </w:p>
    <w:p>
      <w:pPr>
        <w:spacing w:line="440" w:lineRule="exact"/>
        <w:ind w:left="480" w:firstLine="480"/>
        <w:jc w:val="center"/>
        <w:rPr>
          <w:rFonts w:ascii="宋体" w:hAnsi="宋体" w:cs="仿宋"/>
          <w:sz w:val="24"/>
        </w:rPr>
      </w:pPr>
      <w:r>
        <w:rPr>
          <w:rFonts w:hint="eastAsia" w:ascii="宋体" w:hAnsi="宋体" w:cs="仿宋"/>
          <w:sz w:val="24"/>
        </w:rPr>
        <w:t>（本格式编排在招标文件中，供投标人参考，投标时不需提交）</w:t>
      </w:r>
    </w:p>
    <w:p>
      <w:pPr>
        <w:spacing w:line="440" w:lineRule="exact"/>
        <w:ind w:left="480" w:firstLine="480"/>
        <w:rPr>
          <w:rFonts w:ascii="宋体" w:hAnsi="宋体" w:cs="仿宋"/>
          <w:sz w:val="24"/>
        </w:rPr>
      </w:pPr>
    </w:p>
    <w:p>
      <w:pPr>
        <w:spacing w:line="440" w:lineRule="exact"/>
        <w:ind w:firstLine="851"/>
        <w:rPr>
          <w:rFonts w:ascii="宋体" w:hAnsi="宋体" w:cs="仿宋"/>
          <w:sz w:val="24"/>
        </w:rPr>
      </w:pPr>
      <w:r>
        <w:rPr>
          <w:rFonts w:hint="eastAsia" w:ascii="宋体" w:hAnsi="宋体" w:cs="仿宋"/>
          <w:sz w:val="24"/>
        </w:rPr>
        <w:t>本合同协议书由______（以下简称“甲方”或“发包人”）与_____________(以下简称“乙方”或“技术服务人”)于____年____月____日共同订署。</w:t>
      </w:r>
    </w:p>
    <w:p>
      <w:pPr>
        <w:spacing w:line="440" w:lineRule="exact"/>
        <w:ind w:firstLine="851"/>
        <w:rPr>
          <w:rFonts w:ascii="宋体" w:hAnsi="宋体" w:cs="仿宋"/>
          <w:sz w:val="24"/>
        </w:rPr>
      </w:pPr>
      <w:r>
        <w:rPr>
          <w:rFonts w:hint="eastAsia" w:ascii="宋体" w:hAnsi="宋体" w:cs="仿宋"/>
          <w:sz w:val="24"/>
        </w:rPr>
        <w:t>鉴于甲方接受了乙方____________（项目名称）的投标书，为明确双方在合同期间的义务、责任、权力和利益，兹就以下事项达成协议：</w:t>
      </w:r>
    </w:p>
    <w:p>
      <w:pPr>
        <w:spacing w:line="440" w:lineRule="exact"/>
        <w:ind w:firstLine="360" w:firstLineChars="150"/>
        <w:rPr>
          <w:rFonts w:ascii="宋体" w:hAnsi="宋体" w:cs="仿宋"/>
          <w:sz w:val="24"/>
        </w:rPr>
      </w:pPr>
      <w:r>
        <w:rPr>
          <w:rFonts w:hint="eastAsia" w:ascii="宋体" w:hAnsi="宋体" w:cs="仿宋"/>
          <w:sz w:val="24"/>
        </w:rPr>
        <w:t xml:space="preserve"> 一、本协议书中的词句和用语与本合同条款所规定的定义相同。</w:t>
      </w:r>
    </w:p>
    <w:p>
      <w:pPr>
        <w:spacing w:line="440" w:lineRule="exact"/>
        <w:ind w:firstLine="360" w:firstLineChars="150"/>
        <w:rPr>
          <w:rFonts w:ascii="宋体" w:hAnsi="宋体" w:cs="仿宋"/>
          <w:sz w:val="24"/>
        </w:rPr>
      </w:pPr>
      <w:r>
        <w:rPr>
          <w:rFonts w:hint="eastAsia" w:ascii="宋体" w:hAnsi="宋体" w:cs="仿宋"/>
          <w:sz w:val="24"/>
        </w:rPr>
        <w:t xml:space="preserve"> 二、下列文件是本合同协议书的组成部分，各个组成部分应作为协议书的有效内容予以遵守和执行。</w:t>
      </w:r>
    </w:p>
    <w:p>
      <w:pPr>
        <w:spacing w:line="440" w:lineRule="exact"/>
        <w:ind w:firstLine="360" w:firstLineChars="150"/>
        <w:rPr>
          <w:rFonts w:ascii="宋体" w:hAnsi="宋体" w:cs="仿宋"/>
          <w:sz w:val="24"/>
        </w:rPr>
      </w:pPr>
      <w:r>
        <w:rPr>
          <w:rFonts w:hint="eastAsia" w:ascii="宋体" w:hAnsi="宋体" w:cs="仿宋"/>
          <w:sz w:val="24"/>
        </w:rPr>
        <w:t>（1）合同协议书及各种合同附件（含评标期间和合同谈判过程中的澄清文件和补充资料等，如果有）；</w:t>
      </w:r>
    </w:p>
    <w:p>
      <w:pPr>
        <w:spacing w:line="440" w:lineRule="exact"/>
        <w:ind w:firstLine="360" w:firstLineChars="150"/>
        <w:rPr>
          <w:rFonts w:ascii="宋体" w:hAnsi="宋体" w:cs="仿宋"/>
          <w:sz w:val="24"/>
        </w:rPr>
      </w:pPr>
      <w:r>
        <w:rPr>
          <w:rFonts w:hint="eastAsia" w:ascii="宋体" w:hAnsi="宋体" w:cs="仿宋"/>
          <w:sz w:val="24"/>
        </w:rPr>
        <w:t>（2）中标通知书（如有）；</w:t>
      </w:r>
    </w:p>
    <w:p>
      <w:pPr>
        <w:spacing w:line="440" w:lineRule="exact"/>
        <w:ind w:firstLine="360" w:firstLineChars="150"/>
        <w:rPr>
          <w:rFonts w:ascii="宋体" w:hAnsi="宋体" w:cs="仿宋"/>
          <w:sz w:val="24"/>
        </w:rPr>
      </w:pPr>
      <w:r>
        <w:rPr>
          <w:rFonts w:hint="eastAsia" w:ascii="宋体" w:hAnsi="宋体" w:cs="仿宋"/>
          <w:sz w:val="24"/>
        </w:rPr>
        <w:t>（3）投标函；</w:t>
      </w:r>
    </w:p>
    <w:p>
      <w:pPr>
        <w:spacing w:line="440" w:lineRule="exact"/>
        <w:ind w:firstLine="360" w:firstLineChars="150"/>
        <w:rPr>
          <w:rFonts w:ascii="宋体" w:hAnsi="宋体" w:cs="仿宋"/>
          <w:sz w:val="24"/>
        </w:rPr>
      </w:pPr>
      <w:r>
        <w:rPr>
          <w:rFonts w:hint="eastAsia" w:ascii="宋体" w:hAnsi="宋体" w:cs="仿宋"/>
          <w:sz w:val="24"/>
        </w:rPr>
        <w:t>（4）专用合同条款；</w:t>
      </w:r>
    </w:p>
    <w:p>
      <w:pPr>
        <w:spacing w:line="440" w:lineRule="exact"/>
        <w:ind w:firstLine="360" w:firstLineChars="150"/>
        <w:rPr>
          <w:rFonts w:ascii="宋体" w:hAnsi="宋体" w:cs="仿宋"/>
          <w:sz w:val="24"/>
        </w:rPr>
      </w:pPr>
      <w:r>
        <w:rPr>
          <w:rFonts w:hint="eastAsia" w:ascii="宋体" w:hAnsi="宋体" w:cs="仿宋"/>
          <w:sz w:val="24"/>
        </w:rPr>
        <w:t>（</w:t>
      </w:r>
      <w:r>
        <w:rPr>
          <w:rFonts w:hint="eastAsia" w:ascii="宋体" w:hAnsi="宋体" w:cs="仿宋"/>
          <w:sz w:val="24"/>
          <w:lang w:val="en-US" w:eastAsia="zh-CN"/>
        </w:rPr>
        <w:t>5</w:t>
      </w:r>
      <w:r>
        <w:rPr>
          <w:rFonts w:hint="eastAsia" w:ascii="宋体" w:hAnsi="宋体" w:cs="仿宋"/>
          <w:sz w:val="24"/>
        </w:rPr>
        <w:t>）技术标准及要求</w:t>
      </w:r>
    </w:p>
    <w:p>
      <w:pPr>
        <w:spacing w:line="440" w:lineRule="exact"/>
        <w:ind w:firstLine="360" w:firstLineChars="150"/>
        <w:rPr>
          <w:rFonts w:ascii="宋体" w:hAnsi="宋体" w:cs="仿宋"/>
          <w:sz w:val="24"/>
        </w:rPr>
      </w:pPr>
      <w:r>
        <w:rPr>
          <w:rFonts w:hint="eastAsia" w:ascii="宋体" w:hAnsi="宋体" w:cs="仿宋"/>
          <w:sz w:val="24"/>
        </w:rPr>
        <w:t>（</w:t>
      </w:r>
      <w:r>
        <w:rPr>
          <w:rFonts w:hint="eastAsia" w:ascii="宋体" w:hAnsi="宋体" w:cs="仿宋"/>
          <w:sz w:val="24"/>
          <w:lang w:val="en-US" w:eastAsia="zh-CN"/>
        </w:rPr>
        <w:t>6</w:t>
      </w:r>
      <w:r>
        <w:rPr>
          <w:rFonts w:hint="eastAsia" w:ascii="宋体" w:hAnsi="宋体" w:cs="仿宋"/>
          <w:sz w:val="24"/>
        </w:rPr>
        <w:t>）报价清单；</w:t>
      </w:r>
    </w:p>
    <w:p>
      <w:pPr>
        <w:spacing w:line="440" w:lineRule="exact"/>
        <w:ind w:firstLine="480" w:firstLineChars="200"/>
        <w:rPr>
          <w:rFonts w:ascii="宋体" w:hAnsi="宋体" w:cs="仿宋"/>
          <w:sz w:val="24"/>
        </w:rPr>
      </w:pPr>
      <w:r>
        <w:rPr>
          <w:rFonts w:hint="eastAsia" w:ascii="宋体" w:hAnsi="宋体" w:cs="仿宋"/>
          <w:sz w:val="24"/>
        </w:rPr>
        <w:t>三、上述文件将互相补充，如有不明确或不一致之处，以上列次序在先者为准。</w:t>
      </w:r>
    </w:p>
    <w:p>
      <w:pPr>
        <w:spacing w:line="440" w:lineRule="exact"/>
        <w:ind w:firstLine="480" w:firstLineChars="200"/>
        <w:rPr>
          <w:rFonts w:ascii="宋体" w:hAnsi="宋体" w:cs="仿宋"/>
          <w:sz w:val="24"/>
        </w:rPr>
      </w:pPr>
      <w:r>
        <w:rPr>
          <w:rFonts w:hint="eastAsia" w:ascii="宋体" w:hAnsi="宋体" w:cs="仿宋"/>
          <w:sz w:val="24"/>
        </w:rPr>
        <w:t>四、本合同的总金额是完成本合同所规定义务的一切费用，合同总金额为人民币（大写）：__________元整（小写：________元）。</w:t>
      </w:r>
    </w:p>
    <w:p>
      <w:pPr>
        <w:spacing w:line="440" w:lineRule="exact"/>
        <w:ind w:firstLine="480" w:firstLineChars="200"/>
        <w:rPr>
          <w:rFonts w:ascii="宋体" w:hAnsi="宋体" w:cs="仿宋"/>
          <w:sz w:val="24"/>
        </w:rPr>
      </w:pPr>
      <w:r>
        <w:rPr>
          <w:rFonts w:hint="eastAsia" w:ascii="宋体" w:hAnsi="宋体" w:cs="仿宋"/>
          <w:sz w:val="24"/>
        </w:rPr>
        <w:t>五、甲方在此同意按照本合同协议规定的期限、方式和条件向乙方支付应支付的费用和提供工作条件、有关图纸等文件。</w:t>
      </w:r>
    </w:p>
    <w:p>
      <w:pPr>
        <w:spacing w:line="440" w:lineRule="exact"/>
        <w:ind w:firstLine="480" w:firstLineChars="200"/>
        <w:rPr>
          <w:rFonts w:ascii="宋体" w:hAnsi="宋体" w:cs="仿宋"/>
          <w:sz w:val="24"/>
        </w:rPr>
      </w:pPr>
      <w:r>
        <w:rPr>
          <w:rFonts w:hint="eastAsia" w:ascii="宋体" w:hAnsi="宋体" w:cs="仿宋"/>
          <w:sz w:val="24"/>
        </w:rPr>
        <w:t>六、乙方基于甲方的上述保证，在此向甲方承诺按照本技术服务合同的规定履行技术服务。</w:t>
      </w:r>
    </w:p>
    <w:p>
      <w:pPr>
        <w:spacing w:line="440" w:lineRule="exact"/>
        <w:ind w:firstLine="480" w:firstLineChars="200"/>
        <w:rPr>
          <w:rFonts w:ascii="宋体" w:hAnsi="宋体" w:cs="仿宋"/>
          <w:sz w:val="24"/>
        </w:rPr>
      </w:pPr>
      <w:r>
        <w:rPr>
          <w:rFonts w:hint="eastAsia" w:ascii="宋体" w:hAnsi="宋体" w:cs="仿宋"/>
          <w:sz w:val="24"/>
        </w:rPr>
        <w:t>七、本协议书经双方签字盖章后生效，双方全面履行合同义务后终止。</w:t>
      </w:r>
    </w:p>
    <w:p>
      <w:pPr>
        <w:spacing w:line="440" w:lineRule="exact"/>
        <w:ind w:firstLine="480" w:firstLineChars="200"/>
        <w:rPr>
          <w:rFonts w:ascii="宋体" w:hAnsi="宋体" w:cs="仿宋"/>
          <w:sz w:val="24"/>
        </w:rPr>
      </w:pPr>
      <w:r>
        <w:rPr>
          <w:rFonts w:hint="eastAsia" w:ascii="宋体" w:hAnsi="宋体" w:cs="仿宋"/>
          <w:sz w:val="24"/>
        </w:rPr>
        <w:t>八、本合同协议书一式  份，其中正本  份，甲方执正本  份，副本  份，乙方执正本  份，副本  份，正副本具有同等法律效力；当正本与副本内容不一致时，以正本为准。</w:t>
      </w:r>
    </w:p>
    <w:p>
      <w:pPr>
        <w:spacing w:line="440" w:lineRule="exact"/>
        <w:ind w:left="585" w:leftChars="50" w:hanging="480" w:hangingChars="200"/>
        <w:rPr>
          <w:rFonts w:ascii="宋体" w:hAnsi="宋体" w:cs="仿宋"/>
          <w:sz w:val="24"/>
        </w:rPr>
      </w:pPr>
    </w:p>
    <w:p>
      <w:pPr>
        <w:spacing w:line="440" w:lineRule="exact"/>
        <w:ind w:firstLine="851"/>
        <w:rPr>
          <w:rFonts w:ascii="宋体" w:hAnsi="宋体" w:cs="仿宋"/>
          <w:sz w:val="24"/>
        </w:rPr>
      </w:pPr>
    </w:p>
    <w:p>
      <w:pPr>
        <w:spacing w:line="440" w:lineRule="exact"/>
        <w:ind w:firstLine="851"/>
      </w:pPr>
    </w:p>
    <w:p>
      <w:pPr>
        <w:spacing w:line="440" w:lineRule="exact"/>
        <w:rPr>
          <w:rFonts w:ascii="宋体" w:hAnsi="宋体" w:cs="仿宋"/>
          <w:sz w:val="24"/>
        </w:rPr>
      </w:pPr>
      <w:r>
        <w:rPr>
          <w:rFonts w:hint="eastAsia" w:ascii="宋体" w:hAnsi="宋体" w:cs="仿宋"/>
          <w:sz w:val="24"/>
        </w:rPr>
        <w:t xml:space="preserve">甲方：（    盖单位章     ）                乙方：   盖单位章）               </w:t>
      </w:r>
    </w:p>
    <w:p>
      <w:pPr>
        <w:spacing w:line="440" w:lineRule="exact"/>
        <w:ind w:firstLine="851"/>
        <w:rPr>
          <w:rFonts w:ascii="宋体" w:hAnsi="宋体" w:cs="仿宋"/>
          <w:sz w:val="24"/>
        </w:rPr>
      </w:pPr>
      <w:r>
        <w:rPr>
          <w:rFonts w:hint="eastAsia" w:ascii="宋体" w:hAnsi="宋体" w:cs="仿宋"/>
          <w:sz w:val="24"/>
        </w:rPr>
        <w:t xml:space="preserve">                                                    </w:t>
      </w:r>
    </w:p>
    <w:p>
      <w:pPr>
        <w:spacing w:line="440" w:lineRule="exact"/>
        <w:rPr>
          <w:rFonts w:ascii="宋体" w:hAnsi="宋体" w:cs="仿宋"/>
          <w:sz w:val="24"/>
        </w:rPr>
      </w:pPr>
      <w:r>
        <w:rPr>
          <w:rFonts w:hint="eastAsia" w:ascii="宋体" w:hAnsi="宋体" w:cs="仿宋"/>
          <w:sz w:val="24"/>
        </w:rPr>
        <w:t>法定代表人                                法定代表人</w:t>
      </w:r>
    </w:p>
    <w:p>
      <w:pPr>
        <w:spacing w:line="440" w:lineRule="exact"/>
        <w:rPr>
          <w:rFonts w:ascii="宋体" w:hAnsi="宋体" w:cs="仿宋"/>
          <w:sz w:val="24"/>
        </w:rPr>
      </w:pPr>
      <w:r>
        <w:rPr>
          <w:rFonts w:hint="eastAsia" w:ascii="宋体" w:hAnsi="宋体" w:cs="仿宋"/>
          <w:sz w:val="24"/>
        </w:rPr>
        <w:t xml:space="preserve">或其委托代理人：      （ 签字）           或其委托代理人：       （签字）      </w:t>
      </w:r>
    </w:p>
    <w:p>
      <w:pPr>
        <w:spacing w:line="440" w:lineRule="exact"/>
        <w:ind w:left="480" w:firstLine="480"/>
        <w:rPr>
          <w:rFonts w:ascii="宋体" w:hAnsi="宋体" w:cs="仿宋"/>
          <w:sz w:val="24"/>
        </w:rPr>
      </w:pPr>
    </w:p>
    <w:p>
      <w:pPr>
        <w:spacing w:line="440" w:lineRule="exact"/>
        <w:ind w:left="480" w:firstLine="480"/>
        <w:rPr>
          <w:rFonts w:ascii="宋体" w:hAnsi="宋体" w:cs="仿宋"/>
          <w:sz w:val="24"/>
        </w:rPr>
      </w:pPr>
      <w:r>
        <w:rPr>
          <w:rFonts w:hint="eastAsia" w:ascii="宋体" w:hAnsi="宋体" w:cs="仿宋"/>
          <w:sz w:val="24"/>
        </w:rPr>
        <w:t xml:space="preserve">  ______年_____月______日                 ______年_____月______日</w:t>
      </w:r>
    </w:p>
    <w:p>
      <w:pPr>
        <w:adjustRightInd w:val="0"/>
        <w:snapToGrid w:val="0"/>
        <w:spacing w:line="312" w:lineRule="auto"/>
        <w:ind w:firstLine="453" w:firstLineChars="189"/>
        <w:jc w:val="center"/>
        <w:rPr>
          <w:rFonts w:ascii="宋体" w:hAnsi="宋体" w:cs="仿宋"/>
          <w:sz w:val="24"/>
        </w:rPr>
      </w:pPr>
      <w:r>
        <w:rPr>
          <w:rFonts w:ascii="宋体" w:hAnsi="宋体" w:cs="仿宋"/>
          <w:sz w:val="24"/>
        </w:rPr>
        <w:br w:type="page"/>
      </w:r>
    </w:p>
    <w:p>
      <w:pPr>
        <w:spacing w:line="600" w:lineRule="exact"/>
        <w:jc w:val="center"/>
        <w:outlineLvl w:val="0"/>
        <w:rPr>
          <w:rFonts w:ascii="黑体" w:hAnsi="黑体" w:eastAsia="黑体" w:cs="仿宋"/>
          <w:b/>
          <w:color w:val="000000"/>
          <w:sz w:val="36"/>
          <w:szCs w:val="36"/>
        </w:rPr>
      </w:pPr>
      <w:bookmarkStart w:id="21" w:name="_Toc27625"/>
      <w:r>
        <w:rPr>
          <w:rFonts w:hint="eastAsia" w:ascii="黑体" w:hAnsi="黑体" w:eastAsia="黑体" w:cs="仿宋"/>
          <w:b/>
          <w:color w:val="000000"/>
          <w:sz w:val="36"/>
          <w:szCs w:val="36"/>
        </w:rPr>
        <w:t>第五章  采购需求</w:t>
      </w:r>
      <w:bookmarkEnd w:id="21"/>
    </w:p>
    <w:p>
      <w:pPr>
        <w:adjustRightInd w:val="0"/>
        <w:snapToGrid w:val="0"/>
        <w:spacing w:line="312" w:lineRule="auto"/>
        <w:rPr>
          <w:rFonts w:ascii="宋体" w:hAnsi="宋体"/>
          <w:sz w:val="24"/>
        </w:rPr>
      </w:pPr>
      <w:r>
        <w:rPr>
          <w:rFonts w:hint="eastAsia" w:ascii="宋体" w:hAnsi="宋体"/>
          <w:sz w:val="24"/>
        </w:rPr>
        <w:t>（一</w:t>
      </w:r>
      <w:r>
        <w:rPr>
          <w:rFonts w:ascii="宋体" w:hAnsi="宋体"/>
          <w:sz w:val="24"/>
        </w:rPr>
        <w:t>）</w:t>
      </w:r>
      <w:r>
        <w:rPr>
          <w:rFonts w:hint="eastAsia" w:ascii="宋体" w:hAnsi="宋体"/>
          <w:sz w:val="24"/>
        </w:rPr>
        <w:t>采购项目名称：城港囤船</w:t>
      </w:r>
      <w:r>
        <w:rPr>
          <w:rFonts w:ascii="宋体" w:hAnsi="宋体"/>
          <w:sz w:val="24"/>
        </w:rPr>
        <w:t>65-2</w:t>
      </w:r>
      <w:r>
        <w:rPr>
          <w:rFonts w:hint="eastAsia" w:ascii="宋体" w:hAnsi="宋体"/>
          <w:sz w:val="24"/>
        </w:rPr>
        <w:t xml:space="preserve">特检坞修项目 </w:t>
      </w:r>
    </w:p>
    <w:p>
      <w:pPr>
        <w:autoSpaceDE w:val="0"/>
        <w:spacing w:line="400" w:lineRule="exact"/>
        <w:jc w:val="both"/>
        <w:rPr>
          <w:rFonts w:ascii="宋体" w:hAnsi="宋体"/>
          <w:sz w:val="24"/>
        </w:rPr>
      </w:pPr>
      <w:r>
        <w:rPr>
          <w:rFonts w:hint="eastAsia" w:ascii="宋体" w:hAnsi="宋体"/>
          <w:sz w:val="24"/>
        </w:rPr>
        <w:t>（二</w:t>
      </w:r>
      <w:r>
        <w:rPr>
          <w:rFonts w:ascii="宋体" w:hAnsi="宋体"/>
          <w:sz w:val="24"/>
        </w:rPr>
        <w:t>）</w:t>
      </w:r>
      <w:r>
        <w:rPr>
          <w:rFonts w:hint="eastAsia" w:ascii="宋体" w:hAnsi="宋体"/>
          <w:sz w:val="24"/>
        </w:rPr>
        <w:t>项目概况及主要数据</w:t>
      </w:r>
      <w:r>
        <w:rPr>
          <w:rFonts w:ascii="宋体" w:hAnsi="宋体"/>
          <w:sz w:val="24"/>
        </w:rPr>
        <w:t xml:space="preserve"> </w:t>
      </w:r>
      <w:r>
        <w:rPr>
          <w:rFonts w:hint="eastAsia" w:ascii="宋体" w:hAnsi="宋体"/>
          <w:sz w:val="24"/>
        </w:rPr>
        <w:t>：城港囤船</w:t>
      </w:r>
      <w:r>
        <w:rPr>
          <w:rFonts w:ascii="宋体" w:hAnsi="宋体"/>
          <w:sz w:val="24"/>
        </w:rPr>
        <w:t>65-2</w:t>
      </w:r>
      <w:r>
        <w:rPr>
          <w:rFonts w:hint="eastAsia" w:ascii="宋体" w:hAnsi="宋体"/>
          <w:sz w:val="24"/>
        </w:rPr>
        <w:t>是</w:t>
      </w:r>
      <w:r>
        <w:rPr>
          <w:rFonts w:ascii="宋体" w:hAnsi="宋体"/>
          <w:sz w:val="24"/>
        </w:rPr>
        <w:t>1992</w:t>
      </w:r>
      <w:r>
        <w:rPr>
          <w:rFonts w:hint="eastAsia" w:ascii="宋体" w:hAnsi="宋体"/>
          <w:sz w:val="24"/>
        </w:rPr>
        <w:t>年</w:t>
      </w:r>
      <w:r>
        <w:rPr>
          <w:rFonts w:ascii="宋体" w:hAnsi="宋体"/>
          <w:sz w:val="24"/>
        </w:rPr>
        <w:t>9</w:t>
      </w:r>
      <w:r>
        <w:rPr>
          <w:rFonts w:hint="eastAsia" w:ascii="宋体" w:hAnsi="宋体"/>
          <w:sz w:val="24"/>
        </w:rPr>
        <w:t>月由湖北鄂州市造船厂完成建造并投入使用，</w:t>
      </w:r>
      <w:r>
        <w:rPr>
          <w:rFonts w:ascii="宋体" w:hAnsi="宋体"/>
          <w:sz w:val="24"/>
        </w:rPr>
        <w:t>2022</w:t>
      </w:r>
      <w:r>
        <w:rPr>
          <w:rFonts w:hint="eastAsia" w:ascii="宋体" w:hAnsi="宋体"/>
          <w:sz w:val="24"/>
        </w:rPr>
        <w:t>年</w:t>
      </w:r>
      <w:r>
        <w:rPr>
          <w:rFonts w:ascii="宋体" w:hAnsi="宋体"/>
          <w:sz w:val="24"/>
        </w:rPr>
        <w:t>8</w:t>
      </w:r>
      <w:r>
        <w:rPr>
          <w:rFonts w:hint="eastAsia" w:ascii="宋体" w:hAnsi="宋体"/>
          <w:sz w:val="24"/>
        </w:rPr>
        <w:t>月</w:t>
      </w:r>
      <w:r>
        <w:rPr>
          <w:rFonts w:ascii="宋体" w:hAnsi="宋体"/>
          <w:sz w:val="24"/>
        </w:rPr>
        <w:t>31</w:t>
      </w:r>
      <w:r>
        <w:rPr>
          <w:rFonts w:hint="eastAsia" w:ascii="宋体" w:hAnsi="宋体"/>
          <w:sz w:val="24"/>
        </w:rPr>
        <w:t>日到特别检验换证周期，须按中国船级社《钢质内河船舶入级与建造规范》的规定船体进行上坞系统厂修并通过</w:t>
      </w:r>
      <w:r>
        <w:rPr>
          <w:rFonts w:ascii="宋体" w:hAnsi="宋体"/>
          <w:sz w:val="24"/>
        </w:rPr>
        <w:t>CCS</w:t>
      </w:r>
      <w:r>
        <w:rPr>
          <w:rFonts w:hint="eastAsia" w:ascii="宋体" w:hAnsi="宋体"/>
          <w:sz w:val="24"/>
        </w:rPr>
        <w:t>武汉船级社的特别检验。</w:t>
      </w:r>
    </w:p>
    <w:p>
      <w:pPr>
        <w:adjustRightInd w:val="0"/>
        <w:snapToGrid w:val="0"/>
        <w:spacing w:line="312" w:lineRule="auto"/>
        <w:rPr>
          <w:rFonts w:ascii="宋体" w:hAnsi="宋体"/>
          <w:sz w:val="24"/>
        </w:rPr>
      </w:pPr>
      <w:r>
        <w:rPr>
          <w:rFonts w:hint="eastAsia" w:ascii="宋体" w:hAnsi="宋体"/>
          <w:sz w:val="24"/>
        </w:rPr>
        <w:t>（三</w:t>
      </w:r>
      <w:r>
        <w:rPr>
          <w:rFonts w:ascii="宋体" w:hAnsi="宋体"/>
          <w:sz w:val="24"/>
        </w:rPr>
        <w:t>）</w:t>
      </w:r>
      <w:r>
        <w:rPr>
          <w:rFonts w:hint="eastAsia" w:ascii="宋体" w:hAnsi="宋体"/>
          <w:sz w:val="24"/>
        </w:rPr>
        <w:t>服务承包范围：详见城港囤船</w:t>
      </w:r>
      <w:r>
        <w:rPr>
          <w:rFonts w:ascii="宋体" w:hAnsi="宋体"/>
          <w:sz w:val="24"/>
        </w:rPr>
        <w:t>65-2</w:t>
      </w:r>
      <w:r>
        <w:rPr>
          <w:rFonts w:hint="eastAsia" w:ascii="宋体" w:hAnsi="宋体"/>
          <w:sz w:val="24"/>
        </w:rPr>
        <w:t>特检坞修项目清单。</w:t>
      </w:r>
    </w:p>
    <w:tbl>
      <w:tblPr>
        <w:tblStyle w:val="37"/>
        <w:tblW w:w="9781" w:type="dxa"/>
        <w:tblInd w:w="0" w:type="dxa"/>
        <w:tblLayout w:type="autofit"/>
        <w:tblCellMar>
          <w:top w:w="0" w:type="dxa"/>
          <w:left w:w="108" w:type="dxa"/>
          <w:bottom w:w="0" w:type="dxa"/>
          <w:right w:w="108" w:type="dxa"/>
        </w:tblCellMar>
      </w:tblPr>
      <w:tblGrid>
        <w:gridCol w:w="361"/>
        <w:gridCol w:w="509"/>
        <w:gridCol w:w="5651"/>
        <w:gridCol w:w="850"/>
        <w:gridCol w:w="709"/>
        <w:gridCol w:w="709"/>
        <w:gridCol w:w="992"/>
      </w:tblGrid>
      <w:tr>
        <w:tblPrEx>
          <w:tblCellMar>
            <w:top w:w="0" w:type="dxa"/>
            <w:left w:w="108" w:type="dxa"/>
            <w:bottom w:w="0" w:type="dxa"/>
            <w:right w:w="108" w:type="dxa"/>
          </w:tblCellMar>
        </w:tblPrEx>
        <w:trPr>
          <w:trHeight w:val="420" w:hRule="atLeast"/>
        </w:trPr>
        <w:tc>
          <w:tcPr>
            <w:tcW w:w="9781" w:type="dxa"/>
            <w:gridSpan w:val="7"/>
            <w:tcBorders>
              <w:top w:val="nil"/>
              <w:left w:val="nil"/>
              <w:bottom w:val="nil"/>
              <w:right w:val="nil"/>
            </w:tcBorders>
            <w:shd w:val="clear" w:color="auto" w:fill="auto"/>
            <w:noWrap/>
            <w:vAlign w:val="center"/>
          </w:tcPr>
          <w:p>
            <w:pPr>
              <w:spacing w:line="240" w:lineRule="auto"/>
              <w:jc w:val="center"/>
              <w:rPr>
                <w:rFonts w:ascii="宋体" w:hAnsi="宋体" w:cs="宋体"/>
                <w:b/>
                <w:bCs/>
                <w:kern w:val="0"/>
                <w:sz w:val="28"/>
                <w:szCs w:val="28"/>
              </w:rPr>
            </w:pPr>
            <w:r>
              <w:rPr>
                <w:rFonts w:hint="eastAsia" w:ascii="宋体" w:hAnsi="宋体" w:cs="宋体"/>
                <w:b/>
                <w:bCs/>
                <w:kern w:val="0"/>
                <w:sz w:val="28"/>
                <w:szCs w:val="28"/>
              </w:rPr>
              <w:t>城港囤船</w:t>
            </w:r>
            <w:r>
              <w:rPr>
                <w:b/>
                <w:bCs/>
                <w:kern w:val="0"/>
                <w:sz w:val="28"/>
                <w:szCs w:val="28"/>
              </w:rPr>
              <w:t>65-2</w:t>
            </w:r>
            <w:r>
              <w:rPr>
                <w:rFonts w:hint="eastAsia"/>
                <w:b/>
                <w:bCs/>
                <w:kern w:val="0"/>
                <w:sz w:val="28"/>
                <w:szCs w:val="28"/>
              </w:rPr>
              <w:t>坞</w:t>
            </w:r>
            <w:r>
              <w:rPr>
                <w:rFonts w:hint="eastAsia" w:ascii="宋体" w:hAnsi="宋体" w:cs="宋体"/>
                <w:b/>
                <w:bCs/>
                <w:kern w:val="0"/>
                <w:sz w:val="28"/>
                <w:szCs w:val="28"/>
              </w:rPr>
              <w:t>修项目清单</w:t>
            </w:r>
            <w:r>
              <w:rPr>
                <w:b/>
                <w:bCs/>
                <w:kern w:val="0"/>
                <w:sz w:val="28"/>
                <w:szCs w:val="28"/>
              </w:rPr>
              <w:t xml:space="preserve">                           </w:t>
            </w:r>
          </w:p>
        </w:tc>
      </w:tr>
      <w:tr>
        <w:tblPrEx>
          <w:tblCellMar>
            <w:top w:w="0" w:type="dxa"/>
            <w:left w:w="108" w:type="dxa"/>
            <w:bottom w:w="0" w:type="dxa"/>
            <w:right w:w="108" w:type="dxa"/>
          </w:tblCellMar>
        </w:tblPrEx>
        <w:trPr>
          <w:trHeight w:val="390" w:hRule="atLeast"/>
        </w:trPr>
        <w:tc>
          <w:tcPr>
            <w:tcW w:w="870" w:type="dxa"/>
            <w:gridSpan w:val="2"/>
            <w:tcBorders>
              <w:top w:val="nil"/>
              <w:left w:val="nil"/>
              <w:bottom w:val="nil"/>
              <w:right w:val="nil"/>
            </w:tcBorders>
            <w:shd w:val="clear" w:color="auto" w:fill="auto"/>
            <w:noWrap/>
            <w:vAlign w:val="center"/>
          </w:tcPr>
          <w:p>
            <w:pPr>
              <w:spacing w:line="240" w:lineRule="auto"/>
              <w:jc w:val="both"/>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船</w:t>
            </w:r>
            <w:r>
              <w:rPr>
                <w:rFonts w:hint="eastAsia" w:ascii="宋体" w:hAnsi="宋体" w:eastAsia="宋体" w:cs="宋体"/>
                <w:kern w:val="0"/>
                <w:sz w:val="24"/>
                <w:szCs w:val="24"/>
              </w:rPr>
              <w:t>名：</w:t>
            </w:r>
          </w:p>
        </w:tc>
        <w:tc>
          <w:tcPr>
            <w:tcW w:w="5651" w:type="dxa"/>
            <w:tcBorders>
              <w:top w:val="nil"/>
              <w:left w:val="nil"/>
              <w:bottom w:val="nil"/>
              <w:right w:val="nil"/>
            </w:tcBorders>
            <w:shd w:val="clear" w:color="auto" w:fill="auto"/>
            <w:noWrap/>
            <w:vAlign w:val="center"/>
          </w:tcPr>
          <w:p>
            <w:pPr>
              <w:spacing w:line="240" w:lineRule="auto"/>
              <w:rPr>
                <w:rFonts w:hint="eastAsia" w:ascii="宋体" w:hAnsi="宋体" w:eastAsia="宋体" w:cs="宋体"/>
                <w:kern w:val="0"/>
                <w:sz w:val="24"/>
                <w:szCs w:val="24"/>
              </w:rPr>
            </w:pPr>
            <w:r>
              <w:rPr>
                <w:rFonts w:hint="eastAsia" w:ascii="宋体" w:hAnsi="宋体" w:eastAsia="宋体" w:cs="宋体"/>
                <w:kern w:val="0"/>
                <w:sz w:val="24"/>
                <w:szCs w:val="24"/>
              </w:rPr>
              <w:t>城港囤船65-2（长城囤Ｋ００2）</w:t>
            </w:r>
          </w:p>
        </w:tc>
        <w:tc>
          <w:tcPr>
            <w:tcW w:w="3260" w:type="dxa"/>
            <w:gridSpan w:val="4"/>
            <w:tcBorders>
              <w:top w:val="nil"/>
              <w:left w:val="nil"/>
              <w:bottom w:val="nil"/>
              <w:right w:val="nil"/>
            </w:tcBorders>
            <w:shd w:val="clear" w:color="auto" w:fill="auto"/>
            <w:noWrap/>
            <w:vAlign w:val="center"/>
          </w:tcPr>
          <w:p>
            <w:pPr>
              <w:spacing w:line="240" w:lineRule="auto"/>
              <w:jc w:val="center"/>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570" w:hRule="atLeast"/>
        </w:trPr>
        <w:tc>
          <w:tcPr>
            <w:tcW w:w="87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序号</w:t>
            </w:r>
          </w:p>
        </w:tc>
        <w:tc>
          <w:tcPr>
            <w:tcW w:w="5651"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修      理      项      目</w:t>
            </w:r>
          </w:p>
        </w:tc>
        <w:tc>
          <w:tcPr>
            <w:tcW w:w="850"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单位</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数量</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单价</w:t>
            </w:r>
          </w:p>
        </w:tc>
        <w:tc>
          <w:tcPr>
            <w:tcW w:w="992" w:type="dxa"/>
            <w:tcBorders>
              <w:top w:val="single" w:color="auto" w:sz="4" w:space="0"/>
              <w:left w:val="nil"/>
              <w:bottom w:val="nil"/>
              <w:right w:val="single" w:color="auto"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金额</w:t>
            </w:r>
            <w:r>
              <w:rPr>
                <w:rFonts w:hint="eastAsia" w:ascii="宋体" w:hAnsi="宋体" w:cs="宋体"/>
                <w:kern w:val="0"/>
                <w:sz w:val="24"/>
              </w:rPr>
              <w:br w:type="textWrapping"/>
            </w:r>
            <w:r>
              <w:rPr>
                <w:rFonts w:hint="eastAsia" w:ascii="宋体" w:hAnsi="宋体" w:cs="宋体"/>
                <w:kern w:val="0"/>
                <w:sz w:val="24"/>
              </w:rPr>
              <w:t>（元）</w:t>
            </w:r>
          </w:p>
        </w:tc>
      </w:tr>
      <w:tr>
        <w:tblPrEx>
          <w:tblCellMar>
            <w:top w:w="0" w:type="dxa"/>
            <w:left w:w="108" w:type="dxa"/>
            <w:bottom w:w="0" w:type="dxa"/>
            <w:right w:w="108" w:type="dxa"/>
          </w:tblCellMar>
        </w:tblPrEx>
        <w:trPr>
          <w:trHeight w:val="570" w:hRule="atLeast"/>
        </w:trPr>
        <w:tc>
          <w:tcPr>
            <w:tcW w:w="870"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一</w:t>
            </w:r>
          </w:p>
        </w:tc>
        <w:tc>
          <w:tcPr>
            <w:tcW w:w="5651"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上排或上坞修理</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709" w:type="dxa"/>
            <w:tcBorders>
              <w:top w:val="nil"/>
              <w:left w:val="nil"/>
              <w:bottom w:val="single" w:color="auto" w:sz="4" w:space="0"/>
              <w:right w:val="nil"/>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single" w:color="auto" w:sz="4" w:space="0"/>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570" w:hRule="atLeast"/>
        </w:trPr>
        <w:tc>
          <w:tcPr>
            <w:tcW w:w="361" w:type="dxa"/>
            <w:tcBorders>
              <w:top w:val="nil"/>
              <w:left w:val="single" w:color="auto" w:sz="4" w:space="0"/>
              <w:bottom w:val="single" w:color="auto" w:sz="4" w:space="0"/>
              <w:right w:val="nil"/>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509" w:type="dxa"/>
            <w:tcBorders>
              <w:top w:val="nil"/>
              <w:left w:val="single" w:color="auto" w:sz="4" w:space="0"/>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1</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船长：65m×11m×2m、上下坞</w:t>
            </w:r>
          </w:p>
        </w:tc>
        <w:tc>
          <w:tcPr>
            <w:tcW w:w="850" w:type="dxa"/>
            <w:tcBorders>
              <w:top w:val="nil"/>
              <w:left w:val="nil"/>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次</w:t>
            </w:r>
          </w:p>
        </w:tc>
        <w:tc>
          <w:tcPr>
            <w:tcW w:w="709" w:type="dxa"/>
            <w:tcBorders>
              <w:top w:val="nil"/>
              <w:left w:val="nil"/>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1</w:t>
            </w:r>
          </w:p>
        </w:tc>
        <w:tc>
          <w:tcPr>
            <w:tcW w:w="709" w:type="dxa"/>
            <w:tcBorders>
              <w:top w:val="nil"/>
              <w:left w:val="nil"/>
              <w:bottom w:val="single" w:color="auto" w:sz="4" w:space="0"/>
              <w:right w:val="nil"/>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single" w:color="auto" w:sz="4" w:space="0"/>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495" w:hRule="atLeast"/>
        </w:trPr>
        <w:tc>
          <w:tcPr>
            <w:tcW w:w="361" w:type="dxa"/>
            <w:tcBorders>
              <w:top w:val="nil"/>
              <w:left w:val="single" w:color="auto" w:sz="4" w:space="0"/>
              <w:bottom w:val="single" w:color="auto" w:sz="4" w:space="0"/>
              <w:right w:val="nil"/>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509" w:type="dxa"/>
            <w:tcBorders>
              <w:top w:val="nil"/>
              <w:left w:val="single" w:color="auto" w:sz="4" w:space="0"/>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2</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厂修天数</w:t>
            </w:r>
          </w:p>
        </w:tc>
        <w:tc>
          <w:tcPr>
            <w:tcW w:w="850" w:type="dxa"/>
            <w:tcBorders>
              <w:top w:val="nil"/>
              <w:left w:val="nil"/>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天</w:t>
            </w:r>
          </w:p>
        </w:tc>
        <w:tc>
          <w:tcPr>
            <w:tcW w:w="709" w:type="dxa"/>
            <w:tcBorders>
              <w:top w:val="nil"/>
              <w:left w:val="nil"/>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15</w:t>
            </w:r>
          </w:p>
        </w:tc>
        <w:tc>
          <w:tcPr>
            <w:tcW w:w="709" w:type="dxa"/>
            <w:tcBorders>
              <w:top w:val="nil"/>
              <w:left w:val="nil"/>
              <w:bottom w:val="single" w:color="auto" w:sz="4" w:space="0"/>
              <w:right w:val="nil"/>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single" w:color="auto" w:sz="4" w:space="0"/>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480" w:hRule="atLeast"/>
        </w:trPr>
        <w:tc>
          <w:tcPr>
            <w:tcW w:w="361" w:type="dxa"/>
            <w:tcBorders>
              <w:top w:val="nil"/>
              <w:left w:val="single" w:color="auto" w:sz="4" w:space="0"/>
              <w:bottom w:val="single" w:color="auto" w:sz="4" w:space="0"/>
              <w:right w:val="nil"/>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509" w:type="dxa"/>
            <w:tcBorders>
              <w:top w:val="nil"/>
              <w:left w:val="single" w:color="auto" w:sz="4" w:space="0"/>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3</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船体水线以下船底板与左右舷墙侧板测厚。</w:t>
            </w:r>
          </w:p>
        </w:tc>
        <w:tc>
          <w:tcPr>
            <w:tcW w:w="850" w:type="dxa"/>
            <w:tcBorders>
              <w:top w:val="nil"/>
              <w:left w:val="nil"/>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点</w:t>
            </w:r>
          </w:p>
        </w:tc>
        <w:tc>
          <w:tcPr>
            <w:tcW w:w="709" w:type="dxa"/>
            <w:tcBorders>
              <w:top w:val="nil"/>
              <w:left w:val="nil"/>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80</w:t>
            </w:r>
          </w:p>
        </w:tc>
        <w:tc>
          <w:tcPr>
            <w:tcW w:w="709" w:type="dxa"/>
            <w:tcBorders>
              <w:top w:val="nil"/>
              <w:left w:val="nil"/>
              <w:bottom w:val="single" w:color="auto" w:sz="4" w:space="0"/>
              <w:right w:val="nil"/>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single" w:color="auto" w:sz="4" w:space="0"/>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630" w:hRule="atLeast"/>
        </w:trPr>
        <w:tc>
          <w:tcPr>
            <w:tcW w:w="361" w:type="dxa"/>
            <w:tcBorders>
              <w:top w:val="nil"/>
              <w:left w:val="single" w:color="auto" w:sz="4" w:space="0"/>
              <w:bottom w:val="single" w:color="auto" w:sz="4" w:space="0"/>
              <w:right w:val="nil"/>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509" w:type="dxa"/>
            <w:tcBorders>
              <w:top w:val="nil"/>
              <w:left w:val="single" w:color="auto" w:sz="4" w:space="0"/>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4</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水线以下船底板、船舭板、升板重铲除锈防腐底漆、面漆各两度（830底漆、831面漆）</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806</w:t>
            </w:r>
          </w:p>
        </w:tc>
        <w:tc>
          <w:tcPr>
            <w:tcW w:w="709" w:type="dxa"/>
            <w:tcBorders>
              <w:top w:val="nil"/>
              <w:left w:val="nil"/>
              <w:bottom w:val="single" w:color="auto" w:sz="4" w:space="0"/>
              <w:right w:val="nil"/>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single" w:color="auto" w:sz="4" w:space="0"/>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570" w:hRule="atLeast"/>
        </w:trPr>
        <w:tc>
          <w:tcPr>
            <w:tcW w:w="361" w:type="dxa"/>
            <w:tcBorders>
              <w:top w:val="nil"/>
              <w:left w:val="single" w:color="auto" w:sz="4" w:space="0"/>
              <w:bottom w:val="single" w:color="auto" w:sz="4" w:space="0"/>
              <w:right w:val="nil"/>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509" w:type="dxa"/>
            <w:tcBorders>
              <w:top w:val="nil"/>
              <w:left w:val="single" w:color="auto" w:sz="4" w:space="0"/>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5</w:t>
            </w:r>
          </w:p>
        </w:tc>
        <w:tc>
          <w:tcPr>
            <w:tcW w:w="5651"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水尺干舷圈填白漆</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艘</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w:t>
            </w:r>
          </w:p>
        </w:tc>
        <w:tc>
          <w:tcPr>
            <w:tcW w:w="709" w:type="dxa"/>
            <w:tcBorders>
              <w:top w:val="nil"/>
              <w:left w:val="nil"/>
              <w:bottom w:val="single" w:color="auto" w:sz="4" w:space="0"/>
              <w:right w:val="nil"/>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single" w:color="auto" w:sz="4" w:space="0"/>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390" w:hRule="atLeast"/>
        </w:trPr>
        <w:tc>
          <w:tcPr>
            <w:tcW w:w="870"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二</w:t>
            </w:r>
          </w:p>
        </w:tc>
        <w:tc>
          <w:tcPr>
            <w:tcW w:w="5651"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油漆工程（上海开林牌瓷漆）</w:t>
            </w:r>
          </w:p>
        </w:tc>
        <w:tc>
          <w:tcPr>
            <w:tcW w:w="850" w:type="dxa"/>
            <w:tcBorders>
              <w:top w:val="nil"/>
              <w:left w:val="nil"/>
              <w:bottom w:val="single" w:color="auto" w:sz="4" w:space="0"/>
              <w:right w:val="single" w:color="auto" w:sz="4" w:space="0"/>
            </w:tcBorders>
            <w:shd w:val="clear" w:color="auto" w:fill="auto"/>
            <w:noWrap/>
            <w:vAlign w:val="bottom"/>
          </w:tcPr>
          <w:p>
            <w:pPr>
              <w:spacing w:line="240" w:lineRule="auto"/>
              <w:rPr>
                <w:kern w:val="0"/>
                <w:sz w:val="24"/>
              </w:rPr>
            </w:pPr>
            <w:r>
              <w:rPr>
                <w:kern w:val="0"/>
                <w:sz w:val="24"/>
              </w:rPr>
              <w:t>　</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709" w:type="dxa"/>
            <w:tcBorders>
              <w:top w:val="nil"/>
              <w:left w:val="nil"/>
              <w:bottom w:val="single" w:color="auto" w:sz="4" w:space="0"/>
              <w:right w:val="nil"/>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single" w:color="auto" w:sz="4" w:space="0"/>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45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w:t>
            </w:r>
          </w:p>
        </w:tc>
        <w:tc>
          <w:tcPr>
            <w:tcW w:w="5651"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主甲板（65000mm*11200mm）</w:t>
            </w:r>
          </w:p>
        </w:tc>
        <w:tc>
          <w:tcPr>
            <w:tcW w:w="850" w:type="dxa"/>
            <w:tcBorders>
              <w:top w:val="nil"/>
              <w:left w:val="nil"/>
              <w:bottom w:val="single" w:color="auto" w:sz="4" w:space="0"/>
              <w:right w:val="single" w:color="auto" w:sz="4" w:space="0"/>
            </w:tcBorders>
            <w:shd w:val="clear" w:color="auto" w:fill="auto"/>
            <w:noWrap/>
            <w:vAlign w:val="bottom"/>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730</w:t>
            </w:r>
          </w:p>
        </w:tc>
        <w:tc>
          <w:tcPr>
            <w:tcW w:w="709" w:type="dxa"/>
            <w:tcBorders>
              <w:top w:val="nil"/>
              <w:left w:val="nil"/>
              <w:bottom w:val="single" w:color="auto" w:sz="4" w:space="0"/>
              <w:right w:val="nil"/>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single" w:color="auto" w:sz="4" w:space="0"/>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495"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w:t>
            </w:r>
          </w:p>
        </w:tc>
        <w:tc>
          <w:tcPr>
            <w:tcW w:w="5651"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左右水线以上左右舷墙板（65000mm*1300mm*2）</w:t>
            </w:r>
          </w:p>
        </w:tc>
        <w:tc>
          <w:tcPr>
            <w:tcW w:w="850" w:type="dxa"/>
            <w:tcBorders>
              <w:top w:val="nil"/>
              <w:left w:val="nil"/>
              <w:bottom w:val="single" w:color="auto" w:sz="4" w:space="0"/>
              <w:right w:val="single" w:color="auto" w:sz="4" w:space="0"/>
            </w:tcBorders>
            <w:shd w:val="clear" w:color="auto" w:fill="auto"/>
            <w:noWrap/>
            <w:vAlign w:val="bottom"/>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170</w:t>
            </w:r>
          </w:p>
        </w:tc>
        <w:tc>
          <w:tcPr>
            <w:tcW w:w="709" w:type="dxa"/>
            <w:tcBorders>
              <w:top w:val="nil"/>
              <w:left w:val="nil"/>
              <w:bottom w:val="single" w:color="auto" w:sz="4" w:space="0"/>
              <w:right w:val="nil"/>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single" w:color="auto" w:sz="4" w:space="0"/>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48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3</w:t>
            </w:r>
          </w:p>
        </w:tc>
        <w:tc>
          <w:tcPr>
            <w:tcW w:w="5651"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船艏船尾水线以上封板（11000mm*1400mm*2）</w:t>
            </w:r>
          </w:p>
        </w:tc>
        <w:tc>
          <w:tcPr>
            <w:tcW w:w="850" w:type="dxa"/>
            <w:tcBorders>
              <w:top w:val="nil"/>
              <w:left w:val="nil"/>
              <w:bottom w:val="single" w:color="auto" w:sz="4" w:space="0"/>
              <w:right w:val="single" w:color="auto" w:sz="4" w:space="0"/>
            </w:tcBorders>
            <w:shd w:val="clear" w:color="auto" w:fill="auto"/>
            <w:noWrap/>
            <w:vAlign w:val="bottom"/>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31</w:t>
            </w:r>
          </w:p>
        </w:tc>
        <w:tc>
          <w:tcPr>
            <w:tcW w:w="709" w:type="dxa"/>
            <w:tcBorders>
              <w:top w:val="nil"/>
              <w:left w:val="nil"/>
              <w:bottom w:val="single" w:color="auto" w:sz="4" w:space="0"/>
              <w:right w:val="nil"/>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single" w:color="auto" w:sz="4" w:space="0"/>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469"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4</w:t>
            </w:r>
          </w:p>
        </w:tc>
        <w:tc>
          <w:tcPr>
            <w:tcW w:w="5651"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主甲板望天（49000mm*10200mm*系数1.4）</w:t>
            </w:r>
          </w:p>
        </w:tc>
        <w:tc>
          <w:tcPr>
            <w:tcW w:w="850" w:type="dxa"/>
            <w:tcBorders>
              <w:top w:val="nil"/>
              <w:left w:val="nil"/>
              <w:bottom w:val="single" w:color="auto" w:sz="4" w:space="0"/>
              <w:right w:val="single" w:color="auto" w:sz="4" w:space="0"/>
            </w:tcBorders>
            <w:shd w:val="clear" w:color="auto" w:fill="auto"/>
            <w:noWrap/>
            <w:vAlign w:val="bottom"/>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708</w:t>
            </w:r>
          </w:p>
        </w:tc>
        <w:tc>
          <w:tcPr>
            <w:tcW w:w="709" w:type="dxa"/>
            <w:tcBorders>
              <w:top w:val="nil"/>
              <w:left w:val="nil"/>
              <w:bottom w:val="single" w:color="auto" w:sz="4" w:space="0"/>
              <w:right w:val="nil"/>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single" w:color="auto" w:sz="4" w:space="0"/>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138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5</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主甲板西装设施、房间、厕所、厨房、配电间墙板内外、上下楼梯、望天、二楼甲板、二楼房间、船员休息室、会议室内外围板、三楼雨棚架油漆、桅杆、重铲除锈红丹二度、色漆二度(1818㎡)</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1818</w:t>
            </w:r>
          </w:p>
        </w:tc>
        <w:tc>
          <w:tcPr>
            <w:tcW w:w="709" w:type="dxa"/>
            <w:tcBorders>
              <w:top w:val="nil"/>
              <w:left w:val="nil"/>
              <w:bottom w:val="single" w:color="auto" w:sz="4" w:space="0"/>
              <w:right w:val="nil"/>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single" w:color="auto" w:sz="4" w:space="0"/>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1155"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6</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三楼甲板（16700mm*10000mm*系数1.4＝234㎡）水箱1400mm*1300mm*8面＝15㎡、灯箱4500mm*1200mm*2＝11㎡</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260</w:t>
            </w:r>
          </w:p>
        </w:tc>
        <w:tc>
          <w:tcPr>
            <w:tcW w:w="709" w:type="dxa"/>
            <w:tcBorders>
              <w:top w:val="nil"/>
              <w:left w:val="nil"/>
              <w:bottom w:val="single" w:color="auto" w:sz="4" w:space="0"/>
              <w:right w:val="nil"/>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single" w:color="auto" w:sz="4" w:space="0"/>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735"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7</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主甲板四舱（消防水泵舱）船底板除锈防腐红丹二度、色漆二度(11000mm*10000mm*系数1.4)</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m</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154</w:t>
            </w:r>
          </w:p>
        </w:tc>
        <w:tc>
          <w:tcPr>
            <w:tcW w:w="709" w:type="dxa"/>
            <w:tcBorders>
              <w:top w:val="nil"/>
              <w:left w:val="nil"/>
              <w:bottom w:val="single" w:color="auto" w:sz="4" w:space="0"/>
              <w:right w:val="nil"/>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single" w:color="auto" w:sz="4" w:space="0"/>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649" w:hRule="atLeast"/>
        </w:trPr>
        <w:tc>
          <w:tcPr>
            <w:tcW w:w="870" w:type="dxa"/>
            <w:gridSpan w:val="2"/>
            <w:tcBorders>
              <w:top w:val="single" w:color="auto" w:sz="4" w:space="0"/>
              <w:left w:val="single" w:color="auto" w:sz="4" w:space="0"/>
              <w:bottom w:val="single" w:color="auto" w:sz="4" w:space="0"/>
              <w:right w:val="single" w:color="000000"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三</w:t>
            </w:r>
          </w:p>
        </w:tc>
        <w:tc>
          <w:tcPr>
            <w:tcW w:w="5651"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修理工程</w:t>
            </w:r>
          </w:p>
        </w:tc>
        <w:tc>
          <w:tcPr>
            <w:tcW w:w="850" w:type="dxa"/>
            <w:tcBorders>
              <w:top w:val="nil"/>
              <w:left w:val="nil"/>
              <w:bottom w:val="single" w:color="auto" w:sz="4" w:space="0"/>
              <w:right w:val="single" w:color="auto" w:sz="4" w:space="0"/>
            </w:tcBorders>
            <w:shd w:val="clear" w:color="auto" w:fill="auto"/>
            <w:noWrap/>
            <w:vAlign w:val="bottom"/>
          </w:tcPr>
          <w:p>
            <w:pPr>
              <w:spacing w:line="240" w:lineRule="auto"/>
              <w:jc w:val="center"/>
              <w:rPr>
                <w:rFonts w:ascii="宋体" w:hAnsi="宋体" w:cs="宋体"/>
                <w:kern w:val="0"/>
                <w:sz w:val="24"/>
              </w:rPr>
            </w:pPr>
            <w:r>
              <w:rPr>
                <w:rFonts w:hint="eastAsia" w:ascii="宋体" w:hAnsi="宋体" w:cs="宋体"/>
                <w:kern w:val="0"/>
                <w:sz w:val="24"/>
              </w:rPr>
              <w:t>　</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nil"/>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60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w:t>
            </w:r>
          </w:p>
        </w:tc>
        <w:tc>
          <w:tcPr>
            <w:tcW w:w="5651"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主甲板右舷尾中部处黑管挖补换新δ10mm*50000mm*200mm</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m</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5</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nil"/>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54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尾后栏杆校正</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项</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nil"/>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108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3</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主甲板照明灯、尾部照明灯、左右过道灯电缆老化更换恢复.两芯2.5㎡船用电缆约200米、90瓦LED灯6套、水密开关6只</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项</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nil"/>
              <w:bottom w:val="nil"/>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r>
      <w:tr>
        <w:tblPrEx>
          <w:tblCellMar>
            <w:top w:w="0" w:type="dxa"/>
            <w:left w:w="108" w:type="dxa"/>
            <w:bottom w:w="0" w:type="dxa"/>
            <w:right w:w="108" w:type="dxa"/>
          </w:tblCellMar>
        </w:tblPrEx>
        <w:trPr>
          <w:trHeight w:val="465" w:hRule="atLeast"/>
        </w:trPr>
        <w:tc>
          <w:tcPr>
            <w:tcW w:w="9781" w:type="dxa"/>
            <w:gridSpan w:val="7"/>
            <w:tcBorders>
              <w:top w:val="nil"/>
              <w:left w:val="nil"/>
              <w:bottom w:val="nil"/>
              <w:right w:val="nil"/>
            </w:tcBorders>
            <w:shd w:val="clear" w:color="auto" w:fill="auto"/>
            <w:noWrap/>
            <w:vAlign w:val="center"/>
          </w:tcPr>
          <w:p>
            <w:pPr>
              <w:spacing w:line="240" w:lineRule="auto"/>
              <w:jc w:val="center"/>
              <w:rPr>
                <w:rFonts w:ascii="宋体" w:hAnsi="宋体" w:cs="宋体"/>
                <w:b/>
                <w:bCs/>
                <w:kern w:val="0"/>
                <w:sz w:val="28"/>
                <w:szCs w:val="28"/>
              </w:rPr>
            </w:pPr>
            <w:r>
              <w:rPr>
                <w:rFonts w:hint="eastAsia" w:ascii="宋体" w:hAnsi="宋体" w:cs="宋体"/>
                <w:b/>
                <w:bCs/>
                <w:kern w:val="0"/>
                <w:sz w:val="28"/>
                <w:szCs w:val="28"/>
              </w:rPr>
              <w:t>城港客囤</w:t>
            </w:r>
            <w:r>
              <w:rPr>
                <w:b/>
                <w:bCs/>
                <w:kern w:val="0"/>
                <w:sz w:val="28"/>
                <w:szCs w:val="28"/>
              </w:rPr>
              <w:t>65-2</w:t>
            </w:r>
            <w:r>
              <w:rPr>
                <w:rFonts w:hint="eastAsia" w:ascii="宋体" w:hAnsi="宋体" w:cs="宋体"/>
                <w:b/>
                <w:bCs/>
                <w:kern w:val="0"/>
                <w:sz w:val="28"/>
                <w:szCs w:val="28"/>
              </w:rPr>
              <w:t>船修理项目单</w:t>
            </w:r>
            <w:r>
              <w:rPr>
                <w:b/>
                <w:bCs/>
                <w:kern w:val="0"/>
                <w:sz w:val="28"/>
                <w:szCs w:val="28"/>
              </w:rPr>
              <w:t xml:space="preserve">                           </w:t>
            </w:r>
          </w:p>
        </w:tc>
      </w:tr>
      <w:tr>
        <w:tblPrEx>
          <w:tblCellMar>
            <w:top w:w="0" w:type="dxa"/>
            <w:left w:w="108" w:type="dxa"/>
            <w:bottom w:w="0" w:type="dxa"/>
            <w:right w:w="108" w:type="dxa"/>
          </w:tblCellMar>
        </w:tblPrEx>
        <w:trPr>
          <w:trHeight w:val="465" w:hRule="atLeast"/>
        </w:trPr>
        <w:tc>
          <w:tcPr>
            <w:tcW w:w="870" w:type="dxa"/>
            <w:gridSpan w:val="2"/>
            <w:tcBorders>
              <w:top w:val="nil"/>
              <w:left w:val="nil"/>
              <w:bottom w:val="nil"/>
              <w:right w:val="nil"/>
            </w:tcBorders>
            <w:shd w:val="clear" w:color="auto" w:fill="auto"/>
            <w:noWrap/>
            <w:vAlign w:val="center"/>
          </w:tcPr>
          <w:p>
            <w:pPr>
              <w:spacing w:line="240" w:lineRule="auto"/>
              <w:jc w:val="both"/>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船名：</w:t>
            </w:r>
          </w:p>
        </w:tc>
        <w:tc>
          <w:tcPr>
            <w:tcW w:w="5651" w:type="dxa"/>
            <w:tcBorders>
              <w:top w:val="nil"/>
              <w:left w:val="nil"/>
              <w:bottom w:val="nil"/>
              <w:right w:val="nil"/>
            </w:tcBorders>
            <w:shd w:val="clear" w:color="auto" w:fill="auto"/>
            <w:noWrap/>
            <w:vAlign w:val="center"/>
          </w:tcPr>
          <w:p>
            <w:pPr>
              <w:spacing w:line="240" w:lineRule="auto"/>
              <w:jc w:val="both"/>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城港客囤65-2（长城囤Ｋ００2）</w:t>
            </w:r>
          </w:p>
        </w:tc>
        <w:tc>
          <w:tcPr>
            <w:tcW w:w="3260" w:type="dxa"/>
            <w:gridSpan w:val="4"/>
            <w:tcBorders>
              <w:top w:val="nil"/>
              <w:left w:val="nil"/>
              <w:bottom w:val="nil"/>
              <w:right w:val="nil"/>
            </w:tcBorders>
            <w:shd w:val="clear" w:color="auto" w:fill="auto"/>
            <w:noWrap/>
            <w:vAlign w:val="center"/>
          </w:tcPr>
          <w:p>
            <w:pPr>
              <w:spacing w:line="240" w:lineRule="auto"/>
              <w:jc w:val="both"/>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 xml:space="preserve">       </w:t>
            </w:r>
          </w:p>
        </w:tc>
      </w:tr>
      <w:tr>
        <w:tblPrEx>
          <w:tblCellMar>
            <w:top w:w="0" w:type="dxa"/>
            <w:left w:w="108" w:type="dxa"/>
            <w:bottom w:w="0" w:type="dxa"/>
            <w:right w:w="108" w:type="dxa"/>
          </w:tblCellMar>
        </w:tblPrEx>
        <w:trPr>
          <w:trHeight w:val="615" w:hRule="atLeast"/>
        </w:trPr>
        <w:tc>
          <w:tcPr>
            <w:tcW w:w="87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jc w:val="both"/>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序号</w:t>
            </w:r>
          </w:p>
        </w:tc>
        <w:tc>
          <w:tcPr>
            <w:tcW w:w="5651"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jc w:val="both"/>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修      理      项      目</w:t>
            </w:r>
          </w:p>
        </w:tc>
        <w:tc>
          <w:tcPr>
            <w:tcW w:w="850"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jc w:val="both"/>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单位</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jc w:val="both"/>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数量</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jc w:val="both"/>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单价</w:t>
            </w:r>
          </w:p>
        </w:tc>
        <w:tc>
          <w:tcPr>
            <w:tcW w:w="992" w:type="dxa"/>
            <w:tcBorders>
              <w:top w:val="single" w:color="auto" w:sz="4" w:space="0"/>
              <w:left w:val="nil"/>
              <w:bottom w:val="nil"/>
              <w:right w:val="single" w:color="auto" w:sz="4" w:space="0"/>
            </w:tcBorders>
            <w:shd w:val="clear" w:color="auto" w:fill="auto"/>
            <w:vAlign w:val="center"/>
          </w:tcPr>
          <w:p>
            <w:pPr>
              <w:spacing w:line="240" w:lineRule="auto"/>
              <w:jc w:val="both"/>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金额</w:t>
            </w:r>
            <w:r>
              <w:rPr>
                <w:rFonts w:hint="eastAsia" w:ascii="宋体" w:hAnsi="宋体" w:eastAsia="宋体" w:cs="宋体"/>
                <w:kern w:val="0"/>
                <w:sz w:val="24"/>
                <w:szCs w:val="24"/>
                <w:lang w:val="en-US" w:eastAsia="zh-CN"/>
              </w:rPr>
              <w:br w:type="textWrapping"/>
            </w:r>
            <w:r>
              <w:rPr>
                <w:rFonts w:hint="eastAsia" w:ascii="宋体" w:hAnsi="宋体" w:eastAsia="宋体" w:cs="宋体"/>
                <w:kern w:val="0"/>
                <w:sz w:val="24"/>
                <w:szCs w:val="24"/>
                <w:lang w:val="en-US" w:eastAsia="zh-CN"/>
              </w:rPr>
              <w:t>（元）</w:t>
            </w:r>
          </w:p>
        </w:tc>
      </w:tr>
      <w:tr>
        <w:tblPrEx>
          <w:tblCellMar>
            <w:top w:w="0" w:type="dxa"/>
            <w:left w:w="108" w:type="dxa"/>
            <w:bottom w:w="0" w:type="dxa"/>
            <w:right w:w="108" w:type="dxa"/>
          </w:tblCellMar>
        </w:tblPrEx>
        <w:trPr>
          <w:trHeight w:val="765"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4</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主甲板房间左前墙板上分电箱无门盖新配做500*400、箱内接线桩、电线、螺栓更换重接。</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项</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nil"/>
              <w:bottom w:val="nil"/>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705"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5</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主甲板生活区中前门坎跟部锈损挖补换新（δ6mm*800mm*200mm）</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0.16</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nil"/>
              <w:bottom w:val="nil"/>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465"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6</w:t>
            </w:r>
          </w:p>
        </w:tc>
        <w:tc>
          <w:tcPr>
            <w:tcW w:w="5651"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主甲板左中后部栏杆用Ф50钢管新做。</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米</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13</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nil"/>
              <w:bottom w:val="nil"/>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84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7</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主甲板右外舷房间墙脚处锈损挖补换新（δ6mm*2200mm*200mm）</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0.44</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36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8</w:t>
            </w:r>
          </w:p>
        </w:tc>
        <w:tc>
          <w:tcPr>
            <w:tcW w:w="5651"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信号灯控制箱开关、电路检查修复</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项</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435"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9</w:t>
            </w:r>
          </w:p>
        </w:tc>
        <w:tc>
          <w:tcPr>
            <w:tcW w:w="5651"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上甲板桅杆灯损坏.线路、灯座故障检查修复</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盏</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5</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75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10</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顶甲板右舷船名箱处甲板锈损挖补换新（δ6mm*3000mm*1000mm）</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3</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705"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11</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二楼房间左后过道处甲板锈损挖补换新（δ6mm*3000mm*700mm）</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2.1</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75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12</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二楼房间尾后过道消防栓处甲板锈损挖补换新（δ6mm*900mm*500mm）</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0.45</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66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13</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二楼会议室右前登子下甲板锈损挖补换新（δ6mm*2200mm*600mm）</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1.3</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615"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14</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二楼房间右侧过道甲板锈损挖补换新（δ6mm*800mm*300mm）+（δ6mm*500mm*400mm）</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0.44</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69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15</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二楼左右侧墙板墙脚锈损穿孔处用水泥封严。</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项</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1118"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rPr>
                <w:rFonts w:ascii="宋体" w:hAnsi="宋体" w:cs="宋体"/>
                <w:i/>
                <w:iCs/>
                <w:kern w:val="0"/>
                <w:sz w:val="22"/>
                <w:szCs w:val="22"/>
              </w:rPr>
            </w:pPr>
            <w:r>
              <w:rPr>
                <w:rFonts w:hint="eastAsia" w:ascii="宋体" w:hAnsi="宋体" w:cs="宋体"/>
                <w:i/>
                <w:iCs/>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16</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二楼右侧原商店处甲板锈损挖补换新（δ6mm*400mm*400mm） 商店前侧墙板（δ6mm*4530mm*400mm）</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1.97</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720" w:hRule="atLeast"/>
        </w:trPr>
        <w:tc>
          <w:tcPr>
            <w:tcW w:w="361" w:type="dxa"/>
            <w:tcBorders>
              <w:top w:val="nil"/>
              <w:left w:val="single" w:color="auto" w:sz="4" w:space="0"/>
              <w:bottom w:val="nil"/>
              <w:right w:val="single" w:color="auto" w:sz="4" w:space="0"/>
            </w:tcBorders>
            <w:shd w:val="clear" w:color="auto" w:fill="auto"/>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17</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 xml:space="preserve">二楼房间右侧走道处甲板锈损挖补换新（δ6mm*3000mm*1300mm） </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3.9</w:t>
            </w:r>
          </w:p>
        </w:tc>
        <w:tc>
          <w:tcPr>
            <w:tcW w:w="709" w:type="dxa"/>
            <w:tcBorders>
              <w:top w:val="nil"/>
              <w:left w:val="nil"/>
              <w:bottom w:val="nil"/>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780" w:hRule="atLeast"/>
        </w:trPr>
        <w:tc>
          <w:tcPr>
            <w:tcW w:w="361" w:type="dxa"/>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18</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二楼会议室外空调处甲板锈损挖补换新（δ6mm*3700mm*600mm）</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2.2</w:t>
            </w:r>
          </w:p>
        </w:tc>
        <w:tc>
          <w:tcPr>
            <w:tcW w:w="709" w:type="dxa"/>
            <w:tcBorders>
              <w:top w:val="single" w:color="auto" w:sz="4" w:space="0"/>
              <w:left w:val="nil"/>
              <w:bottom w:val="nil"/>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69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19</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二楼左侧前甲板锈损挖补换新（δ6mm*1200mm*1000mm）</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1.2</w:t>
            </w:r>
          </w:p>
        </w:tc>
        <w:tc>
          <w:tcPr>
            <w:tcW w:w="709" w:type="dxa"/>
            <w:tcBorders>
              <w:top w:val="single" w:color="auto" w:sz="4" w:space="0"/>
              <w:left w:val="nil"/>
              <w:bottom w:val="nil"/>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585" w:hRule="atLeast"/>
        </w:trPr>
        <w:tc>
          <w:tcPr>
            <w:tcW w:w="361" w:type="dxa"/>
            <w:tcBorders>
              <w:top w:val="nil"/>
              <w:left w:val="single" w:color="auto" w:sz="4" w:space="0"/>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4"/>
              </w:rPr>
            </w:pPr>
            <w:r>
              <w:rPr>
                <w:rFonts w:hint="eastAsia" w:ascii="宋体" w:hAnsi="宋体" w:cs="宋体"/>
                <w:kern w:val="0"/>
                <w:sz w:val="24"/>
              </w:rPr>
              <w:t>20</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二楼右侧前甲板锈损挖补换新（δmm6*800mm*300mm）</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0.24</w:t>
            </w:r>
          </w:p>
        </w:tc>
        <w:tc>
          <w:tcPr>
            <w:tcW w:w="709" w:type="dxa"/>
            <w:tcBorders>
              <w:top w:val="single" w:color="auto" w:sz="4" w:space="0"/>
              <w:left w:val="nil"/>
              <w:bottom w:val="nil"/>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645"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21</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二楼右侧前中甲板锈损挖补换新（δ6mm*1800mm*300mm）</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0.54</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540" w:hRule="atLeast"/>
        </w:trPr>
        <w:tc>
          <w:tcPr>
            <w:tcW w:w="9781" w:type="dxa"/>
            <w:gridSpan w:val="7"/>
            <w:tcBorders>
              <w:top w:val="nil"/>
              <w:left w:val="nil"/>
              <w:bottom w:val="nil"/>
              <w:right w:val="nil"/>
            </w:tcBorders>
            <w:shd w:val="clear" w:color="auto" w:fill="auto"/>
            <w:noWrap/>
            <w:vAlign w:val="center"/>
          </w:tcPr>
          <w:p>
            <w:pPr>
              <w:spacing w:line="240" w:lineRule="auto"/>
              <w:jc w:val="center"/>
              <w:rPr>
                <w:rFonts w:ascii="宋体" w:hAnsi="宋体" w:cs="宋体"/>
                <w:b/>
                <w:bCs/>
                <w:kern w:val="0"/>
                <w:sz w:val="28"/>
                <w:szCs w:val="28"/>
              </w:rPr>
            </w:pPr>
            <w:r>
              <w:rPr>
                <w:rFonts w:hint="eastAsia" w:ascii="宋体" w:hAnsi="宋体" w:cs="宋体"/>
                <w:b/>
                <w:bCs/>
                <w:kern w:val="0"/>
                <w:sz w:val="28"/>
                <w:szCs w:val="28"/>
              </w:rPr>
              <w:t>城港客囤</w:t>
            </w:r>
            <w:r>
              <w:rPr>
                <w:b/>
                <w:bCs/>
                <w:kern w:val="0"/>
                <w:sz w:val="28"/>
                <w:szCs w:val="28"/>
              </w:rPr>
              <w:t>65-2</w:t>
            </w:r>
            <w:r>
              <w:rPr>
                <w:rFonts w:hint="eastAsia" w:ascii="宋体" w:hAnsi="宋体" w:cs="宋体"/>
                <w:b/>
                <w:bCs/>
                <w:kern w:val="0"/>
                <w:sz w:val="28"/>
                <w:szCs w:val="28"/>
              </w:rPr>
              <w:t>船修理项目单</w:t>
            </w:r>
            <w:r>
              <w:rPr>
                <w:b/>
                <w:bCs/>
                <w:kern w:val="0"/>
                <w:sz w:val="28"/>
                <w:szCs w:val="28"/>
              </w:rPr>
              <w:t xml:space="preserve">                           </w:t>
            </w:r>
          </w:p>
        </w:tc>
      </w:tr>
      <w:tr>
        <w:tblPrEx>
          <w:tblCellMar>
            <w:top w:w="0" w:type="dxa"/>
            <w:left w:w="108" w:type="dxa"/>
            <w:bottom w:w="0" w:type="dxa"/>
            <w:right w:w="108" w:type="dxa"/>
          </w:tblCellMar>
        </w:tblPrEx>
        <w:trPr>
          <w:trHeight w:val="390" w:hRule="atLeast"/>
        </w:trPr>
        <w:tc>
          <w:tcPr>
            <w:tcW w:w="870" w:type="dxa"/>
            <w:gridSpan w:val="2"/>
            <w:tcBorders>
              <w:top w:val="nil"/>
              <w:left w:val="nil"/>
              <w:bottom w:val="nil"/>
              <w:right w:val="nil"/>
            </w:tcBorders>
            <w:shd w:val="clear" w:color="auto" w:fill="auto"/>
            <w:noWrap/>
            <w:vAlign w:val="center"/>
          </w:tcPr>
          <w:p>
            <w:pPr>
              <w:spacing w:line="240" w:lineRule="auto"/>
              <w:jc w:val="both"/>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船名：</w:t>
            </w:r>
          </w:p>
        </w:tc>
        <w:tc>
          <w:tcPr>
            <w:tcW w:w="5651" w:type="dxa"/>
            <w:tcBorders>
              <w:top w:val="nil"/>
              <w:left w:val="nil"/>
              <w:bottom w:val="nil"/>
              <w:right w:val="nil"/>
            </w:tcBorders>
            <w:shd w:val="clear" w:color="auto" w:fill="auto"/>
            <w:noWrap/>
            <w:vAlign w:val="center"/>
          </w:tcPr>
          <w:p>
            <w:pPr>
              <w:spacing w:line="240" w:lineRule="auto"/>
              <w:jc w:val="both"/>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城港客囤65-2（长城囤Ｋ００2）</w:t>
            </w:r>
          </w:p>
        </w:tc>
        <w:tc>
          <w:tcPr>
            <w:tcW w:w="3260" w:type="dxa"/>
            <w:gridSpan w:val="4"/>
            <w:tcBorders>
              <w:top w:val="nil"/>
              <w:left w:val="nil"/>
              <w:bottom w:val="nil"/>
              <w:right w:val="nil"/>
            </w:tcBorders>
            <w:shd w:val="clear" w:color="auto" w:fill="auto"/>
            <w:noWrap/>
            <w:vAlign w:val="center"/>
          </w:tcPr>
          <w:p>
            <w:pPr>
              <w:spacing w:line="240" w:lineRule="auto"/>
              <w:jc w:val="both"/>
              <w:rPr>
                <w:rFonts w:hint="eastAsia" w:ascii="宋体" w:hAnsi="宋体" w:eastAsia="宋体" w:cs="宋体"/>
                <w:kern w:val="0"/>
                <w:sz w:val="24"/>
                <w:szCs w:val="24"/>
                <w:lang w:val="en-US" w:eastAsia="zh-CN"/>
              </w:rPr>
            </w:pPr>
          </w:p>
        </w:tc>
      </w:tr>
      <w:tr>
        <w:tblPrEx>
          <w:tblCellMar>
            <w:top w:w="0" w:type="dxa"/>
            <w:left w:w="108" w:type="dxa"/>
            <w:bottom w:w="0" w:type="dxa"/>
            <w:right w:w="108" w:type="dxa"/>
          </w:tblCellMar>
        </w:tblPrEx>
        <w:trPr>
          <w:trHeight w:val="645" w:hRule="atLeast"/>
        </w:trPr>
        <w:tc>
          <w:tcPr>
            <w:tcW w:w="87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序号</w:t>
            </w:r>
          </w:p>
        </w:tc>
        <w:tc>
          <w:tcPr>
            <w:tcW w:w="5651"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修      理      项      目</w:t>
            </w:r>
          </w:p>
        </w:tc>
        <w:tc>
          <w:tcPr>
            <w:tcW w:w="850"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单位</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数量</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单价</w:t>
            </w:r>
          </w:p>
        </w:tc>
        <w:tc>
          <w:tcPr>
            <w:tcW w:w="992" w:type="dxa"/>
            <w:tcBorders>
              <w:top w:val="single" w:color="auto" w:sz="4" w:space="0"/>
              <w:left w:val="nil"/>
              <w:bottom w:val="nil"/>
              <w:right w:val="single" w:color="auto" w:sz="4" w:space="0"/>
            </w:tcBorders>
            <w:shd w:val="clear" w:color="auto" w:fill="auto"/>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金额</w:t>
            </w:r>
            <w:r>
              <w:rPr>
                <w:rFonts w:hint="eastAsia" w:ascii="宋体" w:hAnsi="宋体" w:cs="宋体"/>
                <w:kern w:val="0"/>
                <w:sz w:val="22"/>
                <w:szCs w:val="22"/>
              </w:rPr>
              <w:br w:type="textWrapping"/>
            </w:r>
            <w:r>
              <w:rPr>
                <w:rFonts w:hint="eastAsia" w:ascii="宋体" w:hAnsi="宋体" w:cs="宋体"/>
                <w:kern w:val="0"/>
                <w:sz w:val="22"/>
                <w:szCs w:val="22"/>
              </w:rPr>
              <w:t>（元）</w:t>
            </w:r>
          </w:p>
        </w:tc>
      </w:tr>
      <w:tr>
        <w:tblPrEx>
          <w:tblCellMar>
            <w:top w:w="0" w:type="dxa"/>
            <w:left w:w="108" w:type="dxa"/>
            <w:bottom w:w="0" w:type="dxa"/>
            <w:right w:w="108" w:type="dxa"/>
          </w:tblCellMar>
        </w:tblPrEx>
        <w:trPr>
          <w:trHeight w:val="645"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22</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二楼房间左侧门处甲板锈损部位挖补换板（δ6mm*1000mm*800mm）</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0.8</w:t>
            </w:r>
          </w:p>
        </w:tc>
        <w:tc>
          <w:tcPr>
            <w:tcW w:w="709" w:type="dxa"/>
            <w:tcBorders>
              <w:top w:val="nil"/>
              <w:left w:val="nil"/>
              <w:bottom w:val="nil"/>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60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23</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三楼甲板雨棚换彩板钢瓦（δ1mm*16600mm*78000mm）</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130</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66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24</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三楼水箱漏水帖板焊补修复（δ4mm*400mm*200mm*2、1500*250一块）另重新装Ф50排污阀2只。</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0.54</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705"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25</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顶甲板船名灯箱新做（δ6mm*2000mm*500mm*400mm）内装220V水密灯两盏,船名城港囤65-2</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GulimChe" w:hAnsi="GulimChe" w:eastAsia="GulimChe" w:cs="宋体"/>
                <w:kern w:val="0"/>
                <w:sz w:val="24"/>
              </w:rPr>
            </w:pPr>
            <w:r>
              <w:rPr>
                <w:rFonts w:hint="eastAsia" w:ascii="GulimChe" w:hAnsi="GulimChe" w:eastAsia="GulimChe" w:cs="宋体"/>
                <w:kern w:val="0"/>
                <w:sz w:val="24"/>
              </w:rPr>
              <w:t>只</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57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26</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二楼尾过道门处甲板Ф65消防管锈损3米、Ф50消阀2只、65*50异径三通一只焊接Ф65*3000厚辟渡锌管换新修复。</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项</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63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27</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主甲板左舷中部消防水管处锈损挖补400*400</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0.16</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45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28</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海底阀、江水箱清污油漆更换垫片填料。</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只</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675" w:hRule="atLeast"/>
        </w:trPr>
        <w:tc>
          <w:tcPr>
            <w:tcW w:w="361" w:type="dxa"/>
            <w:tcBorders>
              <w:top w:val="nil"/>
              <w:left w:val="single" w:color="auto" w:sz="4" w:space="0"/>
              <w:bottom w:val="nil"/>
              <w:right w:val="single" w:color="auto" w:sz="4" w:space="0"/>
            </w:tcBorders>
            <w:shd w:val="clear" w:color="auto" w:fill="auto"/>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29</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舱内消防泵、管系、控制箱改接到舱面。换65ＺＷ－55自吸式水泵、配7.5ＫＷ电机一套配件厂供。</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项</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w:t>
            </w:r>
          </w:p>
        </w:tc>
        <w:tc>
          <w:tcPr>
            <w:tcW w:w="709" w:type="dxa"/>
            <w:tcBorders>
              <w:top w:val="nil"/>
              <w:left w:val="nil"/>
              <w:bottom w:val="nil"/>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nil"/>
              <w:left w:val="nil"/>
              <w:bottom w:val="nil"/>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600" w:hRule="atLeast"/>
        </w:trPr>
        <w:tc>
          <w:tcPr>
            <w:tcW w:w="361" w:type="dxa"/>
            <w:tcBorders>
              <w:top w:val="single" w:color="auto" w:sz="4" w:space="0"/>
              <w:left w:val="single" w:color="auto" w:sz="4" w:space="0"/>
              <w:bottom w:val="nil"/>
              <w:right w:val="single" w:color="auto" w:sz="4" w:space="0"/>
            </w:tcBorders>
            <w:shd w:val="clear" w:color="auto" w:fill="auto"/>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30</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主甲板尾左后部舷边尿腐蚀处挖补δ4mm*1500*1000</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项</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1.5</w:t>
            </w:r>
          </w:p>
        </w:tc>
        <w:tc>
          <w:tcPr>
            <w:tcW w:w="709" w:type="dxa"/>
            <w:tcBorders>
              <w:top w:val="single" w:color="auto" w:sz="4" w:space="0"/>
              <w:left w:val="nil"/>
              <w:bottom w:val="nil"/>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nil"/>
              <w:bottom w:val="nil"/>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450" w:hRule="atLeast"/>
        </w:trPr>
        <w:tc>
          <w:tcPr>
            <w:tcW w:w="361" w:type="dxa"/>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31</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color w:val="000000"/>
                <w:kern w:val="0"/>
                <w:sz w:val="24"/>
              </w:rPr>
            </w:pPr>
            <w:r>
              <w:rPr>
                <w:rFonts w:hint="eastAsia" w:ascii="宋体" w:hAnsi="宋体" w:cs="宋体"/>
                <w:color w:val="000000"/>
                <w:kern w:val="0"/>
                <w:sz w:val="24"/>
              </w:rPr>
              <w:t>主甲板艏右边踏步处用钢板角钢焊平δ4mm*8320*900*800</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color w:val="000000"/>
                <w:kern w:val="0"/>
                <w:sz w:val="24"/>
              </w:rPr>
            </w:pPr>
            <w:r>
              <w:rPr>
                <w:rFonts w:hint="eastAsia" w:ascii="宋体" w:hAnsi="宋体" w:cs="宋体"/>
                <w:color w:val="000000"/>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14.2</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992" w:type="dxa"/>
            <w:tcBorders>
              <w:top w:val="single" w:color="auto" w:sz="4" w:space="0"/>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45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32</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color w:val="000000"/>
                <w:kern w:val="0"/>
                <w:sz w:val="24"/>
              </w:rPr>
            </w:pPr>
            <w:r>
              <w:rPr>
                <w:rFonts w:hint="eastAsia" w:ascii="宋体" w:hAnsi="宋体" w:cs="宋体"/>
                <w:color w:val="000000"/>
                <w:kern w:val="0"/>
                <w:sz w:val="24"/>
              </w:rPr>
              <w:t>主甲板艏右边踏步处加焊黑杆</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color w:val="000000"/>
                <w:kern w:val="0"/>
                <w:sz w:val="24"/>
              </w:rPr>
            </w:pPr>
            <w:r>
              <w:rPr>
                <w:rFonts w:hint="eastAsia" w:ascii="宋体" w:hAnsi="宋体" w:cs="宋体"/>
                <w:color w:val="000000"/>
                <w:kern w:val="0"/>
                <w:sz w:val="24"/>
              </w:rPr>
              <w:t>米</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color w:val="000000"/>
                <w:kern w:val="0"/>
                <w:sz w:val="24"/>
              </w:rPr>
            </w:pPr>
            <w:r>
              <w:rPr>
                <w:rFonts w:hint="eastAsia" w:ascii="宋体" w:hAnsi="宋体" w:cs="宋体"/>
                <w:color w:val="000000"/>
                <w:kern w:val="0"/>
                <w:sz w:val="24"/>
              </w:rPr>
              <w:t>8.32</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45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33</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厨房更换不銹钢洗菜池。</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个</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45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34</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二楼房间窗户730*500用铝合金重做</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个</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33</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45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35</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一、二楼房门1760*660重做</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张</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5</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45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36</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顶甲板左后挖补δ4mm*3200*1700</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color w:val="000000"/>
                <w:kern w:val="0"/>
                <w:sz w:val="24"/>
              </w:rPr>
            </w:pPr>
            <w:r>
              <w:rPr>
                <w:rFonts w:hint="eastAsia" w:ascii="宋体" w:hAnsi="宋体" w:cs="宋体"/>
                <w:color w:val="000000"/>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5.44</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trHeight w:val="450" w:hRule="atLeast"/>
        </w:trPr>
        <w:tc>
          <w:tcPr>
            <w:tcW w:w="361" w:type="dxa"/>
            <w:tcBorders>
              <w:top w:val="nil"/>
              <w:left w:val="single" w:color="auto" w:sz="4" w:space="0"/>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2"/>
                <w:szCs w:val="22"/>
              </w:rPr>
            </w:pPr>
            <w:r>
              <w:rPr>
                <w:rFonts w:hint="eastAsia" w:ascii="宋体" w:hAnsi="宋体" w:cs="宋体"/>
                <w:kern w:val="0"/>
                <w:sz w:val="22"/>
                <w:szCs w:val="22"/>
              </w:rPr>
              <w:t>　</w:t>
            </w:r>
          </w:p>
        </w:tc>
        <w:tc>
          <w:tcPr>
            <w:tcW w:w="5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37</w:t>
            </w:r>
          </w:p>
        </w:tc>
        <w:tc>
          <w:tcPr>
            <w:tcW w:w="5651" w:type="dxa"/>
            <w:tcBorders>
              <w:top w:val="nil"/>
              <w:left w:val="nil"/>
              <w:bottom w:val="single" w:color="auto" w:sz="4" w:space="0"/>
              <w:right w:val="single" w:color="auto" w:sz="4" w:space="0"/>
            </w:tcBorders>
            <w:shd w:val="clear" w:color="auto" w:fill="auto"/>
            <w:vAlign w:val="center"/>
          </w:tcPr>
          <w:p>
            <w:pPr>
              <w:spacing w:line="240" w:lineRule="auto"/>
              <w:rPr>
                <w:rFonts w:ascii="宋体" w:hAnsi="宋体" w:cs="宋体"/>
                <w:kern w:val="0"/>
                <w:sz w:val="24"/>
              </w:rPr>
            </w:pPr>
            <w:r>
              <w:rPr>
                <w:rFonts w:hint="eastAsia" w:ascii="宋体" w:hAnsi="宋体" w:cs="宋体"/>
                <w:kern w:val="0"/>
                <w:sz w:val="24"/>
              </w:rPr>
              <w:t>顶甲板左舷挖补δ4mm*15.10米*1000</w:t>
            </w:r>
          </w:p>
        </w:tc>
        <w:tc>
          <w:tcPr>
            <w:tcW w:w="850"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color w:val="000000"/>
                <w:kern w:val="0"/>
                <w:sz w:val="24"/>
              </w:rPr>
            </w:pPr>
            <w:r>
              <w:rPr>
                <w:rFonts w:hint="eastAsia" w:ascii="宋体" w:hAnsi="宋体" w:cs="宋体"/>
                <w:color w:val="000000"/>
                <w:kern w:val="0"/>
                <w:sz w:val="24"/>
              </w:rPr>
              <w:t>㎡</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jc w:val="center"/>
              <w:rPr>
                <w:rFonts w:ascii="宋体" w:hAnsi="宋体" w:cs="宋体"/>
                <w:kern w:val="0"/>
                <w:sz w:val="24"/>
              </w:rPr>
            </w:pPr>
            <w:r>
              <w:rPr>
                <w:rFonts w:hint="eastAsia" w:ascii="宋体" w:hAnsi="宋体" w:cs="宋体"/>
                <w:kern w:val="0"/>
                <w:sz w:val="24"/>
              </w:rPr>
              <w:t>15.1</w:t>
            </w:r>
          </w:p>
        </w:tc>
        <w:tc>
          <w:tcPr>
            <w:tcW w:w="709"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c>
          <w:tcPr>
            <w:tcW w:w="992" w:type="dxa"/>
            <w:tcBorders>
              <w:top w:val="nil"/>
              <w:left w:val="nil"/>
              <w:bottom w:val="single" w:color="auto" w:sz="4" w:space="0"/>
              <w:right w:val="single" w:color="auto" w:sz="4" w:space="0"/>
            </w:tcBorders>
            <w:shd w:val="clear" w:color="auto" w:fill="auto"/>
            <w:noWrap/>
            <w:vAlign w:val="center"/>
          </w:tcPr>
          <w:p>
            <w:pPr>
              <w:spacing w:line="240" w:lineRule="auto"/>
              <w:rPr>
                <w:rFonts w:ascii="宋体" w:hAnsi="宋体" w:cs="宋体"/>
                <w:kern w:val="0"/>
                <w:sz w:val="24"/>
              </w:rPr>
            </w:pPr>
            <w:r>
              <w:rPr>
                <w:rFonts w:hint="eastAsia" w:ascii="宋体" w:hAnsi="宋体" w:cs="宋体"/>
                <w:kern w:val="0"/>
                <w:sz w:val="24"/>
              </w:rPr>
              <w:t>　</w:t>
            </w:r>
          </w:p>
        </w:tc>
      </w:tr>
    </w:tbl>
    <w:p>
      <w:pPr>
        <w:adjustRightInd w:val="0"/>
        <w:snapToGrid w:val="0"/>
        <w:spacing w:line="312" w:lineRule="auto"/>
        <w:rPr>
          <w:rFonts w:ascii="宋体" w:hAnsi="宋体"/>
          <w:sz w:val="24"/>
        </w:rPr>
      </w:pPr>
      <w:r>
        <w:rPr>
          <w:rFonts w:hint="eastAsia" w:ascii="宋体" w:hAnsi="宋体"/>
          <w:sz w:val="24"/>
        </w:rPr>
        <w:t>（四</w:t>
      </w:r>
      <w:r>
        <w:rPr>
          <w:rFonts w:ascii="宋体" w:hAnsi="宋体"/>
          <w:sz w:val="24"/>
        </w:rPr>
        <w:t>）</w:t>
      </w:r>
      <w:r>
        <w:rPr>
          <w:rFonts w:hint="eastAsia" w:ascii="宋体" w:hAnsi="宋体"/>
          <w:sz w:val="24"/>
        </w:rPr>
        <w:t>服务要求、质量和标准：按国家标准和行业标准并通过</w:t>
      </w:r>
      <w:r>
        <w:rPr>
          <w:rFonts w:ascii="宋体" w:hAnsi="宋体"/>
          <w:sz w:val="24"/>
        </w:rPr>
        <w:t>CCS</w:t>
      </w:r>
      <w:r>
        <w:rPr>
          <w:rFonts w:hint="eastAsia" w:ascii="宋体" w:hAnsi="宋体"/>
          <w:sz w:val="24"/>
        </w:rPr>
        <w:t>武汉船级社的特别检验。</w:t>
      </w:r>
    </w:p>
    <w:p>
      <w:pPr>
        <w:spacing w:line="480" w:lineRule="exact"/>
        <w:rPr>
          <w:rFonts w:ascii="宋体" w:hAnsi="宋体"/>
          <w:sz w:val="24"/>
        </w:rPr>
      </w:pPr>
      <w:r>
        <w:rPr>
          <w:rFonts w:hint="eastAsia" w:ascii="宋体" w:hAnsi="宋体"/>
          <w:sz w:val="24"/>
        </w:rPr>
        <w:t>（五</w:t>
      </w:r>
      <w:r>
        <w:rPr>
          <w:rFonts w:ascii="宋体" w:hAnsi="宋体"/>
          <w:sz w:val="24"/>
        </w:rPr>
        <w:t>）</w:t>
      </w:r>
      <w:r>
        <w:rPr>
          <w:rFonts w:hint="eastAsia" w:ascii="宋体" w:hAnsi="宋体"/>
          <w:sz w:val="24"/>
        </w:rPr>
        <w:t>工期及验收</w:t>
      </w:r>
      <w:r>
        <w:rPr>
          <w:rFonts w:ascii="宋体" w:hAnsi="宋体"/>
          <w:sz w:val="24"/>
        </w:rPr>
        <w:t xml:space="preserve"> </w:t>
      </w:r>
      <w:r>
        <w:rPr>
          <w:rFonts w:hint="eastAsia" w:ascii="宋体" w:hAnsi="宋体"/>
          <w:sz w:val="24"/>
        </w:rPr>
        <w:t>：维修工期</w:t>
      </w:r>
      <w:r>
        <w:rPr>
          <w:rFonts w:ascii="宋体" w:hAnsi="宋体"/>
          <w:sz w:val="24"/>
        </w:rPr>
        <w:t>15</w:t>
      </w:r>
      <w:r>
        <w:rPr>
          <w:rFonts w:hint="eastAsia" w:ascii="宋体" w:hAnsi="宋体"/>
          <w:sz w:val="24"/>
        </w:rPr>
        <w:t>天，承修方每个子项目完工后需进行检查验收；整个维修工程完工后需进行系泊试验和航行试验验收并出具合格证书。最终检验须通过CC武汉船级社船舶特检；自通过CCS船级社验收合格之日起，进入维修设备质保期，质保期6个月。</w:t>
      </w:r>
    </w:p>
    <w:p>
      <w:pPr>
        <w:adjustRightInd w:val="0"/>
        <w:snapToGrid w:val="0"/>
        <w:spacing w:line="312" w:lineRule="auto"/>
        <w:rPr>
          <w:rFonts w:ascii="宋体" w:hAnsi="宋体"/>
          <w:sz w:val="24"/>
        </w:rPr>
      </w:pPr>
      <w:r>
        <w:rPr>
          <w:rFonts w:hint="eastAsia" w:ascii="宋体" w:hAnsi="宋体"/>
          <w:sz w:val="24"/>
        </w:rPr>
        <w:t>（六</w:t>
      </w:r>
      <w:r>
        <w:rPr>
          <w:rFonts w:ascii="宋体" w:hAnsi="宋体"/>
          <w:sz w:val="24"/>
        </w:rPr>
        <w:t>）适用法规政策目录</w:t>
      </w:r>
    </w:p>
    <w:p>
      <w:pPr>
        <w:adjustRightInd w:val="0"/>
        <w:snapToGrid w:val="0"/>
        <w:spacing w:line="312" w:lineRule="auto"/>
        <w:rPr>
          <w:rFonts w:ascii="宋体" w:hAnsi="宋体"/>
          <w:sz w:val="24"/>
        </w:rPr>
      </w:pPr>
      <w:r>
        <w:rPr>
          <w:rFonts w:hint="eastAsia" w:ascii="宋体" w:hAnsi="宋体"/>
          <w:sz w:val="24"/>
        </w:rPr>
        <w:t>（七</w:t>
      </w:r>
      <w:r>
        <w:rPr>
          <w:rFonts w:ascii="宋体" w:hAnsi="宋体"/>
          <w:sz w:val="24"/>
        </w:rPr>
        <w:t>）</w:t>
      </w:r>
      <w:r>
        <w:rPr>
          <w:rFonts w:hint="eastAsia" w:ascii="宋体" w:hAnsi="宋体"/>
          <w:sz w:val="24"/>
        </w:rPr>
        <w:t>其它需要说明的事项</w:t>
      </w:r>
    </w:p>
    <w:p>
      <w:pPr>
        <w:spacing w:line="312" w:lineRule="auto"/>
        <w:jc w:val="center"/>
        <w:outlineLvl w:val="0"/>
        <w:rPr>
          <w:rFonts w:ascii="黑体" w:hAnsi="黑体" w:eastAsia="黑体" w:cs="仿宋"/>
          <w:b/>
          <w:color w:val="000000"/>
          <w:sz w:val="36"/>
          <w:szCs w:val="36"/>
        </w:rPr>
      </w:pPr>
      <w:r>
        <w:rPr>
          <w:rFonts w:ascii="仿宋" w:hAnsi="仿宋" w:eastAsia="仿宋" w:cs="仿宋"/>
          <w:sz w:val="30"/>
          <w:szCs w:val="30"/>
        </w:rPr>
        <w:br w:type="page"/>
      </w:r>
      <w:bookmarkStart w:id="22" w:name="_Toc13448"/>
      <w:r>
        <w:rPr>
          <w:rFonts w:hint="eastAsia" w:ascii="黑体" w:hAnsi="黑体" w:eastAsia="黑体" w:cs="仿宋"/>
          <w:b/>
          <w:color w:val="000000"/>
          <w:sz w:val="36"/>
          <w:szCs w:val="36"/>
        </w:rPr>
        <w:t>第六章  响应文件格式</w:t>
      </w:r>
      <w:bookmarkEnd w:id="22"/>
    </w:p>
    <w:p>
      <w:pPr>
        <w:jc w:val="center"/>
        <w:rPr>
          <w:rFonts w:ascii="仿宋" w:hAnsi="仿宋" w:eastAsia="仿宋" w:cs="仿宋"/>
          <w:sz w:val="30"/>
          <w:szCs w:val="30"/>
        </w:rPr>
      </w:pPr>
    </w:p>
    <w:p>
      <w:pPr>
        <w:jc w:val="center"/>
        <w:rPr>
          <w:rFonts w:ascii="仿宋" w:hAnsi="仿宋" w:eastAsia="仿宋" w:cs="仿宋"/>
          <w:sz w:val="30"/>
          <w:szCs w:val="30"/>
        </w:rPr>
      </w:pPr>
    </w:p>
    <w:p>
      <w:pPr>
        <w:jc w:val="center"/>
        <w:rPr>
          <w:rFonts w:ascii="仿宋" w:hAnsi="仿宋" w:eastAsia="仿宋" w:cs="仿宋"/>
          <w:sz w:val="30"/>
          <w:szCs w:val="30"/>
        </w:rPr>
      </w:pPr>
    </w:p>
    <w:p>
      <w:pPr>
        <w:spacing w:line="240" w:lineRule="auto"/>
        <w:jc w:val="center"/>
        <w:outlineLvl w:val="0"/>
        <w:rPr>
          <w:rFonts w:eastAsia="方正小标宋_GBK"/>
          <w:b/>
          <w:bCs/>
          <w:sz w:val="40"/>
          <w:szCs w:val="36"/>
        </w:rPr>
      </w:pPr>
      <w:r>
        <w:rPr>
          <w:rFonts w:hint="eastAsia" w:eastAsia="方正小标宋_GBK"/>
          <w:bCs/>
          <w:sz w:val="48"/>
          <w:szCs w:val="44"/>
          <w:u w:val="single"/>
        </w:rPr>
        <w:t xml:space="preserve">    </w:t>
      </w:r>
      <w:bookmarkStart w:id="23" w:name="_Toc29712"/>
      <w:r>
        <w:rPr>
          <w:rFonts w:hint="eastAsia" w:eastAsia="方正小标宋_GBK"/>
          <w:b/>
          <w:bCs/>
          <w:sz w:val="40"/>
          <w:szCs w:val="36"/>
          <w:u w:val="single"/>
        </w:rPr>
        <w:t>城港囤6</w:t>
      </w:r>
      <w:r>
        <w:rPr>
          <w:rFonts w:eastAsia="方正小标宋_GBK"/>
          <w:b/>
          <w:bCs/>
          <w:sz w:val="40"/>
          <w:szCs w:val="36"/>
          <w:u w:val="single"/>
        </w:rPr>
        <w:t>5-2</w:t>
      </w:r>
      <w:r>
        <w:rPr>
          <w:rFonts w:hint="eastAsia" w:eastAsia="方正小标宋_GBK"/>
          <w:b/>
          <w:bCs/>
          <w:sz w:val="40"/>
          <w:szCs w:val="36"/>
          <w:u w:val="single"/>
        </w:rPr>
        <w:t xml:space="preserve">特检坞修项目 </w:t>
      </w:r>
      <w:r>
        <w:rPr>
          <w:rFonts w:eastAsia="方正小标宋_GBK"/>
          <w:bCs/>
          <w:sz w:val="48"/>
          <w:szCs w:val="44"/>
          <w:u w:val="single"/>
        </w:rPr>
        <w:t xml:space="preserve">   </w:t>
      </w:r>
      <w:bookmarkEnd w:id="23"/>
    </w:p>
    <w:p>
      <w:pPr>
        <w:widowControl w:val="0"/>
        <w:spacing w:before="240" w:beforeLines="100" w:after="240" w:afterLines="100" w:line="240" w:lineRule="auto"/>
        <w:jc w:val="center"/>
        <w:outlineLvl w:val="0"/>
        <w:rPr>
          <w:rFonts w:eastAsia="楷体_GB2312"/>
          <w:b/>
          <w:bCs/>
          <w:sz w:val="28"/>
          <w:szCs w:val="28"/>
        </w:rPr>
      </w:pPr>
      <w:bookmarkStart w:id="24" w:name="_Toc9660"/>
      <w:r>
        <w:rPr>
          <w:rFonts w:eastAsia="楷体_GB2312"/>
          <w:b/>
          <w:bCs/>
          <w:sz w:val="28"/>
          <w:szCs w:val="28"/>
        </w:rPr>
        <w:t>（项目</w:t>
      </w:r>
      <w:r>
        <w:rPr>
          <w:rFonts w:hint="eastAsia" w:eastAsia="楷体_GB2312"/>
          <w:b/>
          <w:bCs/>
          <w:sz w:val="28"/>
          <w:szCs w:val="28"/>
        </w:rPr>
        <w:t>采购</w:t>
      </w:r>
      <w:r>
        <w:rPr>
          <w:rFonts w:eastAsia="楷体_GB2312"/>
          <w:b/>
          <w:bCs/>
          <w:sz w:val="28"/>
          <w:szCs w:val="28"/>
        </w:rPr>
        <w:t>编号：</w:t>
      </w:r>
      <w:r>
        <w:rPr>
          <w:rFonts w:eastAsia="楷体_GB2312"/>
          <w:b/>
          <w:bCs/>
          <w:sz w:val="28"/>
          <w:szCs w:val="28"/>
          <w:u w:val="single"/>
        </w:rPr>
        <w:t xml:space="preserve">   </w:t>
      </w:r>
      <w:r>
        <w:rPr>
          <w:rFonts w:hint="eastAsia" w:eastAsia="楷体_GB2312"/>
          <w:b/>
          <w:bCs/>
          <w:sz w:val="28"/>
          <w:szCs w:val="28"/>
          <w:u w:val="single"/>
        </w:rPr>
        <w:t>填入项目采购编号</w:t>
      </w:r>
      <w:r>
        <w:rPr>
          <w:rFonts w:eastAsia="楷体_GB2312"/>
          <w:b/>
          <w:bCs/>
          <w:sz w:val="28"/>
          <w:szCs w:val="28"/>
          <w:u w:val="single"/>
        </w:rPr>
        <w:t xml:space="preserve">     </w:t>
      </w:r>
      <w:r>
        <w:rPr>
          <w:rFonts w:eastAsia="楷体_GB2312"/>
          <w:b/>
          <w:bCs/>
          <w:sz w:val="28"/>
          <w:szCs w:val="28"/>
        </w:rPr>
        <w:t>）</w:t>
      </w:r>
      <w:bookmarkEnd w:id="24"/>
    </w:p>
    <w:p>
      <w:pPr>
        <w:widowControl w:val="0"/>
        <w:adjustRightInd w:val="0"/>
        <w:snapToGrid w:val="0"/>
        <w:rPr>
          <w:b/>
        </w:rPr>
      </w:pPr>
    </w:p>
    <w:p>
      <w:pPr>
        <w:spacing w:line="288" w:lineRule="auto"/>
        <w:jc w:val="center"/>
        <w:rPr>
          <w:rFonts w:eastAsia="方正小标宋_GBK"/>
          <w:b/>
          <w:bCs/>
          <w:spacing w:val="160"/>
          <w:sz w:val="72"/>
          <w:szCs w:val="72"/>
        </w:rPr>
      </w:pPr>
    </w:p>
    <w:p>
      <w:pPr>
        <w:spacing w:line="288" w:lineRule="auto"/>
        <w:jc w:val="center"/>
        <w:rPr>
          <w:rFonts w:eastAsia="方正小标宋_GBK"/>
          <w:b/>
          <w:bCs/>
          <w:spacing w:val="160"/>
          <w:sz w:val="72"/>
          <w:szCs w:val="72"/>
        </w:rPr>
      </w:pPr>
    </w:p>
    <w:p>
      <w:pPr>
        <w:spacing w:line="288" w:lineRule="auto"/>
        <w:jc w:val="center"/>
        <w:rPr>
          <w:rFonts w:eastAsia="方正小标宋_GBK"/>
          <w:b/>
          <w:bCs/>
          <w:spacing w:val="160"/>
          <w:sz w:val="72"/>
          <w:szCs w:val="72"/>
        </w:rPr>
      </w:pPr>
    </w:p>
    <w:p>
      <w:pPr>
        <w:spacing w:line="288" w:lineRule="auto"/>
        <w:jc w:val="center"/>
        <w:outlineLvl w:val="0"/>
        <w:rPr>
          <w:rFonts w:eastAsia="方正小标宋_GBK"/>
          <w:b/>
          <w:bCs/>
          <w:spacing w:val="160"/>
          <w:sz w:val="72"/>
          <w:szCs w:val="72"/>
        </w:rPr>
      </w:pPr>
      <w:bookmarkStart w:id="25" w:name="_Toc19102"/>
      <w:r>
        <w:rPr>
          <w:rFonts w:hint="eastAsia" w:eastAsia="方正小标宋_GBK"/>
          <w:b/>
          <w:bCs/>
          <w:spacing w:val="160"/>
          <w:sz w:val="72"/>
          <w:szCs w:val="72"/>
        </w:rPr>
        <w:t>响应</w:t>
      </w:r>
      <w:r>
        <w:rPr>
          <w:rFonts w:eastAsia="方正小标宋_GBK"/>
          <w:b/>
          <w:bCs/>
          <w:spacing w:val="160"/>
          <w:sz w:val="72"/>
          <w:szCs w:val="72"/>
        </w:rPr>
        <w:t>文件</w:t>
      </w:r>
      <w:bookmarkEnd w:id="25"/>
    </w:p>
    <w:p>
      <w:pPr>
        <w:spacing w:line="288" w:lineRule="auto"/>
        <w:rPr>
          <w:sz w:val="26"/>
          <w:szCs w:val="26"/>
        </w:rPr>
      </w:pPr>
    </w:p>
    <w:p>
      <w:pPr>
        <w:spacing w:line="288" w:lineRule="auto"/>
        <w:rPr>
          <w:sz w:val="26"/>
          <w:szCs w:val="26"/>
        </w:rPr>
      </w:pPr>
    </w:p>
    <w:p>
      <w:pPr>
        <w:spacing w:line="288" w:lineRule="auto"/>
        <w:rPr>
          <w:sz w:val="26"/>
          <w:szCs w:val="26"/>
        </w:rPr>
      </w:pPr>
    </w:p>
    <w:p>
      <w:pPr>
        <w:spacing w:line="288" w:lineRule="auto"/>
        <w:rPr>
          <w:sz w:val="26"/>
          <w:szCs w:val="26"/>
        </w:rPr>
      </w:pPr>
    </w:p>
    <w:p>
      <w:pPr>
        <w:spacing w:line="288" w:lineRule="auto"/>
        <w:rPr>
          <w:sz w:val="26"/>
          <w:szCs w:val="26"/>
        </w:rPr>
      </w:pPr>
    </w:p>
    <w:p>
      <w:pPr>
        <w:spacing w:line="288" w:lineRule="auto"/>
        <w:rPr>
          <w:sz w:val="26"/>
          <w:szCs w:val="26"/>
        </w:rPr>
      </w:pPr>
    </w:p>
    <w:p>
      <w:pPr>
        <w:spacing w:line="288" w:lineRule="auto"/>
        <w:rPr>
          <w:sz w:val="26"/>
          <w:szCs w:val="26"/>
        </w:rPr>
      </w:pPr>
    </w:p>
    <w:p>
      <w:pPr>
        <w:spacing w:line="900" w:lineRule="exact"/>
        <w:jc w:val="center"/>
        <w:outlineLvl w:val="0"/>
        <w:rPr>
          <w:rFonts w:eastAsia="黑体"/>
          <w:bCs/>
          <w:sz w:val="30"/>
          <w:szCs w:val="30"/>
        </w:rPr>
      </w:pPr>
      <w:bookmarkStart w:id="26" w:name="_Toc20019"/>
      <w:r>
        <w:rPr>
          <w:rFonts w:hint="eastAsia" w:eastAsia="黑体"/>
          <w:bCs/>
          <w:sz w:val="30"/>
          <w:szCs w:val="30"/>
        </w:rPr>
        <w:t>供 应 商</w:t>
      </w:r>
      <w:r>
        <w:rPr>
          <w:rFonts w:eastAsia="黑体"/>
          <w:bCs/>
          <w:sz w:val="30"/>
          <w:szCs w:val="30"/>
        </w:rPr>
        <w:t>：</w:t>
      </w:r>
      <w:r>
        <w:rPr>
          <w:rFonts w:eastAsia="黑体"/>
          <w:bCs/>
          <w:sz w:val="30"/>
          <w:szCs w:val="30"/>
          <w:u w:val="single"/>
        </w:rPr>
        <w:t xml:space="preserve">  </w:t>
      </w:r>
      <w:r>
        <w:rPr>
          <w:rFonts w:hint="eastAsia" w:eastAsia="黑体"/>
          <w:bCs/>
          <w:sz w:val="30"/>
          <w:szCs w:val="30"/>
          <w:u w:val="single"/>
        </w:rPr>
        <w:t>供应商</w:t>
      </w:r>
      <w:r>
        <w:rPr>
          <w:rFonts w:eastAsia="黑体"/>
          <w:bCs/>
          <w:sz w:val="30"/>
          <w:szCs w:val="30"/>
          <w:u w:val="single"/>
        </w:rPr>
        <w:t>全称并盖单位公章</w:t>
      </w:r>
      <w:bookmarkEnd w:id="26"/>
      <w:r>
        <w:rPr>
          <w:rFonts w:eastAsia="黑体"/>
          <w:bCs/>
          <w:sz w:val="30"/>
          <w:szCs w:val="30"/>
          <w:u w:val="single"/>
        </w:rPr>
        <w:t xml:space="preserve"> </w:t>
      </w:r>
    </w:p>
    <w:p>
      <w:pPr>
        <w:spacing w:line="900" w:lineRule="exact"/>
        <w:jc w:val="center"/>
        <w:outlineLvl w:val="0"/>
        <w:rPr>
          <w:rFonts w:eastAsia="黑体"/>
          <w:sz w:val="30"/>
          <w:szCs w:val="30"/>
        </w:rPr>
      </w:pPr>
      <w:bookmarkStart w:id="27" w:name="_Toc19702"/>
      <w:r>
        <w:rPr>
          <w:rFonts w:eastAsia="黑体"/>
          <w:sz w:val="30"/>
          <w:szCs w:val="30"/>
        </w:rPr>
        <w:t>日</w:t>
      </w:r>
      <w:r>
        <w:rPr>
          <w:rFonts w:hint="eastAsia" w:eastAsia="黑体"/>
          <w:sz w:val="30"/>
          <w:szCs w:val="30"/>
        </w:rPr>
        <w:t xml:space="preserve">   </w:t>
      </w:r>
      <w:r>
        <w:rPr>
          <w:rFonts w:eastAsia="黑体"/>
          <w:sz w:val="30"/>
          <w:szCs w:val="30"/>
        </w:rPr>
        <w:t>期：</w:t>
      </w:r>
      <w:r>
        <w:rPr>
          <w:rFonts w:eastAsia="黑体"/>
          <w:sz w:val="30"/>
          <w:szCs w:val="30"/>
          <w:u w:val="single"/>
        </w:rPr>
        <w:t xml:space="preserve">      </w:t>
      </w:r>
      <w:r>
        <w:rPr>
          <w:rFonts w:eastAsia="黑体"/>
          <w:sz w:val="30"/>
          <w:szCs w:val="30"/>
        </w:rPr>
        <w:t>年</w:t>
      </w:r>
      <w:r>
        <w:rPr>
          <w:rFonts w:eastAsia="黑体"/>
          <w:sz w:val="30"/>
          <w:szCs w:val="30"/>
          <w:u w:val="single"/>
        </w:rPr>
        <w:t xml:space="preserve">    </w:t>
      </w:r>
      <w:r>
        <w:rPr>
          <w:rFonts w:eastAsia="黑体"/>
          <w:sz w:val="30"/>
          <w:szCs w:val="30"/>
        </w:rPr>
        <w:t>月</w:t>
      </w:r>
      <w:r>
        <w:rPr>
          <w:rFonts w:eastAsia="黑体"/>
          <w:sz w:val="30"/>
          <w:szCs w:val="30"/>
          <w:u w:val="single"/>
        </w:rPr>
        <w:t xml:space="preserve">    </w:t>
      </w:r>
      <w:r>
        <w:rPr>
          <w:rFonts w:eastAsia="黑体"/>
          <w:sz w:val="30"/>
          <w:szCs w:val="30"/>
        </w:rPr>
        <w:t>日</w:t>
      </w:r>
      <w:bookmarkEnd w:id="27"/>
    </w:p>
    <w:p>
      <w:pPr>
        <w:adjustRightInd w:val="0"/>
        <w:snapToGrid w:val="0"/>
        <w:spacing w:line="600" w:lineRule="exact"/>
        <w:jc w:val="center"/>
        <w:outlineLvl w:val="0"/>
        <w:rPr>
          <w:rFonts w:ascii="黑体" w:hAnsi="黑体" w:eastAsia="黑体" w:cs="仿宋"/>
          <w:sz w:val="36"/>
          <w:szCs w:val="36"/>
        </w:rPr>
      </w:pPr>
      <w:bookmarkStart w:id="28" w:name="_Toc21402"/>
      <w:r>
        <w:rPr>
          <w:rFonts w:hint="eastAsia" w:ascii="黑体" w:hAnsi="黑体" w:eastAsia="黑体" w:cs="仿宋"/>
          <w:sz w:val="36"/>
          <w:szCs w:val="36"/>
        </w:rPr>
        <w:t xml:space="preserve">目 </w:t>
      </w:r>
      <w:r>
        <w:rPr>
          <w:rFonts w:ascii="黑体" w:hAnsi="黑体" w:eastAsia="黑体" w:cs="仿宋"/>
          <w:sz w:val="36"/>
          <w:szCs w:val="36"/>
        </w:rPr>
        <w:t xml:space="preserve"> </w:t>
      </w:r>
      <w:r>
        <w:rPr>
          <w:rFonts w:hint="eastAsia" w:ascii="黑体" w:hAnsi="黑体" w:eastAsia="黑体" w:cs="仿宋"/>
          <w:sz w:val="36"/>
          <w:szCs w:val="36"/>
        </w:rPr>
        <w:t>录</w:t>
      </w:r>
      <w:bookmarkEnd w:id="28"/>
    </w:p>
    <w:p>
      <w:pPr>
        <w:adjustRightInd w:val="0"/>
        <w:snapToGrid w:val="0"/>
        <w:spacing w:line="600" w:lineRule="exact"/>
        <w:jc w:val="both"/>
        <w:outlineLvl w:val="0"/>
        <w:rPr>
          <w:rFonts w:ascii="宋体" w:hAnsi="宋体" w:cs="仿宋"/>
          <w:sz w:val="24"/>
        </w:rPr>
      </w:pPr>
      <w:bookmarkStart w:id="29" w:name="_Toc6294"/>
      <w:r>
        <w:rPr>
          <w:rFonts w:hint="eastAsia" w:ascii="宋体" w:hAnsi="宋体" w:cs="仿宋"/>
          <w:sz w:val="24"/>
        </w:rPr>
        <w:t>一、响应函</w:t>
      </w:r>
      <w:r>
        <w:rPr>
          <w:rFonts w:hint="eastAsia" w:ascii="宋体" w:hAnsi="宋体" w:cs="仿宋"/>
          <w:sz w:val="24"/>
        </w:rPr>
        <w:br w:type="textWrapping"/>
      </w:r>
      <w:r>
        <w:rPr>
          <w:rFonts w:hint="eastAsia" w:ascii="宋体" w:hAnsi="宋体" w:cs="仿宋"/>
          <w:sz w:val="24"/>
        </w:rPr>
        <w:t>二、授权委托书(适用于有委托代理人的情况)</w:t>
      </w:r>
      <w:r>
        <w:rPr>
          <w:rFonts w:hint="eastAsia" w:ascii="宋体" w:hAnsi="宋体" w:cs="仿宋"/>
          <w:sz w:val="24"/>
        </w:rPr>
        <w:br w:type="textWrapping"/>
      </w:r>
      <w:r>
        <w:rPr>
          <w:rFonts w:hint="eastAsia" w:ascii="宋体" w:hAnsi="宋体" w:cs="仿宋"/>
          <w:sz w:val="24"/>
        </w:rPr>
        <w:t>三、商务和技术偏差表</w:t>
      </w:r>
      <w:bookmarkEnd w:id="29"/>
    </w:p>
    <w:p>
      <w:pPr>
        <w:adjustRightInd w:val="0"/>
        <w:snapToGrid w:val="0"/>
        <w:spacing w:line="600" w:lineRule="exact"/>
        <w:jc w:val="both"/>
        <w:outlineLvl w:val="0"/>
        <w:rPr>
          <w:rFonts w:ascii="宋体" w:hAnsi="宋体" w:cs="仿宋"/>
          <w:sz w:val="24"/>
        </w:rPr>
      </w:pPr>
      <w:bookmarkStart w:id="30" w:name="_Toc22998"/>
      <w:r>
        <w:rPr>
          <w:rFonts w:hint="eastAsia" w:ascii="宋体" w:hAnsi="宋体" w:cs="仿宋"/>
          <w:sz w:val="24"/>
        </w:rPr>
        <w:t>四、报价</w:t>
      </w:r>
      <w:r>
        <w:rPr>
          <w:rFonts w:hint="eastAsia" w:ascii="宋体" w:hAnsi="宋体" w:cs="仿宋"/>
          <w:sz w:val="24"/>
          <w:lang w:val="en-US" w:eastAsia="zh-CN"/>
        </w:rPr>
        <w:t>清单</w:t>
      </w:r>
      <w:r>
        <w:rPr>
          <w:rFonts w:hint="eastAsia" w:ascii="宋体" w:hAnsi="宋体" w:cs="仿宋"/>
          <w:sz w:val="24"/>
        </w:rPr>
        <w:t>表</w:t>
      </w:r>
      <w:r>
        <w:rPr>
          <w:rFonts w:hint="eastAsia" w:ascii="宋体" w:hAnsi="宋体" w:cs="仿宋"/>
          <w:sz w:val="24"/>
          <w:lang w:eastAsia="zh-CN"/>
        </w:rPr>
        <w:t>（</w:t>
      </w:r>
      <w:r>
        <w:rPr>
          <w:rFonts w:hint="eastAsia" w:ascii="宋体" w:hAnsi="宋体" w:cs="仿宋"/>
          <w:sz w:val="24"/>
          <w:lang w:val="en-US" w:eastAsia="zh-CN"/>
        </w:rPr>
        <w:t>根据第五章采购需求中的城港囤船65-2坞修项目清单</w:t>
      </w:r>
      <w:r>
        <w:rPr>
          <w:rFonts w:hint="eastAsia" w:ascii="宋体" w:hAnsi="宋体" w:cs="仿宋"/>
          <w:sz w:val="24"/>
          <w:lang w:eastAsia="zh-CN"/>
        </w:rPr>
        <w:t>）</w:t>
      </w:r>
      <w:r>
        <w:rPr>
          <w:rFonts w:hint="eastAsia" w:ascii="宋体" w:hAnsi="宋体" w:cs="仿宋"/>
          <w:sz w:val="24"/>
        </w:rPr>
        <w:br w:type="textWrapping"/>
      </w:r>
      <w:r>
        <w:rPr>
          <w:rFonts w:hint="eastAsia" w:ascii="宋体" w:hAnsi="宋体" w:cs="仿宋"/>
          <w:sz w:val="24"/>
        </w:rPr>
        <w:t>五、资格审查资料</w:t>
      </w:r>
      <w:bookmarkEnd w:id="30"/>
    </w:p>
    <w:p>
      <w:pPr>
        <w:adjustRightInd w:val="0"/>
        <w:snapToGrid w:val="0"/>
        <w:spacing w:line="600" w:lineRule="exact"/>
        <w:jc w:val="both"/>
        <w:outlineLvl w:val="0"/>
        <w:rPr>
          <w:rFonts w:ascii="宋体" w:hAnsi="宋体" w:cs="仿宋"/>
          <w:sz w:val="24"/>
        </w:rPr>
      </w:pPr>
      <w:bookmarkStart w:id="31" w:name="_Toc21680"/>
      <w:r>
        <w:rPr>
          <w:rFonts w:hint="eastAsia" w:ascii="宋体" w:hAnsi="宋体" w:cs="仿宋"/>
          <w:sz w:val="24"/>
        </w:rPr>
        <w:t>六、响应方案</w:t>
      </w:r>
      <w:bookmarkEnd w:id="31"/>
    </w:p>
    <w:p>
      <w:pPr>
        <w:adjustRightInd w:val="0"/>
        <w:snapToGrid w:val="0"/>
        <w:spacing w:line="600" w:lineRule="exact"/>
        <w:jc w:val="both"/>
        <w:outlineLvl w:val="0"/>
        <w:rPr>
          <w:rFonts w:ascii="宋体" w:hAnsi="宋体" w:cs="仿宋"/>
          <w:sz w:val="24"/>
        </w:rPr>
      </w:pPr>
      <w:bookmarkStart w:id="32" w:name="_Toc6851"/>
      <w:r>
        <w:rPr>
          <w:rFonts w:hint="eastAsia" w:ascii="宋体" w:hAnsi="宋体" w:cs="仿宋"/>
          <w:sz w:val="24"/>
        </w:rPr>
        <w:t>七、其他资料</w:t>
      </w:r>
      <w:bookmarkEnd w:id="32"/>
    </w:p>
    <w:p>
      <w:pPr>
        <w:spacing w:line="600" w:lineRule="exact"/>
        <w:jc w:val="both"/>
        <w:rPr>
          <w:rFonts w:ascii="仿宋" w:hAnsi="仿宋" w:eastAsia="仿宋" w:cs="仿宋"/>
          <w:sz w:val="30"/>
          <w:szCs w:val="30"/>
        </w:rPr>
      </w:pPr>
    </w:p>
    <w:p>
      <w:pPr>
        <w:spacing w:line="600" w:lineRule="exact"/>
        <w:jc w:val="both"/>
        <w:rPr>
          <w:rFonts w:ascii="仿宋" w:hAnsi="仿宋" w:eastAsia="仿宋" w:cs="仿宋"/>
          <w:sz w:val="30"/>
          <w:szCs w:val="30"/>
        </w:rPr>
      </w:pPr>
    </w:p>
    <w:p>
      <w:pPr>
        <w:spacing w:line="600" w:lineRule="exact"/>
        <w:jc w:val="both"/>
        <w:rPr>
          <w:rFonts w:ascii="仿宋" w:hAnsi="仿宋" w:eastAsia="仿宋" w:cs="仿宋"/>
          <w:sz w:val="30"/>
          <w:szCs w:val="30"/>
        </w:rPr>
      </w:pPr>
    </w:p>
    <w:p>
      <w:pPr>
        <w:spacing w:line="600" w:lineRule="exact"/>
        <w:jc w:val="both"/>
        <w:rPr>
          <w:rFonts w:ascii="仿宋" w:hAnsi="仿宋" w:eastAsia="仿宋" w:cs="仿宋"/>
          <w:sz w:val="30"/>
          <w:szCs w:val="30"/>
        </w:rPr>
      </w:pPr>
    </w:p>
    <w:p>
      <w:pPr>
        <w:spacing w:line="600" w:lineRule="exact"/>
        <w:jc w:val="both"/>
        <w:rPr>
          <w:rFonts w:ascii="仿宋" w:hAnsi="仿宋" w:eastAsia="仿宋" w:cs="仿宋"/>
          <w:sz w:val="30"/>
          <w:szCs w:val="30"/>
        </w:rPr>
      </w:pPr>
    </w:p>
    <w:p>
      <w:pPr>
        <w:spacing w:line="600" w:lineRule="exact"/>
        <w:jc w:val="both"/>
        <w:rPr>
          <w:rFonts w:ascii="仿宋" w:hAnsi="仿宋" w:eastAsia="仿宋" w:cs="仿宋"/>
          <w:sz w:val="30"/>
          <w:szCs w:val="30"/>
        </w:rPr>
      </w:pPr>
    </w:p>
    <w:p>
      <w:pPr>
        <w:spacing w:line="600" w:lineRule="exact"/>
        <w:jc w:val="both"/>
        <w:rPr>
          <w:rFonts w:ascii="仿宋" w:hAnsi="仿宋" w:eastAsia="仿宋" w:cs="仿宋"/>
          <w:sz w:val="30"/>
          <w:szCs w:val="30"/>
        </w:rPr>
      </w:pPr>
    </w:p>
    <w:p>
      <w:pPr>
        <w:spacing w:line="600" w:lineRule="exact"/>
        <w:jc w:val="both"/>
        <w:rPr>
          <w:rFonts w:ascii="仿宋" w:hAnsi="仿宋" w:eastAsia="仿宋" w:cs="仿宋"/>
          <w:sz w:val="30"/>
          <w:szCs w:val="30"/>
        </w:rPr>
      </w:pPr>
    </w:p>
    <w:p>
      <w:pPr>
        <w:spacing w:line="600" w:lineRule="exact"/>
        <w:jc w:val="both"/>
        <w:rPr>
          <w:rFonts w:ascii="仿宋" w:hAnsi="仿宋" w:eastAsia="仿宋" w:cs="仿宋"/>
          <w:sz w:val="30"/>
          <w:szCs w:val="30"/>
        </w:rPr>
      </w:pPr>
    </w:p>
    <w:p>
      <w:pPr>
        <w:spacing w:line="600" w:lineRule="exact"/>
        <w:jc w:val="both"/>
        <w:rPr>
          <w:rFonts w:ascii="仿宋" w:hAnsi="仿宋" w:eastAsia="仿宋" w:cs="仿宋"/>
          <w:sz w:val="30"/>
          <w:szCs w:val="30"/>
        </w:rPr>
      </w:pPr>
    </w:p>
    <w:p>
      <w:pPr>
        <w:spacing w:line="600" w:lineRule="exact"/>
        <w:jc w:val="both"/>
        <w:rPr>
          <w:rFonts w:ascii="仿宋" w:hAnsi="仿宋" w:eastAsia="仿宋" w:cs="仿宋"/>
          <w:sz w:val="30"/>
          <w:szCs w:val="30"/>
        </w:rPr>
      </w:pPr>
    </w:p>
    <w:p>
      <w:pPr>
        <w:spacing w:line="600" w:lineRule="exact"/>
        <w:jc w:val="both"/>
        <w:rPr>
          <w:rFonts w:ascii="仿宋" w:hAnsi="仿宋" w:eastAsia="仿宋" w:cs="仿宋"/>
          <w:sz w:val="30"/>
          <w:szCs w:val="30"/>
        </w:rPr>
      </w:pPr>
    </w:p>
    <w:p>
      <w:pPr>
        <w:spacing w:line="600" w:lineRule="exact"/>
        <w:jc w:val="both"/>
        <w:rPr>
          <w:rFonts w:ascii="仿宋" w:hAnsi="仿宋" w:eastAsia="仿宋" w:cs="仿宋"/>
          <w:sz w:val="30"/>
          <w:szCs w:val="30"/>
        </w:rPr>
      </w:pPr>
    </w:p>
    <w:p>
      <w:pPr>
        <w:numPr>
          <w:ilvl w:val="0"/>
          <w:numId w:val="2"/>
        </w:numPr>
        <w:adjustRightInd w:val="0"/>
        <w:snapToGrid w:val="0"/>
        <w:spacing w:line="600" w:lineRule="exact"/>
        <w:jc w:val="center"/>
        <w:outlineLvl w:val="0"/>
        <w:rPr>
          <w:rFonts w:ascii="黑体" w:hAnsi="黑体" w:eastAsia="黑体" w:cs="仿宋"/>
          <w:sz w:val="36"/>
          <w:szCs w:val="36"/>
        </w:rPr>
      </w:pPr>
      <w:bookmarkStart w:id="33" w:name="_Toc3411"/>
      <w:r>
        <w:rPr>
          <w:rFonts w:hint="eastAsia" w:ascii="黑体" w:hAnsi="黑体" w:eastAsia="黑体" w:cs="仿宋"/>
          <w:sz w:val="36"/>
          <w:szCs w:val="36"/>
        </w:rPr>
        <w:t>响应函</w:t>
      </w:r>
      <w:bookmarkEnd w:id="33"/>
    </w:p>
    <w:p>
      <w:pPr>
        <w:adjustRightInd w:val="0"/>
        <w:snapToGrid w:val="0"/>
        <w:spacing w:line="600" w:lineRule="exact"/>
        <w:jc w:val="both"/>
        <w:rPr>
          <w:rFonts w:cs="仿宋" w:asciiTheme="minorEastAsia" w:hAnsiTheme="minorEastAsia" w:eastAsiaTheme="minorEastAsia"/>
          <w:sz w:val="24"/>
        </w:rPr>
      </w:pP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(采购人名称):</w:t>
      </w:r>
    </w:p>
    <w:p>
      <w:pPr>
        <w:adjustRightInd w:val="0"/>
        <w:snapToGrid w:val="0"/>
        <w:spacing w:line="312" w:lineRule="auto"/>
        <w:ind w:firstLine="453" w:firstLineChars="189"/>
        <w:jc w:val="both"/>
        <w:rPr>
          <w:rFonts w:hint="default" w:eastAsia="宋体" w:cs="仿宋" w:asciiTheme="minorEastAsia" w:hAnsiTheme="minorEastAsia"/>
          <w:sz w:val="24"/>
          <w:lang w:val="en-US" w:eastAsia="zh-CN"/>
        </w:rPr>
      </w:pPr>
      <w:r>
        <w:rPr>
          <w:rFonts w:hint="eastAsia" w:cs="仿宋" w:asciiTheme="minorEastAsia" w:hAnsiTheme="minorEastAsia" w:eastAsiaTheme="minorEastAsia"/>
          <w:sz w:val="24"/>
        </w:rPr>
        <w:t>1.我方已仔细研究了__(项目名称)采购文件的全部内容，愿意以含税价人民币(大写)(￥</w:t>
      </w:r>
      <w:r>
        <w:rPr>
          <w:rFonts w:hint="eastAsia" w:cs="仿宋" w:asciiTheme="minorEastAsia" w:hAnsiTheme="minorEastAsia" w:eastAsiaTheme="minorEastAsia"/>
          <w:sz w:val="24"/>
          <w:u w:val="single"/>
        </w:rPr>
        <w:t xml:space="preserve">               </w:t>
      </w:r>
      <w:r>
        <w:rPr>
          <w:rFonts w:hint="eastAsia" w:cs="仿宋" w:asciiTheme="minorEastAsia" w:hAnsiTheme="minorEastAsia" w:eastAsiaTheme="minorEastAsia"/>
          <w:sz w:val="24"/>
        </w:rPr>
        <w:t>)的报价（其中：不含税价为:</w:t>
      </w:r>
      <w:r>
        <w:rPr>
          <w:rFonts w:hint="eastAsia" w:cs="仿宋" w:asciiTheme="minorEastAsia" w:hAnsiTheme="minorEastAsia" w:eastAsiaTheme="minorEastAsia"/>
          <w:sz w:val="24"/>
          <w:u w:val="single"/>
        </w:rPr>
        <w:t xml:space="preserve">       </w:t>
      </w:r>
      <w:r>
        <w:rPr>
          <w:rFonts w:hint="eastAsia" w:cs="仿宋" w:asciiTheme="minorEastAsia" w:hAnsiTheme="minorEastAsia" w:eastAsiaTheme="minorEastAsia"/>
          <w:sz w:val="24"/>
        </w:rPr>
        <w:t>;增值税税额为:</w:t>
      </w:r>
      <w:r>
        <w:rPr>
          <w:rFonts w:hint="eastAsia" w:cs="仿宋" w:asciiTheme="minorEastAsia" w:hAnsiTheme="minorEastAsia" w:eastAsiaTheme="minorEastAsia"/>
          <w:sz w:val="24"/>
          <w:u w:val="single"/>
        </w:rPr>
        <w:t xml:space="preserve">            </w:t>
      </w:r>
      <w:r>
        <w:rPr>
          <w:rFonts w:hint="eastAsia" w:cs="仿宋" w:asciiTheme="minorEastAsia" w:hAnsiTheme="minorEastAsia" w:eastAsiaTheme="minorEastAsia"/>
          <w:sz w:val="24"/>
        </w:rPr>
        <w:t>)完成/提供服务，并按合同约定履行义务。</w:t>
      </w:r>
      <w:r>
        <w:rPr>
          <w:rFonts w:hint="eastAsia" w:ascii="宋体" w:hAnsi="宋体" w:cs="仿宋"/>
          <w:sz w:val="24"/>
        </w:rPr>
        <w:t>维修工期：船舶进厂</w:t>
      </w:r>
      <w:r>
        <w:rPr>
          <w:rFonts w:ascii="宋体" w:hAnsi="宋体" w:cs="仿宋"/>
          <w:sz w:val="24"/>
        </w:rPr>
        <w:t>15</w:t>
      </w:r>
      <w:r>
        <w:rPr>
          <w:rFonts w:hint="eastAsia" w:ascii="宋体" w:hAnsi="宋体" w:cs="仿宋"/>
          <w:sz w:val="24"/>
        </w:rPr>
        <w:t>日历日</w:t>
      </w:r>
      <w:r>
        <w:rPr>
          <w:rFonts w:hint="eastAsia" w:ascii="宋体" w:hAnsi="宋体" w:cs="仿宋"/>
          <w:sz w:val="24"/>
          <w:lang w:eastAsia="zh-CN"/>
        </w:rPr>
        <w:t>，</w:t>
      </w:r>
      <w:r>
        <w:rPr>
          <w:rFonts w:hint="eastAsia" w:ascii="宋体" w:hAnsi="宋体" w:cs="仿宋"/>
          <w:sz w:val="24"/>
          <w:lang w:val="en-US" w:eastAsia="zh-CN"/>
        </w:rPr>
        <w:t>响应文件有效期：90天</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2.我方的响应文件包括下列内容:</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(1)响应函;</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(2)授权委托书(如有);</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(3)商务和技术偏差表;</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(4)报价</w:t>
      </w:r>
      <w:r>
        <w:rPr>
          <w:rFonts w:hint="eastAsia" w:cs="仿宋" w:asciiTheme="minorEastAsia" w:hAnsiTheme="minorEastAsia" w:eastAsiaTheme="minorEastAsia"/>
          <w:sz w:val="24"/>
          <w:lang w:val="en-US" w:eastAsia="zh-CN"/>
        </w:rPr>
        <w:t>清单</w:t>
      </w:r>
      <w:r>
        <w:rPr>
          <w:rFonts w:hint="eastAsia" w:cs="仿宋" w:asciiTheme="minorEastAsia" w:hAnsiTheme="minorEastAsia" w:eastAsiaTheme="minorEastAsia"/>
          <w:sz w:val="24"/>
        </w:rPr>
        <w:t>;</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(5)资格审查资料;</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(6)响应方案;</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响应文件的上述组成部分如存在内容不-致的，以响应函为准。</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3.我方承诺除商务和技术偏差表列出的偏差外，我方响应采购文件的全部要求。</w:t>
      </w:r>
    </w:p>
    <w:p>
      <w:pPr>
        <w:numPr>
          <w:ilvl w:val="0"/>
          <w:numId w:val="3"/>
        </w:num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我方承诺在采购文件规定的响应文件有效期内不撤销响应文件。</w:t>
      </w:r>
    </w:p>
    <w:p>
      <w:pPr>
        <w:numPr>
          <w:ilvl w:val="0"/>
          <w:numId w:val="3"/>
        </w:num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如我方成交，我方承诺:</w:t>
      </w:r>
    </w:p>
    <w:p>
      <w:pPr>
        <w:tabs>
          <w:tab w:val="left" w:pos="312"/>
        </w:tabs>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(1)在收到成交通知书后，在成交通知书规定的期限内与你方签订合同;</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(2)在签订合同时不向你方提出附加条件;</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(3)按照采购文件要求递交履约保证金;</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(4)在合同约定的期限内完成合同规定的全部义务。</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6.我方在此声明，所递交的响应文件及有关资料内容完整、真实和准确，且不开在第一章“采购公告”中规定的供应商不得存在的情形。</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7.(其他补充说明)。</w:t>
      </w:r>
    </w:p>
    <w:p>
      <w:pPr>
        <w:adjustRightInd w:val="0"/>
        <w:snapToGrid w:val="0"/>
        <w:spacing w:line="600" w:lineRule="exact"/>
        <w:jc w:val="both"/>
        <w:rPr>
          <w:rFonts w:cs="仿宋" w:asciiTheme="minorEastAsia" w:hAnsiTheme="minorEastAsia" w:eastAsiaTheme="minorEastAsia"/>
          <w:sz w:val="24"/>
        </w:rPr>
      </w:pP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供应商:________________________(盖单位章)</w:t>
      </w:r>
    </w:p>
    <w:p>
      <w:pPr>
        <w:adjustRightInd w:val="0"/>
        <w:snapToGrid w:val="0"/>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法定代表人(单位负责人)或其授权的代理人:(签字) </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地址:____________________________________________</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电子邮箱：_______________________________________</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电话：____________________________________________</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传真：____________________________________________</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邮政编码：_______________________________________</w:t>
      </w:r>
    </w:p>
    <w:p>
      <w:pPr>
        <w:spacing w:line="600" w:lineRule="exact"/>
        <w:jc w:val="both"/>
        <w:rPr>
          <w:rFonts w:cs="仿宋" w:asciiTheme="minorEastAsia" w:hAnsiTheme="minorEastAsia" w:eastAsiaTheme="minorEastAsia"/>
          <w:sz w:val="24"/>
        </w:rPr>
      </w:pPr>
    </w:p>
    <w:p>
      <w:pPr>
        <w:spacing w:line="600" w:lineRule="exact"/>
        <w:ind w:firstLine="7200" w:firstLineChars="300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年 </w:t>
      </w:r>
      <w:r>
        <w:rPr>
          <w:rFonts w:cs="仿宋" w:asciiTheme="minorEastAsia" w:hAnsiTheme="minorEastAsia" w:eastAsiaTheme="minorEastAsia"/>
          <w:sz w:val="24"/>
        </w:rPr>
        <w:t xml:space="preserve">  </w:t>
      </w:r>
      <w:r>
        <w:rPr>
          <w:rFonts w:hint="eastAsia" w:cs="仿宋" w:asciiTheme="minorEastAsia" w:hAnsiTheme="minorEastAsia" w:eastAsiaTheme="minorEastAsia"/>
          <w:sz w:val="24"/>
        </w:rPr>
        <w:t xml:space="preserve">月 </w:t>
      </w:r>
      <w:r>
        <w:rPr>
          <w:rFonts w:cs="仿宋" w:asciiTheme="minorEastAsia" w:hAnsiTheme="minorEastAsia" w:eastAsiaTheme="minorEastAsia"/>
          <w:sz w:val="24"/>
        </w:rPr>
        <w:t xml:space="preserve">   </w:t>
      </w:r>
      <w:r>
        <w:rPr>
          <w:rFonts w:hint="eastAsia" w:cs="仿宋" w:asciiTheme="minorEastAsia" w:hAnsiTheme="minorEastAsia" w:eastAsiaTheme="minorEastAsia"/>
          <w:sz w:val="24"/>
        </w:rPr>
        <w:t>日</w:t>
      </w:r>
    </w:p>
    <w:p>
      <w:pPr>
        <w:spacing w:line="240" w:lineRule="auto"/>
        <w:jc w:val="both"/>
        <w:rPr>
          <w:rFonts w:cs="仿宋" w:asciiTheme="minorEastAsia" w:hAnsiTheme="minorEastAsia" w:eastAsiaTheme="minorEastAsia"/>
          <w:sz w:val="24"/>
        </w:rPr>
      </w:pPr>
      <w:r>
        <w:rPr>
          <w:rFonts w:cs="仿宋" w:asciiTheme="minorEastAsia" w:hAnsiTheme="minorEastAsia" w:eastAsiaTheme="minorEastAsia"/>
          <w:sz w:val="24"/>
        </w:rPr>
        <w:br w:type="page"/>
      </w:r>
    </w:p>
    <w:p>
      <w:pPr>
        <w:spacing w:line="400" w:lineRule="exact"/>
        <w:jc w:val="center"/>
        <w:rPr>
          <w:rFonts w:cs="宋体" w:asciiTheme="minorEastAsia" w:hAnsiTheme="minorEastAsia" w:eastAsiaTheme="minorEastAsia"/>
          <w:b/>
          <w:color w:val="000000"/>
          <w:kern w:val="0"/>
          <w:sz w:val="36"/>
          <w:szCs w:val="36"/>
        </w:rPr>
      </w:pPr>
      <w:r>
        <w:rPr>
          <w:rFonts w:hint="eastAsia" w:cs="宋体" w:asciiTheme="minorEastAsia" w:hAnsiTheme="minorEastAsia" w:eastAsiaTheme="minorEastAsia"/>
          <w:b/>
          <w:color w:val="000000"/>
          <w:kern w:val="0"/>
          <w:sz w:val="36"/>
          <w:szCs w:val="36"/>
        </w:rPr>
        <w:t>附：守法诚信承诺书</w:t>
      </w: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××公司：</w:t>
      </w: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为维护社会的公平正义，我司郑重承诺，与贵公司不存在有可能影响采购公正的利害关系。</w:t>
      </w: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1、我司已仔细阅读《××单位××文件》</w:t>
      </w:r>
      <w:r>
        <w:rPr>
          <w:rFonts w:cs="仿宋" w:asciiTheme="minorEastAsia" w:hAnsiTheme="minorEastAsia" w:eastAsiaTheme="minorEastAsia"/>
          <w:sz w:val="24"/>
        </w:rPr>
        <w:t>（编号</w:t>
      </w:r>
      <w:r>
        <w:rPr>
          <w:rFonts w:hint="eastAsia" w:cs="仿宋" w:asciiTheme="minorEastAsia" w:hAnsiTheme="minorEastAsia" w:eastAsiaTheme="minorEastAsia"/>
          <w:sz w:val="24"/>
        </w:rPr>
        <w:t>×</w:t>
      </w:r>
      <w:r>
        <w:rPr>
          <w:rFonts w:cs="仿宋" w:asciiTheme="minorEastAsia" w:hAnsiTheme="minorEastAsia" w:eastAsiaTheme="minorEastAsia"/>
          <w:sz w:val="24"/>
        </w:rPr>
        <w:t>×）</w:t>
      </w:r>
      <w:r>
        <w:rPr>
          <w:rFonts w:hint="eastAsia" w:cs="仿宋" w:asciiTheme="minorEastAsia" w:hAnsiTheme="minorEastAsia" w:eastAsiaTheme="minorEastAsia"/>
          <w:sz w:val="24"/>
        </w:rPr>
        <w:t>（以下</w:t>
      </w:r>
      <w:r>
        <w:rPr>
          <w:rFonts w:cs="仿宋" w:asciiTheme="minorEastAsia" w:hAnsiTheme="minorEastAsia" w:eastAsiaTheme="minorEastAsia"/>
          <w:sz w:val="24"/>
        </w:rPr>
        <w:t>简称</w:t>
      </w:r>
      <w:r>
        <w:rPr>
          <w:rFonts w:hint="eastAsia" w:cs="仿宋" w:asciiTheme="minorEastAsia" w:hAnsiTheme="minorEastAsia" w:eastAsiaTheme="minorEastAsia"/>
          <w:sz w:val="24"/>
        </w:rPr>
        <w:t>采购</w:t>
      </w:r>
      <w:r>
        <w:rPr>
          <w:rFonts w:cs="仿宋" w:asciiTheme="minorEastAsia" w:hAnsiTheme="minorEastAsia" w:eastAsiaTheme="minorEastAsia"/>
          <w:sz w:val="24"/>
        </w:rPr>
        <w:t>文件）</w:t>
      </w:r>
      <w:r>
        <w:rPr>
          <w:rFonts w:hint="eastAsia" w:cs="仿宋" w:asciiTheme="minorEastAsia" w:hAnsiTheme="minorEastAsia" w:eastAsiaTheme="minorEastAsia"/>
          <w:sz w:val="24"/>
        </w:rPr>
        <w:t>，包括采</w:t>
      </w:r>
      <w:r>
        <w:rPr>
          <w:rFonts w:cs="仿宋" w:asciiTheme="minorEastAsia" w:hAnsiTheme="minorEastAsia" w:eastAsiaTheme="minorEastAsia"/>
          <w:sz w:val="24"/>
        </w:rPr>
        <w:t>购</w:t>
      </w:r>
      <w:r>
        <w:rPr>
          <w:rFonts w:hint="eastAsia" w:cs="仿宋" w:asciiTheme="minorEastAsia" w:hAnsiTheme="minorEastAsia" w:eastAsiaTheme="minorEastAsia"/>
          <w:sz w:val="24"/>
        </w:rPr>
        <w:t>文件的澄清或修改说明</w:t>
      </w:r>
      <w:r>
        <w:rPr>
          <w:rFonts w:cs="仿宋" w:asciiTheme="minorEastAsia" w:hAnsiTheme="minorEastAsia" w:eastAsiaTheme="minorEastAsia"/>
          <w:sz w:val="24"/>
        </w:rPr>
        <w:t>，</w:t>
      </w:r>
      <w:r>
        <w:rPr>
          <w:rFonts w:hint="eastAsia" w:cs="仿宋" w:asciiTheme="minorEastAsia" w:hAnsiTheme="minorEastAsia" w:eastAsiaTheme="minorEastAsia"/>
          <w:sz w:val="24"/>
        </w:rPr>
        <w:t>完全支持并响应，不存在误解或不明。</w:t>
      </w: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2、遵纪守法，不触底线，公平公正参与竞争。我司提供的《响应文件》及其资料真实合法有效。</w:t>
      </w:r>
      <w:r>
        <w:rPr>
          <w:rFonts w:cs="仿宋" w:asciiTheme="minorEastAsia" w:hAnsiTheme="minorEastAsia" w:eastAsiaTheme="minorEastAsia"/>
          <w:sz w:val="24"/>
        </w:rPr>
        <w:t xml:space="preserve"> </w:t>
      </w: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3、响应期间没有因质量或</w:t>
      </w:r>
      <w:r>
        <w:rPr>
          <w:rFonts w:cs="仿宋" w:asciiTheme="minorEastAsia" w:hAnsiTheme="minorEastAsia" w:eastAsiaTheme="minorEastAsia"/>
          <w:sz w:val="24"/>
        </w:rPr>
        <w:t>服务</w:t>
      </w:r>
      <w:r>
        <w:rPr>
          <w:rFonts w:hint="eastAsia" w:cs="仿宋" w:asciiTheme="minorEastAsia" w:hAnsiTheme="minorEastAsia" w:eastAsiaTheme="minorEastAsia"/>
          <w:sz w:val="24"/>
        </w:rPr>
        <w:t>问题被采购人或采购人上级</w:t>
      </w:r>
      <w:r>
        <w:rPr>
          <w:rFonts w:cs="仿宋" w:asciiTheme="minorEastAsia" w:hAnsiTheme="minorEastAsia" w:eastAsiaTheme="minorEastAsia"/>
          <w:sz w:val="24"/>
        </w:rPr>
        <w:t>机构</w:t>
      </w:r>
      <w:r>
        <w:rPr>
          <w:rFonts w:hint="eastAsia" w:cs="仿宋" w:asciiTheme="minorEastAsia" w:hAnsiTheme="minorEastAsia" w:eastAsiaTheme="minorEastAsia"/>
          <w:sz w:val="24"/>
        </w:rPr>
        <w:t>通报且在整改期内。</w:t>
      </w: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4、响应单位法定代表人为同一个人或者存在控股关系，管理关系的不同单位，没有在本项目中同时报价。</w:t>
      </w: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5、无联合体另外报价。</w:t>
      </w:r>
    </w:p>
    <w:p>
      <w:pPr>
        <w:spacing w:line="360" w:lineRule="auto"/>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6、单位、法定代表人（单位负责人）、委托代理人（授权代表）无暂停或取消投标资格、骗取中标、行贿等不良记录以及其他违法犯罪记录；无围标串标、恶意投诉、买卖资质等违法违规行为。</w:t>
      </w:r>
    </w:p>
    <w:p>
      <w:pPr>
        <w:spacing w:line="360" w:lineRule="auto"/>
        <w:ind w:firstLine="480" w:firstLineChars="200"/>
        <w:jc w:val="both"/>
        <w:rPr>
          <w:rFonts w:cs="仿宋" w:asciiTheme="minorEastAsia" w:hAnsiTheme="minorEastAsia" w:eastAsiaTheme="minorEastAsia"/>
          <w:sz w:val="24"/>
        </w:rPr>
      </w:pPr>
      <w:r>
        <w:rPr>
          <w:rFonts w:cs="仿宋" w:asciiTheme="minorEastAsia" w:hAnsiTheme="minorEastAsia" w:eastAsiaTheme="minorEastAsia"/>
          <w:sz w:val="24"/>
        </w:rPr>
        <w:t>7</w:t>
      </w:r>
      <w:r>
        <w:rPr>
          <w:rFonts w:hint="eastAsia" w:cs="仿宋" w:asciiTheme="minorEastAsia" w:hAnsiTheme="minorEastAsia" w:eastAsiaTheme="minorEastAsia"/>
          <w:sz w:val="24"/>
        </w:rPr>
        <w:t>、诚实守信，优质高效履行合同。一旦中选，我司将严格遵守采购文件的约定，不附加条件,及时商谈、签约、履约。</w:t>
      </w:r>
    </w:p>
    <w:p>
      <w:pPr>
        <w:spacing w:line="360" w:lineRule="auto"/>
        <w:ind w:firstLine="480" w:firstLineChars="200"/>
        <w:jc w:val="both"/>
        <w:rPr>
          <w:rFonts w:cs="仿宋" w:asciiTheme="minorEastAsia" w:hAnsiTheme="minorEastAsia" w:eastAsiaTheme="minorEastAsia"/>
          <w:sz w:val="24"/>
        </w:rPr>
      </w:pPr>
      <w:r>
        <w:rPr>
          <w:rFonts w:cs="仿宋" w:asciiTheme="minorEastAsia" w:hAnsiTheme="minorEastAsia" w:eastAsiaTheme="minorEastAsia"/>
          <w:sz w:val="24"/>
        </w:rPr>
        <w:t>8</w:t>
      </w:r>
      <w:r>
        <w:rPr>
          <w:rFonts w:hint="eastAsia" w:cs="仿宋" w:asciiTheme="minorEastAsia" w:hAnsiTheme="minorEastAsia" w:eastAsiaTheme="minorEastAsia"/>
          <w:sz w:val="24"/>
        </w:rPr>
        <w:t>、自我管理，知行合一，主动承担社会责任。坚持“五大发展理念”，始终为用户着想，维护同业形象，自觉接受监管，维护和谐稳定。</w:t>
      </w:r>
    </w:p>
    <w:p>
      <w:pPr>
        <w:spacing w:line="360" w:lineRule="auto"/>
        <w:ind w:firstLine="480" w:firstLineChars="200"/>
        <w:jc w:val="both"/>
        <w:rPr>
          <w:rFonts w:hint="eastAsia" w:cs="仿宋" w:asciiTheme="minorEastAsia" w:hAnsiTheme="minorEastAsia" w:eastAsiaTheme="minorEastAsia"/>
          <w:sz w:val="24"/>
        </w:rPr>
      </w:pPr>
      <w:r>
        <w:rPr>
          <w:rFonts w:cs="仿宋" w:asciiTheme="minorEastAsia" w:hAnsiTheme="minorEastAsia" w:eastAsiaTheme="minorEastAsia"/>
          <w:sz w:val="24"/>
        </w:rPr>
        <w:t>9</w:t>
      </w:r>
      <w:r>
        <w:rPr>
          <w:rFonts w:hint="eastAsia" w:cs="仿宋" w:asciiTheme="minorEastAsia" w:hAnsiTheme="minorEastAsia" w:eastAsiaTheme="minorEastAsia"/>
          <w:sz w:val="24"/>
        </w:rPr>
        <w:t>、如发现我司有违上述条款，任何时候我司都愿意承担相应的法律责任，自愿放弃成交资格，接受任何处罚，并承担没收履约保证金或按合同违约责任的顶格处罚；贵公司可单方终止合同并且有权通过媒体公开上述行为，拒绝我司参加贵公司今后任何采购活动。</w:t>
      </w:r>
    </w:p>
    <w:p>
      <w:pPr>
        <w:autoSpaceDE w:val="0"/>
        <w:spacing w:line="400" w:lineRule="exact"/>
        <w:ind w:firstLine="480" w:firstLineChars="200"/>
        <w:jc w:val="both"/>
        <w:rPr>
          <w:rFonts w:ascii="宋体" w:hAnsi="宋体"/>
          <w:sz w:val="24"/>
        </w:rPr>
      </w:pPr>
      <w:r>
        <w:rPr>
          <w:rFonts w:hint="eastAsia" w:cs="仿宋" w:asciiTheme="minorEastAsia" w:hAnsiTheme="minorEastAsia" w:eastAsiaTheme="minorEastAsia"/>
          <w:sz w:val="24"/>
          <w:lang w:val="en-US" w:eastAsia="zh-CN"/>
        </w:rPr>
        <w:t>10、</w:t>
      </w:r>
      <w:r>
        <w:rPr>
          <w:rFonts w:hint="eastAsia" w:ascii="宋体" w:hAnsi="宋体" w:eastAsiaTheme="minorEastAsia"/>
          <w:sz w:val="24"/>
          <w:lang w:val="en-US" w:eastAsia="zh-CN"/>
        </w:rPr>
        <w:t>我公司不</w:t>
      </w:r>
      <w:r>
        <w:rPr>
          <w:rFonts w:hint="eastAsia" w:ascii="宋体" w:hAnsi="宋体"/>
          <w:sz w:val="24"/>
        </w:rPr>
        <w:t>存在下列情形之一:</w:t>
      </w:r>
    </w:p>
    <w:p>
      <w:pPr>
        <w:autoSpaceDE w:val="0"/>
        <w:spacing w:line="400" w:lineRule="exact"/>
        <w:ind w:firstLine="240" w:firstLineChars="100"/>
        <w:jc w:val="both"/>
        <w:rPr>
          <w:rFonts w:ascii="宋体" w:hAnsi="宋体"/>
          <w:sz w:val="24"/>
        </w:rPr>
      </w:pPr>
      <w:r>
        <w:rPr>
          <w:rFonts w:hint="eastAsia" w:ascii="宋体" w:hAnsi="宋体"/>
          <w:sz w:val="24"/>
        </w:rPr>
        <w:t>1.处于被责令停产停业、暂扣或者吊销执照、暂扣或者吊销许可证、吊销资质证书状态;</w:t>
      </w:r>
    </w:p>
    <w:p>
      <w:pPr>
        <w:autoSpaceDE w:val="0"/>
        <w:spacing w:line="400" w:lineRule="exact"/>
        <w:ind w:firstLine="240" w:firstLineChars="100"/>
        <w:jc w:val="both"/>
        <w:rPr>
          <w:rFonts w:ascii="宋体" w:hAnsi="宋体"/>
          <w:sz w:val="24"/>
        </w:rPr>
      </w:pPr>
      <w:r>
        <w:rPr>
          <w:rFonts w:hint="eastAsia" w:ascii="宋体" w:hAnsi="宋体"/>
          <w:sz w:val="24"/>
        </w:rPr>
        <w:t>2.进入清算程序，或被宣告破产，或其他丧失履约能力的情形;</w:t>
      </w:r>
    </w:p>
    <w:p>
      <w:pPr>
        <w:autoSpaceDE w:val="0"/>
        <w:spacing w:line="400" w:lineRule="exact"/>
        <w:ind w:firstLine="240" w:firstLineChars="100"/>
        <w:jc w:val="both"/>
        <w:rPr>
          <w:rFonts w:hint="default" w:eastAsiaTheme="minorEastAsia"/>
          <w:lang w:val="en-US" w:eastAsia="zh-CN"/>
        </w:rPr>
      </w:pPr>
      <w:r>
        <w:rPr>
          <w:rFonts w:hint="eastAsia" w:ascii="宋体" w:hAnsi="宋体"/>
          <w:sz w:val="24"/>
        </w:rPr>
        <w:t>3.被采购人或采购人上级单位纳入黑名单</w:t>
      </w:r>
    </w:p>
    <w:p>
      <w:pPr>
        <w:spacing w:line="360" w:lineRule="auto"/>
        <w:ind w:firstLine="480" w:firstLineChars="200"/>
        <w:jc w:val="both"/>
        <w:rPr>
          <w:rFonts w:hint="eastAsia" w:cs="仿宋" w:asciiTheme="minorEastAsia" w:hAnsiTheme="minorEastAsia" w:eastAsiaTheme="minorEastAsia"/>
          <w:sz w:val="24"/>
        </w:rPr>
      </w:pPr>
      <w:r>
        <w:rPr>
          <w:rFonts w:hint="eastAsia" w:cs="仿宋" w:asciiTheme="minorEastAsia" w:hAnsiTheme="minorEastAsia" w:eastAsiaTheme="minorEastAsia"/>
          <w:sz w:val="24"/>
        </w:rPr>
        <w:t>专此承诺。</w:t>
      </w:r>
    </w:p>
    <w:p>
      <w:pPr>
        <w:spacing w:line="360" w:lineRule="auto"/>
        <w:ind w:firstLine="4560" w:firstLineChars="1900"/>
        <w:jc w:val="both"/>
        <w:rPr>
          <w:rFonts w:cs="仿宋" w:asciiTheme="minorEastAsia" w:hAnsiTheme="minorEastAsia" w:eastAsiaTheme="minorEastAsia"/>
          <w:sz w:val="24"/>
        </w:rPr>
      </w:pPr>
      <w:r>
        <w:rPr>
          <w:rFonts w:hint="eastAsia" w:cs="仿宋" w:asciiTheme="minorEastAsia" w:hAnsiTheme="minorEastAsia" w:eastAsiaTheme="minorEastAsia"/>
          <w:sz w:val="24"/>
        </w:rPr>
        <w:t>承诺单位</w:t>
      </w:r>
      <w:r>
        <w:rPr>
          <w:rFonts w:cs="仿宋" w:asciiTheme="minorEastAsia" w:hAnsiTheme="minorEastAsia" w:eastAsiaTheme="minorEastAsia"/>
          <w:sz w:val="24"/>
        </w:rPr>
        <w:t>（</w:t>
      </w:r>
      <w:r>
        <w:rPr>
          <w:rFonts w:hint="eastAsia" w:cs="仿宋" w:asciiTheme="minorEastAsia" w:hAnsiTheme="minorEastAsia" w:eastAsiaTheme="minorEastAsia"/>
          <w:sz w:val="24"/>
        </w:rPr>
        <w:t>印刷体全称</w:t>
      </w:r>
      <w:r>
        <w:rPr>
          <w:rFonts w:cs="仿宋" w:asciiTheme="minorEastAsia" w:hAnsiTheme="minorEastAsia" w:eastAsiaTheme="minorEastAsia"/>
          <w:sz w:val="24"/>
        </w:rPr>
        <w:t>+</w:t>
      </w:r>
      <w:r>
        <w:rPr>
          <w:rFonts w:hint="eastAsia" w:cs="仿宋" w:asciiTheme="minorEastAsia" w:hAnsiTheme="minorEastAsia" w:eastAsiaTheme="minorEastAsia"/>
          <w:sz w:val="24"/>
        </w:rPr>
        <w:t>单位公章</w:t>
      </w:r>
      <w:r>
        <w:rPr>
          <w:rFonts w:cs="仿宋" w:asciiTheme="minorEastAsia" w:hAnsiTheme="minorEastAsia" w:eastAsiaTheme="minorEastAsia"/>
          <w:sz w:val="24"/>
        </w:rPr>
        <w:t>）：</w:t>
      </w:r>
    </w:p>
    <w:p>
      <w:pPr>
        <w:spacing w:line="360" w:lineRule="auto"/>
        <w:ind w:firstLine="3600" w:firstLineChars="1500"/>
        <w:jc w:val="both"/>
        <w:rPr>
          <w:rFonts w:cs="仿宋" w:asciiTheme="minorEastAsia" w:hAnsiTheme="minorEastAsia" w:eastAsiaTheme="minorEastAsia"/>
          <w:sz w:val="24"/>
        </w:rPr>
      </w:pPr>
      <w:r>
        <w:rPr>
          <w:rFonts w:hint="eastAsia" w:cs="仿宋" w:asciiTheme="minorEastAsia" w:hAnsiTheme="minorEastAsia" w:eastAsiaTheme="minorEastAsia"/>
          <w:sz w:val="24"/>
        </w:rPr>
        <w:t>承诺单位法定代表人或其委托代理人（印刷体+</w:t>
      </w:r>
      <w:r>
        <w:rPr>
          <w:rFonts w:cs="仿宋" w:asciiTheme="minorEastAsia" w:hAnsiTheme="minorEastAsia" w:eastAsiaTheme="minorEastAsia"/>
          <w:sz w:val="24"/>
        </w:rPr>
        <w:t>签字）：</w:t>
      </w:r>
    </w:p>
    <w:p>
      <w:pPr>
        <w:ind w:firstLine="480" w:firstLineChars="200"/>
        <w:jc w:val="both"/>
        <w:rPr>
          <w:rFonts w:cs="仿宋" w:asciiTheme="minorEastAsia" w:hAnsiTheme="minorEastAsia" w:eastAsiaTheme="minorEastAsia"/>
          <w:sz w:val="24"/>
        </w:rPr>
      </w:pPr>
      <w:r>
        <w:rPr>
          <w:rFonts w:cs="仿宋" w:asciiTheme="minorEastAsia" w:hAnsiTheme="minorEastAsia" w:eastAsiaTheme="minorEastAsia"/>
          <w:sz w:val="24"/>
        </w:rPr>
        <w:t xml:space="preserve">                                                     </w:t>
      </w:r>
      <w:r>
        <w:rPr>
          <w:rFonts w:hint="eastAsia" w:cs="仿宋" w:asciiTheme="minorEastAsia" w:hAnsiTheme="minorEastAsia" w:eastAsiaTheme="minorEastAsia"/>
          <w:sz w:val="24"/>
        </w:rPr>
        <w:t>年</w:t>
      </w:r>
      <w:r>
        <w:rPr>
          <w:rFonts w:cs="仿宋" w:asciiTheme="minorEastAsia" w:hAnsiTheme="minorEastAsia" w:eastAsiaTheme="minorEastAsia"/>
          <w:sz w:val="24"/>
        </w:rPr>
        <w:t xml:space="preserve">  </w:t>
      </w:r>
      <w:r>
        <w:rPr>
          <w:rFonts w:hint="eastAsia" w:cs="仿宋" w:asciiTheme="minorEastAsia" w:hAnsiTheme="minorEastAsia" w:eastAsiaTheme="minorEastAsia"/>
          <w:sz w:val="24"/>
        </w:rPr>
        <w:t>月</w:t>
      </w:r>
      <w:r>
        <w:rPr>
          <w:rFonts w:cs="仿宋" w:asciiTheme="minorEastAsia" w:hAnsiTheme="minorEastAsia" w:eastAsiaTheme="minorEastAsia"/>
          <w:sz w:val="24"/>
        </w:rPr>
        <w:t xml:space="preserve">   </w:t>
      </w:r>
      <w:r>
        <w:rPr>
          <w:rFonts w:hint="eastAsia" w:cs="仿宋" w:asciiTheme="minorEastAsia" w:hAnsiTheme="minorEastAsia" w:eastAsiaTheme="minorEastAsia"/>
          <w:sz w:val="24"/>
        </w:rPr>
        <w:t>日</w:t>
      </w:r>
    </w:p>
    <w:p>
      <w:pPr>
        <w:spacing w:line="600" w:lineRule="exact"/>
        <w:jc w:val="center"/>
        <w:outlineLvl w:val="0"/>
        <w:rPr>
          <w:rFonts w:ascii="黑体" w:hAnsi="黑体" w:eastAsia="黑体" w:cs="仿宋"/>
          <w:sz w:val="36"/>
          <w:szCs w:val="36"/>
        </w:rPr>
      </w:pPr>
      <w:r>
        <w:rPr>
          <w:rFonts w:hint="eastAsia" w:cs="仿宋" w:asciiTheme="minorEastAsia" w:hAnsiTheme="minorEastAsia" w:eastAsiaTheme="minorEastAsia"/>
          <w:sz w:val="24"/>
        </w:rPr>
        <w:br w:type="page"/>
      </w:r>
      <w:bookmarkStart w:id="34" w:name="_Toc27960"/>
      <w:r>
        <w:rPr>
          <w:rFonts w:hint="eastAsia" w:ascii="黑体" w:hAnsi="黑体" w:eastAsia="黑体" w:cs="仿宋"/>
          <w:sz w:val="36"/>
          <w:szCs w:val="36"/>
        </w:rPr>
        <w:t>二、授权委托书</w:t>
      </w:r>
      <w:bookmarkEnd w:id="34"/>
    </w:p>
    <w:p>
      <w:pPr>
        <w:adjustRightInd w:val="0"/>
        <w:snapToGrid w:val="0"/>
        <w:spacing w:line="600" w:lineRule="exact"/>
        <w:ind w:left="420" w:left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(适用于有委托代理人的情况)</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本人（姓名）系（供应商名称）的法定代表人(单位负责人)，现委托___(姓名)为我方代理人。代理人根据授权，以我方名义签署、澄清确认、递交、撤回、修改采购项目响应文件，签订合同和处理有关事宜，其法律后果由我方承担。</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委托期限:自本委托书签署之日起至</w:t>
      </w:r>
      <w:r>
        <w:rPr>
          <w:rFonts w:hint="eastAsia" w:cs="仿宋" w:asciiTheme="minorEastAsia" w:hAnsiTheme="minorEastAsia" w:eastAsiaTheme="minorEastAsia"/>
          <w:sz w:val="24"/>
          <w:u w:val="single"/>
        </w:rPr>
        <w:t xml:space="preserve">         </w:t>
      </w:r>
      <w:r>
        <w:rPr>
          <w:rFonts w:hint="eastAsia" w:cs="仿宋" w:asciiTheme="minorEastAsia" w:hAnsiTheme="minorEastAsia" w:eastAsiaTheme="minorEastAsia"/>
          <w:sz w:val="24"/>
        </w:rPr>
        <w:t>采购项目签订采购合同之日止。</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代理人无转委托权。</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附:法定代表人(单位负责人)身份证复印件及委托代理人身份证复印件。</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供应商:(盖单位章)</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法定代表人(单位负责人):(签字)</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身份证号码:</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委托代理人:(签字)</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身份证号码:</w:t>
      </w:r>
    </w:p>
    <w:p>
      <w:pPr>
        <w:adjustRightInd w:val="0"/>
        <w:snapToGrid w:val="0"/>
        <w:spacing w:line="600" w:lineRule="exact"/>
        <w:ind w:left="420" w:leftChars="200"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年_月日</w:t>
      </w:r>
    </w:p>
    <w:p>
      <w:pPr>
        <w:jc w:val="both"/>
        <w:rPr>
          <w:rFonts w:cs="仿宋" w:asciiTheme="minorEastAsia" w:hAnsiTheme="minorEastAsia" w:eastAsiaTheme="minorEastAsia"/>
          <w:sz w:val="24"/>
        </w:rPr>
      </w:pPr>
      <w:r>
        <w:rPr>
          <w:rFonts w:hint="eastAsia" w:cs="仿宋" w:asciiTheme="minorEastAsia" w:hAnsiTheme="minorEastAsia" w:eastAsiaTheme="minorEastAsia"/>
          <w:sz w:val="24"/>
        </w:rPr>
        <w:br w:type="page"/>
      </w:r>
    </w:p>
    <w:p>
      <w:pPr>
        <w:spacing w:line="600" w:lineRule="exact"/>
        <w:jc w:val="center"/>
        <w:outlineLvl w:val="0"/>
        <w:rPr>
          <w:rFonts w:ascii="黑体" w:hAnsi="黑体" w:eastAsia="黑体" w:cs="仿宋"/>
          <w:sz w:val="36"/>
          <w:szCs w:val="36"/>
        </w:rPr>
      </w:pPr>
      <w:bookmarkStart w:id="35" w:name="_Toc21753"/>
      <w:r>
        <w:rPr>
          <w:rFonts w:hint="eastAsia" w:ascii="黑体" w:hAnsi="黑体" w:eastAsia="黑体" w:cs="仿宋"/>
          <w:sz w:val="36"/>
          <w:szCs w:val="36"/>
        </w:rPr>
        <w:t>三、商务和技术偏差表</w:t>
      </w:r>
      <w:bookmarkEnd w:id="35"/>
    </w:p>
    <w:tbl>
      <w:tblPr>
        <w:tblStyle w:val="38"/>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63"/>
        <w:gridCol w:w="2463"/>
        <w:gridCol w:w="2464"/>
        <w:gridCol w:w="2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tcPr>
          <w:p>
            <w:pPr>
              <w:widowControl/>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序号</w:t>
            </w:r>
          </w:p>
        </w:tc>
        <w:tc>
          <w:tcPr>
            <w:tcW w:w="2463" w:type="dxa"/>
          </w:tcPr>
          <w:p>
            <w:pPr>
              <w:widowControl/>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采购文件章节及条款号</w:t>
            </w:r>
          </w:p>
        </w:tc>
        <w:tc>
          <w:tcPr>
            <w:tcW w:w="2464" w:type="dxa"/>
          </w:tcPr>
          <w:p>
            <w:pPr>
              <w:widowControl/>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响应文件章节及条款号</w:t>
            </w:r>
          </w:p>
        </w:tc>
        <w:tc>
          <w:tcPr>
            <w:tcW w:w="2464" w:type="dxa"/>
          </w:tcPr>
          <w:p>
            <w:pPr>
              <w:widowControl/>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偏差说明</w:t>
            </w:r>
          </w:p>
        </w:tc>
      </w:tr>
    </w:tbl>
    <w:p>
      <w:pPr>
        <w:spacing w:line="600" w:lineRule="exact"/>
        <w:ind w:left="420" w:left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供应商保证：除商务和技术偏差表列出的偏差外，供应商响应采购文件的全部要求。</w:t>
      </w:r>
    </w:p>
    <w:p>
      <w:pPr>
        <w:jc w:val="both"/>
        <w:rPr>
          <w:rFonts w:cs="仿宋" w:asciiTheme="minorEastAsia" w:hAnsiTheme="minorEastAsia" w:eastAsiaTheme="minorEastAsia"/>
          <w:sz w:val="24"/>
        </w:rPr>
      </w:pPr>
      <w:r>
        <w:rPr>
          <w:rFonts w:hint="eastAsia" w:cs="仿宋" w:asciiTheme="minorEastAsia" w:hAnsiTheme="minorEastAsia" w:eastAsiaTheme="minorEastAsia"/>
          <w:sz w:val="24"/>
        </w:rPr>
        <w:br w:type="page"/>
      </w:r>
    </w:p>
    <w:p>
      <w:pPr>
        <w:spacing w:line="600" w:lineRule="exact"/>
        <w:ind w:left="420"/>
        <w:jc w:val="center"/>
        <w:outlineLvl w:val="0"/>
        <w:rPr>
          <w:rFonts w:ascii="黑体" w:hAnsi="黑体" w:eastAsia="黑体" w:cs="仿宋"/>
          <w:sz w:val="36"/>
          <w:szCs w:val="36"/>
        </w:rPr>
      </w:pPr>
      <w:bookmarkStart w:id="36" w:name="_Toc15578"/>
      <w:r>
        <w:rPr>
          <w:rFonts w:hint="eastAsia" w:ascii="黑体" w:hAnsi="黑体" w:eastAsia="黑体" w:cs="仿宋"/>
          <w:sz w:val="36"/>
          <w:szCs w:val="36"/>
        </w:rPr>
        <w:t>四、报价</w:t>
      </w:r>
      <w:r>
        <w:rPr>
          <w:rFonts w:hint="eastAsia" w:ascii="黑体" w:hAnsi="黑体" w:eastAsia="黑体" w:cs="仿宋"/>
          <w:sz w:val="36"/>
          <w:szCs w:val="36"/>
          <w:lang w:val="en-US" w:eastAsia="zh-CN"/>
        </w:rPr>
        <w:t>清单</w:t>
      </w:r>
      <w:r>
        <w:rPr>
          <w:rFonts w:hint="eastAsia" w:ascii="黑体" w:hAnsi="黑体" w:eastAsia="黑体" w:cs="仿宋"/>
          <w:sz w:val="36"/>
          <w:szCs w:val="36"/>
        </w:rPr>
        <w:t>表</w:t>
      </w:r>
      <w:bookmarkEnd w:id="36"/>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1.报价表说明</w:t>
      </w:r>
    </w:p>
    <w:p>
      <w:pPr>
        <w:spacing w:line="600" w:lineRule="exact"/>
        <w:jc w:val="both"/>
        <w:rPr>
          <w:rFonts w:hint="eastAsia" w:cs="仿宋" w:asciiTheme="minorEastAsia" w:hAnsiTheme="minorEastAsia" w:eastAsiaTheme="minorEastAsia"/>
          <w:sz w:val="24"/>
          <w:lang w:eastAsia="zh-CN"/>
        </w:rPr>
      </w:pPr>
      <w:r>
        <w:rPr>
          <w:rFonts w:hint="eastAsia" w:cs="仿宋" w:asciiTheme="minorEastAsia" w:hAnsiTheme="minorEastAsia" w:eastAsiaTheme="minorEastAsia"/>
          <w:sz w:val="24"/>
        </w:rPr>
        <w:t>2.报价表</w:t>
      </w:r>
      <w:r>
        <w:rPr>
          <w:rFonts w:hint="eastAsia" w:cs="仿宋" w:asciiTheme="minorEastAsia" w:hAnsiTheme="minorEastAsia" w:eastAsiaTheme="minorEastAsia"/>
          <w:sz w:val="24"/>
          <w:lang w:eastAsia="zh-CN"/>
        </w:rPr>
        <w:t>（</w:t>
      </w:r>
      <w:r>
        <w:rPr>
          <w:rFonts w:hint="eastAsia" w:cs="仿宋" w:asciiTheme="minorEastAsia" w:hAnsiTheme="minorEastAsia" w:eastAsiaTheme="minorEastAsia"/>
          <w:sz w:val="24"/>
          <w:lang w:val="en-US" w:eastAsia="zh-CN"/>
        </w:rPr>
        <w:t>根据第五章采购需求中的城港囤船65-2坞修项目清单编制</w:t>
      </w:r>
      <w:r>
        <w:rPr>
          <w:rFonts w:hint="eastAsia" w:cs="仿宋" w:asciiTheme="minorEastAsia" w:hAnsiTheme="minorEastAsia" w:eastAsiaTheme="minorEastAsia"/>
          <w:sz w:val="24"/>
          <w:lang w:eastAsia="zh-CN"/>
        </w:rPr>
        <w:t>）</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注：若分项费用的计算依据、过程和公式不便在表中表述，可单独另附表格或描述进行说明。</w:t>
      </w:r>
    </w:p>
    <w:p>
      <w:pPr>
        <w:jc w:val="both"/>
        <w:rPr>
          <w:rFonts w:cs="仿宋" w:asciiTheme="minorEastAsia" w:hAnsiTheme="minorEastAsia" w:eastAsiaTheme="minorEastAsia"/>
          <w:sz w:val="24"/>
        </w:rPr>
      </w:pPr>
      <w:r>
        <w:rPr>
          <w:rFonts w:hint="eastAsia" w:cs="仿宋" w:asciiTheme="minorEastAsia" w:hAnsiTheme="minorEastAsia" w:eastAsiaTheme="minorEastAsia"/>
          <w:sz w:val="24"/>
        </w:rPr>
        <w:br w:type="page"/>
      </w:r>
    </w:p>
    <w:p>
      <w:pPr>
        <w:spacing w:line="600" w:lineRule="exact"/>
        <w:jc w:val="center"/>
        <w:outlineLvl w:val="0"/>
        <w:rPr>
          <w:rFonts w:ascii="黑体" w:hAnsi="黑体" w:eastAsia="黑体" w:cs="仿宋"/>
          <w:sz w:val="36"/>
          <w:szCs w:val="36"/>
        </w:rPr>
      </w:pPr>
      <w:bookmarkStart w:id="37" w:name="_Toc18300"/>
      <w:r>
        <w:rPr>
          <w:rFonts w:hint="eastAsia" w:ascii="黑体" w:hAnsi="黑体" w:eastAsia="黑体" w:cs="仿宋"/>
          <w:sz w:val="36"/>
          <w:szCs w:val="36"/>
        </w:rPr>
        <w:t>五、资格审查资料</w:t>
      </w:r>
      <w:bookmarkEnd w:id="37"/>
    </w:p>
    <w:p>
      <w:pPr>
        <w:spacing w:line="600" w:lineRule="exact"/>
        <w:jc w:val="center"/>
        <w:rPr>
          <w:rFonts w:ascii="黑体" w:hAnsi="黑体" w:eastAsia="黑体" w:cs="仿宋"/>
          <w:sz w:val="36"/>
          <w:szCs w:val="36"/>
        </w:rPr>
      </w:pP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（一）基本情况</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供应商应根据供应商须知前附表第3.5（1）项和第3.5（2）项的要求提供主体资格证明及相关资质证明资料（如有要求）。</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供应商还应根据供应商须知前地表第3.5（5）项、第3.5（7）项和第3.5（8）项的要求提供其他相关证明材料（如有要求）。</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（二）近年财务状况</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供应商应根据供应商须知前附表第3.5（3）项的要求提供近年财务会计报表复印件（如有要求）。</w:t>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（三）近年的类似项目情况表</w:t>
      </w:r>
    </w:p>
    <w:tbl>
      <w:tblPr>
        <w:tblStyle w:val="38"/>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0"/>
        <w:gridCol w:w="1971"/>
        <w:gridCol w:w="1971"/>
        <w:gridCol w:w="1971"/>
        <w:gridCol w:w="19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项目名称</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服务内容</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委托人/发包人名称</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委托人/发包人联系人及电话</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合同价格</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服务是否完成</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项目负责人（如有）</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项目概况及供应商履约情况</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rPr>
            </w:pPr>
            <w:r>
              <w:rPr>
                <w:rFonts w:hint="eastAsia" w:cs="仿宋" w:asciiTheme="minorEastAsia" w:hAnsiTheme="minorEastAsia" w:eastAsiaTheme="minorEastAsia"/>
                <w:sz w:val="24"/>
              </w:rPr>
              <w:t>备注</w:t>
            </w: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c>
          <w:tcPr>
            <w:tcW w:w="1971" w:type="dxa"/>
          </w:tcPr>
          <w:p>
            <w:pPr>
              <w:widowControl/>
              <w:spacing w:line="288" w:lineRule="auto"/>
              <w:jc w:val="both"/>
              <w:rPr>
                <w:rFonts w:cs="仿宋" w:asciiTheme="minorEastAsia" w:hAnsiTheme="minorEastAsia" w:eastAsiaTheme="minorEastAsia"/>
                <w:sz w:val="24"/>
              </w:rPr>
            </w:pPr>
          </w:p>
        </w:tc>
      </w:tr>
    </w:tbl>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注：供应商应根据供应商须知前附表第3.5（4）项的要求在本表后附相关证明材料。</w:t>
      </w:r>
    </w:p>
    <w:p>
      <w:pPr>
        <w:jc w:val="both"/>
        <w:rPr>
          <w:rFonts w:cs="仿宋" w:asciiTheme="minorEastAsia" w:hAnsiTheme="minorEastAsia" w:eastAsiaTheme="minorEastAsia"/>
          <w:sz w:val="24"/>
        </w:rPr>
      </w:pPr>
      <w:r>
        <w:rPr>
          <w:rFonts w:hint="eastAsia" w:cs="仿宋" w:asciiTheme="minorEastAsia" w:hAnsiTheme="minorEastAsia" w:eastAsiaTheme="minorEastAsia"/>
          <w:sz w:val="24"/>
        </w:rPr>
        <w:br w:type="page"/>
      </w: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lang w:eastAsia="zh-CN"/>
        </w:rPr>
        <w:t>（</w:t>
      </w:r>
      <w:r>
        <w:rPr>
          <w:rFonts w:hint="eastAsia" w:cs="仿宋" w:asciiTheme="minorEastAsia" w:hAnsiTheme="minorEastAsia" w:eastAsiaTheme="minorEastAsia"/>
          <w:sz w:val="24"/>
          <w:lang w:val="en-US" w:eastAsia="zh-CN"/>
        </w:rPr>
        <w:t>四</w:t>
      </w:r>
      <w:r>
        <w:rPr>
          <w:rFonts w:hint="eastAsia" w:cs="仿宋" w:asciiTheme="minorEastAsia" w:hAnsiTheme="minorEastAsia" w:eastAsiaTheme="minorEastAsia"/>
          <w:sz w:val="24"/>
          <w:lang w:eastAsia="zh-CN"/>
        </w:rPr>
        <w:t>）</w:t>
      </w:r>
      <w:r>
        <w:rPr>
          <w:rFonts w:hint="eastAsia" w:cs="仿宋" w:asciiTheme="minorEastAsia" w:hAnsiTheme="minorEastAsia" w:eastAsiaTheme="minorEastAsia"/>
          <w:sz w:val="24"/>
        </w:rPr>
        <w:t>拟委任的主要人员汇总表</w:t>
      </w:r>
    </w:p>
    <w:tbl>
      <w:tblPr>
        <w:tblStyle w:val="38"/>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095"/>
        <w:gridCol w:w="748"/>
        <w:gridCol w:w="1095"/>
        <w:gridCol w:w="1095"/>
        <w:gridCol w:w="1095"/>
        <w:gridCol w:w="1095"/>
        <w:gridCol w:w="1095"/>
        <w:gridCol w:w="7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r>
              <w:rPr>
                <w:rFonts w:hint="eastAsia" w:cs="仿宋" w:asciiTheme="minorEastAsia" w:hAnsiTheme="minorEastAsia" w:eastAsiaTheme="minorEastAsia"/>
                <w:sz w:val="24"/>
              </w:rPr>
              <w:t>序号</w:t>
            </w:r>
          </w:p>
        </w:tc>
        <w:tc>
          <w:tcPr>
            <w:tcW w:w="1095" w:type="dxa"/>
            <w:vMerge w:val="restart"/>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r>
              <w:rPr>
                <w:rFonts w:hint="eastAsia" w:cs="仿宋" w:asciiTheme="minorEastAsia" w:hAnsiTheme="minorEastAsia" w:eastAsiaTheme="minorEastAsia"/>
                <w:sz w:val="24"/>
              </w:rPr>
              <w:t>本项目任职</w:t>
            </w:r>
          </w:p>
        </w:tc>
        <w:tc>
          <w:tcPr>
            <w:tcW w:w="748" w:type="dxa"/>
            <w:vMerge w:val="restart"/>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r>
              <w:rPr>
                <w:rFonts w:hint="eastAsia" w:cs="仿宋" w:asciiTheme="minorEastAsia" w:hAnsiTheme="minorEastAsia" w:eastAsiaTheme="minorEastAsia"/>
                <w:sz w:val="24"/>
              </w:rPr>
              <w:t>姓名</w:t>
            </w:r>
          </w:p>
        </w:tc>
        <w:tc>
          <w:tcPr>
            <w:tcW w:w="1095" w:type="dxa"/>
            <w:vMerge w:val="restart"/>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r>
              <w:rPr>
                <w:rFonts w:hint="eastAsia" w:cs="仿宋" w:asciiTheme="minorEastAsia" w:hAnsiTheme="minorEastAsia" w:eastAsiaTheme="minorEastAsia"/>
                <w:sz w:val="24"/>
              </w:rPr>
              <w:t>职称</w:t>
            </w:r>
          </w:p>
        </w:tc>
        <w:tc>
          <w:tcPr>
            <w:tcW w:w="1095" w:type="dxa"/>
            <w:vMerge w:val="restart"/>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r>
              <w:rPr>
                <w:rFonts w:hint="eastAsia" w:cs="仿宋" w:asciiTheme="minorEastAsia" w:hAnsiTheme="minorEastAsia" w:eastAsiaTheme="minorEastAsia"/>
                <w:sz w:val="24"/>
              </w:rPr>
              <w:t>专业</w:t>
            </w:r>
          </w:p>
        </w:tc>
        <w:tc>
          <w:tcPr>
            <w:tcW w:w="3285" w:type="dxa"/>
            <w:gridSpan w:val="3"/>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r>
              <w:rPr>
                <w:rFonts w:hint="eastAsia" w:cs="仿宋" w:asciiTheme="minorEastAsia" w:hAnsiTheme="minorEastAsia" w:eastAsiaTheme="minorEastAsia"/>
                <w:sz w:val="24"/>
              </w:rPr>
              <w:t>执业或职业资格证明</w:t>
            </w:r>
          </w:p>
        </w:tc>
        <w:tc>
          <w:tcPr>
            <w:tcW w:w="762" w:type="dxa"/>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r>
              <w:rPr>
                <w:rFonts w:hint="eastAsia" w:cs="仿宋" w:asciiTheme="minorEastAsia" w:hAnsiTheme="minorEastAsia" w:eastAsiaTheme="minorEastAsia"/>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p>
        </w:tc>
        <w:tc>
          <w:tcPr>
            <w:tcW w:w="1095" w:type="dxa"/>
            <w:vMerge w:val="continue"/>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p>
        </w:tc>
        <w:tc>
          <w:tcPr>
            <w:tcW w:w="748" w:type="dxa"/>
            <w:vMerge w:val="continue"/>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p>
        </w:tc>
        <w:tc>
          <w:tcPr>
            <w:tcW w:w="1095" w:type="dxa"/>
            <w:vMerge w:val="continue"/>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p>
        </w:tc>
        <w:tc>
          <w:tcPr>
            <w:tcW w:w="1095" w:type="dxa"/>
            <w:vMerge w:val="continue"/>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r>
              <w:rPr>
                <w:rFonts w:hint="eastAsia" w:cs="仿宋" w:asciiTheme="minorEastAsia" w:hAnsiTheme="minorEastAsia" w:eastAsiaTheme="minorEastAsia"/>
                <w:sz w:val="24"/>
              </w:rPr>
              <w:t>证书名称</w:t>
            </w:r>
          </w:p>
        </w:tc>
        <w:tc>
          <w:tcPr>
            <w:tcW w:w="1095" w:type="dxa"/>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r>
              <w:rPr>
                <w:rFonts w:hint="eastAsia" w:cs="仿宋" w:asciiTheme="minorEastAsia" w:hAnsiTheme="minorEastAsia" w:eastAsiaTheme="minorEastAsia"/>
                <w:sz w:val="24"/>
              </w:rPr>
              <w:t>级别</w:t>
            </w:r>
          </w:p>
        </w:tc>
        <w:tc>
          <w:tcPr>
            <w:tcW w:w="1095" w:type="dxa"/>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r>
              <w:rPr>
                <w:rFonts w:hint="eastAsia" w:cs="仿宋" w:asciiTheme="minorEastAsia" w:hAnsiTheme="minorEastAsia" w:eastAsiaTheme="minorEastAsia"/>
                <w:sz w:val="24"/>
              </w:rPr>
              <w:t>证号</w:t>
            </w:r>
          </w:p>
        </w:tc>
        <w:tc>
          <w:tcPr>
            <w:tcW w:w="762" w:type="dxa"/>
          </w:tcPr>
          <w:p>
            <w:pPr>
              <w:keepNext w:val="0"/>
              <w:keepLines w:val="0"/>
              <w:pageBreakBefore w:val="0"/>
              <w:widowControl/>
              <w:kinsoku/>
              <w:wordWrap/>
              <w:overflowPunct/>
              <w:topLinePunct w:val="0"/>
              <w:autoSpaceDE/>
              <w:autoSpaceDN/>
              <w:bidi w:val="0"/>
              <w:adjustRightInd/>
              <w:snapToGrid/>
              <w:spacing w:line="288" w:lineRule="auto"/>
              <w:jc w:val="left"/>
              <w:textAlignment w:val="auto"/>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748"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762"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748"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762"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748"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762"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748"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762"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748"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1095"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c>
          <w:tcPr>
            <w:tcW w:w="762" w:type="dxa"/>
          </w:tcPr>
          <w:p>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cs="仿宋" w:asciiTheme="minorEastAsia" w:hAnsiTheme="minorEastAsia" w:eastAsiaTheme="minorEastAsia"/>
                <w:sz w:val="24"/>
              </w:rPr>
            </w:pPr>
          </w:p>
        </w:tc>
      </w:tr>
    </w:tbl>
    <w:p>
      <w:pPr>
        <w:jc w:val="both"/>
        <w:rPr>
          <w:rFonts w:asciiTheme="minorEastAsia" w:hAnsiTheme="minorEastAsia" w:eastAsiaTheme="minorEastAsia"/>
          <w:sz w:val="24"/>
        </w:rPr>
      </w:pPr>
      <w:r>
        <w:rPr>
          <w:rFonts w:asciiTheme="minorEastAsia" w:hAnsiTheme="minorEastAsia" w:eastAsiaTheme="minorEastAsia"/>
          <w:sz w:val="24"/>
        </w:rPr>
        <w:br w:type="page"/>
      </w:r>
    </w:p>
    <w:p>
      <w:pPr>
        <w:jc w:val="both"/>
        <w:rPr>
          <w:rFonts w:asciiTheme="minorEastAsia" w:hAnsiTheme="minorEastAsia" w:eastAsiaTheme="minorEastAsia"/>
          <w:sz w:val="24"/>
        </w:rPr>
      </w:pPr>
    </w:p>
    <w:p>
      <w:pPr>
        <w:pStyle w:val="36"/>
      </w:pPr>
    </w:p>
    <w:p>
      <w:pPr>
        <w:pStyle w:val="4"/>
        <w:numPr>
          <w:ilvl w:val="0"/>
          <w:numId w:val="4"/>
        </w:numPr>
        <w:spacing w:before="0" w:after="0" w:line="380" w:lineRule="atLeast"/>
        <w:jc w:val="both"/>
        <w:rPr>
          <w:rFonts w:asciiTheme="minorEastAsia" w:hAnsiTheme="minorEastAsia" w:eastAsiaTheme="minorEastAsia"/>
          <w:b w:val="0"/>
          <w:sz w:val="24"/>
          <w:szCs w:val="24"/>
        </w:rPr>
      </w:pPr>
      <w:bookmarkStart w:id="38" w:name="_Toc16826"/>
      <w:r>
        <w:rPr>
          <w:rFonts w:hint="eastAsia" w:asciiTheme="minorEastAsia" w:hAnsiTheme="minorEastAsia" w:eastAsiaTheme="minorEastAsia"/>
          <w:b w:val="0"/>
          <w:sz w:val="24"/>
          <w:szCs w:val="24"/>
        </w:rPr>
        <w:t>主要人员简</w:t>
      </w:r>
      <w:r>
        <w:rPr>
          <w:rFonts w:asciiTheme="minorEastAsia" w:hAnsiTheme="minorEastAsia" w:eastAsiaTheme="minorEastAsia"/>
          <w:b w:val="0"/>
          <w:sz w:val="24"/>
          <w:szCs w:val="24"/>
        </w:rPr>
        <w:t>历表</w:t>
      </w:r>
      <w:bookmarkEnd w:id="38"/>
    </w:p>
    <w:tbl>
      <w:tblPr>
        <w:tblStyle w:val="37"/>
        <w:tblW w:w="85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371"/>
        <w:gridCol w:w="56"/>
        <w:gridCol w:w="1153"/>
        <w:gridCol w:w="1177"/>
        <w:gridCol w:w="1054"/>
        <w:gridCol w:w="374"/>
        <w:gridCol w:w="1469"/>
        <w:gridCol w:w="428"/>
        <w:gridCol w:w="1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60" w:hRule="atLeast"/>
        </w:trPr>
        <w:tc>
          <w:tcPr>
            <w:tcW w:w="1371" w:type="dxa"/>
            <w:vAlign w:val="center"/>
          </w:tcPr>
          <w:p>
            <w:pPr>
              <w:autoSpaceDE w:val="0"/>
              <w:autoSpaceDN w:val="0"/>
              <w:spacing w:beforeLines="25" w:afterLines="25" w:line="288" w:lineRule="auto"/>
              <w:jc w:val="center"/>
              <w:textAlignment w:val="bottom"/>
              <w:rPr>
                <w:rFonts w:asciiTheme="minorEastAsia" w:hAnsiTheme="minorEastAsia" w:eastAsiaTheme="minorEastAsia"/>
                <w:sz w:val="24"/>
              </w:rPr>
            </w:pPr>
            <w:r>
              <w:rPr>
                <w:rFonts w:asciiTheme="minorEastAsia" w:hAnsiTheme="minorEastAsia" w:eastAsiaTheme="minorEastAsia"/>
                <w:sz w:val="24"/>
              </w:rPr>
              <w:t>姓    名</w:t>
            </w:r>
          </w:p>
        </w:tc>
        <w:tc>
          <w:tcPr>
            <w:tcW w:w="1209" w:type="dxa"/>
            <w:gridSpan w:val="2"/>
            <w:vAlign w:val="center"/>
          </w:tcPr>
          <w:p>
            <w:pPr>
              <w:autoSpaceDE w:val="0"/>
              <w:autoSpaceDN w:val="0"/>
              <w:spacing w:beforeLines="25" w:afterLines="25" w:line="288" w:lineRule="auto"/>
              <w:jc w:val="center"/>
              <w:textAlignment w:val="bottom"/>
              <w:rPr>
                <w:rFonts w:asciiTheme="minorEastAsia" w:hAnsiTheme="minorEastAsia" w:eastAsiaTheme="minorEastAsia"/>
                <w:sz w:val="24"/>
              </w:rPr>
            </w:pPr>
          </w:p>
        </w:tc>
        <w:tc>
          <w:tcPr>
            <w:tcW w:w="1177" w:type="dxa"/>
            <w:vAlign w:val="center"/>
          </w:tcPr>
          <w:p>
            <w:pPr>
              <w:autoSpaceDE w:val="0"/>
              <w:autoSpaceDN w:val="0"/>
              <w:spacing w:beforeLines="25" w:afterLines="25" w:line="288" w:lineRule="auto"/>
              <w:jc w:val="center"/>
              <w:textAlignment w:val="bottom"/>
              <w:rPr>
                <w:rFonts w:asciiTheme="minorEastAsia" w:hAnsiTheme="minorEastAsia" w:eastAsiaTheme="minorEastAsia"/>
                <w:sz w:val="24"/>
              </w:rPr>
            </w:pPr>
            <w:r>
              <w:rPr>
                <w:rFonts w:asciiTheme="minorEastAsia" w:hAnsiTheme="minorEastAsia" w:eastAsiaTheme="minorEastAsia"/>
                <w:sz w:val="24"/>
              </w:rPr>
              <w:t>年    龄</w:t>
            </w:r>
          </w:p>
        </w:tc>
        <w:tc>
          <w:tcPr>
            <w:tcW w:w="1054" w:type="dxa"/>
          </w:tcPr>
          <w:p>
            <w:pPr>
              <w:autoSpaceDE w:val="0"/>
              <w:autoSpaceDN w:val="0"/>
              <w:spacing w:beforeLines="25" w:afterLines="25" w:line="288" w:lineRule="auto"/>
              <w:jc w:val="center"/>
              <w:textAlignment w:val="bottom"/>
              <w:rPr>
                <w:rFonts w:asciiTheme="minorEastAsia" w:hAnsiTheme="minorEastAsia" w:eastAsiaTheme="minorEastAsia"/>
                <w:sz w:val="24"/>
              </w:rPr>
            </w:pPr>
          </w:p>
        </w:tc>
        <w:tc>
          <w:tcPr>
            <w:tcW w:w="1843" w:type="dxa"/>
            <w:gridSpan w:val="2"/>
          </w:tcPr>
          <w:p>
            <w:pPr>
              <w:autoSpaceDE w:val="0"/>
              <w:autoSpaceDN w:val="0"/>
              <w:spacing w:beforeLines="25" w:afterLines="25" w:line="288" w:lineRule="auto"/>
              <w:jc w:val="center"/>
              <w:textAlignment w:val="bottom"/>
              <w:rPr>
                <w:rFonts w:asciiTheme="minorEastAsia" w:hAnsiTheme="minorEastAsia" w:eastAsiaTheme="minorEastAsia"/>
                <w:sz w:val="24"/>
              </w:rPr>
            </w:pPr>
            <w:r>
              <w:rPr>
                <w:rFonts w:hint="eastAsia" w:cs="仿宋" w:asciiTheme="minorEastAsia" w:hAnsiTheme="minorEastAsia" w:eastAsiaTheme="minorEastAsia"/>
                <w:sz w:val="24"/>
              </w:rPr>
              <w:t>执业或职业资格证书名称</w:t>
            </w:r>
          </w:p>
        </w:tc>
        <w:tc>
          <w:tcPr>
            <w:tcW w:w="1853" w:type="dxa"/>
            <w:gridSpan w:val="2"/>
          </w:tcPr>
          <w:p>
            <w:pPr>
              <w:autoSpaceDE w:val="0"/>
              <w:autoSpaceDN w:val="0"/>
              <w:spacing w:beforeLines="25"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371" w:type="dxa"/>
            <w:vAlign w:val="center"/>
          </w:tcPr>
          <w:p>
            <w:pPr>
              <w:autoSpaceDE w:val="0"/>
              <w:autoSpaceDN w:val="0"/>
              <w:spacing w:beforeLines="25" w:afterLines="25" w:line="288" w:lineRule="auto"/>
              <w:jc w:val="center"/>
              <w:textAlignment w:val="bottom"/>
              <w:rPr>
                <w:rFonts w:asciiTheme="minorEastAsia" w:hAnsiTheme="minorEastAsia" w:eastAsiaTheme="minorEastAsia"/>
                <w:sz w:val="24"/>
              </w:rPr>
            </w:pPr>
            <w:r>
              <w:rPr>
                <w:rFonts w:asciiTheme="minorEastAsia" w:hAnsiTheme="minorEastAsia" w:eastAsiaTheme="minorEastAsia"/>
                <w:sz w:val="24"/>
              </w:rPr>
              <w:t>职称</w:t>
            </w:r>
          </w:p>
        </w:tc>
        <w:tc>
          <w:tcPr>
            <w:tcW w:w="1209" w:type="dxa"/>
            <w:gridSpan w:val="2"/>
            <w:vAlign w:val="center"/>
          </w:tcPr>
          <w:p>
            <w:pPr>
              <w:autoSpaceDE w:val="0"/>
              <w:autoSpaceDN w:val="0"/>
              <w:spacing w:beforeLines="25" w:afterLines="25" w:line="288" w:lineRule="auto"/>
              <w:jc w:val="center"/>
              <w:textAlignment w:val="bottom"/>
              <w:rPr>
                <w:rFonts w:asciiTheme="minorEastAsia" w:hAnsiTheme="minorEastAsia" w:eastAsiaTheme="minorEastAsia"/>
                <w:sz w:val="24"/>
              </w:rPr>
            </w:pPr>
          </w:p>
        </w:tc>
        <w:tc>
          <w:tcPr>
            <w:tcW w:w="1177" w:type="dxa"/>
            <w:vAlign w:val="center"/>
          </w:tcPr>
          <w:p>
            <w:pPr>
              <w:autoSpaceDE w:val="0"/>
              <w:autoSpaceDN w:val="0"/>
              <w:spacing w:beforeLines="25" w:afterLines="25" w:line="288" w:lineRule="auto"/>
              <w:jc w:val="center"/>
              <w:textAlignment w:val="bottom"/>
              <w:rPr>
                <w:rFonts w:asciiTheme="minorEastAsia" w:hAnsiTheme="minorEastAsia" w:eastAsiaTheme="minorEastAsia"/>
                <w:sz w:val="24"/>
              </w:rPr>
            </w:pPr>
            <w:r>
              <w:rPr>
                <w:rFonts w:asciiTheme="minorEastAsia" w:hAnsiTheme="minorEastAsia" w:eastAsiaTheme="minorEastAsia"/>
                <w:sz w:val="24"/>
              </w:rPr>
              <w:t>学    历</w:t>
            </w:r>
          </w:p>
        </w:tc>
        <w:tc>
          <w:tcPr>
            <w:tcW w:w="1054" w:type="dxa"/>
          </w:tcPr>
          <w:p>
            <w:pPr>
              <w:autoSpaceDE w:val="0"/>
              <w:autoSpaceDN w:val="0"/>
              <w:spacing w:beforeLines="25" w:afterLines="25" w:line="288" w:lineRule="auto"/>
              <w:jc w:val="center"/>
              <w:textAlignment w:val="bottom"/>
              <w:rPr>
                <w:rFonts w:asciiTheme="minorEastAsia" w:hAnsiTheme="minorEastAsia" w:eastAsiaTheme="minorEastAsia"/>
                <w:sz w:val="24"/>
              </w:rPr>
            </w:pPr>
          </w:p>
        </w:tc>
        <w:tc>
          <w:tcPr>
            <w:tcW w:w="1843" w:type="dxa"/>
            <w:gridSpan w:val="2"/>
          </w:tcPr>
          <w:p>
            <w:pPr>
              <w:autoSpaceDE w:val="0"/>
              <w:autoSpaceDN w:val="0"/>
              <w:spacing w:beforeLines="25" w:afterLines="25" w:line="288" w:lineRule="auto"/>
              <w:jc w:val="center"/>
              <w:textAlignment w:val="bottom"/>
              <w:rPr>
                <w:rFonts w:asciiTheme="minorEastAsia" w:hAnsiTheme="minorEastAsia" w:eastAsiaTheme="minorEastAsia"/>
                <w:sz w:val="24"/>
              </w:rPr>
            </w:pPr>
            <w:r>
              <w:rPr>
                <w:rFonts w:asciiTheme="minorEastAsia" w:hAnsiTheme="minorEastAsia" w:eastAsiaTheme="minorEastAsia"/>
                <w:sz w:val="24"/>
              </w:rPr>
              <w:t>拟在本</w:t>
            </w:r>
            <w:r>
              <w:rPr>
                <w:rFonts w:hint="eastAsia" w:asciiTheme="minorEastAsia" w:hAnsiTheme="minorEastAsia" w:eastAsiaTheme="minorEastAsia"/>
                <w:sz w:val="24"/>
              </w:rPr>
              <w:t>项目</w:t>
            </w:r>
            <w:r>
              <w:rPr>
                <w:rFonts w:asciiTheme="minorEastAsia" w:hAnsiTheme="minorEastAsia" w:eastAsiaTheme="minorEastAsia"/>
                <w:sz w:val="24"/>
              </w:rPr>
              <w:t>任职</w:t>
            </w:r>
          </w:p>
        </w:tc>
        <w:tc>
          <w:tcPr>
            <w:tcW w:w="1853" w:type="dxa"/>
            <w:gridSpan w:val="2"/>
          </w:tcPr>
          <w:p>
            <w:pPr>
              <w:autoSpaceDE w:val="0"/>
              <w:autoSpaceDN w:val="0"/>
              <w:spacing w:beforeLines="25"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371" w:type="dxa"/>
            <w:vAlign w:val="center"/>
          </w:tcPr>
          <w:p>
            <w:pPr>
              <w:autoSpaceDE w:val="0"/>
              <w:autoSpaceDN w:val="0"/>
              <w:spacing w:beforeLines="25" w:afterLines="25" w:line="288" w:lineRule="auto"/>
              <w:jc w:val="center"/>
              <w:textAlignment w:val="bottom"/>
              <w:rPr>
                <w:rFonts w:asciiTheme="minorEastAsia" w:hAnsiTheme="minorEastAsia" w:eastAsiaTheme="minorEastAsia"/>
                <w:sz w:val="24"/>
              </w:rPr>
            </w:pPr>
            <w:r>
              <w:rPr>
                <w:rFonts w:asciiTheme="minorEastAsia" w:hAnsiTheme="minorEastAsia" w:eastAsiaTheme="minorEastAsia"/>
                <w:sz w:val="24"/>
              </w:rPr>
              <w:t>工作年限</w:t>
            </w:r>
          </w:p>
        </w:tc>
        <w:tc>
          <w:tcPr>
            <w:tcW w:w="3440" w:type="dxa"/>
            <w:gridSpan w:val="4"/>
            <w:vAlign w:val="center"/>
          </w:tcPr>
          <w:p>
            <w:pPr>
              <w:autoSpaceDE w:val="0"/>
              <w:autoSpaceDN w:val="0"/>
              <w:spacing w:beforeLines="25" w:afterLines="25" w:line="288" w:lineRule="auto"/>
              <w:jc w:val="center"/>
              <w:textAlignment w:val="bottom"/>
              <w:rPr>
                <w:rFonts w:asciiTheme="minorEastAsia" w:hAnsiTheme="minorEastAsia" w:eastAsiaTheme="minorEastAsia"/>
                <w:sz w:val="24"/>
              </w:rPr>
            </w:pPr>
          </w:p>
        </w:tc>
        <w:tc>
          <w:tcPr>
            <w:tcW w:w="1843" w:type="dxa"/>
            <w:gridSpan w:val="2"/>
            <w:vAlign w:val="center"/>
          </w:tcPr>
          <w:p>
            <w:pPr>
              <w:autoSpaceDE w:val="0"/>
              <w:autoSpaceDN w:val="0"/>
              <w:spacing w:beforeLines="25" w:afterLines="25" w:line="288" w:lineRule="auto"/>
              <w:jc w:val="center"/>
              <w:textAlignment w:val="bottom"/>
              <w:rPr>
                <w:rFonts w:asciiTheme="minorEastAsia" w:hAnsiTheme="minorEastAsia" w:eastAsiaTheme="minorEastAsia"/>
                <w:sz w:val="24"/>
              </w:rPr>
            </w:pPr>
            <w:r>
              <w:rPr>
                <w:rFonts w:hint="eastAsia" w:asciiTheme="minorEastAsia" w:hAnsiTheme="minorEastAsia" w:eastAsiaTheme="minorEastAsia"/>
                <w:sz w:val="24"/>
              </w:rPr>
              <w:t>从事</w:t>
            </w:r>
            <w:r>
              <w:rPr>
                <w:rFonts w:asciiTheme="minorEastAsia" w:hAnsiTheme="minorEastAsia" w:eastAsiaTheme="minorEastAsia"/>
                <w:sz w:val="24"/>
              </w:rPr>
              <w:t>类似</w:t>
            </w:r>
            <w:r>
              <w:rPr>
                <w:rFonts w:hint="eastAsia" w:asciiTheme="minorEastAsia" w:hAnsiTheme="minorEastAsia" w:eastAsiaTheme="minorEastAsia"/>
                <w:sz w:val="24"/>
              </w:rPr>
              <w:t>工作</w:t>
            </w:r>
            <w:r>
              <w:rPr>
                <w:rFonts w:asciiTheme="minorEastAsia" w:hAnsiTheme="minorEastAsia" w:eastAsiaTheme="minorEastAsia"/>
                <w:sz w:val="24"/>
              </w:rPr>
              <w:t>年限</w:t>
            </w:r>
          </w:p>
        </w:tc>
        <w:tc>
          <w:tcPr>
            <w:tcW w:w="1853" w:type="dxa"/>
            <w:gridSpan w:val="2"/>
          </w:tcPr>
          <w:p>
            <w:pPr>
              <w:autoSpaceDE w:val="0"/>
              <w:autoSpaceDN w:val="0"/>
              <w:spacing w:beforeLines="25"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03" w:hRule="atLeast"/>
        </w:trPr>
        <w:tc>
          <w:tcPr>
            <w:tcW w:w="1371" w:type="dxa"/>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r>
              <w:rPr>
                <w:rFonts w:asciiTheme="minorEastAsia" w:hAnsiTheme="minorEastAsia" w:eastAsiaTheme="minorEastAsia"/>
                <w:sz w:val="24"/>
              </w:rPr>
              <w:t>毕业学校</w:t>
            </w:r>
          </w:p>
        </w:tc>
        <w:tc>
          <w:tcPr>
            <w:tcW w:w="7136" w:type="dxa"/>
            <w:gridSpan w:val="8"/>
            <w:vAlign w:val="center"/>
          </w:tcPr>
          <w:p>
            <w:pPr>
              <w:autoSpaceDE w:val="0"/>
              <w:autoSpaceDN w:val="0"/>
              <w:spacing w:beforeLines="25" w:afterLines="25" w:line="288" w:lineRule="auto"/>
              <w:ind w:left="53" w:leftChars="-89" w:hanging="240" w:hangingChars="100"/>
              <w:jc w:val="both"/>
              <w:textAlignment w:val="bottom"/>
              <w:rPr>
                <w:rFonts w:asciiTheme="minorEastAsia" w:hAnsiTheme="minorEastAsia" w:eastAsiaTheme="minorEastAsia"/>
                <w:sz w:val="24"/>
              </w:rPr>
            </w:pPr>
            <w:r>
              <w:rPr>
                <w:rFonts w:asciiTheme="minorEastAsia" w:hAnsiTheme="minorEastAsia" w:eastAsiaTheme="minorEastAsia"/>
                <w:sz w:val="24"/>
              </w:rPr>
              <w:t>______年___月毕业于___________________学校___________专业，学制______年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8507" w:type="dxa"/>
            <w:gridSpan w:val="9"/>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r>
              <w:rPr>
                <w:rFonts w:hint="eastAsia" w:asciiTheme="minorEastAsia" w:hAnsiTheme="minorEastAsia" w:eastAsiaTheme="minorEastAsia"/>
                <w:sz w:val="24"/>
              </w:rPr>
              <w:t>主要工作</w:t>
            </w:r>
            <w:r>
              <w:rPr>
                <w:rFonts w:asciiTheme="minorEastAsia" w:hAnsiTheme="minorEastAsia" w:eastAsiaTheme="minorEastAsia"/>
                <w:sz w:val="24"/>
              </w:rPr>
              <w:t>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r>
              <w:rPr>
                <w:rFonts w:asciiTheme="minorEastAsia" w:hAnsiTheme="minorEastAsia" w:eastAsiaTheme="minorEastAsia"/>
                <w:sz w:val="24"/>
              </w:rPr>
              <w:t>时  间</w:t>
            </w:r>
          </w:p>
        </w:tc>
        <w:tc>
          <w:tcPr>
            <w:tcW w:w="3758" w:type="dxa"/>
            <w:gridSpan w:val="4"/>
            <w:vAlign w:val="center"/>
          </w:tcPr>
          <w:p>
            <w:pPr>
              <w:pStyle w:val="180"/>
              <w:adjustRightInd/>
              <w:snapToGrid/>
              <w:spacing w:beforeLines="25" w:afterLines="25" w:line="288" w:lineRule="auto"/>
              <w:jc w:val="both"/>
              <w:textAlignment w:val="bottom"/>
              <w:rPr>
                <w:rFonts w:asciiTheme="minorEastAsia" w:hAnsiTheme="minorEastAsia" w:eastAsiaTheme="minorEastAsia"/>
                <w:spacing w:val="0"/>
                <w:kern w:val="2"/>
                <w:sz w:val="24"/>
                <w:szCs w:val="24"/>
              </w:rPr>
            </w:pPr>
            <w:r>
              <w:rPr>
                <w:rFonts w:asciiTheme="minorEastAsia" w:hAnsiTheme="minorEastAsia" w:eastAsiaTheme="minorEastAsia"/>
                <w:spacing w:val="0"/>
                <w:kern w:val="2"/>
                <w:sz w:val="24"/>
                <w:szCs w:val="24"/>
              </w:rPr>
              <w:t>参加过的类似项目</w:t>
            </w:r>
          </w:p>
        </w:tc>
        <w:tc>
          <w:tcPr>
            <w:tcW w:w="1897" w:type="dxa"/>
            <w:gridSpan w:val="2"/>
            <w:vAlign w:val="center"/>
          </w:tcPr>
          <w:p>
            <w:pPr>
              <w:pStyle w:val="180"/>
              <w:adjustRightInd/>
              <w:snapToGrid/>
              <w:spacing w:beforeLines="25" w:afterLines="25" w:line="288" w:lineRule="auto"/>
              <w:jc w:val="both"/>
              <w:textAlignment w:val="bottom"/>
              <w:rPr>
                <w:rFonts w:asciiTheme="minorEastAsia" w:hAnsiTheme="minorEastAsia" w:eastAsiaTheme="minorEastAsia"/>
                <w:spacing w:val="0"/>
                <w:kern w:val="2"/>
                <w:sz w:val="24"/>
                <w:szCs w:val="24"/>
              </w:rPr>
            </w:pPr>
            <w:r>
              <w:rPr>
                <w:rFonts w:asciiTheme="minorEastAsia" w:hAnsiTheme="minorEastAsia" w:eastAsiaTheme="minorEastAsia"/>
                <w:spacing w:val="0"/>
                <w:kern w:val="2"/>
                <w:sz w:val="24"/>
                <w:szCs w:val="24"/>
              </w:rPr>
              <w:t>担任职务</w:t>
            </w:r>
          </w:p>
        </w:tc>
        <w:tc>
          <w:tcPr>
            <w:tcW w:w="1425" w:type="dxa"/>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r>
              <w:rPr>
                <w:rFonts w:asciiTheme="minorEastAsia" w:hAnsiTheme="minorEastAsia" w:eastAsiaTheme="minorEastAsia"/>
                <w:sz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3758" w:type="dxa"/>
            <w:gridSpan w:val="4"/>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1897" w:type="dxa"/>
            <w:gridSpan w:val="2"/>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1425" w:type="dxa"/>
          </w:tcPr>
          <w:p>
            <w:pPr>
              <w:autoSpaceDE w:val="0"/>
              <w:autoSpaceDN w:val="0"/>
              <w:spacing w:beforeLines="25"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3758" w:type="dxa"/>
            <w:gridSpan w:val="4"/>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1897" w:type="dxa"/>
            <w:gridSpan w:val="2"/>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1425" w:type="dxa"/>
          </w:tcPr>
          <w:p>
            <w:pPr>
              <w:autoSpaceDE w:val="0"/>
              <w:autoSpaceDN w:val="0"/>
              <w:spacing w:beforeLines="25"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3758" w:type="dxa"/>
            <w:gridSpan w:val="4"/>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1897" w:type="dxa"/>
            <w:gridSpan w:val="2"/>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1425" w:type="dxa"/>
          </w:tcPr>
          <w:p>
            <w:pPr>
              <w:autoSpaceDE w:val="0"/>
              <w:autoSpaceDN w:val="0"/>
              <w:spacing w:beforeLines="25"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3758" w:type="dxa"/>
            <w:gridSpan w:val="4"/>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1897" w:type="dxa"/>
            <w:gridSpan w:val="2"/>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1425" w:type="dxa"/>
          </w:tcPr>
          <w:p>
            <w:pPr>
              <w:autoSpaceDE w:val="0"/>
              <w:autoSpaceDN w:val="0"/>
              <w:spacing w:beforeLines="25"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3758" w:type="dxa"/>
            <w:gridSpan w:val="4"/>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1897" w:type="dxa"/>
            <w:gridSpan w:val="2"/>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1425" w:type="dxa"/>
          </w:tcPr>
          <w:p>
            <w:pPr>
              <w:autoSpaceDE w:val="0"/>
              <w:autoSpaceDN w:val="0"/>
              <w:spacing w:beforeLines="25"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3758" w:type="dxa"/>
            <w:gridSpan w:val="4"/>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1897" w:type="dxa"/>
            <w:gridSpan w:val="2"/>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1425" w:type="dxa"/>
          </w:tcPr>
          <w:p>
            <w:pPr>
              <w:autoSpaceDE w:val="0"/>
              <w:autoSpaceDN w:val="0"/>
              <w:spacing w:beforeLines="25" w:afterLines="25" w:line="288" w:lineRule="auto"/>
              <w:jc w:val="both"/>
              <w:textAlignment w:val="bottom"/>
              <w:rPr>
                <w:rFonts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3758" w:type="dxa"/>
            <w:gridSpan w:val="4"/>
            <w:vAlign w:val="center"/>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1897" w:type="dxa"/>
            <w:gridSpan w:val="2"/>
          </w:tcPr>
          <w:p>
            <w:pPr>
              <w:autoSpaceDE w:val="0"/>
              <w:autoSpaceDN w:val="0"/>
              <w:spacing w:beforeLines="25" w:afterLines="25" w:line="288" w:lineRule="auto"/>
              <w:jc w:val="both"/>
              <w:textAlignment w:val="bottom"/>
              <w:rPr>
                <w:rFonts w:asciiTheme="minorEastAsia" w:hAnsiTheme="minorEastAsia" w:eastAsiaTheme="minorEastAsia"/>
                <w:sz w:val="24"/>
              </w:rPr>
            </w:pPr>
          </w:p>
        </w:tc>
        <w:tc>
          <w:tcPr>
            <w:tcW w:w="1425" w:type="dxa"/>
          </w:tcPr>
          <w:p>
            <w:pPr>
              <w:autoSpaceDE w:val="0"/>
              <w:autoSpaceDN w:val="0"/>
              <w:spacing w:beforeLines="25" w:afterLines="25" w:line="288" w:lineRule="auto"/>
              <w:jc w:val="both"/>
              <w:textAlignment w:val="bottom"/>
              <w:rPr>
                <w:rFonts w:asciiTheme="minorEastAsia" w:hAnsiTheme="minorEastAsia" w:eastAsiaTheme="minorEastAsia"/>
                <w:sz w:val="24"/>
              </w:rPr>
            </w:pPr>
          </w:p>
        </w:tc>
      </w:tr>
    </w:tbl>
    <w:p>
      <w:pPr>
        <w:numPr>
          <w:ilvl w:val="0"/>
          <w:numId w:val="0"/>
        </w:numPr>
      </w:pPr>
    </w:p>
    <w:p>
      <w:pPr>
        <w:spacing w:line="600" w:lineRule="exact"/>
        <w:jc w:val="both"/>
        <w:rPr>
          <w:rFonts w:cs="仿宋" w:asciiTheme="minorEastAsia" w:hAnsiTheme="minorEastAsia" w:eastAsiaTheme="minorEastAsia"/>
          <w:sz w:val="24"/>
        </w:rPr>
      </w:pPr>
      <w:r>
        <w:rPr>
          <w:rFonts w:hint="eastAsia" w:cs="仿宋" w:asciiTheme="minorEastAsia" w:hAnsiTheme="minorEastAsia" w:eastAsiaTheme="minorEastAsia"/>
          <w:sz w:val="24"/>
        </w:rPr>
        <w:t>注：供应商应根据供应商须知前附表第3.5（6）项的要求在本表后附相关证明材料。</w:t>
      </w:r>
    </w:p>
    <w:p>
      <w:pPr>
        <w:jc w:val="both"/>
        <w:rPr>
          <w:rFonts w:cs="仿宋" w:asciiTheme="minorEastAsia" w:hAnsiTheme="minorEastAsia" w:eastAsiaTheme="minorEastAsia"/>
          <w:sz w:val="24"/>
        </w:rPr>
      </w:pPr>
      <w:r>
        <w:rPr>
          <w:rFonts w:hint="eastAsia" w:cs="仿宋" w:asciiTheme="minorEastAsia" w:hAnsiTheme="minorEastAsia" w:eastAsiaTheme="minorEastAsia"/>
          <w:sz w:val="24"/>
        </w:rPr>
        <w:br w:type="page"/>
      </w:r>
    </w:p>
    <w:p>
      <w:pPr>
        <w:adjustRightInd w:val="0"/>
        <w:snapToGrid w:val="0"/>
        <w:spacing w:line="600" w:lineRule="exact"/>
        <w:jc w:val="center"/>
        <w:outlineLvl w:val="0"/>
        <w:rPr>
          <w:rFonts w:ascii="黑体" w:hAnsi="黑体" w:eastAsia="黑体" w:cs="仿宋"/>
          <w:sz w:val="36"/>
          <w:szCs w:val="36"/>
        </w:rPr>
      </w:pPr>
      <w:bookmarkStart w:id="39" w:name="_Toc8638"/>
      <w:r>
        <w:rPr>
          <w:rFonts w:hint="eastAsia" w:ascii="黑体" w:hAnsi="黑体" w:eastAsia="黑体" w:cs="仿宋"/>
          <w:sz w:val="36"/>
          <w:szCs w:val="36"/>
        </w:rPr>
        <w:t>六、响应方案</w:t>
      </w:r>
      <w:bookmarkEnd w:id="39"/>
    </w:p>
    <w:p>
      <w:pPr>
        <w:adjustRightInd w:val="0"/>
        <w:snapToGrid w:val="0"/>
        <w:spacing w:line="600" w:lineRule="exact"/>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响应方案一般包括(但不限于)下列内容:</w:t>
      </w:r>
    </w:p>
    <w:p>
      <w:pPr>
        <w:adjustRightInd w:val="0"/>
        <w:snapToGrid w:val="0"/>
        <w:spacing w:line="600" w:lineRule="exact"/>
        <w:ind w:firstLine="720" w:firstLineChars="300"/>
        <w:jc w:val="both"/>
        <w:rPr>
          <w:rFonts w:cs="仿宋" w:asciiTheme="minorEastAsia" w:hAnsiTheme="minorEastAsia" w:eastAsiaTheme="minorEastAsia"/>
          <w:sz w:val="24"/>
        </w:rPr>
      </w:pPr>
      <w:r>
        <w:rPr>
          <w:rFonts w:hint="eastAsia" w:cs="仿宋" w:asciiTheme="minorEastAsia" w:hAnsiTheme="minorEastAsia" w:eastAsiaTheme="minorEastAsia"/>
          <w:sz w:val="24"/>
        </w:rPr>
        <w:t>(1)对项目的理解;</w:t>
      </w:r>
    </w:p>
    <w:p>
      <w:pPr>
        <w:adjustRightInd w:val="0"/>
        <w:snapToGrid w:val="0"/>
        <w:spacing w:line="600" w:lineRule="exact"/>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(2)服务范围及内容;</w:t>
      </w:r>
    </w:p>
    <w:p>
      <w:pPr>
        <w:adjustRightInd w:val="0"/>
        <w:snapToGrid w:val="0"/>
        <w:spacing w:line="600" w:lineRule="exact"/>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(3)服务工作的依据、工作目标;</w:t>
      </w:r>
    </w:p>
    <w:p>
      <w:pPr>
        <w:adjustRightInd w:val="0"/>
        <w:snapToGrid w:val="0"/>
        <w:spacing w:line="600" w:lineRule="exact"/>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(4)服务机构设置(框图)、岗位职责;</w:t>
      </w:r>
    </w:p>
    <w:p>
      <w:pPr>
        <w:adjustRightInd w:val="0"/>
        <w:snapToGrid w:val="0"/>
        <w:spacing w:line="600" w:lineRule="exact"/>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(5)拟投入本项目的服务人员及主要人员简历;</w:t>
      </w:r>
    </w:p>
    <w:p>
      <w:pPr>
        <w:adjustRightInd w:val="0"/>
        <w:snapToGrid w:val="0"/>
        <w:spacing w:line="600" w:lineRule="exact"/>
        <w:ind w:firstLine="720" w:firstLineChars="300"/>
        <w:jc w:val="both"/>
        <w:rPr>
          <w:rFonts w:cs="仿宋" w:asciiTheme="minorEastAsia" w:hAnsiTheme="minorEastAsia" w:eastAsiaTheme="minorEastAsia"/>
          <w:sz w:val="24"/>
        </w:rPr>
      </w:pPr>
      <w:r>
        <w:rPr>
          <w:rFonts w:hint="eastAsia" w:cs="仿宋" w:asciiTheme="minorEastAsia" w:hAnsiTheme="minorEastAsia" w:eastAsiaTheme="minorEastAsia"/>
          <w:sz w:val="24"/>
        </w:rPr>
        <w:t>(6)拟分包计划及情况说明（本项目不允许分包）;</w:t>
      </w:r>
    </w:p>
    <w:p>
      <w:pPr>
        <w:adjustRightInd w:val="0"/>
        <w:snapToGrid w:val="0"/>
        <w:spacing w:line="600" w:lineRule="exact"/>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(7)服务质量、进度、保密等保证措施;</w:t>
      </w:r>
    </w:p>
    <w:p>
      <w:pPr>
        <w:adjustRightInd w:val="0"/>
        <w:snapToGrid w:val="0"/>
        <w:spacing w:line="600" w:lineRule="exact"/>
        <w:ind w:firstLine="480" w:firstLine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 xml:space="preserve">  (8)服务工作重点、难点分析;</w:t>
      </w:r>
    </w:p>
    <w:p>
      <w:pPr>
        <w:adjustRightInd w:val="0"/>
        <w:snapToGrid w:val="0"/>
        <w:spacing w:line="600" w:lineRule="exact"/>
        <w:ind w:firstLine="720" w:firstLineChars="300"/>
        <w:jc w:val="both"/>
        <w:rPr>
          <w:rFonts w:cs="仿宋" w:asciiTheme="minorEastAsia" w:hAnsiTheme="minorEastAsia" w:eastAsiaTheme="minorEastAsia"/>
          <w:sz w:val="24"/>
        </w:rPr>
      </w:pPr>
      <w:r>
        <w:rPr>
          <w:rFonts w:hint="eastAsia" w:cs="仿宋" w:asciiTheme="minorEastAsia" w:hAnsiTheme="minorEastAsia" w:eastAsiaTheme="minorEastAsia"/>
          <w:sz w:val="24"/>
        </w:rPr>
        <w:t>(9)对本项目的合理化建议。</w:t>
      </w:r>
    </w:p>
    <w:p>
      <w:pPr>
        <w:jc w:val="both"/>
        <w:rPr>
          <w:rFonts w:cs="仿宋" w:asciiTheme="minorEastAsia" w:hAnsiTheme="minorEastAsia" w:eastAsiaTheme="minorEastAsia"/>
          <w:sz w:val="24"/>
        </w:rPr>
      </w:pPr>
      <w:r>
        <w:rPr>
          <w:rFonts w:hint="eastAsia" w:cs="仿宋" w:asciiTheme="minorEastAsia" w:hAnsiTheme="minorEastAsia" w:eastAsiaTheme="minorEastAsia"/>
          <w:sz w:val="24"/>
        </w:rPr>
        <w:br w:type="page"/>
      </w:r>
    </w:p>
    <w:p>
      <w:pPr>
        <w:adjustRightInd w:val="0"/>
        <w:snapToGrid w:val="0"/>
        <w:spacing w:line="600" w:lineRule="exact"/>
        <w:jc w:val="center"/>
        <w:outlineLvl w:val="0"/>
        <w:rPr>
          <w:rFonts w:ascii="黑体" w:hAnsi="黑体" w:eastAsia="黑体" w:cs="仿宋"/>
          <w:sz w:val="36"/>
          <w:szCs w:val="36"/>
        </w:rPr>
      </w:pPr>
      <w:bookmarkStart w:id="40" w:name="_Toc32229"/>
      <w:r>
        <w:rPr>
          <w:rFonts w:hint="eastAsia" w:ascii="黑体" w:hAnsi="黑体" w:eastAsia="黑体" w:cs="仿宋"/>
          <w:sz w:val="36"/>
          <w:szCs w:val="36"/>
        </w:rPr>
        <w:t>七、其他资料</w:t>
      </w:r>
      <w:bookmarkEnd w:id="40"/>
    </w:p>
    <w:p>
      <w:pPr>
        <w:adjustRightInd w:val="0"/>
        <w:snapToGrid w:val="0"/>
        <w:spacing w:line="600" w:lineRule="exact"/>
        <w:ind w:left="420" w:leftChars="200"/>
        <w:jc w:val="both"/>
        <w:rPr>
          <w:rFonts w:cs="仿宋" w:asciiTheme="minorEastAsia" w:hAnsiTheme="minorEastAsia" w:eastAsiaTheme="minorEastAsia"/>
          <w:sz w:val="24"/>
        </w:rPr>
      </w:pPr>
    </w:p>
    <w:p>
      <w:pPr>
        <w:adjustRightInd w:val="0"/>
        <w:snapToGrid w:val="0"/>
        <w:spacing w:line="600" w:lineRule="exact"/>
        <w:ind w:left="420" w:leftChars="200"/>
        <w:jc w:val="both"/>
        <w:rPr>
          <w:rFonts w:cs="仿宋" w:asciiTheme="minorEastAsia" w:hAnsiTheme="minorEastAsia" w:eastAsiaTheme="minorEastAsia"/>
          <w:sz w:val="24"/>
        </w:rPr>
      </w:pPr>
      <w:r>
        <w:rPr>
          <w:rFonts w:hint="eastAsia" w:cs="仿宋" w:asciiTheme="minorEastAsia" w:hAnsiTheme="minorEastAsia" w:eastAsiaTheme="minorEastAsia"/>
          <w:sz w:val="24"/>
        </w:rPr>
        <w:t>供应商需提交的其他资料。</w:t>
      </w:r>
    </w:p>
    <w:p>
      <w:pPr>
        <w:spacing w:line="240" w:lineRule="auto"/>
        <w:jc w:val="both"/>
        <w:rPr>
          <w:rFonts w:cs="仿宋" w:asciiTheme="minorEastAsia" w:hAnsiTheme="minorEastAsia" w:eastAsiaTheme="minorEastAsia"/>
          <w:sz w:val="24"/>
        </w:rPr>
      </w:pPr>
      <w:r>
        <w:rPr>
          <w:rFonts w:cs="仿宋" w:asciiTheme="minorEastAsia" w:hAnsiTheme="minorEastAsia" w:eastAsiaTheme="minorEastAsia"/>
          <w:sz w:val="24"/>
        </w:rPr>
        <w:br w:type="page"/>
      </w:r>
    </w:p>
    <w:bookmarkEnd w:id="1"/>
    <w:p>
      <w:pPr>
        <w:jc w:val="both"/>
        <w:rPr>
          <w:rFonts w:asciiTheme="minorEastAsia" w:hAnsiTheme="minorEastAsia" w:eastAsiaTheme="minorEastAsia"/>
          <w:sz w:val="24"/>
        </w:rPr>
      </w:pPr>
    </w:p>
    <w:sectPr>
      <w:footerReference r:id="rId5" w:type="default"/>
      <w:pgSz w:w="11906" w:h="16838"/>
      <w:pgMar w:top="1797" w:right="1440" w:bottom="1797" w:left="1440" w:header="907" w:footer="1344" w:gutter="0"/>
      <w:pgNumType w:start="1"/>
      <w:cols w:space="720" w:num="1"/>
      <w:vAlign w:val="both"/>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Wingdings 2">
    <w:panose1 w:val="05020102010507070707"/>
    <w:charset w:val="02"/>
    <w:family w:val="decorative"/>
    <w:pitch w:val="default"/>
    <w:sig w:usb0="00000000" w:usb1="00000000" w:usb2="00000000" w:usb3="00000000" w:csb0="80000000" w:csb1="00000000"/>
  </w:font>
  <w:font w:name="GulimChe">
    <w:altName w:val="Malgun Gothic"/>
    <w:panose1 w:val="00000000000000000000"/>
    <w:charset w:val="81"/>
    <w:family w:val="modern"/>
    <w:pitch w:val="default"/>
    <w:sig w:usb0="00000000" w:usb1="00000000" w:usb2="00000030" w:usb3="00000000" w:csb0="0008009F" w:csb1="00000000"/>
  </w:font>
  <w:font w:name="Malgun Gothic">
    <w:panose1 w:val="020B0503020000020004"/>
    <w:charset w:val="81"/>
    <w:family w:val="auto"/>
    <w:pitch w:val="default"/>
    <w:sig w:usb0="9000002F" w:usb1="29D77CFB" w:usb2="00000012" w:usb3="00000000" w:csb0="00080001" w:csb1="00000000"/>
  </w:font>
  <w:font w:name="方正小标宋_GBK">
    <w:altName w:val="微软雅黑"/>
    <w:panose1 w:val="00000000000000000000"/>
    <w:charset w:val="86"/>
    <w:family w:val="auto"/>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561331"/>
    </w:sdtPr>
    <w:sdtEndPr>
      <w:rPr>
        <w:sz w:val="20"/>
      </w:rPr>
    </w:sdtEndPr>
    <w:sdtContent>
      <w:p>
        <w:pPr>
          <w:pStyle w:val="22"/>
          <w:spacing w:before="120" w:after="120"/>
          <w:jc w:val="center"/>
        </w:pPr>
        <w:r>
          <w:rPr>
            <w:sz w:val="20"/>
          </w:rPr>
          <w:fldChar w:fldCharType="begin"/>
        </w:r>
        <w:r>
          <w:rPr>
            <w:sz w:val="20"/>
          </w:rPr>
          <w:instrText xml:space="preserve"> PAGE   \* MERGEFORMAT </w:instrText>
        </w:r>
        <w:r>
          <w:rPr>
            <w:sz w:val="20"/>
          </w:rPr>
          <w:fldChar w:fldCharType="separate"/>
        </w:r>
        <w:r>
          <w:rPr>
            <w:sz w:val="20"/>
            <w:lang w:val="zh-CN"/>
          </w:rPr>
          <w:t>9</w:t>
        </w:r>
        <w:r>
          <w:rPr>
            <w:sz w:val="20"/>
          </w:rPr>
          <w:fldChar w:fldCharType="end"/>
        </w:r>
      </w:p>
    </w:sdtContent>
  </w:sdt>
  <w:p>
    <w:pPr>
      <w:pStyle w:val="2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6">
    <w:p>
      <w:pPr>
        <w:spacing w:line="240" w:lineRule="auto"/>
      </w:pPr>
      <w:r>
        <w:separator/>
      </w:r>
    </w:p>
  </w:footnote>
  <w:footnote w:type="continuationSeparator" w:id="7">
    <w:p>
      <w:pPr>
        <w:spacing w:line="240" w:lineRule="auto"/>
      </w:pPr>
      <w:r>
        <w:continuationSeparator/>
      </w:r>
    </w:p>
  </w:footnote>
  <w:footnote w:id="0">
    <w:p>
      <w:pPr>
        <w:pStyle w:val="27"/>
        <w:spacing w:line="280" w:lineRule="atLeast"/>
        <w:ind w:left="0" w:firstLine="0"/>
      </w:pPr>
    </w:p>
  </w:footnote>
  <w:footnote w:id="1">
    <w:p>
      <w:pPr>
        <w:pStyle w:val="27"/>
        <w:ind w:left="0" w:leftChars="0" w:firstLine="0" w:firstLineChars="0"/>
        <w:rPr>
          <w:sz w:val="24"/>
          <w:szCs w:val="24"/>
        </w:rPr>
      </w:pPr>
    </w:p>
  </w:footnote>
  <w:footnote w:id="2">
    <w:p>
      <w:pPr>
        <w:pStyle w:val="27"/>
        <w:ind w:left="0" w:leftChars="0" w:firstLine="0" w:firstLineChars="0"/>
        <w:rPr>
          <w:sz w:val="24"/>
          <w:szCs w:val="24"/>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3ECED67"/>
    <w:multiLevelType w:val="singleLevel"/>
    <w:tmpl w:val="03ECED67"/>
    <w:lvl w:ilvl="0" w:tentative="0">
      <w:start w:val="4"/>
      <w:numFmt w:val="decimal"/>
      <w:lvlText w:val="%1."/>
      <w:lvlJc w:val="left"/>
      <w:pPr>
        <w:tabs>
          <w:tab w:val="left" w:pos="312"/>
        </w:tabs>
      </w:pPr>
    </w:lvl>
  </w:abstractNum>
  <w:abstractNum w:abstractNumId="1">
    <w:nsid w:val="07D3FAD1"/>
    <w:multiLevelType w:val="singleLevel"/>
    <w:tmpl w:val="07D3FAD1"/>
    <w:lvl w:ilvl="0" w:tentative="0">
      <w:start w:val="5"/>
      <w:numFmt w:val="chineseCounting"/>
      <w:suff w:val="nothing"/>
      <w:lvlText w:val="（%1）"/>
      <w:lvlJc w:val="left"/>
      <w:rPr>
        <w:rFonts w:hint="eastAsia"/>
      </w:rPr>
    </w:lvl>
  </w:abstractNum>
  <w:abstractNum w:abstractNumId="2">
    <w:nsid w:val="3601A173"/>
    <w:multiLevelType w:val="singleLevel"/>
    <w:tmpl w:val="3601A173"/>
    <w:lvl w:ilvl="0" w:tentative="0">
      <w:start w:val="1"/>
      <w:numFmt w:val="chineseCounting"/>
      <w:suff w:val="nothing"/>
      <w:lvlText w:val="%1、"/>
      <w:lvlJc w:val="left"/>
      <w:rPr>
        <w:rFonts w:hint="eastAsia"/>
      </w:rPr>
    </w:lvl>
  </w:abstractNum>
  <w:abstractNum w:abstractNumId="3">
    <w:nsid w:val="66D66DB2"/>
    <w:multiLevelType w:val="multilevel"/>
    <w:tmpl w:val="66D66DB2"/>
    <w:lvl w:ilvl="0" w:tentative="0">
      <w:start w:val="1"/>
      <w:numFmt w:val="japaneseCounting"/>
      <w:lvlText w:val="第%1章"/>
      <w:lvlJc w:val="left"/>
      <w:pPr>
        <w:ind w:left="1785" w:hanging="178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bordersDoNotSurroundHeader w:val="1"/>
  <w:bordersDoNotSurroundFooter w:val="1"/>
  <w:hideSpellingErrors/>
  <w:documentProtection w:enforcement="0"/>
  <w:defaultTabStop w:val="420"/>
  <w:drawingGridVerticalSpacing w:val="156"/>
  <w:displayHorizontalDrawingGridEvery w:val="0"/>
  <w:displayVerticalDrawingGridEvery w:val="2"/>
  <w:characterSpacingControl w:val="compressPunctuation"/>
  <w:footnotePr>
    <w:footnote w:id="6"/>
    <w:footnote w:id="7"/>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JkMDI1YzkyMWEwNWRjOThlNjFkYzkzZGIwNDk5ZTUifQ=="/>
  </w:docVars>
  <w:rsids>
    <w:rsidRoot w:val="00124EA9"/>
    <w:rsid w:val="000021E0"/>
    <w:rsid w:val="00002637"/>
    <w:rsid w:val="00003007"/>
    <w:rsid w:val="00004047"/>
    <w:rsid w:val="0000539D"/>
    <w:rsid w:val="00010F56"/>
    <w:rsid w:val="00024612"/>
    <w:rsid w:val="00044051"/>
    <w:rsid w:val="0004536E"/>
    <w:rsid w:val="00045372"/>
    <w:rsid w:val="00045996"/>
    <w:rsid w:val="00053E1B"/>
    <w:rsid w:val="00067A14"/>
    <w:rsid w:val="00077817"/>
    <w:rsid w:val="00080B47"/>
    <w:rsid w:val="00083E22"/>
    <w:rsid w:val="000A0047"/>
    <w:rsid w:val="000A7926"/>
    <w:rsid w:val="000B4936"/>
    <w:rsid w:val="000C4E44"/>
    <w:rsid w:val="000C5689"/>
    <w:rsid w:val="000D3A07"/>
    <w:rsid w:val="000E5829"/>
    <w:rsid w:val="000F00D5"/>
    <w:rsid w:val="000F2F60"/>
    <w:rsid w:val="000F3D59"/>
    <w:rsid w:val="000F65C5"/>
    <w:rsid w:val="00101210"/>
    <w:rsid w:val="00124EA9"/>
    <w:rsid w:val="00133753"/>
    <w:rsid w:val="0013533E"/>
    <w:rsid w:val="00141200"/>
    <w:rsid w:val="001421A1"/>
    <w:rsid w:val="0014231F"/>
    <w:rsid w:val="001429F5"/>
    <w:rsid w:val="00144A0B"/>
    <w:rsid w:val="00155F5F"/>
    <w:rsid w:val="0016577A"/>
    <w:rsid w:val="00167F0D"/>
    <w:rsid w:val="00172E5F"/>
    <w:rsid w:val="00175066"/>
    <w:rsid w:val="001847D7"/>
    <w:rsid w:val="00186D78"/>
    <w:rsid w:val="00190AAF"/>
    <w:rsid w:val="001A1831"/>
    <w:rsid w:val="001A77A4"/>
    <w:rsid w:val="001B2C90"/>
    <w:rsid w:val="001B336A"/>
    <w:rsid w:val="001C7EC5"/>
    <w:rsid w:val="001D03F9"/>
    <w:rsid w:val="001F28D4"/>
    <w:rsid w:val="001F55EE"/>
    <w:rsid w:val="00200C8B"/>
    <w:rsid w:val="0020642B"/>
    <w:rsid w:val="00207E4F"/>
    <w:rsid w:val="00210B19"/>
    <w:rsid w:val="0021628B"/>
    <w:rsid w:val="00240105"/>
    <w:rsid w:val="00244E9B"/>
    <w:rsid w:val="0026094B"/>
    <w:rsid w:val="002745DF"/>
    <w:rsid w:val="00281C9C"/>
    <w:rsid w:val="002832EF"/>
    <w:rsid w:val="0028390B"/>
    <w:rsid w:val="00291E30"/>
    <w:rsid w:val="00292A27"/>
    <w:rsid w:val="002A13A6"/>
    <w:rsid w:val="002A3646"/>
    <w:rsid w:val="002A69B8"/>
    <w:rsid w:val="002B20E3"/>
    <w:rsid w:val="002B225E"/>
    <w:rsid w:val="002B7B11"/>
    <w:rsid w:val="002C1929"/>
    <w:rsid w:val="002C340B"/>
    <w:rsid w:val="002D3DCC"/>
    <w:rsid w:val="002D460A"/>
    <w:rsid w:val="002E1D5F"/>
    <w:rsid w:val="002E311E"/>
    <w:rsid w:val="002F4C12"/>
    <w:rsid w:val="0031048F"/>
    <w:rsid w:val="003220EE"/>
    <w:rsid w:val="003276E9"/>
    <w:rsid w:val="00333AC7"/>
    <w:rsid w:val="003346E3"/>
    <w:rsid w:val="00335C6C"/>
    <w:rsid w:val="00340982"/>
    <w:rsid w:val="00341BE1"/>
    <w:rsid w:val="00343219"/>
    <w:rsid w:val="0034750E"/>
    <w:rsid w:val="003536C1"/>
    <w:rsid w:val="00371495"/>
    <w:rsid w:val="00392340"/>
    <w:rsid w:val="00392E0D"/>
    <w:rsid w:val="00392E5A"/>
    <w:rsid w:val="003A008A"/>
    <w:rsid w:val="003A21A4"/>
    <w:rsid w:val="003A35E6"/>
    <w:rsid w:val="003A47A2"/>
    <w:rsid w:val="003A7BE3"/>
    <w:rsid w:val="003B1B7D"/>
    <w:rsid w:val="003C0E8A"/>
    <w:rsid w:val="003C71AC"/>
    <w:rsid w:val="003E7A6F"/>
    <w:rsid w:val="003F380F"/>
    <w:rsid w:val="004179C4"/>
    <w:rsid w:val="004212E9"/>
    <w:rsid w:val="00445025"/>
    <w:rsid w:val="004477E9"/>
    <w:rsid w:val="004528FC"/>
    <w:rsid w:val="004529AE"/>
    <w:rsid w:val="00464986"/>
    <w:rsid w:val="00470510"/>
    <w:rsid w:val="00474349"/>
    <w:rsid w:val="00477005"/>
    <w:rsid w:val="00480E54"/>
    <w:rsid w:val="00482A85"/>
    <w:rsid w:val="0048561B"/>
    <w:rsid w:val="00494772"/>
    <w:rsid w:val="0049561F"/>
    <w:rsid w:val="004A3D16"/>
    <w:rsid w:val="004A6BC6"/>
    <w:rsid w:val="004B2465"/>
    <w:rsid w:val="004B24C9"/>
    <w:rsid w:val="004B3E4A"/>
    <w:rsid w:val="004C4DD2"/>
    <w:rsid w:val="004D1DCD"/>
    <w:rsid w:val="004D2DC8"/>
    <w:rsid w:val="004D6ACE"/>
    <w:rsid w:val="004D702E"/>
    <w:rsid w:val="004E5E10"/>
    <w:rsid w:val="004F03C7"/>
    <w:rsid w:val="004F1CF3"/>
    <w:rsid w:val="004F7BD5"/>
    <w:rsid w:val="004F7F0C"/>
    <w:rsid w:val="0050258D"/>
    <w:rsid w:val="0051116B"/>
    <w:rsid w:val="00514DA0"/>
    <w:rsid w:val="00527EEC"/>
    <w:rsid w:val="005307B3"/>
    <w:rsid w:val="005458F8"/>
    <w:rsid w:val="0054718F"/>
    <w:rsid w:val="0055203E"/>
    <w:rsid w:val="0057297F"/>
    <w:rsid w:val="0057563C"/>
    <w:rsid w:val="00580488"/>
    <w:rsid w:val="0058176A"/>
    <w:rsid w:val="005864F4"/>
    <w:rsid w:val="005932FF"/>
    <w:rsid w:val="005A24DF"/>
    <w:rsid w:val="005A5693"/>
    <w:rsid w:val="005A70E0"/>
    <w:rsid w:val="005B251E"/>
    <w:rsid w:val="005C4BCE"/>
    <w:rsid w:val="005E5529"/>
    <w:rsid w:val="005F29AC"/>
    <w:rsid w:val="005F3C29"/>
    <w:rsid w:val="005F499C"/>
    <w:rsid w:val="00602185"/>
    <w:rsid w:val="00612206"/>
    <w:rsid w:val="00617F38"/>
    <w:rsid w:val="006417A4"/>
    <w:rsid w:val="006435FD"/>
    <w:rsid w:val="00645395"/>
    <w:rsid w:val="0065638A"/>
    <w:rsid w:val="00656CED"/>
    <w:rsid w:val="00660D70"/>
    <w:rsid w:val="00665B3C"/>
    <w:rsid w:val="00672057"/>
    <w:rsid w:val="00673382"/>
    <w:rsid w:val="00676BDB"/>
    <w:rsid w:val="00686532"/>
    <w:rsid w:val="00690B7C"/>
    <w:rsid w:val="006A12CE"/>
    <w:rsid w:val="006A499F"/>
    <w:rsid w:val="006B1EC2"/>
    <w:rsid w:val="006B3F31"/>
    <w:rsid w:val="006C735F"/>
    <w:rsid w:val="006D2014"/>
    <w:rsid w:val="006D3E72"/>
    <w:rsid w:val="006D74CC"/>
    <w:rsid w:val="006E037A"/>
    <w:rsid w:val="006E0909"/>
    <w:rsid w:val="006E37CB"/>
    <w:rsid w:val="006E4993"/>
    <w:rsid w:val="006E5C39"/>
    <w:rsid w:val="006F5D83"/>
    <w:rsid w:val="00702A69"/>
    <w:rsid w:val="007265BE"/>
    <w:rsid w:val="00734D60"/>
    <w:rsid w:val="007555FC"/>
    <w:rsid w:val="00755F84"/>
    <w:rsid w:val="007623DE"/>
    <w:rsid w:val="00767FCD"/>
    <w:rsid w:val="00770FF3"/>
    <w:rsid w:val="00771629"/>
    <w:rsid w:val="00773441"/>
    <w:rsid w:val="00773E3D"/>
    <w:rsid w:val="00774100"/>
    <w:rsid w:val="00780488"/>
    <w:rsid w:val="0078149B"/>
    <w:rsid w:val="00784672"/>
    <w:rsid w:val="00784F8A"/>
    <w:rsid w:val="00785C21"/>
    <w:rsid w:val="00795746"/>
    <w:rsid w:val="007964EF"/>
    <w:rsid w:val="007C209D"/>
    <w:rsid w:val="007C2355"/>
    <w:rsid w:val="007C74E8"/>
    <w:rsid w:val="007D0497"/>
    <w:rsid w:val="007D29D4"/>
    <w:rsid w:val="007D3081"/>
    <w:rsid w:val="007E1F23"/>
    <w:rsid w:val="007E2A0A"/>
    <w:rsid w:val="007F3D4A"/>
    <w:rsid w:val="0080745B"/>
    <w:rsid w:val="00822A51"/>
    <w:rsid w:val="00824B55"/>
    <w:rsid w:val="00855A14"/>
    <w:rsid w:val="00867D79"/>
    <w:rsid w:val="008705DF"/>
    <w:rsid w:val="008762E6"/>
    <w:rsid w:val="00883782"/>
    <w:rsid w:val="00886875"/>
    <w:rsid w:val="00892349"/>
    <w:rsid w:val="00892DCC"/>
    <w:rsid w:val="008933B7"/>
    <w:rsid w:val="00896688"/>
    <w:rsid w:val="008A4531"/>
    <w:rsid w:val="008A6664"/>
    <w:rsid w:val="008B2D72"/>
    <w:rsid w:val="008B7B27"/>
    <w:rsid w:val="008C4098"/>
    <w:rsid w:val="008C519C"/>
    <w:rsid w:val="008C623B"/>
    <w:rsid w:val="008E6549"/>
    <w:rsid w:val="008F6B51"/>
    <w:rsid w:val="0090589A"/>
    <w:rsid w:val="00927EB5"/>
    <w:rsid w:val="009315C2"/>
    <w:rsid w:val="00935E41"/>
    <w:rsid w:val="00935ED2"/>
    <w:rsid w:val="00952D6D"/>
    <w:rsid w:val="00954F74"/>
    <w:rsid w:val="00955643"/>
    <w:rsid w:val="009573B9"/>
    <w:rsid w:val="00965E94"/>
    <w:rsid w:val="00977C86"/>
    <w:rsid w:val="00983877"/>
    <w:rsid w:val="009A1BD2"/>
    <w:rsid w:val="009A24B1"/>
    <w:rsid w:val="009B084E"/>
    <w:rsid w:val="009B53B2"/>
    <w:rsid w:val="009B5405"/>
    <w:rsid w:val="009B626F"/>
    <w:rsid w:val="009B66AE"/>
    <w:rsid w:val="009D6D35"/>
    <w:rsid w:val="00A02DDD"/>
    <w:rsid w:val="00A12741"/>
    <w:rsid w:val="00A1311B"/>
    <w:rsid w:val="00A15750"/>
    <w:rsid w:val="00A2148B"/>
    <w:rsid w:val="00A2462C"/>
    <w:rsid w:val="00A27204"/>
    <w:rsid w:val="00A33D67"/>
    <w:rsid w:val="00A362D7"/>
    <w:rsid w:val="00A3767B"/>
    <w:rsid w:val="00A41388"/>
    <w:rsid w:val="00A477C0"/>
    <w:rsid w:val="00A507DC"/>
    <w:rsid w:val="00A54E02"/>
    <w:rsid w:val="00A67EC8"/>
    <w:rsid w:val="00A76CD8"/>
    <w:rsid w:val="00A77E6F"/>
    <w:rsid w:val="00A81F80"/>
    <w:rsid w:val="00A868EF"/>
    <w:rsid w:val="00A906E2"/>
    <w:rsid w:val="00AA0F15"/>
    <w:rsid w:val="00AA6CF7"/>
    <w:rsid w:val="00AD2A48"/>
    <w:rsid w:val="00AD2C8A"/>
    <w:rsid w:val="00AD6819"/>
    <w:rsid w:val="00AE15F3"/>
    <w:rsid w:val="00AE4E0B"/>
    <w:rsid w:val="00AF4CC2"/>
    <w:rsid w:val="00B013BE"/>
    <w:rsid w:val="00B01BCC"/>
    <w:rsid w:val="00B25D89"/>
    <w:rsid w:val="00B3664B"/>
    <w:rsid w:val="00B439A9"/>
    <w:rsid w:val="00B4446C"/>
    <w:rsid w:val="00B558A3"/>
    <w:rsid w:val="00B60605"/>
    <w:rsid w:val="00B64A25"/>
    <w:rsid w:val="00B6591E"/>
    <w:rsid w:val="00B66C84"/>
    <w:rsid w:val="00B80BE7"/>
    <w:rsid w:val="00B82043"/>
    <w:rsid w:val="00B861B6"/>
    <w:rsid w:val="00B91731"/>
    <w:rsid w:val="00B9193D"/>
    <w:rsid w:val="00B92BED"/>
    <w:rsid w:val="00B938D9"/>
    <w:rsid w:val="00B95169"/>
    <w:rsid w:val="00BA4291"/>
    <w:rsid w:val="00BA6815"/>
    <w:rsid w:val="00BA6DC7"/>
    <w:rsid w:val="00BA6DCF"/>
    <w:rsid w:val="00BA783A"/>
    <w:rsid w:val="00BB00AF"/>
    <w:rsid w:val="00BB1B83"/>
    <w:rsid w:val="00BB53FF"/>
    <w:rsid w:val="00BC08B5"/>
    <w:rsid w:val="00BC5446"/>
    <w:rsid w:val="00BD7A21"/>
    <w:rsid w:val="00BF2669"/>
    <w:rsid w:val="00BF3D61"/>
    <w:rsid w:val="00C03C07"/>
    <w:rsid w:val="00C12666"/>
    <w:rsid w:val="00C14B63"/>
    <w:rsid w:val="00C16814"/>
    <w:rsid w:val="00C22565"/>
    <w:rsid w:val="00C52E06"/>
    <w:rsid w:val="00C53A90"/>
    <w:rsid w:val="00C54AC5"/>
    <w:rsid w:val="00C56306"/>
    <w:rsid w:val="00C6092D"/>
    <w:rsid w:val="00C7182C"/>
    <w:rsid w:val="00C80A31"/>
    <w:rsid w:val="00C82613"/>
    <w:rsid w:val="00C938B5"/>
    <w:rsid w:val="00C94DBF"/>
    <w:rsid w:val="00CB2271"/>
    <w:rsid w:val="00CB35D3"/>
    <w:rsid w:val="00CC2B5B"/>
    <w:rsid w:val="00CD5814"/>
    <w:rsid w:val="00CE020B"/>
    <w:rsid w:val="00CE29B8"/>
    <w:rsid w:val="00CE71D2"/>
    <w:rsid w:val="00CE7226"/>
    <w:rsid w:val="00CE7D8E"/>
    <w:rsid w:val="00CF1379"/>
    <w:rsid w:val="00CF1E04"/>
    <w:rsid w:val="00CF36EE"/>
    <w:rsid w:val="00D1160E"/>
    <w:rsid w:val="00D1328D"/>
    <w:rsid w:val="00D26E74"/>
    <w:rsid w:val="00D27461"/>
    <w:rsid w:val="00D30D7D"/>
    <w:rsid w:val="00D32AD3"/>
    <w:rsid w:val="00D34479"/>
    <w:rsid w:val="00D35B47"/>
    <w:rsid w:val="00D44DE9"/>
    <w:rsid w:val="00D4514A"/>
    <w:rsid w:val="00D52D42"/>
    <w:rsid w:val="00D5313A"/>
    <w:rsid w:val="00D56D4E"/>
    <w:rsid w:val="00D812B2"/>
    <w:rsid w:val="00D841AD"/>
    <w:rsid w:val="00D86B1B"/>
    <w:rsid w:val="00D90F37"/>
    <w:rsid w:val="00D92EB2"/>
    <w:rsid w:val="00D962D6"/>
    <w:rsid w:val="00DA2E85"/>
    <w:rsid w:val="00DA3A70"/>
    <w:rsid w:val="00DA6572"/>
    <w:rsid w:val="00DB2007"/>
    <w:rsid w:val="00DB5C3B"/>
    <w:rsid w:val="00DC3790"/>
    <w:rsid w:val="00DC758D"/>
    <w:rsid w:val="00DD03AC"/>
    <w:rsid w:val="00DD081E"/>
    <w:rsid w:val="00DD63AD"/>
    <w:rsid w:val="00DD7197"/>
    <w:rsid w:val="00DF2B35"/>
    <w:rsid w:val="00E006FA"/>
    <w:rsid w:val="00E03639"/>
    <w:rsid w:val="00E07092"/>
    <w:rsid w:val="00E10A95"/>
    <w:rsid w:val="00E25112"/>
    <w:rsid w:val="00E263FD"/>
    <w:rsid w:val="00E30201"/>
    <w:rsid w:val="00E366AD"/>
    <w:rsid w:val="00E42185"/>
    <w:rsid w:val="00E44E6A"/>
    <w:rsid w:val="00E5145F"/>
    <w:rsid w:val="00E5459C"/>
    <w:rsid w:val="00E61B4A"/>
    <w:rsid w:val="00E65DCA"/>
    <w:rsid w:val="00E828A3"/>
    <w:rsid w:val="00E839E1"/>
    <w:rsid w:val="00E8703F"/>
    <w:rsid w:val="00E92652"/>
    <w:rsid w:val="00EA246C"/>
    <w:rsid w:val="00EA3253"/>
    <w:rsid w:val="00EB3032"/>
    <w:rsid w:val="00EB36F8"/>
    <w:rsid w:val="00EB3D32"/>
    <w:rsid w:val="00EC1A38"/>
    <w:rsid w:val="00EC394D"/>
    <w:rsid w:val="00EC5AF3"/>
    <w:rsid w:val="00ED18F1"/>
    <w:rsid w:val="00EE75AA"/>
    <w:rsid w:val="00EF2773"/>
    <w:rsid w:val="00EF3D0E"/>
    <w:rsid w:val="00F014DF"/>
    <w:rsid w:val="00F067FF"/>
    <w:rsid w:val="00F11BEA"/>
    <w:rsid w:val="00F138CF"/>
    <w:rsid w:val="00F17C9D"/>
    <w:rsid w:val="00F240AA"/>
    <w:rsid w:val="00F27EFD"/>
    <w:rsid w:val="00F30762"/>
    <w:rsid w:val="00F31726"/>
    <w:rsid w:val="00F40991"/>
    <w:rsid w:val="00F449A4"/>
    <w:rsid w:val="00F51761"/>
    <w:rsid w:val="00F51B37"/>
    <w:rsid w:val="00F552F8"/>
    <w:rsid w:val="00F725CC"/>
    <w:rsid w:val="00F76C2C"/>
    <w:rsid w:val="00F86C0E"/>
    <w:rsid w:val="00F87F1F"/>
    <w:rsid w:val="00FA004A"/>
    <w:rsid w:val="00FA688E"/>
    <w:rsid w:val="00FB76D6"/>
    <w:rsid w:val="00FB7FEC"/>
    <w:rsid w:val="00FC0CDA"/>
    <w:rsid w:val="00FC2557"/>
    <w:rsid w:val="00FC3155"/>
    <w:rsid w:val="00FC6379"/>
    <w:rsid w:val="00FD0360"/>
    <w:rsid w:val="00FD4D0F"/>
    <w:rsid w:val="00FD78D6"/>
    <w:rsid w:val="00FE3439"/>
    <w:rsid w:val="00FE5003"/>
    <w:rsid w:val="00FF43B1"/>
    <w:rsid w:val="01AC7279"/>
    <w:rsid w:val="05EF1FFE"/>
    <w:rsid w:val="071C2DD7"/>
    <w:rsid w:val="0983749D"/>
    <w:rsid w:val="09C6304D"/>
    <w:rsid w:val="0AED2D32"/>
    <w:rsid w:val="0C905B62"/>
    <w:rsid w:val="0DB759FC"/>
    <w:rsid w:val="0E891CDE"/>
    <w:rsid w:val="105873DC"/>
    <w:rsid w:val="119E5E08"/>
    <w:rsid w:val="16314BAD"/>
    <w:rsid w:val="16333C36"/>
    <w:rsid w:val="17594306"/>
    <w:rsid w:val="17D539F2"/>
    <w:rsid w:val="19097045"/>
    <w:rsid w:val="1A0114FF"/>
    <w:rsid w:val="1E1F3B60"/>
    <w:rsid w:val="1F1013E5"/>
    <w:rsid w:val="1F2E0BFF"/>
    <w:rsid w:val="1FBF76D7"/>
    <w:rsid w:val="212E078A"/>
    <w:rsid w:val="22E271BF"/>
    <w:rsid w:val="23177EDB"/>
    <w:rsid w:val="264E6DB9"/>
    <w:rsid w:val="26A05072"/>
    <w:rsid w:val="2872440F"/>
    <w:rsid w:val="2BF10955"/>
    <w:rsid w:val="2D4B52E8"/>
    <w:rsid w:val="2E41641E"/>
    <w:rsid w:val="2E697E6D"/>
    <w:rsid w:val="2E944985"/>
    <w:rsid w:val="2FD26F55"/>
    <w:rsid w:val="30096558"/>
    <w:rsid w:val="30DE2DAE"/>
    <w:rsid w:val="32574BED"/>
    <w:rsid w:val="32756EB2"/>
    <w:rsid w:val="339248A7"/>
    <w:rsid w:val="34874156"/>
    <w:rsid w:val="35032B89"/>
    <w:rsid w:val="379B30ED"/>
    <w:rsid w:val="37E36BED"/>
    <w:rsid w:val="3B2B40CB"/>
    <w:rsid w:val="3FB93C81"/>
    <w:rsid w:val="431E0248"/>
    <w:rsid w:val="44D14A1F"/>
    <w:rsid w:val="4503099B"/>
    <w:rsid w:val="453D7EFA"/>
    <w:rsid w:val="46480423"/>
    <w:rsid w:val="46C44BD5"/>
    <w:rsid w:val="46FD0ED7"/>
    <w:rsid w:val="47D44A52"/>
    <w:rsid w:val="4B904344"/>
    <w:rsid w:val="4BB73BE9"/>
    <w:rsid w:val="4BEB2031"/>
    <w:rsid w:val="4E5F0909"/>
    <w:rsid w:val="4E6200BB"/>
    <w:rsid w:val="50203001"/>
    <w:rsid w:val="546D2190"/>
    <w:rsid w:val="551264C9"/>
    <w:rsid w:val="56820D5B"/>
    <w:rsid w:val="57096D7C"/>
    <w:rsid w:val="5E007081"/>
    <w:rsid w:val="5FC5301A"/>
    <w:rsid w:val="62280641"/>
    <w:rsid w:val="62525166"/>
    <w:rsid w:val="63310F09"/>
    <w:rsid w:val="63B84F56"/>
    <w:rsid w:val="663E10C6"/>
    <w:rsid w:val="673D5D9B"/>
    <w:rsid w:val="67DB2C51"/>
    <w:rsid w:val="68562B5B"/>
    <w:rsid w:val="686B311E"/>
    <w:rsid w:val="6B533C17"/>
    <w:rsid w:val="6F74221B"/>
    <w:rsid w:val="6FD45398"/>
    <w:rsid w:val="71246B10"/>
    <w:rsid w:val="732766B0"/>
    <w:rsid w:val="73BC5AD9"/>
    <w:rsid w:val="764D1C01"/>
    <w:rsid w:val="7C7149C8"/>
    <w:rsid w:val="7DB1356C"/>
    <w:rsid w:val="7EE86E5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name="toc 1"/>
    <w:lsdException w:qFormat="1" w:unhideWhenUsed="0" w:uiPriority="39" w:semiHidden="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99" w:name="Normal Indent"/>
    <w:lsdException w:qFormat="1" w:unhideWhenUsed="0" w:uiPriority="0" w:semiHidden="0" w:name="footnote text"/>
    <w:lsdException w:qFormat="1" w:unhideWhenUsed="0" w:uiPriority="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name="annotation reference"/>
    <w:lsdException w:uiPriority="99" w:name="line number"/>
    <w:lsdException w:qFormat="1" w:unhideWhenUsed="0" w:uiPriority="99" w:semiHidden="0" w:name="page number"/>
    <w:lsdException w:uiPriority="0" w:name="endnote reference"/>
    <w:lsdException w:qFormat="1" w:unhideWhenUsed="0" w:uiPriority="0"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qFormat="1" w:unhideWhenUsed="0" w:uiPriority="0" w:semiHidden="0" w:name="Body Text First Indent"/>
    <w:lsdException w:uiPriority="99" w:name="Body Text First Indent 2"/>
    <w:lsdException w:uiPriority="99" w:name="Note Heading"/>
    <w:lsdException w:uiPriority="99" w:name="Body Text 2"/>
    <w:lsdException w:qFormat="1" w:uiPriority="99" w:name="Body Text 3"/>
    <w:lsdException w:qFormat="1" w:unhideWhenUsed="0" w:uiPriority="99" w:semiHidden="0" w:name="Body Text Indent 2"/>
    <w:lsdException w:uiPriority="99"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name="Document Map"/>
    <w:lsdException w:qFormat="1" w:uiPriority="99"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line="360" w:lineRule="exact"/>
    </w:pPr>
    <w:rPr>
      <w:rFonts w:ascii="Times New Roman" w:hAnsi="Times New Roman" w:eastAsia="宋体" w:cs="Times New Roman"/>
      <w:kern w:val="2"/>
      <w:sz w:val="21"/>
      <w:szCs w:val="24"/>
      <w:lang w:val="en-US" w:eastAsia="zh-CN" w:bidi="ar-SA"/>
    </w:rPr>
  </w:style>
  <w:style w:type="paragraph" w:styleId="4">
    <w:name w:val="heading 1"/>
    <w:basedOn w:val="1"/>
    <w:next w:val="1"/>
    <w:link w:val="47"/>
    <w:qFormat/>
    <w:uiPriority w:val="0"/>
    <w:pPr>
      <w:keepNext/>
      <w:keepLines/>
      <w:spacing w:before="340" w:after="330" w:line="578" w:lineRule="auto"/>
      <w:outlineLvl w:val="0"/>
    </w:pPr>
    <w:rPr>
      <w:b/>
      <w:bCs/>
      <w:kern w:val="44"/>
      <w:sz w:val="44"/>
      <w:szCs w:val="44"/>
    </w:rPr>
  </w:style>
  <w:style w:type="paragraph" w:styleId="3">
    <w:name w:val="heading 2"/>
    <w:basedOn w:val="1"/>
    <w:next w:val="2"/>
    <w:link w:val="48"/>
    <w:qFormat/>
    <w:uiPriority w:val="0"/>
    <w:pPr>
      <w:spacing w:before="100" w:beforeAutospacing="1" w:after="100" w:afterAutospacing="1"/>
      <w:outlineLvl w:val="1"/>
    </w:pPr>
    <w:rPr>
      <w:rFonts w:ascii="宋体" w:hAnsi="宋体"/>
      <w:b/>
      <w:bCs/>
      <w:kern w:val="0"/>
      <w:sz w:val="36"/>
      <w:szCs w:val="36"/>
    </w:rPr>
  </w:style>
  <w:style w:type="paragraph" w:styleId="2">
    <w:name w:val="heading 3"/>
    <w:basedOn w:val="3"/>
    <w:next w:val="1"/>
    <w:link w:val="229"/>
    <w:semiHidden/>
    <w:unhideWhenUsed/>
    <w:qFormat/>
    <w:uiPriority w:val="9"/>
    <w:pPr>
      <w:keepNext/>
      <w:keepLines/>
      <w:spacing w:before="260" w:after="260" w:line="416" w:lineRule="atLeast"/>
      <w:outlineLvl w:val="2"/>
    </w:pPr>
    <w:rPr>
      <w:sz w:val="32"/>
      <w:szCs w:val="32"/>
    </w:rPr>
  </w:style>
  <w:style w:type="paragraph" w:styleId="5">
    <w:name w:val="heading 4"/>
    <w:basedOn w:val="1"/>
    <w:next w:val="1"/>
    <w:link w:val="183"/>
    <w:semiHidden/>
    <w:unhideWhenUsed/>
    <w:qFormat/>
    <w:uiPriority w:val="9"/>
    <w:pPr>
      <w:keepNext/>
      <w:keepLines/>
      <w:spacing w:before="280" w:after="290" w:line="376" w:lineRule="atLeast"/>
      <w:outlineLvl w:val="3"/>
    </w:pPr>
    <w:rPr>
      <w:rFonts w:asciiTheme="majorHAnsi" w:hAnsiTheme="majorHAnsi" w:eastAsiaTheme="majorEastAsia" w:cstheme="majorBidi"/>
      <w:b/>
      <w:bCs/>
      <w:sz w:val="28"/>
      <w:szCs w:val="28"/>
    </w:rPr>
  </w:style>
  <w:style w:type="character" w:default="1" w:styleId="39">
    <w:name w:val="Default Paragraph Font"/>
    <w:semiHidden/>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6">
    <w:name w:val="index 8"/>
    <w:basedOn w:val="1"/>
    <w:next w:val="1"/>
    <w:qFormat/>
    <w:uiPriority w:val="0"/>
    <w:pPr>
      <w:ind w:left="1680" w:hanging="210"/>
    </w:pPr>
    <w:rPr>
      <w:rFonts w:ascii="Calibri" w:hAnsi="Calibri"/>
      <w:sz w:val="20"/>
      <w:szCs w:val="20"/>
    </w:rPr>
  </w:style>
  <w:style w:type="paragraph" w:styleId="7">
    <w:name w:val="caption"/>
    <w:basedOn w:val="1"/>
    <w:next w:val="1"/>
    <w:qFormat/>
    <w:uiPriority w:val="0"/>
    <w:pPr>
      <w:spacing w:before="152" w:after="160"/>
    </w:pPr>
    <w:rPr>
      <w:rFonts w:ascii="Arial" w:hAnsi="Arial" w:eastAsia="黑体" w:cs="Arial"/>
      <w:sz w:val="20"/>
      <w:szCs w:val="20"/>
    </w:rPr>
  </w:style>
  <w:style w:type="paragraph" w:styleId="8">
    <w:name w:val="index 5"/>
    <w:basedOn w:val="1"/>
    <w:next w:val="1"/>
    <w:qFormat/>
    <w:uiPriority w:val="0"/>
    <w:pPr>
      <w:ind w:left="1050" w:hanging="210"/>
    </w:pPr>
    <w:rPr>
      <w:rFonts w:ascii="Calibri" w:hAnsi="Calibri"/>
      <w:sz w:val="20"/>
      <w:szCs w:val="20"/>
    </w:rPr>
  </w:style>
  <w:style w:type="paragraph" w:styleId="9">
    <w:name w:val="Document Map"/>
    <w:basedOn w:val="1"/>
    <w:link w:val="168"/>
    <w:semiHidden/>
    <w:qFormat/>
    <w:uiPriority w:val="0"/>
    <w:pPr>
      <w:shd w:val="clear" w:color="auto" w:fill="000080"/>
    </w:pPr>
    <w:rPr>
      <w:rFonts w:asciiTheme="minorHAnsi" w:hAnsiTheme="minorHAnsi" w:eastAsiaTheme="minorEastAsia" w:cstheme="minorBidi"/>
    </w:rPr>
  </w:style>
  <w:style w:type="paragraph" w:styleId="10">
    <w:name w:val="annotation text"/>
    <w:basedOn w:val="1"/>
    <w:link w:val="165"/>
    <w:semiHidden/>
    <w:qFormat/>
    <w:uiPriority w:val="0"/>
    <w:rPr>
      <w:rFonts w:asciiTheme="minorHAnsi" w:hAnsiTheme="minorHAnsi" w:eastAsiaTheme="minorEastAsia" w:cstheme="minorBidi"/>
    </w:rPr>
  </w:style>
  <w:style w:type="paragraph" w:styleId="11">
    <w:name w:val="index 6"/>
    <w:basedOn w:val="1"/>
    <w:next w:val="1"/>
    <w:qFormat/>
    <w:uiPriority w:val="0"/>
    <w:pPr>
      <w:ind w:left="1260" w:hanging="210"/>
    </w:pPr>
    <w:rPr>
      <w:rFonts w:ascii="Calibri" w:hAnsi="Calibri"/>
      <w:sz w:val="20"/>
      <w:szCs w:val="20"/>
    </w:rPr>
  </w:style>
  <w:style w:type="paragraph" w:styleId="12">
    <w:name w:val="Body Text 3"/>
    <w:basedOn w:val="1"/>
    <w:link w:val="176"/>
    <w:semiHidden/>
    <w:unhideWhenUsed/>
    <w:qFormat/>
    <w:uiPriority w:val="99"/>
    <w:pPr>
      <w:spacing w:after="120"/>
    </w:pPr>
    <w:rPr>
      <w:sz w:val="16"/>
      <w:szCs w:val="16"/>
    </w:rPr>
  </w:style>
  <w:style w:type="paragraph" w:styleId="13">
    <w:name w:val="Body Text"/>
    <w:basedOn w:val="1"/>
    <w:next w:val="14"/>
    <w:link w:val="181"/>
    <w:semiHidden/>
    <w:unhideWhenUsed/>
    <w:qFormat/>
    <w:uiPriority w:val="99"/>
    <w:pPr>
      <w:spacing w:after="120"/>
    </w:pPr>
  </w:style>
  <w:style w:type="paragraph" w:customStyle="1" w:styleId="14">
    <w:name w:val="Default"/>
    <w:basedOn w:val="1"/>
    <w:qFormat/>
    <w:uiPriority w:val="0"/>
    <w:pPr>
      <w:widowControl w:val="0"/>
      <w:autoSpaceDE w:val="0"/>
      <w:autoSpaceDN w:val="0"/>
      <w:adjustRightInd w:val="0"/>
      <w:spacing w:line="240" w:lineRule="auto"/>
    </w:pPr>
    <w:rPr>
      <w:rFonts w:ascii="黑体" w:hAnsi="黑体" w:eastAsia="黑体" w:cs="宋体"/>
      <w:kern w:val="0"/>
      <w:sz w:val="24"/>
    </w:rPr>
  </w:style>
  <w:style w:type="paragraph" w:styleId="15">
    <w:name w:val="index 4"/>
    <w:basedOn w:val="1"/>
    <w:next w:val="1"/>
    <w:qFormat/>
    <w:uiPriority w:val="0"/>
    <w:pPr>
      <w:ind w:left="840" w:hanging="210"/>
    </w:pPr>
    <w:rPr>
      <w:rFonts w:ascii="Calibri" w:hAnsi="Calibri"/>
      <w:sz w:val="20"/>
      <w:szCs w:val="20"/>
    </w:rPr>
  </w:style>
  <w:style w:type="paragraph" w:styleId="16">
    <w:name w:val="Plain Text"/>
    <w:basedOn w:val="1"/>
    <w:link w:val="179"/>
    <w:unhideWhenUsed/>
    <w:qFormat/>
    <w:uiPriority w:val="99"/>
    <w:pPr>
      <w:widowControl w:val="0"/>
      <w:spacing w:line="240" w:lineRule="auto"/>
      <w:jc w:val="both"/>
    </w:pPr>
    <w:rPr>
      <w:rFonts w:ascii="宋体" w:hAnsi="Courier New" w:cs="Courier New"/>
      <w:szCs w:val="21"/>
    </w:rPr>
  </w:style>
  <w:style w:type="paragraph" w:styleId="17">
    <w:name w:val="index 3"/>
    <w:basedOn w:val="1"/>
    <w:next w:val="1"/>
    <w:qFormat/>
    <w:uiPriority w:val="0"/>
    <w:pPr>
      <w:ind w:left="630" w:hanging="210"/>
    </w:pPr>
    <w:rPr>
      <w:rFonts w:ascii="Calibri" w:hAnsi="Calibri"/>
      <w:sz w:val="20"/>
      <w:szCs w:val="20"/>
    </w:rPr>
  </w:style>
  <w:style w:type="paragraph" w:styleId="18">
    <w:name w:val="Date"/>
    <w:basedOn w:val="1"/>
    <w:next w:val="1"/>
    <w:link w:val="167"/>
    <w:qFormat/>
    <w:uiPriority w:val="99"/>
    <w:pPr>
      <w:ind w:left="100" w:leftChars="2500"/>
    </w:pPr>
    <w:rPr>
      <w:rFonts w:asciiTheme="minorHAnsi" w:hAnsiTheme="minorHAnsi" w:eastAsiaTheme="minorEastAsia" w:cstheme="minorBidi"/>
    </w:rPr>
  </w:style>
  <w:style w:type="paragraph" w:styleId="19">
    <w:name w:val="Body Text Indent 2"/>
    <w:basedOn w:val="1"/>
    <w:link w:val="157"/>
    <w:qFormat/>
    <w:uiPriority w:val="99"/>
    <w:pPr>
      <w:spacing w:after="120" w:line="480" w:lineRule="auto"/>
      <w:ind w:left="420" w:leftChars="200"/>
    </w:pPr>
    <w:rPr>
      <w:rFonts w:asciiTheme="minorHAnsi" w:hAnsiTheme="minorHAnsi" w:eastAsiaTheme="minorEastAsia" w:cstheme="minorBidi"/>
    </w:rPr>
  </w:style>
  <w:style w:type="paragraph" w:styleId="20">
    <w:name w:val="endnote text"/>
    <w:basedOn w:val="1"/>
    <w:link w:val="174"/>
    <w:semiHidden/>
    <w:qFormat/>
    <w:uiPriority w:val="0"/>
    <w:pPr>
      <w:snapToGrid w:val="0"/>
    </w:pPr>
    <w:rPr>
      <w:rFonts w:asciiTheme="minorHAnsi" w:hAnsiTheme="minorHAnsi" w:eastAsiaTheme="minorEastAsia" w:cstheme="minorBidi"/>
    </w:rPr>
  </w:style>
  <w:style w:type="paragraph" w:styleId="21">
    <w:name w:val="Balloon Text"/>
    <w:basedOn w:val="1"/>
    <w:link w:val="143"/>
    <w:qFormat/>
    <w:uiPriority w:val="99"/>
    <w:rPr>
      <w:rFonts w:asciiTheme="minorHAnsi" w:hAnsiTheme="minorHAnsi" w:eastAsiaTheme="minorEastAsia" w:cstheme="minorBidi"/>
      <w:sz w:val="18"/>
      <w:szCs w:val="18"/>
    </w:rPr>
  </w:style>
  <w:style w:type="paragraph" w:styleId="22">
    <w:name w:val="footer"/>
    <w:basedOn w:val="1"/>
    <w:link w:val="164"/>
    <w:qFormat/>
    <w:uiPriority w:val="99"/>
    <w:pPr>
      <w:snapToGrid w:val="0"/>
      <w:ind w:right="210" w:rightChars="100"/>
      <w:jc w:val="right"/>
    </w:pPr>
    <w:rPr>
      <w:rFonts w:asciiTheme="minorHAnsi" w:hAnsiTheme="minorHAnsi" w:eastAsiaTheme="minorEastAsia" w:cstheme="minorBidi"/>
      <w:sz w:val="18"/>
      <w:szCs w:val="18"/>
    </w:rPr>
  </w:style>
  <w:style w:type="paragraph" w:styleId="23">
    <w:name w:val="header"/>
    <w:basedOn w:val="1"/>
    <w:link w:val="146"/>
    <w:qFormat/>
    <w:uiPriority w:val="99"/>
    <w:pPr>
      <w:snapToGrid w:val="0"/>
    </w:pPr>
    <w:rPr>
      <w:rFonts w:asciiTheme="minorHAnsi" w:hAnsiTheme="minorHAnsi" w:eastAsiaTheme="minorEastAsia" w:cstheme="minorBidi"/>
      <w:sz w:val="18"/>
      <w:szCs w:val="18"/>
    </w:rPr>
  </w:style>
  <w:style w:type="paragraph" w:styleId="24">
    <w:name w:val="toc 1"/>
    <w:basedOn w:val="1"/>
    <w:next w:val="1"/>
    <w:semiHidden/>
    <w:qFormat/>
    <w:uiPriority w:val="0"/>
    <w:pPr>
      <w:tabs>
        <w:tab w:val="right" w:leader="dot" w:pos="9242"/>
      </w:tabs>
      <w:spacing w:beforeLines="25" w:afterLines="25"/>
    </w:pPr>
    <w:rPr>
      <w:rFonts w:ascii="宋体"/>
      <w:szCs w:val="21"/>
    </w:rPr>
  </w:style>
  <w:style w:type="paragraph" w:styleId="25">
    <w:name w:val="index heading"/>
    <w:basedOn w:val="1"/>
    <w:next w:val="26"/>
    <w:qFormat/>
    <w:uiPriority w:val="0"/>
    <w:pPr>
      <w:spacing w:before="120" w:after="120"/>
      <w:jc w:val="center"/>
    </w:pPr>
    <w:rPr>
      <w:rFonts w:ascii="Calibri" w:hAnsi="Calibri"/>
      <w:b/>
      <w:bCs/>
      <w:iCs/>
      <w:szCs w:val="20"/>
    </w:rPr>
  </w:style>
  <w:style w:type="paragraph" w:styleId="26">
    <w:name w:val="index 1"/>
    <w:basedOn w:val="1"/>
    <w:next w:val="1"/>
    <w:unhideWhenUsed/>
    <w:qFormat/>
    <w:uiPriority w:val="0"/>
  </w:style>
  <w:style w:type="paragraph" w:styleId="27">
    <w:name w:val="footnote text"/>
    <w:basedOn w:val="1"/>
    <w:link w:val="153"/>
    <w:qFormat/>
    <w:uiPriority w:val="0"/>
    <w:pPr>
      <w:tabs>
        <w:tab w:val="left" w:pos="0"/>
      </w:tabs>
      <w:snapToGrid w:val="0"/>
      <w:ind w:left="720" w:hanging="357"/>
    </w:pPr>
    <w:rPr>
      <w:rFonts w:ascii="宋体" w:hAnsiTheme="minorHAnsi" w:eastAsiaTheme="minorEastAsia" w:cstheme="minorBidi"/>
      <w:sz w:val="18"/>
      <w:szCs w:val="18"/>
    </w:rPr>
  </w:style>
  <w:style w:type="paragraph" w:styleId="28">
    <w:name w:val="index 7"/>
    <w:basedOn w:val="1"/>
    <w:next w:val="1"/>
    <w:qFormat/>
    <w:uiPriority w:val="0"/>
    <w:pPr>
      <w:ind w:left="1470" w:hanging="210"/>
    </w:pPr>
    <w:rPr>
      <w:rFonts w:ascii="Calibri" w:hAnsi="Calibri"/>
      <w:sz w:val="20"/>
      <w:szCs w:val="20"/>
    </w:rPr>
  </w:style>
  <w:style w:type="paragraph" w:styleId="29">
    <w:name w:val="index 9"/>
    <w:basedOn w:val="1"/>
    <w:next w:val="1"/>
    <w:qFormat/>
    <w:uiPriority w:val="0"/>
    <w:pPr>
      <w:ind w:left="1890" w:hanging="210"/>
    </w:pPr>
    <w:rPr>
      <w:rFonts w:ascii="Calibri" w:hAnsi="Calibri"/>
      <w:sz w:val="20"/>
      <w:szCs w:val="20"/>
    </w:rPr>
  </w:style>
  <w:style w:type="paragraph" w:styleId="30">
    <w:name w:val="toc 2"/>
    <w:next w:val="1"/>
    <w:qFormat/>
    <w:uiPriority w:val="39"/>
    <w:pPr>
      <w:spacing w:after="6" w:line="257" w:lineRule="auto"/>
      <w:ind w:left="430" w:right="61" w:hanging="10"/>
      <w:jc w:val="both"/>
    </w:pPr>
    <w:rPr>
      <w:rFonts w:ascii="Calibri" w:hAnsi="Calibri" w:eastAsia="Calibri" w:cs="Calibri"/>
      <w:color w:val="000000"/>
      <w:kern w:val="2"/>
      <w:sz w:val="21"/>
      <w:szCs w:val="22"/>
      <w:lang w:val="en-US" w:eastAsia="zh-CN" w:bidi="ar-SA"/>
    </w:rPr>
  </w:style>
  <w:style w:type="paragraph" w:styleId="31">
    <w:name w:val="HTML Preformatted"/>
    <w:basedOn w:val="1"/>
    <w:link w:val="151"/>
    <w:qFormat/>
    <w:uiPriority w:val="0"/>
    <w:rPr>
      <w:rFonts w:ascii="Courier New" w:hAnsi="Courier New" w:cs="Courier New" w:eastAsiaTheme="minorEastAsia"/>
      <w:szCs w:val="22"/>
    </w:rPr>
  </w:style>
  <w:style w:type="paragraph" w:styleId="32">
    <w:name w:val="Normal (Web)"/>
    <w:basedOn w:val="1"/>
    <w:unhideWhenUsed/>
    <w:qFormat/>
    <w:uiPriority w:val="99"/>
    <w:pPr>
      <w:spacing w:before="100" w:beforeAutospacing="1" w:after="100" w:afterAutospacing="1"/>
    </w:pPr>
    <w:rPr>
      <w:rFonts w:ascii="宋体" w:hAnsi="宋体" w:cs="宋体"/>
      <w:kern w:val="0"/>
      <w:sz w:val="24"/>
    </w:rPr>
  </w:style>
  <w:style w:type="paragraph" w:styleId="33">
    <w:name w:val="index 2"/>
    <w:basedOn w:val="1"/>
    <w:next w:val="1"/>
    <w:qFormat/>
    <w:uiPriority w:val="0"/>
    <w:pPr>
      <w:ind w:left="420" w:hanging="210"/>
    </w:pPr>
    <w:rPr>
      <w:rFonts w:ascii="Calibri" w:hAnsi="Calibri"/>
      <w:sz w:val="20"/>
      <w:szCs w:val="20"/>
    </w:rPr>
  </w:style>
  <w:style w:type="paragraph" w:styleId="34">
    <w:name w:val="Title"/>
    <w:basedOn w:val="1"/>
    <w:link w:val="177"/>
    <w:qFormat/>
    <w:uiPriority w:val="0"/>
    <w:pPr>
      <w:widowControl w:val="0"/>
      <w:adjustRightInd w:val="0"/>
      <w:spacing w:before="240" w:after="60" w:line="420" w:lineRule="atLeast"/>
      <w:jc w:val="center"/>
      <w:textAlignment w:val="baseline"/>
      <w:outlineLvl w:val="0"/>
    </w:pPr>
    <w:rPr>
      <w:rFonts w:ascii="Arial" w:hAnsi="Arial"/>
      <w:b/>
      <w:kern w:val="0"/>
      <w:sz w:val="32"/>
      <w:szCs w:val="20"/>
    </w:rPr>
  </w:style>
  <w:style w:type="paragraph" w:styleId="35">
    <w:name w:val="annotation subject"/>
    <w:basedOn w:val="10"/>
    <w:next w:val="10"/>
    <w:link w:val="173"/>
    <w:semiHidden/>
    <w:qFormat/>
    <w:uiPriority w:val="0"/>
    <w:rPr>
      <w:b/>
      <w:bCs/>
    </w:rPr>
  </w:style>
  <w:style w:type="paragraph" w:styleId="36">
    <w:name w:val="Body Text First Indent"/>
    <w:basedOn w:val="13"/>
    <w:qFormat/>
    <w:uiPriority w:val="0"/>
    <w:pPr>
      <w:autoSpaceDE w:val="0"/>
      <w:autoSpaceDN w:val="0"/>
      <w:adjustRightInd w:val="0"/>
      <w:ind w:firstLine="420"/>
      <w:textAlignment w:val="baseline"/>
    </w:pPr>
    <w:rPr>
      <w:rFonts w:ascii="宋体"/>
      <w:sz w:val="34"/>
    </w:rPr>
  </w:style>
  <w:style w:type="table" w:styleId="38">
    <w:name w:val="Table Grid"/>
    <w:basedOn w:val="37"/>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0">
    <w:name w:val="Strong"/>
    <w:qFormat/>
    <w:uiPriority w:val="22"/>
    <w:rPr>
      <w:b/>
      <w:bCs/>
    </w:rPr>
  </w:style>
  <w:style w:type="character" w:styleId="41">
    <w:name w:val="page number"/>
    <w:qFormat/>
    <w:uiPriority w:val="99"/>
    <w:rPr>
      <w:rFonts w:ascii="Times New Roman" w:hAnsi="Times New Roman" w:eastAsia="宋体"/>
      <w:sz w:val="18"/>
    </w:rPr>
  </w:style>
  <w:style w:type="character" w:styleId="42">
    <w:name w:val="FollowedHyperlink"/>
    <w:qFormat/>
    <w:uiPriority w:val="99"/>
    <w:rPr>
      <w:color w:val="800080"/>
      <w:u w:val="single"/>
    </w:rPr>
  </w:style>
  <w:style w:type="character" w:styleId="43">
    <w:name w:val="Emphasis"/>
    <w:qFormat/>
    <w:uiPriority w:val="20"/>
    <w:rPr>
      <w:color w:val="CC0000"/>
    </w:rPr>
  </w:style>
  <w:style w:type="character" w:styleId="44">
    <w:name w:val="Hyperlink"/>
    <w:qFormat/>
    <w:uiPriority w:val="99"/>
    <w:rPr>
      <w:color w:val="0000FF"/>
      <w:spacing w:val="0"/>
      <w:w w:val="100"/>
      <w:szCs w:val="21"/>
      <w:u w:val="single"/>
      <w:lang w:val="en-US" w:eastAsia="zh-CN"/>
    </w:rPr>
  </w:style>
  <w:style w:type="character" w:styleId="45">
    <w:name w:val="annotation reference"/>
    <w:basedOn w:val="39"/>
    <w:semiHidden/>
    <w:unhideWhenUsed/>
    <w:qFormat/>
    <w:uiPriority w:val="0"/>
    <w:rPr>
      <w:sz w:val="21"/>
      <w:szCs w:val="21"/>
    </w:rPr>
  </w:style>
  <w:style w:type="character" w:styleId="46">
    <w:name w:val="footnote reference"/>
    <w:qFormat/>
    <w:uiPriority w:val="0"/>
    <w:rPr>
      <w:vertAlign w:val="superscript"/>
    </w:rPr>
  </w:style>
  <w:style w:type="character" w:customStyle="1" w:styleId="47">
    <w:name w:val="标题 1 字符"/>
    <w:basedOn w:val="39"/>
    <w:link w:val="4"/>
    <w:qFormat/>
    <w:uiPriority w:val="0"/>
    <w:rPr>
      <w:rFonts w:ascii="Times New Roman" w:hAnsi="Times New Roman" w:eastAsia="宋体" w:cs="Times New Roman"/>
      <w:b/>
      <w:bCs/>
      <w:kern w:val="44"/>
      <w:sz w:val="44"/>
      <w:szCs w:val="44"/>
    </w:rPr>
  </w:style>
  <w:style w:type="character" w:customStyle="1" w:styleId="48">
    <w:name w:val="标题 2 字符"/>
    <w:basedOn w:val="39"/>
    <w:link w:val="3"/>
    <w:qFormat/>
    <w:uiPriority w:val="0"/>
    <w:rPr>
      <w:rFonts w:ascii="宋体" w:hAnsi="宋体" w:eastAsia="宋体" w:cs="Times New Roman"/>
      <w:b/>
      <w:bCs/>
      <w:kern w:val="0"/>
      <w:sz w:val="36"/>
      <w:szCs w:val="36"/>
    </w:rPr>
  </w:style>
  <w:style w:type="character" w:customStyle="1" w:styleId="49">
    <w:name w:val="批注文字 Char"/>
    <w:semiHidden/>
    <w:qFormat/>
    <w:uiPriority w:val="0"/>
    <w:rPr>
      <w:szCs w:val="24"/>
    </w:rPr>
  </w:style>
  <w:style w:type="character" w:customStyle="1" w:styleId="50">
    <w:name w:val="批注主题 Char"/>
    <w:semiHidden/>
    <w:qFormat/>
    <w:uiPriority w:val="0"/>
    <w:rPr>
      <w:b/>
      <w:bCs/>
      <w:szCs w:val="24"/>
    </w:rPr>
  </w:style>
  <w:style w:type="character" w:customStyle="1" w:styleId="51">
    <w:name w:val="文档结构图 Char"/>
    <w:semiHidden/>
    <w:qFormat/>
    <w:uiPriority w:val="0"/>
    <w:rPr>
      <w:szCs w:val="24"/>
      <w:shd w:val="clear" w:color="auto" w:fill="000080"/>
    </w:rPr>
  </w:style>
  <w:style w:type="character" w:customStyle="1" w:styleId="52">
    <w:name w:val="脚注文本 Char"/>
    <w:qFormat/>
    <w:uiPriority w:val="0"/>
    <w:rPr>
      <w:rFonts w:ascii="宋体"/>
      <w:sz w:val="18"/>
      <w:szCs w:val="18"/>
    </w:rPr>
  </w:style>
  <w:style w:type="character" w:customStyle="1" w:styleId="53">
    <w:name w:val="con"/>
    <w:qFormat/>
    <w:uiPriority w:val="0"/>
  </w:style>
  <w:style w:type="character" w:customStyle="1" w:styleId="54">
    <w:name w:val="bar-label2"/>
    <w:qFormat/>
    <w:uiPriority w:val="99"/>
  </w:style>
  <w:style w:type="character" w:customStyle="1" w:styleId="55">
    <w:name w:val="正文文本缩进 2 Char"/>
    <w:qFormat/>
    <w:uiPriority w:val="99"/>
    <w:rPr>
      <w:szCs w:val="24"/>
    </w:rPr>
  </w:style>
  <w:style w:type="character" w:customStyle="1" w:styleId="56">
    <w:name w:val="日期 Char"/>
    <w:qFormat/>
    <w:uiPriority w:val="99"/>
    <w:rPr>
      <w:szCs w:val="24"/>
    </w:rPr>
  </w:style>
  <w:style w:type="character" w:customStyle="1" w:styleId="57">
    <w:name w:val="页脚 Char"/>
    <w:qFormat/>
    <w:locked/>
    <w:uiPriority w:val="99"/>
    <w:rPr>
      <w:sz w:val="18"/>
      <w:szCs w:val="18"/>
    </w:rPr>
  </w:style>
  <w:style w:type="character" w:customStyle="1" w:styleId="58">
    <w:name w:val="apple-converted-space"/>
    <w:basedOn w:val="39"/>
    <w:qFormat/>
    <w:uiPriority w:val="0"/>
  </w:style>
  <w:style w:type="character" w:customStyle="1" w:styleId="59">
    <w:name w:val="批注框文本 Char"/>
    <w:qFormat/>
    <w:uiPriority w:val="99"/>
    <w:rPr>
      <w:sz w:val="18"/>
      <w:szCs w:val="18"/>
    </w:rPr>
  </w:style>
  <w:style w:type="character" w:customStyle="1" w:styleId="60">
    <w:name w:val="页眉 Char"/>
    <w:qFormat/>
    <w:locked/>
    <w:uiPriority w:val="99"/>
    <w:rPr>
      <w:sz w:val="18"/>
      <w:szCs w:val="18"/>
    </w:rPr>
  </w:style>
  <w:style w:type="character" w:customStyle="1" w:styleId="61">
    <w:name w:val="首示例 Char"/>
    <w:link w:val="62"/>
    <w:qFormat/>
    <w:uiPriority w:val="0"/>
    <w:rPr>
      <w:rFonts w:ascii="宋体" w:hAnsi="宋体"/>
      <w:sz w:val="18"/>
      <w:szCs w:val="18"/>
    </w:rPr>
  </w:style>
  <w:style w:type="paragraph" w:customStyle="1" w:styleId="62">
    <w:name w:val="首示例"/>
    <w:next w:val="63"/>
    <w:link w:val="61"/>
    <w:qFormat/>
    <w:uiPriority w:val="0"/>
    <w:pPr>
      <w:tabs>
        <w:tab w:val="left" w:pos="360"/>
      </w:tabs>
      <w:spacing w:line="360" w:lineRule="exact"/>
    </w:pPr>
    <w:rPr>
      <w:rFonts w:ascii="宋体" w:hAnsi="宋体" w:eastAsiaTheme="minorEastAsia" w:cstheme="minorBidi"/>
      <w:kern w:val="2"/>
      <w:sz w:val="18"/>
      <w:szCs w:val="18"/>
      <w:lang w:val="en-US" w:eastAsia="zh-CN" w:bidi="ar-SA"/>
    </w:rPr>
  </w:style>
  <w:style w:type="paragraph" w:customStyle="1" w:styleId="63">
    <w:name w:val="段"/>
    <w:link w:val="64"/>
    <w:qFormat/>
    <w:uiPriority w:val="0"/>
    <w:pPr>
      <w:tabs>
        <w:tab w:val="center" w:pos="4201"/>
        <w:tab w:val="right" w:leader="dot" w:pos="9298"/>
      </w:tabs>
      <w:autoSpaceDE w:val="0"/>
      <w:autoSpaceDN w:val="0"/>
      <w:spacing w:line="360" w:lineRule="exact"/>
      <w:ind w:firstLine="420" w:firstLineChars="200"/>
      <w:jc w:val="both"/>
    </w:pPr>
    <w:rPr>
      <w:rFonts w:ascii="宋体" w:hAnsiTheme="minorHAnsi" w:eastAsiaTheme="minorEastAsia" w:cstheme="minorBidi"/>
      <w:kern w:val="2"/>
      <w:sz w:val="21"/>
      <w:szCs w:val="22"/>
      <w:lang w:val="en-US" w:eastAsia="zh-CN" w:bidi="ar-SA"/>
    </w:rPr>
  </w:style>
  <w:style w:type="character" w:customStyle="1" w:styleId="64">
    <w:name w:val="段 Char"/>
    <w:link w:val="63"/>
    <w:qFormat/>
    <w:uiPriority w:val="0"/>
    <w:rPr>
      <w:rFonts w:ascii="宋体"/>
    </w:rPr>
  </w:style>
  <w:style w:type="character" w:customStyle="1" w:styleId="65">
    <w:name w:val="附录公式 Char"/>
    <w:basedOn w:val="64"/>
    <w:link w:val="66"/>
    <w:qFormat/>
    <w:uiPriority w:val="0"/>
    <w:rPr>
      <w:rFonts w:ascii="宋体"/>
    </w:rPr>
  </w:style>
  <w:style w:type="paragraph" w:customStyle="1" w:styleId="66">
    <w:name w:val="附录公式"/>
    <w:basedOn w:val="63"/>
    <w:next w:val="63"/>
    <w:link w:val="65"/>
    <w:qFormat/>
    <w:uiPriority w:val="0"/>
  </w:style>
  <w:style w:type="character" w:customStyle="1" w:styleId="67">
    <w:name w:val="发布"/>
    <w:qFormat/>
    <w:uiPriority w:val="0"/>
    <w:rPr>
      <w:rFonts w:ascii="黑体" w:eastAsia="黑体"/>
      <w:spacing w:val="85"/>
      <w:w w:val="100"/>
      <w:position w:val="3"/>
      <w:sz w:val="28"/>
      <w:szCs w:val="28"/>
    </w:rPr>
  </w:style>
  <w:style w:type="character" w:customStyle="1" w:styleId="68">
    <w:name w:val="一级条标题 Char"/>
    <w:link w:val="69"/>
    <w:qFormat/>
    <w:uiPriority w:val="0"/>
    <w:rPr>
      <w:rFonts w:ascii="黑体" w:eastAsia="黑体"/>
      <w:szCs w:val="21"/>
    </w:rPr>
  </w:style>
  <w:style w:type="paragraph" w:customStyle="1" w:styleId="69">
    <w:name w:val="一级条标题"/>
    <w:next w:val="63"/>
    <w:link w:val="68"/>
    <w:qFormat/>
    <w:uiPriority w:val="0"/>
    <w:pPr>
      <w:spacing w:beforeLines="50" w:afterLines="50" w:line="360" w:lineRule="exact"/>
      <w:ind w:left="851"/>
      <w:outlineLvl w:val="2"/>
    </w:pPr>
    <w:rPr>
      <w:rFonts w:ascii="黑体" w:eastAsia="黑体" w:hAnsiTheme="minorHAnsi" w:cstheme="minorBidi"/>
      <w:kern w:val="2"/>
      <w:sz w:val="21"/>
      <w:szCs w:val="21"/>
      <w:lang w:val="en-US" w:eastAsia="zh-CN" w:bidi="ar-SA"/>
    </w:rPr>
  </w:style>
  <w:style w:type="character" w:customStyle="1" w:styleId="70">
    <w:name w:val="HTML 预设格式 Char"/>
    <w:qFormat/>
    <w:uiPriority w:val="0"/>
    <w:rPr>
      <w:rFonts w:ascii="Courier New" w:hAnsi="Courier New" w:cs="Courier New"/>
    </w:rPr>
  </w:style>
  <w:style w:type="character" w:customStyle="1" w:styleId="71">
    <w:name w:val="尾注文本 Char"/>
    <w:semiHidden/>
    <w:qFormat/>
    <w:uiPriority w:val="0"/>
    <w:rPr>
      <w:szCs w:val="24"/>
    </w:rPr>
  </w:style>
  <w:style w:type="paragraph" w:customStyle="1" w:styleId="72">
    <w:name w:val="trs_editor"/>
    <w:basedOn w:val="1"/>
    <w:qFormat/>
    <w:uiPriority w:val="0"/>
    <w:pPr>
      <w:spacing w:before="100" w:beforeAutospacing="1" w:after="100" w:afterAutospacing="1" w:line="240" w:lineRule="auto"/>
    </w:pPr>
    <w:rPr>
      <w:rFonts w:ascii="宋体" w:hAnsi="宋体" w:cs="宋体"/>
      <w:kern w:val="0"/>
      <w:sz w:val="24"/>
    </w:rPr>
  </w:style>
  <w:style w:type="paragraph" w:customStyle="1" w:styleId="73">
    <w:name w:val="reader-word-layer"/>
    <w:basedOn w:val="1"/>
    <w:qFormat/>
    <w:uiPriority w:val="0"/>
    <w:pPr>
      <w:spacing w:before="100" w:beforeAutospacing="1" w:after="100" w:afterAutospacing="1" w:line="240" w:lineRule="auto"/>
    </w:pPr>
    <w:rPr>
      <w:rFonts w:ascii="宋体" w:hAnsi="宋体" w:cs="宋体"/>
      <w:kern w:val="0"/>
      <w:sz w:val="24"/>
    </w:rPr>
  </w:style>
  <w:style w:type="paragraph" w:styleId="74">
    <w:name w:val="List Paragraph"/>
    <w:basedOn w:val="1"/>
    <w:qFormat/>
    <w:uiPriority w:val="34"/>
    <w:pPr>
      <w:ind w:firstLine="420" w:firstLineChars="200"/>
    </w:pPr>
    <w:rPr>
      <w:rFonts w:ascii="宋体" w:hAnsi="宋体" w:cs="宋体"/>
      <w:kern w:val="0"/>
      <w:sz w:val="24"/>
    </w:rPr>
  </w:style>
  <w:style w:type="paragraph" w:customStyle="1" w:styleId="75">
    <w:name w:val="封面一致性程度标识2"/>
    <w:basedOn w:val="76"/>
    <w:qFormat/>
    <w:uiPriority w:val="0"/>
    <w:pPr>
      <w:framePr w:wrap="around" w:y="4469"/>
    </w:pPr>
  </w:style>
  <w:style w:type="paragraph" w:customStyle="1" w:styleId="76">
    <w:name w:val="封面一致性程度标识"/>
    <w:basedOn w:val="77"/>
    <w:qFormat/>
    <w:uiPriority w:val="0"/>
    <w:pPr>
      <w:framePr w:wrap="around"/>
      <w:spacing w:before="440"/>
    </w:pPr>
    <w:rPr>
      <w:rFonts w:ascii="宋体" w:eastAsia="宋体"/>
    </w:rPr>
  </w:style>
  <w:style w:type="paragraph" w:customStyle="1" w:styleId="77">
    <w:name w:val="封面标准英文名称"/>
    <w:basedOn w:val="78"/>
    <w:qFormat/>
    <w:uiPriority w:val="0"/>
    <w:pPr>
      <w:framePr w:wrap="around"/>
      <w:spacing w:before="370" w:line="400" w:lineRule="exact"/>
    </w:pPr>
    <w:rPr>
      <w:rFonts w:ascii="Times New Roman"/>
      <w:sz w:val="28"/>
      <w:szCs w:val="28"/>
    </w:rPr>
  </w:style>
  <w:style w:type="paragraph" w:customStyle="1" w:styleId="78">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79">
    <w:name w:val="封面标准英文名称2"/>
    <w:basedOn w:val="77"/>
    <w:qFormat/>
    <w:uiPriority w:val="0"/>
    <w:pPr>
      <w:framePr w:wrap="around" w:y="4469"/>
    </w:pPr>
  </w:style>
  <w:style w:type="paragraph" w:customStyle="1" w:styleId="80">
    <w:name w:val="其他发布日期"/>
    <w:basedOn w:val="81"/>
    <w:qFormat/>
    <w:uiPriority w:val="0"/>
    <w:pPr>
      <w:framePr w:wrap="around" w:vAnchor="page" w:hAnchor="text" w:x="1419"/>
    </w:pPr>
  </w:style>
  <w:style w:type="paragraph" w:customStyle="1" w:styleId="81">
    <w:name w:val="发布日期"/>
    <w:qFormat/>
    <w:uiPriority w:val="0"/>
    <w:pPr>
      <w:framePr w:w="3997" w:h="471" w:hRule="exact" w:vSpace="181" w:wrap="around" w:vAnchor="margin" w:hAnchor="page" w:x="7089" w:y="14097" w:anchorLock="1"/>
      <w:spacing w:line="360" w:lineRule="exact"/>
    </w:pPr>
    <w:rPr>
      <w:rFonts w:ascii="Times New Roman" w:hAnsi="Times New Roman" w:eastAsia="黑体" w:cs="Times New Roman"/>
      <w:sz w:val="28"/>
      <w:lang w:val="en-US" w:eastAsia="zh-CN" w:bidi="ar-SA"/>
    </w:rPr>
  </w:style>
  <w:style w:type="paragraph" w:customStyle="1" w:styleId="82">
    <w:name w:val="正文公式编号制表符"/>
    <w:basedOn w:val="63"/>
    <w:next w:val="63"/>
    <w:qFormat/>
    <w:uiPriority w:val="0"/>
    <w:pPr>
      <w:ind w:firstLine="0" w:firstLineChars="0"/>
    </w:pPr>
  </w:style>
  <w:style w:type="paragraph" w:customStyle="1" w:styleId="83">
    <w:name w:val="正文表标题"/>
    <w:next w:val="63"/>
    <w:qFormat/>
    <w:uiPriority w:val="0"/>
    <w:pPr>
      <w:tabs>
        <w:tab w:val="left" w:pos="360"/>
      </w:tabs>
      <w:spacing w:beforeLines="50" w:afterLines="50" w:line="360" w:lineRule="exact"/>
      <w:jc w:val="center"/>
    </w:pPr>
    <w:rPr>
      <w:rFonts w:ascii="黑体" w:hAnsi="Times New Roman" w:eastAsia="黑体" w:cs="Times New Roman"/>
      <w:sz w:val="21"/>
      <w:lang w:val="en-US" w:eastAsia="zh-CN" w:bidi="ar-SA"/>
    </w:rPr>
  </w:style>
  <w:style w:type="paragraph" w:customStyle="1" w:styleId="84">
    <w:name w:val="文献分类号"/>
    <w:qFormat/>
    <w:uiPriority w:val="0"/>
    <w:pPr>
      <w:framePr w:hSpace="180" w:vSpace="180" w:wrap="around" w:vAnchor="margin" w:hAnchor="margin" w:y="1" w:anchorLock="1"/>
      <w:widowControl w:val="0"/>
      <w:spacing w:line="360" w:lineRule="exact"/>
      <w:textAlignment w:val="center"/>
    </w:pPr>
    <w:rPr>
      <w:rFonts w:ascii="黑体" w:hAnsi="Times New Roman" w:eastAsia="黑体" w:cs="Times New Roman"/>
      <w:sz w:val="21"/>
      <w:szCs w:val="21"/>
      <w:lang w:val="en-US" w:eastAsia="zh-CN" w:bidi="ar-SA"/>
    </w:rPr>
  </w:style>
  <w:style w:type="paragraph" w:customStyle="1" w:styleId="85">
    <w:name w:val="一级无"/>
    <w:basedOn w:val="69"/>
    <w:qFormat/>
    <w:uiPriority w:val="0"/>
  </w:style>
  <w:style w:type="paragraph" w:customStyle="1" w:styleId="86">
    <w:name w:val="图的脚注"/>
    <w:next w:val="63"/>
    <w:qFormat/>
    <w:uiPriority w:val="0"/>
    <w:pPr>
      <w:widowControl w:val="0"/>
      <w:spacing w:line="360" w:lineRule="exact"/>
      <w:ind w:left="840" w:leftChars="200" w:hanging="420" w:hangingChars="200"/>
      <w:jc w:val="both"/>
    </w:pPr>
    <w:rPr>
      <w:rFonts w:ascii="宋体" w:hAnsi="Times New Roman" w:eastAsia="宋体" w:cs="Times New Roman"/>
      <w:sz w:val="18"/>
      <w:lang w:val="en-US" w:eastAsia="zh-CN" w:bidi="ar-SA"/>
    </w:rPr>
  </w:style>
  <w:style w:type="paragraph" w:customStyle="1" w:styleId="87">
    <w:name w:val="图标脚注说明"/>
    <w:basedOn w:val="63"/>
    <w:qFormat/>
    <w:uiPriority w:val="0"/>
    <w:pPr>
      <w:ind w:left="840" w:hanging="420" w:firstLineChars="0"/>
    </w:pPr>
    <w:rPr>
      <w:sz w:val="18"/>
      <w:szCs w:val="18"/>
    </w:rPr>
  </w:style>
  <w:style w:type="paragraph" w:customStyle="1" w:styleId="88">
    <w:name w:val="示例后文字"/>
    <w:basedOn w:val="63"/>
    <w:next w:val="63"/>
    <w:qFormat/>
    <w:uiPriority w:val="0"/>
    <w:pPr>
      <w:ind w:firstLine="360"/>
    </w:pPr>
    <w:rPr>
      <w:sz w:val="18"/>
    </w:rPr>
  </w:style>
  <w:style w:type="paragraph" w:customStyle="1" w:styleId="89">
    <w:name w:val="实施日期"/>
    <w:basedOn w:val="81"/>
    <w:qFormat/>
    <w:uiPriority w:val="0"/>
    <w:pPr>
      <w:framePr w:wrap="around" w:vAnchor="page" w:hAnchor="text"/>
      <w:jc w:val="right"/>
    </w:pPr>
  </w:style>
  <w:style w:type="paragraph" w:customStyle="1" w:styleId="90">
    <w:name w:val="前言、引言标题"/>
    <w:next w:val="63"/>
    <w:qFormat/>
    <w:uiPriority w:val="0"/>
    <w:pPr>
      <w:keepNext/>
      <w:pageBreakBefore/>
      <w:shd w:val="clear" w:color="FFFFFF" w:fill="FFFFFF"/>
      <w:spacing w:before="640" w:after="560" w:line="360" w:lineRule="exact"/>
      <w:jc w:val="center"/>
      <w:outlineLvl w:val="0"/>
    </w:pPr>
    <w:rPr>
      <w:rFonts w:ascii="黑体" w:hAnsi="Times New Roman" w:eastAsia="黑体" w:cs="Times New Roman"/>
      <w:sz w:val="32"/>
      <w:lang w:val="en-US" w:eastAsia="zh-CN" w:bidi="ar-SA"/>
    </w:rPr>
  </w:style>
  <w:style w:type="paragraph" w:customStyle="1" w:styleId="91">
    <w:name w:val="其他标准称谓"/>
    <w:next w:val="1"/>
    <w:qFormat/>
    <w:uiPriority w:val="0"/>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92">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93">
    <w:name w:val="列出段落1"/>
    <w:basedOn w:val="1"/>
    <w:qFormat/>
    <w:uiPriority w:val="0"/>
    <w:pPr>
      <w:widowControl w:val="0"/>
      <w:spacing w:line="240" w:lineRule="auto"/>
      <w:ind w:firstLine="420" w:firstLineChars="200"/>
      <w:jc w:val="both"/>
    </w:pPr>
    <w:rPr>
      <w:rFonts w:ascii="Calibri" w:hAnsi="Calibri"/>
      <w:szCs w:val="22"/>
    </w:rPr>
  </w:style>
  <w:style w:type="paragraph" w:customStyle="1" w:styleId="94">
    <w:name w:val="列项说明"/>
    <w:basedOn w:val="1"/>
    <w:qFormat/>
    <w:uiPriority w:val="0"/>
    <w:pPr>
      <w:adjustRightInd w:val="0"/>
      <w:spacing w:line="320" w:lineRule="exact"/>
      <w:ind w:left="400" w:leftChars="200" w:hanging="200" w:hangingChars="200"/>
      <w:textAlignment w:val="baseline"/>
    </w:pPr>
    <w:rPr>
      <w:rFonts w:ascii="宋体"/>
      <w:kern w:val="0"/>
      <w:szCs w:val="20"/>
    </w:rPr>
  </w:style>
  <w:style w:type="paragraph" w:customStyle="1" w:styleId="95">
    <w:name w:val="附录字母编号列项（一级）"/>
    <w:qFormat/>
    <w:uiPriority w:val="0"/>
    <w:pPr>
      <w:tabs>
        <w:tab w:val="left" w:pos="839"/>
      </w:tabs>
      <w:spacing w:line="360" w:lineRule="exact"/>
      <w:ind w:left="839" w:hanging="419"/>
    </w:pPr>
    <w:rPr>
      <w:rFonts w:ascii="宋体" w:hAnsi="Times New Roman" w:eastAsia="宋体" w:cs="Times New Roman"/>
      <w:sz w:val="21"/>
      <w:lang w:val="en-US" w:eastAsia="zh-CN" w:bidi="ar-SA"/>
    </w:rPr>
  </w:style>
  <w:style w:type="paragraph" w:customStyle="1" w:styleId="96">
    <w:name w:val="条文脚注"/>
    <w:basedOn w:val="27"/>
    <w:qFormat/>
    <w:uiPriority w:val="0"/>
    <w:pPr>
      <w:ind w:left="0" w:firstLine="0"/>
      <w:jc w:val="both"/>
    </w:pPr>
  </w:style>
  <w:style w:type="paragraph" w:customStyle="1" w:styleId="97">
    <w:name w:val="附录一级无"/>
    <w:basedOn w:val="98"/>
    <w:qFormat/>
    <w:uiPriority w:val="0"/>
    <w:pPr>
      <w:tabs>
        <w:tab w:val="left" w:pos="360"/>
      </w:tabs>
      <w:spacing w:beforeLines="0" w:afterLines="0"/>
    </w:pPr>
    <w:rPr>
      <w:rFonts w:ascii="宋体" w:eastAsia="宋体"/>
      <w:szCs w:val="21"/>
    </w:rPr>
  </w:style>
  <w:style w:type="paragraph" w:customStyle="1" w:styleId="98">
    <w:name w:val="附录一级条标题"/>
    <w:basedOn w:val="99"/>
    <w:next w:val="63"/>
    <w:qFormat/>
    <w:uiPriority w:val="0"/>
    <w:pPr>
      <w:tabs>
        <w:tab w:val="left" w:pos="360"/>
      </w:tabs>
      <w:autoSpaceDN w:val="0"/>
      <w:spacing w:beforeLines="50" w:afterLines="50"/>
      <w:outlineLvl w:val="2"/>
    </w:pPr>
  </w:style>
  <w:style w:type="paragraph" w:customStyle="1" w:styleId="99">
    <w:name w:val="附录章标题"/>
    <w:next w:val="63"/>
    <w:qFormat/>
    <w:uiPriority w:val="0"/>
    <w:pPr>
      <w:tabs>
        <w:tab w:val="left" w:pos="360"/>
      </w:tabs>
      <w:wordWrap w:val="0"/>
      <w:overflowPunct w:val="0"/>
      <w:autoSpaceDE w:val="0"/>
      <w:spacing w:beforeLines="100" w:afterLines="100" w:line="360" w:lineRule="exact"/>
      <w:jc w:val="both"/>
      <w:textAlignment w:val="baseline"/>
      <w:outlineLvl w:val="1"/>
    </w:pPr>
    <w:rPr>
      <w:rFonts w:ascii="黑体" w:hAnsi="Times New Roman" w:eastAsia="黑体" w:cs="Times New Roman"/>
      <w:kern w:val="21"/>
      <w:sz w:val="21"/>
      <w:lang w:val="en-US" w:eastAsia="zh-CN" w:bidi="ar-SA"/>
    </w:rPr>
  </w:style>
  <w:style w:type="paragraph" w:customStyle="1" w:styleId="100">
    <w:name w:val="附录五级无"/>
    <w:basedOn w:val="101"/>
    <w:qFormat/>
    <w:uiPriority w:val="0"/>
    <w:pPr>
      <w:tabs>
        <w:tab w:val="left" w:pos="360"/>
      </w:tabs>
      <w:spacing w:beforeLines="0" w:afterLines="0"/>
    </w:pPr>
    <w:rPr>
      <w:rFonts w:ascii="宋体" w:eastAsia="宋体"/>
      <w:szCs w:val="21"/>
    </w:rPr>
  </w:style>
  <w:style w:type="paragraph" w:customStyle="1" w:styleId="101">
    <w:name w:val="附录五级条标题"/>
    <w:basedOn w:val="102"/>
    <w:next w:val="63"/>
    <w:qFormat/>
    <w:uiPriority w:val="0"/>
    <w:pPr>
      <w:tabs>
        <w:tab w:val="left" w:pos="360"/>
      </w:tabs>
      <w:outlineLvl w:val="6"/>
    </w:pPr>
  </w:style>
  <w:style w:type="paragraph" w:customStyle="1" w:styleId="102">
    <w:name w:val="附录四级条标题"/>
    <w:basedOn w:val="103"/>
    <w:next w:val="63"/>
    <w:qFormat/>
    <w:uiPriority w:val="0"/>
    <w:pPr>
      <w:tabs>
        <w:tab w:val="left" w:pos="360"/>
      </w:tabs>
    </w:pPr>
  </w:style>
  <w:style w:type="paragraph" w:customStyle="1" w:styleId="103">
    <w:name w:val="附录三级条标题"/>
    <w:basedOn w:val="104"/>
    <w:next w:val="63"/>
    <w:qFormat/>
    <w:uiPriority w:val="0"/>
    <w:pPr>
      <w:tabs>
        <w:tab w:val="left" w:pos="360"/>
      </w:tabs>
    </w:pPr>
  </w:style>
  <w:style w:type="paragraph" w:customStyle="1" w:styleId="104">
    <w:name w:val="附录二级条标题"/>
    <w:basedOn w:val="1"/>
    <w:next w:val="63"/>
    <w:qFormat/>
    <w:uiPriority w:val="0"/>
    <w:pPr>
      <w:tabs>
        <w:tab w:val="left" w:pos="360"/>
      </w:tabs>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105">
    <w:name w:val="附录图标题"/>
    <w:basedOn w:val="1"/>
    <w:next w:val="63"/>
    <w:qFormat/>
    <w:uiPriority w:val="0"/>
    <w:pPr>
      <w:tabs>
        <w:tab w:val="left" w:pos="363"/>
      </w:tabs>
      <w:spacing w:beforeLines="50" w:afterLines="50"/>
      <w:jc w:val="center"/>
    </w:pPr>
    <w:rPr>
      <w:rFonts w:ascii="黑体" w:eastAsia="黑体"/>
      <w:szCs w:val="21"/>
    </w:rPr>
  </w:style>
  <w:style w:type="paragraph" w:customStyle="1" w:styleId="106">
    <w:name w:val="附录图标号"/>
    <w:basedOn w:val="1"/>
    <w:qFormat/>
    <w:uiPriority w:val="0"/>
    <w:pPr>
      <w:keepNext/>
      <w:pageBreakBefore/>
      <w:spacing w:line="14" w:lineRule="exact"/>
      <w:ind w:firstLine="363"/>
      <w:jc w:val="center"/>
      <w:outlineLvl w:val="0"/>
    </w:pPr>
    <w:rPr>
      <w:color w:val="FFFFFF"/>
    </w:rPr>
  </w:style>
  <w:style w:type="paragraph" w:customStyle="1" w:styleId="107">
    <w:name w:val="附录四级无"/>
    <w:basedOn w:val="102"/>
    <w:qFormat/>
    <w:uiPriority w:val="0"/>
    <w:pPr>
      <w:tabs>
        <w:tab w:val="clear" w:pos="360"/>
      </w:tabs>
      <w:spacing w:beforeLines="0" w:afterLines="0"/>
      <w:outlineLvl w:val="5"/>
    </w:pPr>
    <w:rPr>
      <w:rFonts w:ascii="宋体" w:eastAsia="宋体"/>
      <w:szCs w:val="21"/>
    </w:rPr>
  </w:style>
  <w:style w:type="paragraph" w:customStyle="1" w:styleId="108">
    <w:name w:val="附录三级无"/>
    <w:basedOn w:val="103"/>
    <w:qFormat/>
    <w:uiPriority w:val="0"/>
  </w:style>
  <w:style w:type="paragraph" w:customStyle="1" w:styleId="109">
    <w:name w:val="注："/>
    <w:next w:val="63"/>
    <w:qFormat/>
    <w:uiPriority w:val="0"/>
    <w:pPr>
      <w:widowControl w:val="0"/>
      <w:autoSpaceDE w:val="0"/>
      <w:autoSpaceDN w:val="0"/>
      <w:spacing w:line="360" w:lineRule="exact"/>
      <w:ind w:left="726" w:hanging="363"/>
      <w:jc w:val="both"/>
    </w:pPr>
    <w:rPr>
      <w:rFonts w:ascii="宋体" w:hAnsi="Times New Roman" w:eastAsia="宋体" w:cs="Times New Roman"/>
      <w:sz w:val="18"/>
      <w:szCs w:val="18"/>
      <w:lang w:val="en-US" w:eastAsia="zh-CN" w:bidi="ar-SA"/>
    </w:rPr>
  </w:style>
  <w:style w:type="paragraph" w:customStyle="1" w:styleId="110">
    <w:name w:val="附录公式编号制表符"/>
    <w:basedOn w:val="1"/>
    <w:next w:val="63"/>
    <w:qFormat/>
    <w:uiPriority w:val="0"/>
    <w:pPr>
      <w:tabs>
        <w:tab w:val="center" w:pos="4201"/>
        <w:tab w:val="right" w:leader="dot" w:pos="9298"/>
      </w:tabs>
      <w:autoSpaceDE w:val="0"/>
      <w:autoSpaceDN w:val="0"/>
    </w:pPr>
    <w:rPr>
      <w:rFonts w:ascii="宋体"/>
      <w:kern w:val="0"/>
      <w:szCs w:val="20"/>
    </w:rPr>
  </w:style>
  <w:style w:type="paragraph" w:customStyle="1" w:styleId="111">
    <w:name w:val="附录二级无"/>
    <w:basedOn w:val="104"/>
    <w:qFormat/>
    <w:uiPriority w:val="0"/>
  </w:style>
  <w:style w:type="paragraph" w:customStyle="1" w:styleId="112">
    <w:name w:val="附录标题"/>
    <w:basedOn w:val="63"/>
    <w:next w:val="63"/>
    <w:qFormat/>
    <w:uiPriority w:val="0"/>
    <w:pPr>
      <w:ind w:firstLine="0" w:firstLineChars="0"/>
      <w:jc w:val="center"/>
    </w:pPr>
    <w:rPr>
      <w:rFonts w:ascii="黑体" w:eastAsia="黑体"/>
    </w:rPr>
  </w:style>
  <w:style w:type="paragraph" w:customStyle="1" w:styleId="113">
    <w:name w:val="参考文献"/>
    <w:basedOn w:val="1"/>
    <w:next w:val="63"/>
    <w:qFormat/>
    <w:uiPriority w:val="0"/>
    <w:pPr>
      <w:keepNext/>
      <w:pageBreakBefore/>
      <w:shd w:val="clear" w:color="FFFFFF" w:fill="FFFFFF"/>
      <w:spacing w:before="640" w:after="200"/>
      <w:jc w:val="center"/>
      <w:outlineLvl w:val="0"/>
    </w:pPr>
    <w:rPr>
      <w:rFonts w:ascii="黑体" w:eastAsia="黑体"/>
      <w:kern w:val="0"/>
      <w:szCs w:val="20"/>
    </w:rPr>
  </w:style>
  <w:style w:type="paragraph" w:customStyle="1" w:styleId="114">
    <w:name w:val="封面正文"/>
    <w:qFormat/>
    <w:uiPriority w:val="0"/>
    <w:pPr>
      <w:spacing w:line="360" w:lineRule="exact"/>
      <w:jc w:val="both"/>
    </w:pPr>
    <w:rPr>
      <w:rFonts w:ascii="Times New Roman" w:hAnsi="Times New Roman" w:eastAsia="宋体" w:cs="Times New Roman"/>
      <w:lang w:val="en-US" w:eastAsia="zh-CN" w:bidi="ar-SA"/>
    </w:rPr>
  </w:style>
  <w:style w:type="paragraph" w:customStyle="1" w:styleId="115">
    <w:name w:val="封面标准文稿类别"/>
    <w:basedOn w:val="76"/>
    <w:qFormat/>
    <w:uiPriority w:val="0"/>
    <w:pPr>
      <w:framePr w:wrap="around"/>
      <w:spacing w:after="160" w:line="240" w:lineRule="auto"/>
    </w:pPr>
    <w:rPr>
      <w:sz w:val="24"/>
    </w:rPr>
  </w:style>
  <w:style w:type="paragraph" w:customStyle="1" w:styleId="116">
    <w:name w:val="封面标准号1"/>
    <w:qFormat/>
    <w:uiPriority w:val="0"/>
    <w:pPr>
      <w:widowControl w:val="0"/>
      <w:kinsoku w:val="0"/>
      <w:overflowPunct w:val="0"/>
      <w:autoSpaceDE w:val="0"/>
      <w:autoSpaceDN w:val="0"/>
      <w:spacing w:before="308" w:line="360" w:lineRule="exact"/>
      <w:jc w:val="right"/>
      <w:textAlignment w:val="center"/>
    </w:pPr>
    <w:rPr>
      <w:rFonts w:ascii="Times New Roman" w:hAnsi="Times New Roman" w:eastAsia="宋体" w:cs="Times New Roman"/>
      <w:sz w:val="28"/>
      <w:lang w:val="en-US" w:eastAsia="zh-CN" w:bidi="ar-SA"/>
    </w:rPr>
  </w:style>
  <w:style w:type="paragraph" w:customStyle="1" w:styleId="117">
    <w:name w:val="其他实施日期"/>
    <w:basedOn w:val="89"/>
    <w:qFormat/>
    <w:uiPriority w:val="0"/>
    <w:pPr>
      <w:framePr w:wrap="around" w:vAnchor="margin" w:hAnchor="page"/>
    </w:pPr>
  </w:style>
  <w:style w:type="paragraph" w:customStyle="1" w:styleId="118">
    <w:name w:val="封面标准代替信息"/>
    <w:qFormat/>
    <w:uiPriority w:val="0"/>
    <w:pPr>
      <w:framePr w:w="9140" w:h="1242" w:hRule="exact" w:hSpace="284" w:wrap="around" w:vAnchor="page" w:hAnchor="page" w:x="1645" w:y="2910" w:anchorLock="1"/>
      <w:spacing w:before="57" w:line="280" w:lineRule="exact"/>
      <w:jc w:val="right"/>
    </w:pPr>
    <w:rPr>
      <w:rFonts w:ascii="宋体" w:hAnsi="Times New Roman" w:eastAsia="宋体" w:cs="Times New Roman"/>
      <w:sz w:val="21"/>
      <w:szCs w:val="21"/>
      <w:lang w:val="en-US" w:eastAsia="zh-CN" w:bidi="ar-SA"/>
    </w:rPr>
  </w:style>
  <w:style w:type="paragraph" w:customStyle="1" w:styleId="119">
    <w:name w:val="发布部门"/>
    <w:next w:val="63"/>
    <w:qFormat/>
    <w:uiPriority w:val="0"/>
    <w:pPr>
      <w:framePr w:w="7938" w:h="1134" w:hRule="exact" w:hSpace="125" w:vSpace="181" w:wrap="around" w:vAnchor="page" w:hAnchor="page" w:x="2150" w:y="14630" w:anchorLock="1"/>
      <w:spacing w:line="360" w:lineRule="exact"/>
      <w:jc w:val="center"/>
    </w:pPr>
    <w:rPr>
      <w:rFonts w:ascii="宋体" w:hAnsi="Times New Roman" w:eastAsia="宋体" w:cs="Times New Roman"/>
      <w:b/>
      <w:spacing w:val="20"/>
      <w:w w:val="135"/>
      <w:sz w:val="28"/>
      <w:lang w:val="en-US" w:eastAsia="zh-CN" w:bidi="ar-SA"/>
    </w:rPr>
  </w:style>
  <w:style w:type="paragraph" w:customStyle="1" w:styleId="120">
    <w:name w:val="注：（正文）"/>
    <w:basedOn w:val="109"/>
    <w:next w:val="63"/>
    <w:qFormat/>
    <w:uiPriority w:val="0"/>
  </w:style>
  <w:style w:type="paragraph" w:customStyle="1" w:styleId="121">
    <w:name w:val="参考文献、索引标题"/>
    <w:basedOn w:val="1"/>
    <w:next w:val="63"/>
    <w:qFormat/>
    <w:uiPriority w:val="0"/>
    <w:pPr>
      <w:keepNext/>
      <w:pageBreakBefore/>
      <w:shd w:val="clear" w:color="FFFFFF" w:fill="FFFFFF"/>
      <w:spacing w:before="640" w:after="200"/>
      <w:jc w:val="center"/>
      <w:outlineLvl w:val="0"/>
    </w:pPr>
    <w:rPr>
      <w:rFonts w:ascii="黑体" w:eastAsia="黑体"/>
      <w:kern w:val="0"/>
      <w:szCs w:val="20"/>
    </w:rPr>
  </w:style>
  <w:style w:type="paragraph" w:customStyle="1" w:styleId="122">
    <w:name w:val="标准称谓"/>
    <w:next w:val="1"/>
    <w:qFormat/>
    <w:uiPriority w:val="0"/>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48"/>
      <w:lang w:val="en-US" w:eastAsia="zh-CN" w:bidi="ar-SA"/>
    </w:rPr>
  </w:style>
  <w:style w:type="paragraph" w:customStyle="1" w:styleId="123">
    <w:name w:val="标准标志"/>
    <w:next w:val="1"/>
    <w:qFormat/>
    <w:uiPriority w:val="0"/>
    <w:pPr>
      <w:framePr w:w="2546" w:h="1389" w:hRule="exact" w:hSpace="181" w:vSpace="181" w:wrap="around" w:vAnchor="margin" w:hAnchor="margin" w:x="6522" w:y="398" w:anchorLock="1"/>
      <w:shd w:val="solid" w:color="FFFFFF" w:fill="FFFFFF"/>
      <w:spacing w:line="0" w:lineRule="atLeast"/>
      <w:jc w:val="right"/>
    </w:pPr>
    <w:rPr>
      <w:rFonts w:ascii="Times New Roman" w:hAnsi="Times New Roman" w:eastAsia="宋体" w:cs="Times New Roman"/>
      <w:b/>
      <w:w w:val="170"/>
      <w:sz w:val="96"/>
      <w:szCs w:val="96"/>
      <w:lang w:val="en-US" w:eastAsia="zh-CN" w:bidi="ar-SA"/>
    </w:rPr>
  </w:style>
  <w:style w:type="paragraph" w:customStyle="1" w:styleId="124">
    <w:name w:val="附录数字编号列项（二级）"/>
    <w:qFormat/>
    <w:uiPriority w:val="0"/>
    <w:pPr>
      <w:tabs>
        <w:tab w:val="left" w:pos="840"/>
      </w:tabs>
      <w:spacing w:line="360" w:lineRule="exact"/>
      <w:ind w:left="839" w:hanging="419"/>
    </w:pPr>
    <w:rPr>
      <w:rFonts w:ascii="宋体" w:hAnsi="Times New Roman" w:eastAsia="宋体" w:cs="Times New Roman"/>
      <w:sz w:val="21"/>
      <w:lang w:val="en-US" w:eastAsia="zh-CN" w:bidi="ar-SA"/>
    </w:rPr>
  </w:style>
  <w:style w:type="paragraph" w:customStyle="1" w:styleId="125">
    <w:name w:val="注×：（正文）"/>
    <w:qFormat/>
    <w:uiPriority w:val="0"/>
    <w:pPr>
      <w:spacing w:line="360" w:lineRule="exact"/>
      <w:ind w:left="811" w:hanging="448"/>
      <w:jc w:val="both"/>
    </w:pPr>
    <w:rPr>
      <w:rFonts w:ascii="宋体" w:hAnsi="Times New Roman" w:eastAsia="宋体" w:cs="Times New Roman"/>
      <w:sz w:val="18"/>
      <w:szCs w:val="18"/>
      <w:lang w:val="en-US" w:eastAsia="zh-CN" w:bidi="ar-SA"/>
    </w:rPr>
  </w:style>
  <w:style w:type="paragraph" w:customStyle="1" w:styleId="126">
    <w:name w:val="示例内容"/>
    <w:qFormat/>
    <w:uiPriority w:val="0"/>
    <w:pPr>
      <w:spacing w:line="360" w:lineRule="exact"/>
      <w:ind w:firstLine="200" w:firstLineChars="200"/>
    </w:pPr>
    <w:rPr>
      <w:rFonts w:ascii="宋体" w:hAnsi="Times New Roman" w:eastAsia="宋体" w:cs="Times New Roman"/>
      <w:sz w:val="18"/>
      <w:szCs w:val="18"/>
      <w:lang w:val="en-US" w:eastAsia="zh-CN" w:bidi="ar-SA"/>
    </w:rPr>
  </w:style>
  <w:style w:type="paragraph" w:customStyle="1" w:styleId="127">
    <w:name w:val="示例×："/>
    <w:basedOn w:val="128"/>
    <w:qFormat/>
    <w:uiPriority w:val="0"/>
    <w:pPr>
      <w:spacing w:beforeLines="0" w:afterLines="0"/>
      <w:ind w:firstLine="363"/>
      <w:outlineLvl w:val="9"/>
    </w:pPr>
    <w:rPr>
      <w:rFonts w:ascii="宋体" w:eastAsia="宋体"/>
      <w:sz w:val="18"/>
      <w:szCs w:val="18"/>
    </w:rPr>
  </w:style>
  <w:style w:type="paragraph" w:customStyle="1" w:styleId="128">
    <w:name w:val="章标题"/>
    <w:next w:val="63"/>
    <w:qFormat/>
    <w:uiPriority w:val="0"/>
    <w:pPr>
      <w:spacing w:beforeLines="100" w:afterLines="100" w:line="360" w:lineRule="exact"/>
      <w:jc w:val="both"/>
      <w:outlineLvl w:val="1"/>
    </w:pPr>
    <w:rPr>
      <w:rFonts w:ascii="黑体" w:hAnsi="Times New Roman" w:eastAsia="黑体" w:cs="Times New Roman"/>
      <w:sz w:val="21"/>
      <w:lang w:val="en-US" w:eastAsia="zh-CN" w:bidi="ar-SA"/>
    </w:rPr>
  </w:style>
  <w:style w:type="paragraph" w:customStyle="1" w:styleId="129">
    <w:name w:val="编号列项（三级）"/>
    <w:qFormat/>
    <w:uiPriority w:val="99"/>
    <w:pPr>
      <w:tabs>
        <w:tab w:val="left" w:pos="0"/>
      </w:tabs>
      <w:spacing w:line="360" w:lineRule="exact"/>
      <w:ind w:left="1679" w:hanging="420"/>
    </w:pPr>
    <w:rPr>
      <w:rFonts w:ascii="宋体" w:hAnsi="Times New Roman" w:eastAsia="宋体" w:cs="Times New Roman"/>
      <w:sz w:val="21"/>
      <w:lang w:val="en-US" w:eastAsia="zh-CN" w:bidi="ar-SA"/>
    </w:rPr>
  </w:style>
  <w:style w:type="paragraph" w:customStyle="1" w:styleId="130">
    <w:name w:val="注×："/>
    <w:qFormat/>
    <w:uiPriority w:val="0"/>
    <w:pPr>
      <w:widowControl w:val="0"/>
      <w:autoSpaceDE w:val="0"/>
      <w:autoSpaceDN w:val="0"/>
      <w:spacing w:line="360" w:lineRule="exact"/>
      <w:ind w:left="811" w:hanging="448"/>
      <w:jc w:val="both"/>
    </w:pPr>
    <w:rPr>
      <w:rFonts w:ascii="宋体" w:hAnsi="Times New Roman" w:eastAsia="宋体" w:cs="Times New Roman"/>
      <w:sz w:val="18"/>
      <w:szCs w:val="18"/>
      <w:lang w:val="en-US" w:eastAsia="zh-CN" w:bidi="ar-SA"/>
    </w:rPr>
  </w:style>
  <w:style w:type="paragraph" w:customStyle="1" w:styleId="131">
    <w:name w:val="数字编号列项（二级）"/>
    <w:qFormat/>
    <w:uiPriority w:val="99"/>
    <w:pPr>
      <w:tabs>
        <w:tab w:val="left" w:pos="1260"/>
      </w:tabs>
      <w:spacing w:line="360" w:lineRule="exact"/>
      <w:ind w:left="1259" w:hanging="419"/>
      <w:jc w:val="both"/>
    </w:pPr>
    <w:rPr>
      <w:rFonts w:ascii="宋体" w:hAnsi="Times New Roman" w:eastAsia="宋体" w:cs="Times New Roman"/>
      <w:sz w:val="21"/>
      <w:lang w:val="en-US" w:eastAsia="zh-CN" w:bidi="ar-SA"/>
    </w:rPr>
  </w:style>
  <w:style w:type="paragraph" w:customStyle="1" w:styleId="132">
    <w:name w:val="五级无"/>
    <w:basedOn w:val="133"/>
    <w:qFormat/>
    <w:uiPriority w:val="0"/>
    <w:pPr>
      <w:spacing w:beforeLines="0" w:afterLines="0"/>
      <w:outlineLvl w:val="6"/>
    </w:pPr>
    <w:rPr>
      <w:rFonts w:ascii="宋体" w:eastAsia="宋体"/>
    </w:rPr>
  </w:style>
  <w:style w:type="paragraph" w:customStyle="1" w:styleId="133">
    <w:name w:val="五级条标题"/>
    <w:basedOn w:val="134"/>
    <w:next w:val="63"/>
    <w:qFormat/>
    <w:uiPriority w:val="0"/>
  </w:style>
  <w:style w:type="paragraph" w:customStyle="1" w:styleId="134">
    <w:name w:val="四级条标题"/>
    <w:basedOn w:val="135"/>
    <w:next w:val="63"/>
    <w:qFormat/>
    <w:uiPriority w:val="0"/>
  </w:style>
  <w:style w:type="paragraph" w:customStyle="1" w:styleId="135">
    <w:name w:val="三级条标题"/>
    <w:basedOn w:val="136"/>
    <w:next w:val="63"/>
    <w:qFormat/>
    <w:uiPriority w:val="0"/>
  </w:style>
  <w:style w:type="paragraph" w:customStyle="1" w:styleId="136">
    <w:name w:val="二级条标题"/>
    <w:basedOn w:val="69"/>
    <w:next w:val="63"/>
    <w:qFormat/>
    <w:uiPriority w:val="0"/>
  </w:style>
  <w:style w:type="paragraph" w:customStyle="1" w:styleId="137">
    <w:name w:val="四级无"/>
    <w:basedOn w:val="134"/>
    <w:qFormat/>
    <w:uiPriority w:val="0"/>
  </w:style>
  <w:style w:type="paragraph" w:customStyle="1" w:styleId="138">
    <w:name w:val="三级无"/>
    <w:basedOn w:val="135"/>
    <w:qFormat/>
    <w:uiPriority w:val="0"/>
  </w:style>
  <w:style w:type="paragraph" w:customStyle="1" w:styleId="139">
    <w:name w:val="其他标准标志"/>
    <w:basedOn w:val="123"/>
    <w:qFormat/>
    <w:uiPriority w:val="0"/>
    <w:pPr>
      <w:framePr w:w="6101" w:wrap="around" w:vAnchor="page" w:hAnchor="page" w:x="4673" w:y="942"/>
    </w:pPr>
    <w:rPr>
      <w:w w:val="130"/>
    </w:rPr>
  </w:style>
  <w:style w:type="paragraph" w:customStyle="1" w:styleId="140">
    <w:name w:val="目次、标准名称标题"/>
    <w:basedOn w:val="1"/>
    <w:next w:val="63"/>
    <w:qFormat/>
    <w:uiPriority w:val="0"/>
    <w:pPr>
      <w:keepNext/>
      <w:pageBreakBefore/>
      <w:shd w:val="clear" w:color="FFFFFF" w:fill="FFFFFF"/>
      <w:spacing w:before="640" w:after="560" w:line="460" w:lineRule="exact"/>
      <w:jc w:val="center"/>
      <w:outlineLvl w:val="0"/>
    </w:pPr>
    <w:rPr>
      <w:rFonts w:ascii="黑体" w:eastAsia="黑体"/>
      <w:kern w:val="0"/>
      <w:sz w:val="32"/>
      <w:szCs w:val="20"/>
    </w:rPr>
  </w:style>
  <w:style w:type="paragraph" w:customStyle="1" w:styleId="141">
    <w:name w:val="封面标准号2"/>
    <w:qFormat/>
    <w:uiPriority w:val="0"/>
    <w:pPr>
      <w:framePr w:w="9140" w:h="1242" w:hRule="exact" w:hSpace="284" w:wrap="around" w:vAnchor="page" w:hAnchor="page" w:x="1645" w:y="2910" w:anchorLock="1"/>
      <w:spacing w:before="357" w:line="280" w:lineRule="exact"/>
      <w:jc w:val="right"/>
    </w:pPr>
    <w:rPr>
      <w:rFonts w:ascii="黑体" w:hAnsi="Times New Roman" w:eastAsia="黑体" w:cs="Times New Roman"/>
      <w:sz w:val="28"/>
      <w:szCs w:val="28"/>
      <w:lang w:val="en-US" w:eastAsia="zh-CN" w:bidi="ar-SA"/>
    </w:rPr>
  </w:style>
  <w:style w:type="paragraph" w:customStyle="1" w:styleId="142">
    <w:name w:val="列项——（一级）"/>
    <w:qFormat/>
    <w:uiPriority w:val="99"/>
    <w:pPr>
      <w:widowControl w:val="0"/>
      <w:spacing w:line="360" w:lineRule="exact"/>
      <w:ind w:left="1260" w:hanging="408"/>
      <w:jc w:val="both"/>
    </w:pPr>
    <w:rPr>
      <w:rFonts w:ascii="宋体" w:hAnsi="Times New Roman" w:eastAsia="宋体" w:cs="Times New Roman"/>
      <w:sz w:val="21"/>
      <w:lang w:val="en-US" w:eastAsia="zh-CN" w:bidi="ar-SA"/>
    </w:rPr>
  </w:style>
  <w:style w:type="character" w:customStyle="1" w:styleId="143">
    <w:name w:val="批注框文本 字符"/>
    <w:basedOn w:val="39"/>
    <w:link w:val="21"/>
    <w:semiHidden/>
    <w:qFormat/>
    <w:uiPriority w:val="99"/>
    <w:rPr>
      <w:rFonts w:ascii="Times New Roman" w:hAnsi="Times New Roman" w:eastAsia="宋体" w:cs="Times New Roman"/>
      <w:sz w:val="18"/>
      <w:szCs w:val="18"/>
    </w:rPr>
  </w:style>
  <w:style w:type="paragraph" w:customStyle="1" w:styleId="144">
    <w:name w:val="列项◆（三级）"/>
    <w:basedOn w:val="1"/>
    <w:qFormat/>
    <w:uiPriority w:val="99"/>
    <w:pPr>
      <w:tabs>
        <w:tab w:val="left" w:pos="969"/>
      </w:tabs>
      <w:ind w:left="969" w:hanging="414"/>
    </w:pPr>
    <w:rPr>
      <w:rFonts w:ascii="宋体"/>
      <w:szCs w:val="21"/>
    </w:rPr>
  </w:style>
  <w:style w:type="paragraph" w:customStyle="1" w:styleId="145">
    <w:name w:val="标准书眉_奇数页"/>
    <w:next w:val="1"/>
    <w:qFormat/>
    <w:uiPriority w:val="0"/>
    <w:pPr>
      <w:tabs>
        <w:tab w:val="center" w:pos="4154"/>
        <w:tab w:val="right" w:pos="8306"/>
      </w:tabs>
      <w:spacing w:after="220" w:line="360" w:lineRule="exact"/>
      <w:jc w:val="right"/>
    </w:pPr>
    <w:rPr>
      <w:rFonts w:ascii="黑体" w:hAnsi="Times New Roman" w:eastAsia="黑体" w:cs="Times New Roman"/>
      <w:sz w:val="21"/>
      <w:szCs w:val="21"/>
      <w:lang w:val="en-US" w:eastAsia="zh-CN" w:bidi="ar-SA"/>
    </w:rPr>
  </w:style>
  <w:style w:type="character" w:customStyle="1" w:styleId="146">
    <w:name w:val="页眉 字符"/>
    <w:basedOn w:val="39"/>
    <w:link w:val="23"/>
    <w:semiHidden/>
    <w:qFormat/>
    <w:uiPriority w:val="99"/>
    <w:rPr>
      <w:rFonts w:ascii="Times New Roman" w:hAnsi="Times New Roman" w:eastAsia="宋体" w:cs="Times New Roman"/>
      <w:sz w:val="18"/>
      <w:szCs w:val="18"/>
    </w:rPr>
  </w:style>
  <w:style w:type="paragraph" w:customStyle="1" w:styleId="147">
    <w:name w:val="标准书脚_奇数页"/>
    <w:qFormat/>
    <w:uiPriority w:val="0"/>
    <w:pPr>
      <w:spacing w:before="120" w:line="360" w:lineRule="exact"/>
      <w:ind w:right="198"/>
      <w:jc w:val="right"/>
    </w:pPr>
    <w:rPr>
      <w:rFonts w:ascii="宋体" w:hAnsi="Times New Roman" w:eastAsia="宋体" w:cs="Times New Roman"/>
      <w:sz w:val="18"/>
      <w:szCs w:val="18"/>
      <w:lang w:val="en-US" w:eastAsia="zh-CN" w:bidi="ar-SA"/>
    </w:rPr>
  </w:style>
  <w:style w:type="paragraph" w:customStyle="1" w:styleId="148">
    <w:name w:val="其他发布部门"/>
    <w:basedOn w:val="119"/>
    <w:qFormat/>
    <w:uiPriority w:val="0"/>
    <w:pPr>
      <w:framePr w:wrap="around" w:y="15310"/>
      <w:spacing w:line="0" w:lineRule="atLeast"/>
    </w:pPr>
    <w:rPr>
      <w:rFonts w:ascii="黑体" w:eastAsia="黑体"/>
      <w:b w:val="0"/>
    </w:rPr>
  </w:style>
  <w:style w:type="paragraph" w:customStyle="1" w:styleId="149">
    <w:name w:val="列项说明数字编号"/>
    <w:qFormat/>
    <w:uiPriority w:val="0"/>
    <w:pPr>
      <w:spacing w:line="360" w:lineRule="exact"/>
      <w:ind w:left="600" w:leftChars="400" w:hanging="200" w:hangingChars="200"/>
    </w:pPr>
    <w:rPr>
      <w:rFonts w:ascii="宋体" w:hAnsi="Times New Roman" w:eastAsia="宋体" w:cs="Times New Roman"/>
      <w:sz w:val="21"/>
      <w:lang w:val="en-US" w:eastAsia="zh-CN" w:bidi="ar-SA"/>
    </w:rPr>
  </w:style>
  <w:style w:type="paragraph" w:customStyle="1" w:styleId="150">
    <w:name w:val="正文图标题"/>
    <w:next w:val="63"/>
    <w:qFormat/>
    <w:uiPriority w:val="0"/>
    <w:pPr>
      <w:tabs>
        <w:tab w:val="left" w:pos="360"/>
      </w:tabs>
      <w:spacing w:beforeLines="50" w:afterLines="50" w:line="360" w:lineRule="exact"/>
      <w:jc w:val="center"/>
    </w:pPr>
    <w:rPr>
      <w:rFonts w:ascii="黑体" w:hAnsi="Times New Roman" w:eastAsia="黑体" w:cs="Times New Roman"/>
      <w:sz w:val="21"/>
      <w:lang w:val="en-US" w:eastAsia="zh-CN" w:bidi="ar-SA"/>
    </w:rPr>
  </w:style>
  <w:style w:type="character" w:customStyle="1" w:styleId="151">
    <w:name w:val="HTML 预设格式 字符"/>
    <w:basedOn w:val="39"/>
    <w:link w:val="31"/>
    <w:semiHidden/>
    <w:qFormat/>
    <w:uiPriority w:val="99"/>
    <w:rPr>
      <w:rFonts w:ascii="Courier New" w:hAnsi="Courier New" w:eastAsia="宋体" w:cs="Courier New"/>
      <w:sz w:val="20"/>
      <w:szCs w:val="20"/>
    </w:rPr>
  </w:style>
  <w:style w:type="paragraph" w:customStyle="1" w:styleId="152">
    <w:name w:val="附录标识"/>
    <w:basedOn w:val="1"/>
    <w:next w:val="63"/>
    <w:qFormat/>
    <w:uiPriority w:val="0"/>
    <w:pPr>
      <w:keepNext/>
      <w:shd w:val="clear" w:color="FFFFFF" w:fill="FFFFFF"/>
      <w:tabs>
        <w:tab w:val="left" w:pos="6405"/>
      </w:tabs>
      <w:spacing w:before="640" w:after="280"/>
      <w:jc w:val="center"/>
      <w:outlineLvl w:val="0"/>
    </w:pPr>
    <w:rPr>
      <w:rFonts w:ascii="黑体" w:eastAsia="黑体"/>
      <w:kern w:val="0"/>
      <w:szCs w:val="20"/>
    </w:rPr>
  </w:style>
  <w:style w:type="character" w:customStyle="1" w:styleId="153">
    <w:name w:val="脚注文本 字符"/>
    <w:basedOn w:val="39"/>
    <w:link w:val="27"/>
    <w:semiHidden/>
    <w:qFormat/>
    <w:uiPriority w:val="99"/>
    <w:rPr>
      <w:rFonts w:ascii="Times New Roman" w:hAnsi="Times New Roman" w:eastAsia="宋体" w:cs="Times New Roman"/>
      <w:sz w:val="18"/>
      <w:szCs w:val="18"/>
    </w:rPr>
  </w:style>
  <w:style w:type="paragraph" w:customStyle="1" w:styleId="154">
    <w:name w:val="字母编号列项（一级）"/>
    <w:qFormat/>
    <w:uiPriority w:val="99"/>
    <w:pPr>
      <w:tabs>
        <w:tab w:val="left" w:pos="840"/>
      </w:tabs>
      <w:spacing w:line="360" w:lineRule="exact"/>
      <w:ind w:left="839" w:hanging="419"/>
      <w:jc w:val="both"/>
    </w:pPr>
    <w:rPr>
      <w:rFonts w:ascii="宋体" w:hAnsi="Times New Roman" w:eastAsia="宋体" w:cs="Times New Roman"/>
      <w:sz w:val="21"/>
      <w:lang w:val="en-US" w:eastAsia="zh-CN" w:bidi="ar-SA"/>
    </w:rPr>
  </w:style>
  <w:style w:type="paragraph" w:customStyle="1" w:styleId="155">
    <w:name w:val="二级无"/>
    <w:basedOn w:val="136"/>
    <w:qFormat/>
    <w:uiPriority w:val="0"/>
  </w:style>
  <w:style w:type="paragraph" w:customStyle="1" w:styleId="156">
    <w:name w:val="列项●（二级）"/>
    <w:qFormat/>
    <w:uiPriority w:val="99"/>
    <w:pPr>
      <w:tabs>
        <w:tab w:val="left" w:pos="51"/>
        <w:tab w:val="left" w:pos="840"/>
      </w:tabs>
      <w:spacing w:line="360" w:lineRule="exact"/>
      <w:ind w:left="555" w:hanging="413"/>
      <w:jc w:val="both"/>
    </w:pPr>
    <w:rPr>
      <w:rFonts w:ascii="宋体" w:hAnsi="Times New Roman" w:eastAsia="宋体" w:cs="Times New Roman"/>
      <w:sz w:val="21"/>
      <w:lang w:val="en-US" w:eastAsia="zh-CN" w:bidi="ar-SA"/>
    </w:rPr>
  </w:style>
  <w:style w:type="character" w:customStyle="1" w:styleId="157">
    <w:name w:val="正文文本缩进 2 字符"/>
    <w:basedOn w:val="39"/>
    <w:link w:val="19"/>
    <w:semiHidden/>
    <w:qFormat/>
    <w:uiPriority w:val="99"/>
    <w:rPr>
      <w:rFonts w:ascii="Times New Roman" w:hAnsi="Times New Roman" w:eastAsia="宋体" w:cs="Times New Roman"/>
      <w:szCs w:val="24"/>
    </w:rPr>
  </w:style>
  <w:style w:type="paragraph" w:customStyle="1" w:styleId="158">
    <w:name w:val="封面标准文稿编辑信息2"/>
    <w:basedOn w:val="159"/>
    <w:qFormat/>
    <w:uiPriority w:val="0"/>
    <w:pPr>
      <w:framePr w:wrap="around" w:y="4469"/>
    </w:pPr>
  </w:style>
  <w:style w:type="paragraph" w:customStyle="1" w:styleId="159">
    <w:name w:val="封面标准文稿编辑信息"/>
    <w:basedOn w:val="115"/>
    <w:qFormat/>
    <w:uiPriority w:val="0"/>
    <w:pPr>
      <w:framePr w:wrap="around"/>
      <w:spacing w:before="180" w:line="180" w:lineRule="exact"/>
    </w:pPr>
    <w:rPr>
      <w:sz w:val="21"/>
    </w:rPr>
  </w:style>
  <w:style w:type="paragraph" w:customStyle="1" w:styleId="160">
    <w:name w:val="附录表标题"/>
    <w:basedOn w:val="1"/>
    <w:next w:val="63"/>
    <w:qFormat/>
    <w:uiPriority w:val="0"/>
    <w:pPr>
      <w:tabs>
        <w:tab w:val="left" w:pos="180"/>
      </w:tabs>
      <w:spacing w:beforeLines="50" w:afterLines="50"/>
      <w:jc w:val="center"/>
    </w:pPr>
    <w:rPr>
      <w:rFonts w:ascii="黑体" w:eastAsia="黑体"/>
      <w:szCs w:val="21"/>
    </w:rPr>
  </w:style>
  <w:style w:type="paragraph" w:customStyle="1" w:styleId="161">
    <w:name w:val="标准书眉_偶数页"/>
    <w:basedOn w:val="145"/>
    <w:next w:val="1"/>
    <w:qFormat/>
    <w:uiPriority w:val="0"/>
    <w:pPr>
      <w:jc w:val="left"/>
    </w:pPr>
  </w:style>
  <w:style w:type="paragraph" w:customStyle="1" w:styleId="162">
    <w:name w:val="附录表标号"/>
    <w:basedOn w:val="1"/>
    <w:next w:val="63"/>
    <w:qFormat/>
    <w:uiPriority w:val="0"/>
    <w:pPr>
      <w:spacing w:line="14" w:lineRule="exact"/>
      <w:ind w:left="811" w:hanging="448"/>
      <w:jc w:val="center"/>
      <w:outlineLvl w:val="0"/>
    </w:pPr>
    <w:rPr>
      <w:color w:val="FFFFFF"/>
    </w:rPr>
  </w:style>
  <w:style w:type="paragraph" w:customStyle="1" w:styleId="163">
    <w:name w:val="图表脚注说明"/>
    <w:basedOn w:val="1"/>
    <w:qFormat/>
    <w:uiPriority w:val="0"/>
    <w:pPr>
      <w:ind w:left="544" w:hanging="181"/>
    </w:pPr>
    <w:rPr>
      <w:rFonts w:ascii="宋体"/>
      <w:sz w:val="18"/>
      <w:szCs w:val="18"/>
    </w:rPr>
  </w:style>
  <w:style w:type="character" w:customStyle="1" w:styleId="164">
    <w:name w:val="页脚 字符"/>
    <w:basedOn w:val="39"/>
    <w:link w:val="22"/>
    <w:semiHidden/>
    <w:qFormat/>
    <w:uiPriority w:val="99"/>
    <w:rPr>
      <w:rFonts w:ascii="Times New Roman" w:hAnsi="Times New Roman" w:eastAsia="宋体" w:cs="Times New Roman"/>
      <w:sz w:val="18"/>
      <w:szCs w:val="18"/>
    </w:rPr>
  </w:style>
  <w:style w:type="character" w:customStyle="1" w:styleId="165">
    <w:name w:val="批注文字 字符"/>
    <w:basedOn w:val="39"/>
    <w:link w:val="10"/>
    <w:semiHidden/>
    <w:qFormat/>
    <w:uiPriority w:val="99"/>
    <w:rPr>
      <w:rFonts w:ascii="Times New Roman" w:hAnsi="Times New Roman" w:eastAsia="宋体" w:cs="Times New Roman"/>
      <w:szCs w:val="24"/>
    </w:rPr>
  </w:style>
  <w:style w:type="paragraph" w:customStyle="1" w:styleId="166">
    <w:name w:val="封面标准名称2"/>
    <w:basedOn w:val="78"/>
    <w:qFormat/>
    <w:uiPriority w:val="0"/>
    <w:pPr>
      <w:framePr w:wrap="around" w:y="4469"/>
      <w:spacing w:beforeLines="630"/>
    </w:pPr>
  </w:style>
  <w:style w:type="character" w:customStyle="1" w:styleId="167">
    <w:name w:val="日期 字符"/>
    <w:basedOn w:val="39"/>
    <w:link w:val="18"/>
    <w:semiHidden/>
    <w:qFormat/>
    <w:uiPriority w:val="99"/>
    <w:rPr>
      <w:rFonts w:ascii="Times New Roman" w:hAnsi="Times New Roman" w:eastAsia="宋体" w:cs="Times New Roman"/>
      <w:szCs w:val="24"/>
    </w:rPr>
  </w:style>
  <w:style w:type="character" w:customStyle="1" w:styleId="168">
    <w:name w:val="文档结构图 字符"/>
    <w:basedOn w:val="39"/>
    <w:link w:val="9"/>
    <w:semiHidden/>
    <w:qFormat/>
    <w:uiPriority w:val="99"/>
    <w:rPr>
      <w:rFonts w:ascii="宋体" w:hAnsi="Times New Roman" w:eastAsia="宋体" w:cs="Times New Roman"/>
      <w:sz w:val="18"/>
      <w:szCs w:val="18"/>
    </w:rPr>
  </w:style>
  <w:style w:type="paragraph" w:customStyle="1" w:styleId="169">
    <w:name w:val="标准书眉一"/>
    <w:qFormat/>
    <w:uiPriority w:val="0"/>
    <w:pPr>
      <w:spacing w:line="360" w:lineRule="exact"/>
      <w:jc w:val="both"/>
    </w:pPr>
    <w:rPr>
      <w:rFonts w:ascii="Times New Roman" w:hAnsi="Times New Roman" w:eastAsia="宋体" w:cs="Times New Roman"/>
      <w:lang w:val="en-US" w:eastAsia="zh-CN" w:bidi="ar-SA"/>
    </w:rPr>
  </w:style>
  <w:style w:type="paragraph" w:customStyle="1" w:styleId="170">
    <w:name w:val="封面标准文稿类别2"/>
    <w:basedOn w:val="115"/>
    <w:qFormat/>
    <w:uiPriority w:val="0"/>
    <w:pPr>
      <w:framePr w:wrap="around" w:y="4469"/>
    </w:pPr>
  </w:style>
  <w:style w:type="paragraph" w:customStyle="1" w:styleId="171">
    <w:name w:val="标准书脚_偶数页"/>
    <w:qFormat/>
    <w:uiPriority w:val="0"/>
    <w:pPr>
      <w:spacing w:before="120" w:line="360" w:lineRule="exact"/>
      <w:ind w:left="221"/>
    </w:pPr>
    <w:rPr>
      <w:rFonts w:ascii="宋体" w:hAnsi="Times New Roman" w:eastAsia="宋体" w:cs="Times New Roman"/>
      <w:sz w:val="18"/>
      <w:szCs w:val="18"/>
      <w:lang w:val="en-US" w:eastAsia="zh-CN" w:bidi="ar-SA"/>
    </w:rPr>
  </w:style>
  <w:style w:type="paragraph" w:customStyle="1" w:styleId="172">
    <w:name w:val="终结线"/>
    <w:basedOn w:val="1"/>
    <w:qFormat/>
    <w:uiPriority w:val="0"/>
    <w:pPr>
      <w:framePr w:hSpace="181" w:vSpace="181" w:wrap="around" w:vAnchor="text" w:hAnchor="margin" w:xAlign="center" w:y="285"/>
    </w:pPr>
  </w:style>
  <w:style w:type="character" w:customStyle="1" w:styleId="173">
    <w:name w:val="批注主题 字符"/>
    <w:basedOn w:val="165"/>
    <w:link w:val="35"/>
    <w:semiHidden/>
    <w:qFormat/>
    <w:uiPriority w:val="99"/>
    <w:rPr>
      <w:rFonts w:ascii="Times New Roman" w:hAnsi="Times New Roman" w:eastAsia="宋体" w:cs="Times New Roman"/>
      <w:b/>
      <w:bCs/>
      <w:szCs w:val="24"/>
    </w:rPr>
  </w:style>
  <w:style w:type="character" w:customStyle="1" w:styleId="174">
    <w:name w:val="尾注文本 字符"/>
    <w:basedOn w:val="39"/>
    <w:link w:val="20"/>
    <w:semiHidden/>
    <w:qFormat/>
    <w:uiPriority w:val="99"/>
    <w:rPr>
      <w:rFonts w:ascii="Times New Roman" w:hAnsi="Times New Roman" w:eastAsia="宋体" w:cs="Times New Roman"/>
      <w:szCs w:val="24"/>
    </w:rPr>
  </w:style>
  <w:style w:type="paragraph" w:customStyle="1" w:styleId="175">
    <w:name w:val="示例"/>
    <w:next w:val="126"/>
    <w:qFormat/>
    <w:uiPriority w:val="0"/>
    <w:pPr>
      <w:widowControl w:val="0"/>
      <w:spacing w:line="360" w:lineRule="exact"/>
      <w:ind w:firstLine="363"/>
      <w:jc w:val="both"/>
    </w:pPr>
    <w:rPr>
      <w:rFonts w:ascii="宋体" w:hAnsi="Times New Roman" w:eastAsia="宋体" w:cs="Times New Roman"/>
      <w:sz w:val="18"/>
      <w:szCs w:val="18"/>
      <w:lang w:val="en-US" w:eastAsia="zh-CN" w:bidi="ar-SA"/>
    </w:rPr>
  </w:style>
  <w:style w:type="character" w:customStyle="1" w:styleId="176">
    <w:name w:val="正文文本 3 字符"/>
    <w:basedOn w:val="39"/>
    <w:link w:val="12"/>
    <w:semiHidden/>
    <w:qFormat/>
    <w:uiPriority w:val="99"/>
    <w:rPr>
      <w:rFonts w:ascii="Times New Roman" w:hAnsi="Times New Roman" w:eastAsia="宋体" w:cs="Times New Roman"/>
      <w:sz w:val="16"/>
      <w:szCs w:val="16"/>
    </w:rPr>
  </w:style>
  <w:style w:type="character" w:customStyle="1" w:styleId="177">
    <w:name w:val="标题 字符"/>
    <w:basedOn w:val="39"/>
    <w:link w:val="34"/>
    <w:qFormat/>
    <w:uiPriority w:val="0"/>
    <w:rPr>
      <w:rFonts w:ascii="Arial" w:hAnsi="Arial" w:eastAsia="宋体" w:cs="Times New Roman"/>
      <w:b/>
      <w:kern w:val="0"/>
      <w:sz w:val="32"/>
      <w:szCs w:val="20"/>
    </w:rPr>
  </w:style>
  <w:style w:type="paragraph" w:customStyle="1" w:styleId="178">
    <w:name w:val="p0"/>
    <w:basedOn w:val="1"/>
    <w:qFormat/>
    <w:uiPriority w:val="0"/>
    <w:pPr>
      <w:spacing w:line="240" w:lineRule="auto"/>
      <w:jc w:val="both"/>
    </w:pPr>
    <w:rPr>
      <w:kern w:val="0"/>
      <w:szCs w:val="21"/>
    </w:rPr>
  </w:style>
  <w:style w:type="character" w:customStyle="1" w:styleId="179">
    <w:name w:val="纯文本 字符"/>
    <w:basedOn w:val="39"/>
    <w:link w:val="16"/>
    <w:qFormat/>
    <w:uiPriority w:val="99"/>
    <w:rPr>
      <w:rFonts w:ascii="宋体" w:hAnsi="Courier New" w:eastAsia="宋体" w:cs="Courier New"/>
      <w:szCs w:val="21"/>
    </w:rPr>
  </w:style>
  <w:style w:type="paragraph" w:customStyle="1" w:styleId="180">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character" w:customStyle="1" w:styleId="181">
    <w:name w:val="正文文本 字符"/>
    <w:basedOn w:val="39"/>
    <w:link w:val="13"/>
    <w:semiHidden/>
    <w:qFormat/>
    <w:uiPriority w:val="99"/>
    <w:rPr>
      <w:kern w:val="2"/>
      <w:sz w:val="21"/>
      <w:szCs w:val="24"/>
    </w:rPr>
  </w:style>
  <w:style w:type="paragraph" w:customStyle="1" w:styleId="182">
    <w:name w:val="Table Paragraph"/>
    <w:basedOn w:val="1"/>
    <w:qFormat/>
    <w:uiPriority w:val="1"/>
    <w:pPr>
      <w:widowControl w:val="0"/>
      <w:autoSpaceDE w:val="0"/>
      <w:autoSpaceDN w:val="0"/>
      <w:spacing w:line="240" w:lineRule="auto"/>
    </w:pPr>
    <w:rPr>
      <w:rFonts w:ascii="仿宋" w:hAnsi="仿宋" w:eastAsia="仿宋" w:cs="仿宋"/>
      <w:kern w:val="0"/>
      <w:sz w:val="22"/>
      <w:szCs w:val="22"/>
      <w:lang w:val="zh-CN" w:bidi="zh-CN"/>
    </w:rPr>
  </w:style>
  <w:style w:type="character" w:customStyle="1" w:styleId="183">
    <w:name w:val="标题 4 字符"/>
    <w:basedOn w:val="39"/>
    <w:link w:val="5"/>
    <w:semiHidden/>
    <w:qFormat/>
    <w:uiPriority w:val="9"/>
    <w:rPr>
      <w:rFonts w:asciiTheme="majorHAnsi" w:hAnsiTheme="majorHAnsi" w:eastAsiaTheme="majorEastAsia" w:cstheme="majorBidi"/>
      <w:b/>
      <w:bCs/>
      <w:kern w:val="2"/>
      <w:sz w:val="28"/>
      <w:szCs w:val="28"/>
    </w:rPr>
  </w:style>
  <w:style w:type="paragraph" w:customStyle="1" w:styleId="184">
    <w:name w:val="_Style 2"/>
    <w:basedOn w:val="4"/>
    <w:next w:val="1"/>
    <w:qFormat/>
    <w:uiPriority w:val="0"/>
    <w:pPr>
      <w:spacing w:before="480" w:after="0" w:line="276" w:lineRule="auto"/>
      <w:outlineLvl w:val="9"/>
    </w:pPr>
    <w:rPr>
      <w:rFonts w:ascii="Cambria" w:hAnsi="Cambria"/>
      <w:color w:val="365F91"/>
      <w:kern w:val="0"/>
      <w:sz w:val="28"/>
      <w:szCs w:val="28"/>
    </w:rPr>
  </w:style>
  <w:style w:type="paragraph" w:customStyle="1" w:styleId="185">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186">
    <w:name w:val="msonormal"/>
    <w:basedOn w:val="1"/>
    <w:qFormat/>
    <w:uiPriority w:val="0"/>
    <w:pPr>
      <w:spacing w:before="100" w:beforeAutospacing="1" w:after="100" w:afterAutospacing="1" w:line="240" w:lineRule="auto"/>
    </w:pPr>
    <w:rPr>
      <w:rFonts w:ascii="宋体" w:hAnsi="宋体" w:cs="宋体"/>
      <w:kern w:val="0"/>
      <w:sz w:val="24"/>
    </w:rPr>
  </w:style>
  <w:style w:type="paragraph" w:customStyle="1" w:styleId="187">
    <w:name w:val="font0"/>
    <w:basedOn w:val="1"/>
    <w:qFormat/>
    <w:uiPriority w:val="0"/>
    <w:pPr>
      <w:spacing w:before="100" w:beforeAutospacing="1" w:after="100" w:afterAutospacing="1" w:line="240" w:lineRule="auto"/>
    </w:pPr>
    <w:rPr>
      <w:rFonts w:ascii="宋体" w:hAnsi="宋体" w:cs="宋体"/>
      <w:kern w:val="0"/>
      <w:sz w:val="24"/>
    </w:rPr>
  </w:style>
  <w:style w:type="paragraph" w:customStyle="1" w:styleId="188">
    <w:name w:val="font5"/>
    <w:basedOn w:val="1"/>
    <w:qFormat/>
    <w:uiPriority w:val="0"/>
    <w:pPr>
      <w:spacing w:before="100" w:beforeAutospacing="1" w:after="100" w:afterAutospacing="1" w:line="240" w:lineRule="auto"/>
    </w:pPr>
    <w:rPr>
      <w:rFonts w:ascii="宋体" w:hAnsi="宋体" w:cs="宋体"/>
      <w:kern w:val="0"/>
      <w:sz w:val="24"/>
    </w:rPr>
  </w:style>
  <w:style w:type="paragraph" w:customStyle="1" w:styleId="189">
    <w:name w:val="font6"/>
    <w:basedOn w:val="1"/>
    <w:qFormat/>
    <w:uiPriority w:val="0"/>
    <w:pPr>
      <w:spacing w:before="100" w:beforeAutospacing="1" w:after="100" w:afterAutospacing="1" w:line="240" w:lineRule="auto"/>
    </w:pPr>
    <w:rPr>
      <w:rFonts w:ascii="宋体" w:hAnsi="宋体" w:cs="宋体"/>
      <w:kern w:val="0"/>
      <w:sz w:val="18"/>
      <w:szCs w:val="18"/>
    </w:rPr>
  </w:style>
  <w:style w:type="paragraph" w:customStyle="1" w:styleId="190">
    <w:name w:val="xl65"/>
    <w:basedOn w:val="1"/>
    <w:qFormat/>
    <w:uiPriority w:val="0"/>
    <w:pPr>
      <w:spacing w:before="100" w:beforeAutospacing="1" w:after="100" w:afterAutospacing="1" w:line="240" w:lineRule="auto"/>
      <w:jc w:val="center"/>
    </w:pPr>
    <w:rPr>
      <w:rFonts w:ascii="宋体" w:hAnsi="宋体" w:cs="宋体"/>
      <w:kern w:val="0"/>
      <w:sz w:val="24"/>
    </w:rPr>
  </w:style>
  <w:style w:type="paragraph" w:customStyle="1" w:styleId="191">
    <w:name w:val="xl66"/>
    <w:basedOn w:val="1"/>
    <w:qFormat/>
    <w:uiPriority w:val="0"/>
    <w:pPr>
      <w:spacing w:before="100" w:beforeAutospacing="1" w:after="100" w:afterAutospacing="1" w:line="240" w:lineRule="auto"/>
      <w:jc w:val="center"/>
    </w:pPr>
    <w:rPr>
      <w:rFonts w:ascii="宋体" w:hAnsi="宋体" w:cs="宋体"/>
      <w:kern w:val="0"/>
      <w:sz w:val="24"/>
    </w:rPr>
  </w:style>
  <w:style w:type="paragraph" w:customStyle="1" w:styleId="192">
    <w:name w:val="xl6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4"/>
    </w:rPr>
  </w:style>
  <w:style w:type="paragraph" w:customStyle="1" w:styleId="193">
    <w:name w:val="xl6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4"/>
    </w:rPr>
  </w:style>
  <w:style w:type="paragraph" w:customStyle="1" w:styleId="194">
    <w:name w:val="xl6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4"/>
    </w:rPr>
  </w:style>
  <w:style w:type="paragraph" w:customStyle="1" w:styleId="195">
    <w:name w:val="xl70"/>
    <w:basedOn w:val="1"/>
    <w:qFormat/>
    <w:uiPriority w:val="0"/>
    <w:pPr>
      <w:pBdr>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4"/>
    </w:rPr>
  </w:style>
  <w:style w:type="paragraph" w:customStyle="1" w:styleId="196">
    <w:name w:val="xl7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4"/>
    </w:rPr>
  </w:style>
  <w:style w:type="paragraph" w:customStyle="1" w:styleId="197">
    <w:name w:val="xl7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4"/>
    </w:rPr>
  </w:style>
  <w:style w:type="paragraph" w:customStyle="1" w:styleId="198">
    <w:name w:val="xl7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0"/>
      <w:szCs w:val="20"/>
    </w:rPr>
  </w:style>
  <w:style w:type="paragraph" w:customStyle="1" w:styleId="199">
    <w:name w:val="xl7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4"/>
    </w:rPr>
  </w:style>
  <w:style w:type="paragraph" w:customStyle="1" w:styleId="200">
    <w:name w:val="xl7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b/>
      <w:bCs/>
      <w:kern w:val="0"/>
      <w:sz w:val="24"/>
    </w:rPr>
  </w:style>
  <w:style w:type="paragraph" w:customStyle="1" w:styleId="201">
    <w:name w:val="xl7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b/>
      <w:bCs/>
      <w:kern w:val="0"/>
      <w:sz w:val="24"/>
    </w:rPr>
  </w:style>
  <w:style w:type="paragraph" w:customStyle="1" w:styleId="202">
    <w:name w:val="xl7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4"/>
    </w:rPr>
  </w:style>
  <w:style w:type="paragraph" w:customStyle="1" w:styleId="203">
    <w:name w:val="xl78"/>
    <w:basedOn w:val="1"/>
    <w:qFormat/>
    <w:uiPriority w:val="0"/>
    <w:pPr>
      <w:pBdr>
        <w:left w:val="single" w:color="auto" w:sz="4" w:space="0"/>
        <w:right w:val="single" w:color="auto" w:sz="4" w:space="0"/>
      </w:pBdr>
      <w:spacing w:before="100" w:beforeAutospacing="1" w:after="100" w:afterAutospacing="1" w:line="240" w:lineRule="auto"/>
      <w:jc w:val="center"/>
    </w:pPr>
    <w:rPr>
      <w:rFonts w:ascii="宋体" w:hAnsi="宋体" w:cs="宋体"/>
      <w:kern w:val="0"/>
      <w:sz w:val="24"/>
    </w:rPr>
  </w:style>
  <w:style w:type="paragraph" w:customStyle="1" w:styleId="204">
    <w:name w:val="xl7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0"/>
      <w:szCs w:val="20"/>
    </w:rPr>
  </w:style>
  <w:style w:type="paragraph" w:customStyle="1" w:styleId="205">
    <w:name w:val="xl80"/>
    <w:basedOn w:val="1"/>
    <w:qFormat/>
    <w:uiPriority w:val="0"/>
    <w:pPr>
      <w:pBdr>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4"/>
    </w:rPr>
  </w:style>
  <w:style w:type="paragraph" w:customStyle="1" w:styleId="206">
    <w:name w:val="xl8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4"/>
    </w:rPr>
  </w:style>
  <w:style w:type="paragraph" w:customStyle="1" w:styleId="207">
    <w:name w:val="xl8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4"/>
    </w:rPr>
  </w:style>
  <w:style w:type="paragraph" w:customStyle="1" w:styleId="208">
    <w:name w:val="xl8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4"/>
    </w:rPr>
  </w:style>
  <w:style w:type="paragraph" w:customStyle="1" w:styleId="209">
    <w:name w:val="xl84"/>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b/>
      <w:bCs/>
      <w:kern w:val="0"/>
      <w:sz w:val="24"/>
    </w:rPr>
  </w:style>
  <w:style w:type="paragraph" w:customStyle="1" w:styleId="210">
    <w:name w:val="xl8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b/>
      <w:bCs/>
      <w:kern w:val="0"/>
      <w:sz w:val="24"/>
    </w:rPr>
  </w:style>
  <w:style w:type="paragraph" w:customStyle="1" w:styleId="211">
    <w:name w:val="xl86"/>
    <w:basedOn w:val="1"/>
    <w:qFormat/>
    <w:uiPriority w:val="0"/>
    <w:pPr>
      <w:pBdr>
        <w:top w:val="single" w:color="auto" w:sz="4" w:space="0"/>
        <w:left w:val="single" w:color="auto" w:sz="4" w:space="0"/>
        <w:right w:val="single" w:color="auto" w:sz="4" w:space="0"/>
      </w:pBdr>
      <w:spacing w:before="100" w:beforeAutospacing="1" w:after="100" w:afterAutospacing="1" w:line="240" w:lineRule="auto"/>
      <w:jc w:val="center"/>
    </w:pPr>
    <w:rPr>
      <w:rFonts w:ascii="宋体" w:hAnsi="宋体" w:cs="宋体"/>
      <w:kern w:val="0"/>
      <w:sz w:val="24"/>
    </w:rPr>
  </w:style>
  <w:style w:type="paragraph" w:customStyle="1" w:styleId="212">
    <w:name w:val="xl87"/>
    <w:basedOn w:val="1"/>
    <w:uiPriority w:val="0"/>
    <w:pPr>
      <w:pBdr>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4"/>
    </w:rPr>
  </w:style>
  <w:style w:type="paragraph" w:customStyle="1" w:styleId="213">
    <w:name w:val="xl8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4"/>
    </w:rPr>
  </w:style>
  <w:style w:type="paragraph" w:customStyle="1" w:styleId="214">
    <w:name w:val="xl8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4"/>
    </w:rPr>
  </w:style>
  <w:style w:type="paragraph" w:customStyle="1" w:styleId="215">
    <w:name w:val="xl90"/>
    <w:basedOn w:val="1"/>
    <w:qFormat/>
    <w:uiPriority w:val="0"/>
    <w:pPr>
      <w:pBdr>
        <w:top w:val="single" w:color="auto" w:sz="4" w:space="0"/>
        <w:left w:val="single" w:color="auto" w:sz="4" w:space="0"/>
        <w:right w:val="single" w:color="auto" w:sz="4" w:space="0"/>
      </w:pBdr>
      <w:spacing w:before="100" w:beforeAutospacing="1" w:after="100" w:afterAutospacing="1" w:line="240" w:lineRule="auto"/>
    </w:pPr>
    <w:rPr>
      <w:rFonts w:ascii="宋体" w:hAnsi="宋体" w:cs="宋体"/>
      <w:kern w:val="0"/>
      <w:sz w:val="24"/>
    </w:rPr>
  </w:style>
  <w:style w:type="paragraph" w:customStyle="1" w:styleId="216">
    <w:name w:val="xl91"/>
    <w:basedOn w:val="1"/>
    <w:qFormat/>
    <w:uiPriority w:val="0"/>
    <w:pPr>
      <w:pBdr>
        <w:top w:val="single" w:color="auto" w:sz="4" w:space="0"/>
        <w:left w:val="single" w:color="auto" w:sz="4" w:space="0"/>
        <w:right w:val="single" w:color="auto" w:sz="4" w:space="0"/>
      </w:pBdr>
      <w:spacing w:before="100" w:beforeAutospacing="1" w:after="100" w:afterAutospacing="1" w:line="240" w:lineRule="auto"/>
      <w:jc w:val="center"/>
    </w:pPr>
    <w:rPr>
      <w:rFonts w:ascii="宋体" w:hAnsi="宋体" w:cs="宋体"/>
      <w:kern w:val="0"/>
      <w:sz w:val="24"/>
    </w:rPr>
  </w:style>
  <w:style w:type="paragraph" w:customStyle="1" w:styleId="217">
    <w:name w:val="xl9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b/>
      <w:bCs/>
      <w:kern w:val="0"/>
      <w:sz w:val="24"/>
    </w:rPr>
  </w:style>
  <w:style w:type="paragraph" w:customStyle="1" w:styleId="218">
    <w:name w:val="xl93"/>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4"/>
    </w:rPr>
  </w:style>
  <w:style w:type="paragraph" w:customStyle="1" w:styleId="219">
    <w:name w:val="xl94"/>
    <w:basedOn w:val="1"/>
    <w:qFormat/>
    <w:uiPriority w:val="0"/>
    <w:pPr>
      <w:pBdr>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4"/>
    </w:rPr>
  </w:style>
  <w:style w:type="paragraph" w:customStyle="1" w:styleId="220">
    <w:name w:val="xl9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b/>
      <w:bCs/>
      <w:kern w:val="0"/>
      <w:sz w:val="28"/>
      <w:szCs w:val="28"/>
    </w:rPr>
  </w:style>
  <w:style w:type="paragraph" w:customStyle="1" w:styleId="221">
    <w:name w:val="xl96"/>
    <w:basedOn w:val="1"/>
    <w:qFormat/>
    <w:uiPriority w:val="0"/>
    <w:pPr>
      <w:spacing w:before="100" w:beforeAutospacing="1" w:after="100" w:afterAutospacing="1" w:line="240" w:lineRule="auto"/>
      <w:jc w:val="center"/>
    </w:pPr>
    <w:rPr>
      <w:rFonts w:ascii="宋体" w:hAnsi="宋体" w:cs="宋体"/>
      <w:b/>
      <w:bCs/>
      <w:kern w:val="0"/>
      <w:sz w:val="28"/>
      <w:szCs w:val="28"/>
    </w:rPr>
  </w:style>
  <w:style w:type="paragraph" w:customStyle="1" w:styleId="222">
    <w:name w:val="xl97"/>
    <w:basedOn w:val="1"/>
    <w:uiPriority w:val="0"/>
    <w:pPr>
      <w:spacing w:before="100" w:beforeAutospacing="1" w:after="100" w:afterAutospacing="1" w:line="240" w:lineRule="auto"/>
      <w:jc w:val="center"/>
    </w:pPr>
    <w:rPr>
      <w:rFonts w:ascii="宋体" w:hAnsi="宋体" w:cs="宋体"/>
      <w:b/>
      <w:bCs/>
      <w:kern w:val="0"/>
      <w:sz w:val="36"/>
      <w:szCs w:val="36"/>
    </w:rPr>
  </w:style>
  <w:style w:type="paragraph" w:customStyle="1" w:styleId="223">
    <w:name w:val="xl98"/>
    <w:basedOn w:val="1"/>
    <w:qFormat/>
    <w:uiPriority w:val="0"/>
    <w:pPr>
      <w:spacing w:before="100" w:beforeAutospacing="1" w:after="100" w:afterAutospacing="1" w:line="240" w:lineRule="auto"/>
    </w:pPr>
    <w:rPr>
      <w:rFonts w:ascii="宋体" w:hAnsi="宋体" w:cs="宋体"/>
      <w:kern w:val="0"/>
      <w:sz w:val="24"/>
    </w:rPr>
  </w:style>
  <w:style w:type="paragraph" w:customStyle="1" w:styleId="224">
    <w:name w:val="xl99"/>
    <w:basedOn w:val="1"/>
    <w:qFormat/>
    <w:uiPriority w:val="0"/>
    <w:pPr>
      <w:spacing w:before="100" w:beforeAutospacing="1" w:after="100" w:afterAutospacing="1" w:line="240" w:lineRule="auto"/>
      <w:jc w:val="center"/>
    </w:pPr>
    <w:rPr>
      <w:rFonts w:ascii="宋体" w:hAnsi="宋体" w:cs="宋体"/>
      <w:kern w:val="0"/>
      <w:sz w:val="24"/>
    </w:rPr>
  </w:style>
  <w:style w:type="paragraph" w:customStyle="1" w:styleId="225">
    <w:name w:val="xl100"/>
    <w:basedOn w:val="1"/>
    <w:qFormat/>
    <w:uiPriority w:val="0"/>
    <w:pPr>
      <w:spacing w:before="100" w:beforeAutospacing="1" w:after="100" w:afterAutospacing="1" w:line="240" w:lineRule="auto"/>
      <w:jc w:val="center"/>
    </w:pPr>
    <w:rPr>
      <w:rFonts w:ascii="宋体" w:hAnsi="宋体" w:cs="宋体"/>
      <w:b/>
      <w:bCs/>
      <w:kern w:val="0"/>
      <w:sz w:val="28"/>
      <w:szCs w:val="28"/>
    </w:rPr>
  </w:style>
  <w:style w:type="paragraph" w:customStyle="1" w:styleId="226">
    <w:name w:val="xl101"/>
    <w:basedOn w:val="1"/>
    <w:qFormat/>
    <w:uiPriority w:val="0"/>
    <w:pPr>
      <w:pBdr>
        <w:top w:val="single" w:color="auto" w:sz="4" w:space="0"/>
        <w:left w:val="single" w:color="auto" w:sz="4" w:space="0"/>
        <w:right w:val="single" w:color="auto" w:sz="4" w:space="0"/>
      </w:pBdr>
      <w:spacing w:before="100" w:beforeAutospacing="1" w:after="100" w:afterAutospacing="1" w:line="240" w:lineRule="auto"/>
      <w:jc w:val="center"/>
    </w:pPr>
    <w:rPr>
      <w:rFonts w:ascii="宋体" w:hAnsi="宋体" w:cs="宋体"/>
      <w:kern w:val="0"/>
      <w:sz w:val="24"/>
    </w:rPr>
  </w:style>
  <w:style w:type="paragraph" w:customStyle="1" w:styleId="227">
    <w:name w:val="WPSOffice手动目录 1"/>
    <w:qFormat/>
    <w:uiPriority w:val="0"/>
    <w:rPr>
      <w:rFonts w:ascii="Times New Roman" w:hAnsi="Times New Roman" w:eastAsia="宋体" w:cs="Times New Roman"/>
      <w:lang w:val="en-US" w:eastAsia="zh-CN" w:bidi="ar-SA"/>
    </w:rPr>
  </w:style>
  <w:style w:type="paragraph" w:customStyle="1" w:styleId="228">
    <w:name w:val="Revision"/>
    <w:hidden/>
    <w:semiHidden/>
    <w:qFormat/>
    <w:uiPriority w:val="99"/>
    <w:rPr>
      <w:rFonts w:ascii="Times New Roman" w:hAnsi="Times New Roman" w:eastAsia="宋体" w:cs="Times New Roman"/>
      <w:kern w:val="2"/>
      <w:sz w:val="21"/>
      <w:szCs w:val="24"/>
      <w:lang w:val="en-US" w:eastAsia="zh-CN" w:bidi="ar-SA"/>
    </w:rPr>
  </w:style>
  <w:style w:type="character" w:customStyle="1" w:styleId="229">
    <w:name w:val="标题 3 字符"/>
    <w:basedOn w:val="39"/>
    <w:link w:val="2"/>
    <w:semiHidden/>
    <w:qFormat/>
    <w:uiPriority w:val="9"/>
    <w:rPr>
      <w:b/>
      <w:bCs/>
      <w:kern w:val="2"/>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ACCD6C-217F-40B0-82C1-42DA7BA2403D}">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47</Pages>
  <Words>17272</Words>
  <Characters>19452</Characters>
  <Lines>177</Lines>
  <Paragraphs>49</Paragraphs>
  <TotalTime>16</TotalTime>
  <ScaleCrop>false</ScaleCrop>
  <LinksUpToDate>false</LinksUpToDate>
  <CharactersWithSpaces>21638</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2021-09-07T07:24:00Z</dcterms:created>
  <dc:creator>杨玲</dc:creator>
  <cp:lastModifiedBy>蔡艳</cp:lastModifiedBy>
  <cp:lastPrinted>2022-05-26T08:45:00Z</cp:lastPrinted>
  <dcterms:modified xsi:type="dcterms:W3CDTF">2022-07-20T05:19:42Z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20187E4216284010B8E0511CEEBBDBFD</vt:lpwstr>
  </property>
</Properties>
</file>