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snapToGrid w:val="0"/>
        <w:spacing w:line="900" w:lineRule="exact"/>
        <w:jc w:val="center"/>
        <w:rPr>
          <w:rFonts w:ascii="黑体" w:hAnsi="黑体" w:eastAsia="黑体"/>
          <w:b/>
          <w:bCs w:val="0"/>
          <w:sz w:val="48"/>
          <w:szCs w:val="48"/>
        </w:rPr>
      </w:pPr>
      <w:r>
        <w:rPr>
          <w:rFonts w:hint="eastAsia" w:ascii="黑体" w:hAnsi="黑体" w:eastAsia="黑体"/>
          <w:b/>
          <w:bCs w:val="0"/>
          <w:sz w:val="48"/>
          <w:szCs w:val="48"/>
        </w:rPr>
        <w:t>湖南省港务集团有限公司</w:t>
      </w:r>
    </w:p>
    <w:p>
      <w:pPr>
        <w:snapToGrid w:val="0"/>
        <w:spacing w:line="900" w:lineRule="exact"/>
        <w:jc w:val="center"/>
        <w:rPr>
          <w:rFonts w:hint="eastAsia" w:ascii="黑体" w:hAnsi="黑体" w:eastAsia="黑体"/>
          <w:b/>
          <w:bCs w:val="0"/>
          <w:sz w:val="48"/>
          <w:szCs w:val="48"/>
        </w:rPr>
      </w:pPr>
      <w:r>
        <w:rPr>
          <w:rFonts w:hint="eastAsia" w:ascii="黑体" w:hAnsi="黑体" w:eastAsia="黑体"/>
          <w:b/>
          <w:bCs w:val="0"/>
          <w:sz w:val="48"/>
          <w:szCs w:val="48"/>
        </w:rPr>
        <w:t>岳阳铁水集运煤炭码头一期工程</w:t>
      </w:r>
    </w:p>
    <w:p>
      <w:pPr>
        <w:snapToGrid w:val="0"/>
        <w:spacing w:line="900" w:lineRule="exact"/>
        <w:jc w:val="center"/>
        <w:rPr>
          <w:rFonts w:hint="eastAsia" w:ascii="黑体" w:hAnsi="黑体" w:eastAsia="黑体"/>
          <w:bCs/>
          <w:sz w:val="48"/>
          <w:szCs w:val="48"/>
        </w:rPr>
      </w:pPr>
      <w:r>
        <w:rPr>
          <w:rFonts w:hint="eastAsia" w:ascii="黑体" w:hAnsi="黑体" w:eastAsia="黑体"/>
          <w:b/>
          <w:bCs w:val="0"/>
          <w:sz w:val="48"/>
          <w:szCs w:val="48"/>
        </w:rPr>
        <w:t>竣工环保验收调查报告、突发环境事件应急预案和排污许可服务</w:t>
      </w:r>
    </w:p>
    <w:p>
      <w:pPr>
        <w:snapToGrid w:val="0"/>
        <w:spacing w:line="900" w:lineRule="exact"/>
        <w:jc w:val="both"/>
        <w:rPr>
          <w:rFonts w:ascii="黑体" w:hAnsi="黑体" w:eastAsia="黑体"/>
          <w:sz w:val="36"/>
          <w:szCs w:val="36"/>
        </w:rPr>
      </w:pPr>
    </w:p>
    <w:p>
      <w:pPr>
        <w:snapToGrid w:val="0"/>
        <w:spacing w:line="900" w:lineRule="exact"/>
        <w:jc w:val="center"/>
        <w:rPr>
          <w:rFonts w:hint="eastAsia" w:ascii="黑体" w:hAnsi="黑体" w:eastAsia="黑体" w:cs="宋体"/>
          <w:b/>
          <w:color w:val="000000"/>
          <w:kern w:val="0"/>
          <w:sz w:val="72"/>
          <w:szCs w:val="72"/>
        </w:rPr>
      </w:pPr>
      <w:r>
        <w:rPr>
          <w:rFonts w:hint="eastAsia" w:ascii="黑体" w:hAnsi="黑体" w:eastAsia="黑体" w:cs="宋体"/>
          <w:b/>
          <w:color w:val="000000"/>
          <w:kern w:val="0"/>
          <w:sz w:val="72"/>
          <w:szCs w:val="72"/>
        </w:rPr>
        <w:t>询</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价</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文</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 xml:space="preserve"> 件</w:t>
      </w:r>
    </w:p>
    <w:p>
      <w:pPr>
        <w:pStyle w:val="2"/>
        <w:jc w:val="center"/>
        <w:rPr>
          <w:rFonts w:hint="default" w:eastAsia="黑体"/>
          <w:sz w:val="28"/>
          <w:szCs w:val="28"/>
          <w:lang w:val="en-US" w:eastAsia="zh-CN"/>
        </w:rPr>
      </w:pPr>
      <w:r>
        <w:rPr>
          <w:rFonts w:hint="eastAsia" w:ascii="黑体" w:hAnsi="黑体" w:eastAsia="黑体"/>
          <w:bCs/>
          <w:sz w:val="28"/>
          <w:szCs w:val="28"/>
          <w:lang w:val="en-US" w:eastAsia="zh-CN"/>
        </w:rPr>
        <w:t>采购编号：省港服（2022）年询第30号【省港】</w:t>
      </w:r>
    </w:p>
    <w:p>
      <w:pPr>
        <w:pStyle w:val="2"/>
        <w:outlineLvl w:val="9"/>
      </w:pPr>
    </w:p>
    <w:p>
      <w:pPr>
        <w:spacing w:line="600" w:lineRule="exact"/>
      </w:pPr>
    </w:p>
    <w:p>
      <w:pPr>
        <w:tabs>
          <w:tab w:val="left" w:pos="0"/>
          <w:tab w:val="left" w:pos="4185"/>
        </w:tabs>
        <w:spacing w:line="288" w:lineRule="auto"/>
        <w:ind w:right="-6"/>
        <w:jc w:val="center"/>
        <w:rPr>
          <w:rFonts w:hint="eastAsia" w:ascii="黑体" w:hAnsi="黑体" w:eastAsia="黑体"/>
          <w:bCs/>
          <w:sz w:val="48"/>
          <w:szCs w:val="48"/>
        </w:rPr>
      </w:pPr>
    </w:p>
    <w:p>
      <w:pPr>
        <w:tabs>
          <w:tab w:val="left" w:pos="0"/>
          <w:tab w:val="left" w:pos="4185"/>
        </w:tabs>
        <w:spacing w:line="288" w:lineRule="auto"/>
        <w:ind w:right="-6"/>
        <w:jc w:val="center"/>
        <w:rPr>
          <w:rFonts w:hint="eastAsia" w:ascii="黑体" w:hAnsi="黑体" w:eastAsia="黑体"/>
          <w:bCs/>
          <w:sz w:val="48"/>
          <w:szCs w:val="48"/>
        </w:rPr>
      </w:pPr>
    </w:p>
    <w:p>
      <w:pPr>
        <w:tabs>
          <w:tab w:val="left" w:pos="0"/>
          <w:tab w:val="left" w:pos="4185"/>
        </w:tabs>
        <w:spacing w:line="288" w:lineRule="auto"/>
        <w:ind w:right="-6"/>
        <w:jc w:val="center"/>
        <w:rPr>
          <w:rFonts w:hint="eastAsia" w:ascii="黑体" w:hAnsi="黑体" w:eastAsia="黑体"/>
          <w:bCs/>
          <w:sz w:val="48"/>
          <w:szCs w:val="48"/>
        </w:rPr>
      </w:pPr>
    </w:p>
    <w:p>
      <w:pPr>
        <w:tabs>
          <w:tab w:val="left" w:pos="0"/>
          <w:tab w:val="left" w:pos="4185"/>
        </w:tabs>
        <w:spacing w:line="288" w:lineRule="auto"/>
        <w:ind w:right="-6"/>
        <w:jc w:val="center"/>
        <w:rPr>
          <w:rFonts w:hint="eastAsia" w:ascii="黑体" w:hAnsi="黑体" w:eastAsia="黑体"/>
          <w:bCs/>
          <w:sz w:val="48"/>
          <w:szCs w:val="48"/>
        </w:rPr>
      </w:pPr>
    </w:p>
    <w:p>
      <w:pPr>
        <w:tabs>
          <w:tab w:val="left" w:pos="0"/>
          <w:tab w:val="left" w:pos="4185"/>
        </w:tabs>
        <w:spacing w:line="288" w:lineRule="auto"/>
        <w:ind w:right="-6"/>
        <w:jc w:val="center"/>
        <w:rPr>
          <w:rFonts w:hint="eastAsia" w:ascii="黑体" w:hAnsi="黑体" w:eastAsia="黑体"/>
          <w:bCs/>
          <w:sz w:val="48"/>
          <w:szCs w:val="48"/>
        </w:rPr>
      </w:pPr>
    </w:p>
    <w:p>
      <w:pPr>
        <w:tabs>
          <w:tab w:val="left" w:pos="0"/>
          <w:tab w:val="left" w:pos="4185"/>
        </w:tabs>
        <w:spacing w:line="288" w:lineRule="auto"/>
        <w:ind w:right="-6"/>
        <w:jc w:val="center"/>
        <w:rPr>
          <w:rFonts w:ascii="方正小标宋简体" w:hAnsi="黑体" w:eastAsia="方正小标宋简体"/>
          <w:color w:val="auto"/>
          <w:sz w:val="36"/>
          <w:szCs w:val="36"/>
        </w:rPr>
      </w:pPr>
      <w:r>
        <w:rPr>
          <w:rFonts w:hint="eastAsia" w:ascii="黑体" w:hAnsi="黑体" w:eastAsia="黑体"/>
          <w:bCs/>
          <w:sz w:val="48"/>
          <w:szCs w:val="48"/>
        </w:rPr>
        <w:t>二О二二年</w:t>
      </w:r>
      <w:r>
        <w:rPr>
          <w:rFonts w:hint="eastAsia" w:ascii="黑体" w:hAnsi="黑体" w:eastAsia="黑体"/>
          <w:bCs/>
          <w:sz w:val="48"/>
          <w:szCs w:val="48"/>
          <w:lang w:val="en-US" w:eastAsia="zh-CN"/>
        </w:rPr>
        <w:t>六</w:t>
      </w:r>
      <w:r>
        <w:rPr>
          <w:rFonts w:hint="eastAsia" w:ascii="黑体" w:hAnsi="黑体" w:eastAsia="黑体"/>
          <w:bCs/>
          <w:color w:val="auto"/>
          <w:sz w:val="48"/>
          <w:szCs w:val="48"/>
        </w:rPr>
        <w:t>月</w:t>
      </w:r>
    </w:p>
    <w:p>
      <w:pPr>
        <w:widowControl w:val="0"/>
        <w:adjustRightInd w:val="0"/>
        <w:snapToGrid w:val="0"/>
        <w:spacing w:line="265" w:lineRule="auto"/>
        <w:ind w:hanging="10"/>
        <w:jc w:val="center"/>
        <w:rPr>
          <w:rFonts w:eastAsia="楷体_GB2312"/>
          <w:b/>
          <w:sz w:val="28"/>
          <w:szCs w:val="28"/>
        </w:rPr>
      </w:pPr>
    </w:p>
    <w:sdt>
      <w:sdtPr>
        <w:rPr>
          <w:rFonts w:ascii="宋体" w:hAnsi="宋体" w:eastAsia="宋体" w:cs="Times New Roman"/>
          <w:kern w:val="2"/>
          <w:sz w:val="21"/>
          <w:szCs w:val="24"/>
          <w:lang w:val="en-US" w:eastAsia="zh-CN" w:bidi="ar-SA"/>
        </w:rPr>
        <w:id w:val="147462170"/>
        <w15:color w:val="DBDBDB"/>
        <w:docPartObj>
          <w:docPartGallery w:val="Table of Contents"/>
          <w:docPartUnique/>
        </w:docPartObj>
      </w:sdtPr>
      <w:sdtEndPr>
        <w:rPr>
          <w:rFonts w:hint="eastAsia" w:ascii="宋体" w:hAnsi="宋体" w:eastAsia="宋体" w:cs="宋体"/>
          <w:kern w:val="2"/>
          <w:sz w:val="28"/>
          <w:szCs w:val="28"/>
          <w:lang w:val="zh-CN"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95"/>
            <w:tabs>
              <w:tab w:val="right" w:leader="dot" w:pos="9746"/>
            </w:tabs>
            <w:rPr>
              <w:rFonts w:hint="eastAsia" w:ascii="宋体" w:hAnsi="宋体" w:eastAsia="宋体" w:cs="宋体"/>
              <w:sz w:val="28"/>
              <w:szCs w:val="28"/>
              <w:lang w:val="zh-CN"/>
            </w:rPr>
          </w:pPr>
        </w:p>
        <w:p>
          <w:pPr>
            <w:pStyle w:val="195"/>
            <w:tabs>
              <w:tab w:val="right" w:leader="dot" w:pos="9746"/>
            </w:tabs>
            <w:rPr>
              <w:rFonts w:hint="eastAsia" w:ascii="宋体" w:hAnsi="宋体" w:eastAsia="宋体" w:cs="宋体"/>
              <w:sz w:val="28"/>
              <w:szCs w:val="28"/>
              <w:highlight w:val="none"/>
            </w:rPr>
          </w:pPr>
          <w:r>
            <w:rPr>
              <w:rFonts w:hint="eastAsia" w:ascii="宋体" w:hAnsi="宋体" w:eastAsia="宋体" w:cs="宋体"/>
              <w:sz w:val="28"/>
              <w:szCs w:val="28"/>
              <w:lang w:val="zh-CN"/>
            </w:rPr>
            <w:fldChar w:fldCharType="begin"/>
          </w:r>
          <w:r>
            <w:rPr>
              <w:rFonts w:hint="eastAsia" w:ascii="宋体" w:hAnsi="宋体" w:eastAsia="宋体" w:cs="宋体"/>
              <w:sz w:val="28"/>
              <w:szCs w:val="28"/>
              <w:lang w:val="zh-CN"/>
            </w:rPr>
            <w:instrText xml:space="preserve">TOC \o "1-1" \h \u </w:instrText>
          </w:r>
          <w:r>
            <w:rPr>
              <w:rFonts w:hint="eastAsia" w:ascii="宋体" w:hAnsi="宋体" w:eastAsia="宋体" w:cs="宋体"/>
              <w:sz w:val="28"/>
              <w:szCs w:val="28"/>
              <w:lang w:val="zh-CN"/>
            </w:rPr>
            <w:fldChar w:fldCharType="separate"/>
          </w: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_Toc23837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第一章 采购公告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_Toc23837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_Toc29997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_Toc29997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_Toc13724 </w:instrText>
          </w:r>
          <w:r>
            <w:rPr>
              <w:rFonts w:hint="eastAsia" w:ascii="宋体" w:hAnsi="宋体" w:eastAsia="宋体" w:cs="宋体"/>
              <w:sz w:val="28"/>
              <w:szCs w:val="28"/>
              <w:highlight w:val="none"/>
              <w:lang w:val="zh-CN"/>
            </w:rPr>
            <w:fldChar w:fldCharType="separate"/>
          </w:r>
          <w:r>
            <w:rPr>
              <w:rFonts w:hint="eastAsia" w:ascii="宋体" w:hAnsi="宋体" w:eastAsia="宋体" w:cs="宋体"/>
              <w:bCs/>
              <w:sz w:val="28"/>
              <w:szCs w:val="28"/>
              <w:highlight w:val="none"/>
            </w:rPr>
            <w:t>第二章 供应商须知正文</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_Toc13724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_Toc24403 </w:instrText>
          </w:r>
          <w:r>
            <w:rPr>
              <w:rFonts w:hint="eastAsia" w:ascii="宋体" w:hAnsi="宋体" w:eastAsia="宋体" w:cs="宋体"/>
              <w:sz w:val="28"/>
              <w:szCs w:val="28"/>
              <w:highlight w:val="none"/>
              <w:lang w:val="zh-CN"/>
            </w:rPr>
            <w:fldChar w:fldCharType="separate"/>
          </w:r>
          <w:r>
            <w:rPr>
              <w:rFonts w:hint="eastAsia" w:ascii="宋体" w:hAnsi="宋体" w:eastAsia="宋体" w:cs="宋体"/>
              <w:bCs/>
              <w:sz w:val="28"/>
              <w:szCs w:val="28"/>
              <w:highlight w:val="none"/>
            </w:rPr>
            <w:t>第三章 评审办法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_Toc24403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_Toc23595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第四章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技术咨询合同书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_Toc23595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_Toc12283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第五章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_Toc12283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_Toc362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第六章 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_Toc362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_Toc1656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一、 响应函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_Toc1656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_Toc15586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二、</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授权委托书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_Toc15586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_Toc31405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商务和技术偏差表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_Toc31405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_Toc15268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四、 报价表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_Toc15268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_Toc29036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五、</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资格审查资料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_Toc29036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_Toc16074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六、</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响应方案</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pStyle w:val="195"/>
            <w:tabs>
              <w:tab w:val="right" w:leader="dot" w:pos="9746"/>
            </w:tabs>
            <w:ind w:firstLine="280" w:firstLineChars="100"/>
            <w:rPr>
              <w:rFonts w:hint="eastAsia" w:ascii="宋体" w:hAnsi="宋体" w:eastAsia="宋体" w:cs="宋体"/>
              <w:sz w:val="28"/>
              <w:szCs w:val="28"/>
            </w:rPr>
          </w:pP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 HYPERLINK \l _Toc18014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七、</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其他资料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_Toc18014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zh-CN"/>
            </w:rPr>
            <w:fldChar w:fldCharType="end"/>
          </w:r>
        </w:p>
        <w:p>
          <w:pPr>
            <w:jc w:val="center"/>
            <w:rPr>
              <w:rFonts w:hint="eastAsia" w:ascii="宋体" w:hAnsi="宋体" w:eastAsia="宋体" w:cs="宋体"/>
              <w:sz w:val="28"/>
              <w:szCs w:val="28"/>
              <w:lang w:val="zh-CN"/>
            </w:rPr>
          </w:pPr>
          <w:r>
            <w:rPr>
              <w:rFonts w:hint="eastAsia" w:ascii="宋体" w:hAnsi="宋体" w:eastAsia="宋体" w:cs="宋体"/>
              <w:sz w:val="28"/>
              <w:szCs w:val="28"/>
              <w:lang w:val="zh-CN"/>
            </w:rPr>
            <w:fldChar w:fldCharType="end"/>
          </w:r>
        </w:p>
      </w:sdtContent>
    </w:sdt>
    <w:p>
      <w:pPr>
        <w:pStyle w:val="33"/>
        <w:tabs>
          <w:tab w:val="right" w:leader="dot" w:pos="8948"/>
        </w:tabs>
        <w:adjustRightInd w:val="0"/>
        <w:snapToGrid w:val="0"/>
        <w:rPr>
          <w:rFonts w:ascii="微软雅黑" w:hAnsi="微软雅黑" w:eastAsia="微软雅黑"/>
          <w:small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p>
    <w:p>
      <w:pPr>
        <w:pStyle w:val="27"/>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40"/>
      </w:pPr>
    </w:p>
    <w:p>
      <w:pPr>
        <w:pStyle w:val="40"/>
      </w:pPr>
    </w:p>
    <w:p>
      <w:pPr>
        <w:widowControl w:val="0"/>
        <w:adjustRightInd w:val="0"/>
        <w:snapToGrid w:val="0"/>
        <w:spacing w:line="240" w:lineRule="auto"/>
        <w:rPr>
          <w:szCs w:val="21"/>
        </w:rPr>
      </w:pPr>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rPr>
      </w:pPr>
      <w:bookmarkStart w:id="0" w:name="_Toc23837"/>
      <w:r>
        <w:rPr>
          <w:rFonts w:hint="eastAsia" w:ascii="黑体" w:hAnsi="黑体" w:eastAsia="黑体" w:cs="仿宋"/>
          <w:b/>
          <w:color w:val="000000"/>
          <w:sz w:val="44"/>
          <w:szCs w:val="44"/>
        </w:rPr>
        <w:t>采购公告</w:t>
      </w:r>
      <w:bookmarkEnd w:id="0"/>
    </w:p>
    <w:p>
      <w:pPr>
        <w:pStyle w:val="36"/>
        <w:spacing w:before="0" w:beforeAutospacing="0" w:after="0" w:afterAutospacing="0"/>
        <w:jc w:val="center"/>
        <w:rPr>
          <w:rFonts w:ascii="黑体" w:hAnsi="黑体" w:eastAsia="黑体"/>
          <w:sz w:val="32"/>
          <w:szCs w:val="32"/>
        </w:rPr>
      </w:pPr>
    </w:p>
    <w:p>
      <w:pPr>
        <w:pStyle w:val="36"/>
        <w:spacing w:before="0" w:beforeAutospacing="0" w:after="0" w:afterAutospacing="0"/>
        <w:jc w:val="center"/>
        <w:rPr>
          <w:rFonts w:ascii="黑体" w:hAnsi="黑体" w:eastAsia="黑体"/>
          <w:sz w:val="32"/>
          <w:szCs w:val="32"/>
        </w:rPr>
      </w:pPr>
      <w:bookmarkStart w:id="1" w:name="_Hlk104188952"/>
      <w:r>
        <w:rPr>
          <w:rFonts w:hint="eastAsia" w:ascii="黑体" w:hAnsi="黑体" w:eastAsia="黑体"/>
          <w:color w:val="auto"/>
          <w:sz w:val="32"/>
          <w:szCs w:val="32"/>
        </w:rPr>
        <w:t>岳阳铁水集运煤炭码头一期工程竣工环保验收调查报告</w:t>
      </w:r>
      <w:bookmarkEnd w:id="1"/>
      <w:r>
        <w:rPr>
          <w:rFonts w:hint="eastAsia" w:ascii="黑体" w:hAnsi="黑体" w:eastAsia="黑体"/>
          <w:color w:val="auto"/>
          <w:sz w:val="32"/>
          <w:szCs w:val="32"/>
        </w:rPr>
        <w:t>、突发</w:t>
      </w:r>
      <w:r>
        <w:rPr>
          <w:rFonts w:hint="eastAsia" w:ascii="黑体" w:hAnsi="黑体" w:eastAsia="黑体"/>
          <w:sz w:val="32"/>
          <w:szCs w:val="32"/>
        </w:rPr>
        <w:t>环境事件应急预案和排污许可服务询价公告</w:t>
      </w:r>
    </w:p>
    <w:p>
      <w:pPr>
        <w:pStyle w:val="36"/>
        <w:spacing w:before="0" w:beforeAutospacing="0" w:after="0" w:afterAutospacing="0"/>
        <w:jc w:val="both"/>
        <w:rPr>
          <w:rFonts w:cs="Times New Roman"/>
          <w:kern w:val="2"/>
        </w:rPr>
      </w:pPr>
      <w:r>
        <w:rPr>
          <w:rFonts w:hint="eastAsia" w:cs="Times New Roman"/>
          <w:kern w:val="2"/>
        </w:rPr>
        <w:t xml:space="preserve"> </w:t>
      </w:r>
    </w:p>
    <w:p>
      <w:pPr>
        <w:pStyle w:val="36"/>
        <w:spacing w:before="0" w:beforeAutospacing="0" w:after="0" w:afterAutospacing="0"/>
        <w:ind w:firstLine="480" w:firstLineChars="200"/>
        <w:jc w:val="both"/>
        <w:rPr>
          <w:rFonts w:cs="Times New Roman"/>
          <w:kern w:val="2"/>
        </w:rPr>
      </w:pPr>
      <w:r>
        <w:rPr>
          <w:rFonts w:hint="eastAsia" w:cs="Times New Roman"/>
          <w:kern w:val="2"/>
        </w:rPr>
        <w:t xml:space="preserve">岳阳铁水集运煤炭码头一期工程竣工环保验收调查报告、突发环境事件应急预案和排污许可服务已具备采购条件，现公开邀请供应商参加采购活动。 </w:t>
      </w:r>
    </w:p>
    <w:p>
      <w:pPr>
        <w:pStyle w:val="5"/>
        <w:jc w:val="both"/>
        <w:rPr>
          <w:rFonts w:ascii="Arial" w:hAnsi="Arial"/>
        </w:rPr>
      </w:pPr>
      <w:r>
        <w:rPr>
          <w:rFonts w:hint="eastAsia"/>
          <w:lang w:val="en-US" w:eastAsia="zh-CN"/>
        </w:rPr>
        <w:t>一、</w:t>
      </w:r>
      <w:r>
        <w:rPr>
          <w:rFonts w:hint="eastAsia" w:ascii="黑体" w:hAnsi="黑体"/>
        </w:rPr>
        <w:t xml:space="preserve">采购项目简介 </w:t>
      </w:r>
    </w:p>
    <w:p>
      <w:pPr>
        <w:autoSpaceDE w:val="0"/>
        <w:spacing w:line="400" w:lineRule="exact"/>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sz w:val="24"/>
        </w:rPr>
        <w:t>采购项目名称:</w:t>
      </w:r>
      <w:bookmarkStart w:id="2" w:name="_Hlk104133173"/>
      <w:r>
        <w:rPr>
          <w:rFonts w:hint="eastAsia" w:ascii="宋体" w:hAnsi="宋体"/>
          <w:sz w:val="24"/>
        </w:rPr>
        <w:t>岳阳铁水集运煤炭码头一期工程竣工环保验收调查报告、突发环境事件应急预案和排污许可服务</w:t>
      </w:r>
      <w:bookmarkEnd w:id="2"/>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sz w:val="24"/>
        </w:rPr>
        <w:t>采购人:湖南省港务集团有限公司</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三</w:t>
      </w:r>
      <w:r>
        <w:rPr>
          <w:rFonts w:hint="eastAsia" w:ascii="宋体" w:hAnsi="宋体"/>
          <w:b/>
          <w:bCs/>
          <w:sz w:val="24"/>
          <w:lang w:eastAsia="zh-CN"/>
        </w:rPr>
        <w:t>）</w:t>
      </w:r>
      <w:r>
        <w:rPr>
          <w:rFonts w:hint="eastAsia" w:ascii="宋体" w:hAnsi="宋体"/>
          <w:sz w:val="24"/>
        </w:rPr>
        <w:t>采购代理机构:无</w:t>
      </w:r>
    </w:p>
    <w:p>
      <w:pPr>
        <w:autoSpaceDE w:val="0"/>
        <w:spacing w:line="400" w:lineRule="exact"/>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四</w:t>
      </w:r>
      <w:r>
        <w:rPr>
          <w:rFonts w:hint="eastAsia" w:ascii="宋体" w:hAnsi="宋体"/>
          <w:b/>
          <w:bCs/>
          <w:sz w:val="24"/>
          <w:lang w:eastAsia="zh-CN"/>
        </w:rPr>
        <w:t>）</w:t>
      </w:r>
      <w:r>
        <w:rPr>
          <w:rFonts w:hint="eastAsia" w:ascii="宋体" w:hAnsi="宋体"/>
          <w:sz w:val="24"/>
        </w:rPr>
        <w:t>采购项目资金落实情况:已落实</w:t>
      </w:r>
    </w:p>
    <w:p>
      <w:pPr>
        <w:autoSpaceDE w:val="0"/>
        <w:spacing w:line="400" w:lineRule="exact"/>
        <w:rPr>
          <w:sz w:val="24"/>
        </w:rPr>
      </w:pPr>
      <w:r>
        <w:rPr>
          <w:rFonts w:hint="eastAsia" w:ascii="宋体" w:hAnsi="宋体"/>
          <w:b/>
          <w:bCs/>
          <w:sz w:val="24"/>
          <w:lang w:eastAsia="zh-CN"/>
        </w:rPr>
        <w:t>（</w:t>
      </w:r>
      <w:r>
        <w:rPr>
          <w:rFonts w:hint="eastAsia" w:ascii="宋体" w:hAnsi="宋体"/>
          <w:b/>
          <w:bCs/>
          <w:sz w:val="24"/>
          <w:lang w:val="en-US" w:eastAsia="zh-CN"/>
        </w:rPr>
        <w:t>五</w:t>
      </w:r>
      <w:r>
        <w:rPr>
          <w:rFonts w:hint="eastAsia" w:ascii="宋体" w:hAnsi="宋体"/>
          <w:b/>
          <w:bCs/>
          <w:sz w:val="24"/>
          <w:lang w:eastAsia="zh-CN"/>
        </w:rPr>
        <w:t>）</w:t>
      </w:r>
      <w:r>
        <w:rPr>
          <w:rFonts w:hint="eastAsia" w:ascii="宋体" w:hAnsi="宋体"/>
          <w:sz w:val="24"/>
        </w:rPr>
        <w:t>采购项目概况:</w:t>
      </w:r>
      <w:r>
        <w:rPr>
          <w:rFonts w:hint="eastAsia"/>
          <w:sz w:val="24"/>
        </w:rPr>
        <w:t>岳阳铁水集运煤炭码头工程是湖南省水运建设重点项目，规划新建煤炭泊位9个。为加快批</w:t>
      </w:r>
      <w:r>
        <w:rPr>
          <w:rFonts w:hint="eastAsia" w:ascii="宋体" w:hAnsi="宋体" w:eastAsia="宋体" w:cs="宋体"/>
          <w:sz w:val="24"/>
        </w:rPr>
        <w:t>复和建设进度，满足省重点工程己内酰胺产业链整体搬迁项目2022年6月投产需要，确保260万吨煤炭供应，拟先期建设一期工程3个泊位，主要包括：1个5000吨级进口煤炭泊位，2个3000吨级出口煤炭泊位（水工结构均兼顾万吨级），设计年吞吐量为煤炭1090万吨/年。码头平台总长385米，宽度24米，为</w:t>
      </w:r>
      <w:r>
        <w:rPr>
          <w:rFonts w:hint="eastAsia"/>
          <w:sz w:val="24"/>
        </w:rPr>
        <w:t>高桩梁板结构型式，进口泊位采用2台1000t/h的桥式抓斗卸船机，2个出口泊位采用1台2000t/h的移动式装船机。码头平台与大堤及后方堆场之间采用皮带廊道和引桥进行煤炭输送作业。</w:t>
      </w:r>
    </w:p>
    <w:p>
      <w:pPr>
        <w:autoSpaceDE w:val="0"/>
        <w:spacing w:line="400" w:lineRule="exact"/>
        <w:rPr>
          <w:rFonts w:ascii="宋体" w:hAnsi="宋体"/>
          <w:sz w:val="24"/>
        </w:rPr>
      </w:pPr>
    </w:p>
    <w:p>
      <w:pPr>
        <w:pStyle w:val="5"/>
        <w:jc w:val="both"/>
        <w:rPr>
          <w:rFonts w:hint="eastAsia"/>
          <w:lang w:val="en-US" w:eastAsia="zh-CN"/>
        </w:rPr>
      </w:pPr>
      <w:r>
        <w:rPr>
          <w:rFonts w:hint="eastAsia"/>
          <w:lang w:val="en-US" w:eastAsia="zh-CN"/>
        </w:rPr>
        <w:t>二、采购范围及相关要求</w:t>
      </w:r>
    </w:p>
    <w:p>
      <w:pPr>
        <w:autoSpaceDE w:val="0"/>
        <w:spacing w:line="400" w:lineRule="exac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一</w:t>
      </w:r>
      <w:r>
        <w:rPr>
          <w:rFonts w:hint="eastAsia" w:ascii="宋体" w:hAnsi="宋体" w:eastAsia="宋体" w:cs="宋体"/>
          <w:sz w:val="24"/>
          <w:lang w:eastAsia="zh-CN"/>
        </w:rPr>
        <w:t>）</w:t>
      </w:r>
      <w:r>
        <w:rPr>
          <w:rFonts w:hint="eastAsia" w:ascii="宋体" w:hAnsi="宋体" w:eastAsia="宋体" w:cs="宋体"/>
          <w:sz w:val="24"/>
        </w:rPr>
        <w:t>采购范围:编制岳阳铁水集运煤炭码头一期工程竣工环保验收调查报告和突发环境事件应急预案，并办理排污许可，完成项目环境保护设施验收工作。（</w:t>
      </w:r>
      <w:r>
        <w:rPr>
          <w:rFonts w:hint="eastAsia" w:ascii="宋体" w:hAnsi="宋体" w:eastAsia="宋体" w:cs="宋体"/>
          <w:sz w:val="24"/>
          <w:lang w:val="en-US" w:eastAsia="zh-CN"/>
        </w:rPr>
        <w:t>本次采购费用</w:t>
      </w:r>
      <w:r>
        <w:rPr>
          <w:rFonts w:hint="eastAsia" w:ascii="宋体" w:hAnsi="宋体" w:eastAsia="宋体" w:cs="宋体"/>
          <w:sz w:val="24"/>
        </w:rPr>
        <w:t>包括报告编制费、专家评审费及税费等相关</w:t>
      </w:r>
      <w:r>
        <w:rPr>
          <w:rFonts w:hint="eastAsia" w:ascii="宋体" w:hAnsi="宋体" w:eastAsia="宋体" w:cs="宋体"/>
          <w:sz w:val="24"/>
          <w:lang w:val="en-US" w:eastAsia="zh-CN"/>
        </w:rPr>
        <w:t>全部</w:t>
      </w:r>
      <w:r>
        <w:rPr>
          <w:rFonts w:hint="eastAsia" w:ascii="宋体" w:hAnsi="宋体" w:eastAsia="宋体" w:cs="宋体"/>
          <w:sz w:val="24"/>
        </w:rPr>
        <w:t>费用。）</w:t>
      </w:r>
    </w:p>
    <w:p>
      <w:pPr>
        <w:autoSpaceDE w:val="0"/>
        <w:spacing w:line="400" w:lineRule="exac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二</w:t>
      </w:r>
      <w:r>
        <w:rPr>
          <w:rFonts w:hint="eastAsia" w:ascii="宋体" w:hAnsi="宋体" w:eastAsia="宋体" w:cs="宋体"/>
          <w:sz w:val="24"/>
          <w:lang w:eastAsia="zh-CN"/>
        </w:rPr>
        <w:t>）</w:t>
      </w:r>
      <w:r>
        <w:rPr>
          <w:rFonts w:hint="eastAsia" w:ascii="宋体" w:hAnsi="宋体" w:eastAsia="宋体" w:cs="宋体"/>
          <w:sz w:val="24"/>
        </w:rPr>
        <w:t>服务期限: 在发包人提供委托项目完整的相关资料后30个日</w:t>
      </w:r>
      <w:r>
        <w:rPr>
          <w:rFonts w:hint="eastAsia" w:ascii="宋体" w:hAnsi="宋体" w:eastAsia="宋体" w:cs="宋体"/>
          <w:sz w:val="24"/>
          <w:lang w:val="en-US" w:eastAsia="zh-CN"/>
        </w:rPr>
        <w:t>历天</w:t>
      </w:r>
      <w:r>
        <w:rPr>
          <w:rFonts w:hint="eastAsia" w:ascii="宋体" w:hAnsi="宋体" w:eastAsia="宋体" w:cs="宋体"/>
          <w:sz w:val="24"/>
        </w:rPr>
        <w:t>内完成评价报告，并协助发包人组织</w:t>
      </w:r>
      <w:r>
        <w:rPr>
          <w:rFonts w:hint="eastAsia" w:ascii="宋体" w:hAnsi="宋体" w:eastAsia="宋体" w:cs="宋体"/>
          <w:sz w:val="24"/>
          <w:lang w:val="en-US" w:eastAsia="zh-CN"/>
        </w:rPr>
        <w:t>环保验收调查</w:t>
      </w:r>
      <w:r>
        <w:rPr>
          <w:rFonts w:hint="eastAsia" w:ascii="宋体" w:hAnsi="宋体" w:eastAsia="宋体" w:cs="宋体"/>
          <w:sz w:val="24"/>
        </w:rPr>
        <w:t>报告</w:t>
      </w:r>
      <w:r>
        <w:rPr>
          <w:rFonts w:hint="eastAsia" w:ascii="宋体" w:hAnsi="宋体" w:eastAsia="宋体" w:cs="宋体"/>
          <w:sz w:val="24"/>
          <w:lang w:val="en-US" w:eastAsia="zh-CN"/>
        </w:rPr>
        <w:t>和突发环境事件应急预案</w:t>
      </w:r>
      <w:r>
        <w:rPr>
          <w:rFonts w:hint="eastAsia" w:ascii="宋体" w:hAnsi="宋体" w:eastAsia="宋体" w:cs="宋体"/>
          <w:sz w:val="24"/>
        </w:rPr>
        <w:t>评审</w:t>
      </w:r>
      <w:r>
        <w:rPr>
          <w:rFonts w:hint="eastAsia" w:ascii="宋体" w:hAnsi="宋体" w:eastAsia="宋体" w:cs="宋体"/>
          <w:sz w:val="24"/>
          <w:lang w:eastAsia="zh-CN"/>
        </w:rPr>
        <w:t>、</w:t>
      </w:r>
      <w:r>
        <w:rPr>
          <w:rFonts w:hint="eastAsia" w:ascii="宋体" w:hAnsi="宋体" w:eastAsia="宋体" w:cs="宋体"/>
          <w:sz w:val="24"/>
          <w:lang w:val="en-US" w:eastAsia="zh-CN"/>
        </w:rPr>
        <w:t>办理排污许可及环保</w:t>
      </w:r>
      <w:r>
        <w:rPr>
          <w:rFonts w:hint="eastAsia" w:ascii="宋体" w:hAnsi="宋体" w:eastAsia="宋体" w:cs="宋体"/>
          <w:sz w:val="24"/>
        </w:rPr>
        <w:t>验收</w:t>
      </w:r>
      <w:r>
        <w:rPr>
          <w:rFonts w:hint="eastAsia" w:ascii="宋体" w:hAnsi="宋体" w:eastAsia="宋体" w:cs="宋体"/>
          <w:sz w:val="24"/>
          <w:lang w:val="en-US" w:eastAsia="zh-CN"/>
        </w:rPr>
        <w:t>相关手续</w:t>
      </w:r>
      <w:r>
        <w:rPr>
          <w:rFonts w:hint="eastAsia" w:ascii="宋体" w:hAnsi="宋体" w:eastAsia="宋体" w:cs="宋体"/>
          <w:sz w:val="24"/>
        </w:rPr>
        <w:t>。</w:t>
      </w:r>
    </w:p>
    <w:p>
      <w:pPr>
        <w:autoSpaceDE w:val="0"/>
        <w:spacing w:line="400" w:lineRule="exac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w:t>
      </w:r>
      <w:r>
        <w:rPr>
          <w:rFonts w:hint="eastAsia" w:ascii="宋体" w:hAnsi="宋体" w:eastAsia="宋体" w:cs="宋体"/>
          <w:sz w:val="24"/>
        </w:rPr>
        <w:t>服务地点: 岳阳市云溪区荆岳长江大桥下游约5千米处南洋洲右岸。</w:t>
      </w:r>
    </w:p>
    <w:p>
      <w:pPr>
        <w:autoSpaceDE w:val="0"/>
        <w:spacing w:line="400" w:lineRule="exac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sz w:val="24"/>
        </w:rPr>
        <w:t>相关要求: 详见“第五章 采购要求”</w:t>
      </w:r>
    </w:p>
    <w:p>
      <w:pPr>
        <w:pStyle w:val="5"/>
        <w:jc w:val="both"/>
        <w:rPr>
          <w:rFonts w:ascii="Arial" w:hAnsi="Arial"/>
        </w:rPr>
      </w:pPr>
      <w:r>
        <w:rPr>
          <w:rFonts w:hint="eastAsia"/>
          <w:lang w:val="en-US" w:eastAsia="zh-CN"/>
        </w:rPr>
        <w:t>三、</w:t>
      </w:r>
      <w:r>
        <w:rPr>
          <w:rFonts w:hint="eastAsia" w:ascii="黑体" w:hAnsi="黑体"/>
        </w:rPr>
        <w:t>供应商资格要求</w:t>
      </w:r>
    </w:p>
    <w:p>
      <w:pPr>
        <w:autoSpaceDE w:val="0"/>
        <w:spacing w:line="400" w:lineRule="exact"/>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sz w:val="24"/>
        </w:rPr>
        <w:t>供应商不得存在下列情形之一:</w:t>
      </w:r>
    </w:p>
    <w:p>
      <w:pPr>
        <w:autoSpaceDE w:val="0"/>
        <w:spacing w:line="400" w:lineRule="exact"/>
        <w:ind w:firstLine="480" w:firstLineChars="200"/>
        <w:jc w:val="both"/>
        <w:rPr>
          <w:rFonts w:ascii="宋体" w:hAnsi="宋体"/>
          <w:sz w:val="24"/>
        </w:rPr>
      </w:pPr>
      <w:r>
        <w:rPr>
          <w:rFonts w:hint="eastAsia" w:ascii="宋体" w:hAnsi="宋体"/>
          <w:sz w:val="24"/>
          <w:lang w:val="en-US" w:eastAsia="zh-CN"/>
        </w:rPr>
        <w:t>1、</w:t>
      </w:r>
      <w:r>
        <w:rPr>
          <w:rFonts w:hint="eastAsia" w:ascii="宋体" w:hAnsi="宋体"/>
          <w:sz w:val="24"/>
        </w:rPr>
        <w:t>处于被责令停产停业、暂扣或者吊销执照、暂扣或者吊销许可证、吊销资质证书状态;</w:t>
      </w:r>
    </w:p>
    <w:p>
      <w:pPr>
        <w:autoSpaceDE w:val="0"/>
        <w:spacing w:line="400" w:lineRule="exact"/>
        <w:ind w:firstLine="480" w:firstLineChars="200"/>
        <w:jc w:val="both"/>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进入清算程序，或被宣告破产，或其他丧失履约能力的情形;</w:t>
      </w:r>
    </w:p>
    <w:p>
      <w:pPr>
        <w:autoSpaceDE w:val="0"/>
        <w:spacing w:line="400" w:lineRule="exact"/>
        <w:ind w:firstLine="480" w:firstLineChars="200"/>
        <w:jc w:val="both"/>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被采购人或采购人上级单位纳入黑名单；</w:t>
      </w:r>
    </w:p>
    <w:p>
      <w:pPr>
        <w:autoSpaceDE w:val="0"/>
        <w:spacing w:line="400" w:lineRule="exact"/>
        <w:ind w:firstLine="480" w:firstLineChars="200"/>
        <w:jc w:val="both"/>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为投资参股本项目的法人单位；</w:t>
      </w:r>
    </w:p>
    <w:p>
      <w:pPr>
        <w:autoSpaceDE w:val="0"/>
        <w:spacing w:line="400" w:lineRule="exact"/>
        <w:ind w:firstLine="480" w:firstLineChars="200"/>
        <w:jc w:val="both"/>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sz w:val="24"/>
        </w:rPr>
        <w:t>供应商应满足如下要求:</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Fonts w:hint="eastAsia" w:cs="仿宋" w:asciiTheme="minorEastAsia" w:hAnsiTheme="minorEastAsia" w:eastAsiaTheme="minorEastAsia"/>
                <w:sz w:val="24"/>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Fonts w:hint="eastAsia" w:cs="仿宋" w:asciiTheme="minorEastAsia" w:hAnsiTheme="minorEastAsia" w:eastAsiaTheme="minorEastAsia"/>
                <w:sz w:val="24"/>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lang w:eastAsia="zh-CN"/>
              </w:rPr>
              <w:t>□</w:t>
            </w:r>
            <w:r>
              <w:rPr>
                <w:rStyle w:val="44"/>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rPr>
              <w:t>□</w:t>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auto"/>
                <w:sz w:val="24"/>
              </w:rPr>
            </w:pPr>
            <w:r>
              <w:rPr>
                <w:rFonts w:hint="eastAsia" w:ascii="宋体" w:hAnsi="宋体"/>
                <w:color w:val="auto"/>
                <w:sz w:val="24"/>
              </w:rPr>
              <w:t>（6）承担本项目的主要人员要求</w:t>
            </w:r>
          </w:p>
        </w:tc>
        <w:tc>
          <w:tcPr>
            <w:tcW w:w="1786" w:type="dxa"/>
          </w:tcPr>
          <w:p>
            <w:pPr>
              <w:widowControl w:val="0"/>
              <w:spacing w:line="320" w:lineRule="exact"/>
              <w:jc w:val="both"/>
              <w:rPr>
                <w:rStyle w:val="44"/>
                <w:color w:val="auto"/>
                <w:u w:val="single"/>
              </w:rPr>
            </w:pPr>
            <w:r>
              <w:rPr>
                <w:rFonts w:hint="eastAsia" w:cs="仿宋" w:asciiTheme="minorEastAsia" w:hAnsiTheme="minorEastAsia" w:eastAsiaTheme="minorEastAsia"/>
                <w:color w:val="auto"/>
                <w:sz w:val="24"/>
              </w:rPr>
              <w:t>□</w:t>
            </w:r>
            <w:r>
              <w:rPr>
                <w:rStyle w:val="44"/>
                <w:rFonts w:hint="eastAsia"/>
                <w:color w:val="auto"/>
                <w:u w:val="single"/>
              </w:rPr>
              <w:t xml:space="preserve">不适用  </w:t>
            </w:r>
          </w:p>
          <w:p>
            <w:pPr>
              <w:widowControl w:val="0"/>
              <w:spacing w:line="320" w:lineRule="exact"/>
              <w:jc w:val="both"/>
              <w:rPr>
                <w:rFonts w:ascii="宋体" w:hAnsi="宋体"/>
                <w:color w:val="auto"/>
                <w:sz w:val="24"/>
              </w:rPr>
            </w:pPr>
            <w:r>
              <w:rPr>
                <w:rFonts w:hint="eastAsia" w:cs="仿宋" w:asciiTheme="minorEastAsia" w:hAnsiTheme="minorEastAsia" w:eastAsiaTheme="minorEastAsia"/>
                <w:color w:val="auto"/>
                <w:sz w:val="24"/>
                <w:lang w:eastAsia="zh-CN"/>
              </w:rPr>
              <w:t>☑</w:t>
            </w:r>
            <w:r>
              <w:rPr>
                <w:rStyle w:val="44"/>
                <w:rFonts w:hint="eastAsia"/>
                <w:color w:val="auto"/>
                <w:u w:val="single"/>
              </w:rPr>
              <w:t>适用</w:t>
            </w:r>
          </w:p>
        </w:tc>
        <w:tc>
          <w:tcPr>
            <w:tcW w:w="5443" w:type="dxa"/>
          </w:tcPr>
          <w:p>
            <w:pPr>
              <w:widowControl w:val="0"/>
              <w:spacing w:line="320" w:lineRule="exact"/>
              <w:jc w:val="both"/>
              <w:rPr>
                <w:rStyle w:val="44"/>
                <w:color w:val="auto"/>
                <w:u w:val="single"/>
              </w:rPr>
            </w:pPr>
            <w:r>
              <w:rPr>
                <w:rFonts w:hint="eastAsia" w:cs="仿宋" w:asciiTheme="minorEastAsia" w:hAnsiTheme="minorEastAsia" w:eastAsiaTheme="minorEastAsia"/>
                <w:color w:val="auto"/>
                <w:sz w:val="24"/>
              </w:rPr>
              <w:t>□</w:t>
            </w:r>
            <w:r>
              <w:rPr>
                <w:rStyle w:val="44"/>
                <w:rFonts w:hint="eastAsia"/>
                <w:color w:val="auto"/>
                <w:u w:val="single"/>
              </w:rPr>
              <w:t xml:space="preserve">不适用  </w:t>
            </w:r>
          </w:p>
          <w:p>
            <w:pPr>
              <w:widowControl w:val="0"/>
              <w:spacing w:line="320" w:lineRule="exact"/>
              <w:jc w:val="both"/>
              <w:rPr>
                <w:rFonts w:ascii="宋体" w:hAnsi="宋体"/>
                <w:color w:val="auto"/>
                <w:sz w:val="24"/>
              </w:rPr>
            </w:pPr>
            <w:r>
              <w:rPr>
                <w:rFonts w:hint="eastAsia" w:cs="仿宋" w:asciiTheme="minorEastAsia" w:hAnsiTheme="minorEastAsia" w:eastAsiaTheme="minorEastAsia"/>
                <w:color w:val="auto"/>
                <w:sz w:val="24"/>
                <w:lang w:eastAsia="zh-CN"/>
              </w:rPr>
              <w:t>☑</w:t>
            </w:r>
            <w:r>
              <w:rPr>
                <w:rStyle w:val="44"/>
                <w:rFonts w:hint="eastAsia"/>
                <w:color w:val="auto"/>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4"/>
                <w:u w:val="single"/>
              </w:rPr>
            </w:pPr>
            <w:r>
              <w:rPr>
                <w:rFonts w:hint="eastAsia" w:cs="仿宋" w:asciiTheme="minorEastAsia" w:hAnsiTheme="minorEastAsia" w:eastAsiaTheme="minorEastAsia"/>
                <w:sz w:val="24"/>
                <w:lang w:eastAsia="zh-CN"/>
              </w:rPr>
              <w:t>☑</w:t>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lang w:eastAsia="zh-CN"/>
              </w:rPr>
              <w:t>□</w:t>
            </w:r>
            <w:r>
              <w:rPr>
                <w:rStyle w:val="44"/>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Fonts w:hint="eastAsia" w:cs="仿宋" w:asciiTheme="minorEastAsia" w:hAnsiTheme="minorEastAsia" w:eastAsiaTheme="minorEastAsia"/>
                <w:sz w:val="24"/>
                <w:lang w:eastAsia="zh-CN"/>
              </w:rPr>
              <w:t>□</w:t>
            </w:r>
            <w:r>
              <w:rPr>
                <w:rStyle w:val="44"/>
                <w:rFonts w:hint="eastAsia"/>
                <w:u w:val="single"/>
              </w:rPr>
              <w:t>适用,见采购文件供应商须知前附表3.5（8）。</w:t>
            </w:r>
          </w:p>
        </w:tc>
      </w:tr>
    </w:tbl>
    <w:p>
      <w:pPr>
        <w:pStyle w:val="5"/>
        <w:jc w:val="both"/>
        <w:rPr>
          <w:rFonts w:ascii="Arial" w:hAnsi="Arial"/>
        </w:rPr>
      </w:pPr>
      <w:r>
        <w:rPr>
          <w:rFonts w:hint="eastAsia"/>
          <w:lang w:val="en-US" w:eastAsia="zh-CN"/>
        </w:rPr>
        <w:t>四、</w:t>
      </w:r>
      <w:r>
        <w:rPr>
          <w:rFonts w:hint="eastAsia" w:ascii="黑体" w:hAnsi="黑体"/>
        </w:rPr>
        <w:t>确定成交供应商的方法</w:t>
      </w:r>
    </w:p>
    <w:p>
      <w:pPr>
        <w:autoSpaceDE w:val="0"/>
        <w:spacing w:line="400" w:lineRule="exact"/>
        <w:ind w:firstLine="482" w:firstLineChars="200"/>
        <w:jc w:val="both"/>
        <w:rPr>
          <w:rFonts w:hint="default" w:ascii="宋体" w:hAnsi="宋体" w:eastAsia="宋体"/>
          <w:color w:val="auto"/>
          <w:sz w:val="24"/>
          <w:lang w:val="en-US" w:eastAsia="zh-CN"/>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lang w:val="en-US" w:eastAsia="zh-CN"/>
        </w:rPr>
        <w:t>经评审的最低价法</w:t>
      </w:r>
    </w:p>
    <w:p>
      <w:pPr>
        <w:autoSpaceDE w:val="0"/>
        <w:spacing w:line="400" w:lineRule="exact"/>
        <w:ind w:firstLine="482" w:firstLineChars="200"/>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5"/>
        <w:keepNext w:val="0"/>
        <w:keepLines w:val="0"/>
        <w:widowControl w:val="0"/>
        <w:adjustRightInd w:val="0"/>
        <w:snapToGrid w:val="0"/>
        <w:spacing w:after="0" w:line="312" w:lineRule="auto"/>
        <w:jc w:val="both"/>
        <w:rPr>
          <w:color w:val="auto"/>
        </w:rPr>
      </w:pPr>
      <w:r>
        <w:rPr>
          <w:rFonts w:hint="eastAsia"/>
          <w:lang w:val="en-US" w:eastAsia="zh-CN"/>
        </w:rPr>
        <w:t>五、</w:t>
      </w:r>
      <w:r>
        <w:rPr>
          <w:rFonts w:hint="eastAsia"/>
          <w:color w:val="000000"/>
        </w:rPr>
        <w:t>最高限价</w:t>
      </w:r>
    </w:p>
    <w:p>
      <w:pPr>
        <w:autoSpaceDE w:val="0"/>
        <w:spacing w:line="400" w:lineRule="exact"/>
        <w:ind w:firstLine="482" w:firstLineChars="200"/>
        <w:jc w:val="both"/>
        <w:rPr>
          <w:rFonts w:hint="default" w:ascii="宋体" w:hAnsi="宋体" w:eastAsia="宋体"/>
          <w:color w:val="auto"/>
          <w:sz w:val="24"/>
          <w:lang w:val="en-US" w:eastAsia="zh-CN"/>
        </w:rPr>
      </w:pPr>
      <w:bookmarkStart w:id="3" w:name="_Toc40274970"/>
      <w:bookmarkStart w:id="4" w:name="_Toc38287094"/>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color w:val="auto"/>
          <w:sz w:val="24"/>
        </w:rPr>
        <w:t>询价人为本次</w:t>
      </w:r>
      <w:r>
        <w:rPr>
          <w:rFonts w:hint="eastAsia" w:ascii="宋体" w:hAnsi="宋体"/>
          <w:color w:val="auto"/>
          <w:sz w:val="24"/>
          <w:lang w:val="en-US" w:eastAsia="zh-CN"/>
        </w:rPr>
        <w:t>采购</w:t>
      </w:r>
      <w:r>
        <w:rPr>
          <w:rFonts w:hint="eastAsia" w:ascii="宋体" w:hAnsi="宋体"/>
          <w:color w:val="auto"/>
          <w:sz w:val="24"/>
        </w:rPr>
        <w:t>编制了最高</w:t>
      </w:r>
      <w:r>
        <w:rPr>
          <w:rFonts w:hint="eastAsia" w:ascii="宋体" w:hAnsi="宋体"/>
          <w:color w:val="auto"/>
          <w:sz w:val="24"/>
          <w:lang w:eastAsia="zh-CN"/>
        </w:rPr>
        <w:t>报价</w:t>
      </w:r>
      <w:r>
        <w:rPr>
          <w:rFonts w:hint="eastAsia" w:ascii="宋体" w:hAnsi="宋体"/>
          <w:color w:val="auto"/>
          <w:sz w:val="24"/>
        </w:rPr>
        <w:t>限价，最高限价</w:t>
      </w:r>
      <w:r>
        <w:rPr>
          <w:rFonts w:hint="eastAsia" w:ascii="宋体" w:hAnsi="宋体"/>
          <w:color w:val="auto"/>
          <w:sz w:val="24"/>
          <w:lang w:val="en-US" w:eastAsia="zh-CN"/>
        </w:rPr>
        <w:t>含6%增值税</w:t>
      </w:r>
      <w:r>
        <w:rPr>
          <w:rFonts w:hint="eastAsia" w:ascii="宋体" w:hAnsi="宋体"/>
          <w:color w:val="auto"/>
          <w:sz w:val="24"/>
        </w:rPr>
        <w:t>：</w:t>
      </w:r>
      <w:r>
        <w:rPr>
          <w:rFonts w:hint="eastAsia" w:ascii="宋体" w:hAnsi="宋体"/>
          <w:color w:val="auto"/>
          <w:sz w:val="24"/>
          <w:lang w:val="en-US" w:eastAsia="zh-CN"/>
        </w:rPr>
        <w:t>壹拾玖万捌仟</w:t>
      </w:r>
      <w:r>
        <w:rPr>
          <w:rFonts w:hint="eastAsia" w:ascii="宋体" w:hAnsi="宋体"/>
          <w:color w:val="auto"/>
          <w:sz w:val="24"/>
        </w:rPr>
        <w:t>元</w:t>
      </w:r>
      <w:r>
        <w:rPr>
          <w:rFonts w:hint="eastAsia" w:ascii="宋体" w:hAnsi="宋体"/>
          <w:color w:val="auto"/>
          <w:sz w:val="24"/>
          <w:lang w:eastAsia="zh-CN"/>
        </w:rPr>
        <w:t>（￥</w:t>
      </w:r>
      <w:r>
        <w:rPr>
          <w:rFonts w:hint="eastAsia" w:ascii="宋体" w:hAnsi="宋体"/>
          <w:color w:val="auto"/>
          <w:sz w:val="24"/>
          <w:lang w:val="en-US" w:eastAsia="zh-CN"/>
        </w:rPr>
        <w:t>198000元</w:t>
      </w:r>
      <w:r>
        <w:rPr>
          <w:rFonts w:hint="eastAsia" w:ascii="宋体" w:hAnsi="宋体"/>
          <w:color w:val="auto"/>
          <w:sz w:val="24"/>
          <w:lang w:eastAsia="zh-CN"/>
        </w:rPr>
        <w:t>）</w:t>
      </w:r>
      <w:r>
        <w:rPr>
          <w:rFonts w:hint="eastAsia" w:ascii="宋体" w:hAnsi="宋体"/>
          <w:color w:val="auto"/>
          <w:sz w:val="24"/>
        </w:rPr>
        <w:t>。</w:t>
      </w:r>
      <w:r>
        <w:rPr>
          <w:rFonts w:hint="eastAsia" w:ascii="宋体" w:hAnsi="宋体"/>
          <w:color w:val="auto"/>
          <w:sz w:val="24"/>
          <w:lang w:val="en-US" w:eastAsia="zh-CN"/>
        </w:rPr>
        <w:t>如供应商提供其他税率的发票，采购人将报价按6%的税率调整后参与排序。</w:t>
      </w:r>
    </w:p>
    <w:p>
      <w:pPr>
        <w:autoSpaceDE w:val="0"/>
        <w:spacing w:line="400" w:lineRule="exact"/>
        <w:ind w:firstLine="482" w:firstLineChars="200"/>
        <w:jc w:val="both"/>
        <w:rPr>
          <w:rFonts w:ascii="宋体" w:hAnsi="宋体"/>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二</w:t>
      </w:r>
      <w:r>
        <w:rPr>
          <w:rFonts w:hint="eastAsia" w:ascii="宋体" w:hAnsi="宋体"/>
          <w:b/>
          <w:bCs/>
          <w:color w:val="auto"/>
          <w:sz w:val="24"/>
          <w:lang w:eastAsia="zh-CN"/>
        </w:rPr>
        <w:t>）</w:t>
      </w:r>
      <w:r>
        <w:rPr>
          <w:rFonts w:hint="eastAsia" w:ascii="宋体" w:hAnsi="宋体"/>
          <w:color w:val="auto"/>
          <w:sz w:val="24"/>
        </w:rPr>
        <w:t>报价人</w:t>
      </w:r>
      <w:r>
        <w:rPr>
          <w:rFonts w:hint="eastAsia" w:ascii="宋体" w:hAnsi="宋体"/>
          <w:color w:val="auto"/>
          <w:sz w:val="24"/>
          <w:lang w:eastAsia="zh-CN"/>
        </w:rPr>
        <w:t>报价</w:t>
      </w:r>
      <w:r>
        <w:rPr>
          <w:rFonts w:hint="eastAsia" w:ascii="宋体" w:hAnsi="宋体"/>
          <w:color w:val="auto"/>
          <w:sz w:val="24"/>
        </w:rPr>
        <w:t>报价应不高于最高</w:t>
      </w:r>
      <w:r>
        <w:rPr>
          <w:rFonts w:hint="eastAsia" w:ascii="宋体" w:hAnsi="宋体"/>
          <w:color w:val="auto"/>
          <w:sz w:val="24"/>
          <w:lang w:eastAsia="zh-CN"/>
        </w:rPr>
        <w:t>报价</w:t>
      </w:r>
      <w:r>
        <w:rPr>
          <w:rFonts w:hint="eastAsia" w:ascii="宋体" w:hAnsi="宋体"/>
          <w:color w:val="auto"/>
          <w:sz w:val="24"/>
        </w:rPr>
        <w:t>限价，否则其</w:t>
      </w:r>
      <w:r>
        <w:rPr>
          <w:rFonts w:hint="eastAsia" w:ascii="宋体" w:hAnsi="宋体"/>
          <w:color w:val="auto"/>
          <w:sz w:val="24"/>
          <w:lang w:eastAsia="zh-CN"/>
        </w:rPr>
        <w:t>报价</w:t>
      </w:r>
      <w:r>
        <w:rPr>
          <w:rFonts w:hint="eastAsia" w:ascii="宋体" w:hAnsi="宋体"/>
          <w:color w:val="auto"/>
          <w:sz w:val="24"/>
        </w:rPr>
        <w:t>将被否决。</w:t>
      </w:r>
      <w:bookmarkEnd w:id="3"/>
      <w:bookmarkEnd w:id="4"/>
    </w:p>
    <w:p>
      <w:pPr>
        <w:pStyle w:val="5"/>
        <w:jc w:val="both"/>
        <w:rPr>
          <w:rFonts w:ascii="Arial" w:hAnsi="Arial"/>
          <w:color w:val="auto"/>
        </w:rPr>
      </w:pPr>
      <w:r>
        <w:rPr>
          <w:rFonts w:hint="eastAsia"/>
          <w:color w:val="auto"/>
          <w:lang w:val="en-US" w:eastAsia="zh-CN"/>
        </w:rPr>
        <w:t>六、</w:t>
      </w:r>
      <w:r>
        <w:rPr>
          <w:rFonts w:hint="eastAsia" w:ascii="黑体" w:hAnsi="黑体"/>
          <w:color w:val="auto"/>
        </w:rPr>
        <w:t>采购文件获取</w:t>
      </w:r>
    </w:p>
    <w:p>
      <w:pPr>
        <w:autoSpaceDE w:val="0"/>
        <w:spacing w:line="400" w:lineRule="exact"/>
        <w:ind w:firstLine="482" w:firstLineChars="200"/>
        <w:jc w:val="both"/>
        <w:rPr>
          <w:rFonts w:ascii="宋体" w:hAnsi="宋体"/>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color w:val="auto"/>
          <w:sz w:val="24"/>
        </w:rPr>
        <w:t>供应商应</w:t>
      </w:r>
      <w:r>
        <w:rPr>
          <w:rFonts w:hint="eastAsia" w:ascii="宋体" w:hAnsi="宋体"/>
          <w:color w:val="auto"/>
          <w:sz w:val="24"/>
          <w:u w:val="none"/>
        </w:rPr>
        <w:t>当于2022年</w:t>
      </w:r>
      <w:r>
        <w:rPr>
          <w:rFonts w:hint="eastAsia" w:ascii="宋体" w:hAnsi="宋体"/>
          <w:color w:val="auto"/>
          <w:sz w:val="24"/>
          <w:u w:val="none"/>
          <w:lang w:val="en-US" w:eastAsia="zh-CN"/>
        </w:rPr>
        <w:t>6</w:t>
      </w:r>
      <w:r>
        <w:rPr>
          <w:rFonts w:hint="eastAsia" w:ascii="宋体" w:hAnsi="宋体"/>
          <w:color w:val="auto"/>
          <w:sz w:val="24"/>
          <w:u w:val="none"/>
        </w:rPr>
        <w:t>月</w:t>
      </w:r>
      <w:r>
        <w:rPr>
          <w:rFonts w:hint="eastAsia" w:ascii="宋体" w:hAnsi="宋体"/>
          <w:color w:val="auto"/>
          <w:sz w:val="24"/>
          <w:u w:val="none"/>
          <w:lang w:val="en-US" w:eastAsia="zh-CN"/>
        </w:rPr>
        <w:t>29</w:t>
      </w:r>
      <w:r>
        <w:rPr>
          <w:rFonts w:hint="eastAsia" w:ascii="宋体" w:hAnsi="宋体"/>
          <w:color w:val="auto"/>
          <w:sz w:val="24"/>
          <w:u w:val="none"/>
        </w:rPr>
        <w:t>日至2022年</w:t>
      </w:r>
      <w:r>
        <w:rPr>
          <w:rFonts w:hint="eastAsia" w:ascii="宋体" w:hAnsi="宋体"/>
          <w:color w:val="auto"/>
          <w:sz w:val="24"/>
          <w:u w:val="none"/>
          <w:lang w:val="en-US" w:eastAsia="zh-CN"/>
        </w:rPr>
        <w:t>7</w:t>
      </w:r>
      <w:r>
        <w:rPr>
          <w:rFonts w:hint="eastAsia" w:ascii="宋体" w:hAnsi="宋体"/>
          <w:color w:val="auto"/>
          <w:sz w:val="24"/>
          <w:u w:val="none"/>
        </w:rPr>
        <w:t>月</w:t>
      </w:r>
      <w:r>
        <w:rPr>
          <w:rFonts w:hint="eastAsia" w:ascii="宋体" w:hAnsi="宋体"/>
          <w:color w:val="auto"/>
          <w:sz w:val="24"/>
          <w:u w:val="none"/>
          <w:lang w:val="en-US" w:eastAsia="zh-CN"/>
        </w:rPr>
        <w:t>4</w:t>
      </w:r>
      <w:r>
        <w:rPr>
          <w:rFonts w:hint="eastAsia" w:ascii="宋体" w:hAnsi="宋体"/>
          <w:color w:val="auto"/>
          <w:sz w:val="24"/>
          <w:u w:val="none"/>
        </w:rPr>
        <w:t>日，网上直接下载获取采购文件，报价文件最迟应于2022年</w:t>
      </w:r>
      <w:r>
        <w:rPr>
          <w:rFonts w:hint="eastAsia" w:ascii="宋体" w:hAnsi="宋体"/>
          <w:color w:val="auto"/>
          <w:sz w:val="24"/>
          <w:u w:val="none"/>
          <w:lang w:val="en-US" w:eastAsia="zh-CN"/>
        </w:rPr>
        <w:t>7</w:t>
      </w:r>
      <w:r>
        <w:rPr>
          <w:rFonts w:hint="eastAsia" w:ascii="宋体" w:hAnsi="宋体"/>
          <w:color w:val="auto"/>
          <w:sz w:val="24"/>
          <w:u w:val="none"/>
        </w:rPr>
        <w:t>月</w:t>
      </w:r>
      <w:r>
        <w:rPr>
          <w:rFonts w:hint="eastAsia" w:ascii="宋体" w:hAnsi="宋体"/>
          <w:color w:val="auto"/>
          <w:sz w:val="24"/>
          <w:u w:val="none"/>
          <w:lang w:val="en-US" w:eastAsia="zh-CN"/>
        </w:rPr>
        <w:t>6</w:t>
      </w:r>
      <w:r>
        <w:rPr>
          <w:rFonts w:hint="eastAsia" w:ascii="宋体" w:hAnsi="宋体"/>
          <w:color w:val="auto"/>
          <w:sz w:val="24"/>
          <w:u w:val="none"/>
        </w:rPr>
        <w:t>日</w:t>
      </w:r>
      <w:r>
        <w:rPr>
          <w:rFonts w:hint="eastAsia" w:ascii="宋体" w:hAnsi="宋体"/>
          <w:color w:val="auto"/>
          <w:sz w:val="24"/>
          <w:u w:val="none"/>
          <w:lang w:val="en-US" w:eastAsia="zh-CN"/>
        </w:rPr>
        <w:t>15</w:t>
      </w:r>
      <w:r>
        <w:rPr>
          <w:rFonts w:hint="eastAsia" w:ascii="宋体" w:hAnsi="宋体"/>
          <w:color w:val="auto"/>
          <w:sz w:val="24"/>
          <w:u w:val="none"/>
        </w:rPr>
        <w:t>时</w:t>
      </w:r>
      <w:r>
        <w:rPr>
          <w:rFonts w:hint="eastAsia" w:ascii="宋体" w:hAnsi="宋体"/>
          <w:color w:val="auto"/>
          <w:sz w:val="24"/>
          <w:u w:val="none"/>
          <w:lang w:val="en-US" w:eastAsia="zh-CN"/>
        </w:rPr>
        <w:t>00</w:t>
      </w:r>
      <w:r>
        <w:rPr>
          <w:rFonts w:hint="eastAsia" w:ascii="宋体" w:hAnsi="宋体"/>
          <w:color w:val="auto"/>
          <w:sz w:val="24"/>
          <w:u w:val="none"/>
        </w:rPr>
        <w:t>分送达湖南省港务集团有限公司工程管理部（岳阳市云溪区沿江西路50米湖南省港务集团信息化大楼305室），逾期送达的或者未送达</w:t>
      </w:r>
      <w:r>
        <w:rPr>
          <w:rFonts w:hint="eastAsia" w:ascii="宋体" w:hAnsi="宋体"/>
          <w:color w:val="auto"/>
          <w:sz w:val="24"/>
        </w:rPr>
        <w:t>指定地点的文件，不予受理。</w:t>
      </w:r>
    </w:p>
    <w:p>
      <w:pPr>
        <w:widowControl w:val="0"/>
        <w:spacing w:line="312" w:lineRule="auto"/>
        <w:ind w:firstLine="482" w:firstLineChars="200"/>
        <w:jc w:val="both"/>
        <w:rPr>
          <w:rFonts w:ascii="宋体" w:hAnsi="宋体"/>
          <w:sz w:val="24"/>
        </w:rPr>
      </w:pPr>
      <w:r>
        <w:rPr>
          <w:rFonts w:hint="eastAsia" w:ascii="宋体" w:hAnsi="宋体"/>
          <w:b/>
          <w:bCs/>
          <w:color w:val="auto"/>
          <w:sz w:val="24"/>
          <w:lang w:eastAsia="zh-CN"/>
        </w:rPr>
        <w:t>（</w:t>
      </w:r>
      <w:r>
        <w:rPr>
          <w:rFonts w:hint="eastAsia" w:ascii="宋体" w:hAnsi="宋体"/>
          <w:b/>
          <w:bCs/>
          <w:color w:val="auto"/>
          <w:sz w:val="24"/>
          <w:lang w:val="en-US" w:eastAsia="zh-CN"/>
        </w:rPr>
        <w:t>二）</w:t>
      </w:r>
      <w:r>
        <w:rPr>
          <w:rFonts w:hint="eastAsia" w:ascii="宋体" w:hAnsi="宋体"/>
          <w:color w:val="auto"/>
          <w:sz w:val="24"/>
        </w:rPr>
        <w:t>供应商若对本项目采购需求、资格要求等有疑问的，应当于2022年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5</w:t>
      </w:r>
      <w:r>
        <w:rPr>
          <w:rFonts w:hint="eastAsia" w:ascii="宋体" w:hAnsi="宋体"/>
          <w:color w:val="auto"/>
          <w:sz w:val="24"/>
        </w:rPr>
        <w:t xml:space="preserve"> 日</w:t>
      </w:r>
      <w:r>
        <w:rPr>
          <w:rFonts w:hint="eastAsia" w:ascii="宋体" w:hAnsi="宋体"/>
          <w:color w:val="auto"/>
          <w:sz w:val="24"/>
          <w:lang w:val="en-US" w:eastAsia="zh-CN"/>
        </w:rPr>
        <w:t>15</w:t>
      </w:r>
      <w:r>
        <w:rPr>
          <w:rFonts w:hint="eastAsia" w:ascii="宋体" w:hAnsi="宋体"/>
          <w:color w:val="auto"/>
          <w:sz w:val="24"/>
        </w:rPr>
        <w:t xml:space="preserve"> 时</w:t>
      </w:r>
      <w:r>
        <w:rPr>
          <w:rFonts w:hint="eastAsia" w:ascii="宋体" w:hAnsi="宋体"/>
          <w:color w:val="auto"/>
          <w:sz w:val="24"/>
          <w:lang w:val="en-US" w:eastAsia="zh-CN"/>
        </w:rPr>
        <w:t>00</w:t>
      </w:r>
      <w:r>
        <w:rPr>
          <w:rFonts w:hint="eastAsia" w:ascii="宋体" w:hAnsi="宋体"/>
          <w:color w:val="auto"/>
          <w:sz w:val="24"/>
        </w:rPr>
        <w:t xml:space="preserve">  分</w:t>
      </w:r>
      <w:r>
        <w:rPr>
          <w:rFonts w:hint="eastAsia" w:ascii="宋体" w:hAnsi="宋体"/>
          <w:sz w:val="24"/>
        </w:rPr>
        <w:t>前向采购人提出澄清要求（</w:t>
      </w:r>
      <w:r>
        <w:rPr>
          <w:rFonts w:hint="eastAsia" w:ascii="宋体" w:hAnsi="宋体"/>
          <w:bCs/>
          <w:sz w:val="24"/>
        </w:rPr>
        <w:t>公休日除外</w:t>
      </w:r>
      <w:r>
        <w:rPr>
          <w:rFonts w:hint="eastAsia" w:ascii="宋体" w:hAnsi="宋体"/>
          <w:sz w:val="24"/>
        </w:rPr>
        <w:t>）。</w:t>
      </w:r>
    </w:p>
    <w:p>
      <w:pPr>
        <w:widowControl w:val="0"/>
        <w:spacing w:line="312" w:lineRule="auto"/>
        <w:ind w:firstLine="482" w:firstLineChars="200"/>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三</w:t>
      </w:r>
      <w:r>
        <w:rPr>
          <w:rFonts w:hint="eastAsia" w:ascii="宋体" w:hAnsi="宋体"/>
          <w:b/>
          <w:bCs/>
          <w:sz w:val="24"/>
          <w:lang w:eastAsia="zh-CN"/>
        </w:rPr>
        <w:t>）</w:t>
      </w:r>
      <w:r>
        <w:rPr>
          <w:rFonts w:hint="eastAsia" w:ascii="宋体" w:hAnsi="宋体"/>
          <w:sz w:val="24"/>
        </w:rPr>
        <w:t>本次询价不接受联合体报价。</w:t>
      </w:r>
    </w:p>
    <w:p>
      <w:pPr>
        <w:pStyle w:val="5"/>
        <w:jc w:val="both"/>
      </w:pPr>
      <w:r>
        <w:rPr>
          <w:rFonts w:hint="eastAsia"/>
          <w:lang w:val="en-US" w:eastAsia="zh-CN"/>
        </w:rPr>
        <w:t>七、</w:t>
      </w:r>
      <w:r>
        <w:rPr>
          <w:rFonts w:hint="eastAsia"/>
        </w:rPr>
        <w:t>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w:t>
      </w:r>
      <w:r>
        <w:rPr>
          <w:rFonts w:hint="eastAsia" w:ascii="宋体" w:hAnsi="宋体" w:cs="宋体"/>
          <w:sz w:val="24"/>
          <w:u w:val="none"/>
        </w:rPr>
        <w:t>国</w:t>
      </w:r>
      <w:r>
        <w:rPr>
          <w:rFonts w:hint="eastAsia" w:ascii="宋体" w:hAnsi="宋体" w:cs="宋体"/>
          <w:sz w:val="24"/>
          <w:u w:val="none"/>
          <w:lang w:eastAsia="zh-CN"/>
        </w:rPr>
        <w:t>采购报价</w:t>
      </w:r>
      <w:r>
        <w:rPr>
          <w:rFonts w:hint="eastAsia" w:ascii="宋体" w:hAnsi="宋体" w:cs="宋体"/>
          <w:sz w:val="24"/>
          <w:u w:val="none"/>
        </w:rPr>
        <w:t>公共服务平台（http：//www.cebpubservice.com）、湖南省湘水集团有限公司网站（http：//www.hnsxsjt.com）、                                   湖南省港务集团有限公司</w:t>
      </w:r>
      <w:r>
        <w:rPr>
          <w:rFonts w:hint="eastAsia" w:ascii="宋体" w:hAnsi="宋体" w:cs="宋体"/>
          <w:sz w:val="24"/>
          <w:highlight w:val="none"/>
          <w:u w:val="none"/>
        </w:rPr>
        <w:t>（http://www.hnsgwjt.com）上</w:t>
      </w:r>
      <w:r>
        <w:rPr>
          <w:rFonts w:hint="eastAsia" w:ascii="宋体" w:hAnsi="宋体" w:cs="宋体"/>
          <w:sz w:val="24"/>
          <w:u w:val="none"/>
        </w:rPr>
        <w:t>发布。</w:t>
      </w:r>
    </w:p>
    <w:p>
      <w:pPr>
        <w:pStyle w:val="5"/>
        <w:jc w:val="both"/>
      </w:pPr>
      <w:bookmarkStart w:id="5" w:name="_Toc77254104"/>
      <w:bookmarkStart w:id="6" w:name="_Toc76635692"/>
      <w:bookmarkStart w:id="7" w:name="_Toc512257471"/>
      <w:bookmarkStart w:id="8" w:name="_Toc79596547"/>
      <w:r>
        <w:rPr>
          <w:rFonts w:hint="eastAsia"/>
          <w:lang w:val="en-US" w:eastAsia="zh-CN"/>
        </w:rPr>
        <w:t>八、</w:t>
      </w:r>
      <w:r>
        <w:t>监督</w:t>
      </w:r>
      <w:bookmarkEnd w:id="5"/>
      <w:bookmarkEnd w:id="6"/>
      <w:bookmarkEnd w:id="7"/>
      <w:r>
        <w:rPr>
          <w:rFonts w:hint="eastAsia"/>
        </w:rPr>
        <w:t>部门</w:t>
      </w:r>
      <w:bookmarkEnd w:id="8"/>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w:t>
      </w:r>
    </w:p>
    <w:p>
      <w:pPr>
        <w:pStyle w:val="5"/>
        <w:jc w:val="both"/>
        <w:rPr>
          <w:rFonts w:ascii="Arial" w:hAnsi="Arial"/>
        </w:rPr>
      </w:pPr>
      <w:r>
        <w:rPr>
          <w:rFonts w:hint="eastAsia"/>
          <w:lang w:val="en-US" w:eastAsia="zh-CN"/>
        </w:rPr>
        <w:t>九、</w:t>
      </w:r>
      <w:r>
        <w:rPr>
          <w:rFonts w:hint="eastAsia" w:ascii="黑体" w:hAnsi="黑体"/>
        </w:rPr>
        <w:t>联系方式</w:t>
      </w:r>
    </w:p>
    <w:p>
      <w:pPr>
        <w:autoSpaceDE w:val="0"/>
        <w:spacing w:line="400" w:lineRule="exact"/>
        <w:ind w:firstLine="240" w:firstLineChars="100"/>
        <w:rPr>
          <w:rFonts w:ascii="宋体" w:hAnsi="宋体"/>
          <w:sz w:val="24"/>
          <w:u w:val="none"/>
        </w:rPr>
      </w:pPr>
      <w:r>
        <w:rPr>
          <w:rFonts w:hint="eastAsia" w:ascii="宋体" w:hAnsi="宋体"/>
          <w:sz w:val="24"/>
        </w:rPr>
        <w:t>采 购 人:</w:t>
      </w:r>
      <w:r>
        <w:rPr>
          <w:rFonts w:hint="eastAsia" w:ascii="宋体" w:hAnsi="宋体"/>
          <w:sz w:val="24"/>
          <w:u w:val="none"/>
        </w:rPr>
        <w:t xml:space="preserve">  湖南省港务集团有限公司                        </w:t>
      </w:r>
    </w:p>
    <w:p>
      <w:pPr>
        <w:autoSpaceDE w:val="0"/>
        <w:spacing w:line="400" w:lineRule="exact"/>
        <w:ind w:firstLine="240" w:firstLineChars="100"/>
        <w:rPr>
          <w:rFonts w:ascii="宋体" w:hAnsi="宋体"/>
          <w:sz w:val="24"/>
          <w:u w:val="none"/>
        </w:rPr>
      </w:pPr>
      <w:r>
        <w:rPr>
          <w:rFonts w:hint="eastAsia" w:ascii="宋体" w:hAnsi="宋体"/>
          <w:sz w:val="24"/>
          <w:u w:val="none"/>
        </w:rPr>
        <w:t xml:space="preserve">地    址:  岳阳市云溪区沿江西路50米湖南省港务集团信息化大楼305室   </w:t>
      </w:r>
    </w:p>
    <w:p>
      <w:pPr>
        <w:autoSpaceDE w:val="0"/>
        <w:spacing w:line="400" w:lineRule="exact"/>
        <w:ind w:firstLine="240" w:firstLineChars="100"/>
        <w:jc w:val="both"/>
        <w:rPr>
          <w:rFonts w:ascii="宋体" w:hAnsi="宋体"/>
          <w:sz w:val="24"/>
          <w:u w:val="none"/>
        </w:rPr>
      </w:pPr>
      <w:r>
        <w:rPr>
          <w:rFonts w:hint="eastAsia" w:ascii="宋体" w:hAnsi="宋体"/>
          <w:sz w:val="24"/>
          <w:u w:val="none"/>
        </w:rPr>
        <w:t xml:space="preserve">联 系 人:  </w:t>
      </w:r>
      <w:r>
        <w:rPr>
          <w:rFonts w:hint="eastAsia" w:ascii="宋体" w:hAnsi="宋体"/>
          <w:sz w:val="24"/>
          <w:u w:val="none"/>
          <w:lang w:val="en-US" w:eastAsia="zh-CN"/>
        </w:rPr>
        <w:t>肖</w:t>
      </w:r>
      <w:r>
        <w:rPr>
          <w:rFonts w:hint="eastAsia" w:ascii="宋体" w:hAnsi="宋体"/>
          <w:sz w:val="24"/>
          <w:u w:val="none"/>
        </w:rPr>
        <w:t xml:space="preserve">先生                          </w:t>
      </w:r>
    </w:p>
    <w:p>
      <w:pPr>
        <w:spacing w:line="440" w:lineRule="exact"/>
        <w:ind w:firstLine="240" w:firstLineChars="100"/>
        <w:rPr>
          <w:rFonts w:hint="eastAsia" w:ascii="宋体" w:hAnsi="宋体" w:eastAsia="宋体" w:cs="宋体"/>
          <w:color w:val="auto"/>
          <w:sz w:val="24"/>
          <w:u w:val="none"/>
        </w:rPr>
      </w:pPr>
      <w:r>
        <w:rPr>
          <w:rFonts w:hint="eastAsia" w:ascii="宋体" w:hAnsi="宋体"/>
          <w:sz w:val="24"/>
          <w:u w:val="none"/>
        </w:rPr>
        <w:t xml:space="preserve">电    话: </w:t>
      </w:r>
      <w:r>
        <w:rPr>
          <w:rFonts w:hint="eastAsia" w:ascii="宋体" w:hAnsi="宋体" w:eastAsia="宋体" w:cs="宋体"/>
          <w:color w:val="auto"/>
          <w:sz w:val="24"/>
          <w:u w:val="none"/>
        </w:rPr>
        <w:t xml:space="preserve"> 0730-8426237</w:t>
      </w:r>
    </w:p>
    <w:p>
      <w:pPr>
        <w:spacing w:line="240" w:lineRule="auto"/>
        <w:jc w:val="center"/>
        <w:outlineLvl w:val="0"/>
        <w:rPr>
          <w:rFonts w:ascii="黑体" w:hAnsi="黑体" w:eastAsia="黑体"/>
          <w:sz w:val="32"/>
          <w:szCs w:val="32"/>
        </w:rPr>
      </w:pPr>
      <w:bookmarkStart w:id="9" w:name="_Toc517787494"/>
      <w:bookmarkStart w:id="10" w:name="_Toc29997"/>
      <w:bookmarkStart w:id="11" w:name="_Toc234832861"/>
      <w:r>
        <w:rPr>
          <w:rFonts w:hint="eastAsia" w:ascii="黑体" w:hAnsi="黑体" w:eastAsia="黑体"/>
          <w:sz w:val="32"/>
          <w:szCs w:val="32"/>
        </w:rPr>
        <w:t>第二章  供应商须知</w:t>
      </w:r>
      <w:bookmarkEnd w:id="9"/>
      <w:bookmarkEnd w:id="10"/>
      <w:bookmarkEnd w:id="11"/>
    </w:p>
    <w:p>
      <w:pPr>
        <w:pStyle w:val="4"/>
        <w:spacing w:before="240" w:after="240" w:line="600" w:lineRule="exact"/>
        <w:jc w:val="both"/>
        <w:rPr>
          <w:rFonts w:ascii="仿宋" w:hAnsi="仿宋" w:eastAsia="仿宋" w:cs="仿宋"/>
          <w:sz w:val="30"/>
          <w:szCs w:val="30"/>
        </w:rPr>
      </w:pPr>
      <w:bookmarkStart w:id="12" w:name="_Toc14647"/>
      <w:bookmarkStart w:id="13" w:name="_Toc517787495"/>
      <w:bookmarkStart w:id="14" w:name="_Toc234832862"/>
      <w:r>
        <w:rPr>
          <w:rFonts w:hint="eastAsia" w:ascii="仿宋" w:hAnsi="仿宋" w:eastAsia="仿宋" w:cs="仿宋"/>
          <w:sz w:val="30"/>
          <w:szCs w:val="30"/>
        </w:rPr>
        <w:t>供应商须知前附表</w:t>
      </w:r>
      <w:bookmarkEnd w:id="12"/>
      <w:bookmarkEnd w:id="13"/>
      <w:bookmarkEnd w:id="14"/>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询价</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□竞争性谈判</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□单一来源</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最低价法（同质比价法和同价比质法）</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不组织</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□组织，踏勘时间：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不召开</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□召开，召开时间：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不得分包的内容：不允许分包</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允许偏差的范围：不允许重大偏差，允许细微偏差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截止时间：2022年</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日</w:t>
            </w:r>
            <w:r>
              <w:rPr>
                <w:rFonts w:hint="eastAsia" w:cs="仿宋" w:asciiTheme="minorEastAsia" w:hAnsiTheme="minorEastAsia" w:eastAsiaTheme="minorEastAsia"/>
                <w:color w:val="auto"/>
                <w:sz w:val="24"/>
                <w:highlight w:val="none"/>
                <w:lang w:val="en-US" w:eastAsia="zh-CN"/>
              </w:rPr>
              <w:t>15</w:t>
            </w:r>
            <w:r>
              <w:rPr>
                <w:rFonts w:hint="eastAsia" w:cs="仿宋" w:asciiTheme="minorEastAsia" w:hAnsiTheme="minorEastAsia" w:eastAsiaTheme="minorEastAsia"/>
                <w:color w:val="auto"/>
                <w:sz w:val="24"/>
                <w:highlight w:val="none"/>
              </w:rPr>
              <w:t xml:space="preserve"> 时</w:t>
            </w:r>
            <w:r>
              <w:rPr>
                <w:rFonts w:hint="eastAsia" w:cs="仿宋" w:asciiTheme="minorEastAsia" w:hAnsiTheme="minorEastAsia" w:eastAsiaTheme="minorEastAsia"/>
                <w:color w:val="auto"/>
                <w:sz w:val="24"/>
                <w:highlight w:val="none"/>
                <w:lang w:val="en-US" w:eastAsia="zh-CN"/>
              </w:rPr>
              <w:t>00</w:t>
            </w:r>
            <w:r>
              <w:rPr>
                <w:rFonts w:hint="eastAsia" w:cs="仿宋" w:asciiTheme="minorEastAsia" w:hAnsiTheme="minorEastAsia" w:eastAsiaTheme="minorEastAsia"/>
                <w:color w:val="auto"/>
                <w:sz w:val="24"/>
                <w:highlight w:val="none"/>
              </w:rPr>
              <w:t>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确认的最晚时间：</w:t>
            </w:r>
            <w:r>
              <w:rPr>
                <w:rFonts w:hint="eastAsia" w:cs="仿宋" w:asciiTheme="minorEastAsia" w:hAnsiTheme="minorEastAsia" w:eastAsiaTheme="minorEastAsia"/>
                <w:color w:val="auto"/>
                <w:sz w:val="24"/>
                <w:highlight w:val="none"/>
                <w:lang w:val="en-US" w:eastAsia="zh-CN"/>
              </w:rPr>
              <w:t>收到采购文件补充文件后24小时内</w:t>
            </w:r>
            <w:r>
              <w:rPr>
                <w:rFonts w:hint="eastAsia" w:cs="仿宋" w:asciiTheme="minorEastAsia" w:hAnsiTheme="minorEastAsia" w:eastAsiaTheme="minorEastAsia"/>
                <w:color w:val="auto"/>
                <w:sz w:val="24"/>
                <w:highlight w:val="none"/>
              </w:rPr>
              <w:t>。</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□无</w:t>
            </w:r>
          </w:p>
          <w:p>
            <w:pPr>
              <w:autoSpaceDE w:val="0"/>
              <w:spacing w:line="400" w:lineRule="exact"/>
              <w:ind w:firstLine="480" w:firstLineChars="200"/>
              <w:jc w:val="both"/>
              <w:rPr>
                <w:rFonts w:hint="default" w:ascii="宋体" w:hAnsi="宋体" w:eastAsia="宋体"/>
                <w:color w:val="auto"/>
                <w:sz w:val="24"/>
                <w:lang w:val="en-US" w:eastAsia="zh-CN"/>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有，</w:t>
            </w:r>
            <w:r>
              <w:rPr>
                <w:rFonts w:hint="eastAsia" w:ascii="宋体" w:hAnsi="宋体"/>
                <w:color w:val="auto"/>
                <w:sz w:val="24"/>
              </w:rPr>
              <w:t>询价人为本次</w:t>
            </w:r>
            <w:r>
              <w:rPr>
                <w:rFonts w:hint="eastAsia" w:ascii="宋体" w:hAnsi="宋体"/>
                <w:color w:val="auto"/>
                <w:sz w:val="24"/>
                <w:lang w:val="en-US" w:eastAsia="zh-CN"/>
              </w:rPr>
              <w:t>采购</w:t>
            </w:r>
            <w:r>
              <w:rPr>
                <w:rFonts w:hint="eastAsia" w:ascii="宋体" w:hAnsi="宋体"/>
                <w:color w:val="auto"/>
                <w:sz w:val="24"/>
              </w:rPr>
              <w:t>编制了最高</w:t>
            </w:r>
            <w:r>
              <w:rPr>
                <w:rFonts w:hint="eastAsia" w:ascii="宋体" w:hAnsi="宋体"/>
                <w:color w:val="auto"/>
                <w:sz w:val="24"/>
                <w:lang w:eastAsia="zh-CN"/>
              </w:rPr>
              <w:t>报价</w:t>
            </w:r>
            <w:r>
              <w:rPr>
                <w:rFonts w:hint="eastAsia" w:ascii="宋体" w:hAnsi="宋体"/>
                <w:color w:val="auto"/>
                <w:sz w:val="24"/>
              </w:rPr>
              <w:t>限价，最高限价</w:t>
            </w:r>
            <w:r>
              <w:rPr>
                <w:rFonts w:hint="eastAsia" w:ascii="宋体" w:hAnsi="宋体"/>
                <w:color w:val="auto"/>
                <w:sz w:val="24"/>
                <w:lang w:val="en-US" w:eastAsia="zh-CN"/>
              </w:rPr>
              <w:t>含6%增值税</w:t>
            </w:r>
            <w:r>
              <w:rPr>
                <w:rFonts w:hint="eastAsia" w:ascii="宋体" w:hAnsi="宋体"/>
                <w:color w:val="auto"/>
                <w:sz w:val="24"/>
              </w:rPr>
              <w:t>：</w:t>
            </w:r>
            <w:r>
              <w:rPr>
                <w:rFonts w:hint="eastAsia" w:ascii="宋体" w:hAnsi="宋体"/>
                <w:color w:val="auto"/>
                <w:sz w:val="24"/>
                <w:lang w:val="en-US" w:eastAsia="zh-CN"/>
              </w:rPr>
              <w:t>壹拾玖万捌仟</w:t>
            </w:r>
            <w:r>
              <w:rPr>
                <w:rFonts w:hint="eastAsia" w:ascii="宋体" w:hAnsi="宋体"/>
                <w:color w:val="auto"/>
                <w:sz w:val="24"/>
              </w:rPr>
              <w:t>元</w:t>
            </w:r>
            <w:r>
              <w:rPr>
                <w:rFonts w:hint="eastAsia" w:ascii="宋体" w:hAnsi="宋体"/>
                <w:color w:val="auto"/>
                <w:sz w:val="24"/>
                <w:lang w:eastAsia="zh-CN"/>
              </w:rPr>
              <w:t>（￥</w:t>
            </w:r>
            <w:r>
              <w:rPr>
                <w:rFonts w:hint="eastAsia" w:ascii="宋体" w:hAnsi="宋体"/>
                <w:color w:val="auto"/>
                <w:sz w:val="24"/>
                <w:lang w:val="en-US" w:eastAsia="zh-CN"/>
              </w:rPr>
              <w:t>198000元</w:t>
            </w:r>
            <w:r>
              <w:rPr>
                <w:rFonts w:hint="eastAsia" w:ascii="宋体" w:hAnsi="宋体"/>
                <w:color w:val="auto"/>
                <w:sz w:val="24"/>
                <w:lang w:eastAsia="zh-CN"/>
              </w:rPr>
              <w:t>）</w:t>
            </w:r>
            <w:r>
              <w:rPr>
                <w:rFonts w:hint="eastAsia" w:ascii="宋体" w:hAnsi="宋体"/>
                <w:color w:val="auto"/>
                <w:sz w:val="24"/>
              </w:rPr>
              <w:t>。</w:t>
            </w:r>
            <w:r>
              <w:rPr>
                <w:rFonts w:hint="eastAsia" w:ascii="宋体" w:hAnsi="宋体"/>
                <w:color w:val="auto"/>
                <w:sz w:val="24"/>
                <w:lang w:val="en-US" w:eastAsia="zh-CN"/>
              </w:rPr>
              <w:t>如供应商提供其他税率的发票，采购人将报价按6%的税率调整后参与排序。</w:t>
            </w:r>
          </w:p>
          <w:p>
            <w:pPr>
              <w:spacing w:line="288" w:lineRule="auto"/>
              <w:jc w:val="both"/>
              <w:rPr>
                <w:rFonts w:cs="仿宋" w:asciiTheme="minorEastAsia" w:hAnsiTheme="minorEastAsia" w:eastAsiaTheme="minorEastAsia"/>
                <w:color w:val="auto"/>
                <w:sz w:val="24"/>
              </w:rPr>
            </w:pP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不要求递交</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rPr>
              <w:t>要求递交，</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保证金的金额：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rPr>
            </w:pPr>
            <w:r>
              <w:rPr>
                <w:rStyle w:val="44"/>
                <w:rFonts w:hint="eastAsia" w:asciiTheme="minorEastAsia" w:hAnsiTheme="minorEastAsia" w:eastAsiaTheme="minorEastAsia"/>
                <w:b w:val="0"/>
                <w:color w:val="auto"/>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color w:val="auto"/>
                <w:sz w:val="24"/>
              </w:rPr>
            </w:pPr>
            <w:r>
              <w:rPr>
                <w:rFonts w:hint="eastAsia" w:cs="仿宋" w:asciiTheme="minorEastAsia" w:hAnsiTheme="minorEastAsia" w:eastAsiaTheme="minorEastAsia"/>
                <w:color w:val="auto"/>
                <w:sz w:val="24"/>
              </w:rPr>
              <w:t>□</w:t>
            </w:r>
            <w:r>
              <w:rPr>
                <w:rFonts w:hint="eastAsia"/>
                <w:color w:val="auto"/>
                <w:sz w:val="24"/>
              </w:rPr>
              <w:t>不适用。</w:t>
            </w:r>
          </w:p>
          <w:p>
            <w:pPr>
              <w:spacing w:line="440" w:lineRule="exact"/>
              <w:rPr>
                <w:color w:val="auto"/>
                <w:sz w:val="24"/>
              </w:rPr>
            </w:pPr>
            <w:r>
              <w:rPr>
                <w:rFonts w:hint="eastAsia" w:cs="仿宋" w:asciiTheme="minorEastAsia" w:hAnsiTheme="minorEastAsia" w:eastAsiaTheme="minorEastAsia"/>
                <w:color w:val="auto"/>
                <w:sz w:val="24"/>
                <w:lang w:eastAsia="zh-CN"/>
              </w:rPr>
              <w:t>☑</w:t>
            </w:r>
            <w:r>
              <w:rPr>
                <w:rFonts w:hint="eastAsia"/>
                <w:color w:val="auto"/>
                <w:sz w:val="24"/>
              </w:rPr>
              <w:t>适用。在中华人民共和国合法注册、具有独立法人资格，具有有效的营业执照，符合本次</w:t>
            </w:r>
            <w:r>
              <w:rPr>
                <w:rFonts w:hint="eastAsia"/>
                <w:color w:val="auto"/>
                <w:sz w:val="24"/>
                <w:lang w:eastAsia="zh-CN"/>
              </w:rPr>
              <w:t>采购</w:t>
            </w:r>
            <w:r>
              <w:rPr>
                <w:rFonts w:hint="eastAsia"/>
                <w:color w:val="auto"/>
                <w:sz w:val="24"/>
              </w:rPr>
              <w:t>采购项目的营业范围，有能力完成本次</w:t>
            </w:r>
            <w:r>
              <w:rPr>
                <w:rFonts w:hint="eastAsia"/>
                <w:color w:val="auto"/>
                <w:sz w:val="24"/>
                <w:lang w:eastAsia="zh-CN"/>
              </w:rPr>
              <w:t>采购</w:t>
            </w:r>
            <w:r>
              <w:rPr>
                <w:rFonts w:hint="eastAsia"/>
                <w:color w:val="auto"/>
                <w:sz w:val="24"/>
              </w:rPr>
              <w:t>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Style w:val="44"/>
                <w:rFonts w:hint="eastAsia" w:asciiTheme="minorEastAsia" w:hAnsiTheme="minorEastAsia" w:eastAsiaTheme="minorEastAsia"/>
                <w:b w:val="0"/>
                <w:color w:val="auto"/>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color w:val="auto"/>
                <w:sz w:val="24"/>
              </w:rPr>
            </w:pPr>
            <w:bookmarkStart w:id="55" w:name="_GoBack"/>
            <w:bookmarkEnd w:id="55"/>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auto"/>
                <w:sz w:val="24"/>
                <w:highlight w:val="none"/>
              </w:rPr>
              <w:t>。供应商应提供</w:t>
            </w:r>
            <w:r>
              <w:rPr>
                <w:rFonts w:hint="eastAsia" w:cs="宋体" w:asciiTheme="minorEastAsia" w:hAnsiTheme="minorEastAsia" w:eastAsiaTheme="minorEastAsia"/>
                <w:color w:val="auto"/>
                <w:sz w:val="24"/>
                <w:highlight w:val="none"/>
                <w:lang w:val="en-US" w:eastAsia="zh-CN"/>
              </w:rPr>
              <w:t>环境影响评价</w:t>
            </w:r>
            <w:r>
              <w:rPr>
                <w:rFonts w:hint="eastAsia" w:cs="宋体" w:asciiTheme="minorEastAsia" w:hAnsiTheme="minorEastAsia" w:eastAsiaTheme="minorEastAsia"/>
                <w:color w:val="auto"/>
                <w:sz w:val="24"/>
                <w:highlight w:val="none"/>
              </w:rPr>
              <w:t>资质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乙级）</w:t>
            </w:r>
            <w:r>
              <w:rPr>
                <w:rFonts w:hint="eastAsia" w:cs="宋体" w:asciiTheme="minorEastAsia" w:hAnsiTheme="minorEastAsia" w:eastAsiaTheme="minorEastAsia"/>
                <w:color w:val="auto"/>
                <w:sz w:val="24"/>
                <w:highlight w:val="none"/>
              </w:rPr>
              <w:t>证书副本的复印件，以证明供应商具有承担本项目要求的资质。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rPr>
            </w:pPr>
            <w:r>
              <w:rPr>
                <w:rStyle w:val="44"/>
                <w:rFonts w:hint="eastAsia" w:asciiTheme="minorEastAsia" w:hAnsiTheme="minorEastAsia" w:eastAsiaTheme="minorEastAsia"/>
                <w:b w:val="0"/>
                <w:color w:val="auto"/>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年（供应商的成立时间少于该规定年份的，应提供成立以来的财务会计报表）</w:t>
            </w:r>
          </w:p>
          <w:p>
            <w:pPr>
              <w:spacing w:line="288" w:lineRule="auto"/>
              <w:jc w:val="both"/>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widowControl w:val="0"/>
              <w:spacing w:line="288" w:lineRule="auto"/>
              <w:jc w:val="both"/>
              <w:rPr>
                <w:rFonts w:hint="default" w:eastAsia="宋体" w:cs="宋体" w:asciiTheme="minorEastAsia" w:hAnsiTheme="minorEastAsia"/>
                <w:color w:val="auto"/>
                <w:sz w:val="24"/>
                <w:u w:val="single"/>
                <w:lang w:val="en-US" w:eastAsia="zh-CN"/>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w:t>
            </w:r>
            <w:r>
              <w:rPr>
                <w:rFonts w:hint="eastAsia"/>
                <w:color w:val="auto"/>
                <w:sz w:val="24"/>
              </w:rPr>
              <w:t>供应商近3年（从报价文件提交截止日期往前推算）内具有1个及以上水运项目（码头或航道）环境保护设施验收或水运项目（码头或航道）环境影响评价的服务业绩。（提供合同首页及盖章页或中标通知书或成交通知书复印件）</w:t>
            </w:r>
            <w:r>
              <w:rPr>
                <w:rFonts w:hint="eastAsia"/>
                <w:color w:val="auto"/>
                <w:sz w:val="24"/>
                <w:lang w:val="en-US" w:eastAsia="zh-CN"/>
              </w:rPr>
              <w:t>以合同甲方签订时间为准</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业绩证明材料：</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合同/订单</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sym w:font="Wingdings" w:char="00A8"/>
            </w:r>
            <w:r>
              <w:rPr>
                <w:rFonts w:hint="eastAsia" w:cs="宋体" w:asciiTheme="minorEastAsia" w:hAnsiTheme="minorEastAsia" w:eastAsiaTheme="minorEastAsia"/>
                <w:color w:val="auto"/>
                <w:sz w:val="24"/>
              </w:rPr>
              <w:t>中标通知书/成交通知书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竣工 验收报告/验收证明</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业主证明</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□其他材料：</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业绩证明材料种类要求：</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需同时提供上述勾选的所有证明材料</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□其他要求：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yellow"/>
              </w:rPr>
            </w:pPr>
            <w:r>
              <w:rPr>
                <w:rFonts w:hint="eastAsia" w:cs="宋体" w:asciiTheme="minorEastAsia" w:hAnsiTheme="minorEastAsia" w:eastAsiaTheme="minorEastAsia"/>
                <w:color w:val="auto"/>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不适用</w:t>
            </w:r>
          </w:p>
          <w:p>
            <w:pPr>
              <w:pStyle w:val="18"/>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不适用</w:t>
            </w:r>
          </w:p>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适用。项目负责人应具有</w:t>
            </w:r>
            <w:r>
              <w:rPr>
                <w:rFonts w:hint="eastAsia" w:cs="宋体" w:asciiTheme="minorEastAsia" w:hAnsiTheme="minorEastAsia" w:eastAsiaTheme="minorEastAsia"/>
                <w:color w:val="auto"/>
                <w:sz w:val="24"/>
                <w:lang w:val="en-US" w:eastAsia="zh-CN"/>
              </w:rPr>
              <w:t>有效的</w:t>
            </w:r>
            <w:r>
              <w:rPr>
                <w:rFonts w:hint="eastAsia" w:cs="宋体" w:asciiTheme="minorEastAsia" w:hAnsiTheme="minorEastAsia" w:eastAsiaTheme="minorEastAsia"/>
                <w:color w:val="auto"/>
                <w:sz w:val="24"/>
              </w:rPr>
              <w:t>注册环评工程师证书。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不需要提供证明材料</w:t>
            </w:r>
          </w:p>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需要提供证明材料，包括：</w:t>
            </w:r>
            <w:r>
              <w:rPr>
                <w:rFonts w:hint="eastAsia" w:cs="宋体" w:asciiTheme="minorEastAsia" w:hAnsiTheme="minorEastAsia" w:eastAsiaTheme="minorEastAsia"/>
                <w:color w:val="auto"/>
                <w:sz w:val="24"/>
                <w:u w:val="single"/>
              </w:rPr>
              <w:t xml:space="preserve">  提供承诺函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供应商只能提出唯一响应方案</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提供纸质版响应文件三份：一正两副          是否要求提供电子版响应文件：</w:t>
            </w:r>
          </w:p>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宋体" w:asciiTheme="minorEastAsia" w:hAnsiTheme="minorEastAsia" w:eastAsiaTheme="minorEastAsia"/>
                <w:color w:val="auto"/>
                <w:sz w:val="24"/>
              </w:rPr>
              <w:t>不要求</w:t>
            </w:r>
          </w:p>
          <w:p>
            <w:pPr>
              <w:spacing w:line="288" w:lineRule="auto"/>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响应文件须</w:t>
            </w:r>
            <w:r>
              <w:rPr>
                <w:rFonts w:hint="eastAsia" w:cs="宋体" w:asciiTheme="minorEastAsia" w:hAnsiTheme="minorEastAsia" w:eastAsiaTheme="minorEastAsia"/>
                <w:color w:val="auto"/>
                <w:sz w:val="24"/>
                <w:lang w:val="en-US" w:eastAsia="zh-CN"/>
              </w:rPr>
              <w:t>装订后</w:t>
            </w:r>
            <w:r>
              <w:rPr>
                <w:rFonts w:hint="eastAsia" w:cs="宋体" w:asciiTheme="minorEastAsia" w:hAnsiTheme="minorEastAsia" w:eastAsiaTheme="minorEastAsia"/>
                <w:color w:val="auto"/>
                <w:sz w:val="24"/>
              </w:rPr>
              <w:t>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spacing w:line="288" w:lineRule="auto"/>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适用，供应商名称、</w:t>
            </w:r>
            <w:r>
              <w:rPr>
                <w:rFonts w:hint="eastAsia" w:cs="宋体" w:asciiTheme="minorEastAsia" w:hAnsiTheme="minorEastAsia" w:eastAsiaTheme="minorEastAsia"/>
                <w:color w:val="auto"/>
                <w:sz w:val="24"/>
                <w:u w:val="single"/>
              </w:rPr>
              <w:t xml:space="preserve">（项目名称）响应文件、联系方式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截止时间：</w:t>
            </w:r>
            <w:r>
              <w:rPr>
                <w:rFonts w:hint="eastAsia" w:cs="宋体" w:asciiTheme="minorEastAsia" w:hAnsiTheme="minorEastAsia" w:eastAsiaTheme="minorEastAsia"/>
                <w:color w:val="auto"/>
                <w:sz w:val="24"/>
                <w:u w:val="single"/>
              </w:rPr>
              <w:t xml:space="preserve"> 2022年</w:t>
            </w:r>
            <w:r>
              <w:rPr>
                <w:rFonts w:hint="eastAsia" w:cs="宋体" w:asciiTheme="minorEastAsia" w:hAnsiTheme="minorEastAsia" w:eastAsiaTheme="minorEastAsia"/>
                <w:color w:val="auto"/>
                <w:sz w:val="24"/>
                <w:u w:val="single"/>
                <w:lang w:val="en-US" w:eastAsia="zh-CN"/>
              </w:rPr>
              <w:t>7</w:t>
            </w:r>
            <w:r>
              <w:rPr>
                <w:rFonts w:hint="eastAsia" w:cs="宋体" w:asciiTheme="minorEastAsia" w:hAnsiTheme="minorEastAsia" w:eastAsiaTheme="minorEastAsia"/>
                <w:color w:val="auto"/>
                <w:sz w:val="24"/>
                <w:u w:val="single"/>
              </w:rPr>
              <w:t>月</w:t>
            </w:r>
            <w:r>
              <w:rPr>
                <w:rFonts w:hint="eastAsia" w:cs="宋体" w:asciiTheme="minorEastAsia" w:hAnsiTheme="minorEastAsia" w:eastAsiaTheme="minorEastAsia"/>
                <w:color w:val="auto"/>
                <w:sz w:val="24"/>
                <w:u w:val="single"/>
                <w:lang w:val="en-US" w:eastAsia="zh-CN"/>
              </w:rPr>
              <w:t>6</w:t>
            </w:r>
            <w:r>
              <w:rPr>
                <w:rFonts w:hint="eastAsia" w:cs="宋体" w:asciiTheme="minorEastAsia" w:hAnsiTheme="minorEastAsia" w:eastAsiaTheme="minorEastAsia"/>
                <w:color w:val="auto"/>
                <w:sz w:val="24"/>
                <w:u w:val="single"/>
              </w:rPr>
              <w:t>日</w:t>
            </w:r>
            <w:r>
              <w:rPr>
                <w:rFonts w:hint="eastAsia" w:cs="宋体" w:asciiTheme="minorEastAsia" w:hAnsiTheme="minorEastAsia" w:eastAsiaTheme="minorEastAsia"/>
                <w:color w:val="auto"/>
                <w:sz w:val="24"/>
                <w:u w:val="single"/>
                <w:lang w:val="en-US" w:eastAsia="zh-CN"/>
              </w:rPr>
              <w:t>15</w:t>
            </w:r>
            <w:r>
              <w:rPr>
                <w:rFonts w:hint="eastAsia" w:cs="宋体" w:asciiTheme="minorEastAsia" w:hAnsiTheme="minorEastAsia" w:eastAsiaTheme="minorEastAsia"/>
                <w:color w:val="auto"/>
                <w:sz w:val="24"/>
                <w:u w:val="single"/>
              </w:rPr>
              <w:t>时</w:t>
            </w:r>
            <w:r>
              <w:rPr>
                <w:rFonts w:hint="eastAsia" w:cs="宋体" w:asciiTheme="minorEastAsia" w:hAnsiTheme="minorEastAsia" w:eastAsiaTheme="minorEastAsia"/>
                <w:color w:val="auto"/>
                <w:sz w:val="24"/>
                <w:u w:val="single"/>
                <w:lang w:val="en-US" w:eastAsia="zh-CN"/>
              </w:rPr>
              <w:t>00</w:t>
            </w:r>
            <w:r>
              <w:rPr>
                <w:rFonts w:hint="eastAsia" w:cs="宋体" w:asciiTheme="minorEastAsia" w:hAnsiTheme="minorEastAsia" w:eastAsiaTheme="minorEastAsia"/>
                <w:color w:val="auto"/>
                <w:sz w:val="24"/>
                <w:u w:val="single"/>
              </w:rPr>
              <w:t xml:space="preserve">分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递交响应文件的地点：</w:t>
            </w:r>
            <w:r>
              <w:rPr>
                <w:rFonts w:hint="eastAsia" w:cs="宋体" w:asciiTheme="minorEastAsia" w:hAnsiTheme="minorEastAsia" w:eastAsiaTheme="minorEastAsia"/>
                <w:color w:val="auto"/>
                <w:sz w:val="24"/>
                <w:u w:val="single"/>
              </w:rPr>
              <w:t xml:space="preserve"> </w:t>
            </w:r>
            <w:r>
              <w:rPr>
                <w:rFonts w:hint="eastAsia" w:asciiTheme="minorEastAsia" w:hAnsiTheme="minorEastAsia" w:eastAsiaTheme="minorEastAsia"/>
                <w:snapToGrid w:val="0"/>
                <w:color w:val="auto"/>
                <w:sz w:val="24"/>
                <w:u w:val="single"/>
              </w:rPr>
              <w:t>岳阳市云溪区沿江西路50米湖南省港务集团信息化大楼</w:t>
            </w:r>
            <w:r>
              <w:rPr>
                <w:rFonts w:hint="eastAsia"/>
                <w:color w:val="auto"/>
                <w:sz w:val="24"/>
                <w:u w:val="single"/>
              </w:rPr>
              <w:t>305室</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□是，退还时间：</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湖南省港务集团有限公司602开标室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开启顺序：</w:t>
            </w:r>
            <w:r>
              <w:rPr>
                <w:rFonts w:hint="eastAsia" w:cs="宋体" w:asciiTheme="minorEastAsia" w:hAnsiTheme="minorEastAsia" w:eastAsiaTheme="minorEastAsia"/>
                <w:color w:val="auto"/>
                <w:sz w:val="24"/>
                <w:u w:val="single"/>
              </w:rPr>
              <w:t xml:space="preserve">   随机 </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其他应公布的信息：</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评标（谈判）小组构成：3人。</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评审（谈判）专家确定方式：采购代表1人，在湖南省</w:t>
            </w:r>
            <w:r>
              <w:rPr>
                <w:rFonts w:hint="eastAsia" w:cs="宋体" w:asciiTheme="minorEastAsia" w:hAnsiTheme="minorEastAsia" w:eastAsiaTheme="minorEastAsia"/>
                <w:color w:val="auto"/>
                <w:sz w:val="24"/>
                <w:lang w:val="en-US" w:eastAsia="zh-CN"/>
              </w:rPr>
              <w:t>湘水</w:t>
            </w:r>
            <w:r>
              <w:rPr>
                <w:rFonts w:hint="eastAsia" w:cs="宋体" w:asciiTheme="minorEastAsia" w:hAnsiTheme="minorEastAsia" w:eastAsiaTheme="minorEastAsia"/>
                <w:color w:val="auto"/>
                <w:sz w:val="24"/>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是否排序：</w:t>
            </w:r>
          </w:p>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数量：</w:t>
            </w:r>
            <w:r>
              <w:rPr>
                <w:rFonts w:hint="eastAsia" w:cs="宋体" w:asciiTheme="minorEastAsia" w:hAnsiTheme="minorEastAsia" w:eastAsiaTheme="minorEastAsia"/>
                <w:color w:val="auto"/>
                <w:sz w:val="24"/>
                <w:u w:val="single"/>
                <w:lang w:val="en-US" w:eastAsia="zh-CN"/>
              </w:rPr>
              <w:t>2</w:t>
            </w:r>
            <w:r>
              <w:rPr>
                <w:rFonts w:hint="eastAsia" w:cs="宋体" w:asciiTheme="minorEastAsia" w:hAnsiTheme="minorEastAsia" w:eastAsiaTheme="minorEastAsia"/>
                <w:color w:val="auto"/>
                <w:sz w:val="24"/>
                <w:u w:val="single"/>
              </w:rPr>
              <w:t xml:space="preserve">-3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cs="宋体"/>
                <w:color w:val="auto"/>
                <w:sz w:val="24"/>
                <w:u w:val="none"/>
              </w:rPr>
            </w:pPr>
            <w:r>
              <w:rPr>
                <w:rFonts w:hint="eastAsia" w:cs="宋体" w:asciiTheme="minorEastAsia" w:hAnsiTheme="minorEastAsia" w:eastAsiaTheme="minorEastAsia"/>
                <w:color w:val="auto"/>
                <w:sz w:val="24"/>
              </w:rPr>
              <w:t>公示媒介：</w:t>
            </w:r>
            <w:r>
              <w:rPr>
                <w:rFonts w:hint="eastAsia" w:ascii="宋体" w:hAnsi="宋体" w:cs="宋体"/>
                <w:color w:val="auto"/>
                <w:sz w:val="24"/>
              </w:rPr>
              <w:t>中国</w:t>
            </w:r>
            <w:r>
              <w:rPr>
                <w:rFonts w:hint="eastAsia" w:ascii="宋体" w:hAnsi="宋体" w:cs="宋体"/>
                <w:color w:val="auto"/>
                <w:sz w:val="24"/>
                <w:lang w:eastAsia="zh-CN"/>
              </w:rPr>
              <w:t>采购报价</w:t>
            </w:r>
            <w:r>
              <w:rPr>
                <w:rFonts w:hint="eastAsia" w:ascii="宋体" w:hAnsi="宋体" w:cs="宋体"/>
                <w:color w:val="auto"/>
                <w:sz w:val="24"/>
              </w:rPr>
              <w:t>公共服务平台（http：//www.cebpubservice.com）、湖南省湘水集团有限公司网站（http：//www.hnsxsjt.com）、</w:t>
            </w:r>
            <w:r>
              <w:rPr>
                <w:rFonts w:hint="eastAsia" w:ascii="宋体" w:hAnsi="宋体" w:cs="宋体"/>
                <w:color w:val="auto"/>
                <w:sz w:val="24"/>
                <w:u w:val="single"/>
              </w:rPr>
              <w:t xml:space="preserve">                                   </w:t>
            </w:r>
            <w:r>
              <w:rPr>
                <w:rFonts w:hint="eastAsia" w:ascii="宋体" w:hAnsi="宋体" w:cs="宋体"/>
                <w:color w:val="auto"/>
                <w:sz w:val="24"/>
                <w:u w:val="none"/>
              </w:rPr>
              <w:t>湖南省港务集团有限公司</w:t>
            </w:r>
            <w:r>
              <w:rPr>
                <w:rFonts w:hint="eastAsia" w:ascii="宋体" w:hAnsi="宋体" w:cs="宋体"/>
                <w:color w:val="auto"/>
                <w:sz w:val="24"/>
                <w:highlight w:val="none"/>
                <w:u w:val="none"/>
              </w:rPr>
              <w:t>（http://www.hnsgwjt.com）上</w:t>
            </w:r>
            <w:r>
              <w:rPr>
                <w:rFonts w:hint="eastAsia" w:ascii="宋体" w:hAnsi="宋体" w:cs="宋体"/>
                <w:color w:val="auto"/>
                <w:sz w:val="24"/>
                <w:u w:val="none"/>
              </w:rPr>
              <w:t>发布。</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none"/>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不要求提交</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□要求递交</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履约保证金金额：</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履约保证金形式：</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履约保证金有效期限：</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递交时间：</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其他要求：</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none"/>
              </w:rPr>
            </w:pP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none"/>
              </w:rPr>
              <w:t xml:space="preserve"> 湖南省港务集团纪检监察部                 </w:t>
            </w:r>
          </w:p>
          <w:p>
            <w:pPr>
              <w:spacing w:line="288" w:lineRule="auto"/>
              <w:jc w:val="both"/>
              <w:rPr>
                <w:color w:val="auto"/>
                <w:highlight w:val="yellow"/>
                <w:u w:val="none"/>
                <w:lang w:val="zh-CN"/>
              </w:rPr>
            </w:pPr>
            <w:r>
              <w:rPr>
                <w:rFonts w:hint="eastAsia" w:cs="宋体" w:asciiTheme="minorEastAsia" w:hAnsiTheme="minorEastAsia" w:eastAsiaTheme="minorEastAsia"/>
                <w:color w:val="auto"/>
                <w:sz w:val="24"/>
                <w:u w:val="none"/>
              </w:rPr>
              <w:t xml:space="preserve">联系电话： </w:t>
            </w:r>
            <w:r>
              <w:rPr>
                <w:rFonts w:hint="eastAsia" w:cs="宋体" w:asciiTheme="minorEastAsia" w:hAnsiTheme="minorEastAsia" w:eastAsiaTheme="minorEastAsia"/>
                <w:color w:val="auto"/>
                <w:sz w:val="24"/>
                <w:u w:val="none"/>
                <w:lang w:val="zh-CN"/>
              </w:rPr>
              <w:t>0730-</w:t>
            </w:r>
            <w:r>
              <w:rPr>
                <w:rFonts w:hint="eastAsia" w:cs="宋体" w:asciiTheme="minorEastAsia" w:hAnsiTheme="minorEastAsia" w:eastAsiaTheme="minorEastAsia"/>
                <w:color w:val="auto"/>
                <w:sz w:val="24"/>
                <w:u w:val="none"/>
              </w:rPr>
              <w:t xml:space="preserve"> </w:t>
            </w:r>
            <w:r>
              <w:rPr>
                <w:rFonts w:hint="eastAsia" w:cs="宋体" w:asciiTheme="minorEastAsia" w:hAnsiTheme="minorEastAsia" w:eastAsiaTheme="minorEastAsia"/>
                <w:color w:val="auto"/>
                <w:sz w:val="24"/>
                <w:u w:val="none"/>
                <w:lang w:val="zh-CN"/>
              </w:rPr>
              <w:t>8426255</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none"/>
              </w:rPr>
              <w:t xml:space="preserve">通信地址：湖南省岳阳市云溪区沿江西路50米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5" w:name="_Toc13724"/>
      <w:r>
        <w:rPr>
          <w:rFonts w:hint="eastAsia" w:ascii="华文中宋" w:hAnsi="华文中宋" w:eastAsia="华文中宋" w:cs="仿宋"/>
          <w:b/>
          <w:bCs/>
          <w:sz w:val="30"/>
          <w:szCs w:val="30"/>
        </w:rPr>
        <w:t>第二章 供应商须知正文</w:t>
      </w:r>
      <w:bookmarkEnd w:id="15"/>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4"/>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8"/>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8"/>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8"/>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本次评标采用经评审的</w:t>
      </w:r>
      <w:r>
        <w:rPr>
          <w:rFonts w:hint="eastAsia" w:ascii="宋体" w:hAnsi="宋体" w:eastAsia="宋体" w:cs="Times New Roman"/>
          <w:b w:val="0"/>
          <w:bCs w:val="0"/>
          <w:color w:val="000000"/>
          <w:sz w:val="24"/>
          <w:szCs w:val="24"/>
          <w:shd w:val="clear" w:color="FFFFFF" w:fill="D9D9D9"/>
        </w:rPr>
        <w:t>最低价法</w:t>
      </w:r>
      <w:r>
        <w:rPr>
          <w:rFonts w:hint="eastAsia" w:ascii="宋体" w:hAnsi="宋体" w:eastAsia="宋体" w:cs="Times New Roman"/>
          <w:b w:val="0"/>
          <w:bCs w:val="0"/>
          <w:color w:val="000000"/>
          <w:sz w:val="24"/>
          <w:szCs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3</w:t>
      </w:r>
      <w:r>
        <w:rPr>
          <w:rFonts w:hint="eastAsia" w:ascii="宋体" w:hAnsi="宋体" w:cs="仿宋"/>
          <w:sz w:val="24"/>
        </w:rPr>
        <w:t>)商务和技术偏差表;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4</w:t>
      </w:r>
      <w:r>
        <w:rPr>
          <w:rFonts w:hint="eastAsia" w:ascii="宋体" w:hAnsi="宋体" w:cs="仿宋"/>
          <w:sz w:val="24"/>
        </w:rPr>
        <w:t>)报价表;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5</w:t>
      </w:r>
      <w:r>
        <w:rPr>
          <w:rFonts w:hint="eastAsia" w:ascii="宋体" w:hAnsi="宋体" w:cs="仿宋"/>
          <w:sz w:val="24"/>
        </w:rPr>
        <w:t>)资格审查资料;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6</w:t>
      </w:r>
      <w:r>
        <w:rPr>
          <w:rFonts w:hint="eastAsia" w:ascii="宋体" w:hAnsi="宋体" w:cs="仿宋"/>
          <w:sz w:val="24"/>
        </w:rPr>
        <w:t>)响应方案;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7</w:t>
      </w:r>
      <w:r>
        <w:rPr>
          <w:rFonts w:hint="eastAsia" w:ascii="宋体" w:hAnsi="宋体" w:cs="仿宋"/>
          <w:sz w:val="24"/>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6" w:name="_Toc24135"/>
      <w:r>
        <w:rPr>
          <w:rFonts w:hint="eastAsia" w:ascii="宋体" w:hAnsi="宋体" w:cs="宋体"/>
          <w:b/>
          <w:bCs/>
          <w:sz w:val="24"/>
        </w:rPr>
        <w:t>7.3成交结果异议</w:t>
      </w:r>
      <w:bookmarkEnd w:id="16"/>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2"/>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9"/>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7" w:name="_Toc24403"/>
      <w:bookmarkStart w:id="18" w:name="_Toc77254130"/>
      <w:bookmarkStart w:id="19" w:name="_Toc76635709"/>
      <w:r>
        <w:rPr>
          <w:rFonts w:hint="eastAsia" w:ascii="黑体" w:hAnsi="黑体" w:eastAsia="黑体" w:cs="仿宋"/>
          <w:bCs/>
          <w:sz w:val="36"/>
          <w:szCs w:val="36"/>
        </w:rPr>
        <w:t>第三章 评审办法</w:t>
      </w:r>
      <w:bookmarkEnd w:id="17"/>
    </w:p>
    <w:p>
      <w:pPr>
        <w:adjustRightInd w:val="0"/>
        <w:snapToGrid w:val="0"/>
        <w:spacing w:before="120" w:beforeLines="50" w:after="120" w:afterLines="50" w:line="240"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
        <w:gridCol w:w="751"/>
        <w:gridCol w:w="181"/>
        <w:gridCol w:w="811"/>
        <w:gridCol w:w="684"/>
        <w:gridCol w:w="1573"/>
        <w:gridCol w:w="1280"/>
        <w:gridCol w:w="4396"/>
        <w:gridCol w:w="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1838" w:type="dxa"/>
            <w:gridSpan w:val="4"/>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257"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jc w:val="center"/>
        </w:trPr>
        <w:tc>
          <w:tcPr>
            <w:tcW w:w="84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992"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w:t>
            </w:r>
          </w:p>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方法</w:t>
            </w: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经评审的最低价法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846"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gridSpan w:val="2"/>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846"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exac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atLeast"/>
          <w:jc w:val="center"/>
        </w:trPr>
        <w:tc>
          <w:tcPr>
            <w:tcW w:w="846"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992" w:type="dxa"/>
            <w:gridSpan w:val="2"/>
            <w:vMerge w:val="restart"/>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atLeas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atLeas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服务要求</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atLeas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97" w:hRule="atLeast"/>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权利义务</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jc w:val="center"/>
        </w:trPr>
        <w:tc>
          <w:tcPr>
            <w:tcW w:w="846"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992" w:type="dxa"/>
            <w:gridSpan w:val="2"/>
            <w:vMerge w:val="continue"/>
            <w:vAlign w:val="center"/>
          </w:tcPr>
          <w:p>
            <w:pPr>
              <w:widowControl/>
              <w:adjustRightInd w:val="0"/>
              <w:snapToGrid w:val="0"/>
              <w:spacing w:line="288" w:lineRule="auto"/>
              <w:jc w:val="both"/>
              <w:rPr>
                <w:rFonts w:cs="仿宋" w:asciiTheme="minorEastAsia" w:hAnsiTheme="minorEastAsia" w:eastAsiaTheme="minorEastAsia"/>
                <w:szCs w:val="21"/>
              </w:rPr>
            </w:pPr>
          </w:p>
        </w:tc>
        <w:tc>
          <w:tcPr>
            <w:tcW w:w="2257"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gridSpan w:val="2"/>
            <w:vAlign w:val="center"/>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jc w:val="center"/>
        </w:trPr>
        <w:tc>
          <w:tcPr>
            <w:tcW w:w="1838" w:type="dxa"/>
            <w:gridSpan w:val="4"/>
            <w:vAlign w:val="center"/>
          </w:tcPr>
          <w:p>
            <w:pPr>
              <w:widowControl w:val="0"/>
              <w:spacing w:after="0" w:line="300" w:lineRule="exact"/>
              <w:jc w:val="both"/>
              <w:rPr>
                <w:rFonts w:cs="仿宋" w:asciiTheme="minorEastAsia" w:hAnsiTheme="minorEastAsia" w:eastAsiaTheme="minorEastAsia"/>
                <w:color w:val="0070C0"/>
                <w:szCs w:val="21"/>
              </w:rPr>
            </w:pPr>
            <w:bookmarkStart w:id="20" w:name="_Hlk104130227"/>
            <w:r>
              <w:rPr>
                <w:rFonts w:hint="eastAsia" w:ascii="宋体" w:hAnsi="宋体" w:eastAsia="宋体" w:cs="Times New Roman"/>
                <w:b/>
                <w:color w:val="000000"/>
                <w:sz w:val="21"/>
                <w:szCs w:val="21"/>
              </w:rPr>
              <w:t>条款号</w:t>
            </w:r>
          </w:p>
        </w:tc>
        <w:tc>
          <w:tcPr>
            <w:tcW w:w="2257" w:type="dxa"/>
            <w:gridSpan w:val="2"/>
            <w:vAlign w:val="center"/>
          </w:tcPr>
          <w:p>
            <w:pPr>
              <w:widowControl w:val="0"/>
              <w:spacing w:after="0" w:line="300" w:lineRule="exact"/>
              <w:jc w:val="center"/>
              <w:rPr>
                <w:rFonts w:cs="仿宋" w:asciiTheme="minorEastAsia" w:hAnsiTheme="minorEastAsia" w:eastAsiaTheme="minorEastAsia"/>
                <w:color w:val="0070C0"/>
                <w:szCs w:val="21"/>
              </w:rPr>
            </w:pPr>
            <w:r>
              <w:rPr>
                <w:rFonts w:hint="eastAsia" w:ascii="宋体" w:hAnsi="宋体" w:eastAsia="宋体" w:cs="Times New Roman"/>
                <w:b/>
                <w:color w:val="000000"/>
                <w:sz w:val="21"/>
                <w:szCs w:val="21"/>
              </w:rPr>
              <w:t>量化因素</w:t>
            </w:r>
          </w:p>
        </w:tc>
        <w:tc>
          <w:tcPr>
            <w:tcW w:w="5676" w:type="dxa"/>
            <w:gridSpan w:val="2"/>
            <w:vAlign w:val="center"/>
          </w:tcPr>
          <w:p>
            <w:pPr>
              <w:widowControl w:val="0"/>
              <w:spacing w:after="0" w:line="300" w:lineRule="exact"/>
              <w:jc w:val="both"/>
              <w:rPr>
                <w:rFonts w:cs="仿宋" w:asciiTheme="minorEastAsia" w:hAnsiTheme="minorEastAsia" w:eastAsiaTheme="minorEastAsia"/>
                <w:color w:val="0070C0"/>
                <w:szCs w:val="21"/>
              </w:rPr>
            </w:pPr>
            <w:r>
              <w:rPr>
                <w:rFonts w:hint="eastAsia" w:ascii="宋体" w:hAnsi="宋体" w:eastAsia="宋体" w:cs="Times New Roman"/>
                <w:b/>
                <w:color w:val="000000"/>
                <w:sz w:val="21"/>
                <w:szCs w:val="21"/>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1416" w:hRule="exact"/>
          <w:jc w:val="center"/>
        </w:trPr>
        <w:tc>
          <w:tcPr>
            <w:tcW w:w="1027" w:type="dxa"/>
            <w:gridSpan w:val="3"/>
            <w:vAlign w:val="center"/>
          </w:tcPr>
          <w:p>
            <w:pPr>
              <w:widowControl w:val="0"/>
              <w:spacing w:after="0" w:line="300" w:lineRule="exact"/>
              <w:jc w:val="both"/>
              <w:rPr>
                <w:rFonts w:cs="仿宋" w:asciiTheme="minorEastAsia" w:hAnsiTheme="minorEastAsia" w:eastAsiaTheme="minorEastAsia"/>
                <w:color w:val="0070C0"/>
                <w:szCs w:val="21"/>
              </w:rPr>
            </w:pPr>
            <w:r>
              <w:rPr>
                <w:rFonts w:hint="eastAsia" w:ascii="宋体" w:hAnsi="宋体" w:eastAsia="宋体" w:cs="Times New Roman"/>
                <w:color w:val="000000"/>
                <w:sz w:val="21"/>
                <w:szCs w:val="21"/>
              </w:rPr>
              <w:t>2.2</w:t>
            </w:r>
          </w:p>
        </w:tc>
        <w:tc>
          <w:tcPr>
            <w:tcW w:w="811" w:type="dxa"/>
            <w:vAlign w:val="center"/>
          </w:tcPr>
          <w:p>
            <w:pPr>
              <w:widowControl w:val="0"/>
              <w:spacing w:after="0" w:line="300" w:lineRule="exact"/>
              <w:jc w:val="both"/>
              <w:rPr>
                <w:rFonts w:hint="eastAsia" w:eastAsia="宋体" w:cs="仿宋" w:asciiTheme="minorEastAsia" w:hAnsiTheme="minorEastAsia"/>
                <w:color w:val="0070C0"/>
                <w:szCs w:val="21"/>
                <w:lang w:val="en-US" w:eastAsia="zh-CN"/>
              </w:rPr>
            </w:pPr>
            <w:r>
              <w:rPr>
                <w:rFonts w:hint="eastAsia" w:ascii="宋体" w:hAnsi="宋体" w:cs="Times New Roman"/>
                <w:color w:val="000000"/>
                <w:sz w:val="21"/>
                <w:szCs w:val="21"/>
                <w:lang w:val="en-US" w:eastAsia="zh-CN"/>
              </w:rPr>
              <w:t>评审</w:t>
            </w:r>
            <w:r>
              <w:rPr>
                <w:rFonts w:hint="eastAsia" w:ascii="宋体" w:hAnsi="宋体" w:eastAsia="宋体" w:cs="Times New Roman"/>
                <w:color w:val="000000"/>
                <w:sz w:val="21"/>
                <w:szCs w:val="21"/>
              </w:rPr>
              <w:t>价</w:t>
            </w:r>
            <w:r>
              <w:rPr>
                <w:rFonts w:hint="eastAsia" w:ascii="宋体" w:hAnsi="宋体" w:cs="Times New Roman"/>
                <w:color w:val="000000"/>
                <w:sz w:val="21"/>
                <w:szCs w:val="21"/>
                <w:lang w:val="en-US" w:eastAsia="zh-CN"/>
              </w:rPr>
              <w:t>格</w:t>
            </w:r>
          </w:p>
        </w:tc>
        <w:tc>
          <w:tcPr>
            <w:tcW w:w="2257" w:type="dxa"/>
            <w:gridSpan w:val="2"/>
            <w:vAlign w:val="center"/>
          </w:tcPr>
          <w:p>
            <w:pPr>
              <w:widowControl w:val="0"/>
              <w:spacing w:after="0" w:line="300" w:lineRule="exact"/>
              <w:jc w:val="center"/>
            </w:pPr>
            <w:r>
              <w:rPr>
                <w:rFonts w:hint="eastAsia" w:ascii="宋体" w:hAnsi="宋体" w:cs="Times New Roman"/>
                <w:color w:val="000000"/>
                <w:sz w:val="21"/>
                <w:szCs w:val="21"/>
                <w:lang w:eastAsia="zh-CN"/>
              </w:rPr>
              <w:t>报价</w:t>
            </w:r>
          </w:p>
        </w:tc>
        <w:tc>
          <w:tcPr>
            <w:tcW w:w="5676" w:type="dxa"/>
            <w:gridSpan w:val="2"/>
            <w:vAlign w:val="center"/>
          </w:tcPr>
          <w:p>
            <w:pPr>
              <w:widowControl w:val="0"/>
              <w:spacing w:after="0" w:line="300" w:lineRule="exact"/>
              <w:jc w:val="center"/>
              <w:rPr>
                <w:rFonts w:cs="仿宋" w:asciiTheme="minorEastAsia" w:hAnsiTheme="minorEastAsia" w:eastAsiaTheme="minorEastAsia"/>
                <w:color w:val="0070C0"/>
                <w:szCs w:val="21"/>
              </w:rPr>
            </w:pPr>
            <w:r>
              <w:rPr>
                <w:rFonts w:hint="eastAsia" w:ascii="宋体" w:hAnsi="宋体" w:eastAsia="宋体" w:cs="宋体"/>
                <w:szCs w:val="21"/>
              </w:rPr>
              <w:t>大写含税价格</w:t>
            </w:r>
            <w:r>
              <w:rPr>
                <w:rFonts w:hint="eastAsia" w:ascii="宋体" w:hAnsi="宋体" w:eastAsia="宋体" w:cs="宋体"/>
                <w:szCs w:val="21"/>
                <w:lang w:eastAsia="zh-CN"/>
              </w:rPr>
              <w:t>，</w:t>
            </w:r>
            <w:r>
              <w:rPr>
                <w:rFonts w:hint="eastAsia" w:ascii="宋体" w:hAnsi="宋体" w:eastAsia="宋体" w:cs="宋体"/>
                <w:szCs w:val="21"/>
                <w:lang w:val="en-US" w:eastAsia="zh-CN"/>
              </w:rPr>
              <w:t>注明税率。本项要求</w:t>
            </w:r>
            <w:r>
              <w:rPr>
                <w:rFonts w:hint="eastAsia" w:ascii="宋体" w:hAnsi="宋体" w:eastAsia="宋体" w:cs="宋体"/>
                <w:b w:val="0"/>
                <w:bCs w:val="0"/>
                <w:sz w:val="21"/>
                <w:szCs w:val="21"/>
                <w:u w:val="none"/>
                <w:lang w:val="en-US" w:eastAsia="zh-CN"/>
              </w:rPr>
              <w:t>提供6%的增值税专用发票，超过最高限价的作废。如果报价人提供其他税率的增值税专用发票，采购人按6%的增值税税率调整报价后参与排序。</w:t>
            </w:r>
            <w:r>
              <w:rPr>
                <w:rFonts w:hint="eastAsia" w:ascii="宋体" w:hAnsi="宋体" w:eastAsia="宋体" w:cs="Times New Roman"/>
                <w:color w:val="000000"/>
                <w:sz w:val="21"/>
                <w:szCs w:val="21"/>
              </w:rPr>
              <w:t>按经算术修正的</w:t>
            </w:r>
            <w:r>
              <w:rPr>
                <w:rFonts w:hint="eastAsia" w:ascii="宋体" w:hAnsi="宋体" w:cs="Times New Roman"/>
                <w:color w:val="000000"/>
                <w:sz w:val="21"/>
                <w:szCs w:val="21"/>
                <w:lang w:eastAsia="zh-CN"/>
              </w:rPr>
              <w:t>报价</w:t>
            </w:r>
            <w:r>
              <w:rPr>
                <w:rFonts w:hint="eastAsia" w:ascii="宋体" w:hAnsi="宋体" w:eastAsia="宋体" w:cs="Times New Roman"/>
                <w:color w:val="000000"/>
                <w:sz w:val="21"/>
                <w:szCs w:val="21"/>
              </w:rPr>
              <w:t>由低到高的顺序推荐</w:t>
            </w:r>
            <w:r>
              <w:rPr>
                <w:rFonts w:hint="eastAsia" w:ascii="宋体" w:hAnsi="宋体" w:cs="Times New Roman"/>
                <w:color w:val="000000"/>
                <w:sz w:val="21"/>
                <w:szCs w:val="21"/>
                <w:lang w:val="en-US" w:eastAsia="zh-CN"/>
              </w:rPr>
              <w:t>成交</w:t>
            </w:r>
            <w:r>
              <w:rPr>
                <w:rFonts w:hint="eastAsia" w:ascii="宋体" w:hAnsi="宋体" w:eastAsia="宋体" w:cs="Times New Roman"/>
                <w:color w:val="000000"/>
                <w:sz w:val="21"/>
                <w:szCs w:val="21"/>
              </w:rPr>
              <w:t>候选人。</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9771" w:type="dxa"/>
            <w:gridSpan w:val="8"/>
          </w:tcPr>
          <w:p>
            <w:pPr>
              <w:widowControl/>
              <w:adjustRightInd w:val="0"/>
              <w:snapToGrid w:val="0"/>
              <w:spacing w:line="288" w:lineRule="auto"/>
              <w:jc w:val="both"/>
              <w:rPr>
                <w:rFonts w:hint="eastAsia" w:ascii="宋体" w:hAnsi="宋体" w:eastAsia="宋体" w:cs="宋体"/>
                <w:szCs w:val="21"/>
              </w:rPr>
            </w:pPr>
            <w:r>
              <w:rPr>
                <w:rFonts w:hint="eastAsia" w:ascii="宋体" w:hAnsi="宋体" w:eastAsia="宋体" w:cs="宋体"/>
                <w:szCs w:val="21"/>
              </w:rPr>
              <w:t>3 详细评审标准和程序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2427" w:type="dxa"/>
            <w:gridSpan w:val="4"/>
          </w:tcPr>
          <w:p>
            <w:pPr>
              <w:widowControl/>
              <w:adjustRightInd w:val="0"/>
              <w:snapToGrid w:val="0"/>
              <w:spacing w:line="288" w:lineRule="auto"/>
              <w:jc w:val="both"/>
              <w:rPr>
                <w:rFonts w:hint="eastAsia" w:ascii="宋体" w:hAnsi="宋体" w:eastAsia="宋体" w:cs="宋体"/>
                <w:szCs w:val="21"/>
              </w:rPr>
            </w:pPr>
            <w:r>
              <w:rPr>
                <w:rFonts w:hint="eastAsia" w:ascii="宋体" w:hAnsi="宋体" w:eastAsia="宋体" w:cs="宋体"/>
                <w:szCs w:val="21"/>
              </w:rPr>
              <w:t>条款号</w:t>
            </w:r>
          </w:p>
        </w:tc>
        <w:tc>
          <w:tcPr>
            <w:tcW w:w="2853" w:type="dxa"/>
            <w:gridSpan w:val="2"/>
          </w:tcPr>
          <w:p>
            <w:pPr>
              <w:widowControl/>
              <w:adjustRightInd w:val="0"/>
              <w:snapToGrid w:val="0"/>
              <w:spacing w:line="288" w:lineRule="auto"/>
              <w:jc w:val="both"/>
              <w:rPr>
                <w:rFonts w:hint="eastAsia" w:ascii="宋体" w:hAnsi="宋体" w:eastAsia="宋体" w:cs="宋体"/>
                <w:szCs w:val="21"/>
              </w:rPr>
            </w:pPr>
            <w:r>
              <w:rPr>
                <w:rFonts w:hint="eastAsia" w:ascii="宋体" w:hAnsi="宋体" w:eastAsia="宋体" w:cs="宋体"/>
                <w:szCs w:val="21"/>
              </w:rPr>
              <w:t>条款内容</w:t>
            </w:r>
          </w:p>
        </w:tc>
        <w:tc>
          <w:tcPr>
            <w:tcW w:w="4491" w:type="dxa"/>
            <w:gridSpan w:val="2"/>
          </w:tcPr>
          <w:p>
            <w:pPr>
              <w:widowControl/>
              <w:adjustRightInd w:val="0"/>
              <w:snapToGrid w:val="0"/>
              <w:spacing w:line="288" w:lineRule="auto"/>
              <w:jc w:val="both"/>
              <w:rPr>
                <w:rFonts w:hint="eastAsia" w:ascii="宋体" w:hAnsi="宋体" w:eastAsia="宋体" w:cs="宋体"/>
                <w:szCs w:val="21"/>
              </w:rPr>
            </w:pPr>
            <w:r>
              <w:rPr>
                <w:rFonts w:hint="eastAsia" w:ascii="宋体" w:hAnsi="宋体" w:eastAsia="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jc w:val="center"/>
        </w:trPr>
        <w:tc>
          <w:tcPr>
            <w:tcW w:w="2427" w:type="dxa"/>
            <w:gridSpan w:val="4"/>
          </w:tcPr>
          <w:p>
            <w:pPr>
              <w:widowControl/>
              <w:adjustRightInd w:val="0"/>
              <w:snapToGrid w:val="0"/>
              <w:spacing w:line="288" w:lineRule="auto"/>
              <w:jc w:val="both"/>
              <w:rPr>
                <w:rFonts w:hint="eastAsia" w:ascii="宋体" w:hAnsi="宋体" w:eastAsia="宋体" w:cs="宋体"/>
                <w:szCs w:val="21"/>
              </w:rPr>
            </w:pPr>
            <w:r>
              <w:rPr>
                <w:rFonts w:hint="eastAsia" w:ascii="宋体" w:hAnsi="宋体" w:eastAsia="宋体" w:cs="宋体"/>
                <w:szCs w:val="21"/>
              </w:rPr>
              <w:t>3</w:t>
            </w:r>
          </w:p>
        </w:tc>
        <w:tc>
          <w:tcPr>
            <w:tcW w:w="2853" w:type="dxa"/>
            <w:gridSpan w:val="2"/>
            <w:vAlign w:val="center"/>
          </w:tcPr>
          <w:p>
            <w:pPr>
              <w:widowControl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报价</w:t>
            </w:r>
          </w:p>
        </w:tc>
        <w:tc>
          <w:tcPr>
            <w:tcW w:w="4491" w:type="dxa"/>
            <w:gridSpan w:val="2"/>
          </w:tcPr>
          <w:p>
            <w:pPr>
              <w:widowControl w:val="0"/>
              <w:adjustRightInd w:val="0"/>
              <w:snapToGrid w:val="0"/>
              <w:spacing w:line="288" w:lineRule="auto"/>
              <w:jc w:val="both"/>
              <w:rPr>
                <w:rFonts w:hint="eastAsia" w:ascii="宋体" w:hAnsi="宋体" w:eastAsia="宋体" w:cs="宋体"/>
                <w:szCs w:val="21"/>
                <w:highlight w:val="none"/>
              </w:rPr>
            </w:pPr>
            <w:r>
              <w:rPr>
                <w:rFonts w:hint="eastAsia" w:ascii="宋体" w:hAnsi="宋体" w:eastAsia="宋体" w:cs="宋体"/>
                <w:szCs w:val="21"/>
                <w:highlight w:val="none"/>
              </w:rPr>
              <w:t>根据2.2.2条规定，按照评审价格由低到高的顺序推荐成交候选供应商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价格相同时可抽签决定结果</w:t>
            </w:r>
            <w:r>
              <w:rPr>
                <w:rFonts w:hint="eastAsia" w:ascii="宋体" w:hAnsi="宋体" w:eastAsia="宋体" w:cs="宋体"/>
                <w:szCs w:val="21"/>
                <w:highlight w:val="none"/>
              </w:rPr>
              <w:t>。</w:t>
            </w:r>
          </w:p>
        </w:tc>
      </w:tr>
    </w:tbl>
    <w:p>
      <w:pPr>
        <w:widowControl w:val="0"/>
        <w:adjustRightInd w:val="0"/>
        <w:snapToGrid w:val="0"/>
        <w:spacing w:line="312" w:lineRule="auto"/>
        <w:ind w:firstLine="420" w:firstLineChars="200"/>
        <w:jc w:val="both"/>
      </w:pPr>
      <w:r>
        <w:br w:type="page"/>
      </w:r>
    </w:p>
    <w:p>
      <w:pPr>
        <w:adjustRightInd w:val="0"/>
        <w:snapToGrid w:val="0"/>
        <w:spacing w:line="312" w:lineRule="auto"/>
        <w:jc w:val="center"/>
        <w:rPr>
          <w:rFonts w:ascii="宋体" w:hAnsi="宋体" w:cs="仿宋"/>
          <w:b/>
          <w:bCs/>
          <w:color w:val="auto"/>
          <w:sz w:val="36"/>
          <w:szCs w:val="36"/>
        </w:rPr>
      </w:pPr>
      <w:r>
        <w:rPr>
          <w:rFonts w:hint="eastAsia" w:ascii="宋体" w:hAnsi="宋体" w:cs="仿宋"/>
          <w:b/>
          <w:bCs/>
          <w:color w:val="auto"/>
          <w:sz w:val="36"/>
          <w:szCs w:val="36"/>
        </w:rPr>
        <w:t>评审办法正文</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1评审方法(</w:t>
      </w:r>
      <w:r>
        <w:rPr>
          <w:rFonts w:hint="eastAsia" w:ascii="宋体" w:hAnsi="宋体" w:cs="仿宋"/>
          <w:b/>
          <w:bCs/>
          <w:color w:val="auto"/>
          <w:sz w:val="24"/>
          <w:lang w:val="en-US" w:eastAsia="zh-CN"/>
        </w:rPr>
        <w:t>经评审最低价法</w:t>
      </w:r>
      <w:r>
        <w:rPr>
          <w:rFonts w:hint="eastAsia" w:ascii="宋体" w:hAnsi="宋体" w:cs="仿宋"/>
          <w:b/>
          <w:bCs/>
          <w:color w:val="auto"/>
          <w:sz w:val="24"/>
        </w:rPr>
        <w:t>)</w:t>
      </w:r>
    </w:p>
    <w:p>
      <w:pPr>
        <w:adjustRightInd w:val="0"/>
        <w:snapToGrid w:val="0"/>
        <w:spacing w:line="312" w:lineRule="auto"/>
        <w:ind w:firstLine="453" w:firstLineChars="189"/>
        <w:jc w:val="both"/>
        <w:rPr>
          <w:rFonts w:hint="eastAsia" w:ascii="宋体" w:hAnsi="宋体" w:cs="仿宋"/>
          <w:color w:val="auto"/>
          <w:sz w:val="24"/>
        </w:rPr>
      </w:pPr>
      <w:r>
        <w:rPr>
          <w:rFonts w:hint="eastAsia" w:ascii="宋体" w:hAnsi="宋体" w:cs="仿宋"/>
          <w:color w:val="auto"/>
          <w:sz w:val="24"/>
        </w:rPr>
        <w:t>本次评审采用</w:t>
      </w:r>
      <w:r>
        <w:rPr>
          <w:rFonts w:hint="eastAsia" w:ascii="宋体" w:hAnsi="宋体" w:cs="仿宋"/>
          <w:color w:val="auto"/>
          <w:sz w:val="24"/>
          <w:lang w:val="en-US" w:eastAsia="zh-CN"/>
        </w:rPr>
        <w:t>经评审最低价法</w:t>
      </w:r>
      <w:r>
        <w:rPr>
          <w:rFonts w:hint="eastAsia" w:ascii="宋体" w:hAnsi="宋体" w:cs="仿宋"/>
          <w:color w:val="auto"/>
          <w:sz w:val="24"/>
        </w:rPr>
        <w:t>。评审小组对满足采购文件实质性要求的响应文件，按经算术修正的</w:t>
      </w:r>
      <w:r>
        <w:rPr>
          <w:rFonts w:hint="eastAsia" w:ascii="宋体" w:hAnsi="宋体" w:cs="仿宋"/>
          <w:color w:val="auto"/>
          <w:sz w:val="24"/>
          <w:lang w:eastAsia="zh-CN"/>
        </w:rPr>
        <w:t>报价</w:t>
      </w:r>
      <w:r>
        <w:rPr>
          <w:rFonts w:hint="eastAsia" w:ascii="宋体" w:hAnsi="宋体" w:cs="仿宋"/>
          <w:color w:val="auto"/>
          <w:sz w:val="24"/>
        </w:rPr>
        <w:t>报价由低到高的顺序推荐中标候选人。</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rPr>
          <w:rFonts w:ascii="黑体" w:hAnsi="黑体" w:eastAsia="黑体" w:cs="宋体"/>
          <w:kern w:val="44"/>
          <w:sz w:val="32"/>
          <w:szCs w:val="32"/>
        </w:rPr>
      </w:pPr>
      <w:r>
        <w:rPr>
          <w:rFonts w:ascii="黑体" w:hAnsi="黑体" w:eastAsia="黑体" w:cs="宋体"/>
          <w:kern w:val="44"/>
          <w:sz w:val="32"/>
          <w:szCs w:val="32"/>
        </w:rPr>
        <w:br w:type="page"/>
      </w:r>
    </w:p>
    <w:bookmarkEnd w:id="18"/>
    <w:bookmarkEnd w:id="19"/>
    <w:p>
      <w:pPr>
        <w:pStyle w:val="79"/>
        <w:spacing w:line="600" w:lineRule="exact"/>
        <w:ind w:left="420" w:firstLine="0" w:firstLineChars="0"/>
        <w:jc w:val="center"/>
        <w:outlineLvl w:val="0"/>
        <w:rPr>
          <w:color w:val="000000"/>
        </w:rPr>
      </w:pPr>
      <w:bookmarkStart w:id="21" w:name="_Toc23595"/>
      <w:r>
        <w:rPr>
          <w:rFonts w:hint="eastAsia" w:ascii="黑体" w:hAnsi="黑体" w:eastAsia="黑体" w:cs="仿宋"/>
          <w:b/>
          <w:color w:val="000000"/>
          <w:sz w:val="36"/>
          <w:szCs w:val="36"/>
        </w:rPr>
        <w:t>第四章：技术咨询合同书</w:t>
      </w:r>
      <w:bookmarkEnd w:id="21"/>
    </w:p>
    <w:p>
      <w:pPr>
        <w:spacing w:line="500" w:lineRule="exact"/>
        <w:rPr>
          <w:color w:val="000000"/>
          <w:sz w:val="24"/>
        </w:rPr>
      </w:pPr>
      <w:r>
        <w:rPr>
          <w:color w:val="000000"/>
          <w:sz w:val="24"/>
        </w:rPr>
        <w:t xml:space="preserve"> </w:t>
      </w:r>
      <w:r>
        <w:rPr>
          <w:rFonts w:hint="eastAsia"/>
          <w:color w:val="000000"/>
          <w:sz w:val="24"/>
        </w:rPr>
        <w:t xml:space="preserve">   根据《中华人民共和国民法典》有关规定，合同双方就</w:t>
      </w:r>
      <w:r>
        <w:rPr>
          <w:rFonts w:hint="eastAsia"/>
          <w:color w:val="000000"/>
          <w:sz w:val="24"/>
          <w:u w:val="single"/>
        </w:rPr>
        <w:t>岳阳铁水集运煤炭码头一期工程竣工环保验收调查报告、突发环境事件应急预案和排污许可服务</w:t>
      </w:r>
      <w:r>
        <w:rPr>
          <w:rFonts w:hint="eastAsia"/>
          <w:color w:val="000000"/>
          <w:sz w:val="24"/>
        </w:rPr>
        <w:t>的技术咨询</w:t>
      </w:r>
      <w:r>
        <w:rPr>
          <w:rFonts w:hint="eastAsia"/>
          <w:color w:val="000000"/>
          <w:kern w:val="28"/>
          <w:sz w:val="24"/>
        </w:rPr>
        <w:t>，</w:t>
      </w:r>
      <w:r>
        <w:rPr>
          <w:rFonts w:hint="eastAsia"/>
          <w:color w:val="000000"/>
          <w:sz w:val="24"/>
        </w:rPr>
        <w:t>本着平等互利和诚实信用的原则，</w:t>
      </w:r>
      <w:r>
        <w:rPr>
          <w:rFonts w:hint="eastAsia"/>
          <w:color w:val="000000"/>
          <w:kern w:val="28"/>
          <w:sz w:val="24"/>
        </w:rPr>
        <w:t>经双方协商达成共识，特此签订本合同如下。</w:t>
      </w:r>
    </w:p>
    <w:p>
      <w:pPr>
        <w:spacing w:line="500" w:lineRule="exact"/>
        <w:outlineLvl w:val="0"/>
        <w:rPr>
          <w:b/>
          <w:color w:val="000000"/>
          <w:sz w:val="24"/>
        </w:rPr>
      </w:pPr>
      <w:bookmarkStart w:id="22" w:name="_Toc13210"/>
      <w:r>
        <w:rPr>
          <w:rFonts w:hint="eastAsia"/>
          <w:b/>
          <w:color w:val="000000"/>
          <w:sz w:val="24"/>
        </w:rPr>
        <w:t>一、项目名称</w:t>
      </w:r>
      <w:bookmarkEnd w:id="22"/>
    </w:p>
    <w:p>
      <w:pPr>
        <w:spacing w:line="500" w:lineRule="exact"/>
        <w:ind w:right="-334" w:rightChars="-159" w:firstLine="480" w:firstLineChars="200"/>
        <w:rPr>
          <w:spacing w:val="-4"/>
          <w:sz w:val="24"/>
        </w:rPr>
      </w:pPr>
      <w:r>
        <w:rPr>
          <w:rFonts w:hint="eastAsia" w:ascii="宋体" w:hAnsi="宋体"/>
          <w:bCs/>
          <w:color w:val="000000"/>
          <w:sz w:val="24"/>
        </w:rPr>
        <w:t>项目名称：</w:t>
      </w:r>
      <w:r>
        <w:rPr>
          <w:rFonts w:hint="eastAsia"/>
          <w:color w:val="000000"/>
          <w:sz w:val="24"/>
          <w:u w:val="single"/>
        </w:rPr>
        <w:t>岳阳铁水集运煤炭码头一期工程竣工环保验收调查报告、突发环境事件应急预案和排污许可服务</w:t>
      </w:r>
    </w:p>
    <w:p>
      <w:pPr>
        <w:spacing w:line="500" w:lineRule="exact"/>
        <w:outlineLvl w:val="0"/>
        <w:rPr>
          <w:rFonts w:ascii="宋体" w:hAnsi="宋体"/>
          <w:b/>
          <w:color w:val="000000"/>
          <w:sz w:val="24"/>
        </w:rPr>
      </w:pPr>
      <w:bookmarkStart w:id="23" w:name="_Toc20381"/>
      <w:r>
        <w:rPr>
          <w:rFonts w:hint="eastAsia" w:ascii="宋体" w:hAnsi="宋体"/>
          <w:b/>
          <w:color w:val="000000"/>
          <w:sz w:val="24"/>
        </w:rPr>
        <w:t>二、</w:t>
      </w:r>
      <w:r>
        <w:rPr>
          <w:rFonts w:hint="eastAsia" w:ascii="宋体" w:hAnsi="宋体"/>
          <w:b/>
          <w:sz w:val="24"/>
        </w:rPr>
        <w:t>双方责任</w:t>
      </w:r>
      <w:bookmarkEnd w:id="23"/>
    </w:p>
    <w:p>
      <w:pPr>
        <w:spacing w:line="500" w:lineRule="exact"/>
        <w:ind w:firstLine="480" w:firstLineChars="200"/>
        <w:rPr>
          <w:rFonts w:ascii="宋体" w:hAnsi="宋体"/>
          <w:sz w:val="24"/>
        </w:rPr>
      </w:pPr>
      <w:r>
        <w:rPr>
          <w:rFonts w:hint="eastAsia" w:ascii="宋体" w:hAnsi="宋体"/>
          <w:sz w:val="24"/>
        </w:rPr>
        <w:t>1、甲方责任：</w:t>
      </w:r>
    </w:p>
    <w:p>
      <w:pPr>
        <w:spacing w:line="500" w:lineRule="exact"/>
        <w:ind w:firstLine="480" w:firstLineChars="200"/>
        <w:rPr>
          <w:rFonts w:ascii="宋体" w:hAnsi="宋体"/>
          <w:sz w:val="24"/>
        </w:rPr>
      </w:pPr>
      <w:r>
        <w:rPr>
          <w:rFonts w:hint="eastAsia" w:ascii="宋体" w:hAnsi="宋体"/>
          <w:sz w:val="24"/>
        </w:rPr>
        <w:t>（1）负责及时向乙方提供</w:t>
      </w:r>
      <w:r>
        <w:rPr>
          <w:rFonts w:hint="eastAsia" w:ascii="宋体" w:hAnsi="宋体"/>
          <w:color w:val="000000"/>
          <w:sz w:val="24"/>
          <w:u w:val="single"/>
        </w:rPr>
        <w:t>可研报告报批稿文本、图纸及批复文件、环境影响评价报告文本</w:t>
      </w:r>
      <w:r>
        <w:rPr>
          <w:rFonts w:hint="eastAsia" w:ascii="宋体" w:hAnsi="宋体"/>
          <w:color w:val="000000"/>
          <w:sz w:val="24"/>
        </w:rPr>
        <w:t>等</w:t>
      </w:r>
      <w:r>
        <w:rPr>
          <w:rFonts w:hint="eastAsia" w:ascii="宋体" w:hAnsi="宋体"/>
          <w:sz w:val="24"/>
        </w:rPr>
        <w:t>有关资料和相关文件，以满足乙方执行本合同的必备条件。</w:t>
      </w:r>
    </w:p>
    <w:p>
      <w:pPr>
        <w:spacing w:line="500" w:lineRule="exact"/>
        <w:ind w:firstLine="480" w:firstLineChars="200"/>
        <w:rPr>
          <w:rFonts w:ascii="宋体" w:hAnsi="宋体"/>
          <w:sz w:val="24"/>
        </w:rPr>
      </w:pPr>
      <w:r>
        <w:rPr>
          <w:rFonts w:hint="eastAsia" w:ascii="宋体" w:hAnsi="宋体"/>
          <w:sz w:val="24"/>
        </w:rPr>
        <w:t>（2）负责配合乙方和专家的现场勘查工作。</w:t>
      </w:r>
    </w:p>
    <w:p>
      <w:pPr>
        <w:spacing w:line="500" w:lineRule="exact"/>
        <w:ind w:firstLine="480" w:firstLineChars="200"/>
        <w:rPr>
          <w:rFonts w:ascii="宋体" w:hAnsi="宋体"/>
          <w:sz w:val="24"/>
        </w:rPr>
      </w:pPr>
      <w:r>
        <w:rPr>
          <w:rFonts w:hint="eastAsia" w:ascii="宋体" w:hAnsi="宋体"/>
          <w:sz w:val="24"/>
        </w:rPr>
        <w:t>（3）在本合同执行过程中，甲方配合乙方提供相关执行本合同所需的支持和帮助。</w:t>
      </w:r>
    </w:p>
    <w:p>
      <w:pPr>
        <w:spacing w:line="500" w:lineRule="exact"/>
        <w:ind w:firstLine="480" w:firstLineChars="200"/>
        <w:rPr>
          <w:rFonts w:ascii="宋体" w:hAnsi="宋体"/>
          <w:sz w:val="24"/>
        </w:rPr>
      </w:pPr>
      <w:r>
        <w:rPr>
          <w:rFonts w:hint="eastAsia" w:ascii="宋体" w:hAnsi="宋体"/>
          <w:sz w:val="24"/>
        </w:rPr>
        <w:t>（4）安排人员负责向乙方解答本工程项目有关问题。</w:t>
      </w:r>
    </w:p>
    <w:p>
      <w:pPr>
        <w:spacing w:line="500" w:lineRule="exact"/>
        <w:ind w:firstLine="480" w:firstLineChars="200"/>
        <w:rPr>
          <w:rFonts w:ascii="宋体" w:hAnsi="宋体"/>
          <w:sz w:val="24"/>
        </w:rPr>
      </w:pPr>
      <w:r>
        <w:rPr>
          <w:rFonts w:hint="eastAsia" w:ascii="宋体" w:hAnsi="宋体"/>
          <w:sz w:val="24"/>
        </w:rPr>
        <w:t>（5）按时支付乙方合同款。</w:t>
      </w:r>
    </w:p>
    <w:p>
      <w:pPr>
        <w:spacing w:line="500" w:lineRule="exact"/>
        <w:ind w:firstLine="480" w:firstLineChars="200"/>
        <w:rPr>
          <w:rFonts w:ascii="宋体" w:hAnsi="宋体"/>
          <w:sz w:val="24"/>
        </w:rPr>
      </w:pPr>
      <w:r>
        <w:rPr>
          <w:rFonts w:hint="eastAsia" w:ascii="宋体" w:hAnsi="宋体"/>
          <w:sz w:val="24"/>
        </w:rPr>
        <w:t>2、乙方责任：</w:t>
      </w:r>
    </w:p>
    <w:p>
      <w:pPr>
        <w:spacing w:line="500" w:lineRule="exact"/>
        <w:ind w:firstLine="480" w:firstLineChars="200"/>
        <w:rPr>
          <w:rFonts w:ascii="宋体" w:hAnsi="宋体"/>
          <w:sz w:val="24"/>
        </w:rPr>
      </w:pPr>
      <w:r>
        <w:rPr>
          <w:rFonts w:hint="eastAsia" w:ascii="宋体" w:hAnsi="宋体"/>
          <w:sz w:val="24"/>
        </w:rPr>
        <w:t>（1）乙方按照相关法律法规要求，</w:t>
      </w:r>
      <w:r>
        <w:rPr>
          <w:rFonts w:hint="eastAsia"/>
          <w:color w:val="000000"/>
          <w:sz w:val="24"/>
        </w:rPr>
        <w:t>进行</w:t>
      </w:r>
      <w:r>
        <w:rPr>
          <w:rFonts w:hint="eastAsia"/>
          <w:color w:val="000000"/>
          <w:sz w:val="24"/>
          <w:u w:val="single"/>
        </w:rPr>
        <w:t>排污许可申报</w:t>
      </w:r>
      <w:r>
        <w:rPr>
          <w:rFonts w:hint="eastAsia"/>
          <w:color w:val="000000"/>
          <w:sz w:val="24"/>
        </w:rPr>
        <w:t>，</w:t>
      </w:r>
      <w:r>
        <w:rPr>
          <w:rFonts w:hint="eastAsia" w:ascii="宋体" w:hAnsi="宋体"/>
          <w:sz w:val="24"/>
        </w:rPr>
        <w:t>编制《</w:t>
      </w:r>
      <w:r>
        <w:rPr>
          <w:rFonts w:hint="eastAsia"/>
          <w:color w:val="000000"/>
          <w:sz w:val="24"/>
          <w:u w:val="single"/>
        </w:rPr>
        <w:t>岳阳铁水集运煤炭码头一期工程环境保护设施验收报告</w:t>
      </w:r>
      <w:r>
        <w:rPr>
          <w:rFonts w:hint="eastAsia" w:ascii="宋体" w:hAnsi="宋体"/>
          <w:sz w:val="24"/>
        </w:rPr>
        <w:t>》、《</w:t>
      </w:r>
      <w:r>
        <w:rPr>
          <w:rFonts w:hint="eastAsia"/>
          <w:color w:val="000000"/>
          <w:sz w:val="24"/>
          <w:u w:val="single"/>
        </w:rPr>
        <w:t>岳阳铁水集运煤炭码头一期工程突发环境事件应急预案</w:t>
      </w:r>
      <w:r>
        <w:rPr>
          <w:rFonts w:hint="eastAsia" w:ascii="宋体" w:hAnsi="宋体"/>
          <w:sz w:val="24"/>
        </w:rPr>
        <w:t>》。</w:t>
      </w:r>
    </w:p>
    <w:p>
      <w:pPr>
        <w:spacing w:line="500" w:lineRule="exact"/>
        <w:ind w:firstLine="480" w:firstLineChars="200"/>
        <w:rPr>
          <w:rFonts w:ascii="宋体" w:hAnsi="宋体"/>
          <w:sz w:val="24"/>
          <w:highlight w:val="none"/>
        </w:rPr>
      </w:pPr>
      <w:r>
        <w:rPr>
          <w:rFonts w:hint="eastAsia" w:ascii="宋体" w:hAnsi="宋体"/>
          <w:sz w:val="24"/>
        </w:rPr>
        <w:t>（2）乙方在合同双方签字生效并且收到甲方</w:t>
      </w:r>
      <w:r>
        <w:rPr>
          <w:rFonts w:hint="eastAsia" w:ascii="宋体" w:hAnsi="宋体"/>
          <w:color w:val="auto"/>
          <w:sz w:val="24"/>
        </w:rPr>
        <w:t>提供的有关资料满足排污许</w:t>
      </w:r>
      <w:r>
        <w:rPr>
          <w:rFonts w:hint="eastAsia" w:ascii="宋体" w:hAnsi="宋体"/>
          <w:color w:val="auto"/>
          <w:sz w:val="24"/>
          <w:highlight w:val="none"/>
        </w:rPr>
        <w:t>可申报要求后，</w:t>
      </w:r>
      <w:r>
        <w:rPr>
          <w:rFonts w:hint="eastAsia"/>
          <w:color w:val="000000"/>
          <w:sz w:val="24"/>
          <w:highlight w:val="none"/>
          <w:lang w:val="en-US" w:eastAsia="zh-CN"/>
        </w:rPr>
        <w:t>7个工作日内</w:t>
      </w:r>
      <w:r>
        <w:rPr>
          <w:rFonts w:hint="eastAsia" w:ascii="宋体" w:hAnsi="宋体"/>
          <w:sz w:val="24"/>
          <w:highlight w:val="none"/>
        </w:rPr>
        <w:t>开展排污许可申报工作。</w:t>
      </w:r>
    </w:p>
    <w:p>
      <w:pPr>
        <w:spacing w:line="500" w:lineRule="exact"/>
        <w:ind w:firstLine="480" w:firstLineChars="200"/>
        <w:rPr>
          <w:rFonts w:ascii="宋体" w:hAnsi="宋体"/>
          <w:sz w:val="24"/>
        </w:rPr>
      </w:pPr>
      <w:r>
        <w:rPr>
          <w:rFonts w:hint="eastAsia" w:ascii="宋体" w:hAnsi="宋体"/>
          <w:sz w:val="24"/>
        </w:rPr>
        <w:t>（3）排污许可申报完成后，10个工作日内提交《</w:t>
      </w:r>
      <w:r>
        <w:rPr>
          <w:rFonts w:hint="eastAsia"/>
          <w:color w:val="000000"/>
          <w:sz w:val="24"/>
          <w:u w:val="single"/>
        </w:rPr>
        <w:t>岳阳铁水集运煤炭码头一期工程环境保护设施验收报告</w:t>
      </w:r>
      <w:r>
        <w:rPr>
          <w:rFonts w:hint="eastAsia" w:ascii="宋体" w:hAnsi="宋体"/>
          <w:sz w:val="24"/>
        </w:rPr>
        <w:t>》初稿、《</w:t>
      </w:r>
      <w:r>
        <w:rPr>
          <w:rFonts w:hint="eastAsia"/>
          <w:color w:val="000000"/>
          <w:sz w:val="24"/>
          <w:u w:val="single"/>
        </w:rPr>
        <w:t>岳阳铁水集运煤炭码头一期工程突发环境事件应急预案</w:t>
      </w:r>
      <w:r>
        <w:rPr>
          <w:rFonts w:hint="eastAsia" w:ascii="宋体" w:hAnsi="宋体"/>
          <w:sz w:val="24"/>
        </w:rPr>
        <w:t>》初稿。</w:t>
      </w:r>
    </w:p>
    <w:p>
      <w:pPr>
        <w:spacing w:line="500" w:lineRule="exact"/>
        <w:ind w:firstLine="480" w:firstLineChars="200"/>
        <w:rPr>
          <w:rFonts w:ascii="宋体" w:hAnsi="宋体"/>
          <w:sz w:val="24"/>
        </w:rPr>
      </w:pPr>
      <w:r>
        <w:rPr>
          <w:rFonts w:hint="eastAsia" w:ascii="宋体" w:hAnsi="宋体"/>
          <w:sz w:val="24"/>
        </w:rPr>
        <w:t>（4）在技术审查会通过后10个工作日内提交《</w:t>
      </w:r>
      <w:r>
        <w:rPr>
          <w:rFonts w:hint="eastAsia"/>
          <w:color w:val="000000"/>
          <w:sz w:val="24"/>
          <w:u w:val="single"/>
        </w:rPr>
        <w:t>岳阳铁水集运煤炭码头一期工程环境保护设施验收报告</w:t>
      </w:r>
      <w:r>
        <w:rPr>
          <w:rFonts w:hint="eastAsia" w:ascii="宋体" w:hAnsi="宋体"/>
          <w:sz w:val="24"/>
        </w:rPr>
        <w:t>》备案稿、《</w:t>
      </w:r>
      <w:r>
        <w:rPr>
          <w:rFonts w:hint="eastAsia"/>
          <w:color w:val="000000"/>
          <w:sz w:val="24"/>
          <w:u w:val="single"/>
        </w:rPr>
        <w:t>岳阳铁水集运煤炭码头一期工程突发环境事件应急预案</w:t>
      </w:r>
      <w:r>
        <w:rPr>
          <w:rFonts w:hint="eastAsia" w:ascii="宋体" w:hAnsi="宋体"/>
          <w:sz w:val="24"/>
        </w:rPr>
        <w:t>》备案稿。</w:t>
      </w:r>
    </w:p>
    <w:p>
      <w:pPr>
        <w:spacing w:line="500" w:lineRule="exact"/>
        <w:ind w:firstLine="480" w:firstLineChars="200"/>
        <w:rPr>
          <w:rFonts w:ascii="宋体" w:hAnsi="宋体"/>
          <w:sz w:val="24"/>
        </w:rPr>
      </w:pPr>
      <w:r>
        <w:rPr>
          <w:rFonts w:hint="eastAsia" w:ascii="宋体" w:hAnsi="宋体"/>
          <w:sz w:val="24"/>
        </w:rPr>
        <w:t>（5）通过生态环境主管部门备案后，乙方提交给甲方最终成果报告和相关附件，纸质档</w:t>
      </w:r>
      <w:r>
        <w:rPr>
          <w:rFonts w:hint="eastAsia" w:ascii="宋体" w:hAnsi="宋体"/>
          <w:sz w:val="24"/>
          <w:u w:val="single"/>
        </w:rPr>
        <w:t>6</w:t>
      </w:r>
      <w:r>
        <w:rPr>
          <w:rFonts w:hint="eastAsia" w:ascii="宋体" w:hAnsi="宋体"/>
          <w:sz w:val="24"/>
        </w:rPr>
        <w:t>套及电子档</w:t>
      </w:r>
      <w:r>
        <w:rPr>
          <w:rFonts w:hint="eastAsia" w:ascii="宋体" w:hAnsi="宋体"/>
          <w:sz w:val="24"/>
          <w:u w:val="single"/>
        </w:rPr>
        <w:t>1</w:t>
      </w:r>
      <w:r>
        <w:rPr>
          <w:rFonts w:hint="eastAsia" w:ascii="宋体" w:hAnsi="宋体"/>
          <w:sz w:val="24"/>
        </w:rPr>
        <w:t xml:space="preserve">份。 </w:t>
      </w:r>
    </w:p>
    <w:p>
      <w:pPr>
        <w:spacing w:line="500" w:lineRule="exact"/>
        <w:ind w:firstLine="480" w:firstLineChars="200"/>
        <w:rPr>
          <w:rFonts w:ascii="宋体" w:hAnsi="宋体"/>
          <w:sz w:val="24"/>
        </w:rPr>
      </w:pPr>
      <w:r>
        <w:rPr>
          <w:rFonts w:hint="eastAsia" w:ascii="宋体" w:hAnsi="宋体"/>
          <w:sz w:val="24"/>
        </w:rPr>
        <w:t>（6）对甲方所提供的资料，乙方仅限于本项目研究使用，并予以保密和保护，乙方不得擅自将资料提供给第三方。</w:t>
      </w:r>
    </w:p>
    <w:p>
      <w:pPr>
        <w:spacing w:line="500" w:lineRule="exact"/>
        <w:outlineLvl w:val="0"/>
        <w:rPr>
          <w:b/>
          <w:color w:val="000000"/>
          <w:sz w:val="24"/>
        </w:rPr>
      </w:pPr>
      <w:bookmarkStart w:id="24" w:name="_Toc12305"/>
      <w:r>
        <w:rPr>
          <w:rFonts w:hint="eastAsia"/>
          <w:b/>
          <w:color w:val="000000"/>
          <w:sz w:val="24"/>
        </w:rPr>
        <w:t>三、合同金额及支付方式</w:t>
      </w:r>
      <w:bookmarkEnd w:id="24"/>
    </w:p>
    <w:p>
      <w:pPr>
        <w:spacing w:line="500" w:lineRule="exact"/>
        <w:ind w:firstLine="480" w:firstLineChars="200"/>
        <w:rPr>
          <w:color w:val="auto"/>
          <w:sz w:val="24"/>
          <w:u w:val="single"/>
        </w:rPr>
      </w:pPr>
      <w:r>
        <w:rPr>
          <w:rFonts w:hint="eastAsia"/>
          <w:color w:val="000000"/>
          <w:sz w:val="24"/>
        </w:rPr>
        <w:t>1、本合同总价款：技术咨询</w:t>
      </w:r>
      <w:r>
        <w:rPr>
          <w:rFonts w:hint="eastAsia"/>
          <w:color w:val="auto"/>
          <w:sz w:val="24"/>
        </w:rPr>
        <w:t>服务费人民币</w:t>
      </w:r>
      <w:r>
        <w:rPr>
          <w:rFonts w:hint="eastAsia"/>
          <w:color w:val="auto"/>
          <w:sz w:val="24"/>
          <w:u w:val="single"/>
        </w:rPr>
        <w:t xml:space="preserve">         元），</w:t>
      </w:r>
      <w:r>
        <w:rPr>
          <w:rFonts w:hint="eastAsia"/>
          <w:color w:val="auto"/>
          <w:sz w:val="24"/>
        </w:rPr>
        <w:t>此金额为含税价，税率 %。</w:t>
      </w:r>
    </w:p>
    <w:p>
      <w:pPr>
        <w:spacing w:line="500" w:lineRule="exact"/>
        <w:ind w:firstLine="480" w:firstLineChars="200"/>
        <w:rPr>
          <w:rFonts w:ascii="宋体" w:hAnsi="宋体"/>
          <w:color w:val="auto"/>
          <w:sz w:val="24"/>
        </w:rPr>
      </w:pPr>
      <w:r>
        <w:rPr>
          <w:rFonts w:hint="eastAsia"/>
          <w:color w:val="auto"/>
          <w:sz w:val="24"/>
        </w:rPr>
        <w:t>2、本合同总价不作调整，包括</w:t>
      </w:r>
      <w:r>
        <w:rPr>
          <w:rFonts w:hint="eastAsia" w:ascii="宋体" w:hAnsi="宋体"/>
          <w:color w:val="auto"/>
          <w:sz w:val="24"/>
        </w:rPr>
        <w:t>本项目现场勘查费、报告书编制费、资料收集整理等所有费用。</w:t>
      </w:r>
    </w:p>
    <w:p>
      <w:pPr>
        <w:spacing w:line="500" w:lineRule="exact"/>
        <w:ind w:firstLine="480" w:firstLineChars="200"/>
        <w:rPr>
          <w:color w:val="auto"/>
          <w:sz w:val="24"/>
        </w:rPr>
      </w:pPr>
      <w:r>
        <w:rPr>
          <w:rFonts w:hint="eastAsia" w:ascii="宋体" w:hAnsi="宋体"/>
          <w:color w:val="auto"/>
          <w:sz w:val="24"/>
        </w:rPr>
        <w:t>3、支付方式为</w:t>
      </w:r>
      <w:r>
        <w:rPr>
          <w:rFonts w:hint="eastAsia" w:ascii="宋体" w:hAnsi="宋体"/>
          <w:color w:val="auto"/>
          <w:sz w:val="24"/>
          <w:lang w:val="en-US" w:eastAsia="zh-CN"/>
        </w:rPr>
        <w:t>一次性</w:t>
      </w:r>
      <w:r>
        <w:rPr>
          <w:rFonts w:hint="eastAsia" w:ascii="宋体" w:hAnsi="宋体"/>
          <w:color w:val="auto"/>
          <w:sz w:val="24"/>
        </w:rPr>
        <w:t>付款。即：</w:t>
      </w:r>
      <w:r>
        <w:rPr>
          <w:rFonts w:hint="eastAsia"/>
          <w:color w:val="auto"/>
          <w:sz w:val="24"/>
        </w:rPr>
        <w:t>应急预案备案通过且获得备案证明</w:t>
      </w:r>
      <w:r>
        <w:rPr>
          <w:rFonts w:hint="eastAsia"/>
          <w:color w:val="auto"/>
          <w:sz w:val="24"/>
          <w:lang w:eastAsia="zh-CN"/>
        </w:rPr>
        <w:t>、</w:t>
      </w:r>
      <w:r>
        <w:rPr>
          <w:rFonts w:hint="eastAsia"/>
          <w:color w:val="auto"/>
          <w:sz w:val="24"/>
        </w:rPr>
        <w:t>竣工环保验收通过评审并形成验收意见完成备案后15个工作日内</w:t>
      </w:r>
      <w:r>
        <w:rPr>
          <w:rFonts w:hint="eastAsia"/>
          <w:color w:val="auto"/>
          <w:sz w:val="24"/>
          <w:lang w:eastAsia="zh-CN"/>
        </w:rPr>
        <w:t>，</w:t>
      </w:r>
      <w:r>
        <w:rPr>
          <w:rFonts w:hint="eastAsia"/>
          <w:color w:val="auto"/>
          <w:sz w:val="24"/>
          <w:lang w:val="en-US" w:eastAsia="zh-CN"/>
        </w:rPr>
        <w:t>甲方凭增值税专用发票</w:t>
      </w:r>
      <w:r>
        <w:rPr>
          <w:rFonts w:hint="eastAsia"/>
          <w:color w:val="auto"/>
          <w:sz w:val="24"/>
        </w:rPr>
        <w:t>向乙方一次性付清合同款</w:t>
      </w:r>
      <w:bookmarkStart w:id="25" w:name="_Hlk104190650"/>
      <w:r>
        <w:rPr>
          <w:rFonts w:hint="eastAsia"/>
          <w:color w:val="auto"/>
          <w:sz w:val="24"/>
        </w:rPr>
        <w:t>人民币</w:t>
      </w:r>
      <w:r>
        <w:rPr>
          <w:rFonts w:hint="eastAsia"/>
          <w:color w:val="auto"/>
          <w:sz w:val="24"/>
          <w:u w:val="single"/>
        </w:rPr>
        <w:t xml:space="preserve">    元</w:t>
      </w:r>
      <w:bookmarkEnd w:id="25"/>
      <w:r>
        <w:rPr>
          <w:rFonts w:hint="eastAsia"/>
          <w:color w:val="auto"/>
          <w:sz w:val="24"/>
          <w:u w:val="single"/>
        </w:rPr>
        <w:t>）</w:t>
      </w:r>
      <w:r>
        <w:rPr>
          <w:rFonts w:hint="eastAsia"/>
          <w:color w:val="auto"/>
          <w:sz w:val="24"/>
        </w:rPr>
        <w:t>。</w:t>
      </w:r>
    </w:p>
    <w:p>
      <w:pPr>
        <w:spacing w:line="500" w:lineRule="exact"/>
        <w:ind w:firstLine="480" w:firstLineChars="200"/>
        <w:rPr>
          <w:color w:val="000000"/>
          <w:sz w:val="24"/>
        </w:rPr>
      </w:pPr>
      <w:r>
        <w:rPr>
          <w:rFonts w:hint="eastAsia"/>
          <w:color w:val="000000"/>
          <w:sz w:val="24"/>
        </w:rPr>
        <w:t>4、乙方账户：</w:t>
      </w:r>
    </w:p>
    <w:p>
      <w:pPr>
        <w:spacing w:line="500" w:lineRule="exact"/>
        <w:ind w:firstLine="480" w:firstLineChars="200"/>
        <w:rPr>
          <w:color w:val="000000"/>
          <w:sz w:val="24"/>
        </w:rPr>
      </w:pPr>
      <w:r>
        <w:rPr>
          <w:rFonts w:hint="eastAsia"/>
          <w:color w:val="000000"/>
          <w:sz w:val="24"/>
        </w:rPr>
        <w:t>账户名：</w:t>
      </w:r>
    </w:p>
    <w:p>
      <w:pPr>
        <w:spacing w:line="500" w:lineRule="exact"/>
        <w:ind w:firstLine="480" w:firstLineChars="200"/>
        <w:rPr>
          <w:color w:val="000000"/>
          <w:sz w:val="24"/>
        </w:rPr>
      </w:pPr>
      <w:r>
        <w:rPr>
          <w:rFonts w:hint="eastAsia"/>
          <w:color w:val="000000"/>
          <w:sz w:val="24"/>
        </w:rPr>
        <w:t>开户行：</w:t>
      </w:r>
    </w:p>
    <w:p>
      <w:pPr>
        <w:spacing w:line="500" w:lineRule="exact"/>
        <w:ind w:firstLine="480" w:firstLineChars="200"/>
        <w:rPr>
          <w:color w:val="000000"/>
          <w:sz w:val="24"/>
        </w:rPr>
      </w:pPr>
      <w:r>
        <w:rPr>
          <w:rFonts w:hint="eastAsia"/>
          <w:color w:val="000000"/>
          <w:sz w:val="24"/>
        </w:rPr>
        <w:t>账户：</w:t>
      </w:r>
    </w:p>
    <w:p>
      <w:pPr>
        <w:spacing w:line="500" w:lineRule="exact"/>
        <w:ind w:left="600" w:hanging="600"/>
        <w:outlineLvl w:val="0"/>
        <w:rPr>
          <w:b/>
          <w:color w:val="000000"/>
          <w:sz w:val="24"/>
        </w:rPr>
      </w:pPr>
      <w:bookmarkStart w:id="26" w:name="_Toc24294"/>
      <w:r>
        <w:rPr>
          <w:rFonts w:hint="eastAsia"/>
          <w:b/>
          <w:sz w:val="24"/>
        </w:rPr>
        <w:t>四、</w:t>
      </w:r>
      <w:r>
        <w:rPr>
          <w:rFonts w:hint="eastAsia"/>
          <w:b/>
          <w:color w:val="000000"/>
          <w:sz w:val="24"/>
        </w:rPr>
        <w:t>违约金或损失赔偿计算方法</w:t>
      </w:r>
      <w:bookmarkEnd w:id="26"/>
    </w:p>
    <w:p>
      <w:pPr>
        <w:spacing w:line="500" w:lineRule="exact"/>
        <w:ind w:firstLine="480" w:firstLineChars="200"/>
        <w:rPr>
          <w:color w:val="000000"/>
          <w:sz w:val="24"/>
        </w:rPr>
      </w:pPr>
      <w:r>
        <w:rPr>
          <w:rFonts w:hint="eastAsia"/>
          <w:color w:val="000000"/>
          <w:sz w:val="24"/>
        </w:rPr>
        <w:t>1、甲乙双方应严格遵守本合同，不履行合同的，应承担违约责任。</w:t>
      </w:r>
    </w:p>
    <w:p>
      <w:pPr>
        <w:spacing w:line="500" w:lineRule="exact"/>
        <w:ind w:firstLine="480" w:firstLineChars="200"/>
        <w:rPr>
          <w:color w:val="000000"/>
          <w:sz w:val="24"/>
        </w:rPr>
      </w:pPr>
      <w:r>
        <w:rPr>
          <w:rFonts w:hint="eastAsia"/>
          <w:color w:val="000000"/>
          <w:sz w:val="24"/>
        </w:rPr>
        <w:t>2、因乙方原因延迟交付报告，应当按日向甲方支付违约金，每日支付技术服务费总额的5‰，违约金最高为技术服务费总额的20%。</w:t>
      </w:r>
    </w:p>
    <w:p>
      <w:pPr>
        <w:spacing w:line="500" w:lineRule="exact"/>
        <w:ind w:firstLine="480" w:firstLineChars="200"/>
        <w:rPr>
          <w:color w:val="000000"/>
          <w:sz w:val="24"/>
        </w:rPr>
      </w:pPr>
      <w:r>
        <w:rPr>
          <w:rFonts w:hint="eastAsia"/>
          <w:color w:val="000000"/>
          <w:sz w:val="24"/>
        </w:rPr>
        <w:t>3、因甲方原因终止合同执行，乙方按实际工作内容收取费用。</w:t>
      </w:r>
    </w:p>
    <w:p>
      <w:pPr>
        <w:spacing w:line="500" w:lineRule="exact"/>
        <w:ind w:firstLine="480" w:firstLineChars="200"/>
        <w:rPr>
          <w:color w:val="000000"/>
          <w:sz w:val="24"/>
        </w:rPr>
      </w:pPr>
      <w:r>
        <w:rPr>
          <w:rFonts w:hint="eastAsia"/>
          <w:color w:val="000000"/>
          <w:sz w:val="24"/>
        </w:rPr>
        <w:t>4、因乙方原因终止合同执行，甲方不支付乙方任何费用，并且乙方须赔偿甲方相应的损失。</w:t>
      </w:r>
    </w:p>
    <w:p>
      <w:pPr>
        <w:spacing w:line="500" w:lineRule="exact"/>
        <w:outlineLvl w:val="0"/>
        <w:rPr>
          <w:b/>
          <w:color w:val="000000"/>
          <w:sz w:val="24"/>
        </w:rPr>
      </w:pPr>
      <w:bookmarkStart w:id="27" w:name="_Toc22724"/>
      <w:r>
        <w:rPr>
          <w:rFonts w:hint="eastAsia"/>
          <w:b/>
          <w:color w:val="000000"/>
          <w:sz w:val="24"/>
        </w:rPr>
        <w:t>五、解决争议办法</w:t>
      </w:r>
      <w:bookmarkEnd w:id="27"/>
    </w:p>
    <w:p>
      <w:pPr>
        <w:spacing w:line="500" w:lineRule="exact"/>
        <w:ind w:firstLine="480" w:firstLineChars="200"/>
        <w:rPr>
          <w:color w:val="000000"/>
          <w:sz w:val="24"/>
        </w:rPr>
      </w:pPr>
      <w:r>
        <w:rPr>
          <w:rFonts w:hint="eastAsia"/>
          <w:color w:val="000000"/>
          <w:sz w:val="24"/>
        </w:rPr>
        <w:t>在合同履行过程中发生争议或者纠纷，双方应本着互信互谅的原则进行协商解决。若当事人不愿协商解决，应向应向岳阳市云溪区人民法院提起诉讼。</w:t>
      </w:r>
    </w:p>
    <w:p>
      <w:pPr>
        <w:spacing w:line="500" w:lineRule="exact"/>
        <w:outlineLvl w:val="0"/>
        <w:rPr>
          <w:b/>
          <w:color w:val="000000"/>
          <w:sz w:val="24"/>
        </w:rPr>
      </w:pPr>
      <w:bookmarkStart w:id="28" w:name="_Toc13123"/>
      <w:r>
        <w:rPr>
          <w:rFonts w:hint="eastAsia"/>
          <w:b/>
          <w:color w:val="000000"/>
          <w:sz w:val="24"/>
        </w:rPr>
        <w:t>六、不可抗力</w:t>
      </w:r>
      <w:bookmarkEnd w:id="28"/>
    </w:p>
    <w:p>
      <w:pPr>
        <w:spacing w:line="500" w:lineRule="exact"/>
        <w:ind w:firstLine="480"/>
        <w:rPr>
          <w:color w:val="000000"/>
          <w:sz w:val="24"/>
        </w:rPr>
      </w:pPr>
      <w:r>
        <w:rPr>
          <w:rFonts w:hint="eastAsia"/>
          <w:color w:val="000000"/>
          <w:sz w:val="24"/>
        </w:rPr>
        <w:t>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pPr>
        <w:spacing w:line="500" w:lineRule="exact"/>
        <w:outlineLvl w:val="0"/>
        <w:rPr>
          <w:b/>
          <w:color w:val="000000"/>
          <w:sz w:val="24"/>
        </w:rPr>
      </w:pPr>
      <w:bookmarkStart w:id="29" w:name="_Toc31213"/>
      <w:r>
        <w:rPr>
          <w:rFonts w:hint="eastAsia"/>
          <w:b/>
          <w:color w:val="000000"/>
          <w:sz w:val="24"/>
        </w:rPr>
        <w:t>七、合同生效</w:t>
      </w:r>
      <w:bookmarkEnd w:id="29"/>
    </w:p>
    <w:p>
      <w:pPr>
        <w:tabs>
          <w:tab w:val="left" w:pos="800"/>
        </w:tabs>
        <w:spacing w:line="500" w:lineRule="exact"/>
        <w:ind w:firstLine="600" w:firstLineChars="250"/>
        <w:rPr>
          <w:color w:val="000000"/>
          <w:sz w:val="24"/>
        </w:rPr>
      </w:pPr>
      <w:r>
        <w:rPr>
          <w:rFonts w:hint="eastAsia"/>
          <w:color w:val="000000"/>
          <w:sz w:val="24"/>
        </w:rPr>
        <w:t>本合同自甲乙双方的法人代表或其授权代理人签字盖章之日起生效。</w:t>
      </w:r>
    </w:p>
    <w:p>
      <w:pPr>
        <w:spacing w:line="500" w:lineRule="exact"/>
        <w:outlineLvl w:val="0"/>
        <w:rPr>
          <w:b/>
          <w:color w:val="000000"/>
          <w:sz w:val="24"/>
        </w:rPr>
      </w:pPr>
      <w:bookmarkStart w:id="30" w:name="_Toc22575"/>
      <w:r>
        <w:rPr>
          <w:rFonts w:hint="eastAsia"/>
          <w:b/>
          <w:color w:val="000000"/>
          <w:sz w:val="24"/>
        </w:rPr>
        <w:t>八、其它</w:t>
      </w:r>
      <w:bookmarkEnd w:id="30"/>
    </w:p>
    <w:p>
      <w:pPr>
        <w:spacing w:line="500" w:lineRule="exact"/>
        <w:ind w:firstLine="480" w:firstLineChars="200"/>
        <w:rPr>
          <w:color w:val="000000"/>
          <w:sz w:val="24"/>
        </w:rPr>
      </w:pPr>
      <w:r>
        <w:rPr>
          <w:rFonts w:hint="eastAsia"/>
          <w:color w:val="000000"/>
          <w:sz w:val="24"/>
        </w:rPr>
        <w:t>1、本工程项目报告书委托单位（甲方）为</w:t>
      </w:r>
      <w:r>
        <w:rPr>
          <w:rFonts w:hint="eastAsia"/>
          <w:color w:val="000000"/>
          <w:sz w:val="24"/>
          <w:u w:val="single"/>
        </w:rPr>
        <w:t>湖南省港务集团有限公司</w:t>
      </w:r>
      <w:r>
        <w:rPr>
          <w:rFonts w:hint="eastAsia"/>
          <w:color w:val="000000"/>
          <w:sz w:val="24"/>
        </w:rPr>
        <w:t>，受托方（乙方）单位为：</w:t>
      </w:r>
    </w:p>
    <w:p>
      <w:pPr>
        <w:spacing w:line="500" w:lineRule="exact"/>
        <w:ind w:firstLine="472" w:firstLineChars="197"/>
        <w:rPr>
          <w:color w:val="000000"/>
          <w:sz w:val="24"/>
        </w:rPr>
      </w:pPr>
      <w:r>
        <w:rPr>
          <w:rFonts w:hint="eastAsia"/>
          <w:color w:val="000000"/>
          <w:sz w:val="24"/>
        </w:rPr>
        <w:t>2、本合同未尽事宜，经双方协商一致后可另作补充规定，补充规定与本合同具有同等法律效力。</w:t>
      </w:r>
    </w:p>
    <w:p>
      <w:pPr>
        <w:spacing w:line="500" w:lineRule="exact"/>
        <w:ind w:left="357" w:leftChars="170" w:firstLine="117" w:firstLineChars="49"/>
        <w:rPr>
          <w:color w:val="000000"/>
          <w:sz w:val="24"/>
        </w:rPr>
      </w:pPr>
      <w:r>
        <w:rPr>
          <w:rFonts w:hint="eastAsia"/>
          <w:color w:val="000000"/>
          <w:sz w:val="24"/>
        </w:rPr>
        <w:t>3、本合同一式</w:t>
      </w:r>
      <w:r>
        <w:rPr>
          <w:rFonts w:hint="eastAsia"/>
          <w:color w:val="000000"/>
          <w:sz w:val="24"/>
          <w:u w:val="single"/>
        </w:rPr>
        <w:t>肆</w:t>
      </w:r>
      <w:r>
        <w:rPr>
          <w:rFonts w:hint="eastAsia"/>
          <w:color w:val="000000"/>
          <w:sz w:val="24"/>
        </w:rPr>
        <w:t>份，甲方执</w:t>
      </w:r>
      <w:r>
        <w:rPr>
          <w:rFonts w:hint="eastAsia"/>
          <w:color w:val="000000"/>
          <w:sz w:val="24"/>
          <w:u w:val="single"/>
        </w:rPr>
        <w:t>贰</w:t>
      </w:r>
      <w:r>
        <w:rPr>
          <w:rFonts w:hint="eastAsia"/>
          <w:color w:val="000000"/>
          <w:sz w:val="24"/>
        </w:rPr>
        <w:t>份，乙方执</w:t>
      </w:r>
      <w:r>
        <w:rPr>
          <w:rFonts w:hint="eastAsia"/>
          <w:color w:val="000000"/>
          <w:sz w:val="24"/>
          <w:u w:val="single"/>
        </w:rPr>
        <w:t>贰</w:t>
      </w:r>
      <w:r>
        <w:rPr>
          <w:rFonts w:hint="eastAsia"/>
          <w:color w:val="000000"/>
          <w:sz w:val="24"/>
        </w:rPr>
        <w:t>份，具有同等法律效力。</w:t>
      </w:r>
    </w:p>
    <w:p>
      <w:pPr>
        <w:spacing w:line="500" w:lineRule="exact"/>
        <w:rPr>
          <w:color w:val="000000"/>
          <w:sz w:val="24"/>
        </w:rPr>
      </w:pPr>
    </w:p>
    <w:p>
      <w:pPr>
        <w:spacing w:line="500" w:lineRule="exact"/>
        <w:rPr>
          <w:color w:val="000000"/>
          <w:sz w:val="24"/>
        </w:rPr>
      </w:pPr>
    </w:p>
    <w:p>
      <w:pPr>
        <w:spacing w:line="500" w:lineRule="exact"/>
        <w:rPr>
          <w:color w:val="000000"/>
          <w:sz w:val="24"/>
        </w:rPr>
      </w:pPr>
      <w:r>
        <w:rPr>
          <w:rFonts w:hint="eastAsia"/>
          <w:color w:val="000000"/>
          <w:sz w:val="24"/>
        </w:rPr>
        <w:t>（以下无正文）</w:t>
      </w:r>
    </w:p>
    <w:p>
      <w:pPr>
        <w:spacing w:line="500" w:lineRule="exact"/>
        <w:rPr>
          <w:color w:val="000000"/>
          <w:sz w:val="24"/>
        </w:rPr>
      </w:pPr>
    </w:p>
    <w:p>
      <w:pPr>
        <w:spacing w:line="500" w:lineRule="exact"/>
        <w:rPr>
          <w:b/>
          <w:color w:val="000000"/>
          <w:spacing w:val="-10"/>
          <w:sz w:val="24"/>
        </w:rPr>
      </w:pPr>
      <w:r>
        <w:rPr>
          <w:rFonts w:hint="eastAsia"/>
          <w:b/>
          <w:color w:val="000000"/>
          <w:spacing w:val="-10"/>
          <w:sz w:val="24"/>
        </w:rPr>
        <w:t>甲方（盖章）：                                乙方（盖章）：</w:t>
      </w:r>
    </w:p>
    <w:p>
      <w:pPr>
        <w:spacing w:line="500" w:lineRule="exact"/>
        <w:rPr>
          <w:color w:val="000000"/>
          <w:sz w:val="24"/>
          <w:u w:val="single"/>
        </w:rPr>
      </w:pPr>
      <w:r>
        <w:rPr>
          <w:rFonts w:hint="eastAsia"/>
          <w:color w:val="000000"/>
          <w:sz w:val="24"/>
          <w:u w:val="single"/>
        </w:rPr>
        <w:t>湖南省港务集团有限公司</w:t>
      </w:r>
      <w:r>
        <w:rPr>
          <w:rFonts w:hint="eastAsia"/>
          <w:color w:val="000000"/>
          <w:sz w:val="24"/>
        </w:rPr>
        <w:t xml:space="preserve">                  </w:t>
      </w:r>
    </w:p>
    <w:p>
      <w:pPr>
        <w:tabs>
          <w:tab w:val="left" w:pos="4860"/>
        </w:tabs>
        <w:spacing w:line="500" w:lineRule="exact"/>
        <w:rPr>
          <w:color w:val="000000"/>
          <w:sz w:val="24"/>
        </w:rPr>
      </w:pPr>
      <w:r>
        <w:rPr>
          <w:rFonts w:hint="eastAsia"/>
          <w:color w:val="000000"/>
          <w:sz w:val="24"/>
        </w:rPr>
        <w:t>法人代表或</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法人代表或 </w:t>
      </w:r>
    </w:p>
    <w:p>
      <w:pPr>
        <w:tabs>
          <w:tab w:val="left" w:pos="4860"/>
        </w:tabs>
        <w:spacing w:line="500" w:lineRule="exact"/>
        <w:rPr>
          <w:color w:val="000000"/>
          <w:sz w:val="24"/>
        </w:rPr>
      </w:pPr>
      <w:r>
        <w:rPr>
          <w:rFonts w:hint="eastAsia"/>
          <w:color w:val="000000"/>
          <w:sz w:val="24"/>
        </w:rPr>
        <w:t>代理人（签字）：                        代理人（签字）：</w:t>
      </w:r>
    </w:p>
    <w:p>
      <w:pPr>
        <w:tabs>
          <w:tab w:val="left" w:pos="4860"/>
        </w:tabs>
        <w:spacing w:line="500" w:lineRule="exact"/>
        <w:rPr>
          <w:color w:val="000000"/>
          <w:sz w:val="24"/>
        </w:rPr>
      </w:pPr>
      <w:r>
        <w:rPr>
          <w:rFonts w:hint="eastAsia"/>
          <w:color w:val="000000"/>
          <w:sz w:val="24"/>
        </w:rPr>
        <w:t xml:space="preserve">日期： 2022 年   月    日                日期：2022 年   月    日         </w:t>
      </w:r>
    </w:p>
    <w:p>
      <w:pPr>
        <w:tabs>
          <w:tab w:val="left" w:pos="4860"/>
        </w:tabs>
        <w:spacing w:line="500" w:lineRule="exact"/>
        <w:rPr>
          <w:color w:val="000000"/>
          <w:sz w:val="24"/>
        </w:rPr>
      </w:pPr>
    </w:p>
    <w:p>
      <w:pPr>
        <w:pStyle w:val="40"/>
        <w:rPr>
          <w:color w:val="000000"/>
          <w:sz w:val="24"/>
        </w:rPr>
      </w:pPr>
    </w:p>
    <w:p>
      <w:pPr>
        <w:spacing w:line="240" w:lineRule="auto"/>
        <w:rPr>
          <w:rFonts w:ascii="宋体"/>
          <w:color w:val="000000"/>
          <w:sz w:val="24"/>
        </w:rPr>
      </w:pPr>
      <w:r>
        <w:rPr>
          <w:color w:val="000000"/>
          <w:sz w:val="24"/>
        </w:rPr>
        <w:br w:type="page"/>
      </w:r>
    </w:p>
    <w:p>
      <w:pPr>
        <w:pStyle w:val="2"/>
        <w:rPr>
          <w:rFonts w:ascii="Times New Roman"/>
        </w:rPr>
      </w:pPr>
      <w:bookmarkStart w:id="31" w:name="_Hlk79957878"/>
      <w:r>
        <w:rPr>
          <w:rFonts w:hint="eastAsia" w:ascii="Times New Roman"/>
        </w:rPr>
        <w:t>附件</w:t>
      </w:r>
      <w:r>
        <w:rPr>
          <w:rFonts w:hint="eastAsia"/>
        </w:rPr>
        <w:t>一</w:t>
      </w:r>
      <w:r>
        <w:rPr>
          <w:rFonts w:hint="eastAsia" w:ascii="Times New Roman"/>
        </w:rPr>
        <w:t>：廉政责任书</w:t>
      </w:r>
    </w:p>
    <w:p>
      <w:pPr>
        <w:pStyle w:val="192"/>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ascii="宋体" w:hAnsi="宋体"/>
          <w:color w:val="000000"/>
          <w:sz w:val="24"/>
        </w:rPr>
        <w:t>发包人（甲方）：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服务</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w:t>
      </w:r>
      <w:r>
        <w:rPr>
          <w:rFonts w:hint="eastAsia" w:ascii="宋体" w:hAnsi="宋体"/>
          <w:color w:val="000000"/>
          <w:sz w:val="24"/>
          <w:lang w:eastAsia="zh-CN"/>
        </w:rPr>
        <w:t>采购报价</w:t>
      </w:r>
      <w:r>
        <w:rPr>
          <w:rFonts w:ascii="宋体" w:hAnsi="宋体"/>
          <w:color w:val="000000"/>
          <w:sz w:val="24"/>
        </w:rPr>
        <w:t>、工程建设、施工安装和市场活动等有关法律、法规，相关政策，以及廉政建设的各项规定。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发包人</w:t>
      </w:r>
      <w:r>
        <w:rPr>
          <w:rFonts w:hint="eastAsia" w:ascii="宋体" w:hAnsi="宋体"/>
          <w:color w:val="000000"/>
          <w:sz w:val="24"/>
          <w:lang w:eastAsia="zh-CN"/>
        </w:rPr>
        <w:t>（</w:t>
      </w:r>
      <w:r>
        <w:rPr>
          <w:rFonts w:hint="eastAsia" w:ascii="宋体" w:hAnsi="宋体"/>
          <w:color w:val="000000"/>
          <w:sz w:val="24"/>
          <w:lang w:val="en-US" w:eastAsia="zh-CN"/>
        </w:rPr>
        <w:t>甲方</w:t>
      </w:r>
      <w:r>
        <w:rPr>
          <w:rFonts w:hint="eastAsia" w:ascii="宋体" w:hAnsi="宋体"/>
          <w:color w:val="000000"/>
          <w:sz w:val="24"/>
          <w:lang w:eastAsia="zh-CN"/>
        </w:rPr>
        <w:t>）</w:t>
      </w:r>
      <w:r>
        <w:rPr>
          <w:rFonts w:ascii="宋体" w:hAnsi="宋体"/>
          <w:color w:val="000000"/>
          <w:sz w:val="24"/>
        </w:rPr>
        <w:t xml:space="preserve">：      （盖单位公章）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服务</w:t>
      </w:r>
      <w:r>
        <w:rPr>
          <w:rFonts w:ascii="宋体" w:hAnsi="宋体"/>
          <w:color w:val="000000"/>
          <w:sz w:val="24"/>
        </w:rPr>
        <w:t>人</w:t>
      </w:r>
      <w:r>
        <w:rPr>
          <w:rFonts w:hint="eastAsia" w:ascii="宋体" w:hAnsi="宋体"/>
          <w:color w:val="000000"/>
          <w:sz w:val="24"/>
          <w:lang w:eastAsia="zh-CN"/>
        </w:rPr>
        <w:t>（</w:t>
      </w:r>
      <w:r>
        <w:rPr>
          <w:rFonts w:hint="eastAsia" w:ascii="宋体" w:hAnsi="宋体"/>
          <w:color w:val="000000"/>
          <w:sz w:val="24"/>
          <w:lang w:val="en-US" w:eastAsia="zh-CN"/>
        </w:rPr>
        <w:t>乙方</w:t>
      </w:r>
      <w:r>
        <w:rPr>
          <w:rFonts w:hint="eastAsia" w:ascii="宋体" w:hAnsi="宋体"/>
          <w:color w:val="000000"/>
          <w:sz w:val="24"/>
          <w:lang w:eastAsia="zh-CN"/>
        </w:rPr>
        <w:t>）</w:t>
      </w:r>
      <w:r>
        <w:rPr>
          <w:rFonts w:ascii="宋体" w:hAnsi="宋体"/>
          <w:color w:val="000000"/>
          <w:sz w:val="24"/>
        </w:rPr>
        <w:t xml:space="preserve">：    （盖单位公章）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p>
    <w:p>
      <w:pPr>
        <w:spacing w:line="312" w:lineRule="auto"/>
        <w:ind w:firstLine="480" w:firstLineChars="200"/>
        <w:rPr>
          <w:rFonts w:hAnsi="宋体" w:cs="Times New Roman"/>
          <w:color w:val="000000"/>
        </w:rPr>
      </w:pPr>
      <w:r>
        <w:rPr>
          <w:rFonts w:ascii="宋体" w:hAnsi="宋体"/>
          <w:color w:val="000000"/>
          <w:sz w:val="24"/>
        </w:rPr>
        <w:t>法定代表人或其委托代理人</w:t>
      </w:r>
      <w:r>
        <w:rPr>
          <w:rFonts w:hint="eastAsia" w:ascii="宋体" w:hAnsi="宋体"/>
          <w:color w:val="000000"/>
          <w:sz w:val="24"/>
        </w:rPr>
        <w:t>:</w:t>
      </w:r>
      <w:r>
        <w:rPr>
          <w:rFonts w:ascii="宋体" w:hAnsi="宋体"/>
          <w:color w:val="000000"/>
          <w:sz w:val="24"/>
        </w:rPr>
        <w:t xml:space="preserve">（签字） </w:t>
      </w:r>
      <w:r>
        <w:rPr>
          <w:rFonts w:hint="eastAsia" w:ascii="宋体" w:hAnsi="宋体"/>
          <w:color w:val="000000"/>
          <w:sz w:val="24"/>
        </w:rPr>
        <w:t xml:space="preserve">   法</w:t>
      </w:r>
      <w:r>
        <w:rPr>
          <w:rFonts w:ascii="宋体" w:hAnsi="宋体"/>
          <w:color w:val="000000"/>
          <w:sz w:val="24"/>
        </w:rPr>
        <w:t xml:space="preserve">定代表人或其委托代理人：  （签字）  </w:t>
      </w:r>
      <w:bookmarkEnd w:id="31"/>
      <w:r>
        <w:rPr>
          <w:rFonts w:hAnsi="宋体" w:cs="Times New Roman"/>
          <w:color w:val="000000"/>
          <w:u w:val="single"/>
        </w:rPr>
        <w:t xml:space="preserve">  </w:t>
      </w:r>
    </w:p>
    <w:p>
      <w:pPr>
        <w:pStyle w:val="193"/>
        <w:autoSpaceDE/>
        <w:autoSpaceDN/>
        <w:adjustRightInd/>
        <w:spacing w:line="312" w:lineRule="auto"/>
        <w:ind w:firstLine="480" w:firstLineChars="200"/>
        <w:jc w:val="both"/>
        <w:rPr>
          <w:rFonts w:hAnsi="宋体" w:cs="Times New Roman"/>
          <w:color w:val="000000"/>
        </w:rPr>
      </w:pPr>
    </w:p>
    <w:p>
      <w:pPr>
        <w:pStyle w:val="40"/>
        <w:rPr>
          <w:rFonts w:ascii="黑体" w:hAnsi="黑体" w:eastAsia="黑体" w:cs="仿宋"/>
          <w:b/>
          <w:color w:val="000000"/>
          <w:sz w:val="36"/>
          <w:szCs w:val="36"/>
        </w:rPr>
      </w:pPr>
    </w:p>
    <w:p>
      <w:pPr>
        <w:pStyle w:val="2"/>
        <w:rPr>
          <w:color w:val="000000"/>
          <w:sz w:val="24"/>
        </w:rPr>
      </w:pPr>
      <w:r>
        <w:rPr>
          <w:rFonts w:hint="eastAsia" w:ascii="Times New Roman"/>
        </w:rPr>
        <w:t>附件二：安全协议</w:t>
      </w:r>
    </w:p>
    <w:p>
      <w:pPr>
        <w:pStyle w:val="4"/>
        <w:jc w:val="center"/>
        <w:rPr>
          <w:rFonts w:ascii="黑体" w:hAnsi="黑体" w:eastAsia="黑体" w:cs="黑体"/>
          <w:sz w:val="40"/>
          <w:szCs w:val="40"/>
        </w:rPr>
      </w:pPr>
      <w:bookmarkStart w:id="32" w:name="_Toc18584"/>
      <w:r>
        <w:rPr>
          <w:rFonts w:hint="eastAsia" w:ascii="黑体" w:hAnsi="黑体" w:eastAsia="黑体" w:cs="黑体"/>
          <w:sz w:val="40"/>
          <w:szCs w:val="40"/>
        </w:rPr>
        <w:t>安全协议</w:t>
      </w:r>
      <w:bookmarkEnd w:id="32"/>
    </w:p>
    <w:p>
      <w:pPr>
        <w:adjustRightInd w:val="0"/>
        <w:spacing w:line="360" w:lineRule="auto"/>
        <w:ind w:firstLine="480" w:firstLineChars="200"/>
        <w:textAlignment w:val="baseline"/>
        <w:rPr>
          <w:rFonts w:ascii="宋体" w:hAnsi="宋体" w:cs="宋体"/>
          <w:kern w:val="0"/>
          <w:sz w:val="24"/>
          <w:u w:val="single"/>
        </w:rPr>
      </w:pPr>
      <w:r>
        <w:rPr>
          <w:rFonts w:hint="eastAsia" w:ascii="宋体" w:hAnsi="宋体" w:cs="宋体"/>
          <w:kern w:val="0"/>
          <w:sz w:val="24"/>
        </w:rPr>
        <w:t>甲方（发包方）：</w:t>
      </w:r>
      <w:r>
        <w:rPr>
          <w:rFonts w:hint="eastAsia" w:ascii="宋体" w:hAnsi="宋体" w:cs="宋体"/>
          <w:kern w:val="0"/>
          <w:sz w:val="24"/>
          <w:u w:val="single"/>
        </w:rPr>
        <w:t xml:space="preserve"> </w:t>
      </w:r>
      <w:r>
        <w:rPr>
          <w:rFonts w:hint="eastAsia" w:asciiTheme="minorEastAsia" w:hAnsiTheme="minorEastAsia" w:eastAsiaTheme="minorEastAsia"/>
          <w:snapToGrid w:val="0"/>
          <w:sz w:val="24"/>
          <w:u w:val="single"/>
        </w:rPr>
        <w:t>湖南省港务集团有限公司</w:t>
      </w:r>
      <w:r>
        <w:rPr>
          <w:rFonts w:hint="eastAsia" w:ascii="宋体" w:hAnsi="宋体" w:cs="宋体"/>
          <w:kern w:val="0"/>
          <w:sz w:val="24"/>
          <w:u w:val="single"/>
        </w:rPr>
        <w:t xml:space="preserve">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乙方（承包方）：</w:t>
      </w:r>
      <w:r>
        <w:rPr>
          <w:rFonts w:hint="eastAsia" w:ascii="宋体" w:hAnsi="宋体" w:cs="宋体"/>
          <w:kern w:val="0"/>
          <w:sz w:val="24"/>
          <w:u w:val="single"/>
        </w:rPr>
        <w:t xml:space="preserve">                     </w:t>
      </w:r>
      <w:r>
        <w:rPr>
          <w:rFonts w:ascii="宋体" w:hAnsi="宋体"/>
          <w:bCs/>
          <w:sz w:val="24"/>
          <w:u w:val="single"/>
        </w:rPr>
        <w:t xml:space="preserve">    </w:t>
      </w:r>
      <w:r>
        <w:rPr>
          <w:rFonts w:hint="eastAsia" w:ascii="宋体" w:hAnsi="宋体" w:cs="宋体"/>
          <w:bCs/>
          <w:kern w:val="0"/>
          <w:sz w:val="24"/>
          <w:u w:val="single"/>
        </w:rPr>
        <w:t xml:space="preserve">  </w:t>
      </w:r>
      <w:r>
        <w:rPr>
          <w:rFonts w:hint="eastAsia" w:ascii="宋体" w:hAnsi="宋体" w:cs="宋体"/>
          <w:kern w:val="0"/>
          <w:sz w:val="24"/>
        </w:rPr>
        <w:t xml:space="preserve">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 产事项，经协商一致，签订本合同。</w:t>
      </w:r>
    </w:p>
    <w:p>
      <w:pPr>
        <w:adjustRightInd w:val="0"/>
        <w:spacing w:line="360" w:lineRule="auto"/>
        <w:ind w:firstLine="480" w:firstLineChars="200"/>
        <w:textAlignment w:val="baseline"/>
        <w:rPr>
          <w:rFonts w:ascii="宋体" w:hAnsi="宋体" w:cs="宋体"/>
          <w:kern w:val="0"/>
          <w:sz w:val="24"/>
          <w:u w:val="single"/>
        </w:rPr>
      </w:pPr>
      <w:r>
        <w:rPr>
          <w:rFonts w:hint="eastAsia" w:ascii="宋体" w:hAnsi="宋体" w:cs="宋体"/>
          <w:kern w:val="0"/>
          <w:sz w:val="24"/>
        </w:rPr>
        <w:t xml:space="preserve">项目名称：  </w:t>
      </w:r>
      <w:r>
        <w:rPr>
          <w:rFonts w:hint="eastAsia"/>
          <w:color w:val="000000"/>
          <w:sz w:val="24"/>
          <w:u w:val="single"/>
        </w:rPr>
        <w:t>岳阳铁水集运煤炭码头一期工程竣工环保验收调查报告、突发环境事件应急预案和排污许可服务</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第二条　本合同内容只涉及甲乙双方在本项目中关于安全生产的权利和责任。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第三条　甲方的权利：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（一）有权要求乙方建立安全组织机构或指定专人，负责现场安全监护。严格执行安全生产法律、法规、条例、标准，遵守甲方的安全生产规章制度等。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（二）有权按规定对乙方安全业绩、资质进行审查，对乙方针对作业项目制定的职业健康安全、环境项目进行审查。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（三）有权要求乙方维护好相关的甲方的安全生产设施、设备和器材。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（四）有权要求乙方对进入甲方现场作业前所有作业人员进行安全培训与教育。</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（五）有权对乙方的作业现场的安全作业情况进行监督检查，有权对乙方不符合安全生产要求的行为进行纠正、处罚、制止、停止作业、直至清退出场。</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（六）有权要求乙方对其所有作业人员进行购买工伤保险和意外伤害保险。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发生事故后、有权根据有关规定参与事故的调查。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第四条　甲方的责任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（一）认真贯彻落实国家有关法律、法规、标准及甲方公司安全生产规章制度。</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（二）向乙方明确作业区的范围、危险源。</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（三）为乙方提供项目合同中规定的安全作业条件。</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（四）发生事故后积极协助抢险，防止事故扩大，并按照甲方公司有关规定进行报告。</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第五条　乙方的权利</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（一）有权对甲方的安全工作提出合理化建议和改进意见。</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（二）日常作业中，若甲方违章指挥、强令乙方冒险作业，有权拒绝执行。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（三）有权要求甲方提供符合安全作业的工艺条件和环境。</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（四）发生严重危及乙方生命安全的紧急情况时，乙方有权采取必要的避险措施。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第六条　乙方的责任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（二）健全安全组织机构，建立安全生产责任制，制定健全的安全生产规章制度，制定生产安全事故应急求援预案，配备必要的安全生产管理人员和劳动保护用品，严格执行甲方相关的规章制度。</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（三）应对作业人员进行作业前安全教育培训，使其具备相应的安全意识和安全技能。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（四）不得使用不符合国家、行业标准和甲方规定的原材料、设备、装置、防护用品、器材、安全检测仪器等。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（五）指定专人负责现场安全监督检查工作，认真开展安全检查，发现作业过程中不安全行为和隐患、应采取有效措施积极处理。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（六）乙方有责任对作业区域的安全生产条件进行详细了解。</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（七）乙方在作业过程中有属于危及安全生产的关键作业时，应提出切实可行的方案，经甲方同意后，方可实施。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（八）乙方不能将项目转包给第三方。</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（九）乙方在施工期间只能在甲方规定的路线进出公司，只能在规定的施工区域内作业，禁止私自进入甲方其它生产区域。</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（十）乙方应服从甲方单位的安全管理。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（十一）发生事故时，应积极抢险，避免事故的进一步扩大，并按照国家相关要求报告事故。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第七条  违约责任及处理</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（一）甲乙双方违反本合同要求，未造成事故时，依据相关合同对违约者进行处理（包括但不限于支付违约金、赔偿损失等）。</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（二）发生事故时，甲、乙双方有抢险、救灾的责任，所发生的费用由责任方承担。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（三）发生的事故，应经事故调查确认责任；事故报告和调查应按照国家和甲方有关规定进行。           </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（四）甲方违约造成的事故，甲方承担全部责任，并按规定追究有关人员责任及上报。</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（五）乙方违约造成的事故，乙方承担全部责任，并按规定追究有关人员责任并报告甲方；由于乙方工程质量、检修质量及购买的原材料导致的事故，由乙方承担全部责任。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（六）甲、乙双方共同造成的事故，按双方责任大小承担相应责任，并按规定追究有关人员责任。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（七）对乙方发生事故后弄虚作假、隐瞒不报、迟报或谎报，一经查出，按有关规定从重处罚，情节严重的，甲方有权向当地政府安全生产监督管理部门报告，并取消其进入甲方市场资格。</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（八）施工期间，需要办理的有关安全的批文或其它手续，乙方必须办理齐全，否则发生安全事故由乙方承担全部责任。</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第八条　由于不可抗力造成合同项目施工作业事故及生产的损失，当事人双方各自承担相应的损失。</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第九条　甲乙双方的施工作业人员和机具设备的保险，由甲乙双方依据国家相关规定或约定各自承担。</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第十条  本合同履行过程中发生争议纠纷，应通过友好协商方式解决，如协商不成，按双方在项目合同中约定的管辖地和纠纷解决的方式执行。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第十一条　本合同是项目经济合同的附件，与项目经济合同具有同等法律效力。本合同与项目经济合同同时生效、终止。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第十二条  乙方施工期间指定现场安全监护人员，并书面告知甲方。</w:t>
      </w:r>
    </w:p>
    <w:p>
      <w:pPr>
        <w:adjustRightInd w:val="0"/>
        <w:spacing w:line="360" w:lineRule="auto"/>
        <w:ind w:firstLine="480" w:firstLineChars="200"/>
        <w:textAlignment w:val="baseline"/>
        <w:rPr>
          <w:rFonts w:ascii="宋体" w:hAnsi="宋体" w:cs="宋体"/>
          <w:spacing w:val="20"/>
          <w:w w:val="90"/>
          <w:sz w:val="24"/>
        </w:rPr>
      </w:pPr>
      <w:r>
        <w:rPr>
          <w:rFonts w:hint="eastAsia" w:ascii="宋体" w:hAnsi="宋体" w:cs="宋体"/>
          <w:kern w:val="0"/>
          <w:sz w:val="24"/>
        </w:rPr>
        <w:t>第十三条　本合同经双方签字或盖章后生效。本合同壹式肆份，双方各持贰份。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甲方（盖章）：               </w:t>
      </w:r>
      <w:r>
        <w:rPr>
          <w:rFonts w:hint="eastAsia" w:cs="宋体"/>
          <w:kern w:val="0"/>
          <w:sz w:val="24"/>
        </w:rPr>
        <w:t xml:space="preserve">    </w:t>
      </w:r>
      <w:r>
        <w:rPr>
          <w:rFonts w:hint="eastAsia" w:ascii="宋体" w:hAnsi="宋体" w:cs="宋体"/>
          <w:kern w:val="0"/>
          <w:sz w:val="24"/>
        </w:rPr>
        <w:t xml:space="preserve"> 乙方（盖章）： </w:t>
      </w: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甲方法定代表人：              </w:t>
      </w:r>
      <w:r>
        <w:rPr>
          <w:rFonts w:hint="eastAsia" w:cs="宋体"/>
          <w:kern w:val="0"/>
          <w:sz w:val="24"/>
        </w:rPr>
        <w:t xml:space="preserve">    </w:t>
      </w:r>
      <w:r>
        <w:rPr>
          <w:rFonts w:hint="eastAsia" w:ascii="宋体" w:hAnsi="宋体" w:cs="宋体"/>
          <w:kern w:val="0"/>
          <w:sz w:val="24"/>
        </w:rPr>
        <w:t>乙方法定代表人：</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 xml:space="preserve">或其委托代理人 ：             </w:t>
      </w:r>
      <w:r>
        <w:rPr>
          <w:rFonts w:hint="eastAsia" w:cs="宋体"/>
          <w:kern w:val="0"/>
          <w:sz w:val="24"/>
        </w:rPr>
        <w:t xml:space="preserve">    </w:t>
      </w:r>
      <w:r>
        <w:rPr>
          <w:rFonts w:hint="eastAsia" w:ascii="宋体" w:hAnsi="宋体" w:cs="宋体"/>
          <w:kern w:val="0"/>
          <w:sz w:val="24"/>
        </w:rPr>
        <w:t xml:space="preserve">或其委托代理人 ：          </w:t>
      </w:r>
    </w:p>
    <w:p>
      <w:pPr>
        <w:adjustRightInd w:val="0"/>
        <w:spacing w:line="360" w:lineRule="auto"/>
        <w:ind w:firstLine="480" w:firstLineChars="200"/>
        <w:textAlignment w:val="baseline"/>
        <w:rPr>
          <w:rFonts w:ascii="宋体" w:hAnsi="宋体" w:cs="宋体"/>
          <w:kern w:val="0"/>
          <w:sz w:val="24"/>
        </w:rPr>
      </w:pPr>
    </w:p>
    <w:p>
      <w:pPr>
        <w:adjustRightInd w:val="0"/>
        <w:spacing w:line="360" w:lineRule="auto"/>
        <w:ind w:firstLine="480" w:firstLineChars="200"/>
        <w:textAlignment w:val="baseline"/>
      </w:pPr>
      <w:r>
        <w:rPr>
          <w:rFonts w:hint="eastAsia" w:ascii="宋体" w:hAnsi="宋体" w:cs="宋体"/>
          <w:kern w:val="0"/>
          <w:sz w:val="24"/>
        </w:rPr>
        <w:t xml:space="preserve">会签地址：湖南岳阳市           </w:t>
      </w:r>
      <w:r>
        <w:rPr>
          <w:rFonts w:hint="eastAsia" w:cs="宋体"/>
          <w:kern w:val="0"/>
          <w:sz w:val="24"/>
        </w:rPr>
        <w:t xml:space="preserve">   </w:t>
      </w:r>
      <w:r>
        <w:rPr>
          <w:rFonts w:hint="eastAsia" w:ascii="宋体" w:hAnsi="宋体" w:cs="宋体"/>
          <w:kern w:val="0"/>
          <w:sz w:val="24"/>
        </w:rPr>
        <w:t xml:space="preserve">日期：2021年   月   </w:t>
      </w:r>
      <w:r>
        <w:rPr>
          <w:rFonts w:hint="eastAsia" w:cs="宋体"/>
          <w:kern w:val="0"/>
          <w:sz w:val="24"/>
        </w:rPr>
        <w:t xml:space="preserve"> 日</w:t>
      </w:r>
    </w:p>
    <w:p>
      <w:pPr>
        <w:tabs>
          <w:tab w:val="left" w:pos="4860"/>
        </w:tabs>
        <w:spacing w:line="500" w:lineRule="exact"/>
        <w:rPr>
          <w:color w:val="000000"/>
          <w:sz w:val="24"/>
        </w:rPr>
      </w:pPr>
      <w:r>
        <w:rPr>
          <w:rFonts w:hint="eastAsia"/>
          <w:color w:val="000000"/>
          <w:sz w:val="24"/>
        </w:rPr>
        <w:t xml:space="preserve">                                         </w:t>
      </w:r>
    </w:p>
    <w:p>
      <w:pPr>
        <w:spacing w:line="312" w:lineRule="auto"/>
        <w:ind w:firstLine="544" w:firstLineChars="227"/>
        <w:jc w:val="both"/>
        <w:rPr>
          <w:rFonts w:cs="仿宋" w:asciiTheme="minorEastAsia" w:hAnsiTheme="minorEastAsia" w:eastAsiaTheme="minorEastAsia"/>
          <w:sz w:val="24"/>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both"/>
        <w:rPr>
          <w:rFonts w:ascii="黑体" w:hAnsi="黑体" w:eastAsia="黑体" w:cs="仿宋"/>
          <w:b/>
          <w:color w:val="000000"/>
          <w:sz w:val="36"/>
          <w:szCs w:val="36"/>
          <w:highlight w:val="yellow"/>
        </w:rPr>
      </w:pPr>
    </w:p>
    <w:p>
      <w:pPr>
        <w:spacing w:line="600" w:lineRule="exact"/>
        <w:jc w:val="center"/>
        <w:outlineLvl w:val="0"/>
        <w:rPr>
          <w:rFonts w:ascii="黑体" w:hAnsi="黑体" w:eastAsia="黑体" w:cs="仿宋"/>
          <w:b/>
          <w:color w:val="000000"/>
          <w:sz w:val="36"/>
          <w:szCs w:val="36"/>
          <w:highlight w:val="none"/>
        </w:rPr>
      </w:pPr>
      <w:bookmarkStart w:id="33" w:name="_Toc12283"/>
      <w:r>
        <w:rPr>
          <w:rFonts w:hint="eastAsia" w:ascii="黑体" w:hAnsi="黑体" w:eastAsia="黑体" w:cs="仿宋"/>
          <w:b/>
          <w:color w:val="000000"/>
          <w:sz w:val="36"/>
          <w:szCs w:val="36"/>
          <w:highlight w:val="none"/>
        </w:rPr>
        <w:t>第五章  采购需求</w:t>
      </w:r>
      <w:bookmarkEnd w:id="33"/>
    </w:p>
    <w:p>
      <w:pPr>
        <w:adjustRightInd w:val="0"/>
        <w:snapToGrid w:val="0"/>
        <w:spacing w:line="312" w:lineRule="auto"/>
        <w:rPr>
          <w:rFonts w:ascii="宋体" w:hAnsi="宋体"/>
          <w:b/>
          <w:sz w:val="24"/>
          <w:highlight w:val="none"/>
        </w:rPr>
      </w:pPr>
      <w:r>
        <w:rPr>
          <w:rFonts w:hint="eastAsia" w:ascii="宋体" w:hAnsi="宋体"/>
          <w:b/>
          <w:sz w:val="24"/>
          <w:highlight w:val="none"/>
        </w:rPr>
        <w:t xml:space="preserve"> </w:t>
      </w:r>
    </w:p>
    <w:p>
      <w:pPr>
        <w:ind w:firstLine="562" w:firstLineChars="200"/>
        <w:rPr>
          <w:rFonts w:ascii="宋体" w:hAnsi="宋体" w:cs="宋体"/>
          <w:b/>
          <w:bCs/>
          <w:sz w:val="28"/>
          <w:szCs w:val="28"/>
          <w:highlight w:val="none"/>
        </w:rPr>
      </w:pPr>
      <w:r>
        <w:rPr>
          <w:rFonts w:hint="eastAsia" w:ascii="宋体" w:hAnsi="宋体" w:cs="宋体"/>
          <w:b/>
          <w:bCs/>
          <w:sz w:val="28"/>
          <w:szCs w:val="28"/>
          <w:highlight w:val="none"/>
        </w:rPr>
        <w:t>一、工程名称</w:t>
      </w:r>
    </w:p>
    <w:p>
      <w:pPr>
        <w:ind w:firstLine="480" w:firstLineChars="200"/>
        <w:rPr>
          <w:rFonts w:ascii="宋体" w:hAnsi="宋体" w:cs="宋体"/>
          <w:b/>
          <w:sz w:val="28"/>
          <w:szCs w:val="28"/>
          <w:highlight w:val="none"/>
        </w:rPr>
      </w:pPr>
      <w:r>
        <w:rPr>
          <w:rFonts w:hint="eastAsia" w:ascii="宋体" w:hAnsi="宋体"/>
          <w:color w:val="000000"/>
          <w:sz w:val="24"/>
          <w:highlight w:val="none"/>
        </w:rPr>
        <w:t>岳阳铁水集运煤炭码头一期工程</w:t>
      </w:r>
    </w:p>
    <w:p>
      <w:pPr>
        <w:ind w:firstLine="562" w:firstLineChars="200"/>
        <w:rPr>
          <w:rFonts w:ascii="宋体" w:hAnsi="宋体" w:cs="宋体"/>
          <w:b/>
          <w:sz w:val="28"/>
          <w:szCs w:val="28"/>
          <w:highlight w:val="none"/>
        </w:rPr>
      </w:pPr>
      <w:r>
        <w:rPr>
          <w:rFonts w:hint="eastAsia" w:ascii="宋体" w:hAnsi="宋体" w:cs="宋体"/>
          <w:b/>
          <w:sz w:val="28"/>
          <w:szCs w:val="28"/>
          <w:highlight w:val="none"/>
        </w:rPr>
        <w:t>二、工程地点</w:t>
      </w:r>
    </w:p>
    <w:p>
      <w:pPr>
        <w:spacing w:line="312" w:lineRule="auto"/>
        <w:ind w:firstLine="480" w:firstLineChars="200"/>
        <w:rPr>
          <w:highlight w:val="none"/>
        </w:rPr>
      </w:pPr>
      <w:r>
        <w:rPr>
          <w:rFonts w:hint="eastAsia" w:ascii="宋体" w:hAnsi="宋体"/>
          <w:sz w:val="24"/>
          <w:highlight w:val="none"/>
        </w:rPr>
        <w:t>岳阳市云溪区荆岳长江大桥下游约5千米处南洋洲右岸。</w:t>
      </w:r>
    </w:p>
    <w:p>
      <w:pPr>
        <w:numPr>
          <w:ilvl w:val="0"/>
          <w:numId w:val="2"/>
        </w:numPr>
        <w:spacing w:line="520" w:lineRule="exact"/>
        <w:ind w:firstLine="562"/>
        <w:rPr>
          <w:rFonts w:ascii="宋体" w:hAnsi="宋体" w:cs="宋体"/>
          <w:b/>
          <w:bCs/>
          <w:sz w:val="28"/>
          <w:szCs w:val="28"/>
          <w:highlight w:val="none"/>
        </w:rPr>
      </w:pPr>
      <w:r>
        <w:rPr>
          <w:rFonts w:hint="eastAsia" w:ascii="宋体" w:hAnsi="宋体" w:cs="宋体"/>
          <w:b/>
          <w:bCs/>
          <w:sz w:val="28"/>
          <w:szCs w:val="28"/>
          <w:highlight w:val="none"/>
        </w:rPr>
        <w:t>服务要求如下：</w:t>
      </w:r>
    </w:p>
    <w:p>
      <w:pPr>
        <w:spacing w:line="440" w:lineRule="exact"/>
        <w:ind w:firstLine="480" w:firstLineChars="20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报价人须按照法律法规及技术要求对本项目</w:t>
      </w:r>
      <w:r>
        <w:rPr>
          <w:rFonts w:hint="eastAsia"/>
          <w:sz w:val="24"/>
          <w:highlight w:val="none"/>
        </w:rPr>
        <w:t>编制环境保护设施验收评估报告和突发环境事件应急预案，并办理排污许可，</w:t>
      </w:r>
      <w:r>
        <w:rPr>
          <w:rFonts w:hint="eastAsia"/>
          <w:color w:val="000000" w:themeColor="text1"/>
          <w:sz w:val="24"/>
          <w:highlight w:val="none"/>
          <w14:textFill>
            <w14:solidFill>
              <w14:schemeClr w14:val="tx1"/>
            </w14:solidFill>
          </w14:textFill>
        </w:rPr>
        <w:t>完成项目</w:t>
      </w:r>
      <w:r>
        <w:rPr>
          <w:rFonts w:hint="eastAsia"/>
          <w:sz w:val="24"/>
          <w:highlight w:val="none"/>
        </w:rPr>
        <w:t>环境保护设施验收工作。</w:t>
      </w:r>
      <w:r>
        <w:rPr>
          <w:rFonts w:hint="eastAsia"/>
          <w:color w:val="000000" w:themeColor="text1"/>
          <w:sz w:val="24"/>
          <w:highlight w:val="none"/>
          <w14:textFill>
            <w14:solidFill>
              <w14:schemeClr w14:val="tx1"/>
            </w14:solidFill>
          </w14:textFill>
        </w:rPr>
        <w:t>符合《中华人民共和国环境保护法》和《突发事件应急预案管理办法》的规定，相关报告必须通过专家评审，并获得由相关部门出具的相关文件。</w:t>
      </w:r>
    </w:p>
    <w:p>
      <w:pPr>
        <w:spacing w:line="312" w:lineRule="auto"/>
        <w:jc w:val="center"/>
        <w:outlineLvl w:val="0"/>
        <w:rPr>
          <w:rFonts w:ascii="黑体" w:hAnsi="黑体" w:eastAsia="黑体" w:cs="仿宋"/>
          <w:b/>
          <w:color w:val="000000"/>
          <w:sz w:val="36"/>
          <w:szCs w:val="36"/>
        </w:rPr>
      </w:pPr>
      <w:r>
        <w:rPr>
          <w:rFonts w:ascii="仿宋" w:hAnsi="仿宋" w:eastAsia="仿宋" w:cs="仿宋"/>
          <w:sz w:val="30"/>
          <w:szCs w:val="30"/>
          <w:highlight w:val="green"/>
        </w:rPr>
        <w:br w:type="page"/>
      </w:r>
      <w:bookmarkStart w:id="34" w:name="_Toc362"/>
      <w:r>
        <w:rPr>
          <w:rFonts w:hint="eastAsia" w:ascii="黑体" w:hAnsi="黑体" w:eastAsia="黑体" w:cs="仿宋"/>
          <w:b/>
          <w:color w:val="000000"/>
          <w:sz w:val="36"/>
          <w:szCs w:val="36"/>
        </w:rPr>
        <w:t>第六章  响应文件格式</w:t>
      </w:r>
      <w:bookmarkEnd w:id="34"/>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5" w:name="_Toc8712"/>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5"/>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6" w:name="_Toc15967"/>
      <w:r>
        <w:rPr>
          <w:rFonts w:hint="eastAsia" w:eastAsia="方正小标宋_GBK"/>
          <w:b/>
          <w:bCs/>
          <w:spacing w:val="160"/>
          <w:sz w:val="72"/>
          <w:szCs w:val="72"/>
        </w:rPr>
        <w:t>响应</w:t>
      </w:r>
      <w:r>
        <w:rPr>
          <w:rFonts w:eastAsia="方正小标宋_GBK"/>
          <w:b/>
          <w:bCs/>
          <w:spacing w:val="160"/>
          <w:sz w:val="72"/>
          <w:szCs w:val="72"/>
        </w:rPr>
        <w:t>文件</w:t>
      </w:r>
      <w:bookmarkEnd w:id="36"/>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7" w:name="_Toc3071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7"/>
      <w:r>
        <w:rPr>
          <w:rFonts w:eastAsia="黑体"/>
          <w:bCs/>
          <w:sz w:val="30"/>
          <w:szCs w:val="30"/>
          <w:u w:val="single"/>
        </w:rPr>
        <w:t xml:space="preserve"> </w:t>
      </w:r>
    </w:p>
    <w:p>
      <w:pPr>
        <w:spacing w:line="900" w:lineRule="exact"/>
        <w:jc w:val="center"/>
        <w:outlineLvl w:val="0"/>
        <w:rPr>
          <w:rFonts w:eastAsia="黑体"/>
          <w:sz w:val="30"/>
          <w:szCs w:val="30"/>
        </w:rPr>
      </w:pPr>
      <w:bookmarkStart w:id="38" w:name="_Toc17345"/>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8"/>
    </w:p>
    <w:p>
      <w:pPr>
        <w:adjustRightInd w:val="0"/>
        <w:snapToGrid w:val="0"/>
        <w:spacing w:line="600" w:lineRule="exact"/>
        <w:jc w:val="center"/>
        <w:outlineLvl w:val="0"/>
        <w:rPr>
          <w:rFonts w:ascii="黑体" w:hAnsi="黑体" w:eastAsia="黑体" w:cs="仿宋"/>
          <w:sz w:val="36"/>
          <w:szCs w:val="36"/>
        </w:rPr>
      </w:pPr>
      <w:bookmarkStart w:id="39" w:name="_Toc18776"/>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9"/>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40" w:name="_Toc17839"/>
      <w:r>
        <w:rPr>
          <w:rFonts w:hint="eastAsia" w:ascii="宋体" w:hAnsi="宋体" w:cs="仿宋"/>
          <w:sz w:val="24"/>
        </w:rPr>
        <w:t>一、响应函</w:t>
      </w:r>
      <w:bookmarkEnd w:id="40"/>
    </w:p>
    <w:p>
      <w:pPr>
        <w:adjustRightInd w:val="0"/>
        <w:snapToGrid w:val="0"/>
        <w:spacing w:line="600" w:lineRule="exact"/>
        <w:jc w:val="both"/>
        <w:outlineLvl w:val="0"/>
        <w:rPr>
          <w:rFonts w:ascii="宋体" w:hAnsi="宋体" w:cs="仿宋"/>
          <w:sz w:val="24"/>
        </w:rPr>
      </w:pPr>
      <w:bookmarkStart w:id="41" w:name="_Toc4485"/>
      <w:r>
        <w:rPr>
          <w:rFonts w:hint="eastAsia" w:ascii="宋体" w:hAnsi="宋体" w:cs="仿宋"/>
          <w:sz w:val="24"/>
        </w:rPr>
        <w:t>二、授权委托书(适用于有委托代理人的情况)</w:t>
      </w:r>
      <w:bookmarkEnd w:id="41"/>
    </w:p>
    <w:p>
      <w:pPr>
        <w:adjustRightInd w:val="0"/>
        <w:snapToGrid w:val="0"/>
        <w:spacing w:line="600" w:lineRule="exact"/>
        <w:jc w:val="both"/>
        <w:outlineLvl w:val="0"/>
        <w:rPr>
          <w:rFonts w:ascii="宋体" w:hAnsi="宋体" w:cs="仿宋"/>
          <w:sz w:val="24"/>
        </w:rPr>
      </w:pPr>
      <w:bookmarkStart w:id="42" w:name="_Toc29409"/>
      <w:r>
        <w:rPr>
          <w:rFonts w:hint="eastAsia" w:ascii="宋体" w:hAnsi="宋体" w:cs="仿宋"/>
          <w:sz w:val="24"/>
        </w:rPr>
        <w:t>三、商务和技术偏差表</w:t>
      </w:r>
      <w:bookmarkEnd w:id="42"/>
    </w:p>
    <w:p>
      <w:pPr>
        <w:adjustRightInd w:val="0"/>
        <w:snapToGrid w:val="0"/>
        <w:spacing w:line="600" w:lineRule="exact"/>
        <w:jc w:val="both"/>
        <w:outlineLvl w:val="0"/>
        <w:rPr>
          <w:rFonts w:ascii="宋体" w:hAnsi="宋体" w:cs="仿宋"/>
          <w:sz w:val="24"/>
        </w:rPr>
      </w:pPr>
      <w:bookmarkStart w:id="43" w:name="_Toc10723"/>
      <w:r>
        <w:rPr>
          <w:rFonts w:hint="eastAsia" w:ascii="宋体" w:hAnsi="宋体" w:cs="仿宋"/>
          <w:sz w:val="24"/>
        </w:rPr>
        <w:t>四、报价表</w:t>
      </w:r>
      <w:bookmarkEnd w:id="43"/>
    </w:p>
    <w:p>
      <w:pPr>
        <w:adjustRightInd w:val="0"/>
        <w:snapToGrid w:val="0"/>
        <w:spacing w:line="600" w:lineRule="exact"/>
        <w:jc w:val="both"/>
        <w:outlineLvl w:val="0"/>
        <w:rPr>
          <w:rFonts w:ascii="宋体" w:hAnsi="宋体" w:cs="仿宋"/>
          <w:sz w:val="24"/>
        </w:rPr>
      </w:pPr>
      <w:bookmarkStart w:id="44" w:name="_Toc13969"/>
      <w:r>
        <w:rPr>
          <w:rFonts w:hint="eastAsia" w:ascii="宋体" w:hAnsi="宋体" w:cs="仿宋"/>
          <w:sz w:val="24"/>
        </w:rPr>
        <w:t>五、资格审查资料</w:t>
      </w:r>
      <w:bookmarkEnd w:id="44"/>
    </w:p>
    <w:p>
      <w:pPr>
        <w:adjustRightInd w:val="0"/>
        <w:snapToGrid w:val="0"/>
        <w:spacing w:line="600" w:lineRule="exact"/>
        <w:jc w:val="both"/>
        <w:outlineLvl w:val="0"/>
        <w:rPr>
          <w:rFonts w:ascii="宋体" w:hAnsi="宋体" w:cs="仿宋"/>
          <w:sz w:val="24"/>
        </w:rPr>
      </w:pPr>
      <w:bookmarkStart w:id="45" w:name="_Toc29338"/>
      <w:r>
        <w:rPr>
          <w:rFonts w:hint="eastAsia" w:ascii="宋体" w:hAnsi="宋体" w:cs="仿宋"/>
          <w:sz w:val="24"/>
        </w:rPr>
        <w:t>六、响应方案</w:t>
      </w:r>
      <w:bookmarkEnd w:id="45"/>
    </w:p>
    <w:p>
      <w:pPr>
        <w:adjustRightInd w:val="0"/>
        <w:snapToGrid w:val="0"/>
        <w:spacing w:line="600" w:lineRule="exact"/>
        <w:jc w:val="both"/>
        <w:outlineLvl w:val="0"/>
        <w:rPr>
          <w:rFonts w:ascii="宋体" w:hAnsi="宋体" w:cs="仿宋"/>
          <w:sz w:val="24"/>
        </w:rPr>
      </w:pPr>
      <w:bookmarkStart w:id="46" w:name="_Toc29364"/>
      <w:r>
        <w:rPr>
          <w:rFonts w:hint="eastAsia" w:ascii="宋体" w:hAnsi="宋体" w:cs="仿宋"/>
          <w:sz w:val="24"/>
        </w:rPr>
        <w:t>七、其他资料</w:t>
      </w:r>
      <w:bookmarkEnd w:id="46"/>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600" w:lineRule="exact"/>
        <w:jc w:val="center"/>
        <w:outlineLvl w:val="0"/>
        <w:rPr>
          <w:rFonts w:ascii="黑体" w:hAnsi="黑体" w:eastAsia="黑体" w:cs="仿宋"/>
          <w:sz w:val="36"/>
          <w:szCs w:val="36"/>
        </w:rPr>
      </w:pPr>
      <w:bookmarkStart w:id="47" w:name="_Toc1656"/>
      <w:r>
        <w:rPr>
          <w:rFonts w:hint="eastAsia" w:ascii="黑体" w:hAnsi="黑体" w:eastAsia="黑体" w:cs="仿宋"/>
          <w:sz w:val="36"/>
          <w:szCs w:val="36"/>
        </w:rPr>
        <w:t>响应函</w:t>
      </w:r>
      <w:bookmarkEnd w:id="47"/>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hint="eastAsia" w:cs="仿宋" w:asciiTheme="minorEastAsia" w:hAnsiTheme="minorEastAsia" w:eastAsiaTheme="minorEastAsia"/>
          <w:sz w:val="24"/>
          <w:u w:val="single"/>
        </w:rPr>
        <w:t>_</w:t>
      </w:r>
      <w:r>
        <w:rPr>
          <w:rFonts w:hint="eastAsia" w:cs="仿宋" w:asciiTheme="minorEastAsia" w:hAnsiTheme="minorEastAsia" w:eastAsiaTheme="minorEastAsia"/>
          <w:sz w:val="24"/>
          <w:u w:val="single"/>
          <w:lang w:val="en-US" w:eastAsia="zh-CN"/>
        </w:rPr>
        <w:t xml:space="preserve">    </w:t>
      </w:r>
      <w:r>
        <w:rPr>
          <w:rFonts w:hint="eastAsia" w:cs="仿宋" w:asciiTheme="minorEastAsia" w:hAnsiTheme="minorEastAsia" w:eastAsiaTheme="minorEastAsia"/>
          <w:sz w:val="24"/>
          <w:u w:val="single"/>
        </w:rPr>
        <w:t>_</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w:t>
      </w:r>
      <w:r>
        <w:rPr>
          <w:rFonts w:hint="eastAsia" w:cs="仿宋" w:asciiTheme="minorEastAsia" w:hAnsiTheme="minorEastAsia" w:eastAsiaTheme="minorEastAsia"/>
          <w:sz w:val="24"/>
          <w:lang w:val="en-US" w:eastAsia="zh-CN"/>
        </w:rPr>
        <w:t>一</w:t>
      </w:r>
      <w:r>
        <w:rPr>
          <w:rFonts w:hint="eastAsia" w:cs="仿宋" w:asciiTheme="minorEastAsia" w:hAnsiTheme="minorEastAsia" w:eastAsiaTheme="minorEastAsia"/>
          <w:sz w:val="24"/>
        </w:rPr>
        <w:t>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w:t>
      </w:r>
      <w:r>
        <w:rPr>
          <w:rFonts w:hint="eastAsia" w:cs="仿宋" w:asciiTheme="minorEastAsia" w:hAnsiTheme="minorEastAsia" w:eastAsiaTheme="minorEastAsia"/>
          <w:sz w:val="24"/>
          <w:lang w:eastAsia="zh-CN"/>
        </w:rPr>
        <w:t>报价</w:t>
      </w:r>
      <w:r>
        <w:rPr>
          <w:rFonts w:hint="eastAsia" w:cs="仿宋" w:asciiTheme="minorEastAsia" w:hAnsiTheme="minorEastAsia" w:eastAsiaTheme="minorEastAsia"/>
          <w:sz w:val="24"/>
        </w:rPr>
        <w:t>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8" w:name="_Toc15586"/>
      <w:r>
        <w:rPr>
          <w:rFonts w:hint="eastAsia" w:ascii="黑体" w:hAnsi="黑体" w:eastAsia="黑体" w:cs="仿宋"/>
          <w:sz w:val="36"/>
          <w:szCs w:val="36"/>
        </w:rPr>
        <w:t>二、授权委托书</w:t>
      </w:r>
      <w:bookmarkEnd w:id="48"/>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9" w:name="_Toc31405"/>
      <w:r>
        <w:rPr>
          <w:rFonts w:hint="eastAsia" w:ascii="黑体" w:hAnsi="黑体" w:eastAsia="黑体" w:cs="仿宋"/>
          <w:sz w:val="36"/>
          <w:szCs w:val="36"/>
        </w:rPr>
        <w:t>三、商务和技术偏差表</w:t>
      </w:r>
      <w:bookmarkEnd w:id="49"/>
    </w:p>
    <w:p>
      <w:pPr>
        <w:spacing w:line="600" w:lineRule="exact"/>
        <w:jc w:val="center"/>
        <w:rPr>
          <w:rFonts w:cs="仿宋" w:asciiTheme="minorEastAsia" w:hAnsiTheme="minorEastAsia" w:eastAsiaTheme="minorEastAsia"/>
          <w:sz w:val="24"/>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5"/>
        </w:numPr>
        <w:spacing w:line="600" w:lineRule="exact"/>
        <w:ind w:left="420"/>
        <w:jc w:val="center"/>
        <w:outlineLvl w:val="0"/>
        <w:rPr>
          <w:rFonts w:ascii="黑体" w:hAnsi="黑体" w:eastAsia="黑体" w:cs="仿宋"/>
          <w:sz w:val="36"/>
          <w:szCs w:val="36"/>
        </w:rPr>
      </w:pPr>
      <w:bookmarkStart w:id="50" w:name="_Toc15268"/>
      <w:r>
        <w:rPr>
          <w:rFonts w:hint="eastAsia" w:ascii="黑体" w:hAnsi="黑体" w:eastAsia="黑体" w:cs="仿宋"/>
          <w:sz w:val="36"/>
          <w:szCs w:val="36"/>
        </w:rPr>
        <w:t>报价表</w:t>
      </w:r>
      <w:bookmarkEnd w:id="50"/>
    </w:p>
    <w:p>
      <w:pPr>
        <w:pStyle w:val="6"/>
        <w:outlineLvl w:val="9"/>
      </w:pPr>
    </w:p>
    <w:tbl>
      <w:tblPr>
        <w:tblStyle w:val="41"/>
        <w:tblW w:w="8737" w:type="dxa"/>
        <w:jc w:val="center"/>
        <w:tblLayout w:type="fixed"/>
        <w:tblCellMar>
          <w:top w:w="0" w:type="dxa"/>
          <w:left w:w="0" w:type="dxa"/>
          <w:bottom w:w="0" w:type="dxa"/>
          <w:right w:w="0" w:type="dxa"/>
        </w:tblCellMar>
      </w:tblPr>
      <w:tblGrid>
        <w:gridCol w:w="337"/>
        <w:gridCol w:w="1692"/>
        <w:gridCol w:w="1869"/>
        <w:gridCol w:w="1108"/>
        <w:gridCol w:w="1128"/>
        <w:gridCol w:w="1355"/>
        <w:gridCol w:w="1248"/>
      </w:tblGrid>
      <w:tr>
        <w:tblPrEx>
          <w:tblCellMar>
            <w:top w:w="0" w:type="dxa"/>
            <w:left w:w="0" w:type="dxa"/>
            <w:bottom w:w="0" w:type="dxa"/>
            <w:right w:w="0" w:type="dxa"/>
          </w:tblCellMar>
        </w:tblPrEx>
        <w:trPr>
          <w:trHeight w:val="693" w:hRule="exact"/>
          <w:jc w:val="center"/>
        </w:trPr>
        <w:tc>
          <w:tcPr>
            <w:tcW w:w="2029" w:type="dxa"/>
            <w:gridSpan w:val="2"/>
            <w:vMerge w:val="restart"/>
            <w:tcBorders>
              <w:top w:val="double" w:color="auto" w:sz="4" w:space="0"/>
              <w:left w:val="doub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项目名称</w:t>
            </w:r>
          </w:p>
        </w:tc>
        <w:tc>
          <w:tcPr>
            <w:tcW w:w="1869" w:type="dxa"/>
            <w:vMerge w:val="restart"/>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r>
              <w:rPr>
                <w:rFonts w:hint="eastAsia" w:cs="宋体"/>
                <w:szCs w:val="21"/>
              </w:rPr>
              <w:t>项目特征描述</w:t>
            </w:r>
          </w:p>
        </w:tc>
        <w:tc>
          <w:tcPr>
            <w:tcW w:w="1108" w:type="dxa"/>
            <w:vMerge w:val="restart"/>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szCs w:val="21"/>
              </w:rPr>
              <w:t>数量（项）</w:t>
            </w:r>
          </w:p>
        </w:tc>
        <w:tc>
          <w:tcPr>
            <w:tcW w:w="2483" w:type="dxa"/>
            <w:gridSpan w:val="2"/>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金额（元）</w:t>
            </w:r>
          </w:p>
        </w:tc>
        <w:tc>
          <w:tcPr>
            <w:tcW w:w="1248" w:type="dxa"/>
            <w:vMerge w:val="restart"/>
            <w:tcBorders>
              <w:top w:val="doub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ind w:right="-20"/>
              <w:jc w:val="center"/>
              <w:rPr>
                <w:rFonts w:cs="宋体"/>
                <w:position w:val="-1"/>
                <w:szCs w:val="21"/>
              </w:rPr>
            </w:pPr>
            <w:r>
              <w:rPr>
                <w:rFonts w:hint="eastAsia" w:cs="宋体"/>
                <w:position w:val="-1"/>
                <w:szCs w:val="21"/>
              </w:rPr>
              <w:t>备注</w:t>
            </w:r>
          </w:p>
        </w:tc>
      </w:tr>
      <w:tr>
        <w:tblPrEx>
          <w:tblCellMar>
            <w:top w:w="0" w:type="dxa"/>
            <w:left w:w="0" w:type="dxa"/>
            <w:bottom w:w="0" w:type="dxa"/>
            <w:right w:w="0" w:type="dxa"/>
          </w:tblCellMar>
        </w:tblPrEx>
        <w:trPr>
          <w:trHeight w:val="693" w:hRule="exact"/>
          <w:jc w:val="center"/>
        </w:trPr>
        <w:tc>
          <w:tcPr>
            <w:tcW w:w="2029" w:type="dxa"/>
            <w:gridSpan w:val="2"/>
            <w:vMerge w:val="continue"/>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spacing w:line="360" w:lineRule="auto"/>
              <w:ind w:left="352" w:right="-20"/>
              <w:jc w:val="center"/>
              <w:rPr>
                <w:rFonts w:cs="宋体"/>
                <w:szCs w:val="21"/>
              </w:rPr>
            </w:pP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20"/>
              <w:jc w:val="center"/>
              <w:rPr>
                <w:rFonts w:cs="宋体"/>
                <w:szCs w:val="21"/>
              </w:rPr>
            </w:pPr>
            <w:r>
              <w:rPr>
                <w:rFonts w:hint="eastAsia" w:cs="宋体"/>
                <w:position w:val="-1"/>
                <w:szCs w:val="21"/>
              </w:rPr>
              <w:t>单价</w:t>
            </w: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70" w:right="-20"/>
              <w:jc w:val="center"/>
              <w:rPr>
                <w:rFonts w:cs="宋体"/>
                <w:szCs w:val="21"/>
              </w:rPr>
            </w:pPr>
            <w:r>
              <w:rPr>
                <w:rFonts w:hint="eastAsia" w:cs="宋体"/>
                <w:szCs w:val="21"/>
              </w:rPr>
              <w:t>小计</w:t>
            </w:r>
          </w:p>
        </w:tc>
        <w:tc>
          <w:tcPr>
            <w:tcW w:w="1248" w:type="dxa"/>
            <w:vMerge w:val="continue"/>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ind w:left="422" w:right="-20"/>
              <w:jc w:val="center"/>
              <w:rPr>
                <w:rFonts w:cs="宋体"/>
                <w:szCs w:val="21"/>
              </w:rPr>
            </w:pPr>
          </w:p>
        </w:tc>
      </w:tr>
      <w:tr>
        <w:tblPrEx>
          <w:tblCellMar>
            <w:top w:w="0" w:type="dxa"/>
            <w:left w:w="0" w:type="dxa"/>
            <w:bottom w:w="0" w:type="dxa"/>
            <w:right w:w="0" w:type="dxa"/>
          </w:tblCellMar>
        </w:tblPrEx>
        <w:trPr>
          <w:trHeight w:val="761" w:hRule="exact"/>
          <w:jc w:val="center"/>
        </w:trPr>
        <w:tc>
          <w:tcPr>
            <w:tcW w:w="337" w:type="dxa"/>
            <w:tcBorders>
              <w:top w:val="single" w:color="auto" w:sz="4" w:space="0"/>
              <w:left w:val="double" w:color="auto" w:sz="4" w:space="0"/>
              <w:bottom w:val="single" w:color="auto" w:sz="4" w:space="0"/>
              <w:right w:val="single" w:color="auto" w:sz="4" w:space="0"/>
            </w:tcBorders>
            <w:vAlign w:val="center"/>
          </w:tcPr>
          <w:p>
            <w:pPr>
              <w:jc w:val="center"/>
              <w:rPr>
                <w:rFonts w:cs="宋体"/>
                <w:szCs w:val="21"/>
              </w:rPr>
            </w:pPr>
            <w:r>
              <w:rPr>
                <w:rFonts w:hint="eastAsia" w:cs="宋体"/>
                <w:szCs w:val="21"/>
              </w:rPr>
              <w:t>1</w:t>
            </w:r>
          </w:p>
        </w:tc>
        <w:tc>
          <w:tcPr>
            <w:tcW w:w="16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szCs w:val="21"/>
              </w:rPr>
              <w:t>竣工环保验收调查报告编制</w:t>
            </w:r>
          </w:p>
        </w:tc>
        <w:tc>
          <w:tcPr>
            <w:tcW w:w="1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szCs w:val="21"/>
              </w:rPr>
              <w:t>1</w:t>
            </w:r>
          </w:p>
        </w:tc>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248"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jc w:val="center"/>
              <w:rPr>
                <w:rFonts w:cs="宋体"/>
                <w:szCs w:val="21"/>
              </w:rPr>
            </w:pPr>
          </w:p>
        </w:tc>
      </w:tr>
      <w:tr>
        <w:tblPrEx>
          <w:tblCellMar>
            <w:top w:w="0" w:type="dxa"/>
            <w:left w:w="0" w:type="dxa"/>
            <w:bottom w:w="0" w:type="dxa"/>
            <w:right w:w="0" w:type="dxa"/>
          </w:tblCellMar>
        </w:tblPrEx>
        <w:trPr>
          <w:trHeight w:val="693" w:hRule="exact"/>
          <w:jc w:val="center"/>
        </w:trPr>
        <w:tc>
          <w:tcPr>
            <w:tcW w:w="337" w:type="dxa"/>
            <w:tcBorders>
              <w:top w:val="single" w:color="auto" w:sz="4" w:space="0"/>
              <w:left w:val="double" w:color="auto" w:sz="4" w:space="0"/>
              <w:bottom w:val="single" w:color="auto" w:sz="4" w:space="0"/>
              <w:right w:val="single" w:color="auto" w:sz="4" w:space="0"/>
            </w:tcBorders>
            <w:vAlign w:val="center"/>
          </w:tcPr>
          <w:p>
            <w:pPr>
              <w:jc w:val="center"/>
              <w:rPr>
                <w:rFonts w:cs="宋体"/>
                <w:szCs w:val="21"/>
              </w:rPr>
            </w:pPr>
            <w:r>
              <w:rPr>
                <w:rFonts w:hint="eastAsia" w:cs="宋体"/>
                <w:szCs w:val="21"/>
              </w:rPr>
              <w:t>2</w:t>
            </w:r>
          </w:p>
        </w:tc>
        <w:tc>
          <w:tcPr>
            <w:tcW w:w="16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szCs w:val="21"/>
              </w:rPr>
              <w:t>突发环境事件应急预案</w:t>
            </w:r>
          </w:p>
        </w:tc>
        <w:tc>
          <w:tcPr>
            <w:tcW w:w="1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szCs w:val="21"/>
              </w:rPr>
              <w:t>1</w:t>
            </w:r>
          </w:p>
        </w:tc>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248"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jc w:val="center"/>
              <w:rPr>
                <w:rFonts w:cs="宋体"/>
                <w:szCs w:val="21"/>
              </w:rPr>
            </w:pPr>
          </w:p>
        </w:tc>
      </w:tr>
      <w:tr>
        <w:tblPrEx>
          <w:tblCellMar>
            <w:top w:w="0" w:type="dxa"/>
            <w:left w:w="0" w:type="dxa"/>
            <w:bottom w:w="0" w:type="dxa"/>
            <w:right w:w="0" w:type="dxa"/>
          </w:tblCellMar>
        </w:tblPrEx>
        <w:trPr>
          <w:trHeight w:val="693" w:hRule="exact"/>
          <w:jc w:val="center"/>
        </w:trPr>
        <w:tc>
          <w:tcPr>
            <w:tcW w:w="337" w:type="dxa"/>
            <w:tcBorders>
              <w:top w:val="single" w:color="auto" w:sz="4" w:space="0"/>
              <w:left w:val="double" w:color="auto" w:sz="4" w:space="0"/>
              <w:bottom w:val="single" w:color="auto" w:sz="4" w:space="0"/>
              <w:right w:val="single" w:color="auto" w:sz="4" w:space="0"/>
            </w:tcBorders>
            <w:vAlign w:val="center"/>
          </w:tcPr>
          <w:p>
            <w:pPr>
              <w:jc w:val="center"/>
              <w:rPr>
                <w:rFonts w:cs="宋体"/>
                <w:szCs w:val="21"/>
              </w:rPr>
            </w:pPr>
            <w:r>
              <w:rPr>
                <w:rFonts w:hint="eastAsia" w:cs="宋体"/>
                <w:szCs w:val="21"/>
              </w:rPr>
              <w:t>3</w:t>
            </w:r>
          </w:p>
        </w:tc>
        <w:tc>
          <w:tcPr>
            <w:tcW w:w="16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szCs w:val="21"/>
              </w:rPr>
              <w:t>排污许可证办理</w:t>
            </w:r>
          </w:p>
        </w:tc>
        <w:tc>
          <w:tcPr>
            <w:tcW w:w="1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r>
              <w:rPr>
                <w:rFonts w:hint="eastAsia" w:cs="宋体"/>
                <w:szCs w:val="21"/>
              </w:rPr>
              <w:t>1</w:t>
            </w:r>
          </w:p>
        </w:tc>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szCs w:val="21"/>
              </w:rPr>
            </w:pPr>
          </w:p>
        </w:tc>
        <w:tc>
          <w:tcPr>
            <w:tcW w:w="1248"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spacing w:line="360" w:lineRule="auto"/>
              <w:jc w:val="center"/>
              <w:rPr>
                <w:rFonts w:cs="宋体"/>
                <w:szCs w:val="21"/>
              </w:rPr>
            </w:pPr>
          </w:p>
        </w:tc>
      </w:tr>
      <w:tr>
        <w:tblPrEx>
          <w:tblCellMar>
            <w:top w:w="0" w:type="dxa"/>
            <w:left w:w="0" w:type="dxa"/>
            <w:bottom w:w="0" w:type="dxa"/>
            <w:right w:w="0" w:type="dxa"/>
          </w:tblCellMar>
        </w:tblPrEx>
        <w:trPr>
          <w:trHeight w:val="743" w:hRule="exact"/>
          <w:jc w:val="center"/>
        </w:trPr>
        <w:tc>
          <w:tcPr>
            <w:tcW w:w="8737" w:type="dxa"/>
            <w:gridSpan w:val="7"/>
            <w:tcBorders>
              <w:top w:val="single" w:color="auto" w:sz="4" w:space="0"/>
              <w:left w:val="double" w:color="auto" w:sz="4" w:space="0"/>
              <w:bottom w:val="double" w:color="auto" w:sz="4" w:space="0"/>
              <w:right w:val="double" w:color="auto" w:sz="4" w:space="0"/>
            </w:tcBorders>
            <w:vAlign w:val="bottom"/>
          </w:tcPr>
          <w:p>
            <w:pPr>
              <w:autoSpaceDE w:val="0"/>
              <w:autoSpaceDN w:val="0"/>
              <w:adjustRightInd w:val="0"/>
              <w:snapToGrid w:val="0"/>
              <w:spacing w:line="360" w:lineRule="auto"/>
              <w:jc w:val="center"/>
            </w:pPr>
          </w:p>
          <w:p>
            <w:pPr>
              <w:autoSpaceDE w:val="0"/>
              <w:autoSpaceDN w:val="0"/>
              <w:adjustRightInd w:val="0"/>
              <w:snapToGrid w:val="0"/>
              <w:spacing w:line="360" w:lineRule="auto"/>
              <w:ind w:firstLine="1890" w:firstLineChars="900"/>
              <w:jc w:val="both"/>
              <w:rPr>
                <w:u w:val="single"/>
              </w:rPr>
            </w:pPr>
            <w:r>
              <w:rPr>
                <w:rFonts w:hint="eastAsia"/>
              </w:rPr>
              <w:t>总报价（含税）：人民币（小写）¥         大写：</w:t>
            </w:r>
          </w:p>
          <w:p>
            <w:pPr>
              <w:pStyle w:val="2"/>
              <w:outlineLvl w:val="9"/>
            </w:pPr>
          </w:p>
        </w:tc>
      </w:tr>
    </w:tbl>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spacing w:line="600" w:lineRule="exact"/>
        <w:jc w:val="both"/>
        <w:rPr>
          <w:rFonts w:ascii="黑体" w:hAnsi="黑体" w:eastAsia="黑体" w:cs="仿宋"/>
          <w:sz w:val="36"/>
          <w:szCs w:val="36"/>
        </w:rPr>
      </w:pPr>
    </w:p>
    <w:p>
      <w:pPr>
        <w:spacing w:line="600" w:lineRule="exact"/>
        <w:jc w:val="center"/>
        <w:outlineLvl w:val="0"/>
        <w:rPr>
          <w:rFonts w:ascii="黑体" w:hAnsi="黑体" w:eastAsia="黑体" w:cs="仿宋"/>
          <w:sz w:val="36"/>
          <w:szCs w:val="36"/>
        </w:rPr>
      </w:pPr>
      <w:bookmarkStart w:id="51" w:name="_Toc29036"/>
      <w:r>
        <w:rPr>
          <w:rFonts w:hint="eastAsia" w:ascii="黑体" w:hAnsi="黑体" w:eastAsia="黑体" w:cs="仿宋"/>
          <w:sz w:val="36"/>
          <w:szCs w:val="36"/>
        </w:rPr>
        <w:t>五、资格审查资料</w:t>
      </w:r>
      <w:bookmarkEnd w:id="51"/>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bookmarkStart w:id="52" w:name="_Toc28410"/>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52"/>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53" w:name="_Toc16074"/>
      <w:r>
        <w:rPr>
          <w:rFonts w:hint="eastAsia" w:ascii="黑体" w:hAnsi="黑体" w:eastAsia="黑体" w:cs="仿宋"/>
          <w:sz w:val="36"/>
          <w:szCs w:val="36"/>
        </w:rPr>
        <w:t>六、响应方案</w:t>
      </w:r>
      <w:bookmarkEnd w:id="53"/>
    </w:p>
    <w:p>
      <w:pPr>
        <w:pStyle w:val="40"/>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54" w:name="_Toc18014"/>
      <w:r>
        <w:rPr>
          <w:rFonts w:hint="eastAsia" w:ascii="黑体" w:hAnsi="黑体" w:eastAsia="黑体" w:cs="仿宋"/>
          <w:sz w:val="36"/>
          <w:szCs w:val="36"/>
        </w:rPr>
        <w:t>七、其他资料</w:t>
      </w:r>
      <w:bookmarkEnd w:id="5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4DC90C6-340A-4CA5-BB65-F94725820027}"/>
  </w:font>
  <w:font w:name="Arial">
    <w:panose1 w:val="020B0604020202020204"/>
    <w:charset w:val="01"/>
    <w:family w:val="swiss"/>
    <w:pitch w:val="default"/>
    <w:sig w:usb0="E0002EFF" w:usb1="C000785B" w:usb2="00000009" w:usb3="00000000" w:csb0="400001FF" w:csb1="FFFF0000"/>
    <w:embedRegular r:id="rId2" w:fontKey="{7362546B-6381-4C17-9C7F-0AB6E4F8A1C7}"/>
  </w:font>
  <w:font w:name="黑体">
    <w:panose1 w:val="02010609060101010101"/>
    <w:charset w:val="86"/>
    <w:family w:val="auto"/>
    <w:pitch w:val="default"/>
    <w:sig w:usb0="800002BF" w:usb1="38CF7CFA" w:usb2="00000016" w:usb3="00000000" w:csb0="00040001" w:csb1="00000000"/>
    <w:embedRegular r:id="rId3" w:fontKey="{76DFA6AA-B828-442D-A566-729DA2F856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C82A5AFB-DEC5-4113-872D-7600ADB102B2}"/>
  </w:font>
  <w:font w:name="方正小标宋简体">
    <w:panose1 w:val="03000509000000000000"/>
    <w:charset w:val="86"/>
    <w:family w:val="script"/>
    <w:pitch w:val="default"/>
    <w:sig w:usb0="00000001" w:usb1="080E0000" w:usb2="00000000" w:usb3="00000000" w:csb0="00040000" w:csb1="00000000"/>
    <w:embedRegular r:id="rId5" w:fontKey="{13FFFF5F-5054-4627-B9CB-D62FDA65B600}"/>
  </w:font>
  <w:font w:name="楷体_GB2312">
    <w:panose1 w:val="02010609030101010101"/>
    <w:charset w:val="86"/>
    <w:family w:val="modern"/>
    <w:pitch w:val="default"/>
    <w:sig w:usb0="00000001" w:usb1="080E0000" w:usb2="00000000" w:usb3="00000000" w:csb0="00040000" w:csb1="00000000"/>
    <w:embedRegular r:id="rId6" w:fontKey="{CB6540C9-27F7-4A29-B564-1805137F3958}"/>
  </w:font>
  <w:font w:name="微软雅黑">
    <w:panose1 w:val="020B0503020204020204"/>
    <w:charset w:val="86"/>
    <w:family w:val="swiss"/>
    <w:pitch w:val="default"/>
    <w:sig w:usb0="80000287" w:usb1="2ACF3C50" w:usb2="00000016" w:usb3="00000000" w:csb0="0004001F" w:csb1="00000000"/>
    <w:embedRegular r:id="rId7" w:fontKey="{EA47BEE8-A3FF-43A1-82CB-9C1C07F72D31}"/>
  </w:font>
  <w:font w:name="Wingdings 2">
    <w:panose1 w:val="05020102010507070707"/>
    <w:charset w:val="00"/>
    <w:family w:val="auto"/>
    <w:pitch w:val="default"/>
    <w:sig w:usb0="00000000" w:usb1="00000000" w:usb2="00000000" w:usb3="00000000" w:csb0="80000000" w:csb1="00000000"/>
    <w:embedRegular r:id="rId8" w:fontKey="{3E8510C9-DD83-4B0D-8687-8E70F618A878}"/>
  </w:font>
  <w:font w:name="华文中宋">
    <w:panose1 w:val="02010600040101010101"/>
    <w:charset w:val="86"/>
    <w:family w:val="auto"/>
    <w:pitch w:val="default"/>
    <w:sig w:usb0="00000287" w:usb1="080F0000" w:usb2="00000000" w:usb3="00000000" w:csb0="0004009F" w:csb1="DFD70000"/>
    <w:embedRegular r:id="rId9" w:fontKey="{4741DDF4-8813-4CAF-9751-7D7AA7AB30F6}"/>
  </w:font>
  <w:font w:name="方正小标宋_GBK">
    <w:altName w:val="微软雅黑"/>
    <w:panose1 w:val="00000000000000000000"/>
    <w:charset w:val="86"/>
    <w:family w:val="auto"/>
    <w:pitch w:val="default"/>
    <w:sig w:usb0="00000000" w:usb1="00000000" w:usb2="00000000" w:usb3="00000000" w:csb0="00040000" w:csb1="00000000"/>
    <w:embedRegular r:id="rId10" w:fontKey="{B8F2BF9B-F5F3-4A10-9023-AD0C623E52C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2"/>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7F83"/>
    <w:multiLevelType w:val="singleLevel"/>
    <w:tmpl w:val="B05C7F83"/>
    <w:lvl w:ilvl="0" w:tentative="0">
      <w:start w:val="3"/>
      <w:numFmt w:val="chineseCounting"/>
      <w:suff w:val="nothing"/>
      <w:lvlText w:val="%1、"/>
      <w:lvlJc w:val="left"/>
      <w:pPr>
        <w:ind w:left="-142"/>
      </w:pPr>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1E8E4BA"/>
    <w:multiLevelType w:val="singleLevel"/>
    <w:tmpl w:val="61E8E4BA"/>
    <w:lvl w:ilvl="0" w:tentative="0">
      <w:start w:val="4"/>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hideSpellingErrors/>
  <w:documentProtection w:edit="trackedChanges"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MDI1YzkyMWEwNWRjOThlNjFkYzkzZGIwNDk5ZTU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9714E"/>
    <w:rsid w:val="002A13A6"/>
    <w:rsid w:val="002A3646"/>
    <w:rsid w:val="002A69B8"/>
    <w:rsid w:val="002B225E"/>
    <w:rsid w:val="002B7B11"/>
    <w:rsid w:val="002D3DCC"/>
    <w:rsid w:val="002D460A"/>
    <w:rsid w:val="002E1D5F"/>
    <w:rsid w:val="002E38E3"/>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92340"/>
    <w:rsid w:val="003A008A"/>
    <w:rsid w:val="003A21A4"/>
    <w:rsid w:val="003A35E6"/>
    <w:rsid w:val="003A47A2"/>
    <w:rsid w:val="003A7BE3"/>
    <w:rsid w:val="003B1B7D"/>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477B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3EC7A55"/>
    <w:rsid w:val="047C353A"/>
    <w:rsid w:val="04A65DBC"/>
    <w:rsid w:val="05C8377A"/>
    <w:rsid w:val="05CD3A4B"/>
    <w:rsid w:val="05EF1FFE"/>
    <w:rsid w:val="071C2DD7"/>
    <w:rsid w:val="082E2834"/>
    <w:rsid w:val="0882554E"/>
    <w:rsid w:val="08826D5B"/>
    <w:rsid w:val="08876C3D"/>
    <w:rsid w:val="09343645"/>
    <w:rsid w:val="09970B85"/>
    <w:rsid w:val="09C6304D"/>
    <w:rsid w:val="09E7100A"/>
    <w:rsid w:val="0AED2D32"/>
    <w:rsid w:val="0AF00027"/>
    <w:rsid w:val="0B0D605F"/>
    <w:rsid w:val="0B272FBD"/>
    <w:rsid w:val="0B300652"/>
    <w:rsid w:val="0B534E7F"/>
    <w:rsid w:val="0C905B62"/>
    <w:rsid w:val="0CCC561D"/>
    <w:rsid w:val="0CD44FE7"/>
    <w:rsid w:val="0CE02BCB"/>
    <w:rsid w:val="0D414932"/>
    <w:rsid w:val="0D8B5F9E"/>
    <w:rsid w:val="0DB759FC"/>
    <w:rsid w:val="0DBD1316"/>
    <w:rsid w:val="0DC567C6"/>
    <w:rsid w:val="0E1F3EB9"/>
    <w:rsid w:val="0E891CDE"/>
    <w:rsid w:val="0E894C6A"/>
    <w:rsid w:val="0F250657"/>
    <w:rsid w:val="0FE216C6"/>
    <w:rsid w:val="100D3E04"/>
    <w:rsid w:val="1029705A"/>
    <w:rsid w:val="10A157BC"/>
    <w:rsid w:val="10D715D2"/>
    <w:rsid w:val="10D814A8"/>
    <w:rsid w:val="10E35F22"/>
    <w:rsid w:val="112343A2"/>
    <w:rsid w:val="113B3D20"/>
    <w:rsid w:val="115E4704"/>
    <w:rsid w:val="119E5E08"/>
    <w:rsid w:val="12362DDF"/>
    <w:rsid w:val="13692E14"/>
    <w:rsid w:val="136C60D7"/>
    <w:rsid w:val="143222F6"/>
    <w:rsid w:val="145076DA"/>
    <w:rsid w:val="149C34F4"/>
    <w:rsid w:val="14B70C0B"/>
    <w:rsid w:val="1500069C"/>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C2276D5"/>
    <w:rsid w:val="1C7D1864"/>
    <w:rsid w:val="1D082A55"/>
    <w:rsid w:val="1D5D05DC"/>
    <w:rsid w:val="1DAB68D7"/>
    <w:rsid w:val="1DBB01B3"/>
    <w:rsid w:val="1DC7279C"/>
    <w:rsid w:val="1DEC3661"/>
    <w:rsid w:val="1E1F3B60"/>
    <w:rsid w:val="1E5803E7"/>
    <w:rsid w:val="1E901304"/>
    <w:rsid w:val="1E924450"/>
    <w:rsid w:val="1F031D0C"/>
    <w:rsid w:val="1F0F644E"/>
    <w:rsid w:val="1F2E0BFF"/>
    <w:rsid w:val="1F833B5F"/>
    <w:rsid w:val="1F9D58D9"/>
    <w:rsid w:val="1FB37BD1"/>
    <w:rsid w:val="1FBF76D7"/>
    <w:rsid w:val="205D54C9"/>
    <w:rsid w:val="20F56E6A"/>
    <w:rsid w:val="210E5B18"/>
    <w:rsid w:val="212E078A"/>
    <w:rsid w:val="21391930"/>
    <w:rsid w:val="213E3A2F"/>
    <w:rsid w:val="217D4062"/>
    <w:rsid w:val="22CD0ADC"/>
    <w:rsid w:val="23331D17"/>
    <w:rsid w:val="235B5479"/>
    <w:rsid w:val="23A34879"/>
    <w:rsid w:val="23BE1A45"/>
    <w:rsid w:val="244C69D6"/>
    <w:rsid w:val="24C25045"/>
    <w:rsid w:val="24CF2408"/>
    <w:rsid w:val="25313DAC"/>
    <w:rsid w:val="25670F4C"/>
    <w:rsid w:val="2578297E"/>
    <w:rsid w:val="2584425C"/>
    <w:rsid w:val="260770CA"/>
    <w:rsid w:val="264E6DB9"/>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381933"/>
    <w:rsid w:val="2A7757C9"/>
    <w:rsid w:val="2A810C26"/>
    <w:rsid w:val="2AA915E9"/>
    <w:rsid w:val="2AB628FE"/>
    <w:rsid w:val="2AEB642C"/>
    <w:rsid w:val="2AFF24D7"/>
    <w:rsid w:val="2B370856"/>
    <w:rsid w:val="2BB311E2"/>
    <w:rsid w:val="2BF10955"/>
    <w:rsid w:val="2C12050F"/>
    <w:rsid w:val="2C7F01E4"/>
    <w:rsid w:val="2D101F87"/>
    <w:rsid w:val="2D933C05"/>
    <w:rsid w:val="2DEC6D70"/>
    <w:rsid w:val="2E312601"/>
    <w:rsid w:val="2E41641E"/>
    <w:rsid w:val="2E944985"/>
    <w:rsid w:val="2EA77EE5"/>
    <w:rsid w:val="2F6261C2"/>
    <w:rsid w:val="2FA63021"/>
    <w:rsid w:val="2FCB45CD"/>
    <w:rsid w:val="2FD26F55"/>
    <w:rsid w:val="30096558"/>
    <w:rsid w:val="30564A47"/>
    <w:rsid w:val="30DE2DAE"/>
    <w:rsid w:val="31755D3D"/>
    <w:rsid w:val="31A7659A"/>
    <w:rsid w:val="31AD6526"/>
    <w:rsid w:val="323D10CB"/>
    <w:rsid w:val="32756EB2"/>
    <w:rsid w:val="328A0351"/>
    <w:rsid w:val="32947966"/>
    <w:rsid w:val="329D4C70"/>
    <w:rsid w:val="32CB6281"/>
    <w:rsid w:val="339248A7"/>
    <w:rsid w:val="347E184F"/>
    <w:rsid w:val="34874156"/>
    <w:rsid w:val="34DC45DC"/>
    <w:rsid w:val="34F111A0"/>
    <w:rsid w:val="35032B89"/>
    <w:rsid w:val="351E6AD6"/>
    <w:rsid w:val="35E068D3"/>
    <w:rsid w:val="36237A11"/>
    <w:rsid w:val="369E5F5A"/>
    <w:rsid w:val="36D57A86"/>
    <w:rsid w:val="36DA0180"/>
    <w:rsid w:val="36EC5253"/>
    <w:rsid w:val="379B30ED"/>
    <w:rsid w:val="37B50E0E"/>
    <w:rsid w:val="37E36BED"/>
    <w:rsid w:val="3806709E"/>
    <w:rsid w:val="38302D1E"/>
    <w:rsid w:val="38F94373"/>
    <w:rsid w:val="390636E6"/>
    <w:rsid w:val="39C96499"/>
    <w:rsid w:val="3A1D0739"/>
    <w:rsid w:val="3A5E7CCF"/>
    <w:rsid w:val="3AB17686"/>
    <w:rsid w:val="3AF93B99"/>
    <w:rsid w:val="3B1A1435"/>
    <w:rsid w:val="3B2B40CB"/>
    <w:rsid w:val="3B786F8B"/>
    <w:rsid w:val="3C100595"/>
    <w:rsid w:val="3CCF005B"/>
    <w:rsid w:val="3CD5401F"/>
    <w:rsid w:val="3D461FBA"/>
    <w:rsid w:val="3D5B45EF"/>
    <w:rsid w:val="3F0013D8"/>
    <w:rsid w:val="3F044229"/>
    <w:rsid w:val="3F747742"/>
    <w:rsid w:val="3FB93C81"/>
    <w:rsid w:val="3FEA1C2A"/>
    <w:rsid w:val="407A02DD"/>
    <w:rsid w:val="40C81736"/>
    <w:rsid w:val="40CD665F"/>
    <w:rsid w:val="41A84E5D"/>
    <w:rsid w:val="41CE0EB7"/>
    <w:rsid w:val="42B9360E"/>
    <w:rsid w:val="439D4A0F"/>
    <w:rsid w:val="43BC1982"/>
    <w:rsid w:val="44553D96"/>
    <w:rsid w:val="44D14A1F"/>
    <w:rsid w:val="44EF214B"/>
    <w:rsid w:val="4503099B"/>
    <w:rsid w:val="453D7EFA"/>
    <w:rsid w:val="45FD2E1E"/>
    <w:rsid w:val="46236E22"/>
    <w:rsid w:val="463D1554"/>
    <w:rsid w:val="46480423"/>
    <w:rsid w:val="46C44BD5"/>
    <w:rsid w:val="46FD0ED7"/>
    <w:rsid w:val="473A1C92"/>
    <w:rsid w:val="47592E4A"/>
    <w:rsid w:val="47BB4536"/>
    <w:rsid w:val="47D44A52"/>
    <w:rsid w:val="481F232C"/>
    <w:rsid w:val="48B457DA"/>
    <w:rsid w:val="49055724"/>
    <w:rsid w:val="49061DFF"/>
    <w:rsid w:val="495F2766"/>
    <w:rsid w:val="49A15B9F"/>
    <w:rsid w:val="49D40A5E"/>
    <w:rsid w:val="49E352A4"/>
    <w:rsid w:val="4A625DAC"/>
    <w:rsid w:val="4A87331A"/>
    <w:rsid w:val="4BA044F9"/>
    <w:rsid w:val="4BB73BE9"/>
    <w:rsid w:val="4BEB2031"/>
    <w:rsid w:val="4C2C5768"/>
    <w:rsid w:val="4C6E0A32"/>
    <w:rsid w:val="4C8D7FB6"/>
    <w:rsid w:val="4CFB75B5"/>
    <w:rsid w:val="4D7D047C"/>
    <w:rsid w:val="4D992670"/>
    <w:rsid w:val="4DA67EC1"/>
    <w:rsid w:val="4DC537EF"/>
    <w:rsid w:val="4DF47F35"/>
    <w:rsid w:val="4E5E70BD"/>
    <w:rsid w:val="4E5F0909"/>
    <w:rsid w:val="4E6200BB"/>
    <w:rsid w:val="4EC14021"/>
    <w:rsid w:val="4F542C5F"/>
    <w:rsid w:val="4F544853"/>
    <w:rsid w:val="4F7855EA"/>
    <w:rsid w:val="4F940716"/>
    <w:rsid w:val="4FAF7130"/>
    <w:rsid w:val="50203001"/>
    <w:rsid w:val="50613214"/>
    <w:rsid w:val="515B1A65"/>
    <w:rsid w:val="519D4842"/>
    <w:rsid w:val="520004CA"/>
    <w:rsid w:val="521E5740"/>
    <w:rsid w:val="522358DC"/>
    <w:rsid w:val="533D162C"/>
    <w:rsid w:val="53E549BF"/>
    <w:rsid w:val="540A51E2"/>
    <w:rsid w:val="5422279F"/>
    <w:rsid w:val="54C32B11"/>
    <w:rsid w:val="54DC56F8"/>
    <w:rsid w:val="557117DE"/>
    <w:rsid w:val="56367C5B"/>
    <w:rsid w:val="56677807"/>
    <w:rsid w:val="56820D5B"/>
    <w:rsid w:val="57096D7C"/>
    <w:rsid w:val="57634CB3"/>
    <w:rsid w:val="579B0911"/>
    <w:rsid w:val="58726012"/>
    <w:rsid w:val="58D06D06"/>
    <w:rsid w:val="58EF37E0"/>
    <w:rsid w:val="58FE0B8D"/>
    <w:rsid w:val="59D5260B"/>
    <w:rsid w:val="59F510C8"/>
    <w:rsid w:val="5A190D99"/>
    <w:rsid w:val="5A465B9D"/>
    <w:rsid w:val="5A533C21"/>
    <w:rsid w:val="5A631C3C"/>
    <w:rsid w:val="5AF71073"/>
    <w:rsid w:val="5AFF4E91"/>
    <w:rsid w:val="5B6270CB"/>
    <w:rsid w:val="5B812149"/>
    <w:rsid w:val="5BB24FC7"/>
    <w:rsid w:val="5BE77BBC"/>
    <w:rsid w:val="5C9744CD"/>
    <w:rsid w:val="5D027239"/>
    <w:rsid w:val="5D1E4A62"/>
    <w:rsid w:val="5D5A5542"/>
    <w:rsid w:val="5D87033A"/>
    <w:rsid w:val="5D940B49"/>
    <w:rsid w:val="5DBD75BE"/>
    <w:rsid w:val="5DDB3A67"/>
    <w:rsid w:val="5E007081"/>
    <w:rsid w:val="5E2979F3"/>
    <w:rsid w:val="5E646A2E"/>
    <w:rsid w:val="5EA92355"/>
    <w:rsid w:val="5ED115B9"/>
    <w:rsid w:val="5F2E04F4"/>
    <w:rsid w:val="5F5A7169"/>
    <w:rsid w:val="5F600FC9"/>
    <w:rsid w:val="5F831A87"/>
    <w:rsid w:val="5FA558FD"/>
    <w:rsid w:val="5FC52CF8"/>
    <w:rsid w:val="5FC5301A"/>
    <w:rsid w:val="602D2FE8"/>
    <w:rsid w:val="608457E2"/>
    <w:rsid w:val="60E14966"/>
    <w:rsid w:val="616D757D"/>
    <w:rsid w:val="617C259E"/>
    <w:rsid w:val="62342CE6"/>
    <w:rsid w:val="62525166"/>
    <w:rsid w:val="6329070C"/>
    <w:rsid w:val="632B72A3"/>
    <w:rsid w:val="63310F09"/>
    <w:rsid w:val="63505113"/>
    <w:rsid w:val="63B84F56"/>
    <w:rsid w:val="63ED139D"/>
    <w:rsid w:val="64557A48"/>
    <w:rsid w:val="646326B7"/>
    <w:rsid w:val="64665F9D"/>
    <w:rsid w:val="64862E7E"/>
    <w:rsid w:val="65571836"/>
    <w:rsid w:val="65E54EB0"/>
    <w:rsid w:val="65FD3712"/>
    <w:rsid w:val="663E10C6"/>
    <w:rsid w:val="664663D3"/>
    <w:rsid w:val="666552E6"/>
    <w:rsid w:val="668B7395"/>
    <w:rsid w:val="66D122B6"/>
    <w:rsid w:val="672465D3"/>
    <w:rsid w:val="67B945ED"/>
    <w:rsid w:val="67CD5453"/>
    <w:rsid w:val="67DB2C51"/>
    <w:rsid w:val="68562B5B"/>
    <w:rsid w:val="686B311E"/>
    <w:rsid w:val="68AB6164"/>
    <w:rsid w:val="68ED7DC4"/>
    <w:rsid w:val="68F71C1C"/>
    <w:rsid w:val="69547E9C"/>
    <w:rsid w:val="6A843C76"/>
    <w:rsid w:val="6AAA1AFA"/>
    <w:rsid w:val="6AE84B3E"/>
    <w:rsid w:val="6B2F5A5F"/>
    <w:rsid w:val="6B3F724F"/>
    <w:rsid w:val="6B533C17"/>
    <w:rsid w:val="6B8307E0"/>
    <w:rsid w:val="6B860FE6"/>
    <w:rsid w:val="6C686F88"/>
    <w:rsid w:val="6C7745F7"/>
    <w:rsid w:val="6E5E463A"/>
    <w:rsid w:val="6EBD7FFE"/>
    <w:rsid w:val="6EC13E25"/>
    <w:rsid w:val="6EF262AC"/>
    <w:rsid w:val="6F3A1809"/>
    <w:rsid w:val="6FD45398"/>
    <w:rsid w:val="6FFA3737"/>
    <w:rsid w:val="71285AAC"/>
    <w:rsid w:val="7158703C"/>
    <w:rsid w:val="71594D33"/>
    <w:rsid w:val="715C2F1C"/>
    <w:rsid w:val="71C31377"/>
    <w:rsid w:val="71CA1F6E"/>
    <w:rsid w:val="71E74047"/>
    <w:rsid w:val="71F42B7C"/>
    <w:rsid w:val="7205398F"/>
    <w:rsid w:val="7238655B"/>
    <w:rsid w:val="735008A6"/>
    <w:rsid w:val="735D2DA4"/>
    <w:rsid w:val="736C43E3"/>
    <w:rsid w:val="73BC5AD9"/>
    <w:rsid w:val="73D85E91"/>
    <w:rsid w:val="742F0E63"/>
    <w:rsid w:val="7453751A"/>
    <w:rsid w:val="746453A7"/>
    <w:rsid w:val="74E20649"/>
    <w:rsid w:val="76013066"/>
    <w:rsid w:val="76013836"/>
    <w:rsid w:val="76490038"/>
    <w:rsid w:val="764D1C01"/>
    <w:rsid w:val="76A5715B"/>
    <w:rsid w:val="76B850E0"/>
    <w:rsid w:val="77400CB2"/>
    <w:rsid w:val="77401EC1"/>
    <w:rsid w:val="77A40E96"/>
    <w:rsid w:val="785F380B"/>
    <w:rsid w:val="78865DD8"/>
    <w:rsid w:val="78CA23D8"/>
    <w:rsid w:val="793B59A2"/>
    <w:rsid w:val="793E01E7"/>
    <w:rsid w:val="794C72DA"/>
    <w:rsid w:val="79771CC2"/>
    <w:rsid w:val="79A347F2"/>
    <w:rsid w:val="7A0C4A94"/>
    <w:rsid w:val="7ADE3A6D"/>
    <w:rsid w:val="7B2D37A3"/>
    <w:rsid w:val="7B5D7ABB"/>
    <w:rsid w:val="7B99300E"/>
    <w:rsid w:val="7B99444A"/>
    <w:rsid w:val="7BCF57C7"/>
    <w:rsid w:val="7BE401C5"/>
    <w:rsid w:val="7C0D2443"/>
    <w:rsid w:val="7C375547"/>
    <w:rsid w:val="7DB1356C"/>
    <w:rsid w:val="7DB473AA"/>
    <w:rsid w:val="7E611BB9"/>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53"/>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link w:val="18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120" w:after="120"/>
      <w:outlineLvl w:val="4"/>
    </w:pPr>
    <w:rPr>
      <w:rFonts w:eastAsia="黑体"/>
      <w:bCs/>
      <w:sz w:val="28"/>
      <w:szCs w:val="28"/>
    </w:rPr>
  </w:style>
  <w:style w:type="paragraph" w:styleId="7">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3"/>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0"/>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81"/>
    <w:semiHidden/>
    <w:unhideWhenUsed/>
    <w:qFormat/>
    <w:uiPriority w:val="99"/>
    <w:pPr>
      <w:spacing w:after="120"/>
    </w:pPr>
    <w:rPr>
      <w:sz w:val="16"/>
      <w:szCs w:val="16"/>
    </w:rPr>
  </w:style>
  <w:style w:type="paragraph" w:styleId="15">
    <w:name w:val="Body Text"/>
    <w:basedOn w:val="1"/>
    <w:next w:val="16"/>
    <w:link w:val="186"/>
    <w:semiHidden/>
    <w:unhideWhenUsed/>
    <w:qFormat/>
    <w:uiPriority w:val="99"/>
    <w:pPr>
      <w:spacing w:after="120"/>
    </w:pPr>
  </w:style>
  <w:style w:type="paragraph" w:customStyle="1" w:styleId="16">
    <w:name w:val="Body Text Indent 21"/>
    <w:basedOn w:val="1"/>
    <w:next w:val="17"/>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51"/>
    <w:qFormat/>
    <w:uiPriority w:val="99"/>
    <w:pPr>
      <w:snapToGrid w:val="0"/>
    </w:pPr>
    <w:rPr>
      <w:rFonts w:asciiTheme="minorHAnsi" w:hAnsiTheme="minorHAnsi" w:eastAsiaTheme="minorEastAsia" w:cstheme="minorBidi"/>
      <w:sz w:val="18"/>
      <w:szCs w:val="18"/>
    </w:rPr>
  </w:style>
  <w:style w:type="paragraph" w:styleId="18">
    <w:name w:val="Body Text Indent"/>
    <w:basedOn w:val="1"/>
    <w:unhideWhenUsed/>
    <w:qFormat/>
    <w:uiPriority w:val="99"/>
    <w:pPr>
      <w:spacing w:after="120"/>
      <w:ind w:left="420" w:leftChars="200"/>
    </w:pPr>
  </w:style>
  <w:style w:type="paragraph" w:styleId="19">
    <w:name w:val="index 4"/>
    <w:basedOn w:val="1"/>
    <w:next w:val="1"/>
    <w:qFormat/>
    <w:uiPriority w:val="0"/>
    <w:pPr>
      <w:ind w:left="840" w:hanging="210"/>
    </w:pPr>
    <w:rPr>
      <w:rFonts w:ascii="Calibri" w:hAnsi="Calibri"/>
      <w:sz w:val="20"/>
      <w:szCs w:val="20"/>
    </w:rPr>
  </w:style>
  <w:style w:type="paragraph" w:styleId="20">
    <w:name w:val="Plain Text"/>
    <w:basedOn w:val="1"/>
    <w:link w:val="184"/>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qFormat/>
    <w:uiPriority w:val="0"/>
    <w:pPr>
      <w:ind w:left="630" w:hanging="210"/>
    </w:pPr>
    <w:rPr>
      <w:rFonts w:ascii="Calibri" w:hAnsi="Calibri"/>
      <w:sz w:val="20"/>
      <w:szCs w:val="20"/>
    </w:rPr>
  </w:style>
  <w:style w:type="paragraph" w:styleId="22">
    <w:name w:val="Date"/>
    <w:basedOn w:val="1"/>
    <w:next w:val="1"/>
    <w:link w:val="172"/>
    <w:qFormat/>
    <w:uiPriority w:val="99"/>
    <w:pPr>
      <w:ind w:left="100" w:leftChars="2500"/>
    </w:pPr>
    <w:rPr>
      <w:rFonts w:asciiTheme="minorHAnsi" w:hAnsiTheme="minorHAnsi" w:eastAsiaTheme="minorEastAsia" w:cstheme="minorBidi"/>
    </w:rPr>
  </w:style>
  <w:style w:type="paragraph" w:styleId="23">
    <w:name w:val="Body Text Indent 2"/>
    <w:basedOn w:val="1"/>
    <w:link w:val="162"/>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79"/>
    <w:semiHidden/>
    <w:qFormat/>
    <w:uiPriority w:val="0"/>
    <w:pPr>
      <w:snapToGrid w:val="0"/>
    </w:pPr>
    <w:rPr>
      <w:rFonts w:asciiTheme="minorHAnsi" w:hAnsiTheme="minorHAnsi" w:eastAsiaTheme="minorEastAsia" w:cstheme="minorBidi"/>
    </w:rPr>
  </w:style>
  <w:style w:type="paragraph" w:styleId="25">
    <w:name w:val="Balloon Text"/>
    <w:basedOn w:val="1"/>
    <w:link w:val="148"/>
    <w:qFormat/>
    <w:uiPriority w:val="99"/>
    <w:rPr>
      <w:rFonts w:asciiTheme="minorHAnsi" w:hAnsiTheme="minorHAnsi" w:eastAsiaTheme="minorEastAsia" w:cstheme="minorBidi"/>
      <w:sz w:val="18"/>
      <w:szCs w:val="18"/>
    </w:rPr>
  </w:style>
  <w:style w:type="paragraph" w:styleId="26">
    <w:name w:val="footer"/>
    <w:basedOn w:val="1"/>
    <w:link w:val="169"/>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toc 1"/>
    <w:basedOn w:val="1"/>
    <w:next w:val="1"/>
    <w:semiHidden/>
    <w:qFormat/>
    <w:uiPriority w:val="0"/>
    <w:pPr>
      <w:tabs>
        <w:tab w:val="right" w:leader="dot" w:pos="9242"/>
      </w:tabs>
      <w:spacing w:beforeLines="25" w:afterLines="25"/>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1"/>
    <w:unhideWhenUsed/>
    <w:qFormat/>
    <w:uiPriority w:val="0"/>
  </w:style>
  <w:style w:type="paragraph" w:styleId="30">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qFormat/>
    <w:uiPriority w:val="0"/>
    <w:pPr>
      <w:ind w:left="1470" w:hanging="210"/>
    </w:pPr>
    <w:rPr>
      <w:rFonts w:ascii="Calibri" w:hAnsi="Calibri"/>
      <w:sz w:val="20"/>
      <w:szCs w:val="20"/>
    </w:rPr>
  </w:style>
  <w:style w:type="paragraph" w:styleId="32">
    <w:name w:val="index 9"/>
    <w:basedOn w:val="1"/>
    <w:next w:val="1"/>
    <w:qFormat/>
    <w:uiPriority w:val="0"/>
    <w:pPr>
      <w:ind w:left="1890" w:hanging="210"/>
    </w:pPr>
    <w:rPr>
      <w:rFonts w:ascii="Calibri" w:hAnsi="Calibri"/>
      <w:sz w:val="20"/>
      <w:szCs w:val="20"/>
    </w:rPr>
  </w:style>
  <w:style w:type="paragraph" w:styleId="3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qFormat/>
    <w:uiPriority w:val="0"/>
    <w:rPr>
      <w:bCs/>
      <w:kern w:val="0"/>
      <w:sz w:val="28"/>
      <w:szCs w:val="20"/>
    </w:rPr>
  </w:style>
  <w:style w:type="paragraph" w:styleId="35">
    <w:name w:val="HTML Preformatted"/>
    <w:basedOn w:val="1"/>
    <w:link w:val="156"/>
    <w:qFormat/>
    <w:uiPriority w:val="0"/>
    <w:rPr>
      <w:rFonts w:ascii="Courier New" w:hAnsi="Courier New" w:cs="Courier New" w:eastAsiaTheme="minorEastAsia"/>
      <w:szCs w:val="22"/>
    </w:rPr>
  </w:style>
  <w:style w:type="paragraph" w:styleId="36">
    <w:name w:val="Normal (Web)"/>
    <w:basedOn w:val="1"/>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qFormat/>
    <w:uiPriority w:val="0"/>
    <w:pPr>
      <w:ind w:left="420" w:hanging="210"/>
    </w:pPr>
    <w:rPr>
      <w:rFonts w:ascii="Calibri" w:hAnsi="Calibri"/>
      <w:sz w:val="20"/>
      <w:szCs w:val="20"/>
    </w:rPr>
  </w:style>
  <w:style w:type="paragraph" w:styleId="38">
    <w:name w:val="Title"/>
    <w:basedOn w:val="1"/>
    <w:link w:val="182"/>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2"/>
    <w:next w:val="12"/>
    <w:link w:val="178"/>
    <w:semiHidden/>
    <w:qFormat/>
    <w:uiPriority w:val="0"/>
    <w:rPr>
      <w:b/>
      <w:bCs/>
    </w:rPr>
  </w:style>
  <w:style w:type="paragraph" w:styleId="40">
    <w:name w:val="Body Text First Indent"/>
    <w:basedOn w:val="15"/>
    <w:qFormat/>
    <w:uiPriority w:val="0"/>
    <w:pPr>
      <w:autoSpaceDE w:val="0"/>
      <w:autoSpaceDN w:val="0"/>
      <w:adjustRightInd w:val="0"/>
      <w:ind w:firstLine="420"/>
      <w:textAlignment w:val="baseline"/>
    </w:pPr>
    <w:rPr>
      <w:rFonts w:ascii="宋体"/>
      <w:sz w:val="34"/>
    </w:r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99"/>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20"/>
    <w:rPr>
      <w:color w:val="CC0000"/>
    </w:rPr>
  </w:style>
  <w:style w:type="character" w:styleId="48">
    <w:name w:val="Hyperlink"/>
    <w:qFormat/>
    <w:uiPriority w:val="99"/>
    <w:rPr>
      <w:color w:val="0000FF"/>
      <w:spacing w:val="0"/>
      <w:w w:val="100"/>
      <w:szCs w:val="21"/>
      <w:u w:val="single"/>
      <w:lang w:val="en-US" w:eastAsia="zh-CN"/>
    </w:rPr>
  </w:style>
  <w:style w:type="character" w:styleId="49">
    <w:name w:val="annotation reference"/>
    <w:basedOn w:val="43"/>
    <w:semiHidden/>
    <w:unhideWhenUsed/>
    <w:qFormat/>
    <w:uiPriority w:val="0"/>
    <w:rPr>
      <w:sz w:val="21"/>
      <w:szCs w:val="21"/>
    </w:rPr>
  </w:style>
  <w:style w:type="character" w:styleId="50">
    <w:name w:val="footnote reference"/>
    <w:qFormat/>
    <w:uiPriority w:val="0"/>
    <w:rPr>
      <w:vertAlign w:val="superscript"/>
    </w:rPr>
  </w:style>
  <w:style w:type="paragraph" w:customStyle="1" w:styleId="51">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2">
    <w:name w:val="标题 1 字符"/>
    <w:basedOn w:val="43"/>
    <w:link w:val="4"/>
    <w:qFormat/>
    <w:uiPriority w:val="0"/>
    <w:rPr>
      <w:rFonts w:ascii="Times New Roman" w:hAnsi="Times New Roman" w:eastAsia="宋体" w:cs="Times New Roman"/>
      <w:b/>
      <w:bCs/>
      <w:kern w:val="44"/>
      <w:sz w:val="44"/>
      <w:szCs w:val="44"/>
    </w:rPr>
  </w:style>
  <w:style w:type="character" w:customStyle="1" w:styleId="53">
    <w:name w:val="标题 2 字符"/>
    <w:basedOn w:val="43"/>
    <w:link w:val="3"/>
    <w:qFormat/>
    <w:uiPriority w:val="0"/>
    <w:rPr>
      <w:rFonts w:ascii="宋体" w:hAnsi="宋体" w:eastAsia="宋体" w:cs="Times New Roman"/>
      <w:b/>
      <w:bCs/>
      <w:kern w:val="0"/>
      <w:sz w:val="36"/>
      <w:szCs w:val="36"/>
    </w:rPr>
  </w:style>
  <w:style w:type="character" w:customStyle="1" w:styleId="54">
    <w:name w:val="批注文字 Char"/>
    <w:semiHidden/>
    <w:qFormat/>
    <w:uiPriority w:val="0"/>
    <w:rPr>
      <w:szCs w:val="24"/>
    </w:rPr>
  </w:style>
  <w:style w:type="character" w:customStyle="1" w:styleId="55">
    <w:name w:val="批注主题 Char"/>
    <w:semiHidden/>
    <w:qFormat/>
    <w:uiPriority w:val="0"/>
    <w:rPr>
      <w:b/>
      <w:bCs/>
      <w:szCs w:val="24"/>
    </w:rPr>
  </w:style>
  <w:style w:type="character" w:customStyle="1" w:styleId="56">
    <w:name w:val="文档结构图 Char"/>
    <w:semiHidden/>
    <w:qFormat/>
    <w:uiPriority w:val="0"/>
    <w:rPr>
      <w:szCs w:val="24"/>
      <w:shd w:val="clear" w:color="auto" w:fill="000080"/>
    </w:rPr>
  </w:style>
  <w:style w:type="character" w:customStyle="1" w:styleId="57">
    <w:name w:val="脚注文本 Char"/>
    <w:qFormat/>
    <w:uiPriority w:val="0"/>
    <w:rPr>
      <w:rFonts w:ascii="宋体"/>
      <w:sz w:val="18"/>
      <w:szCs w:val="18"/>
    </w:rPr>
  </w:style>
  <w:style w:type="character" w:customStyle="1" w:styleId="58">
    <w:name w:val="con"/>
    <w:qFormat/>
    <w:uiPriority w:val="0"/>
  </w:style>
  <w:style w:type="character" w:customStyle="1" w:styleId="59">
    <w:name w:val="bar-label2"/>
    <w:qFormat/>
    <w:uiPriority w:val="99"/>
  </w:style>
  <w:style w:type="character" w:customStyle="1" w:styleId="60">
    <w:name w:val="正文文本缩进 2 Char"/>
    <w:qFormat/>
    <w:uiPriority w:val="99"/>
    <w:rPr>
      <w:szCs w:val="24"/>
    </w:rPr>
  </w:style>
  <w:style w:type="character" w:customStyle="1" w:styleId="61">
    <w:name w:val="日期 Char"/>
    <w:qFormat/>
    <w:uiPriority w:val="99"/>
    <w:rPr>
      <w:szCs w:val="24"/>
    </w:rPr>
  </w:style>
  <w:style w:type="character" w:customStyle="1" w:styleId="62">
    <w:name w:val="页脚 Char"/>
    <w:qFormat/>
    <w:locked/>
    <w:uiPriority w:val="99"/>
    <w:rPr>
      <w:sz w:val="18"/>
      <w:szCs w:val="18"/>
    </w:rPr>
  </w:style>
  <w:style w:type="character" w:customStyle="1" w:styleId="63">
    <w:name w:val="apple-converted-space"/>
    <w:basedOn w:val="43"/>
    <w:qFormat/>
    <w:uiPriority w:val="0"/>
  </w:style>
  <w:style w:type="character" w:customStyle="1" w:styleId="64">
    <w:name w:val="批注框文本 Char"/>
    <w:qFormat/>
    <w:uiPriority w:val="99"/>
    <w:rPr>
      <w:sz w:val="18"/>
      <w:szCs w:val="18"/>
    </w:rPr>
  </w:style>
  <w:style w:type="character" w:customStyle="1" w:styleId="65">
    <w:name w:val="页眉 Char"/>
    <w:qFormat/>
    <w:locked/>
    <w:uiPriority w:val="99"/>
    <w:rPr>
      <w:sz w:val="18"/>
      <w:szCs w:val="18"/>
    </w:rPr>
  </w:style>
  <w:style w:type="character" w:customStyle="1" w:styleId="66">
    <w:name w:val="首示例 Char"/>
    <w:link w:val="67"/>
    <w:qFormat/>
    <w:uiPriority w:val="0"/>
    <w:rPr>
      <w:rFonts w:ascii="宋体" w:hAnsi="宋体"/>
      <w:sz w:val="18"/>
      <w:szCs w:val="18"/>
    </w:rPr>
  </w:style>
  <w:style w:type="paragraph" w:customStyle="1" w:styleId="67">
    <w:name w:val="首示例"/>
    <w:next w:val="68"/>
    <w:link w:val="66"/>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8">
    <w:name w:val="段"/>
    <w:link w:val="69"/>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9">
    <w:name w:val="段 Char"/>
    <w:link w:val="68"/>
    <w:qFormat/>
    <w:uiPriority w:val="0"/>
    <w:rPr>
      <w:rFonts w:ascii="宋体"/>
    </w:rPr>
  </w:style>
  <w:style w:type="character" w:customStyle="1" w:styleId="70">
    <w:name w:val="附录公式 Char"/>
    <w:basedOn w:val="69"/>
    <w:link w:val="71"/>
    <w:qFormat/>
    <w:uiPriority w:val="0"/>
    <w:rPr>
      <w:rFonts w:ascii="宋体"/>
    </w:rPr>
  </w:style>
  <w:style w:type="paragraph" w:customStyle="1" w:styleId="71">
    <w:name w:val="附录公式"/>
    <w:basedOn w:val="68"/>
    <w:next w:val="68"/>
    <w:link w:val="70"/>
    <w:qFormat/>
    <w:uiPriority w:val="0"/>
  </w:style>
  <w:style w:type="character" w:customStyle="1" w:styleId="72">
    <w:name w:val="发布"/>
    <w:qFormat/>
    <w:uiPriority w:val="0"/>
    <w:rPr>
      <w:rFonts w:ascii="黑体" w:eastAsia="黑体"/>
      <w:spacing w:val="85"/>
      <w:w w:val="100"/>
      <w:position w:val="3"/>
      <w:sz w:val="28"/>
      <w:szCs w:val="28"/>
    </w:rPr>
  </w:style>
  <w:style w:type="character" w:customStyle="1" w:styleId="73">
    <w:name w:val="一级条标题 Char"/>
    <w:link w:val="74"/>
    <w:qFormat/>
    <w:uiPriority w:val="0"/>
    <w:rPr>
      <w:rFonts w:ascii="黑体" w:eastAsia="黑体"/>
      <w:szCs w:val="21"/>
    </w:rPr>
  </w:style>
  <w:style w:type="paragraph" w:customStyle="1" w:styleId="74">
    <w:name w:val="一级条标题"/>
    <w:next w:val="68"/>
    <w:link w:val="73"/>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5">
    <w:name w:val="HTML 预设格式 Char"/>
    <w:qFormat/>
    <w:uiPriority w:val="0"/>
    <w:rPr>
      <w:rFonts w:ascii="Courier New" w:hAnsi="Courier New" w:cs="Courier New"/>
    </w:rPr>
  </w:style>
  <w:style w:type="character" w:customStyle="1" w:styleId="76">
    <w:name w:val="尾注文本 Char"/>
    <w:semiHidden/>
    <w:qFormat/>
    <w:uiPriority w:val="0"/>
    <w:rPr>
      <w:szCs w:val="24"/>
    </w:rPr>
  </w:style>
  <w:style w:type="paragraph" w:customStyle="1" w:styleId="77">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8">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9">
    <w:name w:val="List Paragraph"/>
    <w:basedOn w:val="1"/>
    <w:qFormat/>
    <w:uiPriority w:val="34"/>
    <w:pPr>
      <w:ind w:firstLine="420" w:firstLineChars="200"/>
    </w:pPr>
    <w:rPr>
      <w:rFonts w:ascii="宋体" w:hAnsi="宋体" w:cs="宋体"/>
      <w:kern w:val="0"/>
      <w:sz w:val="24"/>
    </w:rPr>
  </w:style>
  <w:style w:type="paragraph" w:customStyle="1" w:styleId="80">
    <w:name w:val="封面一致性程度标识2"/>
    <w:basedOn w:val="81"/>
    <w:qFormat/>
    <w:uiPriority w:val="0"/>
    <w:pPr>
      <w:framePr w:wrap="around" w:y="4469"/>
    </w:pPr>
  </w:style>
  <w:style w:type="paragraph" w:customStyle="1" w:styleId="81">
    <w:name w:val="封面一致性程度标识"/>
    <w:basedOn w:val="82"/>
    <w:qFormat/>
    <w:uiPriority w:val="0"/>
    <w:pPr>
      <w:framePr w:wrap="around"/>
      <w:spacing w:before="440"/>
    </w:pPr>
    <w:rPr>
      <w:rFonts w:ascii="宋体" w:eastAsia="宋体"/>
    </w:rPr>
  </w:style>
  <w:style w:type="paragraph" w:customStyle="1" w:styleId="82">
    <w:name w:val="封面标准英文名称"/>
    <w:basedOn w:val="83"/>
    <w:qFormat/>
    <w:uiPriority w:val="0"/>
    <w:pPr>
      <w:framePr w:wrap="around"/>
      <w:spacing w:before="370" w:line="400" w:lineRule="exact"/>
    </w:pPr>
    <w:rPr>
      <w:rFonts w:ascii="Times New Roman"/>
      <w:sz w:val="28"/>
      <w:szCs w:val="28"/>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2"/>
    <w:basedOn w:val="82"/>
    <w:qFormat/>
    <w:uiPriority w:val="0"/>
    <w:pPr>
      <w:framePr w:wrap="around" w:y="4469"/>
    </w:pPr>
  </w:style>
  <w:style w:type="paragraph" w:customStyle="1" w:styleId="85">
    <w:name w:val="其他发布日期"/>
    <w:basedOn w:val="86"/>
    <w:qFormat/>
    <w:uiPriority w:val="0"/>
    <w:pPr>
      <w:framePr w:wrap="around" w:vAnchor="page" w:hAnchor="text" w:x="1419"/>
    </w:pPr>
  </w:style>
  <w:style w:type="paragraph" w:customStyle="1" w:styleId="86">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7">
    <w:name w:val="正文公式编号制表符"/>
    <w:basedOn w:val="68"/>
    <w:next w:val="68"/>
    <w:qFormat/>
    <w:uiPriority w:val="0"/>
    <w:pPr>
      <w:ind w:firstLine="0" w:firstLineChars="0"/>
    </w:pPr>
  </w:style>
  <w:style w:type="paragraph" w:customStyle="1" w:styleId="88">
    <w:name w:val="正文表标题"/>
    <w:next w:val="68"/>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9">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0">
    <w:name w:val="一级无"/>
    <w:basedOn w:val="74"/>
    <w:qFormat/>
    <w:uiPriority w:val="0"/>
  </w:style>
  <w:style w:type="paragraph" w:customStyle="1" w:styleId="91">
    <w:name w:val="图的脚注"/>
    <w:next w:val="68"/>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2">
    <w:name w:val="图标脚注说明"/>
    <w:basedOn w:val="68"/>
    <w:qFormat/>
    <w:uiPriority w:val="0"/>
    <w:pPr>
      <w:ind w:left="840" w:hanging="420" w:firstLineChars="0"/>
    </w:pPr>
    <w:rPr>
      <w:sz w:val="18"/>
      <w:szCs w:val="18"/>
    </w:rPr>
  </w:style>
  <w:style w:type="paragraph" w:customStyle="1" w:styleId="93">
    <w:name w:val="示例后文字"/>
    <w:basedOn w:val="68"/>
    <w:next w:val="68"/>
    <w:qFormat/>
    <w:uiPriority w:val="0"/>
    <w:pPr>
      <w:ind w:firstLine="360"/>
    </w:pPr>
    <w:rPr>
      <w:sz w:val="18"/>
    </w:rPr>
  </w:style>
  <w:style w:type="paragraph" w:customStyle="1" w:styleId="94">
    <w:name w:val="实施日期"/>
    <w:basedOn w:val="86"/>
    <w:qFormat/>
    <w:uiPriority w:val="0"/>
    <w:pPr>
      <w:framePr w:wrap="around" w:vAnchor="page" w:hAnchor="text"/>
      <w:jc w:val="right"/>
    </w:pPr>
  </w:style>
  <w:style w:type="paragraph" w:customStyle="1" w:styleId="95">
    <w:name w:val="前言、引言标题"/>
    <w:next w:val="68"/>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9">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0">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1">
    <w:name w:val="条文脚注"/>
    <w:basedOn w:val="30"/>
    <w:qFormat/>
    <w:uiPriority w:val="0"/>
    <w:pPr>
      <w:ind w:left="0" w:firstLine="0"/>
      <w:jc w:val="both"/>
    </w:pPr>
  </w:style>
  <w:style w:type="paragraph" w:customStyle="1" w:styleId="102">
    <w:name w:val="附录一级无"/>
    <w:basedOn w:val="103"/>
    <w:qFormat/>
    <w:uiPriority w:val="0"/>
    <w:pPr>
      <w:tabs>
        <w:tab w:val="left" w:pos="360"/>
      </w:tabs>
      <w:spacing w:beforeLines="0" w:afterLines="0"/>
    </w:pPr>
    <w:rPr>
      <w:rFonts w:ascii="宋体" w:eastAsia="宋体"/>
      <w:szCs w:val="21"/>
    </w:rPr>
  </w:style>
  <w:style w:type="paragraph" w:customStyle="1" w:styleId="103">
    <w:name w:val="附录一级条标题"/>
    <w:basedOn w:val="104"/>
    <w:next w:val="68"/>
    <w:qFormat/>
    <w:uiPriority w:val="0"/>
    <w:pPr>
      <w:tabs>
        <w:tab w:val="left" w:pos="360"/>
      </w:tabs>
      <w:autoSpaceDN w:val="0"/>
      <w:spacing w:beforeLines="50" w:afterLines="50"/>
      <w:outlineLvl w:val="2"/>
    </w:pPr>
  </w:style>
  <w:style w:type="paragraph" w:customStyle="1" w:styleId="104">
    <w:name w:val="附录章标题"/>
    <w:next w:val="68"/>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五级无"/>
    <w:basedOn w:val="106"/>
    <w:qFormat/>
    <w:uiPriority w:val="0"/>
    <w:pPr>
      <w:tabs>
        <w:tab w:val="left" w:pos="360"/>
      </w:tabs>
      <w:spacing w:beforeLines="0" w:afterLines="0"/>
    </w:pPr>
    <w:rPr>
      <w:rFonts w:ascii="宋体" w:eastAsia="宋体"/>
      <w:szCs w:val="21"/>
    </w:rPr>
  </w:style>
  <w:style w:type="paragraph" w:customStyle="1" w:styleId="106">
    <w:name w:val="附录五级条标题"/>
    <w:basedOn w:val="107"/>
    <w:next w:val="68"/>
    <w:qFormat/>
    <w:uiPriority w:val="0"/>
    <w:pPr>
      <w:tabs>
        <w:tab w:val="left" w:pos="360"/>
      </w:tabs>
      <w:outlineLvl w:val="6"/>
    </w:pPr>
  </w:style>
  <w:style w:type="paragraph" w:customStyle="1" w:styleId="107">
    <w:name w:val="附录四级条标题"/>
    <w:basedOn w:val="108"/>
    <w:next w:val="68"/>
    <w:qFormat/>
    <w:uiPriority w:val="0"/>
    <w:pPr>
      <w:tabs>
        <w:tab w:val="left" w:pos="360"/>
      </w:tabs>
    </w:pPr>
  </w:style>
  <w:style w:type="paragraph" w:customStyle="1" w:styleId="108">
    <w:name w:val="附录三级条标题"/>
    <w:basedOn w:val="109"/>
    <w:next w:val="68"/>
    <w:qFormat/>
    <w:uiPriority w:val="0"/>
    <w:pPr>
      <w:tabs>
        <w:tab w:val="left" w:pos="360"/>
      </w:tabs>
    </w:pPr>
  </w:style>
  <w:style w:type="paragraph" w:customStyle="1" w:styleId="109">
    <w:name w:val="附录二级条标题"/>
    <w:basedOn w:val="1"/>
    <w:next w:val="68"/>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图标题"/>
    <w:basedOn w:val="1"/>
    <w:next w:val="68"/>
    <w:qFormat/>
    <w:uiPriority w:val="0"/>
    <w:pPr>
      <w:tabs>
        <w:tab w:val="left" w:pos="363"/>
      </w:tabs>
      <w:spacing w:beforeLines="50" w:afterLines="50"/>
      <w:jc w:val="center"/>
    </w:pPr>
    <w:rPr>
      <w:rFonts w:ascii="黑体" w:eastAsia="黑体"/>
      <w:szCs w:val="21"/>
    </w:rPr>
  </w:style>
  <w:style w:type="paragraph" w:customStyle="1" w:styleId="111">
    <w:name w:val="附录图标号"/>
    <w:basedOn w:val="1"/>
    <w:qFormat/>
    <w:uiPriority w:val="0"/>
    <w:pPr>
      <w:keepNext/>
      <w:pageBreakBefore/>
      <w:spacing w:line="14" w:lineRule="exact"/>
      <w:ind w:firstLine="363"/>
      <w:jc w:val="center"/>
      <w:outlineLvl w:val="0"/>
    </w:pPr>
    <w:rPr>
      <w:color w:val="FFFFFF"/>
    </w:rPr>
  </w:style>
  <w:style w:type="paragraph" w:customStyle="1" w:styleId="112">
    <w:name w:val="附录四级无"/>
    <w:basedOn w:val="107"/>
    <w:qFormat/>
    <w:uiPriority w:val="0"/>
    <w:pPr>
      <w:tabs>
        <w:tab w:val="clear" w:pos="360"/>
      </w:tabs>
      <w:spacing w:beforeLines="0" w:afterLines="0"/>
      <w:outlineLvl w:val="5"/>
    </w:pPr>
    <w:rPr>
      <w:rFonts w:ascii="宋体" w:eastAsia="宋体"/>
      <w:szCs w:val="21"/>
    </w:rPr>
  </w:style>
  <w:style w:type="paragraph" w:customStyle="1" w:styleId="113">
    <w:name w:val="附录三级无"/>
    <w:basedOn w:val="108"/>
    <w:qFormat/>
    <w:uiPriority w:val="0"/>
  </w:style>
  <w:style w:type="paragraph" w:customStyle="1" w:styleId="114">
    <w:name w:val="注："/>
    <w:next w:val="68"/>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5">
    <w:name w:val="附录公式编号制表符"/>
    <w:basedOn w:val="1"/>
    <w:next w:val="68"/>
    <w:qFormat/>
    <w:uiPriority w:val="0"/>
    <w:pPr>
      <w:tabs>
        <w:tab w:val="center" w:pos="4201"/>
        <w:tab w:val="right" w:leader="dot" w:pos="9298"/>
      </w:tabs>
      <w:autoSpaceDE w:val="0"/>
      <w:autoSpaceDN w:val="0"/>
    </w:pPr>
    <w:rPr>
      <w:rFonts w:ascii="宋体"/>
      <w:kern w:val="0"/>
      <w:szCs w:val="20"/>
    </w:rPr>
  </w:style>
  <w:style w:type="paragraph" w:customStyle="1" w:styleId="116">
    <w:name w:val="附录二级无"/>
    <w:basedOn w:val="109"/>
    <w:qFormat/>
    <w:uiPriority w:val="0"/>
  </w:style>
  <w:style w:type="paragraph" w:customStyle="1" w:styleId="117">
    <w:name w:val="附录标题"/>
    <w:basedOn w:val="68"/>
    <w:next w:val="68"/>
    <w:qFormat/>
    <w:uiPriority w:val="0"/>
    <w:pPr>
      <w:ind w:firstLine="0" w:firstLineChars="0"/>
      <w:jc w:val="center"/>
    </w:pPr>
    <w:rPr>
      <w:rFonts w:ascii="黑体" w:eastAsia="黑体"/>
    </w:rPr>
  </w:style>
  <w:style w:type="paragraph" w:customStyle="1" w:styleId="118">
    <w:name w:val="参考文献"/>
    <w:basedOn w:val="1"/>
    <w:next w:val="68"/>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9">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0">
    <w:name w:val="封面标准文稿类别"/>
    <w:basedOn w:val="81"/>
    <w:qFormat/>
    <w:uiPriority w:val="0"/>
    <w:pPr>
      <w:framePr w:wrap="around"/>
      <w:spacing w:after="160" w:line="240" w:lineRule="auto"/>
    </w:pPr>
    <w:rPr>
      <w:sz w:val="24"/>
    </w:rPr>
  </w:style>
  <w:style w:type="paragraph" w:customStyle="1" w:styleId="121">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2">
    <w:name w:val="其他实施日期"/>
    <w:basedOn w:val="94"/>
    <w:qFormat/>
    <w:uiPriority w:val="0"/>
    <w:pPr>
      <w:framePr w:wrap="around" w:vAnchor="margin" w:hAnchor="page"/>
    </w:p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发布部门"/>
    <w:next w:val="68"/>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5">
    <w:name w:val="注：（正文）"/>
    <w:basedOn w:val="114"/>
    <w:next w:val="68"/>
    <w:qFormat/>
    <w:uiPriority w:val="0"/>
  </w:style>
  <w:style w:type="paragraph" w:customStyle="1" w:styleId="126">
    <w:name w:val="参考文献、索引标题"/>
    <w:basedOn w:val="1"/>
    <w:next w:val="68"/>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9">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0">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2">
    <w:name w:val="示例×："/>
    <w:basedOn w:val="133"/>
    <w:qFormat/>
    <w:uiPriority w:val="0"/>
    <w:pPr>
      <w:spacing w:beforeLines="0" w:afterLines="0"/>
      <w:ind w:firstLine="363"/>
      <w:outlineLvl w:val="9"/>
    </w:pPr>
    <w:rPr>
      <w:rFonts w:ascii="宋体" w:eastAsia="宋体"/>
      <w:sz w:val="18"/>
      <w:szCs w:val="18"/>
    </w:rPr>
  </w:style>
  <w:style w:type="paragraph" w:customStyle="1" w:styleId="133">
    <w:name w:val="章标题"/>
    <w:next w:val="68"/>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4">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5">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6">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7">
    <w:name w:val="五级无"/>
    <w:basedOn w:val="138"/>
    <w:qFormat/>
    <w:uiPriority w:val="0"/>
    <w:pPr>
      <w:spacing w:beforeLines="0" w:afterLines="0"/>
      <w:outlineLvl w:val="6"/>
    </w:pPr>
    <w:rPr>
      <w:rFonts w:ascii="宋体" w:eastAsia="宋体"/>
    </w:rPr>
  </w:style>
  <w:style w:type="paragraph" w:customStyle="1" w:styleId="138">
    <w:name w:val="五级条标题"/>
    <w:basedOn w:val="139"/>
    <w:next w:val="68"/>
    <w:qFormat/>
    <w:uiPriority w:val="0"/>
  </w:style>
  <w:style w:type="paragraph" w:customStyle="1" w:styleId="139">
    <w:name w:val="四级条标题"/>
    <w:basedOn w:val="140"/>
    <w:next w:val="68"/>
    <w:qFormat/>
    <w:uiPriority w:val="0"/>
  </w:style>
  <w:style w:type="paragraph" w:customStyle="1" w:styleId="140">
    <w:name w:val="三级条标题"/>
    <w:basedOn w:val="141"/>
    <w:next w:val="68"/>
    <w:qFormat/>
    <w:uiPriority w:val="0"/>
  </w:style>
  <w:style w:type="paragraph" w:customStyle="1" w:styleId="141">
    <w:name w:val="二级条标题"/>
    <w:basedOn w:val="74"/>
    <w:next w:val="68"/>
    <w:qFormat/>
    <w:uiPriority w:val="0"/>
  </w:style>
  <w:style w:type="paragraph" w:customStyle="1" w:styleId="142">
    <w:name w:val="四级无"/>
    <w:basedOn w:val="139"/>
    <w:qFormat/>
    <w:uiPriority w:val="0"/>
  </w:style>
  <w:style w:type="paragraph" w:customStyle="1" w:styleId="143">
    <w:name w:val="三级无"/>
    <w:basedOn w:val="140"/>
    <w:qFormat/>
    <w:uiPriority w:val="0"/>
  </w:style>
  <w:style w:type="paragraph" w:customStyle="1" w:styleId="144">
    <w:name w:val="其他标准标志"/>
    <w:basedOn w:val="128"/>
    <w:qFormat/>
    <w:uiPriority w:val="0"/>
    <w:pPr>
      <w:framePr w:w="6101" w:wrap="around" w:vAnchor="page" w:hAnchor="page" w:x="4673" w:y="942"/>
    </w:pPr>
    <w:rPr>
      <w:w w:val="130"/>
    </w:rPr>
  </w:style>
  <w:style w:type="paragraph" w:customStyle="1" w:styleId="145">
    <w:name w:val="目次、标准名称标题"/>
    <w:basedOn w:val="1"/>
    <w:next w:val="68"/>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8">
    <w:name w:val="批注框文本 字符"/>
    <w:basedOn w:val="43"/>
    <w:link w:val="25"/>
    <w:semiHidden/>
    <w:qFormat/>
    <w:uiPriority w:val="99"/>
    <w:rPr>
      <w:rFonts w:ascii="Times New Roman" w:hAnsi="Times New Roman" w:eastAsia="宋体" w:cs="Times New Roman"/>
      <w:sz w:val="18"/>
      <w:szCs w:val="18"/>
    </w:rPr>
  </w:style>
  <w:style w:type="paragraph" w:customStyle="1" w:styleId="149">
    <w:name w:val="列项◆（三级）"/>
    <w:basedOn w:val="1"/>
    <w:qFormat/>
    <w:uiPriority w:val="99"/>
    <w:pPr>
      <w:tabs>
        <w:tab w:val="left" w:pos="969"/>
      </w:tabs>
      <w:ind w:left="969" w:hanging="414"/>
    </w:pPr>
    <w:rPr>
      <w:rFonts w:ascii="宋体"/>
      <w:szCs w:val="21"/>
    </w:rPr>
  </w:style>
  <w:style w:type="paragraph" w:customStyle="1" w:styleId="150">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1">
    <w:name w:val="页眉 字符"/>
    <w:basedOn w:val="43"/>
    <w:link w:val="17"/>
    <w:semiHidden/>
    <w:qFormat/>
    <w:uiPriority w:val="99"/>
    <w:rPr>
      <w:rFonts w:ascii="Times New Roman" w:hAnsi="Times New Roman" w:eastAsia="宋体" w:cs="Times New Roman"/>
      <w:sz w:val="18"/>
      <w:szCs w:val="18"/>
    </w:rPr>
  </w:style>
  <w:style w:type="paragraph" w:customStyle="1" w:styleId="152">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3">
    <w:name w:val="其他发布部门"/>
    <w:basedOn w:val="124"/>
    <w:qFormat/>
    <w:uiPriority w:val="0"/>
    <w:pPr>
      <w:framePr w:wrap="around" w:y="15310"/>
      <w:spacing w:line="0" w:lineRule="atLeast"/>
    </w:pPr>
    <w:rPr>
      <w:rFonts w:ascii="黑体" w:eastAsia="黑体"/>
      <w:b w:val="0"/>
    </w:rPr>
  </w:style>
  <w:style w:type="paragraph" w:customStyle="1" w:styleId="154">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5">
    <w:name w:val="正文图标题"/>
    <w:next w:val="68"/>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6">
    <w:name w:val="HTML 预设格式 字符"/>
    <w:basedOn w:val="43"/>
    <w:link w:val="35"/>
    <w:semiHidden/>
    <w:qFormat/>
    <w:uiPriority w:val="99"/>
    <w:rPr>
      <w:rFonts w:ascii="Courier New" w:hAnsi="Courier New" w:eastAsia="宋体" w:cs="Courier New"/>
      <w:sz w:val="20"/>
      <w:szCs w:val="20"/>
    </w:rPr>
  </w:style>
  <w:style w:type="paragraph" w:customStyle="1" w:styleId="157">
    <w:name w:val="附录标识"/>
    <w:basedOn w:val="1"/>
    <w:next w:val="68"/>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8">
    <w:name w:val="脚注文本 字符"/>
    <w:basedOn w:val="43"/>
    <w:link w:val="30"/>
    <w:semiHidden/>
    <w:qFormat/>
    <w:uiPriority w:val="99"/>
    <w:rPr>
      <w:rFonts w:ascii="Times New Roman" w:hAnsi="Times New Roman" w:eastAsia="宋体" w:cs="Times New Roman"/>
      <w:sz w:val="18"/>
      <w:szCs w:val="18"/>
    </w:rPr>
  </w:style>
  <w:style w:type="paragraph" w:customStyle="1" w:styleId="159">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0">
    <w:name w:val="二级无"/>
    <w:basedOn w:val="141"/>
    <w:qFormat/>
    <w:uiPriority w:val="0"/>
  </w:style>
  <w:style w:type="paragraph" w:customStyle="1" w:styleId="161">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2">
    <w:name w:val="正文文本缩进 2 字符"/>
    <w:basedOn w:val="43"/>
    <w:link w:val="23"/>
    <w:semiHidden/>
    <w:qFormat/>
    <w:uiPriority w:val="99"/>
    <w:rPr>
      <w:rFonts w:ascii="Times New Roman" w:hAnsi="Times New Roman" w:eastAsia="宋体" w:cs="Times New Roman"/>
      <w:szCs w:val="24"/>
    </w:rPr>
  </w:style>
  <w:style w:type="paragraph" w:customStyle="1" w:styleId="163">
    <w:name w:val="封面标准文稿编辑信息2"/>
    <w:basedOn w:val="164"/>
    <w:qFormat/>
    <w:uiPriority w:val="0"/>
    <w:pPr>
      <w:framePr w:wrap="around" w:y="4469"/>
    </w:pPr>
  </w:style>
  <w:style w:type="paragraph" w:customStyle="1" w:styleId="164">
    <w:name w:val="封面标准文稿编辑信息"/>
    <w:basedOn w:val="120"/>
    <w:qFormat/>
    <w:uiPriority w:val="0"/>
    <w:pPr>
      <w:framePr w:wrap="around"/>
      <w:spacing w:before="180" w:line="180" w:lineRule="exact"/>
    </w:pPr>
    <w:rPr>
      <w:sz w:val="21"/>
    </w:rPr>
  </w:style>
  <w:style w:type="paragraph" w:customStyle="1" w:styleId="165">
    <w:name w:val="附录表标题"/>
    <w:basedOn w:val="1"/>
    <w:next w:val="68"/>
    <w:qFormat/>
    <w:uiPriority w:val="0"/>
    <w:pPr>
      <w:tabs>
        <w:tab w:val="left" w:pos="180"/>
      </w:tabs>
      <w:spacing w:beforeLines="50" w:afterLines="50"/>
      <w:jc w:val="center"/>
    </w:pPr>
    <w:rPr>
      <w:rFonts w:ascii="黑体" w:eastAsia="黑体"/>
      <w:szCs w:val="21"/>
    </w:rPr>
  </w:style>
  <w:style w:type="paragraph" w:customStyle="1" w:styleId="166">
    <w:name w:val="标准书眉_偶数页"/>
    <w:basedOn w:val="150"/>
    <w:next w:val="1"/>
    <w:qFormat/>
    <w:uiPriority w:val="0"/>
    <w:pPr>
      <w:jc w:val="left"/>
    </w:pPr>
  </w:style>
  <w:style w:type="paragraph" w:customStyle="1" w:styleId="167">
    <w:name w:val="附录表标号"/>
    <w:basedOn w:val="1"/>
    <w:next w:val="68"/>
    <w:qFormat/>
    <w:uiPriority w:val="0"/>
    <w:pPr>
      <w:spacing w:line="14" w:lineRule="exact"/>
      <w:ind w:left="811" w:hanging="448"/>
      <w:jc w:val="center"/>
      <w:outlineLvl w:val="0"/>
    </w:pPr>
    <w:rPr>
      <w:color w:val="FFFFFF"/>
    </w:rPr>
  </w:style>
  <w:style w:type="paragraph" w:customStyle="1" w:styleId="168">
    <w:name w:val="图表脚注说明"/>
    <w:basedOn w:val="1"/>
    <w:qFormat/>
    <w:uiPriority w:val="0"/>
    <w:pPr>
      <w:ind w:left="544" w:hanging="181"/>
    </w:pPr>
    <w:rPr>
      <w:rFonts w:ascii="宋体"/>
      <w:sz w:val="18"/>
      <w:szCs w:val="18"/>
    </w:rPr>
  </w:style>
  <w:style w:type="character" w:customStyle="1" w:styleId="169">
    <w:name w:val="页脚 字符"/>
    <w:basedOn w:val="43"/>
    <w:link w:val="26"/>
    <w:semiHidden/>
    <w:qFormat/>
    <w:uiPriority w:val="99"/>
    <w:rPr>
      <w:rFonts w:ascii="Times New Roman" w:hAnsi="Times New Roman" w:eastAsia="宋体" w:cs="Times New Roman"/>
      <w:sz w:val="18"/>
      <w:szCs w:val="18"/>
    </w:rPr>
  </w:style>
  <w:style w:type="character" w:customStyle="1" w:styleId="170">
    <w:name w:val="批注文字 字符"/>
    <w:basedOn w:val="43"/>
    <w:link w:val="12"/>
    <w:semiHidden/>
    <w:qFormat/>
    <w:uiPriority w:val="99"/>
    <w:rPr>
      <w:rFonts w:ascii="Times New Roman" w:hAnsi="Times New Roman" w:eastAsia="宋体" w:cs="Times New Roman"/>
      <w:szCs w:val="24"/>
    </w:rPr>
  </w:style>
  <w:style w:type="paragraph" w:customStyle="1" w:styleId="171">
    <w:name w:val="封面标准名称2"/>
    <w:basedOn w:val="83"/>
    <w:qFormat/>
    <w:uiPriority w:val="0"/>
    <w:pPr>
      <w:framePr w:wrap="around" w:y="4469"/>
      <w:spacing w:beforeLines="630"/>
    </w:pPr>
  </w:style>
  <w:style w:type="character" w:customStyle="1" w:styleId="172">
    <w:name w:val="日期 字符"/>
    <w:basedOn w:val="43"/>
    <w:link w:val="22"/>
    <w:semiHidden/>
    <w:qFormat/>
    <w:uiPriority w:val="99"/>
    <w:rPr>
      <w:rFonts w:ascii="Times New Roman" w:hAnsi="Times New Roman" w:eastAsia="宋体" w:cs="Times New Roman"/>
      <w:szCs w:val="24"/>
    </w:rPr>
  </w:style>
  <w:style w:type="character" w:customStyle="1" w:styleId="173">
    <w:name w:val="文档结构图 字符"/>
    <w:basedOn w:val="43"/>
    <w:link w:val="11"/>
    <w:semiHidden/>
    <w:qFormat/>
    <w:uiPriority w:val="99"/>
    <w:rPr>
      <w:rFonts w:ascii="宋体" w:hAnsi="Times New Roman" w:eastAsia="宋体" w:cs="Times New Roman"/>
      <w:sz w:val="18"/>
      <w:szCs w:val="18"/>
    </w:rPr>
  </w:style>
  <w:style w:type="paragraph" w:customStyle="1" w:styleId="174">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5">
    <w:name w:val="封面标准文稿类别2"/>
    <w:basedOn w:val="120"/>
    <w:qFormat/>
    <w:uiPriority w:val="0"/>
    <w:pPr>
      <w:framePr w:wrap="around" w:y="4469"/>
    </w:pPr>
  </w:style>
  <w:style w:type="paragraph" w:customStyle="1" w:styleId="176">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7">
    <w:name w:val="终结线"/>
    <w:basedOn w:val="1"/>
    <w:qFormat/>
    <w:uiPriority w:val="0"/>
    <w:pPr>
      <w:framePr w:hSpace="181" w:vSpace="181" w:wrap="around" w:vAnchor="text" w:hAnchor="margin" w:xAlign="center" w:y="285"/>
    </w:pPr>
  </w:style>
  <w:style w:type="character" w:customStyle="1" w:styleId="178">
    <w:name w:val="批注主题 字符"/>
    <w:basedOn w:val="170"/>
    <w:link w:val="39"/>
    <w:semiHidden/>
    <w:qFormat/>
    <w:uiPriority w:val="99"/>
    <w:rPr>
      <w:rFonts w:ascii="Times New Roman" w:hAnsi="Times New Roman" w:eastAsia="宋体" w:cs="Times New Roman"/>
      <w:b/>
      <w:bCs/>
      <w:szCs w:val="24"/>
    </w:rPr>
  </w:style>
  <w:style w:type="character" w:customStyle="1" w:styleId="179">
    <w:name w:val="尾注文本 字符"/>
    <w:basedOn w:val="43"/>
    <w:link w:val="24"/>
    <w:semiHidden/>
    <w:qFormat/>
    <w:uiPriority w:val="99"/>
    <w:rPr>
      <w:rFonts w:ascii="Times New Roman" w:hAnsi="Times New Roman" w:eastAsia="宋体" w:cs="Times New Roman"/>
      <w:szCs w:val="24"/>
    </w:rPr>
  </w:style>
  <w:style w:type="paragraph" w:customStyle="1" w:styleId="180">
    <w:name w:val="示例"/>
    <w:next w:val="131"/>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1">
    <w:name w:val="正文文本 3 字符"/>
    <w:basedOn w:val="43"/>
    <w:link w:val="14"/>
    <w:semiHidden/>
    <w:qFormat/>
    <w:uiPriority w:val="99"/>
    <w:rPr>
      <w:rFonts w:ascii="Times New Roman" w:hAnsi="Times New Roman" w:eastAsia="宋体" w:cs="Times New Roman"/>
      <w:sz w:val="16"/>
      <w:szCs w:val="16"/>
    </w:rPr>
  </w:style>
  <w:style w:type="character" w:customStyle="1" w:styleId="182">
    <w:name w:val="标题 字符"/>
    <w:basedOn w:val="43"/>
    <w:link w:val="38"/>
    <w:qFormat/>
    <w:uiPriority w:val="0"/>
    <w:rPr>
      <w:rFonts w:ascii="Arial" w:hAnsi="Arial" w:eastAsia="宋体" w:cs="Times New Roman"/>
      <w:b/>
      <w:kern w:val="0"/>
      <w:sz w:val="32"/>
      <w:szCs w:val="20"/>
    </w:rPr>
  </w:style>
  <w:style w:type="paragraph" w:customStyle="1" w:styleId="183">
    <w:name w:val="p0"/>
    <w:basedOn w:val="1"/>
    <w:qFormat/>
    <w:uiPriority w:val="0"/>
    <w:pPr>
      <w:spacing w:line="240" w:lineRule="auto"/>
      <w:jc w:val="both"/>
    </w:pPr>
    <w:rPr>
      <w:kern w:val="0"/>
      <w:szCs w:val="21"/>
    </w:rPr>
  </w:style>
  <w:style w:type="character" w:customStyle="1" w:styleId="184">
    <w:name w:val="纯文本 字符"/>
    <w:basedOn w:val="43"/>
    <w:link w:val="20"/>
    <w:qFormat/>
    <w:uiPriority w:val="99"/>
    <w:rPr>
      <w:rFonts w:ascii="宋体" w:hAnsi="Courier New" w:eastAsia="宋体" w:cs="Courier New"/>
      <w:szCs w:val="21"/>
    </w:rPr>
  </w:style>
  <w:style w:type="paragraph" w:customStyle="1" w:styleId="1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6">
    <w:name w:val="正文文本 字符"/>
    <w:basedOn w:val="43"/>
    <w:link w:val="15"/>
    <w:semiHidden/>
    <w:qFormat/>
    <w:uiPriority w:val="99"/>
    <w:rPr>
      <w:kern w:val="2"/>
      <w:sz w:val="21"/>
      <w:szCs w:val="24"/>
    </w:rPr>
  </w:style>
  <w:style w:type="paragraph" w:customStyle="1" w:styleId="187">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8">
    <w:name w:val="标题 4 字符"/>
    <w:basedOn w:val="43"/>
    <w:link w:val="5"/>
    <w:semiHidden/>
    <w:qFormat/>
    <w:uiPriority w:val="9"/>
    <w:rPr>
      <w:rFonts w:asciiTheme="majorHAnsi" w:hAnsiTheme="majorHAnsi" w:eastAsiaTheme="majorEastAsia" w:cstheme="majorBidi"/>
      <w:b/>
      <w:bCs/>
      <w:kern w:val="2"/>
      <w:sz w:val="28"/>
      <w:szCs w:val="28"/>
    </w:rPr>
  </w:style>
  <w:style w:type="paragraph" w:customStyle="1" w:styleId="189">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90">
    <w:name w:val="_Style 4"/>
    <w:qFormat/>
    <w:uiPriority w:val="31"/>
    <w:rPr>
      <w:smallCaps/>
      <w:color w:val="C0504D"/>
      <w:u w:val="single"/>
    </w:rPr>
  </w:style>
  <w:style w:type="paragraph" w:customStyle="1" w:styleId="191">
    <w:name w:val="纯文本1"/>
    <w:basedOn w:val="1"/>
    <w:qFormat/>
    <w:uiPriority w:val="0"/>
    <w:rPr>
      <w:rFonts w:ascii="宋体" w:hAnsi="Courier New" w:cs="Courier New"/>
      <w:szCs w:val="21"/>
    </w:rPr>
  </w:style>
  <w:style w:type="paragraph" w:customStyle="1" w:styleId="192">
    <w:name w:val="CM99"/>
    <w:basedOn w:val="51"/>
    <w:next w:val="51"/>
    <w:qFormat/>
    <w:uiPriority w:val="0"/>
    <w:pPr>
      <w:spacing w:after="443"/>
    </w:pPr>
  </w:style>
  <w:style w:type="paragraph" w:customStyle="1" w:styleId="193">
    <w:name w:val="CM80"/>
    <w:basedOn w:val="51"/>
    <w:next w:val="51"/>
    <w:qFormat/>
    <w:uiPriority w:val="0"/>
    <w:pPr>
      <w:spacing w:line="440" w:lineRule="atLeast"/>
    </w:pPr>
  </w:style>
  <w:style w:type="paragraph" w:customStyle="1" w:styleId="194">
    <w:name w:val="qg标题 2 + 橙色"/>
    <w:basedOn w:val="3"/>
    <w:qFormat/>
    <w:uiPriority w:val="0"/>
    <w:pPr>
      <w:autoSpaceDE w:val="0"/>
      <w:spacing w:before="0" w:after="0" w:line="360" w:lineRule="auto"/>
    </w:pPr>
    <w:rPr>
      <w:sz w:val="30"/>
      <w:szCs w:val="30"/>
    </w:rPr>
  </w:style>
  <w:style w:type="paragraph" w:customStyle="1" w:styleId="19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50</Pages>
  <Words>20593</Words>
  <Characters>21906</Characters>
  <Lines>206</Lines>
  <Paragraphs>58</Paragraphs>
  <TotalTime>8</TotalTime>
  <ScaleCrop>false</ScaleCrop>
  <LinksUpToDate>false</LinksUpToDate>
  <CharactersWithSpaces>24255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蔡艳</cp:lastModifiedBy>
  <cp:lastPrinted>2022-04-13T08:22:00Z</cp:lastPrinted>
  <dcterms:modified xsi:type="dcterms:W3CDTF">2022-06-28T06:54:02Z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DF9432392A61418C9BBD0CB64C7A2169</vt:lpwstr>
  </property>
</Properties>
</file>