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ascii="楷体" w:hAnsi="楷体" w:eastAsia="楷体" w:cs="微软雅黑"/>
          <w:b/>
          <w:sz w:val="56"/>
          <w:szCs w:val="72"/>
        </w:rPr>
      </w:pPr>
    </w:p>
    <w:p>
      <w:pPr>
        <w:snapToGrid w:val="0"/>
        <w:spacing w:line="900" w:lineRule="exact"/>
        <w:jc w:val="center"/>
        <w:rPr>
          <w:rFonts w:ascii="黑体" w:hAnsi="黑体" w:eastAsia="黑体"/>
          <w:b/>
          <w:bCs/>
          <w:sz w:val="52"/>
          <w:szCs w:val="52"/>
        </w:rPr>
      </w:pPr>
      <w:r>
        <w:rPr>
          <w:rFonts w:hint="eastAsia" w:ascii="黑体" w:hAnsi="黑体" w:eastAsia="黑体"/>
          <w:b/>
          <w:bCs/>
          <w:sz w:val="52"/>
          <w:szCs w:val="52"/>
        </w:rPr>
        <w:t>岳阳城陵矶港务有限责任公司</w:t>
      </w:r>
    </w:p>
    <w:p>
      <w:pPr>
        <w:snapToGrid w:val="0"/>
        <w:spacing w:line="900" w:lineRule="exact"/>
        <w:jc w:val="center"/>
        <w:rPr>
          <w:rFonts w:ascii="黑体" w:hAnsi="黑体" w:eastAsia="黑体"/>
          <w:b/>
          <w:bCs/>
          <w:sz w:val="52"/>
          <w:szCs w:val="52"/>
        </w:rPr>
      </w:pPr>
      <w:r>
        <w:rPr>
          <w:rFonts w:hint="eastAsia" w:ascii="黑体" w:hAnsi="黑体" w:eastAsia="黑体"/>
          <w:b/>
          <w:bCs/>
          <w:sz w:val="52"/>
          <w:szCs w:val="52"/>
        </w:rPr>
        <w:t>城港拖</w:t>
      </w:r>
      <w:r>
        <w:rPr>
          <w:rFonts w:ascii="黑体" w:hAnsi="黑体" w:eastAsia="黑体"/>
          <w:b/>
          <w:bCs/>
          <w:sz w:val="52"/>
          <w:szCs w:val="52"/>
        </w:rPr>
        <w:t>503</w:t>
      </w:r>
      <w:r>
        <w:rPr>
          <w:rFonts w:hint="eastAsia" w:ascii="黑体" w:hAnsi="黑体" w:eastAsia="黑体"/>
          <w:b/>
          <w:bCs/>
          <w:sz w:val="52"/>
          <w:szCs w:val="52"/>
        </w:rPr>
        <w:t>轮特检坞修项目</w:t>
      </w:r>
    </w:p>
    <w:p>
      <w:pPr>
        <w:snapToGrid w:val="0"/>
        <w:spacing w:line="900" w:lineRule="exact"/>
        <w:jc w:val="center"/>
        <w:rPr>
          <w:rFonts w:ascii="黑体" w:hAnsi="黑体" w:eastAsia="黑体"/>
          <w:b/>
          <w:bCs/>
          <w:sz w:val="52"/>
          <w:szCs w:val="52"/>
        </w:rPr>
      </w:pPr>
      <w:r>
        <w:rPr>
          <w:rFonts w:hint="eastAsia" w:ascii="黑体" w:hAnsi="黑体" w:eastAsia="黑体"/>
          <w:b/>
          <w:bCs/>
          <w:sz w:val="52"/>
          <w:szCs w:val="52"/>
        </w:rPr>
        <w:t>采购文件</w:t>
      </w:r>
    </w:p>
    <w:p>
      <w:pPr>
        <w:jc w:val="center"/>
        <w:rPr>
          <w:rFonts w:ascii="宋体" w:hAnsi="宋体" w:cs="宋体"/>
          <w:b/>
          <w:color w:val="000000"/>
          <w:kern w:val="0"/>
          <w:sz w:val="28"/>
          <w:szCs w:val="28"/>
        </w:rPr>
      </w:pPr>
    </w:p>
    <w:p>
      <w:pPr>
        <w:jc w:val="center"/>
        <w:rPr>
          <w:rFonts w:ascii="宋体" w:hAnsi="宋体" w:cs="宋体"/>
          <w:b/>
          <w:color w:val="000000"/>
          <w:kern w:val="0"/>
          <w:sz w:val="28"/>
          <w:szCs w:val="28"/>
        </w:rPr>
      </w:pPr>
    </w:p>
    <w:p>
      <w:pPr>
        <w:snapToGrid w:val="0"/>
        <w:spacing w:line="480" w:lineRule="auto"/>
        <w:jc w:val="center"/>
        <w:rPr>
          <w:b/>
          <w:bCs/>
          <w:sz w:val="48"/>
          <w:szCs w:val="48"/>
        </w:rPr>
      </w:pPr>
      <w:r>
        <w:rPr>
          <w:rFonts w:hint="eastAsia" w:ascii="黑体" w:hAnsi="黑体" w:eastAsia="黑体" w:cs="黑体"/>
          <w:sz w:val="28"/>
          <w:szCs w:val="28"/>
        </w:rPr>
        <w:t>采购编号：省港服（2022）年询第5号【城港】</w:t>
      </w: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pacing w:line="480" w:lineRule="auto"/>
        <w:jc w:val="center"/>
        <w:rPr>
          <w:rFonts w:ascii="宋体" w:hAnsi="宋体" w:cs="宋体"/>
          <w:b/>
          <w:color w:val="000000"/>
          <w:kern w:val="0"/>
          <w:sz w:val="28"/>
          <w:szCs w:val="28"/>
        </w:rPr>
      </w:pPr>
    </w:p>
    <w:p>
      <w:pPr>
        <w:snapToGrid w:val="0"/>
        <w:spacing w:line="480" w:lineRule="auto"/>
        <w:jc w:val="center"/>
        <w:rPr>
          <w:rFonts w:ascii="黑体" w:hAnsi="黑体" w:eastAsia="黑体"/>
          <w:b/>
          <w:bCs/>
          <w:sz w:val="52"/>
          <w:szCs w:val="48"/>
        </w:rPr>
      </w:pPr>
    </w:p>
    <w:p>
      <w:pPr>
        <w:snapToGrid w:val="0"/>
        <w:spacing w:line="480" w:lineRule="auto"/>
        <w:jc w:val="center"/>
        <w:rPr>
          <w:b/>
          <w:bCs/>
          <w:sz w:val="48"/>
          <w:szCs w:val="48"/>
        </w:rPr>
      </w:pPr>
    </w:p>
    <w:p>
      <w:pPr>
        <w:spacing w:line="600" w:lineRule="exact"/>
      </w:pPr>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rPr>
        <w:t>岳阳城陵矶港务有限责任公司</w:t>
      </w:r>
    </w:p>
    <w:p>
      <w:pPr>
        <w:tabs>
          <w:tab w:val="left" w:pos="0"/>
          <w:tab w:val="left" w:pos="4185"/>
        </w:tabs>
        <w:spacing w:line="288" w:lineRule="auto"/>
        <w:ind w:right="-6"/>
        <w:jc w:val="center"/>
        <w:rPr>
          <w:rFonts w:ascii="黑体" w:hAnsi="黑体" w:eastAsia="黑体"/>
          <w:sz w:val="40"/>
          <w:szCs w:val="40"/>
        </w:rPr>
      </w:pPr>
      <w:r>
        <w:rPr>
          <w:rFonts w:hint="eastAsia" w:ascii="黑体" w:hAnsi="黑体" w:eastAsia="黑体"/>
          <w:bCs/>
          <w:sz w:val="48"/>
          <w:szCs w:val="48"/>
        </w:rPr>
        <w:t>二О二二年二月</w:t>
      </w:r>
    </w:p>
    <w:p/>
    <w:sdt>
      <w:sdtPr>
        <w:rPr>
          <w:rFonts w:ascii="宋体" w:hAnsi="宋体"/>
          <w:b/>
          <w:bCs/>
          <w:sz w:val="32"/>
          <w:szCs w:val="32"/>
        </w:rPr>
        <w:id w:val="147482724"/>
        <w15:color w:val="DBDBDB"/>
        <w:docPartObj>
          <w:docPartGallery w:val="Table of Contents"/>
          <w:docPartUnique/>
        </w:docPartObj>
      </w:sdtPr>
      <w:sdtEndPr>
        <w:rPr>
          <w:rFonts w:ascii="宋体" w:hAnsi="宋体"/>
          <w:b/>
          <w:bCs/>
          <w:sz w:val="32"/>
          <w:szCs w:val="32"/>
        </w:rPr>
      </w:sdtEndPr>
      <w:sdtContent>
        <w:p>
          <w:pPr>
            <w:spacing w:line="240" w:lineRule="auto"/>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pPr>
            <w:pStyle w:val="226"/>
            <w:tabs>
              <w:tab w:val="right" w:leader="dot" w:pos="9746"/>
            </w:tabs>
          </w:pPr>
          <w:r>
            <w:fldChar w:fldCharType="begin"/>
          </w:r>
          <w:r>
            <w:instrText xml:space="preserve">TOC \o "1-1" \h \u </w:instrText>
          </w:r>
          <w:r>
            <w:fldChar w:fldCharType="separate"/>
          </w:r>
          <w:r>
            <w:fldChar w:fldCharType="begin"/>
          </w:r>
          <w:r>
            <w:instrText xml:space="preserve"> HYPERLINK \l _Toc6314 </w:instrText>
          </w:r>
          <w:r>
            <w:fldChar w:fldCharType="separate"/>
          </w:r>
          <w:r>
            <w:rPr>
              <w:rFonts w:ascii="黑体" w:hAnsi="黑体" w:eastAsia="黑体" w:cs="仿宋"/>
              <w:szCs w:val="44"/>
            </w:rPr>
            <w:t xml:space="preserve">第一章 </w:t>
          </w:r>
          <w:r>
            <w:rPr>
              <w:rFonts w:hint="eastAsia" w:ascii="黑体" w:hAnsi="黑体" w:eastAsia="黑体" w:cs="仿宋"/>
              <w:szCs w:val="44"/>
            </w:rPr>
            <w:t>采购公告</w:t>
          </w:r>
          <w:r>
            <w:tab/>
          </w:r>
          <w:r>
            <w:fldChar w:fldCharType="begin"/>
          </w:r>
          <w:r>
            <w:instrText xml:space="preserve"> PAGEREF _Toc6314 \h </w:instrText>
          </w:r>
          <w:r>
            <w:fldChar w:fldCharType="separate"/>
          </w:r>
          <w:r>
            <w:t>3</w:t>
          </w:r>
          <w:r>
            <w:fldChar w:fldCharType="end"/>
          </w:r>
          <w:r>
            <w:fldChar w:fldCharType="end"/>
          </w:r>
        </w:p>
        <w:p>
          <w:pPr>
            <w:pStyle w:val="226"/>
            <w:tabs>
              <w:tab w:val="right" w:leader="dot" w:pos="9746"/>
            </w:tabs>
          </w:pPr>
          <w:r>
            <w:fldChar w:fldCharType="begin"/>
          </w:r>
          <w:r>
            <w:instrText xml:space="preserve"> HYPERLINK \l _Toc489 </w:instrText>
          </w:r>
          <w:r>
            <w:fldChar w:fldCharType="separate"/>
          </w:r>
          <w:r>
            <w:rPr>
              <w:rFonts w:hint="eastAsia" w:ascii="黑体" w:hAnsi="黑体" w:eastAsia="黑体"/>
              <w:szCs w:val="32"/>
            </w:rPr>
            <w:t>第二章 供应商须知</w:t>
          </w:r>
          <w:r>
            <w:tab/>
          </w:r>
          <w:r>
            <w:fldChar w:fldCharType="begin"/>
          </w:r>
          <w:r>
            <w:instrText xml:space="preserve"> PAGEREF _Toc489 \h </w:instrText>
          </w:r>
          <w:r>
            <w:fldChar w:fldCharType="separate"/>
          </w:r>
          <w:r>
            <w:t>6</w:t>
          </w:r>
          <w:r>
            <w:fldChar w:fldCharType="end"/>
          </w:r>
          <w:r>
            <w:fldChar w:fldCharType="end"/>
          </w:r>
        </w:p>
        <w:p>
          <w:pPr>
            <w:pStyle w:val="226"/>
            <w:tabs>
              <w:tab w:val="right" w:leader="dot" w:pos="9746"/>
            </w:tabs>
          </w:pPr>
          <w:r>
            <w:fldChar w:fldCharType="begin"/>
          </w:r>
          <w:r>
            <w:instrText xml:space="preserve"> HYPERLINK \l _Toc18948 </w:instrText>
          </w:r>
          <w:r>
            <w:fldChar w:fldCharType="separate"/>
          </w:r>
          <w:r>
            <w:rPr>
              <w:rFonts w:hint="eastAsia" w:ascii="华文中宋" w:hAnsi="华文中宋" w:eastAsia="华文中宋" w:cs="仿宋"/>
              <w:bCs/>
              <w:szCs w:val="30"/>
            </w:rPr>
            <w:t>第二章 供应商须知正文</w:t>
          </w:r>
          <w:r>
            <w:tab/>
          </w:r>
          <w:r>
            <w:fldChar w:fldCharType="begin"/>
          </w:r>
          <w:r>
            <w:instrText xml:space="preserve"> PAGEREF _Toc18948 \h </w:instrText>
          </w:r>
          <w:r>
            <w:fldChar w:fldCharType="separate"/>
          </w:r>
          <w:r>
            <w:t>11</w:t>
          </w:r>
          <w:r>
            <w:fldChar w:fldCharType="end"/>
          </w:r>
          <w:r>
            <w:fldChar w:fldCharType="end"/>
          </w:r>
        </w:p>
        <w:p>
          <w:pPr>
            <w:pStyle w:val="226"/>
            <w:tabs>
              <w:tab w:val="right" w:leader="dot" w:pos="9746"/>
            </w:tabs>
          </w:pPr>
          <w:r>
            <w:fldChar w:fldCharType="begin"/>
          </w:r>
          <w:r>
            <w:instrText xml:space="preserve"> HYPERLINK \l _Toc27750 </w:instrText>
          </w:r>
          <w:r>
            <w:fldChar w:fldCharType="separate"/>
          </w:r>
          <w:r>
            <w:rPr>
              <w:rFonts w:hint="eastAsia" w:ascii="黑体" w:hAnsi="黑体" w:eastAsia="黑体" w:cs="仿宋"/>
              <w:bCs/>
              <w:szCs w:val="36"/>
            </w:rPr>
            <w:t>第三章 评审办法</w:t>
          </w:r>
          <w:r>
            <w:tab/>
          </w:r>
          <w:r>
            <w:fldChar w:fldCharType="begin"/>
          </w:r>
          <w:r>
            <w:instrText xml:space="preserve"> PAGEREF _Toc27750 \h </w:instrText>
          </w:r>
          <w:r>
            <w:fldChar w:fldCharType="separate"/>
          </w:r>
          <w:r>
            <w:t>25</w:t>
          </w:r>
          <w:r>
            <w:fldChar w:fldCharType="end"/>
          </w:r>
          <w:r>
            <w:fldChar w:fldCharType="end"/>
          </w:r>
        </w:p>
        <w:p>
          <w:pPr>
            <w:pStyle w:val="226"/>
            <w:tabs>
              <w:tab w:val="right" w:leader="dot" w:pos="9746"/>
            </w:tabs>
          </w:pPr>
          <w:r>
            <w:fldChar w:fldCharType="begin"/>
          </w:r>
          <w:r>
            <w:instrText xml:space="preserve"> HYPERLINK \l _Toc23588 </w:instrText>
          </w:r>
          <w:r>
            <w:fldChar w:fldCharType="separate"/>
          </w:r>
          <w:r>
            <w:rPr>
              <w:rFonts w:hint="eastAsia" w:ascii="黑体" w:hAnsi="黑体" w:eastAsia="黑体" w:cs="仿宋"/>
              <w:szCs w:val="36"/>
            </w:rPr>
            <w:t>第四章 合同条款及格式</w:t>
          </w:r>
          <w:r>
            <w:tab/>
          </w:r>
          <w:r>
            <w:fldChar w:fldCharType="begin"/>
          </w:r>
          <w:r>
            <w:instrText xml:space="preserve"> PAGEREF _Toc23588 \h </w:instrText>
          </w:r>
          <w:r>
            <w:fldChar w:fldCharType="separate"/>
          </w:r>
          <w:r>
            <w:t>29</w:t>
          </w:r>
          <w:r>
            <w:fldChar w:fldCharType="end"/>
          </w:r>
          <w:r>
            <w:fldChar w:fldCharType="end"/>
          </w:r>
        </w:p>
        <w:p>
          <w:pPr>
            <w:pStyle w:val="226"/>
            <w:tabs>
              <w:tab w:val="right" w:leader="dot" w:pos="9746"/>
            </w:tabs>
          </w:pPr>
          <w:r>
            <w:fldChar w:fldCharType="begin"/>
          </w:r>
          <w:r>
            <w:instrText xml:space="preserve"> HYPERLINK \l _Toc27625 </w:instrText>
          </w:r>
          <w:r>
            <w:fldChar w:fldCharType="separate"/>
          </w:r>
          <w:r>
            <w:rPr>
              <w:rFonts w:hint="eastAsia" w:ascii="黑体" w:hAnsi="黑体" w:eastAsia="黑体" w:cs="仿宋"/>
              <w:szCs w:val="36"/>
            </w:rPr>
            <w:t>第五章 采购需求</w:t>
          </w:r>
          <w:r>
            <w:tab/>
          </w:r>
          <w:r>
            <w:fldChar w:fldCharType="begin"/>
          </w:r>
          <w:r>
            <w:instrText xml:space="preserve"> PAGEREF _Toc27625 \h </w:instrText>
          </w:r>
          <w:r>
            <w:fldChar w:fldCharType="separate"/>
          </w:r>
          <w:r>
            <w:t>31</w:t>
          </w:r>
          <w:r>
            <w:fldChar w:fldCharType="end"/>
          </w:r>
          <w:r>
            <w:fldChar w:fldCharType="end"/>
          </w:r>
        </w:p>
        <w:p>
          <w:pPr>
            <w:pStyle w:val="226"/>
            <w:tabs>
              <w:tab w:val="right" w:leader="dot" w:pos="9746"/>
            </w:tabs>
          </w:pPr>
          <w:r>
            <w:fldChar w:fldCharType="begin"/>
          </w:r>
          <w:r>
            <w:instrText xml:space="preserve"> HYPERLINK \l _Toc13448 </w:instrText>
          </w:r>
          <w:r>
            <w:fldChar w:fldCharType="separate"/>
          </w:r>
          <w:r>
            <w:rPr>
              <w:rFonts w:hint="eastAsia" w:ascii="黑体" w:hAnsi="黑体" w:eastAsia="黑体" w:cs="仿宋"/>
              <w:szCs w:val="36"/>
            </w:rPr>
            <w:t>第六章 响应文件格式</w:t>
          </w:r>
          <w:r>
            <w:tab/>
          </w:r>
          <w:r>
            <w:fldChar w:fldCharType="begin"/>
          </w:r>
          <w:r>
            <w:instrText xml:space="preserve"> PAGEREF _Toc13448 \h </w:instrText>
          </w:r>
          <w:r>
            <w:fldChar w:fldCharType="separate"/>
          </w:r>
          <w:r>
            <w:t>37</w:t>
          </w:r>
          <w:r>
            <w:fldChar w:fldCharType="end"/>
          </w:r>
          <w:r>
            <w:fldChar w:fldCharType="end"/>
          </w:r>
        </w:p>
        <w:p>
          <w:pPr>
            <w:pStyle w:val="226"/>
            <w:tabs>
              <w:tab w:val="right" w:leader="dot" w:pos="9746"/>
            </w:tabs>
          </w:pPr>
          <w:r>
            <w:fldChar w:fldCharType="begin"/>
          </w:r>
          <w:r>
            <w:instrText xml:space="preserve"> HYPERLINK \l _Toc3411 </w:instrText>
          </w:r>
          <w:r>
            <w:fldChar w:fldCharType="separate"/>
          </w:r>
          <w:r>
            <w:rPr>
              <w:rFonts w:hint="eastAsia" w:ascii="黑体" w:hAnsi="黑体" w:eastAsia="黑体" w:cs="仿宋"/>
              <w:szCs w:val="36"/>
            </w:rPr>
            <w:t>一、 响应函</w:t>
          </w:r>
          <w:r>
            <w:tab/>
          </w:r>
          <w:r>
            <w:fldChar w:fldCharType="begin"/>
          </w:r>
          <w:r>
            <w:instrText xml:space="preserve"> PAGEREF _Toc3411 \h </w:instrText>
          </w:r>
          <w:r>
            <w:fldChar w:fldCharType="separate"/>
          </w:r>
          <w:r>
            <w:t>39</w:t>
          </w:r>
          <w:r>
            <w:fldChar w:fldCharType="end"/>
          </w:r>
          <w:r>
            <w:fldChar w:fldCharType="end"/>
          </w:r>
        </w:p>
        <w:p>
          <w:pPr>
            <w:pStyle w:val="226"/>
            <w:tabs>
              <w:tab w:val="right" w:leader="dot" w:pos="9746"/>
            </w:tabs>
          </w:pPr>
          <w:r>
            <w:fldChar w:fldCharType="begin"/>
          </w:r>
          <w:r>
            <w:instrText xml:space="preserve"> HYPERLINK \l _Toc27960 </w:instrText>
          </w:r>
          <w:r>
            <w:fldChar w:fldCharType="separate"/>
          </w:r>
          <w:r>
            <w:rPr>
              <w:rFonts w:hint="eastAsia" w:ascii="黑体" w:hAnsi="黑体" w:eastAsia="黑体" w:cs="仿宋"/>
              <w:szCs w:val="36"/>
            </w:rPr>
            <w:t>二、授权委托书</w:t>
          </w:r>
          <w:r>
            <w:tab/>
          </w:r>
          <w:r>
            <w:fldChar w:fldCharType="begin"/>
          </w:r>
          <w:r>
            <w:instrText xml:space="preserve"> PAGEREF _Toc27960 \h </w:instrText>
          </w:r>
          <w:r>
            <w:fldChar w:fldCharType="separate"/>
          </w:r>
          <w:r>
            <w:t>42</w:t>
          </w:r>
          <w:r>
            <w:fldChar w:fldCharType="end"/>
          </w:r>
          <w:r>
            <w:fldChar w:fldCharType="end"/>
          </w:r>
        </w:p>
        <w:p>
          <w:pPr>
            <w:pStyle w:val="226"/>
            <w:tabs>
              <w:tab w:val="right" w:leader="dot" w:pos="9746"/>
            </w:tabs>
          </w:pPr>
          <w:r>
            <w:fldChar w:fldCharType="begin"/>
          </w:r>
          <w:r>
            <w:instrText xml:space="preserve"> HYPERLINK \l _Toc21753 </w:instrText>
          </w:r>
          <w:r>
            <w:fldChar w:fldCharType="separate"/>
          </w:r>
          <w:r>
            <w:rPr>
              <w:rFonts w:hint="eastAsia" w:ascii="黑体" w:hAnsi="黑体" w:eastAsia="黑体" w:cs="仿宋"/>
              <w:szCs w:val="36"/>
            </w:rPr>
            <w:t>三、商务和技术偏差表</w:t>
          </w:r>
          <w:r>
            <w:tab/>
          </w:r>
          <w:r>
            <w:fldChar w:fldCharType="begin"/>
          </w:r>
          <w:r>
            <w:instrText xml:space="preserve"> PAGEREF _Toc21753 \h </w:instrText>
          </w:r>
          <w:r>
            <w:fldChar w:fldCharType="separate"/>
          </w:r>
          <w:r>
            <w:t>43</w:t>
          </w:r>
          <w:r>
            <w:fldChar w:fldCharType="end"/>
          </w:r>
          <w:r>
            <w:fldChar w:fldCharType="end"/>
          </w:r>
        </w:p>
        <w:p>
          <w:pPr>
            <w:pStyle w:val="226"/>
            <w:tabs>
              <w:tab w:val="right" w:leader="dot" w:pos="9746"/>
            </w:tabs>
          </w:pPr>
          <w:r>
            <w:fldChar w:fldCharType="begin"/>
          </w:r>
          <w:r>
            <w:instrText xml:space="preserve"> HYPERLINK \l _Toc15578 </w:instrText>
          </w:r>
          <w:r>
            <w:fldChar w:fldCharType="separate"/>
          </w:r>
          <w:r>
            <w:rPr>
              <w:rFonts w:hint="eastAsia" w:ascii="黑体" w:hAnsi="黑体" w:eastAsia="黑体" w:cs="仿宋"/>
              <w:szCs w:val="36"/>
            </w:rPr>
            <w:t>四、报价表）</w:t>
          </w:r>
          <w:r>
            <w:tab/>
          </w:r>
          <w:r>
            <w:fldChar w:fldCharType="begin"/>
          </w:r>
          <w:r>
            <w:instrText xml:space="preserve"> PAGEREF _Toc15578 \h </w:instrText>
          </w:r>
          <w:r>
            <w:fldChar w:fldCharType="separate"/>
          </w:r>
          <w:r>
            <w:t>44</w:t>
          </w:r>
          <w:r>
            <w:fldChar w:fldCharType="end"/>
          </w:r>
          <w:r>
            <w:fldChar w:fldCharType="end"/>
          </w:r>
        </w:p>
        <w:p>
          <w:pPr>
            <w:pStyle w:val="226"/>
            <w:tabs>
              <w:tab w:val="right" w:leader="dot" w:pos="9746"/>
            </w:tabs>
          </w:pPr>
          <w:r>
            <w:fldChar w:fldCharType="begin"/>
          </w:r>
          <w:r>
            <w:instrText xml:space="preserve"> HYPERLINK \l _Toc18300 </w:instrText>
          </w:r>
          <w:r>
            <w:fldChar w:fldCharType="separate"/>
          </w:r>
          <w:r>
            <w:rPr>
              <w:rFonts w:hint="eastAsia" w:ascii="黑体" w:hAnsi="黑体" w:eastAsia="黑体" w:cs="仿宋"/>
              <w:szCs w:val="36"/>
            </w:rPr>
            <w:t>五、资格审查资料</w:t>
          </w:r>
          <w:r>
            <w:tab/>
          </w:r>
          <w:r>
            <w:fldChar w:fldCharType="begin"/>
          </w:r>
          <w:r>
            <w:instrText xml:space="preserve"> PAGEREF _Toc18300 \h </w:instrText>
          </w:r>
          <w:r>
            <w:fldChar w:fldCharType="separate"/>
          </w:r>
          <w:r>
            <w:t>45</w:t>
          </w:r>
          <w:r>
            <w:fldChar w:fldCharType="end"/>
          </w:r>
          <w:r>
            <w:fldChar w:fldCharType="end"/>
          </w:r>
        </w:p>
        <w:p>
          <w:pPr>
            <w:pStyle w:val="226"/>
            <w:tabs>
              <w:tab w:val="right" w:leader="dot" w:pos="9746"/>
            </w:tabs>
          </w:pPr>
          <w:r>
            <w:fldChar w:fldCharType="begin"/>
          </w:r>
          <w:r>
            <w:instrText xml:space="preserve"> HYPERLINK \l _Toc8638 </w:instrText>
          </w:r>
          <w:r>
            <w:fldChar w:fldCharType="separate"/>
          </w:r>
          <w:r>
            <w:rPr>
              <w:rFonts w:hint="eastAsia" w:ascii="黑体" w:hAnsi="黑体" w:eastAsia="黑体" w:cs="仿宋"/>
              <w:szCs w:val="36"/>
            </w:rPr>
            <w:t>六、响应方案</w:t>
          </w:r>
          <w:r>
            <w:tab/>
          </w:r>
          <w:r>
            <w:fldChar w:fldCharType="begin"/>
          </w:r>
          <w:r>
            <w:instrText xml:space="preserve"> PAGEREF _Toc8638 \h </w:instrText>
          </w:r>
          <w:r>
            <w:fldChar w:fldCharType="separate"/>
          </w:r>
          <w:r>
            <w:t>49</w:t>
          </w:r>
          <w:r>
            <w:fldChar w:fldCharType="end"/>
          </w:r>
          <w:r>
            <w:fldChar w:fldCharType="end"/>
          </w:r>
        </w:p>
        <w:p>
          <w:pPr>
            <w:pStyle w:val="226"/>
            <w:tabs>
              <w:tab w:val="right" w:leader="dot" w:pos="9746"/>
            </w:tabs>
          </w:pPr>
          <w:r>
            <w:fldChar w:fldCharType="begin"/>
          </w:r>
          <w:r>
            <w:instrText xml:space="preserve"> HYPERLINK \l _Toc32229 </w:instrText>
          </w:r>
          <w:r>
            <w:fldChar w:fldCharType="separate"/>
          </w:r>
          <w:r>
            <w:rPr>
              <w:rFonts w:hint="eastAsia" w:ascii="黑体" w:hAnsi="黑体" w:eastAsia="黑体" w:cs="仿宋"/>
              <w:szCs w:val="36"/>
            </w:rPr>
            <w:t>七、其他资料</w:t>
          </w:r>
          <w:r>
            <w:tab/>
          </w:r>
          <w:r>
            <w:fldChar w:fldCharType="begin"/>
          </w:r>
          <w:r>
            <w:instrText xml:space="preserve"> PAGEREF _Toc32229 \h </w:instrText>
          </w:r>
          <w:r>
            <w:fldChar w:fldCharType="separate"/>
          </w:r>
          <w:r>
            <w:t>50</w:t>
          </w:r>
          <w:r>
            <w:fldChar w:fldCharType="end"/>
          </w:r>
          <w:r>
            <w:fldChar w:fldCharType="end"/>
          </w:r>
        </w:p>
        <w:p>
          <w:r>
            <w:fldChar w:fldCharType="end"/>
          </w:r>
        </w:p>
      </w:sdtContent>
    </w:sdt>
    <w:p>
      <w:pPr>
        <w:pStyle w:val="29"/>
        <w:tabs>
          <w:tab w:val="right" w:leader="dot" w:pos="8948"/>
        </w:tabs>
        <w:adjustRightInd w:val="0"/>
        <w:snapToGrid w:val="0"/>
        <w:rPr>
          <w:rFonts w:ascii="微软雅黑" w:hAnsi="微软雅黑" w:eastAsia="微软雅黑"/>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pStyle w:val="23"/>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72"/>
        <w:numPr>
          <w:ilvl w:val="0"/>
          <w:numId w:val="1"/>
        </w:numPr>
        <w:spacing w:line="600" w:lineRule="exact"/>
        <w:ind w:firstLineChars="0"/>
        <w:jc w:val="center"/>
        <w:outlineLvl w:val="0"/>
        <w:rPr>
          <w:rFonts w:ascii="黑体" w:hAnsi="黑体" w:eastAsia="黑体" w:cs="仿宋"/>
          <w:b/>
          <w:color w:val="000000"/>
          <w:sz w:val="44"/>
          <w:szCs w:val="44"/>
        </w:rPr>
      </w:pPr>
      <w:bookmarkStart w:id="0" w:name="_Toc6314"/>
      <w:r>
        <w:rPr>
          <w:rFonts w:hint="eastAsia" w:ascii="黑体" w:hAnsi="黑体" w:eastAsia="黑体" w:cs="仿宋"/>
          <w:b/>
          <w:color w:val="000000"/>
          <w:sz w:val="44"/>
          <w:szCs w:val="44"/>
        </w:rPr>
        <w:t>采购公告</w:t>
      </w:r>
      <w:bookmarkEnd w:id="0"/>
    </w:p>
    <w:p>
      <w:pPr>
        <w:pStyle w:val="72"/>
        <w:spacing w:line="600" w:lineRule="exact"/>
        <w:ind w:left="1785" w:firstLine="0" w:firstLineChars="0"/>
        <w:rPr>
          <w:rFonts w:ascii="黑体" w:hAnsi="黑体" w:eastAsia="黑体" w:cs="仿宋"/>
          <w:b/>
          <w:color w:val="000000"/>
          <w:sz w:val="44"/>
          <w:szCs w:val="44"/>
        </w:rPr>
      </w:pPr>
    </w:p>
    <w:p>
      <w:pPr>
        <w:pStyle w:val="31"/>
        <w:spacing w:before="0" w:beforeAutospacing="0" w:after="0" w:afterAutospacing="0"/>
        <w:ind w:firstLine="1280" w:firstLineChars="400"/>
        <w:jc w:val="both"/>
        <w:rPr>
          <w:rFonts w:ascii="黑体" w:hAnsi="黑体" w:eastAsia="黑体"/>
          <w:sz w:val="32"/>
          <w:szCs w:val="32"/>
        </w:rPr>
      </w:pPr>
      <w:r>
        <w:rPr>
          <w:rFonts w:hint="eastAsia" w:ascii="黑体" w:hAnsi="黑体" w:eastAsia="黑体"/>
          <w:sz w:val="32"/>
          <w:szCs w:val="32"/>
        </w:rPr>
        <w:t xml:space="preserve">        城港拖5</w:t>
      </w:r>
      <w:r>
        <w:rPr>
          <w:rFonts w:ascii="黑体" w:hAnsi="黑体" w:eastAsia="黑体"/>
          <w:sz w:val="32"/>
          <w:szCs w:val="32"/>
        </w:rPr>
        <w:t>03</w:t>
      </w:r>
      <w:r>
        <w:rPr>
          <w:rFonts w:hint="eastAsia" w:ascii="黑体" w:hAnsi="黑体" w:eastAsia="黑体"/>
          <w:sz w:val="32"/>
          <w:szCs w:val="32"/>
        </w:rPr>
        <w:t>轮特检坞修项目采购公告</w:t>
      </w:r>
    </w:p>
    <w:p>
      <w:pPr>
        <w:pStyle w:val="31"/>
        <w:spacing w:before="0" w:beforeAutospacing="0" w:after="0" w:afterAutospacing="0"/>
        <w:ind w:firstLine="2880" w:firstLineChars="1200"/>
        <w:jc w:val="both"/>
      </w:pPr>
      <w:r>
        <w:rPr>
          <w:rFonts w:hint="eastAsia"/>
        </w:rPr>
        <w:t xml:space="preserve"> </w:t>
      </w:r>
    </w:p>
    <w:p>
      <w:pPr>
        <w:autoSpaceDE w:val="0"/>
        <w:spacing w:line="400" w:lineRule="exact"/>
        <w:jc w:val="both"/>
        <w:rPr>
          <w:rFonts w:ascii="宋体" w:hAnsi="宋体"/>
          <w:sz w:val="24"/>
        </w:rPr>
      </w:pPr>
      <w:r>
        <w:rPr>
          <w:rFonts w:hint="eastAsia" w:ascii="宋体" w:hAnsi="宋体"/>
        </w:rPr>
        <w:t xml:space="preserve">  </w:t>
      </w:r>
      <w:r>
        <w:rPr>
          <w:rFonts w:hint="eastAsia" w:ascii="宋体" w:hAnsi="宋体"/>
          <w:sz w:val="24"/>
        </w:rPr>
        <w:t xml:space="preserve">          城港拖</w:t>
      </w:r>
      <w:r>
        <w:rPr>
          <w:rFonts w:ascii="宋体" w:hAnsi="宋体"/>
          <w:sz w:val="24"/>
        </w:rPr>
        <w:t>503</w:t>
      </w:r>
      <w:r>
        <w:rPr>
          <w:rFonts w:hint="eastAsia" w:ascii="宋体" w:hAnsi="宋体"/>
          <w:sz w:val="24"/>
        </w:rPr>
        <w:t xml:space="preserve">轮特检坞修项目已具备采购条件，现公开邀请供应商参加采购活动。 </w:t>
      </w:r>
    </w:p>
    <w:p>
      <w:pPr>
        <w:pStyle w:val="5"/>
        <w:jc w:val="both"/>
        <w:rPr>
          <w:rFonts w:ascii="Arial" w:hAnsi="Arial"/>
        </w:rPr>
      </w:pPr>
      <w:r>
        <w:rPr>
          <w:rFonts w:hint="eastAsia"/>
        </w:rPr>
        <w:t>一、</w:t>
      </w:r>
      <w:r>
        <w:rPr>
          <w:rFonts w:hint="eastAsia" w:ascii="黑体" w:hAnsi="黑体"/>
        </w:rPr>
        <w:t xml:space="preserve">采购项目简介 </w:t>
      </w:r>
    </w:p>
    <w:p>
      <w:pPr>
        <w:autoSpaceDE w:val="0"/>
        <w:spacing w:line="400" w:lineRule="exact"/>
        <w:jc w:val="both"/>
        <w:rPr>
          <w:rFonts w:ascii="宋体" w:hAnsi="宋体"/>
          <w:sz w:val="24"/>
        </w:rPr>
      </w:pPr>
      <w:r>
        <w:rPr>
          <w:rFonts w:hint="eastAsia" w:ascii="宋体" w:hAnsi="宋体"/>
          <w:sz w:val="24"/>
        </w:rPr>
        <w:t>（一）采购项目名称:城港拖5</w:t>
      </w:r>
      <w:r>
        <w:rPr>
          <w:rFonts w:ascii="宋体" w:hAnsi="宋体"/>
          <w:sz w:val="24"/>
        </w:rPr>
        <w:t>03</w:t>
      </w:r>
      <w:r>
        <w:rPr>
          <w:rFonts w:hint="eastAsia" w:ascii="宋体" w:hAnsi="宋体"/>
          <w:sz w:val="24"/>
        </w:rPr>
        <w:t xml:space="preserve">轮特检坞修项目 </w:t>
      </w:r>
      <w:r>
        <w:rPr>
          <w:rFonts w:ascii="宋体" w:hAnsi="宋体"/>
          <w:sz w:val="24"/>
        </w:rPr>
        <w:t xml:space="preserve">                           </w:t>
      </w:r>
    </w:p>
    <w:p>
      <w:pPr>
        <w:autoSpaceDE w:val="0"/>
        <w:spacing w:line="400" w:lineRule="exact"/>
        <w:jc w:val="both"/>
        <w:rPr>
          <w:rFonts w:ascii="宋体" w:hAnsi="宋体"/>
          <w:sz w:val="24"/>
        </w:rPr>
      </w:pPr>
      <w:r>
        <w:rPr>
          <w:rFonts w:hint="eastAsia" w:ascii="宋体" w:hAnsi="宋体"/>
          <w:sz w:val="24"/>
        </w:rPr>
        <w:t>（二）采购人:岳阳城陵矶港务有限责任公司。</w:t>
      </w:r>
    </w:p>
    <w:p>
      <w:pPr>
        <w:autoSpaceDE w:val="0"/>
        <w:spacing w:line="400" w:lineRule="exact"/>
        <w:jc w:val="both"/>
        <w:rPr>
          <w:rFonts w:ascii="宋体" w:hAnsi="宋体"/>
          <w:sz w:val="24"/>
        </w:rPr>
      </w:pPr>
      <w:r>
        <w:rPr>
          <w:rFonts w:hint="eastAsia" w:ascii="宋体" w:hAnsi="宋体"/>
          <w:sz w:val="24"/>
        </w:rPr>
        <w:t>（三）采购代理机构:无。</w:t>
      </w:r>
    </w:p>
    <w:p>
      <w:pPr>
        <w:autoSpaceDE w:val="0"/>
        <w:spacing w:line="400" w:lineRule="exact"/>
        <w:jc w:val="both"/>
        <w:rPr>
          <w:rFonts w:ascii="宋体" w:hAnsi="宋体"/>
          <w:sz w:val="24"/>
        </w:rPr>
      </w:pPr>
      <w:r>
        <w:rPr>
          <w:rFonts w:hint="eastAsia" w:ascii="宋体" w:hAnsi="宋体"/>
          <w:sz w:val="24"/>
        </w:rPr>
        <w:t>（四）采购项目资金落实情况:自筹。</w:t>
      </w:r>
    </w:p>
    <w:p>
      <w:pPr>
        <w:autoSpaceDE w:val="0"/>
        <w:spacing w:line="400" w:lineRule="exact"/>
        <w:jc w:val="both"/>
        <w:rPr>
          <w:rFonts w:ascii="宋体" w:hAnsi="宋体"/>
          <w:sz w:val="24"/>
        </w:rPr>
      </w:pPr>
      <w:r>
        <w:rPr>
          <w:rFonts w:hint="eastAsia" w:ascii="宋体" w:hAnsi="宋体"/>
          <w:sz w:val="24"/>
        </w:rPr>
        <w:t xml:space="preserve">（五）采购项目概况: </w:t>
      </w:r>
      <w:bookmarkStart w:id="1" w:name="_Hlk68447484"/>
      <w:r>
        <w:rPr>
          <w:rFonts w:hint="eastAsia" w:ascii="宋体" w:hAnsi="宋体"/>
          <w:sz w:val="24"/>
        </w:rPr>
        <w:t>城港拖</w:t>
      </w:r>
      <w:r>
        <w:rPr>
          <w:rFonts w:ascii="宋体" w:hAnsi="宋体"/>
          <w:sz w:val="24"/>
        </w:rPr>
        <w:t>503</w:t>
      </w:r>
      <w:r>
        <w:rPr>
          <w:rFonts w:hint="eastAsia" w:ascii="宋体" w:hAnsi="宋体"/>
          <w:sz w:val="24"/>
        </w:rPr>
        <w:t>轮</w:t>
      </w:r>
      <w:bookmarkEnd w:id="1"/>
      <w:r>
        <w:rPr>
          <w:rFonts w:ascii="宋体" w:hAnsi="宋体"/>
          <w:sz w:val="24"/>
        </w:rPr>
        <w:t>1991</w:t>
      </w:r>
      <w:r>
        <w:rPr>
          <w:rFonts w:hint="eastAsia" w:ascii="宋体" w:hAnsi="宋体"/>
          <w:sz w:val="24"/>
        </w:rPr>
        <w:t>年</w:t>
      </w:r>
      <w:r>
        <w:rPr>
          <w:rFonts w:ascii="宋体" w:hAnsi="宋体"/>
          <w:sz w:val="24"/>
        </w:rPr>
        <w:t>7</w:t>
      </w:r>
      <w:r>
        <w:rPr>
          <w:rFonts w:hint="eastAsia" w:ascii="宋体" w:hAnsi="宋体"/>
          <w:sz w:val="24"/>
        </w:rPr>
        <w:t>月由原长沙船厂完成建造并投入使用，</w:t>
      </w:r>
      <w:r>
        <w:rPr>
          <w:rFonts w:ascii="宋体" w:hAnsi="宋体"/>
          <w:sz w:val="24"/>
        </w:rPr>
        <w:t>2022</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7</w:t>
      </w:r>
      <w:r>
        <w:rPr>
          <w:rFonts w:hint="eastAsia" w:ascii="宋体" w:hAnsi="宋体"/>
          <w:sz w:val="24"/>
        </w:rPr>
        <w:t>日已到特别检验换证周期，须按中国船级社《钢质内河船舶入级与建造规范》的规定对主机、副机、机电设备航行信号设施、推进舵系系统和船体进行上坞系统厂修并</w:t>
      </w:r>
      <w:bookmarkStart w:id="2" w:name="_Hlk68447606"/>
      <w:r>
        <w:rPr>
          <w:rFonts w:hint="eastAsia" w:ascii="宋体" w:hAnsi="宋体"/>
          <w:sz w:val="24"/>
        </w:rPr>
        <w:t>通过</w:t>
      </w:r>
      <w:r>
        <w:rPr>
          <w:rFonts w:ascii="宋体" w:hAnsi="宋体"/>
          <w:sz w:val="24"/>
        </w:rPr>
        <w:t>CCS</w:t>
      </w:r>
      <w:r>
        <w:rPr>
          <w:rFonts w:hint="eastAsia" w:ascii="宋体" w:hAnsi="宋体"/>
          <w:sz w:val="24"/>
        </w:rPr>
        <w:t>武汉船级社的特别检验</w:t>
      </w:r>
      <w:bookmarkEnd w:id="2"/>
      <w:r>
        <w:rPr>
          <w:rFonts w:hint="eastAsia" w:ascii="宋体" w:hAnsi="宋体"/>
          <w:sz w:val="24"/>
        </w:rPr>
        <w:t>。</w:t>
      </w:r>
    </w:p>
    <w:p>
      <w:pPr>
        <w:pStyle w:val="5"/>
        <w:jc w:val="both"/>
        <w:rPr>
          <w:rFonts w:ascii="Arial" w:hAnsi="Arial"/>
        </w:rPr>
      </w:pPr>
      <w:r>
        <w:rPr>
          <w:rFonts w:hint="eastAsia"/>
        </w:rPr>
        <w:t>二、</w:t>
      </w:r>
      <w:r>
        <w:rPr>
          <w:rFonts w:hint="eastAsia" w:ascii="黑体" w:hAnsi="黑体"/>
        </w:rPr>
        <w:t>采购范围及相关要求</w:t>
      </w:r>
    </w:p>
    <w:p>
      <w:pPr>
        <w:autoSpaceDE w:val="0"/>
        <w:spacing w:line="400" w:lineRule="exact"/>
        <w:jc w:val="both"/>
        <w:rPr>
          <w:rFonts w:ascii="宋体" w:hAnsi="宋体"/>
          <w:sz w:val="24"/>
        </w:rPr>
      </w:pPr>
      <w:r>
        <w:rPr>
          <w:rFonts w:hint="eastAsia" w:ascii="宋体" w:hAnsi="宋体"/>
          <w:b w:val="0"/>
          <w:bCs w:val="0"/>
          <w:sz w:val="24"/>
        </w:rPr>
        <w:t>（一）</w:t>
      </w:r>
      <w:r>
        <w:rPr>
          <w:rFonts w:hint="eastAsia" w:ascii="宋体" w:hAnsi="宋体"/>
          <w:sz w:val="24"/>
        </w:rPr>
        <w:t>采购范围: 根据《城港拖503轮特检坞修项目清单 》完成城港拖</w:t>
      </w:r>
      <w:r>
        <w:rPr>
          <w:rFonts w:ascii="宋体" w:hAnsi="宋体"/>
          <w:sz w:val="24"/>
        </w:rPr>
        <w:t>5</w:t>
      </w:r>
      <w:r>
        <w:rPr>
          <w:rFonts w:hint="eastAsia" w:ascii="宋体" w:hAnsi="宋体"/>
          <w:sz w:val="24"/>
        </w:rPr>
        <w:t>0</w:t>
      </w:r>
      <w:r>
        <w:rPr>
          <w:rFonts w:ascii="宋体" w:hAnsi="宋体"/>
          <w:sz w:val="24"/>
        </w:rPr>
        <w:t>3</w:t>
      </w:r>
      <w:r>
        <w:rPr>
          <w:rFonts w:hint="eastAsia" w:ascii="宋体" w:hAnsi="宋体"/>
          <w:sz w:val="24"/>
        </w:rPr>
        <w:t>轮上坞修理。</w:t>
      </w:r>
    </w:p>
    <w:p>
      <w:pPr>
        <w:autoSpaceDE w:val="0"/>
        <w:spacing w:line="400" w:lineRule="exact"/>
        <w:jc w:val="both"/>
        <w:rPr>
          <w:rFonts w:ascii="宋体" w:hAnsi="宋体"/>
          <w:sz w:val="24"/>
        </w:rPr>
      </w:pPr>
      <w:r>
        <w:rPr>
          <w:rFonts w:hint="eastAsia" w:ascii="宋体" w:hAnsi="宋体"/>
          <w:b w:val="0"/>
          <w:bCs w:val="0"/>
          <w:sz w:val="24"/>
        </w:rPr>
        <w:t>（二）</w:t>
      </w:r>
      <w:r>
        <w:rPr>
          <w:rFonts w:hint="eastAsia" w:ascii="宋体" w:hAnsi="宋体"/>
          <w:sz w:val="24"/>
        </w:rPr>
        <w:t>服务期限: 修理期限</w:t>
      </w:r>
      <w:r>
        <w:rPr>
          <w:rFonts w:ascii="宋体" w:hAnsi="宋体"/>
          <w:sz w:val="24"/>
        </w:rPr>
        <w:t>20</w:t>
      </w:r>
      <w:r>
        <w:rPr>
          <w:rFonts w:hint="eastAsia" w:ascii="宋体" w:hAnsi="宋体"/>
          <w:sz w:val="24"/>
        </w:rPr>
        <w:t xml:space="preserve">天 </w:t>
      </w:r>
      <w:r>
        <w:rPr>
          <w:rFonts w:ascii="宋体" w:hAnsi="宋体"/>
          <w:sz w:val="24"/>
        </w:rPr>
        <w:t xml:space="preserve">             </w:t>
      </w:r>
    </w:p>
    <w:p>
      <w:pPr>
        <w:autoSpaceDE w:val="0"/>
        <w:spacing w:line="400" w:lineRule="exact"/>
        <w:jc w:val="both"/>
        <w:rPr>
          <w:rFonts w:ascii="宋体" w:hAnsi="宋体"/>
          <w:sz w:val="24"/>
        </w:rPr>
      </w:pPr>
      <w:r>
        <w:rPr>
          <w:rFonts w:hint="eastAsia" w:ascii="宋体" w:hAnsi="宋体"/>
          <w:b w:val="0"/>
          <w:bCs w:val="0"/>
          <w:sz w:val="24"/>
        </w:rPr>
        <w:t>（三）</w:t>
      </w:r>
      <w:r>
        <w:rPr>
          <w:rFonts w:hint="eastAsia" w:ascii="宋体" w:hAnsi="宋体"/>
          <w:sz w:val="24"/>
        </w:rPr>
        <w:t>服务地点: 城港拖5</w:t>
      </w:r>
      <w:r>
        <w:rPr>
          <w:rFonts w:ascii="宋体" w:hAnsi="宋体"/>
          <w:sz w:val="24"/>
        </w:rPr>
        <w:t>03</w:t>
      </w:r>
      <w:r>
        <w:rPr>
          <w:rFonts w:hint="eastAsia" w:ascii="宋体" w:hAnsi="宋体"/>
          <w:sz w:val="24"/>
        </w:rPr>
        <w:t>轮</w:t>
      </w:r>
    </w:p>
    <w:p>
      <w:pPr>
        <w:autoSpaceDE w:val="0"/>
        <w:spacing w:line="400" w:lineRule="exact"/>
        <w:jc w:val="both"/>
        <w:rPr>
          <w:rFonts w:ascii="宋体" w:hAnsi="宋体"/>
          <w:sz w:val="24"/>
        </w:rPr>
      </w:pPr>
      <w:r>
        <w:rPr>
          <w:rFonts w:hint="eastAsia" w:ascii="宋体" w:hAnsi="宋体"/>
          <w:b w:val="0"/>
          <w:bCs w:val="0"/>
          <w:sz w:val="24"/>
        </w:rPr>
        <w:t>（四）</w:t>
      </w:r>
      <w:r>
        <w:rPr>
          <w:rFonts w:hint="eastAsia" w:ascii="宋体" w:hAnsi="宋体"/>
          <w:sz w:val="24"/>
        </w:rPr>
        <w:t xml:space="preserve">质量要求或服务标准: 完成坞修并通过CCS武汉船级社的特别检验 。    </w:t>
      </w:r>
      <w:r>
        <w:t xml:space="preserve">           </w:t>
      </w:r>
    </w:p>
    <w:p>
      <w:pPr>
        <w:pStyle w:val="5"/>
        <w:jc w:val="both"/>
        <w:rPr>
          <w:rFonts w:ascii="Arial" w:hAnsi="Arial"/>
        </w:rPr>
      </w:pPr>
      <w:r>
        <w:rPr>
          <w:rFonts w:hint="eastAsia"/>
        </w:rPr>
        <w:t>三、</w:t>
      </w:r>
      <w:r>
        <w:rPr>
          <w:rFonts w:hint="eastAsia" w:ascii="黑体" w:hAnsi="黑体"/>
        </w:rPr>
        <w:t>供应商资格要求</w:t>
      </w:r>
    </w:p>
    <w:p>
      <w:pPr>
        <w:autoSpaceDE w:val="0"/>
        <w:spacing w:line="400" w:lineRule="exact"/>
        <w:ind w:firstLine="0" w:firstLineChars="0"/>
        <w:jc w:val="both"/>
        <w:rPr>
          <w:rFonts w:ascii="宋体" w:hAnsi="宋体"/>
          <w:sz w:val="24"/>
        </w:rPr>
      </w:pPr>
      <w:r>
        <w:rPr>
          <w:rFonts w:hint="eastAsia" w:ascii="宋体" w:hAnsi="宋体"/>
          <w:b w:val="0"/>
          <w:bCs w:val="0"/>
          <w:sz w:val="24"/>
        </w:rPr>
        <w:t>（一）</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autoSpaceDE w:val="0"/>
        <w:spacing w:line="400" w:lineRule="exact"/>
        <w:jc w:val="both"/>
        <w:rPr>
          <w:rFonts w:ascii="宋体" w:hAnsi="宋体"/>
          <w:sz w:val="24"/>
        </w:rPr>
      </w:pPr>
      <w:r>
        <w:rPr>
          <w:rFonts w:hint="eastAsia" w:ascii="宋体" w:hAnsi="宋体"/>
          <w:sz w:val="24"/>
        </w:rPr>
        <w:t>（二）供应商应满足如下要求:</w:t>
      </w:r>
    </w:p>
    <w:tbl>
      <w:tblPr>
        <w:tblStyle w:val="3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38"/>
                <w:u w:val="single"/>
              </w:rPr>
            </w:pPr>
            <w:r>
              <w:rPr>
                <w:rStyle w:val="38"/>
                <w:rFonts w:hint="eastAsia"/>
                <w:u w:val="single"/>
              </w:rPr>
              <w:sym w:font="Wingdings 2" w:char="0052"/>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sym w:font="Wingdings 2" w:char="0052"/>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sym w:font="Wingdings 2" w:char="0052"/>
            </w:r>
            <w:r>
              <w:rPr>
                <w:rStyle w:val="38"/>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38"/>
                <w:u w:val="single"/>
              </w:rPr>
            </w:pPr>
            <w:r>
              <w:rPr>
                <w:rStyle w:val="38"/>
                <w:rFonts w:hint="eastAsia"/>
                <w:u w:val="single"/>
              </w:rPr>
              <w:sym w:font="Wingdings 2" w:char="0052"/>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sym w:font="Wingdings 2" w:char="0052"/>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38"/>
                <w:u w:val="single"/>
              </w:rPr>
            </w:pPr>
            <w:r>
              <w:rPr>
                <w:rStyle w:val="38"/>
                <w:rFonts w:hint="eastAsia"/>
                <w:u w:val="single"/>
              </w:rPr>
              <w:sym w:font="Wingdings 2" w:char="0052"/>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w:t>
            </w:r>
          </w:p>
        </w:tc>
        <w:tc>
          <w:tcPr>
            <w:tcW w:w="5443" w:type="dxa"/>
          </w:tcPr>
          <w:p>
            <w:pPr>
              <w:widowControl w:val="0"/>
              <w:spacing w:line="320" w:lineRule="exact"/>
              <w:jc w:val="both"/>
              <w:rPr>
                <w:rStyle w:val="38"/>
                <w:u w:val="single"/>
              </w:rPr>
            </w:pPr>
            <w:r>
              <w:rPr>
                <w:rStyle w:val="38"/>
                <w:rFonts w:hint="eastAsia"/>
                <w:u w:val="single"/>
              </w:rPr>
              <w:sym w:font="Wingdings 2" w:char="0052"/>
            </w:r>
            <w:r>
              <w:rPr>
                <w:rStyle w:val="38"/>
                <w:rFonts w:hint="eastAsia"/>
                <w:u w:val="single"/>
              </w:rPr>
              <w:t xml:space="preserve">不适用  </w:t>
            </w:r>
          </w:p>
          <w:p>
            <w:pPr>
              <w:widowControl w:val="0"/>
              <w:spacing w:line="320" w:lineRule="exact"/>
              <w:jc w:val="both"/>
              <w:rPr>
                <w:rFonts w:ascii="宋体" w:hAnsi="宋体"/>
                <w:sz w:val="24"/>
              </w:rPr>
            </w:pPr>
            <w:r>
              <w:rPr>
                <w:rStyle w:val="38"/>
                <w:rFonts w:hint="eastAsia"/>
                <w:u w:val="single"/>
              </w:rPr>
              <w:t>□适用,见采购文件供应商须知前附表3.5（8）。</w:t>
            </w:r>
          </w:p>
        </w:tc>
      </w:tr>
    </w:tbl>
    <w:p>
      <w:pPr>
        <w:pStyle w:val="5"/>
        <w:jc w:val="both"/>
        <w:rPr>
          <w:rFonts w:ascii="Arial" w:hAnsi="Arial"/>
        </w:rPr>
      </w:pPr>
      <w:r>
        <w:rPr>
          <w:rFonts w:hint="eastAsia"/>
        </w:rPr>
        <w:t>四、</w:t>
      </w:r>
      <w:r>
        <w:rPr>
          <w:rFonts w:hint="eastAsia" w:ascii="黑体" w:hAnsi="黑体"/>
        </w:rPr>
        <w:t>响应保证金</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Fonts w:hint="eastAsia" w:asciiTheme="minorEastAsia" w:hAnsiTheme="minorEastAsia" w:eastAsiaTheme="minorEastAsia"/>
                <w:sz w:val="24"/>
              </w:rPr>
              <w:t>√</w:t>
            </w:r>
            <w:r>
              <w:rPr>
                <w:rFonts w:hint="eastAsia" w:ascii="宋体" w:hAnsi="宋体"/>
                <w:sz w:val="24"/>
              </w:rPr>
              <w:t>不要求递交</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Fonts w:hint="eastAsia" w:asciiTheme="minorEastAsia" w:hAnsiTheme="minorEastAsia" w:eastAsiaTheme="minorEastAsia"/>
                <w:sz w:val="24"/>
              </w:rPr>
              <w:t>√</w:t>
            </w:r>
            <w:r>
              <w:rPr>
                <w:rStyle w:val="38"/>
                <w:rFonts w:hint="eastAsia"/>
              </w:rPr>
              <w:t>不</w:t>
            </w:r>
            <w:r>
              <w:rPr>
                <w:rFonts w:hint="eastAsia" w:ascii="宋体" w:hAnsi="宋体"/>
                <w:sz w:val="24"/>
              </w:rPr>
              <w:t>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Fonts w:hint="eastAsia" w:asciiTheme="minorEastAsia" w:hAnsiTheme="minorEastAsia" w:eastAsiaTheme="minorEastAsia"/>
                <w:sz w:val="24"/>
              </w:rPr>
              <w:t>√</w:t>
            </w:r>
            <w:r>
              <w:rPr>
                <w:rFonts w:hint="eastAsia" w:ascii="宋体" w:hAnsi="宋体"/>
                <w:sz w:val="24"/>
              </w:rPr>
              <w:t>不适用</w:t>
            </w:r>
          </w:p>
          <w:p>
            <w:pPr>
              <w:widowControl w:val="0"/>
              <w:autoSpaceDE w:val="0"/>
              <w:spacing w:line="400" w:lineRule="exact"/>
              <w:jc w:val="both"/>
              <w:rPr>
                <w:rFonts w:ascii="宋体" w:hAnsi="宋体"/>
                <w:sz w:val="24"/>
              </w:rPr>
            </w:pPr>
            <w:r>
              <w:rPr>
                <w:rStyle w:val="38"/>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pStyle w:val="5"/>
        <w:jc w:val="both"/>
        <w:rPr>
          <w:rFonts w:ascii="Arial" w:hAnsi="Arial"/>
        </w:rPr>
      </w:pPr>
      <w:r>
        <w:rPr>
          <w:rFonts w:hint="eastAsia"/>
        </w:rPr>
        <w:t>五、</w:t>
      </w:r>
      <w:r>
        <w:rPr>
          <w:rFonts w:hint="eastAsia" w:ascii="黑体" w:hAnsi="黑体"/>
        </w:rPr>
        <w:t>确定成交供应商的方法</w:t>
      </w:r>
    </w:p>
    <w:p>
      <w:pPr>
        <w:autoSpaceDE w:val="0"/>
        <w:spacing w:line="400" w:lineRule="exact"/>
        <w:jc w:val="both"/>
        <w:rPr>
          <w:rFonts w:ascii="宋体" w:hAnsi="宋体"/>
          <w:sz w:val="24"/>
        </w:rPr>
      </w:pPr>
      <w:r>
        <w:rPr>
          <w:rFonts w:hint="eastAsia" w:ascii="宋体" w:hAnsi="宋体"/>
          <w:b w:val="0"/>
          <w:bCs w:val="0"/>
          <w:sz w:val="24"/>
        </w:rPr>
        <w:t>（一）</w:t>
      </w:r>
      <w:r>
        <w:rPr>
          <w:rStyle w:val="38"/>
          <w:rFonts w:hint="eastAsia"/>
          <w:b w:val="0"/>
          <w:bCs w:val="0"/>
        </w:rPr>
        <w:t>最低价法</w:t>
      </w:r>
    </w:p>
    <w:p>
      <w:pPr>
        <w:autoSpaceDE w:val="0"/>
        <w:spacing w:line="400" w:lineRule="exact"/>
        <w:jc w:val="both"/>
        <w:rPr>
          <w:rFonts w:ascii="宋体" w:hAnsi="宋体"/>
          <w:sz w:val="24"/>
        </w:rPr>
      </w:pPr>
      <w:r>
        <w:rPr>
          <w:rFonts w:hint="eastAsia" w:ascii="宋体" w:hAnsi="宋体"/>
          <w:b w:val="0"/>
          <w:bCs w:val="0"/>
          <w:sz w:val="24"/>
        </w:rPr>
        <w:t>（二）</w:t>
      </w:r>
      <w:r>
        <w:rPr>
          <w:rFonts w:hint="eastAsia" w:ascii="宋体" w:hAnsi="宋体"/>
          <w:sz w:val="24"/>
        </w:rPr>
        <w:t xml:space="preserve">采购人应当确定排名第一的成交候选供应商为成交供应商。若排名第一的成交候选供应商未通过履约能力和报价核查，采购人应按推荐的名单排序依次确定其他成交候选供应商为成交供应商。 </w:t>
      </w:r>
    </w:p>
    <w:p>
      <w:pPr>
        <w:pStyle w:val="5"/>
        <w:jc w:val="both"/>
        <w:rPr>
          <w:rFonts w:ascii="Arial" w:hAnsi="Arial"/>
        </w:rPr>
      </w:pPr>
      <w:r>
        <w:rPr>
          <w:rFonts w:hint="eastAsia"/>
        </w:rPr>
        <w:t>六、</w:t>
      </w:r>
      <w:r>
        <w:rPr>
          <w:rFonts w:hint="eastAsia" w:ascii="黑体" w:hAnsi="黑体"/>
        </w:rPr>
        <w:t>采购文件获取</w:t>
      </w:r>
    </w:p>
    <w:p>
      <w:pPr>
        <w:autoSpaceDE w:val="0"/>
        <w:spacing w:line="400" w:lineRule="exact"/>
        <w:jc w:val="both"/>
        <w:rPr>
          <w:rFonts w:ascii="宋体" w:hAnsi="宋体"/>
          <w:sz w:val="24"/>
        </w:rPr>
      </w:pPr>
      <w:r>
        <w:rPr>
          <w:rFonts w:hint="eastAsia" w:ascii="宋体" w:hAnsi="宋体"/>
          <w:b w:val="0"/>
          <w:bCs w:val="0"/>
          <w:sz w:val="24"/>
        </w:rPr>
        <w:t>（一）</w:t>
      </w:r>
      <w:r>
        <w:rPr>
          <w:rFonts w:hint="eastAsia" w:ascii="宋体" w:hAnsi="宋体"/>
          <w:sz w:val="24"/>
        </w:rPr>
        <w:t>供应商应当于</w:t>
      </w:r>
      <w:r>
        <w:rPr>
          <w:rFonts w:ascii="宋体" w:hAnsi="宋体"/>
          <w:sz w:val="24"/>
        </w:rPr>
        <w:t>2022</w:t>
      </w:r>
      <w:r>
        <w:rPr>
          <w:rFonts w:hint="eastAsia" w:ascii="宋体" w:hAnsi="宋体"/>
          <w:sz w:val="24"/>
        </w:rPr>
        <w:t>年</w:t>
      </w:r>
      <w:r>
        <w:rPr>
          <w:rFonts w:hint="eastAsia" w:ascii="宋体" w:hAnsi="宋体"/>
          <w:sz w:val="24"/>
          <w:lang w:val="en-US" w:eastAsia="zh-CN"/>
        </w:rPr>
        <w:t>3</w:t>
      </w:r>
      <w:r>
        <w:rPr>
          <w:rFonts w:hint="eastAsia" w:ascii="宋体" w:hAnsi="宋体"/>
          <w:sz w:val="24"/>
        </w:rPr>
        <w:t xml:space="preserve">月 </w:t>
      </w:r>
      <w:r>
        <w:rPr>
          <w:rFonts w:hint="eastAsia" w:ascii="宋体" w:hAnsi="宋体"/>
          <w:sz w:val="24"/>
          <w:lang w:val="en-US" w:eastAsia="zh-CN"/>
        </w:rPr>
        <w:t>1</w:t>
      </w:r>
      <w:r>
        <w:rPr>
          <w:rFonts w:hint="eastAsia" w:ascii="宋体" w:hAnsi="宋体"/>
          <w:sz w:val="24"/>
        </w:rPr>
        <w:t>日</w:t>
      </w:r>
      <w:r>
        <w:rPr>
          <w:rFonts w:ascii="宋体" w:hAnsi="宋体"/>
          <w:sz w:val="24"/>
        </w:rPr>
        <w:t>8</w:t>
      </w:r>
      <w:r>
        <w:rPr>
          <w:rFonts w:hint="eastAsia" w:ascii="宋体" w:hAnsi="宋体"/>
          <w:sz w:val="24"/>
        </w:rPr>
        <w:t>时</w:t>
      </w:r>
      <w:r>
        <w:rPr>
          <w:rFonts w:ascii="宋体" w:hAnsi="宋体"/>
          <w:sz w:val="24"/>
        </w:rPr>
        <w:t>0</w:t>
      </w:r>
      <w:r>
        <w:rPr>
          <w:rFonts w:hint="eastAsia" w:ascii="宋体" w:hAnsi="宋体"/>
          <w:sz w:val="24"/>
        </w:rPr>
        <w:t>分至</w:t>
      </w:r>
      <w:r>
        <w:rPr>
          <w:rFonts w:ascii="宋体" w:hAnsi="宋体"/>
          <w:sz w:val="24"/>
        </w:rPr>
        <w:t>2022</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7</w:t>
      </w:r>
      <w:r>
        <w:rPr>
          <w:rFonts w:hint="eastAsia" w:ascii="宋体" w:hAnsi="宋体"/>
          <w:sz w:val="24"/>
        </w:rPr>
        <w:t xml:space="preserve"> 日</w:t>
      </w:r>
      <w:r>
        <w:rPr>
          <w:rFonts w:ascii="宋体" w:hAnsi="宋体"/>
          <w:sz w:val="24"/>
        </w:rPr>
        <w:t>17</w:t>
      </w:r>
      <w:r>
        <w:rPr>
          <w:rFonts w:hint="eastAsia" w:ascii="宋体" w:hAnsi="宋体"/>
          <w:sz w:val="24"/>
        </w:rPr>
        <w:t>时3</w:t>
      </w:r>
      <w:r>
        <w:rPr>
          <w:rFonts w:ascii="宋体" w:hAnsi="宋体"/>
          <w:sz w:val="24"/>
        </w:rPr>
        <w:t>0</w:t>
      </w:r>
      <w:r>
        <w:rPr>
          <w:rFonts w:hint="eastAsia" w:ascii="宋体" w:hAnsi="宋体"/>
          <w:sz w:val="24"/>
        </w:rPr>
        <w:t>分，在中国招标投标公共服务平台（http：//www.cebpubservice.com）、湖南省湘水集团有限公司网站（http：//www.hnsxsjt.com）、湖南省港务集团有限公司（http://www.hnsgwjt.com）上获取采购文件:</w:t>
      </w:r>
    </w:p>
    <w:p>
      <w:pPr>
        <w:autoSpaceDE w:val="0"/>
        <w:spacing w:line="400" w:lineRule="exact"/>
        <w:jc w:val="both"/>
        <w:rPr>
          <w:rFonts w:ascii="宋体" w:hAnsi="宋体"/>
          <w:sz w:val="24"/>
        </w:rPr>
      </w:pPr>
      <w:r>
        <w:rPr>
          <w:rFonts w:hint="eastAsia" w:ascii="宋体" w:hAnsi="宋体"/>
          <w:b w:val="0"/>
          <w:bCs w:val="0"/>
          <w:sz w:val="24"/>
        </w:rPr>
        <w:t>（二）</w:t>
      </w:r>
      <w:r>
        <w:rPr>
          <w:rFonts w:hint="eastAsia" w:ascii="宋体" w:hAnsi="宋体"/>
          <w:sz w:val="24"/>
        </w:rPr>
        <w:t>供应商若对本项目采购需求、资格要求等有疑问的，应当于</w:t>
      </w:r>
      <w:r>
        <w:rPr>
          <w:rFonts w:ascii="宋体" w:hAnsi="宋体"/>
          <w:sz w:val="24"/>
        </w:rPr>
        <w:t>2022</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7</w:t>
      </w:r>
      <w:r>
        <w:rPr>
          <w:rFonts w:hint="eastAsia" w:ascii="宋体" w:hAnsi="宋体"/>
          <w:sz w:val="24"/>
        </w:rPr>
        <w:t>日</w:t>
      </w:r>
      <w:r>
        <w:rPr>
          <w:rFonts w:ascii="宋体" w:hAnsi="宋体"/>
          <w:sz w:val="24"/>
        </w:rPr>
        <w:t>17</w:t>
      </w:r>
      <w:r>
        <w:rPr>
          <w:rFonts w:hint="eastAsia" w:ascii="宋体" w:hAnsi="宋体"/>
          <w:sz w:val="24"/>
        </w:rPr>
        <w:t>时</w:t>
      </w:r>
      <w:r>
        <w:rPr>
          <w:rFonts w:ascii="宋体" w:hAnsi="宋体"/>
          <w:sz w:val="24"/>
        </w:rPr>
        <w:t>30</w:t>
      </w:r>
      <w:r>
        <w:rPr>
          <w:rFonts w:hint="eastAsia" w:ascii="宋体" w:hAnsi="宋体"/>
          <w:sz w:val="24"/>
        </w:rPr>
        <w:t>分前向采购人提出澄清要求。</w:t>
      </w:r>
    </w:p>
    <w:p>
      <w:pPr>
        <w:pStyle w:val="5"/>
        <w:jc w:val="both"/>
      </w:pPr>
      <w:r>
        <w:rPr>
          <w:rFonts w:hint="eastAsia"/>
        </w:rPr>
        <w:t>七、最高限价</w:t>
      </w:r>
    </w:p>
    <w:p>
      <w:pPr>
        <w:spacing w:line="312" w:lineRule="auto"/>
        <w:ind w:firstLine="482"/>
        <w:rPr>
          <w:rFonts w:ascii="宋体" w:hAnsi="宋体"/>
          <w:color w:val="000000"/>
          <w:sz w:val="24"/>
        </w:rPr>
      </w:pPr>
      <w:bookmarkStart w:id="3" w:name="_Toc40274970"/>
      <w:bookmarkStart w:id="4" w:name="_Toc38287094"/>
      <w:r>
        <w:rPr>
          <w:rFonts w:hint="eastAsia" w:ascii="宋体" w:hAnsi="宋体"/>
          <w:color w:val="000000"/>
          <w:sz w:val="24"/>
        </w:rPr>
        <w:t xml:space="preserve">采购人为本次招标编制了最高限价，最高限价： </w:t>
      </w:r>
      <w:r>
        <w:rPr>
          <w:rFonts w:hint="eastAsia" w:ascii="宋体" w:hAnsi="宋体"/>
          <w:color w:val="000000"/>
          <w:sz w:val="24"/>
          <w:u w:val="single"/>
        </w:rPr>
        <w:t xml:space="preserve">大写：贰拾伍万元整   </w:t>
      </w:r>
      <w:r>
        <w:rPr>
          <w:rFonts w:hint="eastAsia" w:ascii="宋体" w:hAnsi="宋体"/>
          <w:color w:val="000000"/>
          <w:sz w:val="24"/>
        </w:rPr>
        <w:t>（小写：￥</w:t>
      </w:r>
      <w:r>
        <w:rPr>
          <w:rFonts w:hint="eastAsia" w:ascii="宋体" w:hAnsi="宋体"/>
          <w:color w:val="000000"/>
          <w:sz w:val="24"/>
          <w:u w:val="single"/>
        </w:rPr>
        <w:t xml:space="preserve"> </w:t>
      </w:r>
      <w:r>
        <w:rPr>
          <w:rFonts w:ascii="宋体" w:hAnsi="宋体"/>
          <w:color w:val="000000"/>
          <w:sz w:val="24"/>
          <w:u w:val="single"/>
        </w:rPr>
        <w:t>250000</w:t>
      </w:r>
      <w:r>
        <w:rPr>
          <w:rFonts w:hint="eastAsia" w:ascii="宋体" w:hAnsi="宋体"/>
          <w:color w:val="000000"/>
          <w:sz w:val="24"/>
          <w:u w:val="single"/>
        </w:rPr>
        <w:t xml:space="preserve"> </w:t>
      </w:r>
      <w:r>
        <w:rPr>
          <w:rFonts w:hint="eastAsia" w:ascii="宋体" w:hAnsi="宋体"/>
          <w:color w:val="000000"/>
          <w:sz w:val="24"/>
        </w:rPr>
        <w:t>元）含13%增值税税率。</w:t>
      </w:r>
    </w:p>
    <w:p>
      <w:pPr>
        <w:spacing w:line="312" w:lineRule="auto"/>
        <w:ind w:firstLine="482"/>
      </w:pPr>
      <w:r>
        <w:rPr>
          <w:rFonts w:hint="eastAsia" w:ascii="宋体" w:hAnsi="宋体"/>
          <w:color w:val="000000"/>
          <w:sz w:val="24"/>
        </w:rPr>
        <w:t>采购人响应报价应不高于最高限价，否则其响应文件将被否决。</w:t>
      </w:r>
      <w:bookmarkEnd w:id="3"/>
      <w:bookmarkEnd w:id="4"/>
    </w:p>
    <w:p>
      <w:pPr>
        <w:pStyle w:val="5"/>
        <w:jc w:val="both"/>
      </w:pPr>
      <w:bookmarkStart w:id="5" w:name="_Toc77254104"/>
      <w:bookmarkStart w:id="6" w:name="_Toc76635692"/>
      <w:bookmarkStart w:id="7" w:name="_Toc512257471"/>
      <w:bookmarkStart w:id="8" w:name="_Toc79596547"/>
      <w:r>
        <w:rPr>
          <w:rFonts w:hint="eastAsia"/>
        </w:rPr>
        <w:t>八、</w:t>
      </w:r>
      <w:r>
        <w:t>监督</w:t>
      </w:r>
      <w:bookmarkEnd w:id="5"/>
      <w:bookmarkEnd w:id="6"/>
      <w:bookmarkEnd w:id="7"/>
      <w:r>
        <w:rPr>
          <w:rFonts w:hint="eastAsia"/>
        </w:rPr>
        <w:t>部门</w:t>
      </w:r>
      <w:bookmarkEnd w:id="8"/>
    </w:p>
    <w:p>
      <w:pPr>
        <w:pStyle w:val="31"/>
        <w:widowControl w:val="0"/>
        <w:adjustRightInd w:val="0"/>
        <w:snapToGrid w:val="0"/>
        <w:spacing w:before="0" w:beforeAutospacing="0" w:after="0" w:afterAutospacing="0" w:line="312" w:lineRule="auto"/>
        <w:ind w:firstLine="480" w:firstLineChars="200"/>
        <w:jc w:val="both"/>
        <w:rPr>
          <w:rFonts w:cs="Times New Roman"/>
        </w:rPr>
      </w:pPr>
      <w:r>
        <w:rPr>
          <w:rFonts w:cs="Times New Roman"/>
        </w:rPr>
        <w:t>本次</w:t>
      </w:r>
      <w:r>
        <w:rPr>
          <w:rFonts w:hint="eastAsia" w:cs="Times New Roman"/>
        </w:rPr>
        <w:t>采购</w:t>
      </w:r>
      <w:r>
        <w:rPr>
          <w:rFonts w:cs="Times New Roman"/>
        </w:rPr>
        <w:t>监督部门为</w:t>
      </w:r>
      <w:r>
        <w:rPr>
          <w:rFonts w:cs="Times New Roman"/>
          <w:u w:val="none"/>
        </w:rPr>
        <w:t xml:space="preserve"> </w:t>
      </w:r>
      <w:r>
        <w:rPr>
          <w:rFonts w:hint="eastAsia" w:cs="Times New Roman"/>
          <w:u w:val="none"/>
        </w:rPr>
        <w:t>岳阳城陵矶港务有限责任公司纪委</w:t>
      </w:r>
      <w:r>
        <w:rPr>
          <w:rFonts w:cs="Times New Roman"/>
          <w:u w:val="none"/>
        </w:rPr>
        <w:t xml:space="preserve"> </w:t>
      </w:r>
    </w:p>
    <w:p>
      <w:pPr>
        <w:pStyle w:val="31"/>
        <w:widowControl w:val="0"/>
        <w:adjustRightInd w:val="0"/>
        <w:snapToGrid w:val="0"/>
        <w:spacing w:before="0" w:beforeAutospacing="0" w:after="0" w:afterAutospacing="0" w:line="312" w:lineRule="auto"/>
        <w:ind w:firstLine="480" w:firstLineChars="200"/>
        <w:jc w:val="both"/>
        <w:rPr>
          <w:rFonts w:cs="Times New Roman"/>
        </w:rPr>
      </w:pPr>
      <w:r>
        <w:rPr>
          <w:rFonts w:cs="Times New Roman"/>
        </w:rPr>
        <w:t>电话：</w:t>
      </w:r>
      <w:r>
        <w:rPr>
          <w:rFonts w:cs="Times New Roman"/>
          <w:u w:val="none"/>
        </w:rPr>
        <w:t xml:space="preserve"> </w:t>
      </w:r>
      <w:r>
        <w:rPr>
          <w:rFonts w:hint="eastAsia" w:cs="Times New Roman"/>
        </w:rPr>
        <w:t>0730-3050160</w:t>
      </w:r>
    </w:p>
    <w:p>
      <w:pPr>
        <w:pStyle w:val="5"/>
        <w:jc w:val="both"/>
        <w:rPr>
          <w:rFonts w:ascii="Arial" w:hAnsi="Arial"/>
        </w:rPr>
      </w:pPr>
      <w:r>
        <w:rPr>
          <w:rFonts w:hint="eastAsia"/>
        </w:rPr>
        <w:t>九、</w:t>
      </w:r>
      <w:r>
        <w:rPr>
          <w:rFonts w:hint="eastAsia" w:ascii="黑体" w:hAnsi="黑体"/>
        </w:rPr>
        <w:t>联系方式</w:t>
      </w:r>
    </w:p>
    <w:p>
      <w:pPr>
        <w:autoSpaceDE w:val="0"/>
        <w:spacing w:line="400" w:lineRule="exact"/>
        <w:ind w:firstLine="240" w:firstLineChars="100"/>
        <w:jc w:val="both"/>
        <w:rPr>
          <w:rFonts w:ascii="宋体" w:hAnsi="宋体"/>
          <w:sz w:val="24"/>
        </w:rPr>
      </w:pPr>
      <w:r>
        <w:rPr>
          <w:rFonts w:hint="eastAsia" w:ascii="宋体" w:hAnsi="宋体"/>
          <w:sz w:val="24"/>
        </w:rPr>
        <w:t xml:space="preserve">采 购 人: </w:t>
      </w:r>
      <w:r>
        <w:rPr>
          <w:rFonts w:ascii="宋体" w:hAnsi="宋体"/>
          <w:sz w:val="24"/>
          <w:u w:val="none"/>
        </w:rPr>
        <w:t xml:space="preserve"> 岳阳城陵矶港务有限责任公司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地    址: </w:t>
      </w:r>
      <w:r>
        <w:rPr>
          <w:rFonts w:ascii="宋体" w:hAnsi="宋体"/>
          <w:sz w:val="24"/>
          <w:u w:val="none"/>
        </w:rPr>
        <w:t xml:space="preserve"> </w:t>
      </w:r>
      <w:r>
        <w:rPr>
          <w:rFonts w:hint="eastAsia" w:ascii="宋体" w:hAnsi="宋体"/>
          <w:sz w:val="24"/>
          <w:u w:val="none"/>
        </w:rPr>
        <w:t>岳阳城陵矶长江路二号</w:t>
      </w:r>
      <w:r>
        <w:rPr>
          <w:rFonts w:ascii="宋体" w:hAnsi="宋体"/>
          <w:sz w:val="24"/>
          <w:u w:val="none"/>
        </w:rPr>
        <w:t xml:space="preserve"> </w:t>
      </w:r>
      <w:r>
        <w:rPr>
          <w:rFonts w:ascii="宋体" w:hAnsi="宋体"/>
          <w:sz w:val="24"/>
        </w:rPr>
        <w:t xml:space="preserve"> </w:t>
      </w:r>
      <w:r>
        <w:rPr>
          <w:rFonts w:hint="eastAsia" w:ascii="宋体" w:hAnsi="宋体"/>
          <w:sz w:val="24"/>
        </w:rPr>
        <w:t xml:space="preserve">   </w:t>
      </w:r>
    </w:p>
    <w:p>
      <w:pPr>
        <w:autoSpaceDE w:val="0"/>
        <w:spacing w:line="400" w:lineRule="exact"/>
        <w:ind w:firstLine="0" w:firstLineChars="0"/>
        <w:jc w:val="both"/>
        <w:rPr>
          <w:rFonts w:ascii="宋体" w:hAnsi="宋体"/>
          <w:sz w:val="24"/>
        </w:rPr>
      </w:pPr>
      <w:r>
        <w:rPr>
          <w:rFonts w:ascii="宋体" w:hAnsi="宋体"/>
          <w:sz w:val="24"/>
          <w:u w:val="none"/>
        </w:rPr>
        <w:t xml:space="preserve">  </w:t>
      </w:r>
      <w:r>
        <w:rPr>
          <w:rFonts w:hint="eastAsia" w:ascii="宋体" w:hAnsi="宋体"/>
          <w:sz w:val="24"/>
        </w:rPr>
        <w:t xml:space="preserve">联 系 人: </w:t>
      </w:r>
      <w:r>
        <w:rPr>
          <w:rFonts w:ascii="宋体" w:hAnsi="宋体"/>
          <w:sz w:val="24"/>
          <w:u w:val="none"/>
        </w:rPr>
        <w:t xml:space="preserve"> </w:t>
      </w:r>
      <w:r>
        <w:rPr>
          <w:rFonts w:hint="eastAsia" w:ascii="宋体" w:hAnsi="宋体"/>
          <w:sz w:val="24"/>
          <w:u w:val="none"/>
        </w:rPr>
        <w:t>谢挺</w:t>
      </w:r>
      <w:r>
        <w:rPr>
          <w:rFonts w:ascii="宋体" w:hAnsi="宋体"/>
          <w:sz w:val="24"/>
          <w:u w:val="none"/>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电    话: </w:t>
      </w:r>
      <w:r>
        <w:rPr>
          <w:rFonts w:ascii="宋体" w:hAnsi="宋体"/>
          <w:sz w:val="24"/>
          <w:u w:val="none"/>
        </w:rPr>
        <w:t xml:space="preserve"> 0730-3050157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autoSpaceDE w:val="0"/>
        <w:spacing w:line="400" w:lineRule="exact"/>
        <w:ind w:firstLine="0" w:firstLineChars="0"/>
        <w:jc w:val="both"/>
        <w:rPr>
          <w:rFonts w:ascii="宋体" w:hAnsi="宋体"/>
          <w:sz w:val="24"/>
        </w:rPr>
      </w:pPr>
      <w:r>
        <w:rPr>
          <w:rFonts w:hint="eastAsia" w:ascii="宋体" w:hAnsi="宋体"/>
          <w:sz w:val="24"/>
        </w:rPr>
        <w:t xml:space="preserve">  电子邮箱: </w:t>
      </w:r>
      <w:r>
        <w:rPr>
          <w:rFonts w:ascii="宋体" w:hAnsi="宋体"/>
          <w:sz w:val="24"/>
          <w:u w:val="none"/>
        </w:rPr>
        <w:t xml:space="preserve"> 199573382@qq.com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开户银行: </w:t>
      </w:r>
      <w:r>
        <w:rPr>
          <w:rFonts w:ascii="宋体" w:hAnsi="宋体"/>
          <w:sz w:val="24"/>
          <w:u w:val="none"/>
        </w:rPr>
        <w:t xml:space="preserve"> 岳阳建行城陵矶支行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账    号: </w:t>
      </w:r>
      <w:r>
        <w:rPr>
          <w:rFonts w:ascii="宋体" w:hAnsi="宋体"/>
          <w:sz w:val="24"/>
          <w:u w:val="none"/>
        </w:rPr>
        <w:t xml:space="preserve"> 43001650066050000703 </w:t>
      </w:r>
      <w:r>
        <w:rPr>
          <w:rFonts w:hint="eastAsia" w:ascii="宋体" w:hAnsi="宋体"/>
          <w:sz w:val="24"/>
        </w:rPr>
        <w:t xml:space="preserve">          </w:t>
      </w:r>
      <w:bookmarkStart w:id="9" w:name="_Toc234832861"/>
      <w:bookmarkStart w:id="10" w:name="_Toc517787494"/>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p>
    <w:p>
      <w:pPr>
        <w:spacing w:line="600" w:lineRule="exact"/>
        <w:jc w:val="center"/>
        <w:outlineLvl w:val="0"/>
        <w:rPr>
          <w:rFonts w:ascii="黑体" w:hAnsi="黑体" w:eastAsia="黑体"/>
          <w:sz w:val="32"/>
          <w:szCs w:val="32"/>
        </w:rPr>
      </w:pPr>
      <w:bookmarkStart w:id="11" w:name="_Toc489"/>
      <w:r>
        <w:rPr>
          <w:rFonts w:hint="eastAsia" w:ascii="黑体" w:hAnsi="黑体" w:eastAsia="黑体"/>
          <w:sz w:val="32"/>
          <w:szCs w:val="32"/>
        </w:rPr>
        <w:t>第二章  供应商须知</w:t>
      </w:r>
      <w:bookmarkEnd w:id="9"/>
      <w:bookmarkEnd w:id="10"/>
      <w:bookmarkEnd w:id="11"/>
    </w:p>
    <w:p>
      <w:pPr>
        <w:pStyle w:val="2"/>
        <w:spacing w:before="240" w:after="240" w:line="600" w:lineRule="exact"/>
        <w:jc w:val="both"/>
        <w:rPr>
          <w:rFonts w:ascii="仿宋" w:hAnsi="仿宋" w:eastAsia="仿宋" w:cs="仿宋"/>
          <w:sz w:val="30"/>
          <w:szCs w:val="30"/>
        </w:rPr>
      </w:pPr>
      <w:bookmarkStart w:id="12" w:name="_Toc234832862"/>
      <w:bookmarkStart w:id="13" w:name="_Toc419"/>
      <w:bookmarkStart w:id="14" w:name="_Toc517787495"/>
      <w:r>
        <w:rPr>
          <w:rFonts w:hint="eastAsia" w:ascii="仿宋" w:hAnsi="仿宋" w:eastAsia="仿宋" w:cs="仿宋"/>
          <w:sz w:val="30"/>
          <w:szCs w:val="30"/>
        </w:rPr>
        <w:t>供应商须知前附表</w:t>
      </w:r>
      <w:r>
        <w:rPr>
          <w:rStyle w:val="44"/>
          <w:rFonts w:hint="eastAsia" w:ascii="仿宋" w:hAnsi="仿宋" w:eastAsia="仿宋" w:cs="仿宋"/>
          <w:sz w:val="30"/>
          <w:szCs w:val="30"/>
        </w:rPr>
        <w:footnoteReference w:id="0"/>
      </w:r>
      <w:bookmarkEnd w:id="12"/>
      <w:bookmarkEnd w:id="13"/>
      <w:bookmarkEnd w:id="14"/>
    </w:p>
    <w:tbl>
      <w:tblPr>
        <w:tblStyle w:val="35"/>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Theme="minorEastAsia" w:hAnsiTheme="minorEastAsia" w:eastAsiaTheme="minorEastAsia"/>
                <w:sz w:val="24"/>
              </w:rPr>
              <w:t>√</w:t>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Theme="minorEastAsia" w:hAnsiTheme="minorEastAsia" w:eastAsiaTheme="minorEastAsia"/>
                <w:sz w:val="24"/>
              </w:rPr>
              <w:t>√</w:t>
            </w:r>
            <w:r>
              <w:rPr>
                <w:rFonts w:hint="eastAsia" w:cs="仿宋" w:asciiTheme="minorEastAsia" w:hAnsiTheme="minorEastAsia" w:eastAsiaTheme="minorEastAsia"/>
                <w:sz w:val="24"/>
              </w:rPr>
              <w:t>最低价法（同质比价法和同价比质法）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Theme="minorEastAsia" w:hAnsiTheme="minorEastAsia" w:eastAsiaTheme="minorEastAsia"/>
                <w:sz w:val="24"/>
              </w:rPr>
              <w:t>√</w:t>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Theme="minorEastAsia" w:hAnsiTheme="minorEastAsia" w:eastAsiaTheme="minorEastAsia"/>
                <w:sz w:val="24"/>
              </w:rPr>
              <w:t>√</w:t>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不得分包的内容：全部</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允许偏差的范围：允许细微偏离</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允许偏差的项数：  3项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截止时间：递交投标文件截止日之前1</w:t>
            </w:r>
            <w:r>
              <w:rPr>
                <w:rFonts w:cs="仿宋" w:asciiTheme="minorEastAsia" w:hAnsiTheme="minorEastAsia" w:eastAsiaTheme="minorEastAsia"/>
                <w:sz w:val="24"/>
              </w:rPr>
              <w:t>5</w:t>
            </w:r>
            <w:r>
              <w:rPr>
                <w:rFonts w:hint="eastAsia" w:cs="仿宋" w:asciiTheme="minorEastAsia" w:hAnsiTheme="minorEastAsia" w:eastAsiaTheme="minorEastAsia"/>
                <w:sz w:val="24"/>
              </w:rPr>
              <w:t xml:space="preserve">日内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确认的最晚时间：补充文件发出后24小时</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确定的方式：补充文件接收确认函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采购文件补遗书及答疑书（如果有）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color w:val="auto"/>
                <w:sz w:val="24"/>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采购标的数量增减幅度： </w:t>
            </w:r>
            <w:r>
              <w:rPr>
                <w:rFonts w:cs="仿宋" w:asciiTheme="minorEastAsia" w:hAnsiTheme="minorEastAsia" w:eastAsiaTheme="minorEastAsia"/>
                <w:sz w:val="24"/>
              </w:rPr>
              <w:t>10%</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spacing w:line="288" w:lineRule="auto"/>
              <w:jc w:val="both"/>
              <w:rPr>
                <w:rFonts w:cs="仿宋" w:asciiTheme="minorEastAsia" w:hAnsiTheme="minorEastAsia" w:eastAsiaTheme="minorEastAsia"/>
                <w:sz w:val="24"/>
              </w:rPr>
            </w:pPr>
            <w:r>
              <w:rPr>
                <w:rFonts w:hint="eastAsia" w:asciiTheme="minorEastAsia" w:hAnsiTheme="minorEastAsia" w:eastAsiaTheme="minorEastAsia"/>
                <w:sz w:val="24"/>
              </w:rPr>
              <w:t>√</w:t>
            </w:r>
            <w:r>
              <w:rPr>
                <w:rFonts w:hint="eastAsia" w:cs="仿宋" w:asciiTheme="minorEastAsia" w:hAnsiTheme="minorEastAsia" w:eastAsiaTheme="minorEastAsia"/>
                <w:sz w:val="24"/>
              </w:rPr>
              <w:t>有，最高限价：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szCs w:val="24"/>
              </w:rPr>
              <w:t>人民币贰拾伍万元（小写：</w:t>
            </w:r>
            <w:r>
              <w:rPr>
                <w:rFonts w:cs="仿宋" w:asciiTheme="minorEastAsia" w:hAnsiTheme="minorEastAsia" w:eastAsiaTheme="minorEastAsia"/>
                <w:sz w:val="24"/>
                <w:szCs w:val="24"/>
              </w:rPr>
              <w:t>¥250</w:t>
            </w: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000.00</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rPr>
              <w:t xml:space="preserve">含13%的增值税，超过最高限价作废。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Theme="minorEastAsia" w:hAnsiTheme="minorEastAsia" w:eastAsiaTheme="minorEastAsia"/>
                <w:sz w:val="24"/>
              </w:rPr>
              <w:t>√</w:t>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8"/>
                <w:rFonts w:asciiTheme="minorEastAsia" w:hAnsiTheme="minorEastAsia" w:eastAsiaTheme="minorEastAsia"/>
                <w:b w:val="0"/>
                <w:color w:val="000000"/>
                <w:sz w:val="24"/>
              </w:rPr>
            </w:pPr>
            <w:r>
              <w:rPr>
                <w:rStyle w:val="38"/>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仿宋" w:asciiTheme="minorEastAsia" w:hAnsiTheme="minorEastAsia" w:eastAsiaTheme="minorEastAsia"/>
                <w:sz w:val="24"/>
              </w:rPr>
              <w:t>适用。</w:t>
            </w:r>
            <w:r>
              <w:rPr>
                <w:rFonts w:hint="eastAsia" w:asciiTheme="minorEastAsia" w:hAnsiTheme="minorEastAsia" w:eastAsiaTheme="minorEastAsia"/>
                <w:color w:val="000000"/>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38"/>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适用。供应商应提供相关资质证书副本的复印件，以证明供应商具有承担本项目要求的资质。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资质证书包括：国防科工委颁发的船舶修造、建造许可证。</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38"/>
                <w:rFonts w:asciiTheme="minorEastAsia" w:hAnsiTheme="minorEastAsia" w:eastAsiaTheme="minorEastAsia"/>
                <w:b w:val="0"/>
                <w:color w:val="000000"/>
                <w:sz w:val="24"/>
              </w:rPr>
            </w:pPr>
            <w:r>
              <w:rPr>
                <w:rStyle w:val="38"/>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不适用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u w:val="single"/>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适用。供应商应提供近年的类似项目情况表（格式见第六章“响应文件格式”七、资格审查资料（三）近年的类似项目情况表），以证明供应商具有承担本项目要求的业绩。近年是指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color w:val="000000"/>
                <w:sz w:val="24"/>
                <w:u w:val="single"/>
              </w:rPr>
              <w:t>2019</w:t>
            </w:r>
            <w:r>
              <w:rPr>
                <w:rFonts w:hint="eastAsia" w:cs="宋体" w:asciiTheme="minorEastAsia" w:hAnsiTheme="minorEastAsia" w:eastAsiaTheme="minorEastAsia"/>
                <w:color w:val="000000"/>
                <w:sz w:val="24"/>
                <w:u w:val="single"/>
              </w:rPr>
              <w:t>年2</w:t>
            </w:r>
            <w:r>
              <w:rPr>
                <w:rFonts w:hint="eastAsia" w:cs="宋体" w:asciiTheme="minorEastAsia" w:hAnsiTheme="minorEastAsia" w:eastAsiaTheme="minorEastAsia"/>
                <w:color w:val="000000"/>
                <w:sz w:val="24"/>
              </w:rPr>
              <w:t>至</w:t>
            </w:r>
            <w:r>
              <w:rPr>
                <w:rFonts w:cs="宋体" w:asciiTheme="minorEastAsia" w:hAnsiTheme="minorEastAsia" w:eastAsiaTheme="minorEastAsia"/>
                <w:color w:val="000000"/>
                <w:sz w:val="24"/>
                <w:u w:val="single"/>
              </w:rPr>
              <w:t>2021</w:t>
            </w:r>
            <w:r>
              <w:rPr>
                <w:rFonts w:hint="eastAsia" w:cs="宋体" w:asciiTheme="minorEastAsia" w:hAnsiTheme="minorEastAsia" w:eastAsiaTheme="minorEastAsia"/>
                <w:color w:val="000000"/>
                <w:sz w:val="24"/>
                <w:u w:val="single"/>
              </w:rPr>
              <w:t>年2月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□竣工验收报告/验收证明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其他要求：提供一项船舶中修业绩</w:t>
            </w:r>
            <w:r>
              <w:rPr>
                <w:rFonts w:hint="eastAsia" w:cs="宋体" w:asciiTheme="minorEastAsia" w:hAnsiTheme="minorEastAsia" w:eastAsiaTheme="minorEastAsia"/>
                <w:color w:val="000000"/>
                <w:sz w:val="24"/>
                <w:u w:val="none"/>
              </w:rPr>
              <w:t>。</w:t>
            </w:r>
            <w:r>
              <w:rPr>
                <w:rFonts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适用。供应商应提供相关信誉情况的证明材料，包括：</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w:t>
            </w:r>
            <w:commentRangeStart w:id="0"/>
            <w:commentRangeStart w:id="1"/>
            <w:commentRangeStart w:id="2"/>
            <w:commentRangeStart w:id="3"/>
            <w:commentRangeStart w:id="4"/>
            <w:commentRangeStart w:id="5"/>
            <w:commentRangeStart w:id="6"/>
            <w:commentRangeStart w:id="7"/>
            <w:commentRangeStart w:id="8"/>
            <w:commentRangeStart w:id="9"/>
            <w:commentRangeStart w:id="10"/>
            <w:commentRangeStart w:id="11"/>
            <w:commentRangeStart w:id="12"/>
            <w:commentRangeStart w:id="13"/>
            <w:commentRangeStart w:id="14"/>
            <w:commentRangeStart w:id="15"/>
            <w:commentRangeStart w:id="16"/>
            <w:commentRangeStart w:id="17"/>
            <w:commentRangeStart w:id="18"/>
            <w:commentRangeStart w:id="19"/>
            <w:commentRangeStart w:id="20"/>
            <w:commentRangeStart w:id="21"/>
            <w:commentRangeStart w:id="22"/>
            <w:commentRangeStart w:id="23"/>
            <w:commentRangeStart w:id="24"/>
            <w:r>
              <w:rPr>
                <w:rFonts w:hint="eastAsia" w:cs="宋体" w:asciiTheme="minorEastAsia" w:hAnsiTheme="minorEastAsia" w:eastAsiaTheme="minorEastAsia"/>
                <w:color w:val="000000"/>
                <w:sz w:val="24"/>
                <w:highlight w:val="none"/>
              </w:rPr>
              <w:t>不适用</w:t>
            </w:r>
          </w:p>
          <w:p>
            <w:pPr>
              <w:spacing w:line="288" w:lineRule="auto"/>
              <w:jc w:val="both"/>
              <w:rPr>
                <w:rFonts w:cs="宋体" w:asciiTheme="minorEastAsia" w:hAnsiTheme="minorEastAsia" w:eastAsiaTheme="minorEastAsia"/>
                <w:color w:val="000000"/>
                <w:sz w:val="24"/>
                <w:highlight w:val="cyan"/>
              </w:rPr>
            </w:pPr>
            <w:r>
              <w:rPr>
                <w:rFonts w:hint="eastAsia" w:cs="宋体" w:asciiTheme="minorEastAsia" w:hAnsiTheme="minorEastAsia" w:eastAsiaTheme="minorEastAsia"/>
                <w:color w:val="000000"/>
                <w:sz w:val="24"/>
                <w:highlight w:val="none"/>
              </w:rPr>
              <w:t>□适用。供应商应提供拟委任的主要人员汇总表和主要人员简历表（格式见第六章“响应文件格式”五、资格审查资料（四）拟委任的主要人员汇总表和（五）主要人员简历表）。供应商应填报满足第一章“采购公告”规定的项目负责人和其他主要人员的相关信息，并按如下要求提供相关证明文件：</w:t>
            </w:r>
            <w:commentRangeStart w:id="25"/>
            <w:r>
              <w:rPr>
                <w:rFonts w:hint="eastAsia" w:cs="宋体" w:asciiTheme="minorEastAsia" w:hAnsiTheme="minorEastAsia" w:eastAsiaTheme="minorEastAsia"/>
                <w:color w:val="000000"/>
                <w:sz w:val="24"/>
                <w:highlight w:val="none"/>
                <w:u w:val="single"/>
              </w:rPr>
              <w:t>维修人员证书、</w:t>
            </w:r>
            <w:commentRangeEnd w:id="25"/>
            <w:r>
              <w:rPr>
                <w:highlight w:val="none"/>
              </w:rPr>
              <w:commentReference w:id="25"/>
            </w:r>
            <w:r>
              <w:rPr>
                <w:rFonts w:hint="eastAsia" w:cs="宋体" w:asciiTheme="minorEastAsia" w:hAnsiTheme="minorEastAsia" w:eastAsiaTheme="minorEastAsia"/>
                <w:color w:val="000000"/>
                <w:sz w:val="24"/>
                <w:highlight w:val="none"/>
                <w:u w:val="single"/>
              </w:rPr>
              <w:t>社保缴费证明</w:t>
            </w:r>
            <w:r>
              <w:rPr>
                <w:rFonts w:cs="宋体" w:asciiTheme="minorEastAsia" w:hAnsiTheme="minorEastAsia" w:eastAsiaTheme="minorEastAsia"/>
                <w:color w:val="000000"/>
                <w:sz w:val="24"/>
                <w:highlight w:val="none"/>
                <w:u w:val="single"/>
              </w:rPr>
              <w:t xml:space="preserve"> </w:t>
            </w:r>
            <w:commentRangeEnd w:id="0"/>
            <w:r>
              <w:rPr>
                <w:highlight w:val="none"/>
              </w:rPr>
              <w:commentReference w:id="0"/>
            </w:r>
            <w:commentRangeEnd w:id="1"/>
            <w:r>
              <w:rPr>
                <w:highlight w:val="cyan"/>
              </w:rPr>
              <w:commentReference w:id="1"/>
            </w:r>
            <w:commentRangeEnd w:id="2"/>
            <w:r>
              <w:rPr>
                <w:highlight w:val="cyan"/>
              </w:rPr>
              <w:commentReference w:id="2"/>
            </w:r>
            <w:commentRangeEnd w:id="3"/>
            <w:r>
              <w:rPr>
                <w:highlight w:val="cyan"/>
              </w:rPr>
              <w:commentReference w:id="3"/>
            </w:r>
            <w:commentRangeEnd w:id="4"/>
            <w:r>
              <w:rPr>
                <w:highlight w:val="cyan"/>
              </w:rPr>
              <w:commentReference w:id="4"/>
            </w:r>
            <w:commentRangeEnd w:id="5"/>
            <w:r>
              <w:rPr>
                <w:highlight w:val="cyan"/>
              </w:rPr>
              <w:commentReference w:id="5"/>
            </w:r>
            <w:commentRangeEnd w:id="6"/>
            <w:r>
              <w:rPr>
                <w:highlight w:val="cyan"/>
              </w:rPr>
              <w:commentReference w:id="6"/>
            </w:r>
            <w:commentRangeEnd w:id="7"/>
            <w:r>
              <w:rPr>
                <w:highlight w:val="cyan"/>
              </w:rPr>
              <w:commentReference w:id="7"/>
            </w:r>
            <w:commentRangeEnd w:id="8"/>
            <w:r>
              <w:rPr>
                <w:highlight w:val="cyan"/>
              </w:rPr>
              <w:commentReference w:id="8"/>
            </w:r>
            <w:commentRangeEnd w:id="9"/>
            <w:r>
              <w:rPr>
                <w:highlight w:val="cyan"/>
              </w:rPr>
              <w:commentReference w:id="9"/>
            </w:r>
            <w:commentRangeEnd w:id="10"/>
            <w:r>
              <w:rPr>
                <w:highlight w:val="cyan"/>
              </w:rPr>
              <w:commentReference w:id="10"/>
            </w:r>
            <w:commentRangeEnd w:id="11"/>
            <w:r>
              <w:rPr>
                <w:highlight w:val="cyan"/>
              </w:rPr>
              <w:commentReference w:id="11"/>
            </w:r>
            <w:commentRangeEnd w:id="12"/>
            <w:r>
              <w:rPr>
                <w:highlight w:val="cyan"/>
              </w:rPr>
              <w:commentReference w:id="12"/>
            </w:r>
            <w:commentRangeEnd w:id="13"/>
            <w:r>
              <w:rPr>
                <w:highlight w:val="cyan"/>
              </w:rPr>
              <w:commentReference w:id="13"/>
            </w:r>
            <w:commentRangeEnd w:id="14"/>
            <w:r>
              <w:rPr>
                <w:highlight w:val="cyan"/>
              </w:rPr>
              <w:commentReference w:id="14"/>
            </w:r>
            <w:commentRangeEnd w:id="15"/>
            <w:r>
              <w:rPr>
                <w:highlight w:val="cyan"/>
              </w:rPr>
              <w:commentReference w:id="15"/>
            </w:r>
            <w:commentRangeEnd w:id="16"/>
            <w:r>
              <w:rPr>
                <w:highlight w:val="cyan"/>
              </w:rPr>
              <w:commentReference w:id="16"/>
            </w:r>
            <w:commentRangeEnd w:id="17"/>
            <w:r>
              <w:rPr>
                <w:highlight w:val="cyan"/>
              </w:rPr>
              <w:commentReference w:id="17"/>
            </w:r>
            <w:commentRangeEnd w:id="18"/>
            <w:r>
              <w:rPr>
                <w:highlight w:val="cyan"/>
              </w:rPr>
              <w:commentReference w:id="18"/>
            </w:r>
            <w:commentRangeEnd w:id="19"/>
            <w:r>
              <w:rPr>
                <w:highlight w:val="cyan"/>
              </w:rPr>
              <w:commentReference w:id="19"/>
            </w:r>
            <w:commentRangeEnd w:id="20"/>
            <w:r>
              <w:rPr>
                <w:highlight w:val="cyan"/>
              </w:rPr>
              <w:commentReference w:id="20"/>
            </w:r>
            <w:commentRangeEnd w:id="21"/>
            <w:r>
              <w:rPr>
                <w:highlight w:val="cyan"/>
              </w:rPr>
              <w:commentReference w:id="21"/>
            </w:r>
            <w:commentRangeEnd w:id="22"/>
            <w:r>
              <w:rPr>
                <w:highlight w:val="cyan"/>
              </w:rPr>
              <w:commentReference w:id="22"/>
            </w:r>
            <w:commentRangeEnd w:id="23"/>
            <w:r>
              <w:rPr>
                <w:highlight w:val="cyan"/>
              </w:rPr>
              <w:commentReference w:id="23"/>
            </w:r>
            <w:commentRangeEnd w:id="24"/>
            <w:r>
              <w:rPr>
                <w:highlight w:val="cyan"/>
              </w:rPr>
              <w:commentReference w:id="24"/>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不要求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响应文件一正二副，须密封包装，并在封套的封口处加盖供应商单位公章。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适用，供应商名称：</w:t>
            </w:r>
            <w:r>
              <w:rPr>
                <w:rFonts w:hint="eastAsia" w:ascii="宋体" w:hAnsi="宋体"/>
                <w:sz w:val="24"/>
                <w:u w:val="single"/>
              </w:rPr>
              <w:t>城港拖</w:t>
            </w:r>
            <w:r>
              <w:rPr>
                <w:rFonts w:ascii="宋体" w:hAnsi="宋体"/>
                <w:sz w:val="24"/>
                <w:u w:val="single"/>
              </w:rPr>
              <w:t>503</w:t>
            </w:r>
            <w:r>
              <w:rPr>
                <w:rFonts w:hint="eastAsia" w:ascii="宋体" w:hAnsi="宋体"/>
                <w:sz w:val="24"/>
                <w:u w:val="single"/>
              </w:rPr>
              <w:t>轮特检坞修项目</w:t>
            </w:r>
            <w:r>
              <w:rPr>
                <w:rFonts w:hint="eastAsia" w:cs="宋体" w:asciiTheme="minorEastAsia" w:hAnsiTheme="minorEastAsia" w:eastAsiaTheme="minorEastAsia"/>
                <w:color w:val="000000"/>
                <w:sz w:val="24"/>
              </w:rPr>
              <w:t>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color w:val="000000"/>
                <w:sz w:val="24"/>
                <w:u w:val="single"/>
              </w:rPr>
              <w:t>2022</w:t>
            </w:r>
            <w:r>
              <w:rPr>
                <w:rFonts w:hint="eastAsia" w:cs="宋体" w:asciiTheme="minorEastAsia" w:hAnsiTheme="minorEastAsia" w:eastAsiaTheme="minorEastAsia"/>
                <w:color w:val="000000"/>
                <w:sz w:val="24"/>
                <w:u w:val="single"/>
              </w:rPr>
              <w:t>年</w:t>
            </w:r>
            <w:r>
              <w:rPr>
                <w:rFonts w:hint="eastAsia" w:cs="宋体" w:asciiTheme="minorEastAsia" w:hAnsiTheme="minorEastAsia" w:eastAsiaTheme="minorEastAsia"/>
                <w:color w:val="000000"/>
                <w:sz w:val="24"/>
                <w:u w:val="single"/>
                <w:lang w:val="en-US" w:eastAsia="zh-CN"/>
              </w:rPr>
              <w:t>3</w:t>
            </w:r>
            <w:r>
              <w:rPr>
                <w:rFonts w:hint="eastAsia" w:cs="宋体" w:asciiTheme="minorEastAsia" w:hAnsiTheme="minorEastAsia" w:eastAsiaTheme="minorEastAsia"/>
                <w:color w:val="000000"/>
                <w:sz w:val="24"/>
                <w:u w:val="single"/>
              </w:rPr>
              <w:t>月</w:t>
            </w:r>
            <w:r>
              <w:rPr>
                <w:rFonts w:hint="eastAsia" w:cs="宋体" w:asciiTheme="minorEastAsia" w:hAnsiTheme="minorEastAsia" w:eastAsiaTheme="minorEastAsia"/>
                <w:color w:val="000000"/>
                <w:sz w:val="24"/>
                <w:u w:val="single"/>
                <w:lang w:val="en-US" w:eastAsia="zh-CN"/>
              </w:rPr>
              <w:t xml:space="preserve"> 7</w:t>
            </w:r>
            <w:r>
              <w:rPr>
                <w:rFonts w:hint="eastAsia" w:cs="宋体" w:asciiTheme="minorEastAsia" w:hAnsiTheme="minorEastAsia" w:eastAsiaTheme="minorEastAsia"/>
                <w:color w:val="000000"/>
                <w:sz w:val="24"/>
                <w:u w:val="single"/>
              </w:rPr>
              <w:t>日1</w:t>
            </w:r>
            <w:r>
              <w:rPr>
                <w:rFonts w:cs="宋体" w:asciiTheme="minorEastAsia" w:hAnsiTheme="minorEastAsia" w:eastAsiaTheme="minorEastAsia"/>
                <w:color w:val="000000"/>
                <w:sz w:val="24"/>
                <w:u w:val="single"/>
              </w:rPr>
              <w:t>7</w:t>
            </w:r>
            <w:r>
              <w:rPr>
                <w:rFonts w:hint="eastAsia" w:cs="宋体" w:asciiTheme="minorEastAsia" w:hAnsiTheme="minorEastAsia" w:eastAsiaTheme="minorEastAsia"/>
                <w:color w:val="000000"/>
                <w:sz w:val="24"/>
                <w:u w:val="single"/>
              </w:rPr>
              <w:t>时3</w:t>
            </w:r>
            <w:r>
              <w:rPr>
                <w:rFonts w:cs="宋体" w:asciiTheme="minorEastAsia" w:hAnsiTheme="minorEastAsia" w:eastAsiaTheme="minorEastAsia"/>
                <w:color w:val="000000"/>
                <w:sz w:val="24"/>
                <w:u w:val="single"/>
              </w:rPr>
              <w:t>0</w:t>
            </w:r>
            <w:r>
              <w:rPr>
                <w:rFonts w:hint="eastAsia" w:cs="宋体" w:asciiTheme="minorEastAsia" w:hAnsiTheme="minorEastAsia" w:eastAsiaTheme="minorEastAsia"/>
                <w:color w:val="000000"/>
                <w:sz w:val="24"/>
                <w:u w:val="single"/>
              </w:rPr>
              <w:t xml:space="preserve">分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rPr>
              <w:t xml:space="preserve"> 岳阳城陵矶港办公楼3</w:t>
            </w:r>
            <w:r>
              <w:rPr>
                <w:rFonts w:cs="宋体" w:asciiTheme="minorEastAsia" w:hAnsiTheme="minorEastAsia" w:eastAsiaTheme="minorEastAsia"/>
                <w:color w:val="000000"/>
                <w:sz w:val="24"/>
                <w:u w:val="single"/>
              </w:rPr>
              <w:t>26</w:t>
            </w:r>
            <w:r>
              <w:rPr>
                <w:rFonts w:hint="eastAsia" w:cs="宋体" w:asciiTheme="minorEastAsia" w:hAnsiTheme="minorEastAsia" w:eastAsiaTheme="minorEastAsia"/>
                <w:color w:val="000000"/>
                <w:sz w:val="24"/>
                <w:u w:val="single"/>
              </w:rPr>
              <w:t>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自采购人收到供应商递交的书面通知之日起</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日内</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p>
            <w:pPr>
              <w:spacing w:line="288" w:lineRule="auto"/>
              <w:jc w:val="both"/>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湖南省港务集团有限公司办公楼6</w:t>
            </w:r>
            <w:r>
              <w:rPr>
                <w:rFonts w:cs="宋体" w:asciiTheme="minorEastAsia" w:hAnsiTheme="minorEastAsia" w:eastAsiaTheme="minorEastAsia"/>
                <w:color w:val="000000"/>
                <w:sz w:val="24"/>
              </w:rPr>
              <w:t>02</w:t>
            </w:r>
            <w:r>
              <w:rPr>
                <w:rFonts w:hint="eastAsia" w:cs="宋体" w:asciiTheme="minorEastAsia" w:hAnsiTheme="minorEastAsia" w:eastAsiaTheme="minorEastAsia"/>
                <w:color w:val="000000"/>
                <w:sz w:val="24"/>
              </w:rPr>
              <w:t>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r>
              <w:rPr>
                <w:rStyle w:val="44"/>
                <w:rFonts w:cs="宋体" w:asciiTheme="minorEastAsia" w:hAnsiTheme="minorEastAsia" w:eastAsiaTheme="minorEastAsia"/>
                <w:color w:val="000000"/>
                <w:sz w:val="24"/>
              </w:rPr>
              <w:footnoteReference w:id="1"/>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w:t>
            </w:r>
            <w:r>
              <w:rPr>
                <w:rFonts w:cs="宋体" w:asciiTheme="minorEastAsia" w:hAnsiTheme="minorEastAsia" w:eastAsiaTheme="minorEastAsia"/>
                <w:color w:val="000000"/>
                <w:sz w:val="24"/>
              </w:rPr>
              <w:t>3</w:t>
            </w:r>
            <w:r>
              <w:rPr>
                <w:rFonts w:hint="eastAsia" w:cs="宋体" w:asciiTheme="minorEastAsia" w:hAnsiTheme="minorEastAsia" w:eastAsiaTheme="minorEastAsia"/>
                <w:color w:val="000000"/>
                <w:sz w:val="24"/>
              </w:rPr>
              <w:t>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评审（谈判）专家确定方式：在湖南省港务集团有限公司综合评标专家库中随机抽取2人，业主代表1人。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r>
              <w:rPr>
                <w:rStyle w:val="44"/>
                <w:rFonts w:cs="宋体" w:asciiTheme="minorEastAsia" w:hAnsiTheme="minorEastAsia" w:eastAsiaTheme="minorEastAsia"/>
                <w:color w:val="000000"/>
                <w:sz w:val="24"/>
              </w:rPr>
              <w:footnoteReference w:id="2"/>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cs="宋体" w:asciiTheme="minorEastAsia" w:hAnsiTheme="minorEastAsia" w:eastAsiaTheme="minorEastAsia"/>
                <w:b/>
                <w:bCs/>
                <w:color w:val="000000"/>
                <w:sz w:val="24"/>
              </w:rPr>
              <w:t xml:space="preserve">  </w:t>
            </w:r>
            <w:r>
              <w:rPr>
                <w:rFonts w:hint="eastAsia" w:cs="宋体" w:asciiTheme="minorEastAsia" w:hAnsiTheme="minorEastAsia" w:eastAsiaTheme="minorEastAsia"/>
                <w:b w:val="0"/>
                <w:bCs w:val="0"/>
                <w:color w:val="000000"/>
                <w:sz w:val="24"/>
              </w:rPr>
              <w:t>1-3</w:t>
            </w:r>
            <w:r>
              <w:rPr>
                <w:rFonts w:hint="eastAsia" w:cs="宋体" w:asciiTheme="minorEastAsia" w:hAnsiTheme="minorEastAsia" w:eastAsiaTheme="minorEastAsia"/>
                <w:color w:val="000000"/>
                <w:sz w:val="24"/>
              </w:rPr>
              <w:t>个（不超过3个），并标明推荐顺序。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cs="宋体" w:asciiTheme="minorEastAsia" w:hAnsiTheme="minorEastAsia" w:eastAsiaTheme="minorEastAsia"/>
                <w:b w:val="0"/>
                <w:bCs w:val="0"/>
                <w:color w:val="000000"/>
                <w:sz w:val="24"/>
                <w:u w:val="none"/>
              </w:rPr>
              <w:t xml:space="preserve"> </w:t>
            </w:r>
            <w:r>
              <w:rPr>
                <w:rFonts w:cs="宋体" w:asciiTheme="minorEastAsia" w:hAnsiTheme="minorEastAsia" w:eastAsiaTheme="minorEastAsia"/>
                <w:b w:val="0"/>
                <w:bCs w:val="0"/>
                <w:color w:val="000000"/>
                <w:sz w:val="24"/>
              </w:rPr>
              <w:t>1-3</w:t>
            </w:r>
            <w:r>
              <w:rPr>
                <w:rFonts w:hint="eastAsia" w:cs="宋体" w:asciiTheme="minorEastAsia" w:hAnsiTheme="minorEastAsia" w:eastAsiaTheme="minorEastAsia"/>
                <w:b w:val="0"/>
                <w:bCs w:val="0"/>
                <w:color w:val="000000"/>
                <w:sz w:val="24"/>
              </w:rPr>
              <w:t>个（</w:t>
            </w:r>
            <w:r>
              <w:rPr>
                <w:rFonts w:hint="eastAsia" w:cs="宋体" w:asciiTheme="minorEastAsia" w:hAnsiTheme="minorEastAsia" w:eastAsiaTheme="minorEastAsia"/>
                <w:color w:val="000000"/>
                <w:sz w:val="24"/>
              </w:rPr>
              <w:t>不超过3个）</w:t>
            </w:r>
            <w:r>
              <w:rPr>
                <w:rFonts w:cs="宋体" w:asciiTheme="minorEastAsia" w:hAnsiTheme="minorEastAsia" w:eastAsiaTheme="minorEastAsia"/>
                <w:color w:val="000000"/>
                <w:sz w:val="24"/>
                <w:u w:val="none"/>
              </w:rPr>
              <w:t xml:space="preserve">                </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公示媒介：同询价公告网站</w:t>
            </w:r>
          </w:p>
          <w:p>
            <w:pPr>
              <w:spacing w:line="288" w:lineRule="auto"/>
              <w:jc w:val="both"/>
              <w:rPr>
                <w:rFonts w:cs="宋体" w:asciiTheme="minorEastAsia" w:hAnsiTheme="minorEastAsia" w:eastAsiaTheme="minorEastAsia"/>
                <w:color w:val="000000"/>
                <w:sz w:val="24"/>
                <w:u w:val="none"/>
              </w:rPr>
            </w:pPr>
            <w:r>
              <w:rPr>
                <w:rFonts w:hint="eastAsia" w:cs="宋体" w:asciiTheme="minorEastAsia" w:hAnsiTheme="minorEastAsia" w:eastAsiaTheme="minorEastAsia"/>
                <w:color w:val="000000"/>
                <w:sz w:val="24"/>
              </w:rPr>
              <w:t>公示期限：</w:t>
            </w:r>
            <w:r>
              <w:rPr>
                <w:rFonts w:cs="宋体" w:asciiTheme="minorEastAsia" w:hAnsiTheme="minorEastAsia" w:eastAsiaTheme="minorEastAsia"/>
                <w:color w:val="000000"/>
                <w:sz w:val="24"/>
                <w:u w:val="none"/>
              </w:rPr>
              <w:t xml:space="preserve">  3</w:t>
            </w:r>
            <w:r>
              <w:rPr>
                <w:rFonts w:hint="eastAsia" w:cs="宋体" w:asciiTheme="minorEastAsia" w:hAnsiTheme="minorEastAsia" w:eastAsiaTheme="minorEastAsia"/>
                <w:color w:val="000000"/>
                <w:sz w:val="24"/>
                <w:u w:val="none"/>
              </w:rPr>
              <w:t>天</w:t>
            </w:r>
            <w:r>
              <w:rPr>
                <w:rFonts w:cs="宋体" w:asciiTheme="minorEastAsia" w:hAnsiTheme="minorEastAsia" w:eastAsiaTheme="minorEastAsia"/>
                <w:color w:val="000000"/>
                <w:sz w:val="24"/>
                <w:u w:val="non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none"/>
              </w:rPr>
              <w:t>其他应公示的内容</w:t>
            </w:r>
            <w:r>
              <w:rPr>
                <w:rFonts w:hint="eastAsia" w:cs="宋体" w:asciiTheme="minorEastAsia" w:hAnsiTheme="minorEastAsia" w:eastAsiaTheme="minorEastAsia"/>
                <w:color w:val="000000"/>
                <w:sz w:val="24"/>
              </w:rPr>
              <w:t>：</w:t>
            </w:r>
            <w:r>
              <w:rPr>
                <w:rFonts w:cs="宋体" w:asciiTheme="minorEastAsia" w:hAnsiTheme="minorEastAsia" w:eastAsiaTheme="minorEastAsia"/>
                <w:color w:val="000000"/>
                <w:sz w:val="24"/>
                <w:u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Theme="minorEastAsia" w:hAnsiTheme="minorEastAsia" w:eastAsiaTheme="minorEastAsia"/>
                <w:sz w:val="24"/>
              </w:rPr>
              <w:t>√</w:t>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cs="宋体" w:asciiTheme="minorEastAsia" w:hAnsiTheme="minorEastAsia" w:eastAsiaTheme="minorEastAsia"/>
                <w:color w:val="000000"/>
                <w:sz w:val="24"/>
                <w:u w:val="non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cs="宋体" w:asciiTheme="minorEastAsia" w:hAnsiTheme="minorEastAsia" w:eastAsiaTheme="minorEastAsia"/>
                <w:color w:val="000000"/>
                <w:sz w:val="24"/>
                <w:u w:val="non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cs="宋体" w:asciiTheme="minorEastAsia" w:hAnsiTheme="minorEastAsia" w:eastAsiaTheme="minorEastAsia"/>
                <w:color w:val="000000"/>
                <w:sz w:val="24"/>
                <w:u w:val="non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cs="宋体" w:asciiTheme="minorEastAsia" w:hAnsiTheme="minorEastAsia" w:eastAsiaTheme="minorEastAsia"/>
                <w:color w:val="000000"/>
                <w:sz w:val="24"/>
                <w:u w:val="non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cs="宋体" w:asciiTheme="minorEastAsia" w:hAnsiTheme="minorEastAsia" w:eastAsiaTheme="minorEastAsia"/>
                <w:color w:val="000000"/>
                <w:sz w:val="24"/>
                <w:u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non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none"/>
              </w:rPr>
              <w:t>岳阳城陵矶港务有限责任公司纪委</w:t>
            </w:r>
            <w:r>
              <w:rPr>
                <w:rFonts w:cs="宋体" w:asciiTheme="minorEastAsia" w:hAnsiTheme="minorEastAsia" w:eastAsiaTheme="minorEastAsia"/>
                <w:color w:val="000000"/>
                <w:sz w:val="24"/>
                <w:u w:val="non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联系电话：</w:t>
            </w:r>
            <w:r>
              <w:rPr>
                <w:rFonts w:cs="宋体" w:asciiTheme="minorEastAsia" w:hAnsiTheme="minorEastAsia" w:eastAsiaTheme="minorEastAsia"/>
                <w:color w:val="000000"/>
                <w:sz w:val="24"/>
                <w:u w:val="none"/>
              </w:rPr>
              <w:t xml:space="preserve">  </w:t>
            </w:r>
            <w:r>
              <w:rPr>
                <w:rFonts w:hint="eastAsia" w:cs="宋体" w:asciiTheme="minorEastAsia" w:hAnsiTheme="minorEastAsia" w:eastAsiaTheme="minorEastAsia"/>
                <w:color w:val="000000"/>
                <w:sz w:val="24"/>
              </w:rPr>
              <w:t>0730-3050160</w:t>
            </w:r>
            <w:r>
              <w:rPr>
                <w:rFonts w:cs="宋体" w:asciiTheme="minorEastAsia" w:hAnsiTheme="minorEastAsia" w:eastAsiaTheme="minorEastAsia"/>
                <w:color w:val="000000"/>
                <w:sz w:val="24"/>
                <w:u w:val="none"/>
              </w:rPr>
              <w:t xml:space="preserve">             </w:t>
            </w:r>
            <w:r>
              <w:rPr>
                <w:rFonts w:cs="宋体" w:asciiTheme="minorEastAsia" w:hAnsiTheme="minorEastAsia" w:eastAsiaTheme="minorEastAsia"/>
                <w:color w:val="000000"/>
                <w:sz w:val="24"/>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cs="宋体" w:asciiTheme="minorEastAsia" w:hAnsiTheme="minorEastAsia" w:eastAsiaTheme="minorEastAsia"/>
                <w:color w:val="000000"/>
                <w:sz w:val="24"/>
                <w:u w:val="none"/>
              </w:rPr>
              <w:t>岳阳市岳阳楼区城陵矶长江路</w:t>
            </w:r>
            <w:r>
              <w:rPr>
                <w:rFonts w:cs="宋体" w:asciiTheme="minorEastAsia" w:hAnsiTheme="minorEastAsia" w:eastAsiaTheme="minorEastAsia"/>
                <w:color w:val="000000"/>
                <w:sz w:val="24"/>
                <w:u w:val="none"/>
              </w:rPr>
              <w:t xml:space="preserve">2号                  </w:t>
            </w:r>
            <w:r>
              <w:rPr>
                <w:rFonts w:cs="宋体" w:asciiTheme="minorEastAsia" w:hAnsiTheme="minorEastAsia" w:eastAsiaTheme="minorEastAsia"/>
                <w:color w:val="000000"/>
                <w:sz w:val="24"/>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u w:val="none"/>
              </w:rPr>
              <w:t>其他：</w:t>
            </w:r>
            <w:r>
              <w:rPr>
                <w:rFonts w:cs="宋体" w:asciiTheme="minorEastAsia" w:hAnsiTheme="minorEastAsia" w:eastAsiaTheme="minorEastAsia"/>
                <w:color w:val="000000"/>
                <w:sz w:val="24"/>
                <w:u w:val="none"/>
              </w:rPr>
              <w:t xml:space="preserve">                  </w:t>
            </w:r>
          </w:p>
        </w:tc>
      </w:tr>
    </w:tbl>
    <w:p>
      <w:pPr>
        <w:spacing w:line="240" w:lineRule="auto"/>
        <w:jc w:val="center"/>
        <w:outlineLvl w:val="0"/>
        <w:rPr>
          <w:rFonts w:ascii="仿宋" w:hAnsi="仿宋" w:eastAsia="仿宋" w:cs="仿宋"/>
          <w:sz w:val="30"/>
          <w:szCs w:val="30"/>
        </w:rPr>
      </w:pPr>
      <w:r>
        <w:rPr>
          <w:rFonts w:ascii="仿宋" w:hAnsi="仿宋" w:eastAsia="仿宋" w:cs="仿宋"/>
          <w:b/>
          <w:bCs/>
          <w:sz w:val="30"/>
          <w:szCs w:val="30"/>
        </w:rPr>
        <w:br w:type="page"/>
      </w:r>
      <w:bookmarkStart w:id="15" w:name="_Toc18948"/>
      <w:r>
        <w:rPr>
          <w:rFonts w:hint="eastAsia" w:ascii="华文中宋" w:hAnsi="华文中宋" w:eastAsia="华文中宋" w:cs="仿宋"/>
          <w:b/>
          <w:bCs/>
          <w:sz w:val="30"/>
          <w:szCs w:val="30"/>
        </w:rPr>
        <w:t>第二章 供应商须知正文</w:t>
      </w:r>
      <w:bookmarkEnd w:id="15"/>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67"/>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1"/>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1"/>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1"/>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p>
    <w:p>
      <w:pPr>
        <w:adjustRightInd w:val="0"/>
        <w:snapToGrid w:val="0"/>
        <w:spacing w:line="312" w:lineRule="auto"/>
        <w:jc w:val="both"/>
        <w:rPr>
          <w:rFonts w:ascii="宋体" w:hAnsi="宋体" w:cs="仿宋"/>
          <w:sz w:val="24"/>
        </w:rPr>
      </w:pPr>
      <w:r>
        <w:rPr>
          <w:rFonts w:hint="eastAsia" w:ascii="宋体" w:hAnsi="宋体" w:cs="仿宋"/>
          <w:sz w:val="24"/>
        </w:rPr>
        <w:t>本项目不得分包</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(3)联合体协议书(如有);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(4)响应保证金(如有);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(7)资格审查资料;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(8)响应方案;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（本项目不提交响应保证金）</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r>
        <w:rPr>
          <w:rFonts w:hint="eastAsia" w:ascii="宋体" w:hAnsi="宋体" w:cs="仿宋"/>
          <w:sz w:val="24"/>
        </w:rPr>
        <w:br w:type="textWrapping"/>
      </w: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6" w:name="_Toc24135"/>
      <w:r>
        <w:rPr>
          <w:rFonts w:hint="eastAsia" w:ascii="宋体" w:hAnsi="宋体" w:cs="宋体"/>
          <w:b/>
          <w:bCs/>
          <w:sz w:val="24"/>
        </w:rPr>
        <w:t>7.3成交结果异议</w:t>
      </w:r>
      <w:bookmarkEnd w:id="16"/>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6"/>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2"/>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outlineLvl w:val="0"/>
        <w:rPr>
          <w:rFonts w:ascii="黑体" w:hAnsi="黑体" w:eastAsia="黑体" w:cs="仿宋"/>
          <w:bCs/>
          <w:sz w:val="36"/>
          <w:szCs w:val="36"/>
        </w:rPr>
      </w:pPr>
      <w:bookmarkStart w:id="17" w:name="_Toc27750"/>
      <w:r>
        <w:rPr>
          <w:rFonts w:hint="eastAsia" w:ascii="黑体" w:hAnsi="黑体" w:eastAsia="黑体" w:cs="仿宋"/>
          <w:bCs/>
          <w:sz w:val="36"/>
          <w:szCs w:val="36"/>
        </w:rPr>
        <w:t>第三章 评审办法</w:t>
      </w:r>
      <w:bookmarkEnd w:id="17"/>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6"/>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联合体协议书</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本项目不允许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73" w:type="dxa"/>
            <w:vAlign w:val="center"/>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76" w:type="dxa"/>
          </w:tcPr>
          <w:p>
            <w:pPr>
              <w:widowControl w:val="0"/>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2825" w:type="dxa"/>
            <w:gridSpan w:val="2"/>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评分因素</w:t>
            </w:r>
          </w:p>
        </w:tc>
        <w:tc>
          <w:tcPr>
            <w:tcW w:w="5676" w:type="dxa"/>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2825" w:type="dxa"/>
            <w:gridSpan w:val="2"/>
          </w:tcPr>
          <w:p>
            <w:pPr>
              <w:widowControl/>
              <w:adjustRightInd w:val="0"/>
              <w:snapToGrid w:val="0"/>
              <w:spacing w:line="288" w:lineRule="auto"/>
              <w:jc w:val="center"/>
              <w:rPr>
                <w:rFonts w:cs="仿宋" w:asciiTheme="minorEastAsia" w:hAnsiTheme="minorEastAsia" w:eastAsiaTheme="minorEastAsia"/>
                <w:szCs w:val="21"/>
              </w:rPr>
            </w:pPr>
            <w:r>
              <w:rPr>
                <w:rFonts w:hint="eastAsia" w:ascii="宋体" w:hAnsi="宋体"/>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w:t>
            </w:r>
            <w:r>
              <w:rPr>
                <w:rFonts w:hint="eastAsia" w:asciiTheme="minorEastAsia" w:hAnsiTheme="minorEastAsia" w:eastAsiaTheme="minorEastAsia"/>
                <w:color w:val="auto"/>
                <w:szCs w:val="21"/>
              </w:rPr>
              <w:t>据</w:t>
            </w:r>
            <w:r>
              <w:rPr>
                <w:rFonts w:asciiTheme="minorEastAsia" w:hAnsiTheme="minorEastAsia" w:eastAsiaTheme="minorEastAsia"/>
                <w:color w:val="auto"/>
                <w:szCs w:val="21"/>
              </w:rPr>
              <w:t>2.2.2条规定，提供13%的的增值税专用发票，超过最高限价的作废。如果报价人提供其他税率的增值税专用发票，招标人按13%的的增值税税率调整报价后参</w:t>
            </w:r>
            <w:r>
              <w:rPr>
                <w:rFonts w:hint="eastAsia" w:cs="仿宋" w:asciiTheme="minorEastAsia" w:hAnsiTheme="minorEastAsia" w:eastAsiaTheme="minorEastAsia"/>
                <w:color w:val="auto"/>
                <w:szCs w:val="21"/>
              </w:rPr>
              <w:t>按照评审价格由低到高的顺序推荐成交候选供应商。</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0" w:firstLineChars="0"/>
        <w:jc w:val="both"/>
        <w:rPr>
          <w:rFonts w:ascii="宋体" w:hAnsi="宋体" w:cs="仿宋"/>
          <w:sz w:val="24"/>
        </w:rPr>
      </w:pPr>
      <w:r>
        <w:rPr>
          <w:rFonts w:hint="eastAsia" w:ascii="宋体" w:hAnsi="宋体" w:eastAsia="宋体" w:cs="仿宋"/>
          <w:sz w:val="24"/>
          <w:szCs w:val="24"/>
        </w:rPr>
        <w:t>提供</w:t>
      </w:r>
      <w:r>
        <w:rPr>
          <w:rFonts w:ascii="宋体" w:hAnsi="宋体" w:eastAsia="宋体" w:cs="仿宋"/>
          <w:sz w:val="24"/>
          <w:szCs w:val="24"/>
        </w:rPr>
        <w:t>13%的的增值税专用发票，超过最高限价的作废。如果报价人提供其他税率的增值税专用发票，招标人按13%的的增值税税率调整报价后参</w:t>
      </w:r>
      <w:r>
        <w:rPr>
          <w:rFonts w:hint="eastAsia" w:ascii="宋体" w:hAnsi="宋体" w:eastAsia="宋体" w:cs="仿宋"/>
          <w:sz w:val="24"/>
          <w:szCs w:val="24"/>
        </w:rPr>
        <w:t>按照评审价格由低到高的顺序推荐成交候选供应商。</w:t>
      </w:r>
      <w:r>
        <w:rPr>
          <w:rFonts w:hint="eastAsia" w:ascii="宋体" w:hAnsi="宋体" w:cs="仿宋"/>
          <w:sz w:val="24"/>
        </w:rPr>
        <w:t>税率调整后的评审价格若超过最高限价，其响应文件将被视为无效。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则以投标报价低的投标人优先，若评审价相同且报价也相同时，以技术优的投标人优先。若评审价相同、报价相同且技术也相同时则按抽签决定排名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rPr>
          <w:rFonts w:ascii="黑体" w:hAnsi="黑体" w:eastAsia="黑体" w:cs="宋体"/>
          <w:kern w:val="44"/>
          <w:sz w:val="32"/>
          <w:szCs w:val="32"/>
        </w:rPr>
      </w:pPr>
      <w:bookmarkStart w:id="18" w:name="_Toc77254130"/>
      <w:bookmarkStart w:id="19" w:name="_Toc76635709"/>
    </w:p>
    <w:p>
      <w:pPr>
        <w:widowControl w:val="0"/>
        <w:snapToGrid w:val="0"/>
        <w:spacing w:line="490" w:lineRule="exact"/>
        <w:jc w:val="center"/>
        <w:rPr>
          <w:rFonts w:ascii="黑体" w:hAnsi="黑体" w:eastAsia="黑体" w:cs="宋体"/>
          <w:kern w:val="44"/>
          <w:sz w:val="32"/>
          <w:szCs w:val="32"/>
        </w:rPr>
      </w:pPr>
    </w:p>
    <w:p>
      <w:pPr>
        <w:widowControl w:val="0"/>
        <w:snapToGrid w:val="0"/>
        <w:spacing w:line="490" w:lineRule="exact"/>
        <w:jc w:val="center"/>
        <w:rPr>
          <w:rFonts w:ascii="黑体" w:hAnsi="黑体" w:eastAsia="黑体" w:cs="宋体"/>
          <w:kern w:val="44"/>
          <w:sz w:val="32"/>
          <w:szCs w:val="32"/>
        </w:rPr>
      </w:pPr>
    </w:p>
    <w:p>
      <w:pPr>
        <w:widowControl w:val="0"/>
        <w:snapToGrid w:val="0"/>
        <w:spacing w:line="490" w:lineRule="exact"/>
        <w:jc w:val="center"/>
        <w:rPr>
          <w:rFonts w:ascii="黑体" w:hAnsi="黑体" w:eastAsia="黑体" w:cs="宋体"/>
          <w:kern w:val="44"/>
          <w:sz w:val="32"/>
          <w:szCs w:val="32"/>
        </w:rPr>
      </w:pPr>
    </w:p>
    <w:p>
      <w:pPr>
        <w:widowControl w:val="0"/>
        <w:snapToGrid w:val="0"/>
        <w:spacing w:line="490" w:lineRule="exact"/>
        <w:jc w:val="center"/>
        <w:rPr>
          <w:rFonts w:ascii="黑体" w:hAnsi="黑体" w:eastAsia="黑体" w:cs="宋体"/>
          <w:kern w:val="44"/>
          <w:sz w:val="32"/>
          <w:szCs w:val="32"/>
        </w:rPr>
      </w:pPr>
    </w:p>
    <w:p>
      <w:pPr>
        <w:widowControl w:val="0"/>
        <w:snapToGrid w:val="0"/>
        <w:spacing w:line="490" w:lineRule="exact"/>
        <w:jc w:val="center"/>
        <w:rPr>
          <w:rFonts w:ascii="黑体" w:hAnsi="黑体" w:eastAsia="黑体" w:cs="宋体"/>
          <w:kern w:val="44"/>
          <w:sz w:val="32"/>
          <w:szCs w:val="32"/>
        </w:rPr>
      </w:pPr>
    </w:p>
    <w:p>
      <w:pPr>
        <w:widowControl w:val="0"/>
        <w:snapToGrid w:val="0"/>
        <w:spacing w:line="490" w:lineRule="exact"/>
        <w:jc w:val="center"/>
        <w:rPr>
          <w:rFonts w:ascii="黑体" w:hAnsi="黑体" w:eastAsia="黑体" w:cs="宋体"/>
          <w:kern w:val="44"/>
          <w:sz w:val="32"/>
          <w:szCs w:val="32"/>
        </w:rPr>
      </w:pPr>
    </w:p>
    <w:p>
      <w:pPr>
        <w:widowControl w:val="0"/>
        <w:snapToGrid w:val="0"/>
        <w:spacing w:line="490" w:lineRule="exact"/>
        <w:jc w:val="center"/>
        <w:rPr>
          <w:rFonts w:ascii="黑体" w:hAnsi="黑体" w:eastAsia="黑体" w:cs="宋体"/>
          <w:kern w:val="44"/>
          <w:sz w:val="32"/>
          <w:szCs w:val="32"/>
        </w:rPr>
      </w:pPr>
    </w:p>
    <w:p>
      <w:pPr>
        <w:widowControl w:val="0"/>
        <w:snapToGrid w:val="0"/>
        <w:spacing w:line="490" w:lineRule="exact"/>
        <w:jc w:val="center"/>
        <w:rPr>
          <w:rFonts w:ascii="黑体" w:hAnsi="黑体" w:eastAsia="黑体" w:cs="宋体"/>
          <w:kern w:val="44"/>
          <w:sz w:val="32"/>
          <w:szCs w:val="32"/>
        </w:rPr>
      </w:pPr>
    </w:p>
    <w:p>
      <w:pPr>
        <w:widowControl w:val="0"/>
        <w:snapToGrid w:val="0"/>
        <w:spacing w:line="490" w:lineRule="exact"/>
        <w:jc w:val="center"/>
        <w:rPr>
          <w:rFonts w:ascii="黑体" w:hAnsi="黑体" w:eastAsia="黑体" w:cs="宋体"/>
          <w:kern w:val="44"/>
          <w:sz w:val="32"/>
          <w:szCs w:val="32"/>
        </w:rPr>
      </w:pPr>
    </w:p>
    <w:p>
      <w:pPr>
        <w:widowControl w:val="0"/>
        <w:snapToGrid w:val="0"/>
        <w:spacing w:line="490" w:lineRule="exact"/>
        <w:jc w:val="center"/>
        <w:rPr>
          <w:rFonts w:ascii="黑体" w:hAnsi="黑体" w:eastAsia="黑体" w:cs="宋体"/>
          <w:kern w:val="44"/>
          <w:sz w:val="32"/>
          <w:szCs w:val="32"/>
        </w:rPr>
      </w:pPr>
    </w:p>
    <w:bookmarkEnd w:id="18"/>
    <w:bookmarkEnd w:id="19"/>
    <w:p>
      <w:pPr>
        <w:pStyle w:val="72"/>
        <w:spacing w:line="600" w:lineRule="exact"/>
        <w:ind w:left="420" w:firstLine="0" w:firstLineChars="0"/>
        <w:jc w:val="center"/>
        <w:outlineLvl w:val="0"/>
        <w:rPr>
          <w:rFonts w:ascii="黑体" w:hAnsi="黑体" w:eastAsia="黑体" w:cs="仿宋"/>
          <w:b/>
          <w:color w:val="000000"/>
          <w:sz w:val="36"/>
          <w:szCs w:val="36"/>
        </w:rPr>
      </w:pPr>
      <w:bookmarkStart w:id="20" w:name="_Toc23588"/>
      <w:r>
        <w:rPr>
          <w:rFonts w:hint="eastAsia" w:ascii="黑体" w:hAnsi="黑体" w:eastAsia="黑体" w:cs="仿宋"/>
          <w:b/>
          <w:color w:val="000000"/>
          <w:sz w:val="36"/>
          <w:szCs w:val="36"/>
        </w:rPr>
        <w:t xml:space="preserve">第四章  </w:t>
      </w:r>
      <w:commentRangeStart w:id="26"/>
      <w:commentRangeStart w:id="27"/>
      <w:commentRangeStart w:id="28"/>
      <w:commentRangeStart w:id="29"/>
      <w:commentRangeStart w:id="30"/>
      <w:commentRangeStart w:id="31"/>
      <w:commentRangeStart w:id="32"/>
      <w:commentRangeStart w:id="33"/>
      <w:commentRangeStart w:id="34"/>
      <w:commentRangeStart w:id="35"/>
      <w:commentRangeStart w:id="36"/>
      <w:commentRangeStart w:id="37"/>
      <w:r>
        <w:rPr>
          <w:rFonts w:hint="eastAsia" w:ascii="黑体" w:hAnsi="黑体" w:eastAsia="黑体" w:cs="仿宋"/>
          <w:b/>
          <w:color w:val="000000"/>
          <w:sz w:val="36"/>
          <w:szCs w:val="36"/>
        </w:rPr>
        <w:t>合同条款及格式</w:t>
      </w:r>
      <w:commentRangeEnd w:id="26"/>
      <w:r>
        <w:commentReference w:id="26"/>
      </w:r>
      <w:commentRangeEnd w:id="27"/>
      <w:r>
        <w:commentReference w:id="27"/>
      </w:r>
      <w:commentRangeEnd w:id="28"/>
      <w:r>
        <w:commentReference w:id="28"/>
      </w:r>
      <w:commentRangeEnd w:id="29"/>
      <w:r>
        <w:commentReference w:id="29"/>
      </w:r>
      <w:commentRangeEnd w:id="30"/>
      <w:r>
        <w:commentReference w:id="30"/>
      </w:r>
      <w:commentRangeEnd w:id="31"/>
      <w:r>
        <w:commentReference w:id="31"/>
      </w:r>
      <w:bookmarkEnd w:id="20"/>
    </w:p>
    <w:p>
      <w:pPr>
        <w:pStyle w:val="72"/>
        <w:spacing w:line="600" w:lineRule="exact"/>
        <w:ind w:left="420" w:firstLine="0" w:firstLineChars="0"/>
        <w:jc w:val="center"/>
        <w:outlineLvl w:val="0"/>
        <w:rPr>
          <w:bCs/>
        </w:rPr>
      </w:pPr>
      <w:r>
        <w:rPr>
          <w:rFonts w:hint="eastAsia" w:ascii="黑体" w:hAnsi="黑体" w:eastAsia="黑体" w:cs="仿宋"/>
          <w:b w:val="0"/>
          <w:bCs/>
          <w:color w:val="000000"/>
          <w:sz w:val="36"/>
          <w:szCs w:val="36"/>
        </w:rPr>
        <w:t>合同专用条款</w:t>
      </w:r>
    </w:p>
    <w:commentRangeEnd w:id="32"/>
    <w:p>
      <w:pPr>
        <w:spacing w:line="312" w:lineRule="auto"/>
        <w:jc w:val="both"/>
        <w:rPr>
          <w:rFonts w:cs="仿宋" w:asciiTheme="minorEastAsia" w:hAnsiTheme="minorEastAsia" w:eastAsiaTheme="minorEastAsia"/>
          <w:sz w:val="24"/>
        </w:rPr>
      </w:pPr>
      <w:r>
        <w:commentReference w:id="32"/>
      </w:r>
      <w:commentRangeEnd w:id="33"/>
      <w:r>
        <w:commentReference w:id="33"/>
      </w:r>
      <w:commentRangeEnd w:id="34"/>
      <w:r>
        <w:commentReference w:id="34"/>
      </w:r>
      <w:commentRangeEnd w:id="35"/>
      <w:r>
        <w:commentReference w:id="35"/>
      </w:r>
      <w:commentRangeEnd w:id="36"/>
      <w:r>
        <w:commentReference w:id="36"/>
      </w:r>
    </w:p>
    <w:p>
      <w:pPr>
        <w:adjustRightInd w:val="0"/>
        <w:snapToGrid w:val="0"/>
        <w:spacing w:line="312" w:lineRule="auto"/>
        <w:ind w:firstLine="396" w:firstLineChars="189"/>
        <w:jc w:val="both"/>
        <w:rPr>
          <w:rFonts w:ascii="宋体" w:hAnsi="宋体" w:cs="仿宋"/>
          <w:sz w:val="24"/>
          <w:szCs w:val="24"/>
        </w:rPr>
      </w:pPr>
      <w:r>
        <w:t xml:space="preserve">    </w:t>
      </w:r>
      <w:r>
        <w:rPr>
          <w:rFonts w:hint="eastAsia" w:ascii="宋体" w:hAnsi="宋体" w:cs="仿宋"/>
          <w:sz w:val="24"/>
        </w:rPr>
        <w:t>本合同特殊条款为合同一般条款的补充和修改。如果两者之间有抵触，应以本特殊条款为准。投标人文件对合同特殊条款逐条响应，若有偏离，应以偏离表表示。</w:t>
      </w:r>
      <w:commentRangeEnd w:id="37"/>
      <w:r>
        <w:commentReference w:id="37"/>
      </w:r>
    </w:p>
    <w:p>
      <w:pPr>
        <w:adjustRightInd w:val="0"/>
        <w:snapToGrid w:val="0"/>
        <w:spacing w:line="312" w:lineRule="auto"/>
        <w:ind w:firstLine="453" w:firstLineChars="189"/>
        <w:jc w:val="both"/>
        <w:rPr>
          <w:rFonts w:ascii="宋体" w:hAnsi="宋体" w:cs="仿宋"/>
          <w:sz w:val="24"/>
        </w:rPr>
      </w:pPr>
      <w:r>
        <w:rPr>
          <w:rFonts w:ascii="宋体" w:hAnsi="宋体" w:cs="仿宋"/>
          <w:sz w:val="24"/>
        </w:rPr>
        <w:t>1</w:t>
      </w:r>
      <w:r>
        <w:rPr>
          <w:rFonts w:hint="eastAsia" w:ascii="宋体" w:hAnsi="宋体" w:cs="仿宋"/>
          <w:sz w:val="24"/>
        </w:rPr>
        <w:t>、维修工期：船舶进厂</w:t>
      </w:r>
      <w:r>
        <w:rPr>
          <w:rFonts w:ascii="宋体" w:hAnsi="宋体" w:cs="仿宋"/>
          <w:sz w:val="24"/>
        </w:rPr>
        <w:t>20</w:t>
      </w:r>
      <w:r>
        <w:rPr>
          <w:rFonts w:hint="eastAsia" w:ascii="宋体" w:hAnsi="宋体" w:cs="仿宋"/>
          <w:sz w:val="24"/>
        </w:rPr>
        <w:t>日历日</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2</w:t>
      </w:r>
      <w:r>
        <w:rPr>
          <w:rFonts w:hint="eastAsia" w:ascii="宋体" w:hAnsi="宋体" w:cs="仿宋"/>
          <w:sz w:val="24"/>
        </w:rPr>
        <w:t>、交接地点：承修方维修现场</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3</w:t>
      </w:r>
      <w:r>
        <w:rPr>
          <w:rFonts w:hint="eastAsia" w:ascii="宋体" w:hAnsi="宋体" w:cs="仿宋"/>
          <w:sz w:val="24"/>
        </w:rPr>
        <w:t>、其它服务：合同履行期间及船舶交付使用期间，承修方应根据委修方的要求就特检维修检验、操作、调试和维护免费提供技术咨询。</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4</w:t>
      </w:r>
      <w:r>
        <w:rPr>
          <w:rFonts w:hint="eastAsia" w:ascii="宋体" w:hAnsi="宋体" w:cs="仿宋"/>
          <w:sz w:val="24"/>
        </w:rPr>
        <w:t>、在施工过程中因隐蔽工程或委修方提出增加项目，须以委修方代表签字的修理单为准；隐蔽工程修费不得超过合同修理单项目费用总额的</w:t>
      </w:r>
      <w:r>
        <w:rPr>
          <w:rFonts w:ascii="宋体" w:hAnsi="宋体" w:cs="仿宋"/>
          <w:sz w:val="24"/>
        </w:rPr>
        <w:t>10%</w:t>
      </w:r>
      <w:r>
        <w:rPr>
          <w:rFonts w:hint="eastAsia" w:ascii="宋体" w:hAnsi="宋体" w:cs="仿宋"/>
          <w:sz w:val="24"/>
        </w:rPr>
        <w:t>。</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5</w:t>
      </w:r>
      <w:r>
        <w:rPr>
          <w:rFonts w:hint="eastAsia" w:ascii="宋体" w:hAnsi="宋体" w:cs="仿宋"/>
          <w:sz w:val="24"/>
        </w:rPr>
        <w:t>、委修方如在工程总工期的</w:t>
      </w:r>
      <w:r>
        <w:rPr>
          <w:rFonts w:ascii="宋体" w:hAnsi="宋体" w:cs="仿宋"/>
          <w:sz w:val="24"/>
        </w:rPr>
        <w:t>1/4</w:t>
      </w:r>
      <w:r>
        <w:rPr>
          <w:rFonts w:hint="eastAsia" w:ascii="宋体" w:hAnsi="宋体" w:cs="仿宋"/>
          <w:sz w:val="24"/>
        </w:rPr>
        <w:t>时间后提出增补工程，委修方和承修方视工程大小增加修期，并签订补充合同。</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6</w:t>
      </w:r>
      <w:r>
        <w:rPr>
          <w:rFonts w:hint="eastAsia" w:ascii="宋体" w:hAnsi="宋体" w:cs="仿宋"/>
          <w:sz w:val="24"/>
        </w:rPr>
        <w:t>、付款方式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委修方给承修方付款分为</w:t>
      </w:r>
      <w:r>
        <w:rPr>
          <w:rFonts w:ascii="宋体" w:hAnsi="宋体" w:cs="仿宋"/>
          <w:sz w:val="24"/>
        </w:rPr>
        <w:t xml:space="preserve">2 </w:t>
      </w:r>
      <w:r>
        <w:rPr>
          <w:rFonts w:hint="eastAsia" w:ascii="宋体" w:hAnsi="宋体" w:cs="仿宋"/>
          <w:sz w:val="24"/>
        </w:rPr>
        <w:t>次：船舶修理验收完工且开具</w:t>
      </w:r>
      <w:r>
        <w:rPr>
          <w:rFonts w:ascii="宋体" w:hAnsi="宋体" w:cs="仿宋"/>
          <w:sz w:val="24"/>
        </w:rPr>
        <w:t>16%</w:t>
      </w:r>
      <w:r>
        <w:rPr>
          <w:rFonts w:hint="eastAsia" w:ascii="宋体" w:hAnsi="宋体" w:cs="仿宋"/>
          <w:sz w:val="24"/>
        </w:rPr>
        <w:t>增值税发票后支付修理费总额的</w:t>
      </w:r>
      <w:r>
        <w:rPr>
          <w:rFonts w:ascii="宋体" w:hAnsi="宋体" w:cs="仿宋"/>
          <w:sz w:val="24"/>
        </w:rPr>
        <w:t>90%</w:t>
      </w:r>
      <w:r>
        <w:rPr>
          <w:rFonts w:hint="eastAsia" w:ascii="宋体" w:hAnsi="宋体" w:cs="仿宋"/>
          <w:sz w:val="24"/>
        </w:rPr>
        <w:t>，余款</w:t>
      </w:r>
      <w:r>
        <w:rPr>
          <w:rFonts w:ascii="宋体" w:hAnsi="宋体" w:cs="仿宋"/>
          <w:sz w:val="24"/>
        </w:rPr>
        <w:t>10%</w:t>
      </w:r>
      <w:r>
        <w:rPr>
          <w:rFonts w:hint="eastAsia" w:ascii="宋体" w:hAnsi="宋体" w:cs="仿宋"/>
          <w:sz w:val="24"/>
        </w:rPr>
        <w:t>作为质保金，质保期到期后无质量问题</w:t>
      </w:r>
      <w:r>
        <w:rPr>
          <w:rFonts w:ascii="宋体" w:hAnsi="宋体" w:cs="仿宋"/>
          <w:sz w:val="24"/>
        </w:rPr>
        <w:t>7</w:t>
      </w:r>
      <w:r>
        <w:rPr>
          <w:rFonts w:hint="eastAsia" w:ascii="宋体" w:hAnsi="宋体" w:cs="仿宋"/>
          <w:sz w:val="24"/>
        </w:rPr>
        <w:t>日内付清质保金余款。质保期为</w:t>
      </w:r>
      <w:r>
        <w:rPr>
          <w:rFonts w:ascii="宋体" w:hAnsi="宋体" w:cs="仿宋"/>
          <w:sz w:val="24"/>
        </w:rPr>
        <w:t>6</w:t>
      </w:r>
      <w:r>
        <w:rPr>
          <w:rFonts w:hint="eastAsia" w:ascii="宋体" w:hAnsi="宋体" w:cs="仿宋"/>
          <w:sz w:val="24"/>
        </w:rPr>
        <w:t>个月，从船检通过日开始计时。承修方同意接受银行承兑汇票</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7</w:t>
      </w:r>
      <w:r>
        <w:rPr>
          <w:rFonts w:hint="eastAsia" w:ascii="宋体" w:hAnsi="宋体" w:cs="仿宋"/>
          <w:sz w:val="24"/>
        </w:rPr>
        <w:t>、质量保证及缺陷责任</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7.1</w:t>
      </w:r>
      <w:r>
        <w:rPr>
          <w:rFonts w:hint="eastAsia" w:ascii="宋体" w:hAnsi="宋体" w:cs="仿宋"/>
          <w:sz w:val="24"/>
        </w:rPr>
        <w:t>承修方保证维修质量达到国家相应标准和行业标准。</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7.2</w:t>
      </w:r>
      <w:r>
        <w:rPr>
          <w:rFonts w:hint="eastAsia" w:ascii="宋体" w:hAnsi="宋体" w:cs="仿宋"/>
          <w:sz w:val="24"/>
        </w:rPr>
        <w:t>承修方承诺在合同规定的质量保证期内，对因其提供的设维修服务或材料缺陷引起的任何故障和损坏负责。</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7.3</w:t>
      </w:r>
      <w:r>
        <w:rPr>
          <w:rFonts w:hint="eastAsia" w:ascii="宋体" w:hAnsi="宋体" w:cs="仿宋"/>
          <w:sz w:val="24"/>
        </w:rPr>
        <w:t>保质期内委修方发现因维修质量引起缺陷后通知承修方，承修方应迅速派人至城港拖</w:t>
      </w:r>
      <w:r>
        <w:rPr>
          <w:rFonts w:ascii="宋体" w:hAnsi="宋体" w:cs="仿宋"/>
          <w:sz w:val="24"/>
        </w:rPr>
        <w:t>503</w:t>
      </w:r>
      <w:r>
        <w:rPr>
          <w:rFonts w:hint="eastAsia" w:ascii="宋体" w:hAnsi="宋体" w:cs="仿宋"/>
          <w:sz w:val="24"/>
        </w:rPr>
        <w:t>轮所在地点复修缺陷，承修方应承担由此产生的所有费用。</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7.4</w:t>
      </w:r>
      <w:r>
        <w:rPr>
          <w:rFonts w:hint="eastAsia" w:ascii="宋体" w:hAnsi="宋体" w:cs="仿宋"/>
          <w:sz w:val="24"/>
        </w:rPr>
        <w:t>承修方在签订维修合同后，必须按照有关条款认真履行合同。除不可抗力因素外，不得延期维修工期。</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8</w:t>
      </w:r>
      <w:r>
        <w:rPr>
          <w:rFonts w:hint="eastAsia" w:ascii="宋体" w:hAnsi="宋体" w:cs="仿宋"/>
          <w:sz w:val="24"/>
        </w:rPr>
        <w:t>、违约责任</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8.1</w:t>
      </w:r>
      <w:r>
        <w:rPr>
          <w:rFonts w:hint="eastAsia" w:ascii="宋体" w:hAnsi="宋体" w:cs="仿宋"/>
          <w:sz w:val="24"/>
        </w:rPr>
        <w:t>质量不符合合同规定的，委修方有权要求承修方继续整改至验收合格为止，由此造成的返工费用由承修方承担。</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8.2</w:t>
      </w:r>
      <w:r>
        <w:rPr>
          <w:rFonts w:hint="eastAsia" w:ascii="宋体" w:hAnsi="宋体" w:cs="仿宋"/>
          <w:sz w:val="24"/>
        </w:rPr>
        <w:t>由于修理或返工造成逾期交付使用的，逾期每天按合同总价的千分之三偿付逾期违约金。</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8.3</w:t>
      </w:r>
      <w:r>
        <w:rPr>
          <w:rFonts w:hint="eastAsia" w:ascii="宋体" w:hAnsi="宋体" w:cs="仿宋"/>
          <w:sz w:val="24"/>
        </w:rPr>
        <w:t>委修方未按合同约定支付维修费用的，逾期每天按合同约定未支付款额的千分之三偿付逾期违约金。</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 xml:space="preserve">9. </w:t>
      </w:r>
      <w:r>
        <w:rPr>
          <w:rFonts w:hint="eastAsia" w:ascii="宋体" w:hAnsi="宋体" w:cs="仿宋"/>
          <w:sz w:val="24"/>
        </w:rPr>
        <w:t>争议的解决</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本款约定为：争议的最终解决方式：</w:t>
      </w:r>
      <w:r>
        <w:rPr>
          <w:rFonts w:hint="eastAsia" w:ascii="宋体" w:hAnsi="宋体" w:cs="仿宋"/>
          <w:sz w:val="24"/>
          <w:u w:val="none"/>
        </w:rPr>
        <w:t>□仲裁</w:t>
      </w:r>
      <w:r>
        <w:rPr>
          <w:rFonts w:ascii="宋体" w:hAnsi="宋体" w:cs="仿宋"/>
          <w:sz w:val="24"/>
          <w:u w:val="none"/>
        </w:rPr>
        <w:t>/☑</w:t>
      </w:r>
      <w:r>
        <w:rPr>
          <w:rFonts w:hint="eastAsia" w:ascii="宋体" w:hAnsi="宋体" w:cs="仿宋"/>
          <w:sz w:val="24"/>
          <w:u w:val="none"/>
        </w:rPr>
        <w:t>诉讼</w:t>
      </w:r>
      <w:r>
        <w:rPr>
          <w:rFonts w:hint="eastAsia" w:ascii="宋体" w:hAnsi="宋体" w:cs="仿宋"/>
          <w:sz w:val="24"/>
        </w:rPr>
        <w:t>。</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如采用仲裁，仲裁机构名称：</w:t>
      </w:r>
      <w:r>
        <w:rPr>
          <w:rFonts w:ascii="宋体" w:hAnsi="宋体" w:cs="仿宋"/>
          <w:sz w:val="24"/>
          <w:u w:val="none"/>
        </w:rPr>
        <w:t xml:space="preserve">               </w:t>
      </w:r>
      <w:r>
        <w:rPr>
          <w:rFonts w:hint="eastAsia" w:ascii="宋体" w:hAnsi="宋体" w:cs="仿宋"/>
          <w:sz w:val="24"/>
        </w:rPr>
        <w:t>。</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如果用诉讼，诉讼机构名称：</w:t>
      </w:r>
      <w:r>
        <w:rPr>
          <w:rFonts w:ascii="宋体" w:hAnsi="宋体" w:cs="仿宋"/>
          <w:sz w:val="24"/>
          <w:u w:val="none"/>
        </w:rPr>
        <w:t xml:space="preserve"> 合同签订所在地有管辖权的    </w:t>
      </w:r>
      <w:r>
        <w:rPr>
          <w:rFonts w:hint="eastAsia" w:ascii="宋体" w:hAnsi="宋体" w:cs="仿宋"/>
          <w:sz w:val="24"/>
        </w:rPr>
        <w:t>人民法院。</w:t>
      </w:r>
    </w:p>
    <w:p>
      <w:pPr>
        <w:adjustRightInd w:val="0"/>
        <w:snapToGrid w:val="0"/>
        <w:spacing w:line="312" w:lineRule="auto"/>
        <w:ind w:firstLine="453" w:firstLineChars="189"/>
        <w:jc w:val="center"/>
        <w:rPr>
          <w:rFonts w:ascii="宋体" w:hAnsi="宋体" w:cs="仿宋"/>
          <w:sz w:val="24"/>
        </w:rPr>
      </w:pPr>
    </w:p>
    <w:p>
      <w:pPr>
        <w:adjustRightInd w:val="0"/>
        <w:snapToGrid w:val="0"/>
        <w:spacing w:line="312" w:lineRule="auto"/>
        <w:ind w:firstLine="453" w:firstLineChars="189"/>
        <w:jc w:val="center"/>
        <w:rPr>
          <w:rFonts w:ascii="宋体" w:hAnsi="宋体" w:cs="仿宋"/>
          <w:sz w:val="24"/>
        </w:rPr>
      </w:pPr>
    </w:p>
    <w:p>
      <w:pPr>
        <w:pStyle w:val="4"/>
        <w:rPr>
          <w:rFonts w:ascii="宋体" w:hAnsi="宋体" w:cs="仿宋"/>
          <w:sz w:val="24"/>
          <w:szCs w:val="24"/>
        </w:rPr>
      </w:pPr>
      <w:r>
        <w:rPr>
          <w:rFonts w:hint="eastAsia" w:ascii="宋体" w:hAnsi="宋体" w:cs="仿宋"/>
          <w:sz w:val="24"/>
          <w:szCs w:val="24"/>
        </w:rPr>
        <w:t>附件：合同协议书</w:t>
      </w:r>
    </w:p>
    <w:p>
      <w:pPr>
        <w:pStyle w:val="5"/>
        <w:jc w:val="center"/>
        <w:rPr>
          <w:rFonts w:hint="eastAsia" w:ascii="宋体" w:hAnsi="宋体" w:eastAsia="宋体" w:cs="仿宋"/>
          <w:sz w:val="24"/>
          <w:szCs w:val="24"/>
        </w:rPr>
      </w:pPr>
      <w:r>
        <w:rPr>
          <w:rFonts w:hint="eastAsia" w:ascii="宋体" w:hAnsi="宋体" w:eastAsia="宋体" w:cs="仿宋"/>
          <w:sz w:val="24"/>
          <w:szCs w:val="24"/>
        </w:rPr>
        <w:t>一、合同协议书</w:t>
      </w:r>
    </w:p>
    <w:p>
      <w:pPr>
        <w:spacing w:line="440" w:lineRule="exact"/>
        <w:ind w:left="480" w:firstLine="480"/>
        <w:jc w:val="center"/>
        <w:rPr>
          <w:rFonts w:hint="eastAsia" w:ascii="宋体" w:hAnsi="宋体" w:cs="仿宋"/>
          <w:sz w:val="24"/>
        </w:rPr>
      </w:pPr>
      <w:r>
        <w:rPr>
          <w:rFonts w:hint="eastAsia" w:ascii="宋体" w:hAnsi="宋体" w:cs="仿宋"/>
          <w:sz w:val="24"/>
        </w:rPr>
        <w:t>（本格式编排在招标文件中，供投标人参考，投标时不需提交）</w:t>
      </w:r>
    </w:p>
    <w:p>
      <w:pPr>
        <w:spacing w:line="440" w:lineRule="exact"/>
        <w:ind w:left="480" w:firstLine="480"/>
        <w:rPr>
          <w:rFonts w:hint="eastAsia" w:ascii="宋体" w:hAnsi="宋体" w:cs="仿宋"/>
          <w:sz w:val="24"/>
        </w:rPr>
      </w:pPr>
    </w:p>
    <w:p>
      <w:pPr>
        <w:spacing w:line="440" w:lineRule="exact"/>
        <w:ind w:firstLine="851"/>
        <w:rPr>
          <w:rFonts w:hint="eastAsia" w:ascii="宋体" w:hAnsi="宋体" w:cs="仿宋"/>
          <w:sz w:val="24"/>
        </w:rPr>
      </w:pPr>
      <w:r>
        <w:rPr>
          <w:rFonts w:hint="eastAsia" w:ascii="宋体" w:hAnsi="宋体" w:cs="仿宋"/>
          <w:sz w:val="24"/>
        </w:rPr>
        <w:t>本合同协议书由______（以下简称“甲方”或“发包人”）与_____________(以下简称“乙方”或“技术服务人”)于____年____月____日共同订署。</w:t>
      </w:r>
    </w:p>
    <w:p>
      <w:pPr>
        <w:spacing w:line="440" w:lineRule="exact"/>
        <w:ind w:firstLine="851"/>
        <w:rPr>
          <w:rFonts w:hint="eastAsia" w:ascii="宋体" w:hAnsi="宋体" w:cs="仿宋"/>
          <w:sz w:val="24"/>
        </w:rPr>
      </w:pPr>
      <w:r>
        <w:rPr>
          <w:rFonts w:hint="eastAsia" w:ascii="宋体" w:hAnsi="宋体" w:cs="仿宋"/>
          <w:sz w:val="24"/>
        </w:rPr>
        <w:t>鉴于甲方接受了乙方____________（项目名称）的投标书，为明确双方在合同期间的义务、责任、权力和利益，兹就以下事项达成协议：</w:t>
      </w:r>
    </w:p>
    <w:p>
      <w:pPr>
        <w:spacing w:line="440" w:lineRule="exact"/>
        <w:ind w:firstLine="360" w:firstLineChars="150"/>
        <w:rPr>
          <w:rFonts w:hint="eastAsia" w:ascii="宋体" w:hAnsi="宋体" w:cs="仿宋"/>
          <w:sz w:val="24"/>
        </w:rPr>
      </w:pPr>
      <w:r>
        <w:rPr>
          <w:rFonts w:hint="eastAsia" w:ascii="宋体" w:hAnsi="宋体" w:cs="仿宋"/>
          <w:sz w:val="24"/>
        </w:rPr>
        <w:t xml:space="preserve"> 一、本协议书中的词句和用语与本合同条款所规定的定义相同。</w:t>
      </w:r>
    </w:p>
    <w:p>
      <w:pPr>
        <w:spacing w:line="440" w:lineRule="exact"/>
        <w:ind w:firstLine="360" w:firstLineChars="150"/>
        <w:rPr>
          <w:rFonts w:hint="eastAsia" w:ascii="宋体" w:hAnsi="宋体" w:cs="仿宋"/>
          <w:sz w:val="24"/>
        </w:rPr>
      </w:pPr>
      <w:r>
        <w:rPr>
          <w:rFonts w:hint="eastAsia" w:ascii="宋体" w:hAnsi="宋体" w:cs="仿宋"/>
          <w:sz w:val="24"/>
        </w:rPr>
        <w:t xml:space="preserve"> 二、下列文件是本合同协议书的组成部分，各个组成部分应作为协议书的有效内容予以遵守和执行。</w:t>
      </w:r>
    </w:p>
    <w:p>
      <w:pPr>
        <w:spacing w:line="440" w:lineRule="exact"/>
        <w:ind w:firstLine="360" w:firstLineChars="150"/>
        <w:rPr>
          <w:rFonts w:hint="eastAsia" w:ascii="宋体" w:hAnsi="宋体" w:cs="仿宋"/>
          <w:sz w:val="24"/>
        </w:rPr>
      </w:pPr>
      <w:r>
        <w:rPr>
          <w:rFonts w:hint="eastAsia" w:ascii="宋体" w:hAnsi="宋体" w:cs="仿宋"/>
          <w:sz w:val="24"/>
        </w:rPr>
        <w:t>（1）合同协议书及各种合同附件（含评标期间和合同谈判过程中的澄清文件和补充资料等，如果有）；</w:t>
      </w:r>
    </w:p>
    <w:p>
      <w:pPr>
        <w:spacing w:line="440" w:lineRule="exact"/>
        <w:ind w:firstLine="360" w:firstLineChars="150"/>
        <w:rPr>
          <w:rFonts w:hint="eastAsia" w:ascii="宋体" w:hAnsi="宋体" w:cs="仿宋"/>
          <w:sz w:val="24"/>
        </w:rPr>
      </w:pPr>
      <w:r>
        <w:rPr>
          <w:rFonts w:hint="eastAsia" w:ascii="宋体" w:hAnsi="宋体" w:cs="仿宋"/>
          <w:sz w:val="24"/>
        </w:rPr>
        <w:t>（2）中标通知书（如有）；</w:t>
      </w:r>
    </w:p>
    <w:p>
      <w:pPr>
        <w:spacing w:line="440" w:lineRule="exact"/>
        <w:ind w:firstLine="360" w:firstLineChars="150"/>
        <w:rPr>
          <w:rFonts w:hint="eastAsia" w:ascii="宋体" w:hAnsi="宋体" w:cs="仿宋"/>
          <w:sz w:val="24"/>
        </w:rPr>
      </w:pPr>
      <w:r>
        <w:rPr>
          <w:rFonts w:hint="eastAsia" w:ascii="宋体" w:hAnsi="宋体" w:cs="仿宋"/>
          <w:sz w:val="24"/>
        </w:rPr>
        <w:t>（3）投标函；</w:t>
      </w:r>
    </w:p>
    <w:p>
      <w:pPr>
        <w:spacing w:line="440" w:lineRule="exact"/>
        <w:ind w:firstLine="360" w:firstLineChars="150"/>
        <w:rPr>
          <w:rFonts w:hint="eastAsia" w:ascii="宋体" w:hAnsi="宋体" w:cs="仿宋"/>
          <w:sz w:val="24"/>
        </w:rPr>
      </w:pPr>
      <w:r>
        <w:rPr>
          <w:rFonts w:hint="eastAsia" w:ascii="宋体" w:hAnsi="宋体" w:cs="仿宋"/>
          <w:sz w:val="24"/>
        </w:rPr>
        <w:t>（4）专用合同条款；</w:t>
      </w:r>
    </w:p>
    <w:p>
      <w:pPr>
        <w:spacing w:line="440" w:lineRule="exact"/>
        <w:ind w:firstLine="360" w:firstLineChars="150"/>
        <w:rPr>
          <w:rFonts w:hint="eastAsia" w:ascii="宋体" w:hAnsi="宋体" w:cs="仿宋"/>
          <w:sz w:val="24"/>
        </w:rPr>
      </w:pPr>
      <w:r>
        <w:rPr>
          <w:rFonts w:hint="eastAsia" w:ascii="宋体" w:hAnsi="宋体" w:cs="仿宋"/>
          <w:sz w:val="24"/>
        </w:rPr>
        <w:t>（5）通用合同条款；</w:t>
      </w:r>
    </w:p>
    <w:p>
      <w:pPr>
        <w:spacing w:line="440" w:lineRule="exact"/>
        <w:ind w:firstLine="360" w:firstLineChars="150"/>
        <w:rPr>
          <w:rFonts w:hint="eastAsia" w:ascii="宋体" w:hAnsi="宋体" w:cs="仿宋"/>
          <w:sz w:val="24"/>
        </w:rPr>
      </w:pPr>
      <w:r>
        <w:rPr>
          <w:rFonts w:hint="eastAsia" w:ascii="宋体" w:hAnsi="宋体" w:cs="仿宋"/>
          <w:sz w:val="24"/>
        </w:rPr>
        <w:t>（6）技术标准及要求</w:t>
      </w:r>
    </w:p>
    <w:p>
      <w:pPr>
        <w:spacing w:line="440" w:lineRule="exact"/>
        <w:ind w:firstLine="360" w:firstLineChars="150"/>
        <w:rPr>
          <w:rFonts w:hint="eastAsia" w:ascii="宋体" w:hAnsi="宋体" w:cs="仿宋"/>
          <w:sz w:val="24"/>
        </w:rPr>
      </w:pPr>
      <w:r>
        <w:rPr>
          <w:rFonts w:hint="eastAsia" w:ascii="宋体" w:hAnsi="宋体" w:cs="仿宋"/>
          <w:sz w:val="24"/>
        </w:rPr>
        <w:t>（7）报价清单；</w:t>
      </w:r>
    </w:p>
    <w:p>
      <w:pPr>
        <w:spacing w:line="440" w:lineRule="exact"/>
        <w:ind w:firstLine="360" w:firstLineChars="150"/>
        <w:rPr>
          <w:rFonts w:hint="eastAsia" w:ascii="宋体" w:hAnsi="宋体" w:cs="仿宋"/>
          <w:sz w:val="24"/>
        </w:rPr>
      </w:pPr>
      <w:r>
        <w:rPr>
          <w:rFonts w:hint="eastAsia" w:ascii="宋体" w:hAnsi="宋体" w:cs="仿宋"/>
          <w:sz w:val="24"/>
        </w:rPr>
        <w:t>（8）联合体协议（如有）；</w:t>
      </w:r>
    </w:p>
    <w:p>
      <w:pPr>
        <w:spacing w:line="440" w:lineRule="exact"/>
        <w:ind w:firstLine="360" w:firstLineChars="150"/>
        <w:rPr>
          <w:rFonts w:hint="eastAsia" w:ascii="宋体" w:hAnsi="宋体" w:cs="仿宋"/>
          <w:sz w:val="24"/>
        </w:rPr>
      </w:pPr>
      <w:r>
        <w:rPr>
          <w:rFonts w:hint="eastAsia" w:ascii="宋体" w:hAnsi="宋体" w:cs="仿宋"/>
          <w:sz w:val="24"/>
        </w:rPr>
        <w:t>（9）构成本合同组成部分的其它文件（补遗书、澄清函）。</w:t>
      </w:r>
    </w:p>
    <w:p>
      <w:pPr>
        <w:spacing w:line="440" w:lineRule="exact"/>
        <w:ind w:firstLine="480" w:firstLineChars="200"/>
        <w:rPr>
          <w:rFonts w:hint="eastAsia" w:ascii="宋体" w:hAnsi="宋体" w:cs="仿宋"/>
          <w:sz w:val="24"/>
        </w:rPr>
      </w:pPr>
      <w:r>
        <w:rPr>
          <w:rFonts w:hint="eastAsia" w:ascii="宋体" w:hAnsi="宋体" w:cs="仿宋"/>
          <w:sz w:val="24"/>
        </w:rPr>
        <w:t>三、上述文件将互相补充，如有不明确或不一致之处，以上列次序在先者为准。</w:t>
      </w:r>
    </w:p>
    <w:p>
      <w:pPr>
        <w:spacing w:line="440" w:lineRule="exact"/>
        <w:ind w:firstLine="480" w:firstLineChars="200"/>
        <w:rPr>
          <w:rFonts w:hint="eastAsia" w:ascii="宋体" w:hAnsi="宋体" w:cs="仿宋"/>
          <w:sz w:val="24"/>
        </w:rPr>
      </w:pPr>
      <w:r>
        <w:rPr>
          <w:rFonts w:hint="eastAsia" w:ascii="宋体" w:hAnsi="宋体" w:cs="仿宋"/>
          <w:sz w:val="24"/>
        </w:rPr>
        <w:t>四、本合同的总金额是完成本合同所规定义务的一切费用，合同总金额为人民币（大写）：__________元整（小写：________元）。</w:t>
      </w:r>
    </w:p>
    <w:p>
      <w:pPr>
        <w:spacing w:line="440" w:lineRule="exact"/>
        <w:ind w:firstLine="480" w:firstLineChars="200"/>
        <w:rPr>
          <w:rFonts w:hint="eastAsia" w:ascii="宋体" w:hAnsi="宋体" w:cs="仿宋"/>
          <w:sz w:val="24"/>
        </w:rPr>
      </w:pPr>
      <w:r>
        <w:rPr>
          <w:rFonts w:hint="eastAsia" w:ascii="宋体" w:hAnsi="宋体" w:cs="仿宋"/>
          <w:sz w:val="24"/>
        </w:rPr>
        <w:t>五、甲方在此同意按照本合同协议规定的期限、方式和条件向乙方支付应支付的费用和提供工作条件、有关图纸等文件。</w:t>
      </w:r>
    </w:p>
    <w:p>
      <w:pPr>
        <w:spacing w:line="440" w:lineRule="exact"/>
        <w:ind w:firstLine="480" w:firstLineChars="200"/>
        <w:rPr>
          <w:rFonts w:hint="eastAsia" w:ascii="宋体" w:hAnsi="宋体" w:cs="仿宋"/>
          <w:sz w:val="24"/>
        </w:rPr>
      </w:pPr>
      <w:r>
        <w:rPr>
          <w:rFonts w:hint="eastAsia" w:ascii="宋体" w:hAnsi="宋体" w:cs="仿宋"/>
          <w:sz w:val="24"/>
        </w:rPr>
        <w:t>六、乙方基于甲方的上述保证，在此向甲方承诺按照本技术服务合同的规定履行技术服务。</w:t>
      </w:r>
    </w:p>
    <w:p>
      <w:pPr>
        <w:spacing w:line="440" w:lineRule="exact"/>
        <w:ind w:firstLine="480" w:firstLineChars="200"/>
        <w:rPr>
          <w:rFonts w:hint="eastAsia" w:ascii="宋体" w:hAnsi="宋体" w:cs="仿宋"/>
          <w:sz w:val="24"/>
        </w:rPr>
      </w:pPr>
      <w:r>
        <w:rPr>
          <w:rFonts w:hint="eastAsia" w:ascii="宋体" w:hAnsi="宋体" w:cs="仿宋"/>
          <w:sz w:val="24"/>
        </w:rPr>
        <w:t>七、本协议书经双方签字盖章后生效，双方全面履行合同义务后终止。</w:t>
      </w:r>
    </w:p>
    <w:p>
      <w:pPr>
        <w:spacing w:line="440" w:lineRule="exact"/>
        <w:ind w:firstLine="480" w:firstLineChars="200"/>
        <w:rPr>
          <w:rFonts w:hint="eastAsia" w:ascii="宋体" w:hAnsi="宋体" w:cs="仿宋"/>
          <w:sz w:val="24"/>
        </w:rPr>
      </w:pPr>
      <w:r>
        <w:rPr>
          <w:rFonts w:hint="eastAsia" w:ascii="宋体" w:hAnsi="宋体" w:cs="仿宋"/>
          <w:sz w:val="24"/>
        </w:rPr>
        <w:t>八、本合同协议书一式  份，其中正本  份，甲方执正本  份，副本  份，乙方执正本  份，副本  份，正副本具有同等法律效力；当正本与副本内容不一致时，以正本为准。</w:t>
      </w:r>
    </w:p>
    <w:p>
      <w:pPr>
        <w:spacing w:line="440" w:lineRule="exact"/>
        <w:ind w:left="585" w:leftChars="50" w:hanging="480" w:hangingChars="200"/>
        <w:rPr>
          <w:rFonts w:hint="eastAsia" w:ascii="宋体" w:hAnsi="宋体" w:cs="仿宋"/>
          <w:sz w:val="24"/>
        </w:rPr>
      </w:pPr>
    </w:p>
    <w:p>
      <w:pPr>
        <w:spacing w:line="440" w:lineRule="exact"/>
        <w:ind w:firstLine="851"/>
        <w:rPr>
          <w:rFonts w:hint="eastAsia" w:ascii="宋体" w:hAnsi="宋体" w:cs="仿宋"/>
          <w:sz w:val="24"/>
        </w:rPr>
      </w:pPr>
    </w:p>
    <w:p>
      <w:pPr>
        <w:spacing w:line="440" w:lineRule="exact"/>
        <w:ind w:firstLine="851"/>
        <w:rPr>
          <w:rFonts w:hint="eastAsia"/>
        </w:rPr>
      </w:pPr>
    </w:p>
    <w:p>
      <w:pPr>
        <w:spacing w:line="440" w:lineRule="exact"/>
        <w:rPr>
          <w:rFonts w:ascii="宋体" w:hAnsi="宋体" w:cs="仿宋"/>
          <w:sz w:val="24"/>
        </w:rPr>
      </w:pPr>
      <w:r>
        <w:rPr>
          <w:rFonts w:hint="eastAsia" w:ascii="宋体" w:hAnsi="宋体" w:cs="仿宋"/>
          <w:sz w:val="24"/>
        </w:rPr>
        <w:t xml:space="preserve">甲方：（    盖单位章     ）                乙方：   盖单位章）               </w:t>
      </w:r>
    </w:p>
    <w:p>
      <w:pPr>
        <w:spacing w:line="440" w:lineRule="exact"/>
        <w:ind w:firstLine="851"/>
        <w:rPr>
          <w:rFonts w:hint="eastAsia" w:ascii="宋体" w:hAnsi="宋体" w:cs="仿宋"/>
          <w:sz w:val="24"/>
        </w:rPr>
      </w:pPr>
      <w:r>
        <w:rPr>
          <w:rFonts w:hint="eastAsia" w:ascii="宋体" w:hAnsi="宋体" w:cs="仿宋"/>
          <w:sz w:val="24"/>
        </w:rPr>
        <w:t xml:space="preserve">                                                    </w:t>
      </w:r>
    </w:p>
    <w:p>
      <w:pPr>
        <w:spacing w:line="440" w:lineRule="exact"/>
        <w:rPr>
          <w:rFonts w:hint="eastAsia" w:ascii="宋体" w:hAnsi="宋体" w:cs="仿宋"/>
          <w:sz w:val="24"/>
        </w:rPr>
      </w:pPr>
      <w:r>
        <w:rPr>
          <w:rFonts w:hint="eastAsia" w:ascii="宋体" w:hAnsi="宋体" w:cs="仿宋"/>
          <w:sz w:val="24"/>
        </w:rPr>
        <w:t>法定代表人                                法定代表人</w:t>
      </w:r>
    </w:p>
    <w:p>
      <w:pPr>
        <w:spacing w:line="440" w:lineRule="exact"/>
        <w:rPr>
          <w:rFonts w:hint="eastAsia" w:ascii="宋体" w:hAnsi="宋体" w:cs="仿宋"/>
          <w:sz w:val="24"/>
        </w:rPr>
      </w:pPr>
      <w:r>
        <w:rPr>
          <w:rFonts w:hint="eastAsia" w:ascii="宋体" w:hAnsi="宋体" w:cs="仿宋"/>
          <w:sz w:val="24"/>
        </w:rPr>
        <w:t xml:space="preserve">或其委托代理人：      （ 签字）           或其委托代理人：       （签字）      </w:t>
      </w:r>
    </w:p>
    <w:p>
      <w:pPr>
        <w:spacing w:line="440" w:lineRule="exact"/>
        <w:ind w:left="480" w:firstLine="480"/>
        <w:rPr>
          <w:rFonts w:hint="eastAsia" w:ascii="宋体" w:hAnsi="宋体" w:cs="仿宋"/>
          <w:sz w:val="24"/>
        </w:rPr>
      </w:pPr>
    </w:p>
    <w:p>
      <w:pPr>
        <w:spacing w:line="440" w:lineRule="exact"/>
        <w:ind w:left="480" w:firstLine="480"/>
        <w:rPr>
          <w:rFonts w:hint="eastAsia" w:ascii="宋体" w:hAnsi="宋体" w:cs="仿宋"/>
          <w:sz w:val="24"/>
        </w:rPr>
      </w:pPr>
      <w:r>
        <w:rPr>
          <w:rFonts w:hint="eastAsia" w:ascii="宋体" w:hAnsi="宋体" w:cs="仿宋"/>
          <w:sz w:val="24"/>
        </w:rPr>
        <w:t xml:space="preserve">  ______年_____月______日                 ______年_____月______日</w:t>
      </w:r>
    </w:p>
    <w:p>
      <w:pPr>
        <w:adjustRightInd w:val="0"/>
        <w:snapToGrid w:val="0"/>
        <w:spacing w:line="312" w:lineRule="auto"/>
        <w:ind w:firstLine="453" w:firstLineChars="189"/>
        <w:jc w:val="center"/>
        <w:rPr>
          <w:rFonts w:ascii="宋体" w:hAnsi="宋体" w:cs="仿宋"/>
          <w:sz w:val="24"/>
        </w:rPr>
      </w:pPr>
      <w:r>
        <w:rPr>
          <w:rFonts w:ascii="宋体" w:hAnsi="宋体" w:cs="仿宋"/>
          <w:sz w:val="24"/>
        </w:rPr>
        <w:br w:type="page"/>
      </w:r>
    </w:p>
    <w:p>
      <w:pPr>
        <w:adjustRightInd w:val="0"/>
        <w:snapToGrid w:val="0"/>
        <w:spacing w:line="312" w:lineRule="auto"/>
        <w:rPr>
          <w:rFonts w:hint="eastAsia" w:ascii="宋体" w:hAnsi="宋体" w:eastAsia="宋体" w:cs="仿宋"/>
          <w:b w:val="0"/>
          <w:color w:val="auto"/>
          <w:sz w:val="24"/>
          <w:szCs w:val="24"/>
        </w:rPr>
      </w:pPr>
    </w:p>
    <w:p>
      <w:pPr>
        <w:spacing w:line="600" w:lineRule="exact"/>
        <w:jc w:val="center"/>
        <w:outlineLvl w:val="0"/>
        <w:rPr>
          <w:rFonts w:ascii="黑体" w:hAnsi="黑体" w:eastAsia="黑体" w:cs="仿宋"/>
          <w:b/>
          <w:color w:val="000000"/>
          <w:sz w:val="36"/>
          <w:szCs w:val="36"/>
        </w:rPr>
      </w:pPr>
      <w:bookmarkStart w:id="21" w:name="_Toc27625"/>
      <w:r>
        <w:rPr>
          <w:rFonts w:hint="eastAsia" w:ascii="黑体" w:hAnsi="黑体" w:eastAsia="黑体" w:cs="仿宋"/>
          <w:b/>
          <w:color w:val="000000"/>
          <w:sz w:val="36"/>
          <w:szCs w:val="36"/>
        </w:rPr>
        <w:t>第五章  采购需求</w:t>
      </w:r>
      <w:bookmarkEnd w:id="21"/>
    </w:p>
    <w:p>
      <w:pPr>
        <w:adjustRightInd w:val="0"/>
        <w:snapToGrid w:val="0"/>
        <w:spacing w:line="312" w:lineRule="auto"/>
        <w:rPr>
          <w:rFonts w:ascii="宋体" w:hAnsi="宋体"/>
          <w:sz w:val="24"/>
        </w:rPr>
      </w:pPr>
      <w:r>
        <w:rPr>
          <w:rFonts w:hint="eastAsia" w:ascii="宋体" w:hAnsi="宋体"/>
          <w:sz w:val="24"/>
        </w:rPr>
        <w:t>（一</w:t>
      </w:r>
      <w:r>
        <w:rPr>
          <w:rFonts w:ascii="宋体" w:hAnsi="宋体"/>
          <w:sz w:val="24"/>
        </w:rPr>
        <w:t>）</w:t>
      </w:r>
      <w:r>
        <w:rPr>
          <w:rFonts w:hint="eastAsia" w:ascii="宋体" w:hAnsi="宋体"/>
          <w:sz w:val="24"/>
        </w:rPr>
        <w:t>采购项目名称：城港拖5</w:t>
      </w:r>
      <w:r>
        <w:rPr>
          <w:rFonts w:ascii="宋体" w:hAnsi="宋体"/>
          <w:sz w:val="24"/>
        </w:rPr>
        <w:t>03</w:t>
      </w:r>
      <w:r>
        <w:rPr>
          <w:rFonts w:hint="eastAsia" w:ascii="宋体" w:hAnsi="宋体"/>
          <w:sz w:val="24"/>
        </w:rPr>
        <w:t xml:space="preserve">轮特检坞修项目 </w:t>
      </w:r>
    </w:p>
    <w:p>
      <w:pPr>
        <w:autoSpaceDE w:val="0"/>
        <w:spacing w:line="400" w:lineRule="exact"/>
        <w:jc w:val="both"/>
        <w:rPr>
          <w:rFonts w:ascii="宋体" w:hAnsi="宋体"/>
          <w:sz w:val="24"/>
        </w:rPr>
      </w:pPr>
      <w:r>
        <w:rPr>
          <w:rFonts w:hint="eastAsia" w:ascii="宋体" w:hAnsi="宋体"/>
          <w:sz w:val="24"/>
        </w:rPr>
        <w:t>（二</w:t>
      </w:r>
      <w:r>
        <w:rPr>
          <w:rFonts w:ascii="宋体" w:hAnsi="宋体"/>
          <w:sz w:val="24"/>
        </w:rPr>
        <w:t>）</w:t>
      </w:r>
      <w:r>
        <w:rPr>
          <w:rFonts w:hint="eastAsia" w:ascii="宋体" w:hAnsi="宋体"/>
          <w:sz w:val="24"/>
        </w:rPr>
        <w:t>项目概况及主要数据</w:t>
      </w:r>
      <w:r>
        <w:rPr>
          <w:rFonts w:ascii="宋体" w:hAnsi="宋体"/>
          <w:sz w:val="24"/>
        </w:rPr>
        <w:t xml:space="preserve"> </w:t>
      </w:r>
      <w:r>
        <w:rPr>
          <w:rFonts w:hint="eastAsia" w:ascii="宋体" w:hAnsi="宋体"/>
          <w:sz w:val="24"/>
        </w:rPr>
        <w:t>：城港拖</w:t>
      </w:r>
      <w:r>
        <w:rPr>
          <w:rFonts w:ascii="宋体" w:hAnsi="宋体"/>
          <w:sz w:val="24"/>
        </w:rPr>
        <w:t>503</w:t>
      </w:r>
      <w:r>
        <w:rPr>
          <w:rFonts w:hint="eastAsia" w:ascii="宋体" w:hAnsi="宋体"/>
          <w:sz w:val="24"/>
        </w:rPr>
        <w:t>轮</w:t>
      </w:r>
      <w:r>
        <w:rPr>
          <w:rFonts w:ascii="宋体" w:hAnsi="宋体"/>
          <w:sz w:val="24"/>
        </w:rPr>
        <w:t>1991</w:t>
      </w:r>
      <w:r>
        <w:rPr>
          <w:rFonts w:hint="eastAsia" w:ascii="宋体" w:hAnsi="宋体"/>
          <w:sz w:val="24"/>
        </w:rPr>
        <w:t>年</w:t>
      </w:r>
      <w:r>
        <w:rPr>
          <w:rFonts w:ascii="宋体" w:hAnsi="宋体"/>
          <w:sz w:val="24"/>
        </w:rPr>
        <w:t>7</w:t>
      </w:r>
      <w:r>
        <w:rPr>
          <w:rFonts w:hint="eastAsia" w:ascii="宋体" w:hAnsi="宋体"/>
          <w:sz w:val="24"/>
        </w:rPr>
        <w:t>月由原长沙船厂完成建造并投入使用，使用已达3</w:t>
      </w:r>
      <w:r>
        <w:rPr>
          <w:rFonts w:ascii="宋体" w:hAnsi="宋体"/>
          <w:sz w:val="24"/>
        </w:rPr>
        <w:t>1</w:t>
      </w:r>
      <w:r>
        <w:rPr>
          <w:rFonts w:hint="eastAsia" w:ascii="宋体" w:hAnsi="宋体"/>
          <w:sz w:val="24"/>
        </w:rPr>
        <w:t>年，根据交通部文件需每年进行坞修特检，</w:t>
      </w:r>
      <w:r>
        <w:rPr>
          <w:rFonts w:ascii="宋体" w:hAnsi="宋体"/>
          <w:sz w:val="24"/>
        </w:rPr>
        <w:t>2022</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7</w:t>
      </w:r>
      <w:r>
        <w:rPr>
          <w:rFonts w:hint="eastAsia" w:ascii="宋体" w:hAnsi="宋体"/>
          <w:sz w:val="24"/>
        </w:rPr>
        <w:t>日已到特别检验换证周期，须按中国船级社《钢质内河船舶入级与建造规范》的规定对主机、副机、机电设备航行信号设施、推进舵系系统和船体进行上坞系统厂修并通过</w:t>
      </w:r>
      <w:r>
        <w:rPr>
          <w:rFonts w:ascii="宋体" w:hAnsi="宋体"/>
          <w:sz w:val="24"/>
        </w:rPr>
        <w:t>CCS</w:t>
      </w:r>
      <w:r>
        <w:rPr>
          <w:rFonts w:hint="eastAsia" w:ascii="宋体" w:hAnsi="宋体"/>
          <w:sz w:val="24"/>
        </w:rPr>
        <w:t>武汉船级社的特别检验。</w:t>
      </w:r>
    </w:p>
    <w:p>
      <w:pPr>
        <w:autoSpaceDE w:val="0"/>
        <w:spacing w:line="400" w:lineRule="exact"/>
        <w:jc w:val="both"/>
        <w:rPr>
          <w:rFonts w:ascii="宋体" w:hAnsi="宋体"/>
          <w:sz w:val="24"/>
        </w:rPr>
      </w:pPr>
    </w:p>
    <w:p>
      <w:pPr>
        <w:adjustRightInd w:val="0"/>
        <w:snapToGrid w:val="0"/>
        <w:spacing w:line="312" w:lineRule="auto"/>
        <w:rPr>
          <w:rFonts w:ascii="宋体" w:hAnsi="宋体"/>
          <w:sz w:val="24"/>
        </w:rPr>
      </w:pPr>
      <w:r>
        <w:rPr>
          <w:rFonts w:hint="eastAsia" w:ascii="宋体" w:hAnsi="宋体"/>
          <w:sz w:val="24"/>
        </w:rPr>
        <w:t>（三</w:t>
      </w:r>
      <w:r>
        <w:rPr>
          <w:rFonts w:ascii="宋体" w:hAnsi="宋体"/>
          <w:sz w:val="24"/>
        </w:rPr>
        <w:t>）</w:t>
      </w:r>
      <w:r>
        <w:rPr>
          <w:rFonts w:hint="eastAsia" w:ascii="宋体" w:hAnsi="宋体"/>
          <w:sz w:val="24"/>
        </w:rPr>
        <w:t>服务承包范围：详见城港拖5</w:t>
      </w:r>
      <w:r>
        <w:rPr>
          <w:rFonts w:ascii="宋体" w:hAnsi="宋体"/>
          <w:sz w:val="24"/>
        </w:rPr>
        <w:t>03</w:t>
      </w:r>
      <w:r>
        <w:rPr>
          <w:rFonts w:hint="eastAsia" w:ascii="宋体" w:hAnsi="宋体"/>
          <w:sz w:val="24"/>
        </w:rPr>
        <w:t>轮特检坞修项目清单。</w:t>
      </w:r>
    </w:p>
    <w:tbl>
      <w:tblPr>
        <w:tblStyle w:val="35"/>
        <w:tblW w:w="9308" w:type="dxa"/>
        <w:tblInd w:w="0" w:type="dxa"/>
        <w:tblLayout w:type="autofit"/>
        <w:tblCellMar>
          <w:top w:w="0" w:type="dxa"/>
          <w:left w:w="108" w:type="dxa"/>
          <w:bottom w:w="0" w:type="dxa"/>
          <w:right w:w="108" w:type="dxa"/>
        </w:tblCellMar>
      </w:tblPr>
      <w:tblGrid>
        <w:gridCol w:w="458"/>
        <w:gridCol w:w="456"/>
        <w:gridCol w:w="2559"/>
        <w:gridCol w:w="460"/>
        <w:gridCol w:w="760"/>
        <w:gridCol w:w="1058"/>
        <w:gridCol w:w="1218"/>
        <w:gridCol w:w="1178"/>
        <w:gridCol w:w="925"/>
        <w:gridCol w:w="236"/>
      </w:tblGrid>
      <w:tr>
        <w:tblPrEx>
          <w:tblCellMar>
            <w:top w:w="0" w:type="dxa"/>
            <w:left w:w="108" w:type="dxa"/>
            <w:bottom w:w="0" w:type="dxa"/>
            <w:right w:w="108" w:type="dxa"/>
          </w:tblCellMar>
        </w:tblPrEx>
        <w:trPr>
          <w:gridAfter w:val="1"/>
          <w:wAfter w:w="236" w:type="dxa"/>
          <w:trHeight w:val="450" w:hRule="atLeast"/>
        </w:trPr>
        <w:tc>
          <w:tcPr>
            <w:tcW w:w="9072" w:type="dxa"/>
            <w:gridSpan w:val="9"/>
            <w:tcBorders>
              <w:top w:val="nil"/>
              <w:left w:val="nil"/>
              <w:bottom w:val="nil"/>
              <w:right w:val="nil"/>
            </w:tcBorders>
            <w:shd w:val="clear" w:color="auto" w:fill="auto"/>
            <w:vAlign w:val="center"/>
          </w:tcPr>
          <w:p>
            <w:pPr>
              <w:spacing w:line="240" w:lineRule="auto"/>
              <w:jc w:val="center"/>
              <w:rPr>
                <w:rFonts w:ascii="宋体" w:hAnsi="宋体" w:cs="宋体"/>
                <w:b/>
                <w:bCs/>
                <w:kern w:val="0"/>
                <w:sz w:val="36"/>
                <w:szCs w:val="36"/>
              </w:rPr>
            </w:pPr>
            <w:r>
              <w:rPr>
                <w:rFonts w:hint="eastAsia" w:ascii="宋体" w:hAnsi="宋体" w:cs="宋体"/>
                <w:b/>
                <w:bCs/>
                <w:kern w:val="0"/>
                <w:sz w:val="36"/>
                <w:szCs w:val="36"/>
              </w:rPr>
              <w:t>城港拖503轮特检坞修项目清单</w:t>
            </w:r>
          </w:p>
        </w:tc>
      </w:tr>
      <w:tr>
        <w:tblPrEx>
          <w:tblCellMar>
            <w:top w:w="0" w:type="dxa"/>
            <w:left w:w="108" w:type="dxa"/>
            <w:bottom w:w="0" w:type="dxa"/>
            <w:right w:w="108" w:type="dxa"/>
          </w:tblCellMar>
        </w:tblPrEx>
        <w:trPr>
          <w:gridAfter w:val="1"/>
          <w:wAfter w:w="236" w:type="dxa"/>
          <w:trHeight w:val="285" w:hRule="atLeast"/>
        </w:trPr>
        <w:tc>
          <w:tcPr>
            <w:tcW w:w="4693" w:type="dxa"/>
            <w:gridSpan w:val="5"/>
            <w:tcBorders>
              <w:top w:val="nil"/>
              <w:left w:val="nil"/>
              <w:bottom w:val="nil"/>
              <w:right w:val="nil"/>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城港拖503定期检验进厂维修计划</w:t>
            </w:r>
          </w:p>
        </w:tc>
        <w:tc>
          <w:tcPr>
            <w:tcW w:w="1058" w:type="dxa"/>
            <w:tcBorders>
              <w:top w:val="nil"/>
              <w:left w:val="nil"/>
              <w:bottom w:val="nil"/>
              <w:right w:val="nil"/>
            </w:tcBorders>
            <w:shd w:val="clear" w:color="auto" w:fill="auto"/>
            <w:vAlign w:val="center"/>
          </w:tcPr>
          <w:p>
            <w:pPr>
              <w:spacing w:line="240" w:lineRule="auto"/>
              <w:rPr>
                <w:rFonts w:ascii="宋体" w:hAnsi="宋体" w:cs="宋体"/>
                <w:kern w:val="0"/>
                <w:sz w:val="24"/>
              </w:rPr>
            </w:pPr>
          </w:p>
        </w:tc>
        <w:tc>
          <w:tcPr>
            <w:tcW w:w="1218" w:type="dxa"/>
            <w:tcBorders>
              <w:top w:val="nil"/>
              <w:left w:val="nil"/>
              <w:bottom w:val="nil"/>
              <w:right w:val="nil"/>
            </w:tcBorders>
            <w:shd w:val="clear" w:color="auto" w:fill="auto"/>
            <w:vAlign w:val="center"/>
          </w:tcPr>
          <w:p>
            <w:pPr>
              <w:spacing w:line="240" w:lineRule="auto"/>
              <w:jc w:val="center"/>
              <w:rPr>
                <w:rFonts w:eastAsia="Times New Roman"/>
                <w:kern w:val="0"/>
                <w:sz w:val="20"/>
                <w:szCs w:val="20"/>
              </w:rPr>
            </w:pPr>
          </w:p>
        </w:tc>
        <w:tc>
          <w:tcPr>
            <w:tcW w:w="2103" w:type="dxa"/>
            <w:gridSpan w:val="2"/>
            <w:tcBorders>
              <w:top w:val="nil"/>
              <w:left w:val="nil"/>
              <w:bottom w:val="nil"/>
              <w:right w:val="nil"/>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2022年1月10日</w:t>
            </w:r>
          </w:p>
        </w:tc>
      </w:tr>
      <w:tr>
        <w:tblPrEx>
          <w:tblCellMar>
            <w:top w:w="0" w:type="dxa"/>
            <w:left w:w="108" w:type="dxa"/>
            <w:bottom w:w="0" w:type="dxa"/>
            <w:right w:w="108" w:type="dxa"/>
          </w:tblCellMar>
        </w:tblPrEx>
        <w:trPr>
          <w:gridAfter w:val="1"/>
          <w:wAfter w:w="236" w:type="dxa"/>
          <w:trHeight w:val="311" w:hRule="atLeast"/>
        </w:trPr>
        <w:tc>
          <w:tcPr>
            <w:tcW w:w="4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号</w:t>
            </w:r>
          </w:p>
        </w:tc>
        <w:tc>
          <w:tcPr>
            <w:tcW w:w="2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工程项目</w:t>
            </w:r>
          </w:p>
        </w:tc>
        <w:tc>
          <w:tcPr>
            <w:tcW w:w="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单位</w:t>
            </w:r>
          </w:p>
        </w:tc>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数量</w:t>
            </w:r>
          </w:p>
        </w:tc>
        <w:tc>
          <w:tcPr>
            <w:tcW w:w="105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查据</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单价(元）</w:t>
            </w:r>
          </w:p>
        </w:tc>
        <w:tc>
          <w:tcPr>
            <w:tcW w:w="11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总价（元）</w:t>
            </w:r>
          </w:p>
        </w:tc>
        <w:tc>
          <w:tcPr>
            <w:tcW w:w="9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gridAfter w:val="1"/>
          <w:wAfter w:w="236" w:type="dxa"/>
          <w:trHeight w:val="311" w:hRule="atLeast"/>
        </w:trPr>
        <w:tc>
          <w:tcPr>
            <w:tcW w:w="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p>
        </w:tc>
        <w:tc>
          <w:tcPr>
            <w:tcW w:w="2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p>
        </w:tc>
        <w:tc>
          <w:tcPr>
            <w:tcW w:w="4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p>
        </w:tc>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p>
        </w:tc>
        <w:tc>
          <w:tcPr>
            <w:tcW w:w="105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ascii="宋体" w:hAnsi="宋体" w:cs="宋体"/>
                <w:kern w:val="0"/>
                <w:sz w:val="24"/>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p>
        </w:tc>
        <w:tc>
          <w:tcPr>
            <w:tcW w:w="117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ascii="宋体" w:hAnsi="宋体" w:cs="宋体"/>
                <w:kern w:val="0"/>
                <w:sz w:val="24"/>
              </w:rPr>
            </w:pPr>
          </w:p>
        </w:tc>
        <w:tc>
          <w:tcPr>
            <w:tcW w:w="92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45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45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25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1058"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rPr>
                <w:rFonts w:ascii="宋体" w:hAnsi="宋体" w:cs="宋体"/>
                <w:kern w:val="0"/>
                <w:sz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1178"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rPr>
                <w:rFonts w:ascii="宋体" w:hAnsi="宋体" w:cs="宋体"/>
                <w:kern w:val="0"/>
                <w:sz w:val="24"/>
              </w:rPr>
            </w:pPr>
          </w:p>
        </w:tc>
        <w:tc>
          <w:tcPr>
            <w:tcW w:w="925"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rPr>
                <w:rFonts w:ascii="宋体" w:hAnsi="宋体" w:cs="宋体"/>
                <w:kern w:val="0"/>
                <w:sz w:val="24"/>
              </w:rPr>
            </w:pPr>
          </w:p>
        </w:tc>
        <w:tc>
          <w:tcPr>
            <w:tcW w:w="236" w:type="dxa"/>
            <w:tcBorders>
              <w:top w:val="nil"/>
              <w:left w:val="nil"/>
              <w:bottom w:val="nil"/>
              <w:right w:val="nil"/>
            </w:tcBorders>
            <w:shd w:val="clear" w:color="auto" w:fill="auto"/>
            <w:noWrap/>
            <w:vAlign w:val="center"/>
          </w:tcPr>
          <w:p>
            <w:pPr>
              <w:spacing w:line="240" w:lineRule="auto"/>
              <w:jc w:val="center"/>
              <w:rPr>
                <w:rFonts w:ascii="宋体" w:hAnsi="宋体" w:cs="宋体"/>
                <w:kern w:val="0"/>
                <w:sz w:val="24"/>
              </w:rPr>
            </w:pPr>
          </w:p>
        </w:tc>
      </w:tr>
      <w:tr>
        <w:tblPrEx>
          <w:tblCellMar>
            <w:top w:w="0" w:type="dxa"/>
            <w:left w:w="108" w:type="dxa"/>
            <w:bottom w:w="0" w:type="dxa"/>
            <w:right w:w="108" w:type="dxa"/>
          </w:tblCellMar>
        </w:tblPrEx>
        <w:trPr>
          <w:trHeight w:val="60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一</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船长：32.6m、宽8m、型深2.9米进出坞。</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次</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39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坞上施工天数</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天</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7</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4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3</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正车舵含襟翼舵全部拆装</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扇</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3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上下联接轴检查测量修复</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副</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9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舵叶铲锈涂底漆、色漆各二度</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3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4</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舵杆拆装</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19"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舵杆椎焊处光车φ200修复</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5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水封换新200*235*16</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4</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5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舵杆与舵套间灌黄油</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40</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4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5</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舵绞套内8315单向推力球轴承换新</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0"/>
                <w:szCs w:val="20"/>
              </w:rPr>
            </w:pPr>
            <w:r>
              <w:rPr>
                <w:rFonts w:hint="eastAsia" w:ascii="宋体" w:hAnsi="宋体" w:cs="宋体"/>
                <w:kern w:val="0"/>
                <w:sz w:val="20"/>
                <w:szCs w:val="20"/>
              </w:rPr>
              <w:t>副</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7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6</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太阳、行星齿轮拆装堆焊修</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副</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9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7</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倒车舵舵叶铲锈涂830底漆、831面漆各二度</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左右螺旋桨拆装烘烤校正。</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9</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前后尾轴衬套间隙测量</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9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10</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左右尾轴上车床校调</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522"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11</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尾轴管清洗检查测量</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3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12</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尾轴艏端油封更换150*180*16</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6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13</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尾轴艏端止口O型圈更换</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90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14</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尾轴尾端Φ140㎜黄氏密封件更换(配件厂供必换)</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套</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559"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b/>
                <w:bCs/>
                <w:kern w:val="0"/>
                <w:sz w:val="24"/>
              </w:rPr>
            </w:pPr>
            <w:r>
              <w:rPr>
                <w:rFonts w:hint="eastAsia" w:ascii="宋体" w:hAnsi="宋体" w:cs="宋体"/>
                <w:b/>
                <w:bCs/>
                <w:kern w:val="0"/>
                <w:sz w:val="24"/>
              </w:rPr>
              <w:t>小计</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05" w:hRule="atLeast"/>
        </w:trPr>
        <w:tc>
          <w:tcPr>
            <w:tcW w:w="9072" w:type="dxa"/>
            <w:gridSpan w:val="9"/>
            <w:tcBorders>
              <w:top w:val="nil"/>
              <w:left w:val="nil"/>
              <w:bottom w:val="nil"/>
              <w:right w:val="nil"/>
            </w:tcBorders>
            <w:shd w:val="clear" w:color="auto" w:fill="auto"/>
            <w:vAlign w:val="center"/>
          </w:tcPr>
          <w:p>
            <w:pPr>
              <w:spacing w:line="240" w:lineRule="auto"/>
              <w:jc w:val="center"/>
              <w:rPr>
                <w:rFonts w:ascii="宋体" w:hAnsi="宋体" w:cs="宋体"/>
                <w:b/>
                <w:bCs/>
                <w:kern w:val="0"/>
                <w:sz w:val="36"/>
                <w:szCs w:val="36"/>
              </w:rPr>
            </w:pPr>
            <w:r>
              <w:rPr>
                <w:rFonts w:hint="eastAsia" w:ascii="宋体" w:hAnsi="宋体" w:cs="宋体"/>
                <w:b/>
                <w:bCs/>
                <w:kern w:val="0"/>
                <w:sz w:val="36"/>
                <w:szCs w:val="36"/>
              </w:rPr>
              <w:t>城港拖503定期检验进厂维修项目</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05" w:hRule="atLeast"/>
        </w:trPr>
        <w:tc>
          <w:tcPr>
            <w:tcW w:w="4693" w:type="dxa"/>
            <w:gridSpan w:val="5"/>
            <w:tcBorders>
              <w:top w:val="nil"/>
              <w:left w:val="nil"/>
              <w:bottom w:val="nil"/>
              <w:right w:val="nil"/>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城港拖503定期检验进厂维修计划</w:t>
            </w:r>
          </w:p>
        </w:tc>
        <w:tc>
          <w:tcPr>
            <w:tcW w:w="1058" w:type="dxa"/>
            <w:tcBorders>
              <w:top w:val="nil"/>
              <w:left w:val="nil"/>
              <w:bottom w:val="nil"/>
              <w:right w:val="nil"/>
            </w:tcBorders>
            <w:shd w:val="clear" w:color="auto" w:fill="auto"/>
            <w:vAlign w:val="center"/>
          </w:tcPr>
          <w:p>
            <w:pPr>
              <w:spacing w:line="240" w:lineRule="auto"/>
              <w:rPr>
                <w:rFonts w:ascii="宋体" w:hAnsi="宋体" w:cs="宋体"/>
                <w:kern w:val="0"/>
                <w:sz w:val="24"/>
              </w:rPr>
            </w:pPr>
          </w:p>
        </w:tc>
        <w:tc>
          <w:tcPr>
            <w:tcW w:w="1218" w:type="dxa"/>
            <w:tcBorders>
              <w:top w:val="nil"/>
              <w:left w:val="nil"/>
              <w:bottom w:val="nil"/>
              <w:right w:val="nil"/>
            </w:tcBorders>
            <w:shd w:val="clear" w:color="auto" w:fill="auto"/>
            <w:vAlign w:val="center"/>
          </w:tcPr>
          <w:p>
            <w:pPr>
              <w:spacing w:line="240" w:lineRule="auto"/>
              <w:jc w:val="center"/>
              <w:rPr>
                <w:rFonts w:eastAsia="Times New Roman"/>
                <w:kern w:val="0"/>
                <w:sz w:val="20"/>
                <w:szCs w:val="20"/>
              </w:rPr>
            </w:pPr>
          </w:p>
        </w:tc>
        <w:tc>
          <w:tcPr>
            <w:tcW w:w="2103" w:type="dxa"/>
            <w:gridSpan w:val="2"/>
            <w:tcBorders>
              <w:top w:val="nil"/>
              <w:left w:val="nil"/>
              <w:bottom w:val="nil"/>
              <w:right w:val="nil"/>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2022年1月10日</w:t>
            </w:r>
          </w:p>
        </w:tc>
        <w:tc>
          <w:tcPr>
            <w:tcW w:w="236" w:type="dxa"/>
            <w:vAlign w:val="center"/>
          </w:tcPr>
          <w:p>
            <w:pPr>
              <w:spacing w:line="240" w:lineRule="auto"/>
              <w:rPr>
                <w:rFonts w:eastAsia="Times New Roman"/>
                <w:kern w:val="0"/>
                <w:sz w:val="20"/>
                <w:szCs w:val="20"/>
              </w:rPr>
            </w:pPr>
          </w:p>
        </w:tc>
      </w:tr>
      <w:tr>
        <w:trPr>
          <w:trHeight w:val="405" w:hRule="atLeast"/>
        </w:trPr>
        <w:tc>
          <w:tcPr>
            <w:tcW w:w="4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号</w:t>
            </w:r>
          </w:p>
        </w:tc>
        <w:tc>
          <w:tcPr>
            <w:tcW w:w="2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工程项目</w:t>
            </w:r>
          </w:p>
        </w:tc>
        <w:tc>
          <w:tcPr>
            <w:tcW w:w="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单位</w:t>
            </w:r>
          </w:p>
        </w:tc>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数量</w:t>
            </w:r>
          </w:p>
        </w:tc>
        <w:tc>
          <w:tcPr>
            <w:tcW w:w="105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查据</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单价(元）</w:t>
            </w:r>
          </w:p>
        </w:tc>
        <w:tc>
          <w:tcPr>
            <w:tcW w:w="11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总价（元）</w:t>
            </w:r>
          </w:p>
        </w:tc>
        <w:tc>
          <w:tcPr>
            <w:tcW w:w="9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备注</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165" w:hRule="atLeast"/>
        </w:trPr>
        <w:tc>
          <w:tcPr>
            <w:tcW w:w="45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45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25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1058"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rPr>
                <w:rFonts w:ascii="宋体" w:hAnsi="宋体" w:cs="宋体"/>
                <w:kern w:val="0"/>
                <w:sz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1178"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rPr>
                <w:rFonts w:ascii="宋体" w:hAnsi="宋体" w:cs="宋体"/>
                <w:kern w:val="0"/>
                <w:sz w:val="24"/>
              </w:rPr>
            </w:pPr>
          </w:p>
        </w:tc>
        <w:tc>
          <w:tcPr>
            <w:tcW w:w="925"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rPr>
                <w:rFonts w:ascii="宋体" w:hAnsi="宋体" w:cs="宋体"/>
                <w:kern w:val="0"/>
                <w:sz w:val="24"/>
              </w:rPr>
            </w:pPr>
          </w:p>
        </w:tc>
        <w:tc>
          <w:tcPr>
            <w:tcW w:w="236" w:type="dxa"/>
            <w:tcBorders>
              <w:top w:val="nil"/>
              <w:left w:val="nil"/>
              <w:bottom w:val="nil"/>
              <w:right w:val="nil"/>
            </w:tcBorders>
            <w:shd w:val="clear" w:color="auto" w:fill="auto"/>
            <w:noWrap/>
            <w:vAlign w:val="center"/>
          </w:tcPr>
          <w:p>
            <w:pPr>
              <w:spacing w:line="240" w:lineRule="auto"/>
              <w:jc w:val="center"/>
              <w:rPr>
                <w:rFonts w:ascii="宋体" w:hAnsi="宋体" w:cs="宋体"/>
                <w:kern w:val="0"/>
                <w:sz w:val="24"/>
              </w:rPr>
            </w:pPr>
          </w:p>
        </w:tc>
      </w:tr>
      <w:tr>
        <w:tblPrEx>
          <w:tblCellMar>
            <w:top w:w="0" w:type="dxa"/>
            <w:left w:w="108" w:type="dxa"/>
            <w:bottom w:w="0" w:type="dxa"/>
            <w:right w:w="108" w:type="dxa"/>
          </w:tblCellMar>
        </w:tblPrEx>
        <w:trPr>
          <w:trHeight w:val="84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15</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导流管内不锈钢环带汽蚀部位用不锈钢焊条焊接修复</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0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16</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导流管除锈涂830底漆、831面漆各二度</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30</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90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17</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左右海底阀φ200拆装清污拂磨、垫床、填料换新.</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4</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2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18</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左右防渣板拆装损坏处修复除锈涂漆</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块</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0"/>
                <w:szCs w:val="20"/>
              </w:rPr>
            </w:pPr>
            <w:r>
              <w:rPr>
                <w:rFonts w:hint="eastAsia" w:ascii="宋体" w:hAnsi="宋体" w:cs="宋体"/>
                <w:kern w:val="0"/>
                <w:sz w:val="20"/>
                <w:szCs w:val="20"/>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19</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海水箱挖泥除锈涂漆</w:t>
            </w:r>
          </w:p>
        </w:tc>
        <w:tc>
          <w:tcPr>
            <w:tcW w:w="460" w:type="dxa"/>
            <w:tcBorders>
              <w:top w:val="nil"/>
              <w:left w:val="nil"/>
              <w:bottom w:val="nil"/>
              <w:right w:val="nil"/>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只</w:t>
            </w:r>
          </w:p>
        </w:tc>
        <w:tc>
          <w:tcPr>
            <w:tcW w:w="76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nil"/>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0"/>
                <w:szCs w:val="20"/>
              </w:rPr>
            </w:pPr>
            <w:r>
              <w:rPr>
                <w:rFonts w:hint="eastAsia" w:ascii="宋体" w:hAnsi="宋体" w:cs="宋体"/>
                <w:kern w:val="0"/>
                <w:sz w:val="20"/>
                <w:szCs w:val="20"/>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6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20</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倒车舵杆弯曲变形重新加工一根</w:t>
            </w:r>
          </w:p>
        </w:tc>
        <w:tc>
          <w:tcPr>
            <w:tcW w:w="460" w:type="dxa"/>
            <w:tcBorders>
              <w:top w:val="nil"/>
              <w:left w:val="nil"/>
              <w:bottom w:val="nil"/>
              <w:right w:val="nil"/>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nil"/>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0"/>
                <w:szCs w:val="20"/>
              </w:rPr>
            </w:pPr>
            <w:r>
              <w:rPr>
                <w:rFonts w:hint="eastAsia" w:ascii="宋体" w:hAnsi="宋体" w:cs="宋体"/>
                <w:kern w:val="0"/>
                <w:sz w:val="20"/>
                <w:szCs w:val="20"/>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81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21</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船体水线下底板、升板测厚。</w:t>
            </w:r>
          </w:p>
        </w:tc>
        <w:tc>
          <w:tcPr>
            <w:tcW w:w="460"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80</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二</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油漆工程（上海开林牌、白色用白瓷漆）</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1260"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主甲板以下船体外板重铲除锈，红丹、色漆各二度要求水线部分用色漆区分。</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360</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39"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水尺干舷圈填白漆</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艘</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0"/>
                <w:szCs w:val="20"/>
              </w:rPr>
            </w:pPr>
            <w:r>
              <w:rPr>
                <w:rFonts w:hint="eastAsia" w:ascii="宋体" w:hAnsi="宋体" w:cs="宋体"/>
                <w:kern w:val="0"/>
                <w:sz w:val="20"/>
                <w:szCs w:val="20"/>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0"/>
                <w:szCs w:val="20"/>
              </w:rPr>
            </w:pPr>
            <w:r>
              <w:rPr>
                <w:rFonts w:hint="eastAsia" w:ascii="宋体" w:hAnsi="宋体" w:cs="宋体"/>
                <w:kern w:val="0"/>
                <w:sz w:val="20"/>
                <w:szCs w:val="20"/>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348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3</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主甲板、二、三楼甲板、各层望天板、舷墙内外板、系缆桩、走道、楼梯、顶篷、会议室、驾驶室、厨房、澡堂、厕所、船员室等围板、顶板、地板，机舱花钢板,机舱上层围板、顶板、烟窗、栏杆、桅杆等有锈必重铲，铲锈处涂红丹一度、色漆二度。</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1750</w:t>
            </w:r>
          </w:p>
        </w:tc>
        <w:tc>
          <w:tcPr>
            <w:tcW w:w="105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5" w:hRule="atLeast"/>
        </w:trPr>
        <w:tc>
          <w:tcPr>
            <w:tcW w:w="458" w:type="dxa"/>
            <w:tcBorders>
              <w:top w:val="nil"/>
              <w:left w:val="nil"/>
              <w:bottom w:val="nil"/>
              <w:right w:val="nil"/>
            </w:tcBorders>
            <w:shd w:val="clear" w:color="auto" w:fill="auto"/>
            <w:noWrap/>
            <w:vAlign w:val="center"/>
          </w:tcPr>
          <w:p>
            <w:pPr>
              <w:spacing w:line="240" w:lineRule="auto"/>
              <w:jc w:val="center"/>
              <w:rPr>
                <w:rFonts w:ascii="宋体" w:hAnsi="宋体" w:cs="宋体"/>
                <w:kern w:val="0"/>
                <w:sz w:val="24"/>
              </w:rPr>
            </w:pPr>
          </w:p>
        </w:tc>
        <w:tc>
          <w:tcPr>
            <w:tcW w:w="45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b/>
                <w:bCs/>
                <w:kern w:val="0"/>
                <w:sz w:val="24"/>
              </w:rPr>
            </w:pPr>
            <w:r>
              <w:rPr>
                <w:rFonts w:hint="eastAsia" w:ascii="宋体" w:hAnsi="宋体" w:cs="宋体"/>
                <w:b/>
                <w:bCs/>
                <w:kern w:val="0"/>
                <w:sz w:val="24"/>
              </w:rPr>
              <w:t>小计</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5" w:hRule="atLeast"/>
        </w:trPr>
        <w:tc>
          <w:tcPr>
            <w:tcW w:w="9072" w:type="dxa"/>
            <w:gridSpan w:val="9"/>
            <w:tcBorders>
              <w:top w:val="nil"/>
              <w:left w:val="nil"/>
              <w:bottom w:val="nil"/>
              <w:right w:val="nil"/>
            </w:tcBorders>
            <w:shd w:val="clear" w:color="auto" w:fill="auto"/>
            <w:vAlign w:val="center"/>
          </w:tcPr>
          <w:p>
            <w:pPr>
              <w:spacing w:line="240" w:lineRule="auto"/>
              <w:jc w:val="center"/>
              <w:rPr>
                <w:rFonts w:ascii="宋体" w:hAnsi="宋体" w:cs="宋体"/>
                <w:b/>
                <w:bCs/>
                <w:kern w:val="0"/>
                <w:sz w:val="36"/>
                <w:szCs w:val="36"/>
              </w:rPr>
            </w:pPr>
            <w:r>
              <w:rPr>
                <w:rFonts w:hint="eastAsia" w:ascii="宋体" w:hAnsi="宋体" w:cs="宋体"/>
                <w:b/>
                <w:bCs/>
                <w:kern w:val="0"/>
                <w:sz w:val="36"/>
                <w:szCs w:val="36"/>
              </w:rPr>
              <w:t>城港拖503定期检验进厂维修项目</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5" w:hRule="atLeast"/>
        </w:trPr>
        <w:tc>
          <w:tcPr>
            <w:tcW w:w="4693" w:type="dxa"/>
            <w:gridSpan w:val="5"/>
            <w:tcBorders>
              <w:top w:val="nil"/>
              <w:left w:val="nil"/>
              <w:bottom w:val="nil"/>
              <w:right w:val="nil"/>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城港拖503定期检验进厂维修计划</w:t>
            </w:r>
          </w:p>
        </w:tc>
        <w:tc>
          <w:tcPr>
            <w:tcW w:w="1058" w:type="dxa"/>
            <w:tcBorders>
              <w:top w:val="nil"/>
              <w:left w:val="nil"/>
              <w:bottom w:val="nil"/>
              <w:right w:val="nil"/>
            </w:tcBorders>
            <w:shd w:val="clear" w:color="auto" w:fill="auto"/>
            <w:vAlign w:val="center"/>
          </w:tcPr>
          <w:p>
            <w:pPr>
              <w:spacing w:line="240" w:lineRule="auto"/>
              <w:rPr>
                <w:rFonts w:ascii="宋体" w:hAnsi="宋体" w:cs="宋体"/>
                <w:kern w:val="0"/>
                <w:sz w:val="24"/>
              </w:rPr>
            </w:pPr>
          </w:p>
        </w:tc>
        <w:tc>
          <w:tcPr>
            <w:tcW w:w="1218" w:type="dxa"/>
            <w:tcBorders>
              <w:top w:val="nil"/>
              <w:left w:val="nil"/>
              <w:bottom w:val="nil"/>
              <w:right w:val="nil"/>
            </w:tcBorders>
            <w:shd w:val="clear" w:color="auto" w:fill="auto"/>
            <w:vAlign w:val="center"/>
          </w:tcPr>
          <w:p>
            <w:pPr>
              <w:spacing w:line="240" w:lineRule="auto"/>
              <w:jc w:val="center"/>
              <w:rPr>
                <w:rFonts w:eastAsia="Times New Roman"/>
                <w:kern w:val="0"/>
                <w:sz w:val="20"/>
                <w:szCs w:val="20"/>
              </w:rPr>
            </w:pPr>
          </w:p>
        </w:tc>
        <w:tc>
          <w:tcPr>
            <w:tcW w:w="2103" w:type="dxa"/>
            <w:gridSpan w:val="2"/>
            <w:tcBorders>
              <w:top w:val="nil"/>
              <w:left w:val="nil"/>
              <w:bottom w:val="nil"/>
              <w:right w:val="nil"/>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2022年1月10日</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5" w:hRule="atLeast"/>
        </w:trPr>
        <w:tc>
          <w:tcPr>
            <w:tcW w:w="4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号</w:t>
            </w:r>
          </w:p>
        </w:tc>
        <w:tc>
          <w:tcPr>
            <w:tcW w:w="2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工程项目</w:t>
            </w:r>
          </w:p>
        </w:tc>
        <w:tc>
          <w:tcPr>
            <w:tcW w:w="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单位</w:t>
            </w:r>
          </w:p>
        </w:tc>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数量</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查据</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单价(元）</w:t>
            </w:r>
          </w:p>
        </w:tc>
        <w:tc>
          <w:tcPr>
            <w:tcW w:w="11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总价（元）</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备注</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5" w:hRule="atLeast"/>
        </w:trPr>
        <w:tc>
          <w:tcPr>
            <w:tcW w:w="45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45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25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105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117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kern w:val="0"/>
                <w:sz w:val="24"/>
              </w:rPr>
            </w:pPr>
          </w:p>
        </w:tc>
        <w:tc>
          <w:tcPr>
            <w:tcW w:w="236" w:type="dxa"/>
            <w:tcBorders>
              <w:top w:val="nil"/>
              <w:left w:val="nil"/>
              <w:bottom w:val="nil"/>
              <w:right w:val="nil"/>
            </w:tcBorders>
            <w:shd w:val="clear" w:color="auto" w:fill="auto"/>
            <w:noWrap/>
            <w:vAlign w:val="center"/>
          </w:tcPr>
          <w:p>
            <w:pPr>
              <w:spacing w:line="240" w:lineRule="auto"/>
              <w:jc w:val="center"/>
              <w:rPr>
                <w:rFonts w:ascii="宋体" w:hAnsi="宋体" w:cs="宋体"/>
                <w:kern w:val="0"/>
                <w:sz w:val="24"/>
              </w:rPr>
            </w:pPr>
          </w:p>
        </w:tc>
      </w:tr>
      <w:tr>
        <w:tblPrEx>
          <w:tblCellMar>
            <w:top w:w="0" w:type="dxa"/>
            <w:left w:w="108" w:type="dxa"/>
            <w:bottom w:w="0" w:type="dxa"/>
            <w:right w:w="108" w:type="dxa"/>
          </w:tblCellMar>
        </w:tblPrEx>
        <w:trPr>
          <w:trHeight w:val="123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6250柴油机两台全部拆检、清洗、测量磨损件更换等，</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台</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33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活塞环换新</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套</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24</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xml:space="preserve">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xml:space="preserve">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缸盖闷头更换</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100</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54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进气阀换新</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8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排气阀换新</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0"/>
                <w:szCs w:val="20"/>
              </w:rPr>
            </w:pPr>
            <w:r>
              <w:rPr>
                <w:rFonts w:hint="eastAsia" w:ascii="宋体" w:hAnsi="宋体" w:cs="宋体"/>
                <w:kern w:val="0"/>
                <w:sz w:val="20"/>
                <w:szCs w:val="20"/>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喷油器偶件换新校调</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62"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4135AG型柴油机按大修标准解体拆检</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台</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nil"/>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nil"/>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2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进排气阀换新</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16</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3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活塞环换新</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副</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0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连杆轴瓦换新</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副</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6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喷油器偶件换新校调</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42"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更换弹性橡皮筒</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16</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0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全车密封垫更换</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套</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108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3</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厨房排气管破损加焊φ100㎜*2000㎜厚臂无缝钢管</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1002"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4</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主空气瓶漏气瓶头进气阀阀杆与阀心重新照实物加工修复.</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1099"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5</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右主机摇压力表损坏不显示更换修复(配件厂供)</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块</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8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b/>
                <w:bCs/>
                <w:kern w:val="0"/>
                <w:sz w:val="24"/>
              </w:rPr>
            </w:pPr>
            <w:r>
              <w:rPr>
                <w:rFonts w:hint="eastAsia" w:ascii="宋体" w:hAnsi="宋体" w:cs="宋体"/>
                <w:b/>
                <w:bCs/>
                <w:kern w:val="0"/>
                <w:sz w:val="24"/>
              </w:rPr>
              <w:t>小计</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b/>
                <w:bCs/>
                <w:kern w:val="0"/>
                <w:sz w:val="24"/>
              </w:rPr>
            </w:pPr>
            <w:r>
              <w:rPr>
                <w:rFonts w:hint="eastAsia" w:ascii="宋体" w:hAnsi="宋体" w:cs="宋体"/>
                <w:b/>
                <w:bCs/>
                <w:kern w:val="0"/>
                <w:sz w:val="24"/>
              </w:rPr>
              <w:t>　</w:t>
            </w:r>
          </w:p>
        </w:tc>
        <w:tc>
          <w:tcPr>
            <w:tcW w:w="760" w:type="dxa"/>
            <w:tcBorders>
              <w:top w:val="nil"/>
              <w:left w:val="nil"/>
              <w:bottom w:val="nil"/>
              <w:right w:val="nil"/>
            </w:tcBorders>
            <w:shd w:val="clear" w:color="auto" w:fill="auto"/>
            <w:noWrap/>
            <w:vAlign w:val="center"/>
          </w:tcPr>
          <w:p>
            <w:pPr>
              <w:spacing w:line="240" w:lineRule="auto"/>
              <w:rPr>
                <w:rFonts w:ascii="宋体" w:hAnsi="宋体" w:cs="宋体"/>
                <w:b/>
                <w:bCs/>
                <w:kern w:val="0"/>
                <w:sz w:val="24"/>
              </w:rPr>
            </w:pPr>
          </w:p>
        </w:tc>
        <w:tc>
          <w:tcPr>
            <w:tcW w:w="10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522" w:hRule="atLeast"/>
        </w:trPr>
        <w:tc>
          <w:tcPr>
            <w:tcW w:w="9072" w:type="dxa"/>
            <w:gridSpan w:val="9"/>
            <w:tcBorders>
              <w:top w:val="nil"/>
              <w:left w:val="nil"/>
              <w:bottom w:val="nil"/>
              <w:right w:val="nil"/>
            </w:tcBorders>
            <w:shd w:val="clear" w:color="auto" w:fill="auto"/>
            <w:vAlign w:val="center"/>
          </w:tcPr>
          <w:p>
            <w:pPr>
              <w:spacing w:line="240" w:lineRule="auto"/>
              <w:jc w:val="center"/>
              <w:rPr>
                <w:rFonts w:ascii="宋体" w:hAnsi="宋体" w:cs="宋体"/>
                <w:b/>
                <w:bCs/>
                <w:kern w:val="0"/>
                <w:sz w:val="36"/>
                <w:szCs w:val="36"/>
              </w:rPr>
            </w:pPr>
            <w:r>
              <w:rPr>
                <w:rFonts w:hint="eastAsia" w:ascii="宋体" w:hAnsi="宋体" w:cs="宋体"/>
                <w:b/>
                <w:bCs/>
                <w:kern w:val="0"/>
                <w:sz w:val="36"/>
                <w:szCs w:val="36"/>
              </w:rPr>
              <w:t>城港拖503定期检验进厂维修项目</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80" w:hRule="atLeast"/>
        </w:trPr>
        <w:tc>
          <w:tcPr>
            <w:tcW w:w="4693" w:type="dxa"/>
            <w:gridSpan w:val="5"/>
            <w:tcBorders>
              <w:top w:val="nil"/>
              <w:left w:val="nil"/>
              <w:bottom w:val="nil"/>
              <w:right w:val="nil"/>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城港拖503定期检验进厂维修计划</w:t>
            </w:r>
          </w:p>
        </w:tc>
        <w:tc>
          <w:tcPr>
            <w:tcW w:w="1058" w:type="dxa"/>
            <w:tcBorders>
              <w:top w:val="nil"/>
              <w:left w:val="nil"/>
              <w:bottom w:val="nil"/>
              <w:right w:val="nil"/>
            </w:tcBorders>
            <w:shd w:val="clear" w:color="auto" w:fill="auto"/>
            <w:vAlign w:val="center"/>
          </w:tcPr>
          <w:p>
            <w:pPr>
              <w:spacing w:line="240" w:lineRule="auto"/>
              <w:rPr>
                <w:rFonts w:ascii="宋体" w:hAnsi="宋体" w:cs="宋体"/>
                <w:kern w:val="0"/>
                <w:sz w:val="24"/>
              </w:rPr>
            </w:pPr>
          </w:p>
        </w:tc>
        <w:tc>
          <w:tcPr>
            <w:tcW w:w="1218" w:type="dxa"/>
            <w:tcBorders>
              <w:top w:val="nil"/>
              <w:left w:val="nil"/>
              <w:bottom w:val="nil"/>
              <w:right w:val="nil"/>
            </w:tcBorders>
            <w:shd w:val="clear" w:color="auto" w:fill="auto"/>
            <w:vAlign w:val="center"/>
          </w:tcPr>
          <w:p>
            <w:pPr>
              <w:spacing w:line="240" w:lineRule="auto"/>
              <w:jc w:val="center"/>
              <w:rPr>
                <w:rFonts w:eastAsia="Times New Roman"/>
                <w:kern w:val="0"/>
                <w:sz w:val="20"/>
                <w:szCs w:val="20"/>
              </w:rPr>
            </w:pPr>
          </w:p>
        </w:tc>
        <w:tc>
          <w:tcPr>
            <w:tcW w:w="2103" w:type="dxa"/>
            <w:gridSpan w:val="2"/>
            <w:tcBorders>
              <w:top w:val="nil"/>
              <w:left w:val="nil"/>
              <w:bottom w:val="nil"/>
              <w:right w:val="nil"/>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2022年1月10日</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80"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456"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号</w:t>
            </w:r>
          </w:p>
        </w:tc>
        <w:tc>
          <w:tcPr>
            <w:tcW w:w="255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工程项目</w:t>
            </w:r>
          </w:p>
        </w:tc>
        <w:tc>
          <w:tcPr>
            <w:tcW w:w="460"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数量</w:t>
            </w:r>
          </w:p>
        </w:tc>
        <w:tc>
          <w:tcPr>
            <w:tcW w:w="105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查据</w:t>
            </w:r>
          </w:p>
        </w:tc>
        <w:tc>
          <w:tcPr>
            <w:tcW w:w="121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单价(元）</w:t>
            </w:r>
          </w:p>
        </w:tc>
        <w:tc>
          <w:tcPr>
            <w:tcW w:w="117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总价（元）</w:t>
            </w:r>
          </w:p>
        </w:tc>
        <w:tc>
          <w:tcPr>
            <w:tcW w:w="9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备注</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979"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6</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主空气瓶至日用空气瓶间的调压阀漏气检查修复(配件厂供)</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979"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7</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空压机打气较益低拆检更换活塞环、进排气阀修复</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台</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3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排气总管防雨帽锈损新做电焊烧牢修复。</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个</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3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9</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左主机海水泵传动轴磨损重新加工</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2"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四</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电器部分</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9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发电机出厂负载试验</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台</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99"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机舱主机摇控箱信号灯座修复.(配件厂供)</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84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3</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机舱照明灯灯头线路螺丝烧损更换螺口灯头修复(配件厂供)</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盏</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4</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桅杆信号灯及线路检查修复(配件厂供)</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90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5</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尾绞关正反转接触器故障更换检查修复.(配件厂供)</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96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6</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船员舱照明灯与线路故障更换检查修复(配件厂供).</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859"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xml:space="preserve">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7</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左右红绿舷灯锈损照实物更换总成（配件厂供）</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盏</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20" w:hRule="atLeast"/>
        </w:trPr>
        <w:tc>
          <w:tcPr>
            <w:tcW w:w="458" w:type="dxa"/>
            <w:tcBorders>
              <w:top w:val="nil"/>
              <w:left w:val="single" w:color="auto" w:sz="4" w:space="0"/>
              <w:bottom w:val="nil"/>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五</w:t>
            </w:r>
          </w:p>
        </w:tc>
        <w:tc>
          <w:tcPr>
            <w:tcW w:w="456" w:type="dxa"/>
            <w:tcBorders>
              <w:top w:val="nil"/>
              <w:left w:val="nil"/>
              <w:bottom w:val="nil"/>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nil"/>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甲板工程</w:t>
            </w:r>
          </w:p>
        </w:tc>
        <w:tc>
          <w:tcPr>
            <w:tcW w:w="460" w:type="dxa"/>
            <w:tcBorders>
              <w:top w:val="nil"/>
              <w:left w:val="nil"/>
              <w:bottom w:val="nil"/>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nil"/>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058" w:type="dxa"/>
            <w:tcBorders>
              <w:top w:val="nil"/>
              <w:left w:val="nil"/>
              <w:bottom w:val="nil"/>
              <w:right w:val="nil"/>
            </w:tcBorders>
            <w:shd w:val="clear" w:color="auto" w:fill="auto"/>
            <w:noWrap/>
            <w:vAlign w:val="center"/>
          </w:tcPr>
          <w:p>
            <w:pPr>
              <w:spacing w:line="240" w:lineRule="auto"/>
              <w:jc w:val="center"/>
              <w:rPr>
                <w:rFonts w:ascii="宋体" w:hAnsi="宋体" w:cs="宋体"/>
                <w:kern w:val="0"/>
                <w:sz w:val="24"/>
              </w:rPr>
            </w:pPr>
          </w:p>
        </w:tc>
        <w:tc>
          <w:tcPr>
            <w:tcW w:w="1218" w:type="dxa"/>
            <w:tcBorders>
              <w:top w:val="nil"/>
              <w:left w:val="nil"/>
              <w:bottom w:val="nil"/>
              <w:right w:val="nil"/>
            </w:tcBorders>
            <w:shd w:val="clear" w:color="auto" w:fill="auto"/>
            <w:noWrap/>
            <w:vAlign w:val="center"/>
          </w:tcPr>
          <w:p>
            <w:pPr>
              <w:spacing w:line="240" w:lineRule="auto"/>
              <w:rPr>
                <w:rFonts w:eastAsia="Times New Roman"/>
                <w:kern w:val="0"/>
                <w:sz w:val="20"/>
                <w:szCs w:val="20"/>
              </w:rPr>
            </w:pPr>
          </w:p>
        </w:tc>
        <w:tc>
          <w:tcPr>
            <w:tcW w:w="1178" w:type="dxa"/>
            <w:tcBorders>
              <w:top w:val="nil"/>
              <w:left w:val="nil"/>
              <w:bottom w:val="nil"/>
              <w:right w:val="nil"/>
            </w:tcBorders>
            <w:shd w:val="clear" w:color="auto" w:fill="auto"/>
            <w:noWrap/>
            <w:vAlign w:val="center"/>
          </w:tcPr>
          <w:p>
            <w:pPr>
              <w:spacing w:line="240" w:lineRule="auto"/>
              <w:rPr>
                <w:rFonts w:eastAsia="Times New Roman"/>
                <w:kern w:val="0"/>
                <w:sz w:val="20"/>
                <w:szCs w:val="20"/>
              </w:rPr>
            </w:pPr>
          </w:p>
        </w:tc>
        <w:tc>
          <w:tcPr>
            <w:tcW w:w="925" w:type="dxa"/>
            <w:tcBorders>
              <w:top w:val="nil"/>
              <w:left w:val="nil"/>
              <w:bottom w:val="nil"/>
              <w:right w:val="nil"/>
            </w:tcBorders>
            <w:shd w:val="clear" w:color="auto" w:fill="auto"/>
            <w:noWrap/>
            <w:vAlign w:val="center"/>
          </w:tcPr>
          <w:p>
            <w:pPr>
              <w:spacing w:line="240" w:lineRule="auto"/>
              <w:rPr>
                <w:rFonts w:eastAsia="Times New Roman"/>
                <w:kern w:val="0"/>
                <w:sz w:val="20"/>
                <w:szCs w:val="20"/>
              </w:rPr>
            </w:pP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19" w:hRule="atLeast"/>
        </w:trPr>
        <w:tc>
          <w:tcPr>
            <w:tcW w:w="45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456"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255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二楼左右船员室房门与主甲板左船员舱门修理</w:t>
            </w:r>
          </w:p>
        </w:tc>
        <w:tc>
          <w:tcPr>
            <w:tcW w:w="46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扇</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3</w:t>
            </w:r>
          </w:p>
        </w:tc>
        <w:tc>
          <w:tcPr>
            <w:tcW w:w="105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17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9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2"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更换船员室门锁</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把</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5</w:t>
            </w:r>
          </w:p>
        </w:tc>
        <w:tc>
          <w:tcPr>
            <w:tcW w:w="105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19"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3</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厨房副机排气管部甲板锈损挖补修复</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62"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小  计</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42" w:hRule="atLeast"/>
        </w:trPr>
        <w:tc>
          <w:tcPr>
            <w:tcW w:w="9072" w:type="dxa"/>
            <w:gridSpan w:val="9"/>
            <w:tcBorders>
              <w:top w:val="nil"/>
              <w:left w:val="nil"/>
              <w:bottom w:val="nil"/>
              <w:right w:val="nil"/>
            </w:tcBorders>
            <w:shd w:val="clear" w:color="auto" w:fill="auto"/>
            <w:vAlign w:val="center"/>
          </w:tcPr>
          <w:p>
            <w:pPr>
              <w:spacing w:line="240" w:lineRule="auto"/>
              <w:jc w:val="center"/>
              <w:rPr>
                <w:rFonts w:ascii="宋体" w:hAnsi="宋体" w:cs="宋体"/>
                <w:b/>
                <w:bCs/>
                <w:kern w:val="0"/>
                <w:sz w:val="36"/>
                <w:szCs w:val="36"/>
              </w:rPr>
            </w:pPr>
            <w:r>
              <w:rPr>
                <w:rFonts w:hint="eastAsia" w:ascii="宋体" w:hAnsi="宋体" w:cs="宋体"/>
                <w:b/>
                <w:bCs/>
                <w:kern w:val="0"/>
                <w:sz w:val="36"/>
                <w:szCs w:val="36"/>
              </w:rPr>
              <w:t>城港拖503定期检验进厂维修项目</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582" w:hRule="atLeast"/>
        </w:trPr>
        <w:tc>
          <w:tcPr>
            <w:tcW w:w="4693" w:type="dxa"/>
            <w:gridSpan w:val="5"/>
            <w:tcBorders>
              <w:top w:val="nil"/>
              <w:left w:val="nil"/>
              <w:bottom w:val="nil"/>
              <w:right w:val="nil"/>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城港拖503定期检验进厂维修计划</w:t>
            </w:r>
          </w:p>
        </w:tc>
        <w:tc>
          <w:tcPr>
            <w:tcW w:w="1058" w:type="dxa"/>
            <w:tcBorders>
              <w:top w:val="nil"/>
              <w:left w:val="nil"/>
              <w:bottom w:val="nil"/>
              <w:right w:val="nil"/>
            </w:tcBorders>
            <w:shd w:val="clear" w:color="auto" w:fill="auto"/>
            <w:vAlign w:val="center"/>
          </w:tcPr>
          <w:p>
            <w:pPr>
              <w:spacing w:line="240" w:lineRule="auto"/>
              <w:rPr>
                <w:rFonts w:ascii="宋体" w:hAnsi="宋体" w:cs="宋体"/>
                <w:kern w:val="0"/>
                <w:sz w:val="24"/>
              </w:rPr>
            </w:pPr>
          </w:p>
        </w:tc>
        <w:tc>
          <w:tcPr>
            <w:tcW w:w="1218" w:type="dxa"/>
            <w:tcBorders>
              <w:top w:val="nil"/>
              <w:left w:val="nil"/>
              <w:bottom w:val="nil"/>
              <w:right w:val="nil"/>
            </w:tcBorders>
            <w:shd w:val="clear" w:color="auto" w:fill="auto"/>
            <w:vAlign w:val="center"/>
          </w:tcPr>
          <w:p>
            <w:pPr>
              <w:spacing w:line="240" w:lineRule="auto"/>
              <w:jc w:val="center"/>
              <w:rPr>
                <w:rFonts w:eastAsia="Times New Roman"/>
                <w:kern w:val="0"/>
                <w:sz w:val="20"/>
                <w:szCs w:val="20"/>
              </w:rPr>
            </w:pPr>
          </w:p>
        </w:tc>
        <w:tc>
          <w:tcPr>
            <w:tcW w:w="2103" w:type="dxa"/>
            <w:gridSpan w:val="2"/>
            <w:tcBorders>
              <w:top w:val="nil"/>
              <w:left w:val="nil"/>
              <w:bottom w:val="nil"/>
              <w:right w:val="nil"/>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2022年1月10日</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582"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456"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号</w:t>
            </w:r>
          </w:p>
        </w:tc>
        <w:tc>
          <w:tcPr>
            <w:tcW w:w="255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工程项目</w:t>
            </w:r>
          </w:p>
        </w:tc>
        <w:tc>
          <w:tcPr>
            <w:tcW w:w="460"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数量</w:t>
            </w:r>
          </w:p>
        </w:tc>
        <w:tc>
          <w:tcPr>
            <w:tcW w:w="105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查据</w:t>
            </w:r>
          </w:p>
        </w:tc>
        <w:tc>
          <w:tcPr>
            <w:tcW w:w="121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单价(元）</w:t>
            </w:r>
          </w:p>
        </w:tc>
        <w:tc>
          <w:tcPr>
            <w:tcW w:w="117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总价（元）</w:t>
            </w:r>
          </w:p>
        </w:tc>
        <w:tc>
          <w:tcPr>
            <w:tcW w:w="9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备注</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1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4</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船艏顶推、左、右的靠垫用钢丝绳固定。</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7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5</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船尾雨棚架变形，立柱锈更换电焊修复。</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78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6</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二楼左后、三楼右后出水孔管焊接修复。</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0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7</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三楼左后锈损挖补修复800*400</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0.32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0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会议室沙发座垫破损重新包复。</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米</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12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5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六</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其他</w:t>
            </w:r>
          </w:p>
        </w:tc>
        <w:tc>
          <w:tcPr>
            <w:tcW w:w="460"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50"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系泊试验</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台</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55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轻载试航</w:t>
            </w:r>
          </w:p>
        </w:tc>
        <w:tc>
          <w:tcPr>
            <w:tcW w:w="4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台</w:t>
            </w:r>
          </w:p>
        </w:tc>
        <w:tc>
          <w:tcPr>
            <w:tcW w:w="76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6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3</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码头费(船长32.6）</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天</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8</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8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4</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接拆供电电缆</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次</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2</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小       计</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合 计(基本修费)</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20"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5</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看火费（基本费*2%）</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66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6</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税金（基本费+看火费）*1</w:t>
            </w:r>
            <w:r>
              <w:rPr>
                <w:rFonts w:ascii="宋体" w:hAnsi="宋体" w:cs="宋体"/>
                <w:kern w:val="0"/>
                <w:sz w:val="24"/>
              </w:rPr>
              <w:t>3</w:t>
            </w:r>
            <w:r>
              <w:rPr>
                <w:rFonts w:hint="eastAsia" w:ascii="宋体" w:hAnsi="宋体" w:cs="宋体"/>
                <w:kern w:val="0"/>
                <w:sz w:val="24"/>
              </w:rPr>
              <w:t>%</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项</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1</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456"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559"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8"/>
                <w:szCs w:val="28"/>
              </w:rPr>
            </w:pPr>
            <w:r>
              <w:rPr>
                <w:rFonts w:hint="eastAsia" w:ascii="宋体" w:hAnsi="宋体" w:cs="宋体"/>
                <w:b/>
                <w:bCs/>
                <w:kern w:val="0"/>
                <w:sz w:val="28"/>
                <w:szCs w:val="28"/>
              </w:rPr>
              <w:t>总计(修理费)</w:t>
            </w:r>
          </w:p>
        </w:tc>
        <w:tc>
          <w:tcPr>
            <w:tcW w:w="4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1058"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1218" w:type="dxa"/>
            <w:tcBorders>
              <w:top w:val="nil"/>
              <w:left w:val="nil"/>
              <w:bottom w:val="single" w:color="auto" w:sz="4" w:space="0"/>
              <w:right w:val="single" w:color="auto" w:sz="4" w:space="0"/>
            </w:tcBorders>
            <w:shd w:val="clear" w:color="auto" w:fill="auto"/>
            <w:vAlign w:val="center"/>
          </w:tcPr>
          <w:p>
            <w:pPr>
              <w:spacing w:line="240" w:lineRule="auto"/>
              <w:rPr>
                <w:rFonts w:ascii="宋体" w:hAnsi="宋体" w:cs="宋体"/>
                <w:kern w:val="0"/>
                <w:sz w:val="24"/>
              </w:rPr>
            </w:pPr>
            <w:r>
              <w:rPr>
                <w:rFonts w:hint="eastAsia" w:ascii="宋体" w:hAnsi="宋体" w:cs="宋体"/>
                <w:kern w:val="0"/>
                <w:sz w:val="24"/>
              </w:rPr>
              <w:t>　</w:t>
            </w:r>
          </w:p>
        </w:tc>
        <w:tc>
          <w:tcPr>
            <w:tcW w:w="1178"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b/>
                <w:bCs/>
                <w:kern w:val="0"/>
                <w:sz w:val="24"/>
              </w:rPr>
            </w:pPr>
            <w:r>
              <w:rPr>
                <w:rFonts w:hint="eastAsia" w:ascii="宋体" w:hAnsi="宋体" w:cs="宋体"/>
                <w:b/>
                <w:bCs/>
                <w:kern w:val="0"/>
                <w:sz w:val="24"/>
              </w:rPr>
              <w:t>　</w:t>
            </w:r>
          </w:p>
        </w:tc>
        <w:tc>
          <w:tcPr>
            <w:tcW w:w="925" w:type="dxa"/>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cs="宋体"/>
                <w:kern w:val="0"/>
                <w:sz w:val="24"/>
              </w:rPr>
            </w:pPr>
            <w:r>
              <w:rPr>
                <w:rFonts w:hint="eastAsia" w:ascii="宋体" w:hAnsi="宋体" w:cs="宋体"/>
                <w:kern w:val="0"/>
                <w:sz w:val="24"/>
              </w:rPr>
              <w:t>　</w:t>
            </w:r>
          </w:p>
        </w:tc>
        <w:tc>
          <w:tcPr>
            <w:tcW w:w="236" w:type="dxa"/>
            <w:vAlign w:val="center"/>
          </w:tcPr>
          <w:p>
            <w:pPr>
              <w:spacing w:line="240" w:lineRule="auto"/>
              <w:rPr>
                <w:rFonts w:eastAsia="Times New Roman"/>
                <w:kern w:val="0"/>
                <w:sz w:val="20"/>
                <w:szCs w:val="20"/>
              </w:rPr>
            </w:pPr>
          </w:p>
        </w:tc>
      </w:tr>
      <w:tr>
        <w:tblPrEx>
          <w:tblCellMar>
            <w:top w:w="0" w:type="dxa"/>
            <w:left w:w="108" w:type="dxa"/>
            <w:bottom w:w="0" w:type="dxa"/>
            <w:right w:w="108" w:type="dxa"/>
          </w:tblCellMar>
        </w:tblPrEx>
        <w:trPr>
          <w:trHeight w:val="375" w:hRule="atLeast"/>
        </w:trPr>
        <w:tc>
          <w:tcPr>
            <w:tcW w:w="458" w:type="dxa"/>
            <w:tcBorders>
              <w:top w:val="nil"/>
              <w:left w:val="nil"/>
              <w:bottom w:val="nil"/>
              <w:right w:val="nil"/>
            </w:tcBorders>
            <w:shd w:val="clear" w:color="auto" w:fill="auto"/>
            <w:vAlign w:val="center"/>
          </w:tcPr>
          <w:p>
            <w:pPr>
              <w:spacing w:line="240" w:lineRule="auto"/>
              <w:jc w:val="center"/>
              <w:rPr>
                <w:rFonts w:ascii="宋体" w:hAnsi="宋体" w:cs="宋体"/>
                <w:kern w:val="0"/>
                <w:sz w:val="24"/>
              </w:rPr>
            </w:pPr>
          </w:p>
        </w:tc>
        <w:tc>
          <w:tcPr>
            <w:tcW w:w="456" w:type="dxa"/>
            <w:tcBorders>
              <w:top w:val="nil"/>
              <w:left w:val="nil"/>
              <w:bottom w:val="nil"/>
              <w:right w:val="nil"/>
            </w:tcBorders>
            <w:shd w:val="clear" w:color="auto" w:fill="auto"/>
            <w:vAlign w:val="center"/>
          </w:tcPr>
          <w:p>
            <w:pPr>
              <w:spacing w:line="240" w:lineRule="auto"/>
              <w:jc w:val="center"/>
              <w:rPr>
                <w:rFonts w:eastAsia="Times New Roman"/>
                <w:kern w:val="0"/>
                <w:sz w:val="20"/>
                <w:szCs w:val="20"/>
              </w:rPr>
            </w:pPr>
          </w:p>
        </w:tc>
        <w:tc>
          <w:tcPr>
            <w:tcW w:w="4837" w:type="dxa"/>
            <w:gridSpan w:val="4"/>
            <w:tcBorders>
              <w:top w:val="nil"/>
              <w:left w:val="nil"/>
              <w:bottom w:val="nil"/>
              <w:right w:val="nil"/>
            </w:tcBorders>
            <w:shd w:val="clear" w:color="auto" w:fill="auto"/>
            <w:noWrap/>
            <w:vAlign w:val="center"/>
          </w:tcPr>
          <w:p>
            <w:pPr>
              <w:spacing w:line="240" w:lineRule="auto"/>
              <w:rPr>
                <w:rFonts w:ascii="宋体" w:hAnsi="宋体" w:cs="宋体"/>
                <w:kern w:val="0"/>
                <w:sz w:val="24"/>
              </w:rPr>
            </w:pPr>
            <w:r>
              <w:rPr>
                <w:rFonts w:hint="eastAsia" w:ascii="宋体" w:hAnsi="宋体" w:cs="宋体"/>
                <w:kern w:val="0"/>
                <w:sz w:val="24"/>
              </w:rPr>
              <w:t>注：隐蔽工程根据实际情况加帐另计</w:t>
            </w:r>
          </w:p>
        </w:tc>
        <w:tc>
          <w:tcPr>
            <w:tcW w:w="2396" w:type="dxa"/>
            <w:gridSpan w:val="2"/>
            <w:tcBorders>
              <w:top w:val="nil"/>
              <w:left w:val="nil"/>
              <w:bottom w:val="nil"/>
              <w:right w:val="nil"/>
            </w:tcBorders>
            <w:shd w:val="clear" w:color="auto" w:fill="auto"/>
            <w:vAlign w:val="center"/>
          </w:tcPr>
          <w:p>
            <w:pPr>
              <w:spacing w:line="240" w:lineRule="auto"/>
              <w:rPr>
                <w:rFonts w:ascii="宋体" w:hAnsi="宋体" w:cs="宋体"/>
                <w:kern w:val="0"/>
                <w:sz w:val="24"/>
              </w:rPr>
            </w:pPr>
          </w:p>
        </w:tc>
        <w:tc>
          <w:tcPr>
            <w:tcW w:w="925" w:type="dxa"/>
            <w:tcBorders>
              <w:top w:val="nil"/>
              <w:left w:val="nil"/>
              <w:bottom w:val="nil"/>
              <w:right w:val="nil"/>
            </w:tcBorders>
            <w:shd w:val="clear" w:color="auto" w:fill="auto"/>
            <w:vAlign w:val="center"/>
          </w:tcPr>
          <w:p>
            <w:pPr>
              <w:spacing w:line="240" w:lineRule="auto"/>
              <w:jc w:val="center"/>
              <w:rPr>
                <w:rFonts w:eastAsia="Times New Roman"/>
                <w:kern w:val="0"/>
                <w:sz w:val="20"/>
                <w:szCs w:val="20"/>
              </w:rPr>
            </w:pPr>
          </w:p>
        </w:tc>
        <w:tc>
          <w:tcPr>
            <w:tcW w:w="236" w:type="dxa"/>
            <w:vAlign w:val="center"/>
          </w:tcPr>
          <w:p>
            <w:pPr>
              <w:spacing w:line="240" w:lineRule="auto"/>
              <w:rPr>
                <w:rFonts w:eastAsia="Times New Roman"/>
                <w:kern w:val="0"/>
                <w:sz w:val="20"/>
                <w:szCs w:val="20"/>
              </w:rPr>
            </w:pPr>
          </w:p>
        </w:tc>
      </w:tr>
    </w:tbl>
    <w:p>
      <w:pPr>
        <w:adjustRightInd w:val="0"/>
        <w:snapToGrid w:val="0"/>
        <w:spacing w:line="312" w:lineRule="auto"/>
        <w:rPr>
          <w:rFonts w:ascii="宋体" w:hAnsi="宋体"/>
          <w:sz w:val="24"/>
        </w:rPr>
      </w:pPr>
    </w:p>
    <w:p>
      <w:pPr>
        <w:adjustRightInd w:val="0"/>
        <w:snapToGrid w:val="0"/>
        <w:spacing w:line="312" w:lineRule="auto"/>
        <w:rPr>
          <w:rFonts w:ascii="宋体" w:hAnsi="宋体"/>
          <w:sz w:val="24"/>
        </w:rPr>
      </w:pPr>
      <w:r>
        <w:rPr>
          <w:rFonts w:hint="eastAsia" w:ascii="宋体" w:hAnsi="宋体"/>
          <w:sz w:val="24"/>
        </w:rPr>
        <w:t>（四</w:t>
      </w:r>
      <w:r>
        <w:rPr>
          <w:rFonts w:ascii="宋体" w:hAnsi="宋体"/>
          <w:sz w:val="24"/>
        </w:rPr>
        <w:t>）</w:t>
      </w:r>
      <w:r>
        <w:rPr>
          <w:rFonts w:hint="eastAsia" w:ascii="宋体" w:hAnsi="宋体"/>
          <w:sz w:val="24"/>
        </w:rPr>
        <w:t>服务要求、质量和标准：按国家标准和行业标准并通过</w:t>
      </w:r>
      <w:r>
        <w:rPr>
          <w:rFonts w:ascii="宋体" w:hAnsi="宋体"/>
          <w:sz w:val="24"/>
        </w:rPr>
        <w:t>CCS</w:t>
      </w:r>
      <w:r>
        <w:rPr>
          <w:rFonts w:hint="eastAsia" w:ascii="宋体" w:hAnsi="宋体"/>
          <w:sz w:val="24"/>
        </w:rPr>
        <w:t>武汉船级社的特别检验。</w:t>
      </w:r>
    </w:p>
    <w:p>
      <w:pPr>
        <w:spacing w:line="480" w:lineRule="exact"/>
        <w:rPr>
          <w:rFonts w:ascii="宋体" w:hAnsi="宋体"/>
          <w:sz w:val="24"/>
        </w:rPr>
      </w:pPr>
      <w:r>
        <w:rPr>
          <w:rFonts w:hint="eastAsia" w:ascii="宋体" w:hAnsi="宋体"/>
          <w:sz w:val="24"/>
        </w:rPr>
        <w:t>（五</w:t>
      </w:r>
      <w:r>
        <w:rPr>
          <w:rFonts w:ascii="宋体" w:hAnsi="宋体"/>
          <w:sz w:val="24"/>
        </w:rPr>
        <w:t>）</w:t>
      </w:r>
      <w:r>
        <w:rPr>
          <w:rFonts w:hint="eastAsia" w:ascii="宋体" w:hAnsi="宋体"/>
          <w:sz w:val="24"/>
        </w:rPr>
        <w:t>工期及验收</w:t>
      </w:r>
      <w:r>
        <w:rPr>
          <w:rFonts w:ascii="宋体" w:hAnsi="宋体"/>
          <w:sz w:val="24"/>
        </w:rPr>
        <w:t xml:space="preserve"> </w:t>
      </w:r>
      <w:r>
        <w:rPr>
          <w:rFonts w:hint="eastAsia" w:ascii="宋体" w:hAnsi="宋体"/>
          <w:sz w:val="24"/>
        </w:rPr>
        <w:t>：维修工期</w:t>
      </w:r>
      <w:r>
        <w:rPr>
          <w:rFonts w:ascii="宋体" w:hAnsi="宋体"/>
          <w:sz w:val="24"/>
        </w:rPr>
        <w:t>20</w:t>
      </w:r>
      <w:r>
        <w:rPr>
          <w:rFonts w:hint="eastAsia" w:ascii="宋体" w:hAnsi="宋体"/>
          <w:sz w:val="24"/>
        </w:rPr>
        <w:t>天，承修方每个子项目完工后需进行检查验收；整个维修工程完工后需进行系泊试验和航行试验验收并出具合格证书。最终检验须通过CC武汉船级社船舶特检；自通过CCS船级社验收合格之日起，进入维修设备质保期，质保期6个月。</w:t>
      </w:r>
    </w:p>
    <w:p>
      <w:pPr>
        <w:adjustRightInd w:val="0"/>
        <w:snapToGrid w:val="0"/>
        <w:spacing w:line="312" w:lineRule="auto"/>
        <w:rPr>
          <w:rFonts w:ascii="宋体" w:hAnsi="宋体"/>
          <w:sz w:val="24"/>
        </w:rPr>
      </w:pPr>
      <w:r>
        <w:rPr>
          <w:rFonts w:hint="eastAsia" w:ascii="宋体" w:hAnsi="宋体"/>
          <w:sz w:val="24"/>
        </w:rPr>
        <w:t>（六</w:t>
      </w:r>
      <w:r>
        <w:rPr>
          <w:rFonts w:ascii="宋体" w:hAnsi="宋体"/>
          <w:sz w:val="24"/>
        </w:rPr>
        <w:t>）适用法规政策目录</w:t>
      </w:r>
    </w:p>
    <w:p>
      <w:pPr>
        <w:adjustRightInd w:val="0"/>
        <w:snapToGrid w:val="0"/>
        <w:spacing w:line="312" w:lineRule="auto"/>
        <w:rPr>
          <w:rFonts w:ascii="宋体" w:hAnsi="宋体"/>
          <w:sz w:val="24"/>
        </w:rPr>
      </w:pPr>
      <w:r>
        <w:rPr>
          <w:rFonts w:hint="eastAsia" w:ascii="宋体" w:hAnsi="宋体"/>
          <w:sz w:val="24"/>
        </w:rPr>
        <w:t>（七</w:t>
      </w:r>
      <w:r>
        <w:rPr>
          <w:rFonts w:ascii="宋体" w:hAnsi="宋体"/>
          <w:sz w:val="24"/>
        </w:rPr>
        <w:t>）</w:t>
      </w:r>
      <w:r>
        <w:rPr>
          <w:rFonts w:hint="eastAsia" w:ascii="宋体" w:hAnsi="宋体"/>
          <w:sz w:val="24"/>
        </w:rPr>
        <w:t>其它需要说明的事项</w:t>
      </w:r>
    </w:p>
    <w:p>
      <w:pPr>
        <w:spacing w:line="312" w:lineRule="auto"/>
        <w:jc w:val="center"/>
        <w:outlineLvl w:val="0"/>
        <w:rPr>
          <w:rFonts w:ascii="黑体" w:hAnsi="黑体" w:eastAsia="黑体" w:cs="仿宋"/>
          <w:b/>
          <w:color w:val="000000"/>
          <w:sz w:val="36"/>
          <w:szCs w:val="36"/>
        </w:rPr>
      </w:pPr>
      <w:r>
        <w:rPr>
          <w:rFonts w:ascii="仿宋" w:hAnsi="仿宋" w:eastAsia="仿宋" w:cs="仿宋"/>
          <w:sz w:val="30"/>
          <w:szCs w:val="30"/>
        </w:rPr>
        <w:br w:type="page"/>
      </w:r>
      <w:bookmarkStart w:id="22" w:name="_Toc13448"/>
      <w:r>
        <w:rPr>
          <w:rFonts w:hint="eastAsia" w:ascii="黑体" w:hAnsi="黑体" w:eastAsia="黑体" w:cs="仿宋"/>
          <w:b/>
          <w:color w:val="000000"/>
          <w:sz w:val="36"/>
          <w:szCs w:val="36"/>
        </w:rPr>
        <w:t>第六章  响应文件格式</w:t>
      </w:r>
      <w:bookmarkEnd w:id="22"/>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spacing w:line="240" w:lineRule="auto"/>
        <w:jc w:val="center"/>
        <w:outlineLvl w:val="0"/>
        <w:rPr>
          <w:rFonts w:eastAsia="方正小标宋_GBK"/>
          <w:b/>
          <w:bCs/>
          <w:sz w:val="40"/>
          <w:szCs w:val="36"/>
        </w:rPr>
      </w:pPr>
      <w:r>
        <w:rPr>
          <w:rFonts w:hint="eastAsia" w:eastAsia="方正小标宋_GBK"/>
          <w:bCs/>
          <w:sz w:val="48"/>
          <w:szCs w:val="44"/>
          <w:u w:val="single"/>
        </w:rPr>
        <w:t xml:space="preserve">    </w:t>
      </w:r>
      <w:bookmarkStart w:id="23" w:name="_Toc29712"/>
      <w:r>
        <w:rPr>
          <w:rFonts w:hint="eastAsia" w:eastAsia="方正小标宋_GBK"/>
          <w:b/>
          <w:bCs/>
          <w:sz w:val="40"/>
          <w:szCs w:val="36"/>
          <w:u w:val="single"/>
        </w:rPr>
        <w:t>城港拖5</w:t>
      </w:r>
      <w:r>
        <w:rPr>
          <w:rFonts w:eastAsia="方正小标宋_GBK"/>
          <w:b/>
          <w:bCs/>
          <w:sz w:val="40"/>
          <w:szCs w:val="36"/>
          <w:u w:val="single"/>
        </w:rPr>
        <w:t>03</w:t>
      </w:r>
      <w:r>
        <w:rPr>
          <w:rFonts w:hint="eastAsia" w:eastAsia="方正小标宋_GBK"/>
          <w:b/>
          <w:bCs/>
          <w:sz w:val="40"/>
          <w:szCs w:val="36"/>
          <w:u w:val="single"/>
        </w:rPr>
        <w:t xml:space="preserve">轮特检坞修项目 </w:t>
      </w:r>
      <w:r>
        <w:rPr>
          <w:rFonts w:eastAsia="方正小标宋_GBK"/>
          <w:bCs/>
          <w:sz w:val="48"/>
          <w:szCs w:val="44"/>
          <w:u w:val="single"/>
        </w:rPr>
        <w:t xml:space="preserve">   </w:t>
      </w:r>
      <w:r>
        <w:rPr>
          <w:rFonts w:hint="eastAsia" w:eastAsia="方正小标宋_GBK"/>
          <w:b/>
          <w:bCs/>
          <w:sz w:val="40"/>
          <w:szCs w:val="36"/>
        </w:rPr>
        <w:t>项目</w:t>
      </w:r>
      <w:bookmarkEnd w:id="23"/>
    </w:p>
    <w:p>
      <w:pPr>
        <w:widowControl w:val="0"/>
        <w:spacing w:before="240" w:beforeLines="100" w:after="240" w:afterLines="100" w:line="240" w:lineRule="auto"/>
        <w:jc w:val="center"/>
        <w:outlineLvl w:val="0"/>
        <w:rPr>
          <w:rFonts w:eastAsia="楷体_GB2312"/>
          <w:b/>
          <w:bCs/>
          <w:sz w:val="28"/>
          <w:szCs w:val="28"/>
        </w:rPr>
      </w:pPr>
      <w:bookmarkStart w:id="24" w:name="_Toc9660"/>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bookmarkEnd w:id="24"/>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outlineLvl w:val="0"/>
        <w:rPr>
          <w:rFonts w:eastAsia="方正小标宋_GBK"/>
          <w:b/>
          <w:bCs/>
          <w:spacing w:val="160"/>
          <w:sz w:val="72"/>
          <w:szCs w:val="72"/>
        </w:rPr>
      </w:pPr>
      <w:bookmarkStart w:id="25" w:name="_Toc19102"/>
      <w:r>
        <w:rPr>
          <w:rFonts w:hint="eastAsia" w:eastAsia="方正小标宋_GBK"/>
          <w:b/>
          <w:bCs/>
          <w:spacing w:val="160"/>
          <w:sz w:val="72"/>
          <w:szCs w:val="72"/>
        </w:rPr>
        <w:t>响应</w:t>
      </w:r>
      <w:r>
        <w:rPr>
          <w:rFonts w:eastAsia="方正小标宋_GBK"/>
          <w:b/>
          <w:bCs/>
          <w:spacing w:val="160"/>
          <w:sz w:val="72"/>
          <w:szCs w:val="72"/>
        </w:rPr>
        <w:t>文件</w:t>
      </w:r>
      <w:bookmarkEnd w:id="25"/>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outlineLvl w:val="0"/>
        <w:rPr>
          <w:rFonts w:eastAsia="黑体"/>
          <w:bCs/>
          <w:sz w:val="30"/>
          <w:szCs w:val="30"/>
        </w:rPr>
      </w:pPr>
      <w:bookmarkStart w:id="26" w:name="_Toc20019"/>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全称并盖单位公章</w:t>
      </w:r>
      <w:bookmarkEnd w:id="26"/>
      <w:r>
        <w:rPr>
          <w:rFonts w:eastAsia="黑体"/>
          <w:bCs/>
          <w:sz w:val="30"/>
          <w:szCs w:val="30"/>
          <w:u w:val="single"/>
        </w:rPr>
        <w:t xml:space="preserve"> </w:t>
      </w:r>
    </w:p>
    <w:p>
      <w:pPr>
        <w:spacing w:line="900" w:lineRule="exact"/>
        <w:jc w:val="center"/>
        <w:outlineLvl w:val="0"/>
        <w:rPr>
          <w:rFonts w:eastAsia="黑体"/>
          <w:sz w:val="30"/>
          <w:szCs w:val="30"/>
        </w:rPr>
      </w:pPr>
      <w:bookmarkStart w:id="27" w:name="_Toc19702"/>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bookmarkEnd w:id="27"/>
    </w:p>
    <w:p>
      <w:pPr>
        <w:adjustRightInd w:val="0"/>
        <w:snapToGrid w:val="0"/>
        <w:spacing w:line="600" w:lineRule="exact"/>
        <w:jc w:val="center"/>
        <w:outlineLvl w:val="0"/>
        <w:rPr>
          <w:rFonts w:ascii="黑体" w:hAnsi="黑体" w:eastAsia="黑体" w:cs="仿宋"/>
          <w:sz w:val="36"/>
          <w:szCs w:val="36"/>
        </w:rPr>
      </w:pPr>
      <w:bookmarkStart w:id="28" w:name="_Toc21402"/>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28"/>
    </w:p>
    <w:p>
      <w:pPr>
        <w:adjustRightInd w:val="0"/>
        <w:snapToGrid w:val="0"/>
        <w:spacing w:line="600" w:lineRule="exact"/>
        <w:jc w:val="both"/>
        <w:rPr>
          <w:rFonts w:ascii="宋体" w:hAnsi="宋体" w:cs="仿宋"/>
          <w:sz w:val="36"/>
          <w:szCs w:val="36"/>
        </w:rPr>
      </w:pPr>
    </w:p>
    <w:p>
      <w:pPr>
        <w:adjustRightInd w:val="0"/>
        <w:snapToGrid w:val="0"/>
        <w:spacing w:line="600" w:lineRule="exact"/>
        <w:jc w:val="both"/>
        <w:outlineLvl w:val="0"/>
        <w:rPr>
          <w:rFonts w:ascii="宋体" w:hAnsi="宋体" w:cs="仿宋"/>
          <w:sz w:val="24"/>
        </w:rPr>
      </w:pPr>
      <w:bookmarkStart w:id="29" w:name="_Toc6294"/>
      <w:r>
        <w:rPr>
          <w:rFonts w:hint="eastAsia" w:ascii="宋体" w:hAnsi="宋体" w:cs="仿宋"/>
          <w:sz w:val="24"/>
        </w:rPr>
        <w:t>一、响应函</w:t>
      </w:r>
      <w:r>
        <w:rPr>
          <w:rFonts w:hint="eastAsia" w:ascii="宋体" w:hAnsi="宋体" w:cs="仿宋"/>
          <w:sz w:val="24"/>
        </w:rPr>
        <w:br w:type="textWrapping"/>
      </w:r>
      <w:r>
        <w:rPr>
          <w:rFonts w:hint="eastAsia" w:ascii="宋体" w:hAnsi="宋体" w:cs="仿宋"/>
          <w:sz w:val="24"/>
        </w:rPr>
        <w:t>二、授权委托书(适用于有委托代理人的情况)</w:t>
      </w:r>
      <w:r>
        <w:rPr>
          <w:rFonts w:hint="eastAsia" w:ascii="宋体" w:hAnsi="宋体" w:cs="仿宋"/>
          <w:sz w:val="24"/>
        </w:rPr>
        <w:br w:type="textWrapping"/>
      </w:r>
      <w:r>
        <w:rPr>
          <w:rFonts w:hint="eastAsia" w:ascii="宋体" w:hAnsi="宋体" w:cs="仿宋"/>
          <w:sz w:val="24"/>
        </w:rPr>
        <w:t>三、商务和技术偏差表</w:t>
      </w:r>
      <w:bookmarkEnd w:id="29"/>
    </w:p>
    <w:p>
      <w:pPr>
        <w:adjustRightInd w:val="0"/>
        <w:snapToGrid w:val="0"/>
        <w:spacing w:line="600" w:lineRule="exact"/>
        <w:jc w:val="both"/>
        <w:outlineLvl w:val="0"/>
        <w:rPr>
          <w:rFonts w:ascii="宋体" w:hAnsi="宋体" w:cs="仿宋"/>
          <w:sz w:val="24"/>
        </w:rPr>
      </w:pPr>
      <w:bookmarkStart w:id="30" w:name="_Toc22998"/>
      <w:r>
        <w:rPr>
          <w:rFonts w:hint="eastAsia" w:ascii="宋体" w:hAnsi="宋体" w:cs="仿宋"/>
          <w:sz w:val="24"/>
        </w:rPr>
        <w:t>四、报价表</w:t>
      </w:r>
      <w:r>
        <w:rPr>
          <w:rFonts w:hint="eastAsia" w:ascii="宋体" w:hAnsi="宋体" w:cs="仿宋"/>
          <w:sz w:val="24"/>
        </w:rPr>
        <w:br w:type="textWrapping"/>
      </w:r>
      <w:r>
        <w:rPr>
          <w:rFonts w:hint="eastAsia" w:ascii="宋体" w:hAnsi="宋体" w:cs="仿宋"/>
          <w:sz w:val="24"/>
        </w:rPr>
        <w:t>五、资格审查资料</w:t>
      </w:r>
      <w:bookmarkEnd w:id="30"/>
    </w:p>
    <w:p>
      <w:pPr>
        <w:adjustRightInd w:val="0"/>
        <w:snapToGrid w:val="0"/>
        <w:spacing w:line="600" w:lineRule="exact"/>
        <w:jc w:val="both"/>
        <w:outlineLvl w:val="0"/>
        <w:rPr>
          <w:rFonts w:ascii="宋体" w:hAnsi="宋体" w:cs="仿宋"/>
          <w:sz w:val="24"/>
        </w:rPr>
      </w:pPr>
      <w:bookmarkStart w:id="31" w:name="_Toc21680"/>
      <w:r>
        <w:rPr>
          <w:rFonts w:hint="eastAsia" w:ascii="宋体" w:hAnsi="宋体" w:cs="仿宋"/>
          <w:sz w:val="24"/>
        </w:rPr>
        <w:t>六、响应方案</w:t>
      </w:r>
      <w:bookmarkEnd w:id="31"/>
    </w:p>
    <w:p>
      <w:pPr>
        <w:adjustRightInd w:val="0"/>
        <w:snapToGrid w:val="0"/>
        <w:spacing w:line="600" w:lineRule="exact"/>
        <w:jc w:val="both"/>
        <w:outlineLvl w:val="0"/>
        <w:rPr>
          <w:rFonts w:ascii="宋体" w:hAnsi="宋体" w:cs="仿宋"/>
          <w:sz w:val="24"/>
        </w:rPr>
      </w:pPr>
      <w:bookmarkStart w:id="32" w:name="_Toc6851"/>
      <w:r>
        <w:rPr>
          <w:rFonts w:hint="eastAsia" w:ascii="宋体" w:hAnsi="宋体" w:cs="仿宋"/>
          <w:sz w:val="24"/>
        </w:rPr>
        <w:t>七、其他资料</w:t>
      </w:r>
      <w:bookmarkEnd w:id="32"/>
    </w:p>
    <w:p>
      <w:pPr>
        <w:spacing w:line="600" w:lineRule="exact"/>
        <w:jc w:val="both"/>
        <w:rPr>
          <w:rFonts w:ascii="仿宋" w:hAnsi="仿宋" w:eastAsia="仿宋" w:cs="仿宋"/>
          <w:sz w:val="30"/>
          <w:szCs w:val="30"/>
        </w:rPr>
      </w:pP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2"/>
        </w:numPr>
        <w:adjustRightInd w:val="0"/>
        <w:snapToGrid w:val="0"/>
        <w:spacing w:line="600" w:lineRule="exact"/>
        <w:jc w:val="center"/>
        <w:outlineLvl w:val="0"/>
        <w:rPr>
          <w:rFonts w:ascii="黑体" w:hAnsi="黑体" w:eastAsia="黑体" w:cs="仿宋"/>
          <w:sz w:val="36"/>
          <w:szCs w:val="36"/>
        </w:rPr>
      </w:pPr>
      <w:bookmarkStart w:id="33" w:name="_Toc3411"/>
      <w:r>
        <w:rPr>
          <w:rFonts w:hint="eastAsia" w:ascii="黑体" w:hAnsi="黑体" w:eastAsia="黑体" w:cs="仿宋"/>
          <w:sz w:val="36"/>
          <w:szCs w:val="36"/>
        </w:rPr>
        <w:t>响应函</w:t>
      </w:r>
      <w:bookmarkEnd w:id="33"/>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 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 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 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 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3"/>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3"/>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0"/>
        <w:rPr>
          <w:rFonts w:ascii="黑体" w:hAnsi="黑体" w:eastAsia="黑体" w:cs="仿宋"/>
          <w:sz w:val="36"/>
          <w:szCs w:val="36"/>
        </w:rPr>
      </w:pPr>
      <w:r>
        <w:rPr>
          <w:rFonts w:hint="eastAsia" w:cs="仿宋" w:asciiTheme="minorEastAsia" w:hAnsiTheme="minorEastAsia" w:eastAsiaTheme="minorEastAsia"/>
          <w:sz w:val="24"/>
        </w:rPr>
        <w:br w:type="page"/>
      </w:r>
      <w:bookmarkStart w:id="34" w:name="_Toc27960"/>
      <w:r>
        <w:rPr>
          <w:rFonts w:hint="eastAsia" w:ascii="黑体" w:hAnsi="黑体" w:eastAsia="黑体" w:cs="仿宋"/>
          <w:sz w:val="36"/>
          <w:szCs w:val="36"/>
        </w:rPr>
        <w:t>二、授权委托书</w:t>
      </w:r>
      <w:bookmarkEnd w:id="34"/>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35" w:name="_Toc21753"/>
      <w:r>
        <w:rPr>
          <w:rFonts w:hint="eastAsia" w:ascii="黑体" w:hAnsi="黑体" w:eastAsia="黑体" w:cs="仿宋"/>
          <w:sz w:val="36"/>
          <w:szCs w:val="36"/>
        </w:rPr>
        <w:t>三、商务和技术偏差表</w:t>
      </w:r>
      <w:bookmarkEnd w:id="35"/>
    </w:p>
    <w:p>
      <w:pPr>
        <w:spacing w:line="600" w:lineRule="exact"/>
        <w:jc w:val="center"/>
        <w:rPr>
          <w:rFonts w:cs="仿宋" w:asciiTheme="minorEastAsia" w:hAnsiTheme="minorEastAsia" w:eastAsiaTheme="minorEastAsia"/>
          <w:sz w:val="24"/>
        </w:rPr>
      </w:pP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ind w:left="420"/>
        <w:jc w:val="center"/>
        <w:outlineLvl w:val="0"/>
        <w:rPr>
          <w:rFonts w:ascii="黑体" w:hAnsi="黑体" w:eastAsia="黑体" w:cs="仿宋"/>
          <w:sz w:val="36"/>
          <w:szCs w:val="36"/>
        </w:rPr>
      </w:pPr>
      <w:bookmarkStart w:id="36" w:name="_Toc15578"/>
      <w:r>
        <w:rPr>
          <w:rFonts w:hint="eastAsia" w:ascii="黑体" w:hAnsi="黑体" w:eastAsia="黑体" w:cs="仿宋"/>
          <w:sz w:val="36"/>
          <w:szCs w:val="36"/>
        </w:rPr>
        <w:t>四、报价表（C）</w:t>
      </w:r>
      <w:bookmarkEnd w:id="36"/>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2.报价表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95"/>
        <w:gridCol w:w="627"/>
        <w:gridCol w:w="961"/>
        <w:gridCol w:w="627"/>
        <w:gridCol w:w="850"/>
        <w:gridCol w:w="1706"/>
        <w:gridCol w:w="961"/>
        <w:gridCol w:w="627"/>
        <w:gridCol w:w="850"/>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295"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服务费用分项名称</w:t>
            </w:r>
          </w:p>
        </w:tc>
        <w:tc>
          <w:tcPr>
            <w:tcW w:w="627"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数量 </w:t>
            </w:r>
          </w:p>
        </w:tc>
        <w:tc>
          <w:tcPr>
            <w:tcW w:w="2438" w:type="dxa"/>
            <w:gridSpan w:val="3"/>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单价</w:t>
            </w:r>
          </w:p>
        </w:tc>
        <w:tc>
          <w:tcPr>
            <w:tcW w:w="1706" w:type="dxa"/>
            <w:vMerge w:val="restart"/>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计算依据、过程和公式</w:t>
            </w:r>
          </w:p>
        </w:tc>
        <w:tc>
          <w:tcPr>
            <w:tcW w:w="2438" w:type="dxa"/>
            <w:gridSpan w:val="3"/>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总价</w:t>
            </w:r>
          </w:p>
        </w:tc>
        <w:tc>
          <w:tcPr>
            <w:tcW w:w="627" w:type="dxa"/>
            <w:vMerge w:val="restart"/>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Pr>
          <w:p>
            <w:pPr>
              <w:widowControl/>
              <w:spacing w:line="312" w:lineRule="auto"/>
              <w:jc w:val="both"/>
              <w:rPr>
                <w:rFonts w:cs="仿宋" w:asciiTheme="minorEastAsia" w:hAnsiTheme="minorEastAsia" w:eastAsiaTheme="minorEastAsia"/>
                <w:sz w:val="24"/>
              </w:rPr>
            </w:pPr>
          </w:p>
        </w:tc>
        <w:tc>
          <w:tcPr>
            <w:tcW w:w="1295" w:type="dxa"/>
            <w:vMerge w:val="continue"/>
          </w:tcPr>
          <w:p>
            <w:pPr>
              <w:widowControl/>
              <w:spacing w:line="312" w:lineRule="auto"/>
              <w:jc w:val="both"/>
              <w:rPr>
                <w:rFonts w:cs="仿宋" w:asciiTheme="minorEastAsia" w:hAnsiTheme="minorEastAsia" w:eastAsiaTheme="minorEastAsia"/>
                <w:sz w:val="24"/>
              </w:rPr>
            </w:pPr>
          </w:p>
        </w:tc>
        <w:tc>
          <w:tcPr>
            <w:tcW w:w="627" w:type="dxa"/>
            <w:vMerge w:val="continue"/>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1706" w:type="dxa"/>
            <w:vMerge w:val="continue"/>
          </w:tcPr>
          <w:p>
            <w:pPr>
              <w:widowControl/>
              <w:spacing w:line="312" w:lineRule="auto"/>
              <w:jc w:val="center"/>
              <w:rPr>
                <w:rFonts w:cs="仿宋" w:asciiTheme="minorEastAsia" w:hAnsiTheme="minorEastAsia" w:eastAsiaTheme="minorEastAsia"/>
                <w:sz w:val="24"/>
              </w:rPr>
            </w:pPr>
          </w:p>
        </w:tc>
        <w:tc>
          <w:tcPr>
            <w:tcW w:w="961"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不含税金额</w:t>
            </w:r>
          </w:p>
        </w:tc>
        <w:tc>
          <w:tcPr>
            <w:tcW w:w="627"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税额</w:t>
            </w:r>
          </w:p>
        </w:tc>
        <w:tc>
          <w:tcPr>
            <w:tcW w:w="850" w:type="dxa"/>
          </w:tcPr>
          <w:p>
            <w:pPr>
              <w:widowControl/>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价税合计</w:t>
            </w:r>
          </w:p>
        </w:tc>
        <w:tc>
          <w:tcPr>
            <w:tcW w:w="627" w:type="dxa"/>
            <w:vMerge w:val="continue"/>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1295"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850" w:type="dxa"/>
          </w:tcPr>
          <w:p>
            <w:pPr>
              <w:widowControl/>
              <w:spacing w:line="312" w:lineRule="auto"/>
              <w:jc w:val="both"/>
              <w:rPr>
                <w:rFonts w:cs="仿宋" w:asciiTheme="minorEastAsia" w:hAnsiTheme="minorEastAsia" w:eastAsiaTheme="minorEastAsia"/>
                <w:sz w:val="24"/>
              </w:rPr>
            </w:pPr>
          </w:p>
        </w:tc>
        <w:tc>
          <w:tcPr>
            <w:tcW w:w="1706" w:type="dxa"/>
          </w:tcPr>
          <w:p>
            <w:pPr>
              <w:widowControl/>
              <w:spacing w:line="312" w:lineRule="auto"/>
              <w:jc w:val="both"/>
              <w:rPr>
                <w:rFonts w:cs="仿宋" w:asciiTheme="minorEastAsia" w:hAnsiTheme="minorEastAsia" w:eastAsiaTheme="minorEastAsia"/>
                <w:sz w:val="24"/>
              </w:rPr>
            </w:pPr>
          </w:p>
        </w:tc>
        <w:tc>
          <w:tcPr>
            <w:tcW w:w="961"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c>
          <w:tcPr>
            <w:tcW w:w="850" w:type="dxa"/>
          </w:tcPr>
          <w:p>
            <w:pPr>
              <w:widowControl/>
              <w:spacing w:line="312" w:lineRule="auto"/>
              <w:jc w:val="both"/>
              <w:rPr>
                <w:rFonts w:cs="仿宋" w:asciiTheme="minorEastAsia" w:hAnsiTheme="minorEastAsia" w:eastAsiaTheme="minorEastAsia"/>
                <w:sz w:val="24"/>
              </w:rPr>
            </w:pPr>
          </w:p>
        </w:tc>
        <w:tc>
          <w:tcPr>
            <w:tcW w:w="627" w:type="dxa"/>
          </w:tcPr>
          <w:p>
            <w:pPr>
              <w:widowControl/>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1706"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1706"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1706"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w:t>
            </w:r>
          </w:p>
        </w:tc>
        <w:tc>
          <w:tcPr>
            <w:tcW w:w="1295"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1706"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83" w:type="dxa"/>
            <w:gridSpan w:val="6"/>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合计报价</w:t>
            </w:r>
          </w:p>
        </w:tc>
        <w:tc>
          <w:tcPr>
            <w:tcW w:w="1706" w:type="dxa"/>
          </w:tcPr>
          <w:p>
            <w:pPr>
              <w:widowControl/>
              <w:spacing w:line="600" w:lineRule="exact"/>
              <w:jc w:val="both"/>
              <w:rPr>
                <w:rFonts w:cs="仿宋" w:asciiTheme="minorEastAsia" w:hAnsiTheme="minorEastAsia" w:eastAsiaTheme="minorEastAsia"/>
                <w:sz w:val="24"/>
              </w:rPr>
            </w:pPr>
          </w:p>
        </w:tc>
        <w:tc>
          <w:tcPr>
            <w:tcW w:w="961"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c>
          <w:tcPr>
            <w:tcW w:w="850" w:type="dxa"/>
          </w:tcPr>
          <w:p>
            <w:pPr>
              <w:widowControl/>
              <w:spacing w:line="600" w:lineRule="exact"/>
              <w:jc w:val="both"/>
              <w:rPr>
                <w:rFonts w:cs="仿宋" w:asciiTheme="minorEastAsia" w:hAnsiTheme="minorEastAsia" w:eastAsiaTheme="minorEastAsia"/>
                <w:sz w:val="24"/>
              </w:rPr>
            </w:pPr>
          </w:p>
        </w:tc>
        <w:tc>
          <w:tcPr>
            <w:tcW w:w="627"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注：若分项费用的计算依据、过程和公式不便在表中表述，可单独另附表格或描述进行说明。</w:t>
      </w:r>
    </w:p>
    <w:p>
      <w:pPr>
        <w:spacing w:line="36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37" w:name="_Toc18300"/>
      <w:r>
        <w:rPr>
          <w:rFonts w:hint="eastAsia" w:ascii="黑体" w:hAnsi="黑体" w:eastAsia="黑体" w:cs="仿宋"/>
          <w:sz w:val="36"/>
          <w:szCs w:val="36"/>
        </w:rPr>
        <w:t>五、资格审查资料</w:t>
      </w:r>
      <w:bookmarkEnd w:id="37"/>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供应商应根据供应商须知前附表第3.5（1）项和第3.5（2）项的要求提供主体资格证明及相关资质证明资料（如有要求）。</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供应商还应根据供应商须知前地表第3.5（5）项、第3.5（7）项和第3.5（8）项的要求提供其他相关证明材料（如有要求）。</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供应商应根据供应商须知前附表第3.5（3）项的要求提供近年财务会计报表复印件（如有要求）。</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（四）拟委任的主要人员汇总表</w:t>
      </w:r>
    </w:p>
    <w:tbl>
      <w:tblPr>
        <w:tblStyle w:val="3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jc w:val="both"/>
        <w:rPr>
          <w:rFonts w:asciiTheme="minorEastAsia" w:hAnsiTheme="minorEastAsia" w:eastAsiaTheme="minorEastAsia"/>
          <w:sz w:val="24"/>
        </w:rPr>
      </w:pPr>
      <w:r>
        <w:rPr>
          <w:rFonts w:asciiTheme="minorEastAsia" w:hAnsiTheme="minorEastAsia" w:eastAsiaTheme="minorEastAsia"/>
          <w:sz w:val="24"/>
        </w:rPr>
        <w:br w:type="page"/>
      </w:r>
    </w:p>
    <w:p>
      <w:pPr>
        <w:pStyle w:val="2"/>
        <w:spacing w:before="0" w:after="0" w:line="380" w:lineRule="atLeast"/>
        <w:jc w:val="both"/>
        <w:rPr>
          <w:rFonts w:asciiTheme="minorEastAsia" w:hAnsiTheme="minorEastAsia" w:eastAsiaTheme="minorEastAsia"/>
          <w:b w:val="0"/>
          <w:sz w:val="24"/>
          <w:szCs w:val="24"/>
        </w:rPr>
      </w:pPr>
      <w:bookmarkStart w:id="38" w:name="_Toc16826"/>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bookmarkEnd w:id="38"/>
    </w:p>
    <w:p>
      <w:pPr>
        <w:autoSpaceDE w:val="0"/>
        <w:autoSpaceDN w:val="0"/>
        <w:spacing w:line="400" w:lineRule="atLeast"/>
        <w:jc w:val="both"/>
        <w:textAlignment w:val="bottom"/>
        <w:rPr>
          <w:rFonts w:asciiTheme="minorEastAsia" w:hAnsiTheme="minorEastAsia" w:eastAsiaTheme="minorEastAsia"/>
          <w:sz w:val="24"/>
        </w:rPr>
      </w:pPr>
    </w:p>
    <w:tbl>
      <w:tblPr>
        <w:tblStyle w:val="35"/>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382" w:type="dxa"/>
            <w:gridSpan w:val="4"/>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323" w:type="dxa"/>
            <w:gridSpan w:val="8"/>
            <w:vAlign w:val="center"/>
          </w:tcPr>
          <w:p>
            <w:pPr>
              <w:autoSpaceDE w:val="0"/>
              <w:autoSpaceDN w:val="0"/>
              <w:spacing w:before="60" w:beforeLines="25" w:after="60" w:afterLines="25" w:line="288" w:lineRule="auto"/>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79"/>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79"/>
              <w:adjustRightInd/>
              <w:snapToGrid/>
              <w:spacing w:before="60" w:beforeLines="25" w:after="60" w:afterLines="25" w:line="288" w:lineRule="auto"/>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288" w:lineRule="auto"/>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ascii="黑体" w:hAnsi="黑体" w:eastAsia="黑体" w:cs="仿宋"/>
          <w:sz w:val="36"/>
          <w:szCs w:val="36"/>
        </w:rPr>
      </w:pPr>
      <w:bookmarkStart w:id="39" w:name="_Toc8638"/>
      <w:r>
        <w:rPr>
          <w:rFonts w:hint="eastAsia" w:ascii="黑体" w:hAnsi="黑体" w:eastAsia="黑体" w:cs="仿宋"/>
          <w:sz w:val="36"/>
          <w:szCs w:val="36"/>
        </w:rPr>
        <w:t>六、响应方案</w:t>
      </w:r>
      <w:bookmarkEnd w:id="39"/>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firstLine="720" w:firstLineChars="30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(2)服务范围及内容;</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(3)服务工作的依据、工作目标;</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(4)服务机构设置(框图)、岗位职责;</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(5)拟投入本项目的服务人员及主要人员简历;</w:t>
      </w:r>
    </w:p>
    <w:p>
      <w:pPr>
        <w:adjustRightInd w:val="0"/>
        <w:snapToGrid w:val="0"/>
        <w:spacing w:line="600" w:lineRule="exact"/>
        <w:ind w:firstLine="720" w:firstLineChars="300"/>
        <w:jc w:val="both"/>
        <w:rPr>
          <w:rFonts w:cs="仿宋" w:asciiTheme="minorEastAsia" w:hAnsiTheme="minorEastAsia" w:eastAsiaTheme="minorEastAsia"/>
          <w:sz w:val="24"/>
        </w:rPr>
      </w:pPr>
      <w:r>
        <w:rPr>
          <w:rFonts w:hint="eastAsia" w:cs="仿宋" w:asciiTheme="minorEastAsia" w:hAnsiTheme="minorEastAsia" w:eastAsiaTheme="minorEastAsia"/>
          <w:sz w:val="24"/>
        </w:rPr>
        <w:t>(6)拟分包计划及情况说明（本项目不允许分包）;</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(7)服务质量、进度、保密等保证措施;</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(8)服务工作重点、难点分析;</w:t>
      </w:r>
    </w:p>
    <w:p>
      <w:pPr>
        <w:adjustRightInd w:val="0"/>
        <w:snapToGrid w:val="0"/>
        <w:spacing w:line="600" w:lineRule="exact"/>
        <w:ind w:firstLine="720" w:firstLineChars="300"/>
        <w:jc w:val="both"/>
        <w:rPr>
          <w:rFonts w:cs="仿宋" w:asciiTheme="minorEastAsia" w:hAnsiTheme="minorEastAsia" w:eastAsiaTheme="minorEastAsia"/>
          <w:sz w:val="24"/>
        </w:rPr>
      </w:pPr>
      <w:r>
        <w:rPr>
          <w:rFonts w:hint="eastAsia" w:cs="仿宋" w:asciiTheme="minorEastAsia" w:hAnsiTheme="minorEastAsia" w:eastAsiaTheme="minorEastAsia"/>
          <w:sz w:val="24"/>
        </w:rPr>
        <w:t>(9)对本项目的合理化建议。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ascii="黑体" w:hAnsi="黑体" w:eastAsia="黑体" w:cs="仿宋"/>
          <w:sz w:val="36"/>
          <w:szCs w:val="36"/>
        </w:rPr>
      </w:pPr>
      <w:bookmarkStart w:id="40" w:name="_Toc32229"/>
      <w:r>
        <w:rPr>
          <w:rFonts w:hint="eastAsia" w:ascii="黑体" w:hAnsi="黑体" w:eastAsia="黑体" w:cs="仿宋"/>
          <w:sz w:val="36"/>
          <w:szCs w:val="36"/>
        </w:rPr>
        <w:t>七、其他资料</w:t>
      </w:r>
      <w:bookmarkEnd w:id="40"/>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jc w:val="both"/>
        <w:rPr>
          <w:rFonts w:asciiTheme="minorEastAsia" w:hAnsiTheme="minorEastAsia" w:eastAsiaTheme="minorEastAsia"/>
          <w:sz w:val="24"/>
        </w:rPr>
      </w:pPr>
    </w:p>
    <w:sectPr>
      <w:footerReference r:id="rId7" w:type="default"/>
      <w:pgSz w:w="11906" w:h="16838"/>
      <w:pgMar w:top="1440" w:right="1080" w:bottom="1440" w:left="1080" w:header="851" w:footer="1344"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25" w:author="蔡艳" w:date="2022-02-18T16:38:00Z" w:initials="">
    <w:p w14:paraId="755719C1">
      <w:pPr>
        <w:pStyle w:val="10"/>
      </w:pPr>
    </w:p>
    <w:p w14:paraId="6BC73CC9">
      <w:pPr>
        <w:pStyle w:val="10"/>
      </w:pPr>
    </w:p>
  </w:comment>
  <w:comment w:id="0" w:author="蔡艳" w:date="" w:initials="">
    <w:p w14:paraId="741C5303">
      <w:pPr>
        <w:pStyle w:val="10"/>
      </w:pPr>
    </w:p>
  </w:comment>
  <w:comment w:id="1" w:author="蔡艳" w:date="2022-02-18T16:39:00Z" w:initials="">
    <w:p w14:paraId="63413217">
      <w:pPr>
        <w:pStyle w:val="10"/>
      </w:pPr>
    </w:p>
  </w:comment>
  <w:comment w:id="2" w:author="蔡艳" w:date="2022-02-18T16:39:00Z" w:initials="">
    <w:p w14:paraId="775261A2">
      <w:pPr>
        <w:pStyle w:val="10"/>
      </w:pPr>
    </w:p>
    <w:p w14:paraId="5050707A">
      <w:pPr>
        <w:pStyle w:val="10"/>
      </w:pPr>
    </w:p>
  </w:comment>
  <w:comment w:id="3" w:author="蔡艳" w:date="" w:initials="">
    <w:p w14:paraId="27762110">
      <w:pPr>
        <w:pStyle w:val="10"/>
      </w:pPr>
    </w:p>
  </w:comment>
  <w:comment w:id="4" w:author="蔡艳" w:date="2022-02-18T16:40:00Z" w:initials="">
    <w:p w14:paraId="02080E04">
      <w:pPr>
        <w:pStyle w:val="10"/>
      </w:pPr>
    </w:p>
  </w:comment>
  <w:comment w:id="5" w:author="蔡艳" w:date="2022-02-18T16:40:00Z" w:initials="">
    <w:p w14:paraId="43DB3020">
      <w:pPr>
        <w:pStyle w:val="10"/>
      </w:pPr>
    </w:p>
    <w:p w14:paraId="66EA3951">
      <w:pPr>
        <w:pStyle w:val="10"/>
      </w:pPr>
    </w:p>
  </w:comment>
  <w:comment w:id="6" w:author="蔡艳" w:date="" w:initials="">
    <w:p w14:paraId="08AB1460">
      <w:pPr>
        <w:pStyle w:val="10"/>
      </w:pPr>
    </w:p>
  </w:comment>
  <w:comment w:id="7" w:author="蔡艳" w:date="2022-02-18T16:40:00Z" w:initials="">
    <w:p w14:paraId="43081775">
      <w:pPr>
        <w:pStyle w:val="10"/>
      </w:pPr>
    </w:p>
  </w:comment>
  <w:comment w:id="8" w:author="蔡艳" w:date="2022-02-18T16:40:00Z" w:initials="">
    <w:p w14:paraId="362827A9">
      <w:pPr>
        <w:pStyle w:val="10"/>
      </w:pPr>
    </w:p>
    <w:p w14:paraId="116A3E33">
      <w:pPr>
        <w:pStyle w:val="10"/>
      </w:pPr>
    </w:p>
  </w:comment>
  <w:comment w:id="9" w:author="蔡艳" w:date="" w:initials="">
    <w:p w14:paraId="1D3803F4">
      <w:pPr>
        <w:pStyle w:val="10"/>
      </w:pPr>
    </w:p>
  </w:comment>
  <w:comment w:id="10" w:author="蔡艳" w:date="2022-02-18T16:40:00Z" w:initials="">
    <w:p w14:paraId="14AF1E70">
      <w:pPr>
        <w:pStyle w:val="10"/>
      </w:pPr>
    </w:p>
  </w:comment>
  <w:comment w:id="11" w:author="蔡艳" w:date="2022-02-18T16:40:00Z" w:initials="">
    <w:p w14:paraId="5521616F">
      <w:pPr>
        <w:pStyle w:val="10"/>
      </w:pPr>
    </w:p>
    <w:p w14:paraId="5AF772E6">
      <w:pPr>
        <w:pStyle w:val="10"/>
      </w:pPr>
    </w:p>
  </w:comment>
  <w:comment w:id="12" w:author="蔡艳" w:date="" w:initials="">
    <w:p w14:paraId="7E911AD1">
      <w:pPr>
        <w:pStyle w:val="10"/>
      </w:pPr>
    </w:p>
  </w:comment>
  <w:comment w:id="13" w:author="蔡艳" w:date="2022-02-18T16:40:00Z" w:initials="">
    <w:p w14:paraId="3901071D">
      <w:pPr>
        <w:pStyle w:val="10"/>
      </w:pPr>
    </w:p>
  </w:comment>
  <w:comment w:id="14" w:author="蔡艳" w:date="2022-02-18T16:40:00Z" w:initials="">
    <w:p w14:paraId="37E14BEA">
      <w:pPr>
        <w:pStyle w:val="10"/>
      </w:pPr>
    </w:p>
    <w:p w14:paraId="00916A97">
      <w:pPr>
        <w:pStyle w:val="10"/>
      </w:pPr>
    </w:p>
  </w:comment>
  <w:comment w:id="15" w:author="蔡艳" w:date="" w:initials="">
    <w:p w14:paraId="269A3E7E">
      <w:pPr>
        <w:pStyle w:val="10"/>
      </w:pPr>
    </w:p>
  </w:comment>
  <w:comment w:id="16" w:author="蔡艳" w:date="2022-02-18T16:40:00Z" w:initials="">
    <w:p w14:paraId="7615644B">
      <w:pPr>
        <w:pStyle w:val="10"/>
      </w:pPr>
    </w:p>
  </w:comment>
  <w:comment w:id="17" w:author="蔡艳" w:date="2022-02-18T16:40:00Z" w:initials="">
    <w:p w14:paraId="3A391953">
      <w:pPr>
        <w:pStyle w:val="10"/>
      </w:pPr>
    </w:p>
    <w:p w14:paraId="49873A56">
      <w:pPr>
        <w:pStyle w:val="10"/>
      </w:pPr>
    </w:p>
  </w:comment>
  <w:comment w:id="18" w:author="蔡艳" w:date="" w:initials="">
    <w:p w14:paraId="0C2F0589">
      <w:pPr>
        <w:pStyle w:val="10"/>
      </w:pPr>
    </w:p>
  </w:comment>
  <w:comment w:id="19" w:author="蔡艳" w:date="2022-02-18T16:40:00Z" w:initials="">
    <w:p w14:paraId="169521EC">
      <w:pPr>
        <w:pStyle w:val="10"/>
      </w:pPr>
    </w:p>
  </w:comment>
  <w:comment w:id="20" w:author="蔡艳" w:date="2022-02-18T16:40:00Z" w:initials="">
    <w:p w14:paraId="012C3E2A">
      <w:pPr>
        <w:pStyle w:val="10"/>
      </w:pPr>
    </w:p>
    <w:p w14:paraId="30006B94">
      <w:pPr>
        <w:pStyle w:val="10"/>
      </w:pPr>
    </w:p>
  </w:comment>
  <w:comment w:id="21" w:author="蔡艳" w:date="" w:initials="">
    <w:p w14:paraId="0F9D3E02">
      <w:pPr>
        <w:pStyle w:val="10"/>
      </w:pPr>
    </w:p>
  </w:comment>
  <w:comment w:id="22" w:author="蔡艳" w:date="2022-02-18T16:40:00Z" w:initials="">
    <w:p w14:paraId="3A423F95">
      <w:pPr>
        <w:pStyle w:val="10"/>
      </w:pPr>
    </w:p>
  </w:comment>
  <w:comment w:id="23" w:author="蔡艳" w:date="2022-02-18T16:40:00Z" w:initials="">
    <w:p w14:paraId="4F747FB1">
      <w:pPr>
        <w:pStyle w:val="10"/>
      </w:pPr>
    </w:p>
    <w:p w14:paraId="59737EAB">
      <w:pPr>
        <w:pStyle w:val="10"/>
      </w:pPr>
    </w:p>
  </w:comment>
  <w:comment w:id="24" w:author="蔡艳" w:date="" w:initials="">
    <w:p w14:paraId="372703FE">
      <w:pPr>
        <w:pStyle w:val="10"/>
      </w:pPr>
    </w:p>
  </w:comment>
  <w:comment w:id="26" w:author="蔡艳" w:date="2022-02-18T16:40:00Z" w:initials="">
    <w:p w14:paraId="766D1AFF">
      <w:pPr>
        <w:pStyle w:val="10"/>
      </w:pPr>
    </w:p>
  </w:comment>
  <w:comment w:id="27" w:author="蔡艳" w:date="2022-02-18T16:40:00Z" w:initials="">
    <w:p w14:paraId="29FB126E">
      <w:pPr>
        <w:pStyle w:val="10"/>
      </w:pPr>
    </w:p>
    <w:p w14:paraId="5F2F7D56">
      <w:pPr>
        <w:pStyle w:val="10"/>
      </w:pPr>
    </w:p>
  </w:comment>
  <w:comment w:id="28" w:author="蔡艳" w:date="" w:initials="">
    <w:p w14:paraId="3B826816">
      <w:pPr>
        <w:pStyle w:val="10"/>
      </w:pPr>
    </w:p>
  </w:comment>
  <w:comment w:id="29" w:author="蔡艳" w:date="2022-02-18T16:40:00Z" w:initials="">
    <w:p w14:paraId="467F4A89">
      <w:pPr>
        <w:pStyle w:val="10"/>
      </w:pPr>
    </w:p>
  </w:comment>
  <w:comment w:id="30" w:author="蔡艳" w:date="2022-02-18T16:40:00Z" w:initials="">
    <w:p w14:paraId="4C6248AD">
      <w:pPr>
        <w:pStyle w:val="10"/>
      </w:pPr>
    </w:p>
    <w:p w14:paraId="66D41D35">
      <w:pPr>
        <w:pStyle w:val="10"/>
      </w:pPr>
    </w:p>
  </w:comment>
  <w:comment w:id="31" w:author="蔡艳" w:date="" w:initials="">
    <w:p w14:paraId="645925E5">
      <w:pPr>
        <w:pStyle w:val="10"/>
      </w:pPr>
    </w:p>
  </w:comment>
  <w:comment w:id="32" w:author="蔡艳" w:date="2022-02-18T16:40:00Z" w:initials="">
    <w:p w14:paraId="4C7207B3">
      <w:pPr>
        <w:pStyle w:val="10"/>
      </w:pPr>
    </w:p>
  </w:comment>
  <w:comment w:id="33" w:author="蔡艳" w:date="2022-02-18T16:40:00Z" w:initials="">
    <w:p w14:paraId="6D7E50FB">
      <w:pPr>
        <w:pStyle w:val="10"/>
      </w:pPr>
    </w:p>
    <w:p w14:paraId="0AD7724B">
      <w:pPr>
        <w:pStyle w:val="10"/>
      </w:pPr>
    </w:p>
  </w:comment>
  <w:comment w:id="34" w:author="蔡艳" w:date="" w:initials="">
    <w:p w14:paraId="34CA6A8D">
      <w:pPr>
        <w:pStyle w:val="10"/>
      </w:pPr>
    </w:p>
  </w:comment>
  <w:comment w:id="35" w:author="蔡艳" w:date="2022-02-18T16:40:00Z" w:initials="">
    <w:p w14:paraId="615629A4">
      <w:pPr>
        <w:pStyle w:val="10"/>
      </w:pPr>
    </w:p>
  </w:comment>
  <w:comment w:id="36" w:author="蔡艳" w:date="2022-02-18T16:40:00Z" w:initials="">
    <w:p w14:paraId="53D604AD">
      <w:pPr>
        <w:pStyle w:val="10"/>
      </w:pPr>
    </w:p>
    <w:p w14:paraId="1302317F">
      <w:pPr>
        <w:pStyle w:val="10"/>
      </w:pPr>
    </w:p>
  </w:comment>
  <w:comment w:id="37" w:author="蔡艳" w:date="2022-02-18T16:29:00Z" w:initials="">
    <w:p w14:paraId="67E62B33">
      <w:pPr>
        <w:pStyle w:val="1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C73CC9" w15:done="0"/>
  <w15:commentEx w15:paraId="741C5303" w15:done="0"/>
  <w15:commentEx w15:paraId="63413217" w15:done="0"/>
  <w15:commentEx w15:paraId="5050707A" w15:done="0" w15:paraIdParent="63413217"/>
  <w15:commentEx w15:paraId="27762110" w15:done="0"/>
  <w15:commentEx w15:paraId="02080E04" w15:done="0"/>
  <w15:commentEx w15:paraId="66EA3951" w15:done="0" w15:paraIdParent="02080E04"/>
  <w15:commentEx w15:paraId="08AB1460" w15:done="0"/>
  <w15:commentEx w15:paraId="43081775" w15:done="0"/>
  <w15:commentEx w15:paraId="116A3E33" w15:done="0"/>
  <w15:commentEx w15:paraId="1D3803F4" w15:done="0"/>
  <w15:commentEx w15:paraId="14AF1E70" w15:done="0"/>
  <w15:commentEx w15:paraId="5AF772E6" w15:done="0"/>
  <w15:commentEx w15:paraId="7E911AD1" w15:done="0"/>
  <w15:commentEx w15:paraId="3901071D" w15:done="0"/>
  <w15:commentEx w15:paraId="00916A97" w15:done="0"/>
  <w15:commentEx w15:paraId="269A3E7E" w15:done="0"/>
  <w15:commentEx w15:paraId="7615644B" w15:done="0"/>
  <w15:commentEx w15:paraId="49873A56" w15:done="0"/>
  <w15:commentEx w15:paraId="0C2F0589" w15:done="0"/>
  <w15:commentEx w15:paraId="169521EC" w15:done="0"/>
  <w15:commentEx w15:paraId="30006B94" w15:done="0"/>
  <w15:commentEx w15:paraId="0F9D3E02" w15:done="0"/>
  <w15:commentEx w15:paraId="3A423F95" w15:done="0"/>
  <w15:commentEx w15:paraId="59737EAB" w15:done="0"/>
  <w15:commentEx w15:paraId="372703FE" w15:done="0"/>
  <w15:commentEx w15:paraId="766D1AFF" w15:done="0"/>
  <w15:commentEx w15:paraId="5F2F7D56" w15:done="0"/>
  <w15:commentEx w15:paraId="3B826816" w15:done="0"/>
  <w15:commentEx w15:paraId="467F4A89" w15:done="0"/>
  <w15:commentEx w15:paraId="66D41D35" w15:done="0"/>
  <w15:commentEx w15:paraId="645925E5" w15:done="0"/>
  <w15:commentEx w15:paraId="4C7207B3" w15:done="0"/>
  <w15:commentEx w15:paraId="0AD7724B" w15:done="0"/>
  <w15:commentEx w15:paraId="34CA6A8D" w15:done="0"/>
  <w15:commentEx w15:paraId="615629A4" w15:done="0"/>
  <w15:commentEx w15:paraId="1302317F" w15:done="0"/>
  <w15:commentEx w15:paraId="67E62B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1"/>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9</w:t>
        </w:r>
        <w:r>
          <w:rPr>
            <w:sz w:val="20"/>
          </w:rPr>
          <w:fldChar w:fldCharType="end"/>
        </w:r>
      </w:p>
    </w:sdtContent>
  </w:sdt>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pPr>
        <w:pStyle w:val="26"/>
        <w:spacing w:line="280" w:lineRule="atLeast"/>
        <w:ind w:left="0" w:firstLine="0"/>
      </w:pPr>
    </w:p>
  </w:footnote>
  <w:footnote w:id="1">
    <w:p>
      <w:pPr>
        <w:pStyle w:val="26"/>
        <w:rPr>
          <w:sz w:val="24"/>
          <w:szCs w:val="24"/>
        </w:rPr>
      </w:pPr>
      <w:r>
        <w:rPr>
          <w:rStyle w:val="44"/>
          <w:sz w:val="24"/>
          <w:szCs w:val="24"/>
        </w:rPr>
        <w:footnoteRef/>
      </w:r>
      <w:r>
        <w:rPr>
          <w:rStyle w:val="44"/>
          <w:sz w:val="24"/>
          <w:szCs w:val="24"/>
        </w:rPr>
        <w:t>4</w:t>
      </w:r>
      <w:r>
        <w:rPr>
          <w:rFonts w:hint="eastAsia"/>
          <w:sz w:val="24"/>
          <w:szCs w:val="24"/>
        </w:rPr>
        <w:t>仅适用于询价采购和竞争性谈判。</w:t>
      </w:r>
    </w:p>
  </w:footnote>
  <w:footnote w:id="2">
    <w:p>
      <w:pPr>
        <w:pStyle w:val="26"/>
        <w:rPr>
          <w:sz w:val="24"/>
          <w:szCs w:val="24"/>
        </w:rPr>
      </w:pPr>
      <w:r>
        <w:rPr>
          <w:rStyle w:val="44"/>
          <w:sz w:val="24"/>
          <w:szCs w:val="24"/>
        </w:rPr>
        <w:footnoteRef/>
      </w:r>
      <w:r>
        <w:rPr>
          <w:rStyle w:val="44"/>
          <w:sz w:val="24"/>
          <w:szCs w:val="24"/>
        </w:rPr>
        <w:t>4</w:t>
      </w:r>
      <w:r>
        <w:rPr>
          <w:rFonts w:hint="eastAsia"/>
          <w:sz w:val="24"/>
          <w:szCs w:val="24"/>
        </w:rPr>
        <w:t>仅适用于询价采购。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CED67"/>
    <w:multiLevelType w:val="singleLevel"/>
    <w:tmpl w:val="03ECED67"/>
    <w:lvl w:ilvl="0" w:tentative="0">
      <w:start w:val="4"/>
      <w:numFmt w:val="decimal"/>
      <w:lvlText w:val="%1."/>
      <w:lvlJc w:val="left"/>
      <w:pPr>
        <w:tabs>
          <w:tab w:val="left" w:pos="312"/>
        </w:tabs>
      </w:pPr>
    </w:lvl>
  </w:abstractNum>
  <w:abstractNum w:abstractNumId="1">
    <w:nsid w:val="3601A173"/>
    <w:multiLevelType w:val="singleLevel"/>
    <w:tmpl w:val="3601A173"/>
    <w:lvl w:ilvl="0" w:tentative="0">
      <w:start w:val="1"/>
      <w:numFmt w:val="chineseCounting"/>
      <w:suff w:val="nothing"/>
      <w:lvlText w:val="%1、"/>
      <w:lvlJc w:val="left"/>
      <w:rPr>
        <w:rFonts w:hint="eastAsia"/>
      </w:rPr>
    </w:lvl>
  </w:abstractNum>
  <w:abstractNum w:abstractNumId="2">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蔡艳">
    <w15:presenceInfo w15:providerId="None" w15:userId="蔡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A9"/>
    <w:rsid w:val="000021E0"/>
    <w:rsid w:val="00002637"/>
    <w:rsid w:val="00003007"/>
    <w:rsid w:val="00004047"/>
    <w:rsid w:val="0000539D"/>
    <w:rsid w:val="00010F56"/>
    <w:rsid w:val="00024612"/>
    <w:rsid w:val="00044051"/>
    <w:rsid w:val="0004536E"/>
    <w:rsid w:val="00045372"/>
    <w:rsid w:val="00045996"/>
    <w:rsid w:val="00053E1B"/>
    <w:rsid w:val="00067A14"/>
    <w:rsid w:val="00077817"/>
    <w:rsid w:val="00080B47"/>
    <w:rsid w:val="000A0047"/>
    <w:rsid w:val="000A7926"/>
    <w:rsid w:val="000B4936"/>
    <w:rsid w:val="000C4E44"/>
    <w:rsid w:val="000C5689"/>
    <w:rsid w:val="000D3A07"/>
    <w:rsid w:val="000E5829"/>
    <w:rsid w:val="000F00D5"/>
    <w:rsid w:val="000F2F60"/>
    <w:rsid w:val="000F3D59"/>
    <w:rsid w:val="000F65C5"/>
    <w:rsid w:val="00101210"/>
    <w:rsid w:val="00124EA9"/>
    <w:rsid w:val="00133753"/>
    <w:rsid w:val="0013533E"/>
    <w:rsid w:val="00141200"/>
    <w:rsid w:val="001421A1"/>
    <w:rsid w:val="0014231F"/>
    <w:rsid w:val="001429F5"/>
    <w:rsid w:val="00144A0B"/>
    <w:rsid w:val="00155F5F"/>
    <w:rsid w:val="0016577A"/>
    <w:rsid w:val="00167F0D"/>
    <w:rsid w:val="00172E5F"/>
    <w:rsid w:val="00175066"/>
    <w:rsid w:val="001847D7"/>
    <w:rsid w:val="00186D78"/>
    <w:rsid w:val="001A1831"/>
    <w:rsid w:val="001A77A4"/>
    <w:rsid w:val="001B2C90"/>
    <w:rsid w:val="001B336A"/>
    <w:rsid w:val="001C7EC5"/>
    <w:rsid w:val="001D03F9"/>
    <w:rsid w:val="001F28D4"/>
    <w:rsid w:val="001F55EE"/>
    <w:rsid w:val="00200C8B"/>
    <w:rsid w:val="0020642B"/>
    <w:rsid w:val="00207E4F"/>
    <w:rsid w:val="00210B19"/>
    <w:rsid w:val="0021628B"/>
    <w:rsid w:val="00240105"/>
    <w:rsid w:val="00244E9B"/>
    <w:rsid w:val="0026094B"/>
    <w:rsid w:val="002745DF"/>
    <w:rsid w:val="00281C9C"/>
    <w:rsid w:val="002832EF"/>
    <w:rsid w:val="0028390B"/>
    <w:rsid w:val="00291E30"/>
    <w:rsid w:val="00292A27"/>
    <w:rsid w:val="002A13A6"/>
    <w:rsid w:val="002A3646"/>
    <w:rsid w:val="002A69B8"/>
    <w:rsid w:val="002B20E3"/>
    <w:rsid w:val="002B225E"/>
    <w:rsid w:val="002B7B11"/>
    <w:rsid w:val="002C1929"/>
    <w:rsid w:val="002C340B"/>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92E0D"/>
    <w:rsid w:val="00392E5A"/>
    <w:rsid w:val="003A008A"/>
    <w:rsid w:val="003A21A4"/>
    <w:rsid w:val="003A35E6"/>
    <w:rsid w:val="003A47A2"/>
    <w:rsid w:val="003A7BE3"/>
    <w:rsid w:val="003B1B7D"/>
    <w:rsid w:val="003C0E8A"/>
    <w:rsid w:val="003C71AC"/>
    <w:rsid w:val="003E7A6F"/>
    <w:rsid w:val="003F380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9561F"/>
    <w:rsid w:val="004A3D16"/>
    <w:rsid w:val="004A6BC6"/>
    <w:rsid w:val="004B2465"/>
    <w:rsid w:val="004B24C9"/>
    <w:rsid w:val="004B3E4A"/>
    <w:rsid w:val="004C4DD2"/>
    <w:rsid w:val="004D1DCD"/>
    <w:rsid w:val="004D2DC8"/>
    <w:rsid w:val="004D6ACE"/>
    <w:rsid w:val="004D702E"/>
    <w:rsid w:val="004E5E10"/>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5693"/>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2014"/>
    <w:rsid w:val="006D3E72"/>
    <w:rsid w:val="006D74CC"/>
    <w:rsid w:val="006E037A"/>
    <w:rsid w:val="006E0909"/>
    <w:rsid w:val="006E37CB"/>
    <w:rsid w:val="006E4993"/>
    <w:rsid w:val="006E5C39"/>
    <w:rsid w:val="006F5D83"/>
    <w:rsid w:val="00702A69"/>
    <w:rsid w:val="007265BE"/>
    <w:rsid w:val="00734D60"/>
    <w:rsid w:val="007555FC"/>
    <w:rsid w:val="00755F84"/>
    <w:rsid w:val="007623DE"/>
    <w:rsid w:val="00767FCD"/>
    <w:rsid w:val="00770FF3"/>
    <w:rsid w:val="00771629"/>
    <w:rsid w:val="00773441"/>
    <w:rsid w:val="00773E3D"/>
    <w:rsid w:val="00774100"/>
    <w:rsid w:val="0078149B"/>
    <w:rsid w:val="00784672"/>
    <w:rsid w:val="00784F8A"/>
    <w:rsid w:val="00785C21"/>
    <w:rsid w:val="007964EF"/>
    <w:rsid w:val="007C209D"/>
    <w:rsid w:val="007C2355"/>
    <w:rsid w:val="007C74E8"/>
    <w:rsid w:val="007D0497"/>
    <w:rsid w:val="007D29D4"/>
    <w:rsid w:val="007D3081"/>
    <w:rsid w:val="007E1F23"/>
    <w:rsid w:val="007E2A0A"/>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B7B27"/>
    <w:rsid w:val="008C4098"/>
    <w:rsid w:val="008C519C"/>
    <w:rsid w:val="008C623B"/>
    <w:rsid w:val="008E6549"/>
    <w:rsid w:val="008F6B51"/>
    <w:rsid w:val="0090589A"/>
    <w:rsid w:val="00927EB5"/>
    <w:rsid w:val="009315C2"/>
    <w:rsid w:val="00935E41"/>
    <w:rsid w:val="00935ED2"/>
    <w:rsid w:val="00952D6D"/>
    <w:rsid w:val="00954F74"/>
    <w:rsid w:val="00955643"/>
    <w:rsid w:val="009573B9"/>
    <w:rsid w:val="00965E94"/>
    <w:rsid w:val="00977C86"/>
    <w:rsid w:val="00983877"/>
    <w:rsid w:val="009A1BD2"/>
    <w:rsid w:val="009A24B1"/>
    <w:rsid w:val="009B084E"/>
    <w:rsid w:val="009B53B2"/>
    <w:rsid w:val="009B5405"/>
    <w:rsid w:val="009B626F"/>
    <w:rsid w:val="009B66AE"/>
    <w:rsid w:val="009D6D35"/>
    <w:rsid w:val="00A02DDD"/>
    <w:rsid w:val="00A12741"/>
    <w:rsid w:val="00A1311B"/>
    <w:rsid w:val="00A15750"/>
    <w:rsid w:val="00A2148B"/>
    <w:rsid w:val="00A2462C"/>
    <w:rsid w:val="00A27204"/>
    <w:rsid w:val="00A33D67"/>
    <w:rsid w:val="00A362D7"/>
    <w:rsid w:val="00A3767B"/>
    <w:rsid w:val="00A41388"/>
    <w:rsid w:val="00A477C0"/>
    <w:rsid w:val="00A507DC"/>
    <w:rsid w:val="00A54E02"/>
    <w:rsid w:val="00A67EC8"/>
    <w:rsid w:val="00A76CD8"/>
    <w:rsid w:val="00A81F80"/>
    <w:rsid w:val="00A868EF"/>
    <w:rsid w:val="00A906E2"/>
    <w:rsid w:val="00AA0F15"/>
    <w:rsid w:val="00AD2A48"/>
    <w:rsid w:val="00AD2C8A"/>
    <w:rsid w:val="00AD6819"/>
    <w:rsid w:val="00AE15F3"/>
    <w:rsid w:val="00AE4E0B"/>
    <w:rsid w:val="00AF4CC2"/>
    <w:rsid w:val="00B013BE"/>
    <w:rsid w:val="00B01BCC"/>
    <w:rsid w:val="00B25D89"/>
    <w:rsid w:val="00B3664B"/>
    <w:rsid w:val="00B439A9"/>
    <w:rsid w:val="00B4446C"/>
    <w:rsid w:val="00B60605"/>
    <w:rsid w:val="00B64A25"/>
    <w:rsid w:val="00B6591E"/>
    <w:rsid w:val="00B66C84"/>
    <w:rsid w:val="00B80BE7"/>
    <w:rsid w:val="00B82043"/>
    <w:rsid w:val="00B861B6"/>
    <w:rsid w:val="00B91731"/>
    <w:rsid w:val="00B9193D"/>
    <w:rsid w:val="00B92BED"/>
    <w:rsid w:val="00B938D9"/>
    <w:rsid w:val="00B95169"/>
    <w:rsid w:val="00BA4291"/>
    <w:rsid w:val="00BA6815"/>
    <w:rsid w:val="00BA6DC7"/>
    <w:rsid w:val="00BA6DCF"/>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56306"/>
    <w:rsid w:val="00C6092D"/>
    <w:rsid w:val="00C7182C"/>
    <w:rsid w:val="00C80A31"/>
    <w:rsid w:val="00C82613"/>
    <w:rsid w:val="00C938B5"/>
    <w:rsid w:val="00C94DBF"/>
    <w:rsid w:val="00CB2271"/>
    <w:rsid w:val="00CB35D3"/>
    <w:rsid w:val="00CC2B5B"/>
    <w:rsid w:val="00CD5814"/>
    <w:rsid w:val="00CE020B"/>
    <w:rsid w:val="00CE29B8"/>
    <w:rsid w:val="00CE71D2"/>
    <w:rsid w:val="00CE7226"/>
    <w:rsid w:val="00CE7D8E"/>
    <w:rsid w:val="00CF1379"/>
    <w:rsid w:val="00CF1E04"/>
    <w:rsid w:val="00CF36EE"/>
    <w:rsid w:val="00D1160E"/>
    <w:rsid w:val="00D1328D"/>
    <w:rsid w:val="00D26E74"/>
    <w:rsid w:val="00D27461"/>
    <w:rsid w:val="00D30D7D"/>
    <w:rsid w:val="00D32AD3"/>
    <w:rsid w:val="00D34479"/>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366AD"/>
    <w:rsid w:val="00E42185"/>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EF2773"/>
    <w:rsid w:val="00EF3D0E"/>
    <w:rsid w:val="00F014DF"/>
    <w:rsid w:val="00F067FF"/>
    <w:rsid w:val="00F138CF"/>
    <w:rsid w:val="00F17C9D"/>
    <w:rsid w:val="00F240AA"/>
    <w:rsid w:val="00F27EFD"/>
    <w:rsid w:val="00F31726"/>
    <w:rsid w:val="00F40991"/>
    <w:rsid w:val="00F449A4"/>
    <w:rsid w:val="00F51761"/>
    <w:rsid w:val="00F51B37"/>
    <w:rsid w:val="00F552F8"/>
    <w:rsid w:val="00F725CC"/>
    <w:rsid w:val="00F76C2C"/>
    <w:rsid w:val="00F86C0E"/>
    <w:rsid w:val="00F87F1F"/>
    <w:rsid w:val="00FA004A"/>
    <w:rsid w:val="00FA688E"/>
    <w:rsid w:val="00FB76D6"/>
    <w:rsid w:val="00FB7FEC"/>
    <w:rsid w:val="00FC0CDA"/>
    <w:rsid w:val="00FC2557"/>
    <w:rsid w:val="00FC3155"/>
    <w:rsid w:val="00FD0360"/>
    <w:rsid w:val="00FD4D0F"/>
    <w:rsid w:val="00FD78D6"/>
    <w:rsid w:val="00FE3439"/>
    <w:rsid w:val="00FE5003"/>
    <w:rsid w:val="00FF43B1"/>
    <w:rsid w:val="01AC7279"/>
    <w:rsid w:val="05EF1FFE"/>
    <w:rsid w:val="071C2DD7"/>
    <w:rsid w:val="0983749D"/>
    <w:rsid w:val="09C6304D"/>
    <w:rsid w:val="0AED2D32"/>
    <w:rsid w:val="0C905B62"/>
    <w:rsid w:val="0DB759FC"/>
    <w:rsid w:val="0E891CDE"/>
    <w:rsid w:val="0FF46D31"/>
    <w:rsid w:val="119E5E08"/>
    <w:rsid w:val="16314BAD"/>
    <w:rsid w:val="16333C36"/>
    <w:rsid w:val="17594306"/>
    <w:rsid w:val="17D539F2"/>
    <w:rsid w:val="19097045"/>
    <w:rsid w:val="1E1F3B60"/>
    <w:rsid w:val="1F1013E5"/>
    <w:rsid w:val="1F2E0BFF"/>
    <w:rsid w:val="1FBF76D7"/>
    <w:rsid w:val="212E078A"/>
    <w:rsid w:val="242B7C5B"/>
    <w:rsid w:val="264E6DB9"/>
    <w:rsid w:val="26A05072"/>
    <w:rsid w:val="2872440F"/>
    <w:rsid w:val="2BF10955"/>
    <w:rsid w:val="2E41641E"/>
    <w:rsid w:val="2E944985"/>
    <w:rsid w:val="2FD26F55"/>
    <w:rsid w:val="30096558"/>
    <w:rsid w:val="30DE2DAE"/>
    <w:rsid w:val="32574BED"/>
    <w:rsid w:val="32756EB2"/>
    <w:rsid w:val="339248A7"/>
    <w:rsid w:val="34874156"/>
    <w:rsid w:val="35032B89"/>
    <w:rsid w:val="379B30ED"/>
    <w:rsid w:val="37E36BED"/>
    <w:rsid w:val="3B2B40CB"/>
    <w:rsid w:val="3FB93C81"/>
    <w:rsid w:val="42341CA4"/>
    <w:rsid w:val="431E0248"/>
    <w:rsid w:val="44D14A1F"/>
    <w:rsid w:val="4503099B"/>
    <w:rsid w:val="453D7EFA"/>
    <w:rsid w:val="46480423"/>
    <w:rsid w:val="46C44BD5"/>
    <w:rsid w:val="46FD0ED7"/>
    <w:rsid w:val="47D44A52"/>
    <w:rsid w:val="49A42C4E"/>
    <w:rsid w:val="4B904344"/>
    <w:rsid w:val="4BB73BE9"/>
    <w:rsid w:val="4BEB2031"/>
    <w:rsid w:val="4E5F0909"/>
    <w:rsid w:val="4E6200BB"/>
    <w:rsid w:val="50203001"/>
    <w:rsid w:val="546D2190"/>
    <w:rsid w:val="56820D5B"/>
    <w:rsid w:val="57096D7C"/>
    <w:rsid w:val="5E007081"/>
    <w:rsid w:val="5FC5301A"/>
    <w:rsid w:val="62525166"/>
    <w:rsid w:val="63310F09"/>
    <w:rsid w:val="63B84F56"/>
    <w:rsid w:val="663E10C6"/>
    <w:rsid w:val="673D5D9B"/>
    <w:rsid w:val="67DB2C51"/>
    <w:rsid w:val="68562B5B"/>
    <w:rsid w:val="686B311E"/>
    <w:rsid w:val="6B533C17"/>
    <w:rsid w:val="6D9829DA"/>
    <w:rsid w:val="6FD45398"/>
    <w:rsid w:val="70ED646D"/>
    <w:rsid w:val="71246B10"/>
    <w:rsid w:val="73BC5AD9"/>
    <w:rsid w:val="764D1C01"/>
    <w:rsid w:val="7C7149C8"/>
    <w:rsid w:val="7DB13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spacing w:before="100" w:beforeAutospacing="1" w:after="100" w:afterAutospacing="1"/>
      <w:outlineLvl w:val="1"/>
    </w:pPr>
    <w:rPr>
      <w:rFonts w:ascii="宋体" w:hAnsi="宋体"/>
      <w:b/>
      <w:bCs/>
      <w:kern w:val="0"/>
      <w:sz w:val="36"/>
      <w:szCs w:val="36"/>
    </w:rPr>
  </w:style>
  <w:style w:type="paragraph" w:styleId="4">
    <w:name w:val="heading 3"/>
    <w:basedOn w:val="1"/>
    <w:next w:val="1"/>
    <w:link w:val="228"/>
    <w:semiHidden/>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182"/>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680" w:hanging="210"/>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pPr>
    <w:rPr>
      <w:rFonts w:ascii="Calibri" w:hAnsi="Calibri"/>
      <w:sz w:val="20"/>
      <w:szCs w:val="20"/>
    </w:rPr>
  </w:style>
  <w:style w:type="paragraph" w:styleId="9">
    <w:name w:val="Document Map"/>
    <w:basedOn w:val="1"/>
    <w:link w:val="166"/>
    <w:semiHidden/>
    <w:qFormat/>
    <w:uiPriority w:val="0"/>
    <w:pPr>
      <w:shd w:val="clear" w:color="auto" w:fill="000080"/>
    </w:pPr>
    <w:rPr>
      <w:rFonts w:asciiTheme="minorHAnsi" w:hAnsiTheme="minorHAnsi" w:eastAsiaTheme="minorEastAsia" w:cstheme="minorBidi"/>
    </w:rPr>
  </w:style>
  <w:style w:type="paragraph" w:styleId="10">
    <w:name w:val="annotation text"/>
    <w:basedOn w:val="1"/>
    <w:link w:val="163"/>
    <w:semiHidden/>
    <w:qFormat/>
    <w:uiPriority w:val="0"/>
    <w:rPr>
      <w:rFonts w:asciiTheme="minorHAnsi" w:hAnsiTheme="minorHAnsi" w:eastAsiaTheme="minorEastAsia" w:cstheme="minorBidi"/>
    </w:rPr>
  </w:style>
  <w:style w:type="paragraph" w:styleId="11">
    <w:name w:val="index 6"/>
    <w:basedOn w:val="1"/>
    <w:next w:val="1"/>
    <w:qFormat/>
    <w:uiPriority w:val="0"/>
    <w:pPr>
      <w:ind w:left="1260" w:hanging="210"/>
    </w:pPr>
    <w:rPr>
      <w:rFonts w:ascii="Calibri" w:hAnsi="Calibri"/>
      <w:sz w:val="20"/>
      <w:szCs w:val="20"/>
    </w:rPr>
  </w:style>
  <w:style w:type="paragraph" w:styleId="12">
    <w:name w:val="Body Text 3"/>
    <w:basedOn w:val="1"/>
    <w:link w:val="174"/>
    <w:semiHidden/>
    <w:unhideWhenUsed/>
    <w:qFormat/>
    <w:uiPriority w:val="99"/>
    <w:pPr>
      <w:spacing w:after="120"/>
    </w:pPr>
    <w:rPr>
      <w:sz w:val="16"/>
      <w:szCs w:val="16"/>
    </w:rPr>
  </w:style>
  <w:style w:type="paragraph" w:styleId="13">
    <w:name w:val="Body Text"/>
    <w:basedOn w:val="1"/>
    <w:link w:val="180"/>
    <w:semiHidden/>
    <w:unhideWhenUsed/>
    <w:qFormat/>
    <w:uiPriority w:val="99"/>
    <w:pPr>
      <w:spacing w:after="120"/>
    </w:pPr>
  </w:style>
  <w:style w:type="paragraph" w:styleId="14">
    <w:name w:val="index 4"/>
    <w:basedOn w:val="1"/>
    <w:next w:val="1"/>
    <w:qFormat/>
    <w:uiPriority w:val="0"/>
    <w:pPr>
      <w:ind w:left="840" w:hanging="210"/>
    </w:pPr>
    <w:rPr>
      <w:rFonts w:ascii="Calibri" w:hAnsi="Calibri"/>
      <w:sz w:val="20"/>
      <w:szCs w:val="20"/>
    </w:rPr>
  </w:style>
  <w:style w:type="paragraph" w:styleId="15">
    <w:name w:val="Plain Text"/>
    <w:basedOn w:val="1"/>
    <w:link w:val="177"/>
    <w:unhideWhenUsed/>
    <w:qFormat/>
    <w:uiPriority w:val="99"/>
    <w:pPr>
      <w:widowControl w:val="0"/>
      <w:spacing w:line="240" w:lineRule="auto"/>
      <w:jc w:val="both"/>
    </w:pPr>
    <w:rPr>
      <w:rFonts w:ascii="宋体" w:hAnsi="Courier New" w:cs="Courier New"/>
      <w:szCs w:val="21"/>
    </w:rPr>
  </w:style>
  <w:style w:type="paragraph" w:styleId="16">
    <w:name w:val="index 3"/>
    <w:basedOn w:val="1"/>
    <w:next w:val="1"/>
    <w:qFormat/>
    <w:uiPriority w:val="0"/>
    <w:pPr>
      <w:ind w:left="630" w:hanging="210"/>
    </w:pPr>
    <w:rPr>
      <w:rFonts w:ascii="Calibri" w:hAnsi="Calibri"/>
      <w:sz w:val="20"/>
      <w:szCs w:val="20"/>
    </w:rPr>
  </w:style>
  <w:style w:type="paragraph" w:styleId="17">
    <w:name w:val="Date"/>
    <w:basedOn w:val="1"/>
    <w:next w:val="1"/>
    <w:link w:val="165"/>
    <w:qFormat/>
    <w:uiPriority w:val="99"/>
    <w:pPr>
      <w:ind w:left="100" w:leftChars="2500"/>
    </w:pPr>
    <w:rPr>
      <w:rFonts w:asciiTheme="minorHAnsi" w:hAnsiTheme="minorHAnsi" w:eastAsiaTheme="minorEastAsia" w:cstheme="minorBidi"/>
    </w:rPr>
  </w:style>
  <w:style w:type="paragraph" w:styleId="18">
    <w:name w:val="Body Text Indent 2"/>
    <w:basedOn w:val="1"/>
    <w:link w:val="155"/>
    <w:qFormat/>
    <w:uiPriority w:val="99"/>
    <w:pPr>
      <w:spacing w:after="120" w:line="480" w:lineRule="auto"/>
      <w:ind w:left="420" w:leftChars="200"/>
    </w:pPr>
    <w:rPr>
      <w:rFonts w:asciiTheme="minorHAnsi" w:hAnsiTheme="minorHAnsi" w:eastAsiaTheme="minorEastAsia" w:cstheme="minorBidi"/>
    </w:rPr>
  </w:style>
  <w:style w:type="paragraph" w:styleId="19">
    <w:name w:val="endnote text"/>
    <w:basedOn w:val="1"/>
    <w:link w:val="172"/>
    <w:semiHidden/>
    <w:qFormat/>
    <w:uiPriority w:val="0"/>
    <w:pPr>
      <w:snapToGrid w:val="0"/>
    </w:pPr>
    <w:rPr>
      <w:rFonts w:asciiTheme="minorHAnsi" w:hAnsiTheme="minorHAnsi" w:eastAsiaTheme="minorEastAsia" w:cstheme="minorBidi"/>
    </w:rPr>
  </w:style>
  <w:style w:type="paragraph" w:styleId="20">
    <w:name w:val="Balloon Text"/>
    <w:basedOn w:val="1"/>
    <w:link w:val="141"/>
    <w:qFormat/>
    <w:uiPriority w:val="99"/>
    <w:rPr>
      <w:rFonts w:asciiTheme="minorHAnsi" w:hAnsiTheme="minorHAnsi" w:eastAsiaTheme="minorEastAsia" w:cstheme="minorBidi"/>
      <w:sz w:val="18"/>
      <w:szCs w:val="18"/>
    </w:rPr>
  </w:style>
  <w:style w:type="paragraph" w:styleId="21">
    <w:name w:val="footer"/>
    <w:basedOn w:val="1"/>
    <w:link w:val="162"/>
    <w:qFormat/>
    <w:uiPriority w:val="99"/>
    <w:pPr>
      <w:snapToGrid w:val="0"/>
      <w:ind w:right="210" w:rightChars="100"/>
      <w:jc w:val="right"/>
    </w:pPr>
    <w:rPr>
      <w:rFonts w:asciiTheme="minorHAnsi" w:hAnsiTheme="minorHAnsi" w:eastAsiaTheme="minorEastAsia" w:cstheme="minorBidi"/>
      <w:sz w:val="18"/>
      <w:szCs w:val="18"/>
    </w:rPr>
  </w:style>
  <w:style w:type="paragraph" w:styleId="22">
    <w:name w:val="header"/>
    <w:basedOn w:val="1"/>
    <w:link w:val="144"/>
    <w:qFormat/>
    <w:uiPriority w:val="99"/>
    <w:pPr>
      <w:snapToGrid w:val="0"/>
    </w:pPr>
    <w:rPr>
      <w:rFonts w:asciiTheme="minorHAnsi" w:hAnsiTheme="minorHAnsi" w:eastAsiaTheme="minorEastAsia" w:cstheme="minorBidi"/>
      <w:sz w:val="18"/>
      <w:szCs w:val="18"/>
    </w:rPr>
  </w:style>
  <w:style w:type="paragraph" w:styleId="23">
    <w:name w:val="toc 1"/>
    <w:basedOn w:val="1"/>
    <w:next w:val="1"/>
    <w:semiHidden/>
    <w:qFormat/>
    <w:uiPriority w:val="0"/>
    <w:pPr>
      <w:tabs>
        <w:tab w:val="right" w:leader="dot" w:pos="9242"/>
      </w:tabs>
      <w:spacing w:beforeLines="25" w:afterLines="25"/>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1"/>
    <w:unhideWhenUsed/>
    <w:qFormat/>
    <w:uiPriority w:val="0"/>
  </w:style>
  <w:style w:type="paragraph" w:styleId="26">
    <w:name w:val="footnote text"/>
    <w:basedOn w:val="1"/>
    <w:link w:val="151"/>
    <w:qFormat/>
    <w:uiPriority w:val="0"/>
    <w:pPr>
      <w:tabs>
        <w:tab w:val="left" w:pos="0"/>
      </w:tabs>
      <w:snapToGrid w:val="0"/>
      <w:ind w:left="720" w:hanging="357"/>
    </w:pPr>
    <w:rPr>
      <w:rFonts w:ascii="宋体" w:hAnsiTheme="minorHAnsi" w:eastAsiaTheme="minorEastAsia" w:cstheme="minorBidi"/>
      <w:sz w:val="18"/>
      <w:szCs w:val="18"/>
    </w:rPr>
  </w:style>
  <w:style w:type="paragraph" w:styleId="27">
    <w:name w:val="index 7"/>
    <w:basedOn w:val="1"/>
    <w:next w:val="1"/>
    <w:qFormat/>
    <w:uiPriority w:val="0"/>
    <w:pPr>
      <w:ind w:left="1470" w:hanging="210"/>
    </w:pPr>
    <w:rPr>
      <w:rFonts w:ascii="Calibri" w:hAnsi="Calibri"/>
      <w:sz w:val="20"/>
      <w:szCs w:val="20"/>
    </w:rPr>
  </w:style>
  <w:style w:type="paragraph" w:styleId="28">
    <w:name w:val="index 9"/>
    <w:basedOn w:val="1"/>
    <w:next w:val="1"/>
    <w:qFormat/>
    <w:uiPriority w:val="0"/>
    <w:pPr>
      <w:ind w:left="1890" w:hanging="210"/>
    </w:pPr>
    <w:rPr>
      <w:rFonts w:ascii="Calibri" w:hAnsi="Calibri"/>
      <w:sz w:val="20"/>
      <w:szCs w:val="20"/>
    </w:rPr>
  </w:style>
  <w:style w:type="paragraph" w:styleId="29">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0">
    <w:name w:val="HTML Preformatted"/>
    <w:basedOn w:val="1"/>
    <w:link w:val="149"/>
    <w:qFormat/>
    <w:uiPriority w:val="0"/>
    <w:rPr>
      <w:rFonts w:ascii="Courier New" w:hAnsi="Courier New" w:cs="Courier New" w:eastAsiaTheme="minorEastAsia"/>
      <w:szCs w:val="22"/>
    </w:rPr>
  </w:style>
  <w:style w:type="paragraph" w:styleId="31">
    <w:name w:val="Normal (Web)"/>
    <w:basedOn w:val="1"/>
    <w:unhideWhenUsed/>
    <w:qFormat/>
    <w:uiPriority w:val="99"/>
    <w:pPr>
      <w:spacing w:before="100" w:beforeAutospacing="1" w:after="100" w:afterAutospacing="1"/>
    </w:pPr>
    <w:rPr>
      <w:rFonts w:ascii="宋体" w:hAnsi="宋体" w:cs="宋体"/>
      <w:kern w:val="0"/>
      <w:sz w:val="24"/>
    </w:rPr>
  </w:style>
  <w:style w:type="paragraph" w:styleId="32">
    <w:name w:val="index 2"/>
    <w:basedOn w:val="1"/>
    <w:next w:val="1"/>
    <w:qFormat/>
    <w:uiPriority w:val="0"/>
    <w:pPr>
      <w:ind w:left="420" w:hanging="210"/>
    </w:pPr>
    <w:rPr>
      <w:rFonts w:ascii="Calibri" w:hAnsi="Calibri"/>
      <w:sz w:val="20"/>
      <w:szCs w:val="20"/>
    </w:rPr>
  </w:style>
  <w:style w:type="paragraph" w:styleId="33">
    <w:name w:val="Title"/>
    <w:basedOn w:val="1"/>
    <w:link w:val="175"/>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0"/>
    <w:next w:val="10"/>
    <w:link w:val="171"/>
    <w:semiHidden/>
    <w:qFormat/>
    <w:uiPriority w:val="0"/>
    <w:rPr>
      <w:b/>
      <w:bCs/>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99"/>
    <w:rPr>
      <w:rFonts w:ascii="Times New Roman" w:hAnsi="Times New Roman" w:eastAsia="宋体"/>
      <w:sz w:val="18"/>
    </w:rPr>
  </w:style>
  <w:style w:type="character" w:styleId="40">
    <w:name w:val="FollowedHyperlink"/>
    <w:qFormat/>
    <w:uiPriority w:val="99"/>
    <w:rPr>
      <w:color w:val="800080"/>
      <w:u w:val="single"/>
    </w:rPr>
  </w:style>
  <w:style w:type="character" w:styleId="41">
    <w:name w:val="Emphasis"/>
    <w:qFormat/>
    <w:uiPriority w:val="20"/>
    <w:rPr>
      <w:color w:val="CC0000"/>
    </w:rPr>
  </w:style>
  <w:style w:type="character" w:styleId="42">
    <w:name w:val="Hyperlink"/>
    <w:qFormat/>
    <w:uiPriority w:val="99"/>
    <w:rPr>
      <w:color w:val="0000FF"/>
      <w:spacing w:val="0"/>
      <w:w w:val="100"/>
      <w:szCs w:val="21"/>
      <w:u w:val="single"/>
      <w:lang w:val="en-US" w:eastAsia="zh-CN"/>
    </w:rPr>
  </w:style>
  <w:style w:type="character" w:styleId="43">
    <w:name w:val="annotation reference"/>
    <w:basedOn w:val="37"/>
    <w:semiHidden/>
    <w:unhideWhenUsed/>
    <w:qFormat/>
    <w:uiPriority w:val="0"/>
    <w:rPr>
      <w:sz w:val="21"/>
      <w:szCs w:val="21"/>
    </w:rPr>
  </w:style>
  <w:style w:type="character" w:styleId="44">
    <w:name w:val="footnote reference"/>
    <w:qFormat/>
    <w:uiPriority w:val="0"/>
    <w:rPr>
      <w:vertAlign w:val="superscript"/>
    </w:rPr>
  </w:style>
  <w:style w:type="character" w:customStyle="1" w:styleId="45">
    <w:name w:val="标题 1 字符"/>
    <w:basedOn w:val="37"/>
    <w:link w:val="2"/>
    <w:qFormat/>
    <w:uiPriority w:val="0"/>
    <w:rPr>
      <w:rFonts w:ascii="Times New Roman" w:hAnsi="Times New Roman" w:eastAsia="宋体" w:cs="Times New Roman"/>
      <w:b/>
      <w:bCs/>
      <w:kern w:val="44"/>
      <w:sz w:val="44"/>
      <w:szCs w:val="44"/>
    </w:rPr>
  </w:style>
  <w:style w:type="character" w:customStyle="1" w:styleId="46">
    <w:name w:val="标题 2 字符"/>
    <w:basedOn w:val="37"/>
    <w:link w:val="3"/>
    <w:qFormat/>
    <w:uiPriority w:val="0"/>
    <w:rPr>
      <w:rFonts w:ascii="宋体" w:hAnsi="宋体" w:eastAsia="宋体" w:cs="Times New Roman"/>
      <w:b/>
      <w:bCs/>
      <w:kern w:val="0"/>
      <w:sz w:val="36"/>
      <w:szCs w:val="36"/>
    </w:rPr>
  </w:style>
  <w:style w:type="character" w:customStyle="1" w:styleId="47">
    <w:name w:val="批注文字 Char"/>
    <w:semiHidden/>
    <w:qFormat/>
    <w:uiPriority w:val="0"/>
    <w:rPr>
      <w:szCs w:val="24"/>
    </w:rPr>
  </w:style>
  <w:style w:type="character" w:customStyle="1" w:styleId="48">
    <w:name w:val="批注主题 Char"/>
    <w:semiHidden/>
    <w:qFormat/>
    <w:uiPriority w:val="0"/>
    <w:rPr>
      <w:b/>
      <w:bCs/>
      <w:szCs w:val="24"/>
    </w:rPr>
  </w:style>
  <w:style w:type="character" w:customStyle="1" w:styleId="49">
    <w:name w:val="文档结构图 Char"/>
    <w:semiHidden/>
    <w:qFormat/>
    <w:uiPriority w:val="0"/>
    <w:rPr>
      <w:szCs w:val="24"/>
      <w:shd w:val="clear" w:color="auto" w:fill="000080"/>
    </w:rPr>
  </w:style>
  <w:style w:type="character" w:customStyle="1" w:styleId="50">
    <w:name w:val="脚注文本 Char"/>
    <w:qFormat/>
    <w:uiPriority w:val="0"/>
    <w:rPr>
      <w:rFonts w:ascii="宋体"/>
      <w:sz w:val="18"/>
      <w:szCs w:val="18"/>
    </w:rPr>
  </w:style>
  <w:style w:type="character" w:customStyle="1" w:styleId="51">
    <w:name w:val="con"/>
    <w:qFormat/>
    <w:uiPriority w:val="0"/>
  </w:style>
  <w:style w:type="character" w:customStyle="1" w:styleId="52">
    <w:name w:val="bar-label2"/>
    <w:qFormat/>
    <w:uiPriority w:val="99"/>
  </w:style>
  <w:style w:type="character" w:customStyle="1" w:styleId="53">
    <w:name w:val="正文文本缩进 2 Char"/>
    <w:qFormat/>
    <w:uiPriority w:val="99"/>
    <w:rPr>
      <w:szCs w:val="24"/>
    </w:rPr>
  </w:style>
  <w:style w:type="character" w:customStyle="1" w:styleId="54">
    <w:name w:val="日期 Char"/>
    <w:qFormat/>
    <w:uiPriority w:val="99"/>
    <w:rPr>
      <w:szCs w:val="24"/>
    </w:rPr>
  </w:style>
  <w:style w:type="character" w:customStyle="1" w:styleId="55">
    <w:name w:val="页脚 Char"/>
    <w:qFormat/>
    <w:locked/>
    <w:uiPriority w:val="99"/>
    <w:rPr>
      <w:sz w:val="18"/>
      <w:szCs w:val="18"/>
    </w:rPr>
  </w:style>
  <w:style w:type="character" w:customStyle="1" w:styleId="56">
    <w:name w:val="apple-converted-space"/>
    <w:basedOn w:val="37"/>
    <w:qFormat/>
    <w:uiPriority w:val="0"/>
  </w:style>
  <w:style w:type="character" w:customStyle="1" w:styleId="57">
    <w:name w:val="批注框文本 Char"/>
    <w:qFormat/>
    <w:uiPriority w:val="99"/>
    <w:rPr>
      <w:sz w:val="18"/>
      <w:szCs w:val="18"/>
    </w:rPr>
  </w:style>
  <w:style w:type="character" w:customStyle="1" w:styleId="58">
    <w:name w:val="页眉 Char"/>
    <w:qFormat/>
    <w:locked/>
    <w:uiPriority w:val="99"/>
    <w:rPr>
      <w:sz w:val="18"/>
      <w:szCs w:val="18"/>
    </w:rPr>
  </w:style>
  <w:style w:type="character" w:customStyle="1" w:styleId="59">
    <w:name w:val="首示例 Char"/>
    <w:link w:val="60"/>
    <w:qFormat/>
    <w:uiPriority w:val="0"/>
    <w:rPr>
      <w:rFonts w:ascii="宋体" w:hAnsi="宋体"/>
      <w:sz w:val="18"/>
      <w:szCs w:val="18"/>
    </w:rPr>
  </w:style>
  <w:style w:type="paragraph" w:customStyle="1" w:styleId="60">
    <w:name w:val="首示例"/>
    <w:next w:val="61"/>
    <w:link w:val="59"/>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1">
    <w:name w:val="段"/>
    <w:link w:val="62"/>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2">
    <w:name w:val="段 Char"/>
    <w:link w:val="61"/>
    <w:qFormat/>
    <w:uiPriority w:val="0"/>
    <w:rPr>
      <w:rFonts w:ascii="宋体"/>
    </w:rPr>
  </w:style>
  <w:style w:type="character" w:customStyle="1" w:styleId="63">
    <w:name w:val="附录公式 Char"/>
    <w:basedOn w:val="62"/>
    <w:link w:val="64"/>
    <w:qFormat/>
    <w:uiPriority w:val="0"/>
    <w:rPr>
      <w:rFonts w:ascii="宋体"/>
    </w:rPr>
  </w:style>
  <w:style w:type="paragraph" w:customStyle="1" w:styleId="64">
    <w:name w:val="附录公式"/>
    <w:basedOn w:val="61"/>
    <w:next w:val="61"/>
    <w:link w:val="63"/>
    <w:qFormat/>
    <w:uiPriority w:val="0"/>
  </w:style>
  <w:style w:type="character" w:customStyle="1" w:styleId="65">
    <w:name w:val="发布"/>
    <w:qFormat/>
    <w:uiPriority w:val="0"/>
    <w:rPr>
      <w:rFonts w:ascii="黑体" w:eastAsia="黑体"/>
      <w:spacing w:val="85"/>
      <w:w w:val="100"/>
      <w:position w:val="3"/>
      <w:sz w:val="28"/>
      <w:szCs w:val="28"/>
    </w:rPr>
  </w:style>
  <w:style w:type="character" w:customStyle="1" w:styleId="66">
    <w:name w:val="一级条标题 Char"/>
    <w:link w:val="67"/>
    <w:qFormat/>
    <w:uiPriority w:val="0"/>
    <w:rPr>
      <w:rFonts w:ascii="黑体" w:eastAsia="黑体"/>
      <w:szCs w:val="21"/>
    </w:rPr>
  </w:style>
  <w:style w:type="paragraph" w:customStyle="1" w:styleId="67">
    <w:name w:val="一级条标题"/>
    <w:next w:val="61"/>
    <w:link w:val="66"/>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8">
    <w:name w:val="HTML 预设格式 Char"/>
    <w:qFormat/>
    <w:uiPriority w:val="0"/>
    <w:rPr>
      <w:rFonts w:ascii="Courier New" w:hAnsi="Courier New" w:cs="Courier New"/>
    </w:rPr>
  </w:style>
  <w:style w:type="character" w:customStyle="1" w:styleId="69">
    <w:name w:val="尾注文本 Char"/>
    <w:semiHidden/>
    <w:qFormat/>
    <w:uiPriority w:val="0"/>
    <w:rPr>
      <w:szCs w:val="24"/>
    </w:rPr>
  </w:style>
  <w:style w:type="paragraph" w:customStyle="1" w:styleId="70">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1">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2">
    <w:name w:val="List Paragraph"/>
    <w:basedOn w:val="1"/>
    <w:qFormat/>
    <w:uiPriority w:val="34"/>
    <w:pPr>
      <w:ind w:firstLine="420" w:firstLineChars="200"/>
    </w:pPr>
    <w:rPr>
      <w:rFonts w:ascii="宋体" w:hAnsi="宋体" w:cs="宋体"/>
      <w:kern w:val="0"/>
      <w:sz w:val="24"/>
    </w:rPr>
  </w:style>
  <w:style w:type="paragraph" w:customStyle="1" w:styleId="73">
    <w:name w:val="封面一致性程度标识2"/>
    <w:basedOn w:val="74"/>
    <w:qFormat/>
    <w:uiPriority w:val="0"/>
    <w:pPr>
      <w:framePr w:wrap="around" w:y="4469"/>
    </w:pPr>
  </w:style>
  <w:style w:type="paragraph" w:customStyle="1" w:styleId="74">
    <w:name w:val="封面一致性程度标识"/>
    <w:basedOn w:val="75"/>
    <w:qFormat/>
    <w:uiPriority w:val="0"/>
    <w:pPr>
      <w:framePr w:wrap="around"/>
      <w:spacing w:before="440"/>
    </w:pPr>
    <w:rPr>
      <w:rFonts w:ascii="宋体" w:eastAsia="宋体"/>
    </w:rPr>
  </w:style>
  <w:style w:type="paragraph" w:customStyle="1" w:styleId="75">
    <w:name w:val="封面标准英文名称"/>
    <w:basedOn w:val="76"/>
    <w:qFormat/>
    <w:uiPriority w:val="0"/>
    <w:pPr>
      <w:framePr w:wrap="around"/>
      <w:spacing w:before="370" w:line="400" w:lineRule="exact"/>
    </w:pPr>
    <w:rPr>
      <w:rFonts w:ascii="Times New Roman"/>
      <w:sz w:val="28"/>
      <w:szCs w:val="28"/>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2"/>
    <w:basedOn w:val="75"/>
    <w:qFormat/>
    <w:uiPriority w:val="0"/>
    <w:pPr>
      <w:framePr w:wrap="around" w:y="4469"/>
    </w:pPr>
  </w:style>
  <w:style w:type="paragraph" w:customStyle="1" w:styleId="78">
    <w:name w:val="其他发布日期"/>
    <w:basedOn w:val="79"/>
    <w:qFormat/>
    <w:uiPriority w:val="0"/>
    <w:pPr>
      <w:framePr w:wrap="around" w:vAnchor="page" w:hAnchor="text" w:x="1419"/>
    </w:pPr>
  </w:style>
  <w:style w:type="paragraph" w:customStyle="1" w:styleId="79">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0">
    <w:name w:val="正文公式编号制表符"/>
    <w:basedOn w:val="61"/>
    <w:next w:val="61"/>
    <w:qFormat/>
    <w:uiPriority w:val="0"/>
    <w:pPr>
      <w:ind w:firstLine="0" w:firstLineChars="0"/>
    </w:pPr>
  </w:style>
  <w:style w:type="paragraph" w:customStyle="1" w:styleId="81">
    <w:name w:val="正文表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2">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3">
    <w:name w:val="一级无"/>
    <w:basedOn w:val="67"/>
    <w:qFormat/>
    <w:uiPriority w:val="0"/>
  </w:style>
  <w:style w:type="paragraph" w:customStyle="1" w:styleId="84">
    <w:name w:val="图的脚注"/>
    <w:next w:val="61"/>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5">
    <w:name w:val="图标脚注说明"/>
    <w:basedOn w:val="61"/>
    <w:qFormat/>
    <w:uiPriority w:val="0"/>
    <w:pPr>
      <w:ind w:left="840" w:hanging="420" w:firstLineChars="0"/>
    </w:pPr>
    <w:rPr>
      <w:sz w:val="18"/>
      <w:szCs w:val="18"/>
    </w:rPr>
  </w:style>
  <w:style w:type="paragraph" w:customStyle="1" w:styleId="86">
    <w:name w:val="示例后文字"/>
    <w:basedOn w:val="61"/>
    <w:next w:val="61"/>
    <w:qFormat/>
    <w:uiPriority w:val="0"/>
    <w:pPr>
      <w:ind w:firstLine="360"/>
    </w:pPr>
    <w:rPr>
      <w:sz w:val="18"/>
    </w:rPr>
  </w:style>
  <w:style w:type="paragraph" w:customStyle="1" w:styleId="87">
    <w:name w:val="实施日期"/>
    <w:basedOn w:val="79"/>
    <w:qFormat/>
    <w:uiPriority w:val="0"/>
    <w:pPr>
      <w:framePr w:wrap="around" w:vAnchor="page" w:hAnchor="text"/>
      <w:jc w:val="right"/>
    </w:pPr>
  </w:style>
  <w:style w:type="paragraph" w:customStyle="1" w:styleId="88">
    <w:name w:val="前言、引言标题"/>
    <w:next w:val="61"/>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8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1">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2">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3">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4">
    <w:name w:val="条文脚注"/>
    <w:basedOn w:val="26"/>
    <w:qFormat/>
    <w:uiPriority w:val="0"/>
    <w:pPr>
      <w:ind w:left="0" w:firstLine="0"/>
      <w:jc w:val="both"/>
    </w:pPr>
  </w:style>
  <w:style w:type="paragraph" w:customStyle="1" w:styleId="95">
    <w:name w:val="附录一级无"/>
    <w:basedOn w:val="96"/>
    <w:qFormat/>
    <w:uiPriority w:val="0"/>
    <w:pPr>
      <w:tabs>
        <w:tab w:val="left" w:pos="360"/>
      </w:tabs>
      <w:spacing w:beforeLines="0" w:afterLines="0"/>
    </w:pPr>
    <w:rPr>
      <w:rFonts w:ascii="宋体" w:eastAsia="宋体"/>
      <w:szCs w:val="21"/>
    </w:rPr>
  </w:style>
  <w:style w:type="paragraph" w:customStyle="1" w:styleId="96">
    <w:name w:val="附录一级条标题"/>
    <w:basedOn w:val="97"/>
    <w:next w:val="61"/>
    <w:qFormat/>
    <w:uiPriority w:val="0"/>
    <w:pPr>
      <w:tabs>
        <w:tab w:val="left" w:pos="360"/>
      </w:tabs>
      <w:autoSpaceDN w:val="0"/>
      <w:spacing w:beforeLines="50" w:afterLines="50"/>
      <w:outlineLvl w:val="2"/>
    </w:pPr>
  </w:style>
  <w:style w:type="paragraph" w:customStyle="1" w:styleId="97">
    <w:name w:val="附录章标题"/>
    <w:next w:val="61"/>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附录五级无"/>
    <w:basedOn w:val="99"/>
    <w:qFormat/>
    <w:uiPriority w:val="0"/>
    <w:pPr>
      <w:tabs>
        <w:tab w:val="left" w:pos="360"/>
      </w:tabs>
      <w:spacing w:beforeLines="0" w:afterLines="0"/>
    </w:pPr>
    <w:rPr>
      <w:rFonts w:ascii="宋体" w:eastAsia="宋体"/>
      <w:szCs w:val="21"/>
    </w:rPr>
  </w:style>
  <w:style w:type="paragraph" w:customStyle="1" w:styleId="99">
    <w:name w:val="附录五级条标题"/>
    <w:basedOn w:val="100"/>
    <w:next w:val="61"/>
    <w:qFormat/>
    <w:uiPriority w:val="0"/>
    <w:pPr>
      <w:tabs>
        <w:tab w:val="left" w:pos="360"/>
      </w:tabs>
      <w:outlineLvl w:val="6"/>
    </w:pPr>
  </w:style>
  <w:style w:type="paragraph" w:customStyle="1" w:styleId="100">
    <w:name w:val="附录四级条标题"/>
    <w:basedOn w:val="101"/>
    <w:next w:val="61"/>
    <w:qFormat/>
    <w:uiPriority w:val="0"/>
    <w:pPr>
      <w:tabs>
        <w:tab w:val="left" w:pos="360"/>
      </w:tabs>
    </w:pPr>
  </w:style>
  <w:style w:type="paragraph" w:customStyle="1" w:styleId="101">
    <w:name w:val="附录三级条标题"/>
    <w:basedOn w:val="102"/>
    <w:next w:val="61"/>
    <w:qFormat/>
    <w:uiPriority w:val="0"/>
    <w:pPr>
      <w:tabs>
        <w:tab w:val="left" w:pos="360"/>
      </w:tabs>
    </w:pPr>
  </w:style>
  <w:style w:type="paragraph" w:customStyle="1" w:styleId="102">
    <w:name w:val="附录二级条标题"/>
    <w:basedOn w:val="1"/>
    <w:next w:val="61"/>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3">
    <w:name w:val="附录图标题"/>
    <w:basedOn w:val="1"/>
    <w:next w:val="61"/>
    <w:qFormat/>
    <w:uiPriority w:val="0"/>
    <w:pPr>
      <w:tabs>
        <w:tab w:val="left" w:pos="363"/>
      </w:tabs>
      <w:spacing w:beforeLines="50" w:afterLines="50"/>
      <w:jc w:val="center"/>
    </w:pPr>
    <w:rPr>
      <w:rFonts w:ascii="黑体" w:eastAsia="黑体"/>
      <w:szCs w:val="21"/>
    </w:rPr>
  </w:style>
  <w:style w:type="paragraph" w:customStyle="1" w:styleId="104">
    <w:name w:val="附录图标号"/>
    <w:basedOn w:val="1"/>
    <w:qFormat/>
    <w:uiPriority w:val="0"/>
    <w:pPr>
      <w:keepNext/>
      <w:pageBreakBefore/>
      <w:spacing w:line="14" w:lineRule="exact"/>
      <w:ind w:firstLine="363"/>
      <w:jc w:val="center"/>
      <w:outlineLvl w:val="0"/>
    </w:pPr>
    <w:rPr>
      <w:color w:val="FFFFFF"/>
    </w:rPr>
  </w:style>
  <w:style w:type="paragraph" w:customStyle="1" w:styleId="105">
    <w:name w:val="附录四级无"/>
    <w:basedOn w:val="100"/>
    <w:qFormat/>
    <w:uiPriority w:val="0"/>
    <w:pPr>
      <w:tabs>
        <w:tab w:val="clear" w:pos="360"/>
      </w:tabs>
      <w:spacing w:beforeLines="0" w:afterLines="0"/>
      <w:outlineLvl w:val="5"/>
    </w:pPr>
    <w:rPr>
      <w:rFonts w:ascii="宋体" w:eastAsia="宋体"/>
      <w:szCs w:val="21"/>
    </w:rPr>
  </w:style>
  <w:style w:type="paragraph" w:customStyle="1" w:styleId="106">
    <w:name w:val="附录三级无"/>
    <w:basedOn w:val="101"/>
    <w:qFormat/>
    <w:uiPriority w:val="0"/>
  </w:style>
  <w:style w:type="paragraph" w:customStyle="1" w:styleId="107">
    <w:name w:val="注："/>
    <w:next w:val="61"/>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8">
    <w:name w:val="附录公式编号制表符"/>
    <w:basedOn w:val="1"/>
    <w:next w:val="61"/>
    <w:qFormat/>
    <w:uiPriority w:val="0"/>
    <w:pPr>
      <w:tabs>
        <w:tab w:val="center" w:pos="4201"/>
        <w:tab w:val="right" w:leader="dot" w:pos="9298"/>
      </w:tabs>
      <w:autoSpaceDE w:val="0"/>
      <w:autoSpaceDN w:val="0"/>
    </w:pPr>
    <w:rPr>
      <w:rFonts w:ascii="宋体"/>
      <w:kern w:val="0"/>
      <w:szCs w:val="20"/>
    </w:rPr>
  </w:style>
  <w:style w:type="paragraph" w:customStyle="1" w:styleId="109">
    <w:name w:val="附录二级无"/>
    <w:basedOn w:val="102"/>
    <w:qFormat/>
    <w:uiPriority w:val="0"/>
  </w:style>
  <w:style w:type="paragraph" w:customStyle="1" w:styleId="110">
    <w:name w:val="附录标题"/>
    <w:basedOn w:val="61"/>
    <w:next w:val="61"/>
    <w:qFormat/>
    <w:uiPriority w:val="0"/>
    <w:pPr>
      <w:ind w:firstLine="0" w:firstLineChars="0"/>
      <w:jc w:val="center"/>
    </w:pPr>
    <w:rPr>
      <w:rFonts w:ascii="黑体" w:eastAsia="黑体"/>
    </w:rPr>
  </w:style>
  <w:style w:type="paragraph" w:customStyle="1" w:styleId="111">
    <w:name w:val="参考文献"/>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2">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3">
    <w:name w:val="封面标准文稿类别"/>
    <w:basedOn w:val="74"/>
    <w:qFormat/>
    <w:uiPriority w:val="0"/>
    <w:pPr>
      <w:framePr w:wrap="around"/>
      <w:spacing w:after="160" w:line="240" w:lineRule="auto"/>
    </w:pPr>
    <w:rPr>
      <w:sz w:val="24"/>
    </w:rPr>
  </w:style>
  <w:style w:type="paragraph" w:customStyle="1" w:styleId="114">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5">
    <w:name w:val="其他实施日期"/>
    <w:basedOn w:val="87"/>
    <w:qFormat/>
    <w:uiPriority w:val="0"/>
    <w:pPr>
      <w:framePr w:wrap="around" w:vAnchor="margin" w:hAnchor="page"/>
    </w:p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发布部门"/>
    <w:next w:val="61"/>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8">
    <w:name w:val="注：（正文）"/>
    <w:basedOn w:val="107"/>
    <w:next w:val="61"/>
    <w:qFormat/>
    <w:uiPriority w:val="0"/>
  </w:style>
  <w:style w:type="paragraph" w:customStyle="1" w:styleId="119">
    <w:name w:val="参考文献、索引标题"/>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2">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3">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4">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5">
    <w:name w:val="示例×："/>
    <w:basedOn w:val="126"/>
    <w:qFormat/>
    <w:uiPriority w:val="0"/>
    <w:pPr>
      <w:spacing w:beforeLines="0" w:afterLines="0"/>
      <w:ind w:firstLine="363"/>
      <w:outlineLvl w:val="9"/>
    </w:pPr>
    <w:rPr>
      <w:rFonts w:ascii="宋体" w:eastAsia="宋体"/>
      <w:sz w:val="18"/>
      <w:szCs w:val="18"/>
    </w:rPr>
  </w:style>
  <w:style w:type="paragraph" w:customStyle="1" w:styleId="126">
    <w:name w:val="章标题"/>
    <w:next w:val="61"/>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7">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8">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9">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0">
    <w:name w:val="五级无"/>
    <w:basedOn w:val="131"/>
    <w:qFormat/>
    <w:uiPriority w:val="0"/>
    <w:pPr>
      <w:spacing w:beforeLines="0" w:afterLines="0"/>
      <w:outlineLvl w:val="6"/>
    </w:pPr>
    <w:rPr>
      <w:rFonts w:ascii="宋体" w:eastAsia="宋体"/>
    </w:rPr>
  </w:style>
  <w:style w:type="paragraph" w:customStyle="1" w:styleId="131">
    <w:name w:val="五级条标题"/>
    <w:basedOn w:val="132"/>
    <w:next w:val="61"/>
    <w:qFormat/>
    <w:uiPriority w:val="0"/>
  </w:style>
  <w:style w:type="paragraph" w:customStyle="1" w:styleId="132">
    <w:name w:val="四级条标题"/>
    <w:basedOn w:val="133"/>
    <w:next w:val="61"/>
    <w:qFormat/>
    <w:uiPriority w:val="0"/>
  </w:style>
  <w:style w:type="paragraph" w:customStyle="1" w:styleId="133">
    <w:name w:val="三级条标题"/>
    <w:basedOn w:val="134"/>
    <w:next w:val="61"/>
    <w:qFormat/>
    <w:uiPriority w:val="0"/>
  </w:style>
  <w:style w:type="paragraph" w:customStyle="1" w:styleId="134">
    <w:name w:val="二级条标题"/>
    <w:basedOn w:val="67"/>
    <w:next w:val="61"/>
    <w:qFormat/>
    <w:uiPriority w:val="0"/>
  </w:style>
  <w:style w:type="paragraph" w:customStyle="1" w:styleId="135">
    <w:name w:val="四级无"/>
    <w:basedOn w:val="132"/>
    <w:qFormat/>
    <w:uiPriority w:val="0"/>
  </w:style>
  <w:style w:type="paragraph" w:customStyle="1" w:styleId="136">
    <w:name w:val="三级无"/>
    <w:basedOn w:val="133"/>
    <w:qFormat/>
    <w:uiPriority w:val="0"/>
  </w:style>
  <w:style w:type="paragraph" w:customStyle="1" w:styleId="137">
    <w:name w:val="其他标准标志"/>
    <w:basedOn w:val="121"/>
    <w:qFormat/>
    <w:uiPriority w:val="0"/>
    <w:pPr>
      <w:framePr w:w="6101" w:wrap="around" w:vAnchor="page" w:hAnchor="page" w:x="4673" w:y="942"/>
    </w:pPr>
    <w:rPr>
      <w:w w:val="130"/>
    </w:rPr>
  </w:style>
  <w:style w:type="paragraph" w:customStyle="1" w:styleId="138">
    <w:name w:val="目次、标准名称标题"/>
    <w:basedOn w:val="1"/>
    <w:next w:val="61"/>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0">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1">
    <w:name w:val="批注框文本 字符"/>
    <w:basedOn w:val="37"/>
    <w:link w:val="20"/>
    <w:semiHidden/>
    <w:qFormat/>
    <w:uiPriority w:val="99"/>
    <w:rPr>
      <w:rFonts w:ascii="Times New Roman" w:hAnsi="Times New Roman" w:eastAsia="宋体" w:cs="Times New Roman"/>
      <w:sz w:val="18"/>
      <w:szCs w:val="18"/>
    </w:rPr>
  </w:style>
  <w:style w:type="paragraph" w:customStyle="1" w:styleId="142">
    <w:name w:val="列项◆（三级）"/>
    <w:basedOn w:val="1"/>
    <w:qFormat/>
    <w:uiPriority w:val="99"/>
    <w:pPr>
      <w:tabs>
        <w:tab w:val="left" w:pos="969"/>
      </w:tabs>
      <w:ind w:left="969" w:hanging="414"/>
    </w:pPr>
    <w:rPr>
      <w:rFonts w:ascii="宋体"/>
      <w:szCs w:val="21"/>
    </w:rPr>
  </w:style>
  <w:style w:type="paragraph" w:customStyle="1" w:styleId="143">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4">
    <w:name w:val="页眉 字符"/>
    <w:basedOn w:val="37"/>
    <w:link w:val="22"/>
    <w:semiHidden/>
    <w:qFormat/>
    <w:uiPriority w:val="99"/>
    <w:rPr>
      <w:rFonts w:ascii="Times New Roman" w:hAnsi="Times New Roman" w:eastAsia="宋体" w:cs="Times New Roman"/>
      <w:sz w:val="18"/>
      <w:szCs w:val="18"/>
    </w:rPr>
  </w:style>
  <w:style w:type="paragraph" w:customStyle="1" w:styleId="145">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6">
    <w:name w:val="其他发布部门"/>
    <w:basedOn w:val="117"/>
    <w:qFormat/>
    <w:uiPriority w:val="0"/>
    <w:pPr>
      <w:framePr w:wrap="around" w:y="15310"/>
      <w:spacing w:line="0" w:lineRule="atLeast"/>
    </w:pPr>
    <w:rPr>
      <w:rFonts w:ascii="黑体" w:eastAsia="黑体"/>
      <w:b w:val="0"/>
    </w:rPr>
  </w:style>
  <w:style w:type="paragraph" w:customStyle="1" w:styleId="147">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8">
    <w:name w:val="正文图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49">
    <w:name w:val="HTML 预设格式 字符"/>
    <w:basedOn w:val="37"/>
    <w:link w:val="30"/>
    <w:semiHidden/>
    <w:qFormat/>
    <w:uiPriority w:val="99"/>
    <w:rPr>
      <w:rFonts w:ascii="Courier New" w:hAnsi="Courier New" w:eastAsia="宋体" w:cs="Courier New"/>
      <w:sz w:val="20"/>
      <w:szCs w:val="20"/>
    </w:rPr>
  </w:style>
  <w:style w:type="paragraph" w:customStyle="1" w:styleId="150">
    <w:name w:val="附录标识"/>
    <w:basedOn w:val="1"/>
    <w:next w:val="61"/>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1">
    <w:name w:val="脚注文本 字符"/>
    <w:basedOn w:val="37"/>
    <w:link w:val="26"/>
    <w:semiHidden/>
    <w:qFormat/>
    <w:uiPriority w:val="99"/>
    <w:rPr>
      <w:rFonts w:ascii="Times New Roman" w:hAnsi="Times New Roman" w:eastAsia="宋体" w:cs="Times New Roman"/>
      <w:sz w:val="18"/>
      <w:szCs w:val="18"/>
    </w:rPr>
  </w:style>
  <w:style w:type="paragraph" w:customStyle="1" w:styleId="152">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3">
    <w:name w:val="二级无"/>
    <w:basedOn w:val="134"/>
    <w:qFormat/>
    <w:uiPriority w:val="0"/>
  </w:style>
  <w:style w:type="paragraph" w:customStyle="1" w:styleId="154">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5">
    <w:name w:val="正文文本缩进 2 字符"/>
    <w:basedOn w:val="37"/>
    <w:link w:val="18"/>
    <w:semiHidden/>
    <w:qFormat/>
    <w:uiPriority w:val="99"/>
    <w:rPr>
      <w:rFonts w:ascii="Times New Roman" w:hAnsi="Times New Roman" w:eastAsia="宋体" w:cs="Times New Roman"/>
      <w:szCs w:val="24"/>
    </w:rPr>
  </w:style>
  <w:style w:type="paragraph" w:customStyle="1" w:styleId="156">
    <w:name w:val="封面标准文稿编辑信息2"/>
    <w:basedOn w:val="157"/>
    <w:qFormat/>
    <w:uiPriority w:val="0"/>
    <w:pPr>
      <w:framePr w:wrap="around" w:y="4469"/>
    </w:pPr>
  </w:style>
  <w:style w:type="paragraph" w:customStyle="1" w:styleId="157">
    <w:name w:val="封面标准文稿编辑信息"/>
    <w:basedOn w:val="113"/>
    <w:qFormat/>
    <w:uiPriority w:val="0"/>
    <w:pPr>
      <w:framePr w:wrap="around"/>
      <w:spacing w:before="180" w:line="180" w:lineRule="exact"/>
    </w:pPr>
    <w:rPr>
      <w:sz w:val="21"/>
    </w:rPr>
  </w:style>
  <w:style w:type="paragraph" w:customStyle="1" w:styleId="158">
    <w:name w:val="附录表标题"/>
    <w:basedOn w:val="1"/>
    <w:next w:val="61"/>
    <w:qFormat/>
    <w:uiPriority w:val="0"/>
    <w:pPr>
      <w:tabs>
        <w:tab w:val="left" w:pos="180"/>
      </w:tabs>
      <w:spacing w:beforeLines="50" w:afterLines="50"/>
      <w:jc w:val="center"/>
    </w:pPr>
    <w:rPr>
      <w:rFonts w:ascii="黑体" w:eastAsia="黑体"/>
      <w:szCs w:val="21"/>
    </w:rPr>
  </w:style>
  <w:style w:type="paragraph" w:customStyle="1" w:styleId="159">
    <w:name w:val="标准书眉_偶数页"/>
    <w:basedOn w:val="143"/>
    <w:next w:val="1"/>
    <w:qFormat/>
    <w:uiPriority w:val="0"/>
    <w:pPr>
      <w:jc w:val="left"/>
    </w:pPr>
  </w:style>
  <w:style w:type="paragraph" w:customStyle="1" w:styleId="160">
    <w:name w:val="附录表标号"/>
    <w:basedOn w:val="1"/>
    <w:next w:val="61"/>
    <w:qFormat/>
    <w:uiPriority w:val="0"/>
    <w:pPr>
      <w:spacing w:line="14" w:lineRule="exact"/>
      <w:ind w:left="811" w:hanging="448"/>
      <w:jc w:val="center"/>
      <w:outlineLvl w:val="0"/>
    </w:pPr>
    <w:rPr>
      <w:color w:val="FFFFFF"/>
    </w:rPr>
  </w:style>
  <w:style w:type="paragraph" w:customStyle="1" w:styleId="161">
    <w:name w:val="图表脚注说明"/>
    <w:basedOn w:val="1"/>
    <w:qFormat/>
    <w:uiPriority w:val="0"/>
    <w:pPr>
      <w:ind w:left="544" w:hanging="181"/>
    </w:pPr>
    <w:rPr>
      <w:rFonts w:ascii="宋体"/>
      <w:sz w:val="18"/>
      <w:szCs w:val="18"/>
    </w:rPr>
  </w:style>
  <w:style w:type="character" w:customStyle="1" w:styleId="162">
    <w:name w:val="页脚 字符"/>
    <w:basedOn w:val="37"/>
    <w:link w:val="21"/>
    <w:semiHidden/>
    <w:qFormat/>
    <w:uiPriority w:val="99"/>
    <w:rPr>
      <w:rFonts w:ascii="Times New Roman" w:hAnsi="Times New Roman" w:eastAsia="宋体" w:cs="Times New Roman"/>
      <w:sz w:val="18"/>
      <w:szCs w:val="18"/>
    </w:rPr>
  </w:style>
  <w:style w:type="character" w:customStyle="1" w:styleId="163">
    <w:name w:val="批注文字 字符"/>
    <w:basedOn w:val="37"/>
    <w:link w:val="10"/>
    <w:semiHidden/>
    <w:qFormat/>
    <w:uiPriority w:val="99"/>
    <w:rPr>
      <w:rFonts w:ascii="Times New Roman" w:hAnsi="Times New Roman" w:eastAsia="宋体" w:cs="Times New Roman"/>
      <w:szCs w:val="24"/>
    </w:rPr>
  </w:style>
  <w:style w:type="paragraph" w:customStyle="1" w:styleId="164">
    <w:name w:val="封面标准名称2"/>
    <w:basedOn w:val="76"/>
    <w:qFormat/>
    <w:uiPriority w:val="0"/>
    <w:pPr>
      <w:framePr w:wrap="around" w:y="4469"/>
      <w:spacing w:beforeLines="630"/>
    </w:pPr>
  </w:style>
  <w:style w:type="character" w:customStyle="1" w:styleId="165">
    <w:name w:val="日期 字符"/>
    <w:basedOn w:val="37"/>
    <w:link w:val="17"/>
    <w:semiHidden/>
    <w:qFormat/>
    <w:uiPriority w:val="99"/>
    <w:rPr>
      <w:rFonts w:ascii="Times New Roman" w:hAnsi="Times New Roman" w:eastAsia="宋体" w:cs="Times New Roman"/>
      <w:szCs w:val="24"/>
    </w:rPr>
  </w:style>
  <w:style w:type="character" w:customStyle="1" w:styleId="166">
    <w:name w:val="文档结构图 字符"/>
    <w:basedOn w:val="37"/>
    <w:link w:val="9"/>
    <w:semiHidden/>
    <w:qFormat/>
    <w:uiPriority w:val="99"/>
    <w:rPr>
      <w:rFonts w:ascii="宋体" w:hAnsi="Times New Roman" w:eastAsia="宋体" w:cs="Times New Roman"/>
      <w:sz w:val="18"/>
      <w:szCs w:val="18"/>
    </w:rPr>
  </w:style>
  <w:style w:type="paragraph" w:customStyle="1" w:styleId="167">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8">
    <w:name w:val="封面标准文稿类别2"/>
    <w:basedOn w:val="113"/>
    <w:qFormat/>
    <w:uiPriority w:val="0"/>
    <w:pPr>
      <w:framePr w:wrap="around" w:y="4469"/>
    </w:pPr>
  </w:style>
  <w:style w:type="paragraph" w:customStyle="1" w:styleId="169">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0">
    <w:name w:val="终结线"/>
    <w:basedOn w:val="1"/>
    <w:qFormat/>
    <w:uiPriority w:val="0"/>
    <w:pPr>
      <w:framePr w:hSpace="181" w:vSpace="181" w:wrap="around" w:vAnchor="text" w:hAnchor="margin" w:xAlign="center" w:y="285"/>
    </w:pPr>
  </w:style>
  <w:style w:type="character" w:customStyle="1" w:styleId="171">
    <w:name w:val="批注主题 字符"/>
    <w:basedOn w:val="163"/>
    <w:link w:val="34"/>
    <w:semiHidden/>
    <w:qFormat/>
    <w:uiPriority w:val="99"/>
    <w:rPr>
      <w:rFonts w:ascii="Times New Roman" w:hAnsi="Times New Roman" w:eastAsia="宋体" w:cs="Times New Roman"/>
      <w:b/>
      <w:bCs/>
      <w:szCs w:val="24"/>
    </w:rPr>
  </w:style>
  <w:style w:type="character" w:customStyle="1" w:styleId="172">
    <w:name w:val="尾注文本 字符"/>
    <w:basedOn w:val="37"/>
    <w:link w:val="19"/>
    <w:semiHidden/>
    <w:qFormat/>
    <w:uiPriority w:val="99"/>
    <w:rPr>
      <w:rFonts w:ascii="Times New Roman" w:hAnsi="Times New Roman" w:eastAsia="宋体" w:cs="Times New Roman"/>
      <w:szCs w:val="24"/>
    </w:rPr>
  </w:style>
  <w:style w:type="paragraph" w:customStyle="1" w:styleId="173">
    <w:name w:val="示例"/>
    <w:next w:val="124"/>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4">
    <w:name w:val="正文文本 3 字符"/>
    <w:basedOn w:val="37"/>
    <w:link w:val="12"/>
    <w:semiHidden/>
    <w:qFormat/>
    <w:uiPriority w:val="99"/>
    <w:rPr>
      <w:rFonts w:ascii="Times New Roman" w:hAnsi="Times New Roman" w:eastAsia="宋体" w:cs="Times New Roman"/>
      <w:sz w:val="16"/>
      <w:szCs w:val="16"/>
    </w:rPr>
  </w:style>
  <w:style w:type="character" w:customStyle="1" w:styleId="175">
    <w:name w:val="标题 字符"/>
    <w:basedOn w:val="37"/>
    <w:link w:val="33"/>
    <w:qFormat/>
    <w:uiPriority w:val="0"/>
    <w:rPr>
      <w:rFonts w:ascii="Arial" w:hAnsi="Arial" w:eastAsia="宋体" w:cs="Times New Roman"/>
      <w:b/>
      <w:kern w:val="0"/>
      <w:sz w:val="32"/>
      <w:szCs w:val="20"/>
    </w:rPr>
  </w:style>
  <w:style w:type="paragraph" w:customStyle="1" w:styleId="176">
    <w:name w:val="p0"/>
    <w:basedOn w:val="1"/>
    <w:qFormat/>
    <w:uiPriority w:val="0"/>
    <w:pPr>
      <w:spacing w:line="240" w:lineRule="auto"/>
      <w:jc w:val="both"/>
    </w:pPr>
    <w:rPr>
      <w:kern w:val="0"/>
      <w:szCs w:val="21"/>
    </w:rPr>
  </w:style>
  <w:style w:type="character" w:customStyle="1" w:styleId="177">
    <w:name w:val="纯文本 字符"/>
    <w:basedOn w:val="37"/>
    <w:link w:val="15"/>
    <w:qFormat/>
    <w:uiPriority w:val="99"/>
    <w:rPr>
      <w:rFonts w:ascii="宋体" w:hAnsi="Courier New" w:eastAsia="宋体" w:cs="Courier New"/>
      <w:szCs w:val="21"/>
    </w:rPr>
  </w:style>
  <w:style w:type="paragraph" w:customStyle="1" w:styleId="178">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customStyle="1" w:styleId="1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0">
    <w:name w:val="正文文本 字符"/>
    <w:basedOn w:val="37"/>
    <w:link w:val="13"/>
    <w:semiHidden/>
    <w:qFormat/>
    <w:uiPriority w:val="99"/>
    <w:rPr>
      <w:kern w:val="2"/>
      <w:sz w:val="21"/>
      <w:szCs w:val="24"/>
    </w:rPr>
  </w:style>
  <w:style w:type="paragraph" w:customStyle="1" w:styleId="181">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2">
    <w:name w:val="标题 4 字符"/>
    <w:basedOn w:val="37"/>
    <w:link w:val="5"/>
    <w:semiHidden/>
    <w:qFormat/>
    <w:uiPriority w:val="9"/>
    <w:rPr>
      <w:rFonts w:asciiTheme="majorHAnsi" w:hAnsiTheme="majorHAnsi" w:eastAsiaTheme="majorEastAsia" w:cstheme="majorBidi"/>
      <w:b/>
      <w:bCs/>
      <w:kern w:val="2"/>
      <w:sz w:val="28"/>
      <w:szCs w:val="28"/>
    </w:rPr>
  </w:style>
  <w:style w:type="paragraph" w:customStyle="1" w:styleId="183">
    <w:name w:val="_Style 2"/>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5">
    <w:name w:val="msonormal"/>
    <w:basedOn w:val="1"/>
    <w:qFormat/>
    <w:uiPriority w:val="0"/>
    <w:pPr>
      <w:spacing w:before="100" w:beforeAutospacing="1" w:after="100" w:afterAutospacing="1" w:line="240" w:lineRule="auto"/>
    </w:pPr>
    <w:rPr>
      <w:rFonts w:ascii="宋体" w:hAnsi="宋体" w:cs="宋体"/>
      <w:kern w:val="0"/>
      <w:sz w:val="24"/>
    </w:rPr>
  </w:style>
  <w:style w:type="paragraph" w:customStyle="1" w:styleId="186">
    <w:name w:val="font0"/>
    <w:basedOn w:val="1"/>
    <w:qFormat/>
    <w:uiPriority w:val="0"/>
    <w:pPr>
      <w:spacing w:before="100" w:beforeAutospacing="1" w:after="100" w:afterAutospacing="1" w:line="240" w:lineRule="auto"/>
    </w:pPr>
    <w:rPr>
      <w:rFonts w:ascii="宋体" w:hAnsi="宋体" w:cs="宋体"/>
      <w:kern w:val="0"/>
      <w:sz w:val="24"/>
    </w:rPr>
  </w:style>
  <w:style w:type="paragraph" w:customStyle="1" w:styleId="187">
    <w:name w:val="font5"/>
    <w:basedOn w:val="1"/>
    <w:qFormat/>
    <w:uiPriority w:val="0"/>
    <w:pPr>
      <w:spacing w:before="100" w:beforeAutospacing="1" w:after="100" w:afterAutospacing="1" w:line="240" w:lineRule="auto"/>
    </w:pPr>
    <w:rPr>
      <w:rFonts w:ascii="宋体" w:hAnsi="宋体" w:cs="宋体"/>
      <w:kern w:val="0"/>
      <w:sz w:val="24"/>
    </w:rPr>
  </w:style>
  <w:style w:type="paragraph" w:customStyle="1" w:styleId="188">
    <w:name w:val="font6"/>
    <w:basedOn w:val="1"/>
    <w:qFormat/>
    <w:uiPriority w:val="0"/>
    <w:pPr>
      <w:spacing w:before="100" w:beforeAutospacing="1" w:after="100" w:afterAutospacing="1" w:line="240" w:lineRule="auto"/>
    </w:pPr>
    <w:rPr>
      <w:rFonts w:ascii="宋体" w:hAnsi="宋体" w:cs="宋体"/>
      <w:kern w:val="0"/>
      <w:sz w:val="18"/>
      <w:szCs w:val="18"/>
    </w:rPr>
  </w:style>
  <w:style w:type="paragraph" w:customStyle="1" w:styleId="189">
    <w:name w:val="xl65"/>
    <w:basedOn w:val="1"/>
    <w:qFormat/>
    <w:uiPriority w:val="0"/>
    <w:pPr>
      <w:spacing w:before="100" w:beforeAutospacing="1" w:after="100" w:afterAutospacing="1" w:line="240" w:lineRule="auto"/>
      <w:jc w:val="center"/>
    </w:pPr>
    <w:rPr>
      <w:rFonts w:ascii="宋体" w:hAnsi="宋体" w:cs="宋体"/>
      <w:kern w:val="0"/>
      <w:sz w:val="24"/>
    </w:rPr>
  </w:style>
  <w:style w:type="paragraph" w:customStyle="1" w:styleId="190">
    <w:name w:val="xl66"/>
    <w:basedOn w:val="1"/>
    <w:qFormat/>
    <w:uiPriority w:val="0"/>
    <w:pPr>
      <w:spacing w:before="100" w:beforeAutospacing="1" w:after="100" w:afterAutospacing="1" w:line="240" w:lineRule="auto"/>
      <w:jc w:val="center"/>
    </w:pPr>
    <w:rPr>
      <w:rFonts w:ascii="宋体" w:hAnsi="宋体" w:cs="宋体"/>
      <w:kern w:val="0"/>
      <w:sz w:val="24"/>
    </w:rPr>
  </w:style>
  <w:style w:type="paragraph" w:customStyle="1" w:styleId="19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9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193">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94">
    <w:name w:val="xl7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95">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9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9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9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19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4"/>
    </w:rPr>
  </w:style>
  <w:style w:type="paragraph" w:customStyle="1" w:styleId="20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20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202">
    <w:name w:val="xl78"/>
    <w:basedOn w:val="1"/>
    <w:qFormat/>
    <w:uiPriority w:val="0"/>
    <w:pPr>
      <w:pBdr>
        <w:left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20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04">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20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20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207">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20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4"/>
    </w:rPr>
  </w:style>
  <w:style w:type="paragraph" w:customStyle="1" w:styleId="209">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4"/>
    </w:rPr>
  </w:style>
  <w:style w:type="paragraph" w:customStyle="1" w:styleId="210">
    <w:name w:val="xl86"/>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211">
    <w:name w:val="xl8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21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213">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214">
    <w:name w:val="xl90"/>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215">
    <w:name w:val="xl9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21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21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218">
    <w:name w:val="xl9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4"/>
    </w:rPr>
  </w:style>
  <w:style w:type="paragraph" w:customStyle="1" w:styleId="21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220">
    <w:name w:val="xl96"/>
    <w:basedOn w:val="1"/>
    <w:qFormat/>
    <w:uiPriority w:val="0"/>
    <w:pPr>
      <w:spacing w:before="100" w:beforeAutospacing="1" w:after="100" w:afterAutospacing="1" w:line="240" w:lineRule="auto"/>
      <w:jc w:val="center"/>
    </w:pPr>
    <w:rPr>
      <w:rFonts w:ascii="宋体" w:hAnsi="宋体" w:cs="宋体"/>
      <w:b/>
      <w:bCs/>
      <w:kern w:val="0"/>
      <w:sz w:val="28"/>
      <w:szCs w:val="28"/>
    </w:rPr>
  </w:style>
  <w:style w:type="paragraph" w:customStyle="1" w:styleId="221">
    <w:name w:val="xl97"/>
    <w:basedOn w:val="1"/>
    <w:qFormat/>
    <w:uiPriority w:val="0"/>
    <w:pPr>
      <w:spacing w:before="100" w:beforeAutospacing="1" w:after="100" w:afterAutospacing="1" w:line="240" w:lineRule="auto"/>
      <w:jc w:val="center"/>
    </w:pPr>
    <w:rPr>
      <w:rFonts w:ascii="宋体" w:hAnsi="宋体" w:cs="宋体"/>
      <w:b/>
      <w:bCs/>
      <w:kern w:val="0"/>
      <w:sz w:val="36"/>
      <w:szCs w:val="36"/>
    </w:rPr>
  </w:style>
  <w:style w:type="paragraph" w:customStyle="1" w:styleId="222">
    <w:name w:val="xl98"/>
    <w:basedOn w:val="1"/>
    <w:qFormat/>
    <w:uiPriority w:val="0"/>
    <w:pPr>
      <w:spacing w:before="100" w:beforeAutospacing="1" w:after="100" w:afterAutospacing="1" w:line="240" w:lineRule="auto"/>
    </w:pPr>
    <w:rPr>
      <w:rFonts w:ascii="宋体" w:hAnsi="宋体" w:cs="宋体"/>
      <w:kern w:val="0"/>
      <w:sz w:val="24"/>
    </w:rPr>
  </w:style>
  <w:style w:type="paragraph" w:customStyle="1" w:styleId="223">
    <w:name w:val="xl99"/>
    <w:basedOn w:val="1"/>
    <w:qFormat/>
    <w:uiPriority w:val="0"/>
    <w:pPr>
      <w:spacing w:before="100" w:beforeAutospacing="1" w:after="100" w:afterAutospacing="1" w:line="240" w:lineRule="auto"/>
      <w:jc w:val="center"/>
    </w:pPr>
    <w:rPr>
      <w:rFonts w:ascii="宋体" w:hAnsi="宋体" w:cs="宋体"/>
      <w:kern w:val="0"/>
      <w:sz w:val="24"/>
    </w:rPr>
  </w:style>
  <w:style w:type="paragraph" w:customStyle="1" w:styleId="224">
    <w:name w:val="xl100"/>
    <w:basedOn w:val="1"/>
    <w:qFormat/>
    <w:uiPriority w:val="0"/>
    <w:pPr>
      <w:spacing w:before="100" w:beforeAutospacing="1" w:after="100" w:afterAutospacing="1" w:line="240" w:lineRule="auto"/>
      <w:jc w:val="center"/>
    </w:pPr>
    <w:rPr>
      <w:rFonts w:ascii="宋体" w:hAnsi="宋体" w:cs="宋体"/>
      <w:b/>
      <w:bCs/>
      <w:kern w:val="0"/>
      <w:sz w:val="28"/>
      <w:szCs w:val="28"/>
    </w:rPr>
  </w:style>
  <w:style w:type="paragraph" w:customStyle="1" w:styleId="225">
    <w:name w:val="xl10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226">
    <w:name w:val="WPSOffice手动目录 1"/>
    <w:qFormat/>
    <w:uiPriority w:val="0"/>
    <w:rPr>
      <w:rFonts w:ascii="Times New Roman" w:hAnsi="Times New Roman" w:eastAsia="宋体" w:cs="Times New Roman"/>
      <w:lang w:val="en-US" w:eastAsia="zh-CN" w:bidi="ar-SA"/>
    </w:rPr>
  </w:style>
  <w:style w:type="paragraph" w:customStyle="1" w:styleId="22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28">
    <w:name w:val="标题 3 字符"/>
    <w:basedOn w:val="37"/>
    <w:link w:val="4"/>
    <w:semiHidden/>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CCD6C-217F-40B0-82C1-42DA7BA2403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4154</Words>
  <Characters>23682</Characters>
  <Lines>197</Lines>
  <Paragraphs>55</Paragraphs>
  <TotalTime>19</TotalTime>
  <ScaleCrop>false</ScaleCrop>
  <LinksUpToDate>false</LinksUpToDate>
  <CharactersWithSpaces>27781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2022-02-11T07:48:00Z</cp:lastPrinted>
  <dcterms:modified xsi:type="dcterms:W3CDTF">2022-02-28T07:39:44Z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20187E4216284010B8E0511CEEBBDBFD</vt:lpwstr>
  </property>
</Properties>
</file>