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highlight w:val="none"/>
          <w:u w:val="none"/>
          <w:lang w:val="en-US" w:eastAsia="zh-CN" w:bidi="ar"/>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highlight w:val="none"/>
          <w:u w:val="none"/>
          <w:lang w:val="en-US" w:eastAsia="zh-CN" w:bidi="ar"/>
        </w:rPr>
      </w:pPr>
      <w:bookmarkStart w:id="61" w:name="_GoBack"/>
      <w:bookmarkEnd w:id="61"/>
    </w:p>
    <w:p>
      <w:pPr>
        <w:snapToGrid w:val="0"/>
        <w:spacing w:line="900" w:lineRule="exact"/>
        <w:jc w:val="center"/>
        <w:rPr>
          <w:rFonts w:hint="eastAsia" w:ascii="黑体" w:hAnsi="黑体" w:eastAsia="黑体"/>
          <w:b/>
          <w:bCs/>
          <w:color w:val="auto"/>
          <w:sz w:val="48"/>
          <w:szCs w:val="48"/>
          <w:highlight w:val="none"/>
        </w:rPr>
      </w:pPr>
      <w:r>
        <w:rPr>
          <w:rFonts w:hint="eastAsia" w:ascii="黑体" w:hAnsi="黑体" w:eastAsia="黑体"/>
          <w:b/>
          <w:bCs/>
          <w:color w:val="auto"/>
          <w:sz w:val="48"/>
          <w:szCs w:val="48"/>
          <w:highlight w:val="none"/>
          <w:lang w:val="en-US" w:eastAsia="zh-CN"/>
        </w:rPr>
        <w:t>岳阳城陵矶港务有限责任公司</w:t>
      </w:r>
    </w:p>
    <w:p>
      <w:pPr>
        <w:spacing w:line="360" w:lineRule="auto"/>
        <w:jc w:val="center"/>
        <w:rPr>
          <w:rFonts w:hint="eastAsia" w:ascii="黑体" w:hAnsi="黑体" w:eastAsia="黑体"/>
          <w:b/>
          <w:bCs/>
          <w:color w:val="auto"/>
          <w:sz w:val="48"/>
          <w:szCs w:val="48"/>
          <w:highlight w:val="none"/>
          <w:lang w:val="en-US" w:eastAsia="zh-CN"/>
        </w:rPr>
      </w:pPr>
      <w:r>
        <w:rPr>
          <w:rFonts w:hint="eastAsia" w:ascii="黑体" w:hAnsi="黑体" w:eastAsia="黑体"/>
          <w:b/>
          <w:bCs/>
          <w:color w:val="auto"/>
          <w:sz w:val="48"/>
          <w:szCs w:val="48"/>
          <w:highlight w:val="none"/>
          <w:lang w:val="en-US" w:eastAsia="zh-CN"/>
        </w:rPr>
        <w:t>2021年度职工体检项目二次采购文件</w:t>
      </w:r>
    </w:p>
    <w:p>
      <w:pPr>
        <w:pStyle w:val="2"/>
        <w:numPr>
          <w:ilvl w:val="0"/>
          <w:numId w:val="0"/>
        </w:numPr>
        <w:ind w:leftChars="0"/>
        <w:rPr>
          <w:rFonts w:hint="default"/>
          <w:color w:val="auto"/>
          <w:highlight w:val="none"/>
          <w:lang w:val="en-US" w:eastAsia="zh-CN"/>
        </w:rPr>
      </w:pPr>
    </w:p>
    <w:p>
      <w:pPr>
        <w:snapToGrid w:val="0"/>
        <w:spacing w:line="480" w:lineRule="auto"/>
        <w:jc w:val="center"/>
        <w:rPr>
          <w:b/>
          <w:bCs/>
          <w:color w:val="auto"/>
          <w:sz w:val="48"/>
          <w:szCs w:val="48"/>
          <w:highlight w:val="none"/>
        </w:rPr>
      </w:pPr>
      <w:r>
        <w:rPr>
          <w:rFonts w:hint="eastAsia" w:ascii="黑体" w:hAnsi="黑体" w:eastAsia="黑体" w:cs="黑体"/>
          <w:b w:val="0"/>
          <w:bCs w:val="0"/>
          <w:color w:val="auto"/>
          <w:sz w:val="28"/>
          <w:szCs w:val="28"/>
          <w:highlight w:val="none"/>
          <w:lang w:val="en-US" w:eastAsia="zh-CN"/>
        </w:rPr>
        <w:t>采购编号：省港服（2022）年询第3号【城港】</w:t>
      </w:r>
    </w:p>
    <w:p>
      <w:pPr>
        <w:spacing w:line="480" w:lineRule="auto"/>
        <w:jc w:val="center"/>
        <w:rPr>
          <w:rFonts w:ascii="宋体" w:hAnsi="宋体" w:cs="宋体"/>
          <w:b/>
          <w:color w:val="auto"/>
          <w:kern w:val="0"/>
          <w:sz w:val="28"/>
          <w:szCs w:val="28"/>
          <w:highlight w:val="none"/>
        </w:rPr>
      </w:pPr>
    </w:p>
    <w:p>
      <w:pPr>
        <w:pStyle w:val="2"/>
        <w:rPr>
          <w:rFonts w:ascii="宋体" w:hAnsi="宋体" w:cs="宋体"/>
          <w:b/>
          <w:color w:val="auto"/>
          <w:kern w:val="0"/>
          <w:sz w:val="28"/>
          <w:szCs w:val="28"/>
          <w:highlight w:val="none"/>
        </w:rPr>
      </w:pPr>
    </w:p>
    <w:p>
      <w:pPr>
        <w:pStyle w:val="3"/>
        <w:rPr>
          <w:color w:val="auto"/>
          <w:highlight w:val="none"/>
        </w:rPr>
      </w:pPr>
    </w:p>
    <w:p>
      <w:pPr>
        <w:snapToGrid w:val="0"/>
        <w:spacing w:line="480" w:lineRule="auto"/>
        <w:jc w:val="center"/>
        <w:rPr>
          <w:b/>
          <w:bCs/>
          <w:color w:val="auto"/>
          <w:sz w:val="48"/>
          <w:szCs w:val="48"/>
          <w:highlight w:val="none"/>
        </w:rPr>
      </w:pPr>
    </w:p>
    <w:p>
      <w:pPr>
        <w:spacing w:line="600" w:lineRule="exact"/>
        <w:rPr>
          <w:color w:val="auto"/>
          <w:highlight w:val="none"/>
        </w:rPr>
      </w:pPr>
    </w:p>
    <w:p>
      <w:pPr>
        <w:spacing w:line="600" w:lineRule="exact"/>
        <w:rPr>
          <w:color w:val="auto"/>
          <w:highlight w:val="none"/>
        </w:rPr>
      </w:pPr>
    </w:p>
    <w:p>
      <w:pPr>
        <w:pStyle w:val="2"/>
        <w:rPr>
          <w:color w:val="auto"/>
          <w:highlight w:val="none"/>
        </w:rPr>
      </w:pPr>
    </w:p>
    <w:p>
      <w:pPr>
        <w:pStyle w:val="3"/>
        <w:rPr>
          <w:color w:val="auto"/>
          <w:highlight w:val="none"/>
        </w:rPr>
      </w:pPr>
    </w:p>
    <w:p>
      <w:pPr>
        <w:pStyle w:val="2"/>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600" w:lineRule="exact"/>
        <w:rPr>
          <w:color w:val="auto"/>
          <w:highlight w:val="none"/>
        </w:rPr>
      </w:pPr>
    </w:p>
    <w:p>
      <w:pPr>
        <w:rPr>
          <w:color w:val="auto"/>
          <w:highlight w:val="none"/>
        </w:rPr>
      </w:pPr>
    </w:p>
    <w:p>
      <w:pPr>
        <w:rPr>
          <w:color w:val="auto"/>
          <w:highlight w:val="none"/>
        </w:rPr>
      </w:pPr>
    </w:p>
    <w:p>
      <w:pPr>
        <w:tabs>
          <w:tab w:val="left" w:pos="0"/>
          <w:tab w:val="left" w:pos="4185"/>
        </w:tabs>
        <w:spacing w:line="288" w:lineRule="auto"/>
        <w:ind w:right="-6"/>
        <w:jc w:val="center"/>
        <w:rPr>
          <w:rFonts w:ascii="黑体" w:hAnsi="黑体" w:eastAsia="黑体"/>
          <w:bCs/>
          <w:color w:val="auto"/>
          <w:sz w:val="44"/>
          <w:szCs w:val="44"/>
          <w:highlight w:val="none"/>
        </w:rPr>
      </w:pPr>
      <w:r>
        <w:rPr>
          <w:rFonts w:hint="eastAsia" w:ascii="黑体" w:hAnsi="黑体" w:eastAsia="黑体"/>
          <w:bCs/>
          <w:color w:val="auto"/>
          <w:sz w:val="44"/>
          <w:szCs w:val="44"/>
          <w:highlight w:val="none"/>
        </w:rPr>
        <w:t>二О二</w:t>
      </w:r>
      <w:r>
        <w:rPr>
          <w:rFonts w:hint="eastAsia" w:ascii="黑体" w:hAnsi="黑体" w:eastAsia="黑体"/>
          <w:bCs/>
          <w:color w:val="auto"/>
          <w:sz w:val="44"/>
          <w:szCs w:val="44"/>
          <w:highlight w:val="none"/>
          <w:lang w:val="en-US" w:eastAsia="zh-CN"/>
        </w:rPr>
        <w:t>二</w:t>
      </w:r>
      <w:r>
        <w:rPr>
          <w:rFonts w:hint="eastAsia" w:ascii="黑体" w:hAnsi="黑体" w:eastAsia="黑体"/>
          <w:bCs/>
          <w:color w:val="auto"/>
          <w:sz w:val="44"/>
          <w:szCs w:val="44"/>
          <w:highlight w:val="none"/>
        </w:rPr>
        <w:t>年</w:t>
      </w:r>
      <w:r>
        <w:rPr>
          <w:rFonts w:hint="eastAsia" w:ascii="黑体" w:hAnsi="黑体" w:eastAsia="黑体"/>
          <w:bCs/>
          <w:color w:val="auto"/>
          <w:sz w:val="44"/>
          <w:szCs w:val="44"/>
          <w:highlight w:val="none"/>
          <w:lang w:val="en-US" w:eastAsia="zh-CN"/>
        </w:rPr>
        <w:t>二</w:t>
      </w:r>
      <w:r>
        <w:rPr>
          <w:rFonts w:hint="eastAsia" w:ascii="黑体" w:hAnsi="黑体" w:eastAsia="黑体"/>
          <w:bCs/>
          <w:color w:val="auto"/>
          <w:sz w:val="44"/>
          <w:szCs w:val="44"/>
          <w:highlight w:val="none"/>
        </w:rPr>
        <w:t>月</w:t>
      </w:r>
    </w:p>
    <w:p>
      <w:pPr>
        <w:pStyle w:val="24"/>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sectPr>
          <w:footerReference r:id="rId7" w:type="default"/>
          <w:pgSz w:w="11906" w:h="16838"/>
          <w:pgMar w:top="1440" w:right="1080" w:bottom="1440" w:left="1080" w:header="851" w:footer="1344" w:gutter="0"/>
          <w:pgNumType w:fmt="decimal" w:start="1"/>
          <w:cols w:space="720" w:num="1"/>
          <w:docGrid w:linePitch="312" w:charSpace="0"/>
        </w:sectPr>
      </w:pPr>
    </w:p>
    <w:p>
      <w:pPr>
        <w:rPr>
          <w:highlight w:val="none"/>
          <w:lang w:val="en-US" w:eastAsia="zh-CN"/>
        </w:rPr>
      </w:pPr>
    </w:p>
    <w:p>
      <w:pPr>
        <w:tabs>
          <w:tab w:val="center" w:pos="4933"/>
          <w:tab w:val="left" w:pos="6840"/>
        </w:tabs>
        <w:adjustRightInd w:val="0"/>
        <w:snapToGrid w:val="0"/>
        <w:spacing w:line="600" w:lineRule="exact"/>
        <w:jc w:val="left"/>
        <w:outlineLvl w:val="0"/>
        <w:rPr>
          <w:rFonts w:hint="eastAsia" w:ascii="黑体" w:hAnsi="黑体" w:eastAsia="黑体" w:cs="仿宋"/>
          <w:color w:val="auto"/>
          <w:sz w:val="36"/>
          <w:szCs w:val="36"/>
          <w:highlight w:val="none"/>
          <w:lang w:eastAsia="zh-CN"/>
        </w:rPr>
      </w:pPr>
      <w:r>
        <w:rPr>
          <w:rFonts w:hint="eastAsia" w:ascii="黑体" w:hAnsi="黑体" w:eastAsia="黑体" w:cs="仿宋"/>
          <w:color w:val="auto"/>
          <w:sz w:val="36"/>
          <w:szCs w:val="36"/>
          <w:highlight w:val="none"/>
          <w:lang w:eastAsia="zh-CN"/>
        </w:rPr>
        <w:tab/>
      </w:r>
      <w:bookmarkStart w:id="0" w:name="_Toc8188"/>
      <w:r>
        <w:rPr>
          <w:rFonts w:hint="eastAsia" w:ascii="黑体" w:hAnsi="黑体" w:eastAsia="黑体" w:cs="仿宋"/>
          <w:color w:val="auto"/>
          <w:sz w:val="36"/>
          <w:szCs w:val="36"/>
          <w:highlight w:val="none"/>
        </w:rPr>
        <w:t xml:space="preserve">目 </w:t>
      </w:r>
      <w:r>
        <w:rPr>
          <w:rFonts w:ascii="黑体" w:hAnsi="黑体" w:eastAsia="黑体" w:cs="仿宋"/>
          <w:color w:val="auto"/>
          <w:sz w:val="36"/>
          <w:szCs w:val="36"/>
          <w:highlight w:val="none"/>
        </w:rPr>
        <w:t xml:space="preserve"> </w:t>
      </w:r>
      <w:r>
        <w:rPr>
          <w:rFonts w:hint="eastAsia" w:ascii="黑体" w:hAnsi="黑体" w:eastAsia="黑体" w:cs="仿宋"/>
          <w:color w:val="auto"/>
          <w:sz w:val="36"/>
          <w:szCs w:val="36"/>
          <w:highlight w:val="none"/>
        </w:rPr>
        <w:t>录</w:t>
      </w:r>
      <w:bookmarkEnd w:id="0"/>
      <w:r>
        <w:rPr>
          <w:rFonts w:hint="eastAsia" w:ascii="黑体" w:hAnsi="黑体" w:eastAsia="黑体" w:cs="仿宋"/>
          <w:color w:val="auto"/>
          <w:sz w:val="36"/>
          <w:szCs w:val="36"/>
          <w:highlight w:val="none"/>
          <w:lang w:eastAsia="zh-CN"/>
        </w:rPr>
        <w:tab/>
      </w:r>
    </w:p>
    <w:sdt>
      <w:sdtPr>
        <w:rPr>
          <w:rFonts w:ascii="宋体" w:hAnsi="宋体" w:eastAsia="宋体" w:cs="Times New Roman"/>
          <w:kern w:val="2"/>
          <w:sz w:val="21"/>
          <w:szCs w:val="24"/>
          <w:highlight w:val="none"/>
          <w:lang w:val="en-US" w:eastAsia="zh-CN" w:bidi="ar-SA"/>
        </w:rPr>
        <w:id w:val="147468111"/>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1" w:name="_Toc12427_WPSOffice_Type1"/>
        </w:p>
        <w:p>
          <w:pPr>
            <w:pStyle w:val="184"/>
            <w:tabs>
              <w:tab w:val="right" w:leader="dot" w:pos="9746"/>
            </w:tabs>
            <w:rPr>
              <w:highlight w:val="none"/>
            </w:rPr>
          </w:pPr>
          <w:r>
            <w:rPr>
              <w:highlight w:val="none"/>
            </w:rPr>
            <w:fldChar w:fldCharType="begin"/>
          </w:r>
          <w:r>
            <w:rPr>
              <w:highlight w:val="none"/>
            </w:rPr>
            <w:instrText xml:space="preserve"> HYPERLINK \l _Toc28308_WPSOffice_Level1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4065fe60-d311-468f-bbb5-1656111f27fd}"/>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default" w:ascii="黑体" w:hAnsi="黑体" w:eastAsia="黑体" w:cs="仿宋"/>
                  <w:highlight w:val="none"/>
                </w:rPr>
                <w:t xml:space="preserve">第一章 </w:t>
              </w:r>
              <w:r>
                <w:rPr>
                  <w:rFonts w:hint="eastAsia" w:ascii="黑体" w:hAnsi="黑体" w:eastAsia="黑体" w:cs="仿宋"/>
                  <w:highlight w:val="none"/>
                  <w:lang w:val="en-US" w:eastAsia="zh-CN"/>
                </w:rPr>
                <w:t>二次</w:t>
              </w:r>
              <w:r>
                <w:rPr>
                  <w:rFonts w:hint="eastAsia" w:ascii="黑体" w:hAnsi="黑体" w:eastAsia="黑体" w:cs="仿宋"/>
                  <w:highlight w:val="none"/>
                </w:rPr>
                <w:t>采购公告</w:t>
              </w:r>
            </w:sdtContent>
          </w:sdt>
          <w:r>
            <w:rPr>
              <w:highlight w:val="none"/>
            </w:rPr>
            <w:tab/>
          </w:r>
          <w:bookmarkStart w:id="2" w:name="_Toc28308_WPSOffice_Level1Page"/>
          <w:r>
            <w:rPr>
              <w:highlight w:val="none"/>
            </w:rPr>
            <w:t>2</w:t>
          </w:r>
          <w:bookmarkEnd w:id="2"/>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_Toc12427_WPSOffice_Level1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1c62fed6-822f-4dbe-ba84-9a10f68dbc31}"/>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Times New Roman"/>
                  <w:highlight w:val="none"/>
                </w:rPr>
                <w:t>第二章 供应商须知</w:t>
              </w:r>
            </w:sdtContent>
          </w:sdt>
          <w:r>
            <w:rPr>
              <w:highlight w:val="none"/>
            </w:rPr>
            <w:tab/>
          </w:r>
          <w:bookmarkStart w:id="3" w:name="_Toc12427_WPSOffice_Level1Page"/>
          <w:r>
            <w:rPr>
              <w:highlight w:val="none"/>
            </w:rPr>
            <w:t>5</w:t>
          </w:r>
          <w:bookmarkEnd w:id="3"/>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_Toc31455_WPSOffice_Level1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c8bd3f71-4027-4615-91bb-242995ca7cf2}"/>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第三章 评审办法</w:t>
              </w:r>
            </w:sdtContent>
          </w:sdt>
          <w:r>
            <w:rPr>
              <w:highlight w:val="none"/>
            </w:rPr>
            <w:tab/>
          </w:r>
          <w:bookmarkStart w:id="4" w:name="_Toc31455_WPSOffice_Level1Page"/>
          <w:r>
            <w:rPr>
              <w:highlight w:val="none"/>
            </w:rPr>
            <w:t>21</w:t>
          </w:r>
          <w:bookmarkEnd w:id="4"/>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_Toc20262_WPSOffice_Level1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ad56d047-41ff-487e-b01b-50fa01973a82}"/>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第四章 合同条款及格式</w:t>
              </w:r>
            </w:sdtContent>
          </w:sdt>
          <w:r>
            <w:rPr>
              <w:highlight w:val="none"/>
            </w:rPr>
            <w:tab/>
          </w:r>
          <w:bookmarkStart w:id="5" w:name="_Toc20262_WPSOffice_Level1Page"/>
          <w:r>
            <w:rPr>
              <w:highlight w:val="none"/>
            </w:rPr>
            <w:t>24</w:t>
          </w:r>
          <w:bookmarkEnd w:id="5"/>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_Toc2490_WPSOffice_Level1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62b5260a-b161-4cd5-8128-4d9189238ad6}"/>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第五章 采购需求</w:t>
              </w:r>
            </w:sdtContent>
          </w:sdt>
          <w:r>
            <w:rPr>
              <w:highlight w:val="none"/>
            </w:rPr>
            <w:tab/>
          </w:r>
          <w:bookmarkStart w:id="6" w:name="_Toc2490_WPSOffice_Level1Page"/>
          <w:r>
            <w:rPr>
              <w:highlight w:val="none"/>
            </w:rPr>
            <w:t>26</w:t>
          </w:r>
          <w:bookmarkEnd w:id="6"/>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_Toc52_WPSOffice_Level1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f68791e4-4306-4f9d-879e-88af48ba6b76}"/>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第六章 响应文件格式</w:t>
              </w:r>
            </w:sdtContent>
          </w:sdt>
          <w:r>
            <w:rPr>
              <w:highlight w:val="none"/>
            </w:rPr>
            <w:tab/>
          </w:r>
          <w:bookmarkStart w:id="7" w:name="_Toc52_WPSOffice_Level1Page"/>
          <w:r>
            <w:rPr>
              <w:highlight w:val="none"/>
            </w:rPr>
            <w:t>30</w:t>
          </w:r>
          <w:bookmarkEnd w:id="7"/>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_Toc7446_WPSOffice_Level1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84767b86-8274-4f15-bc83-2d7f4fcbd560}"/>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目  录</w:t>
              </w:r>
            </w:sdtContent>
          </w:sdt>
          <w:r>
            <w:rPr>
              <w:highlight w:val="none"/>
            </w:rPr>
            <w:tab/>
          </w:r>
          <w:bookmarkStart w:id="8" w:name="_Toc7446_WPSOffice_Level1Page"/>
          <w:r>
            <w:rPr>
              <w:highlight w:val="none"/>
            </w:rPr>
            <w:t>31</w:t>
          </w:r>
          <w:bookmarkEnd w:id="8"/>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_Toc1642_WPSOffice_Level1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6fd9db60-4a89-4000-9648-80c7aaa178b5}"/>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一、 响应函</w:t>
              </w:r>
            </w:sdtContent>
          </w:sdt>
          <w:r>
            <w:rPr>
              <w:highlight w:val="none"/>
            </w:rPr>
            <w:tab/>
          </w:r>
          <w:bookmarkStart w:id="9" w:name="_Toc1642_WPSOffice_Level1Page"/>
          <w:r>
            <w:rPr>
              <w:highlight w:val="none"/>
            </w:rPr>
            <w:t>32</w:t>
          </w:r>
          <w:bookmarkEnd w:id="9"/>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_Toc6105_WPSOffice_Level1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9a92f949-bdeb-40b9-a59f-48b3ff3fb8a3}"/>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二、授权委托书</w:t>
              </w:r>
            </w:sdtContent>
          </w:sdt>
          <w:r>
            <w:rPr>
              <w:highlight w:val="none"/>
            </w:rPr>
            <w:tab/>
          </w:r>
          <w:bookmarkStart w:id="10" w:name="_Toc6105_WPSOffice_Level1Page"/>
          <w:r>
            <w:rPr>
              <w:highlight w:val="none"/>
            </w:rPr>
            <w:t>35</w:t>
          </w:r>
          <w:bookmarkEnd w:id="10"/>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_Toc4406_WPSOffice_Level1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73f8cc18-272a-49bb-8e79-7ad22c7222f2}"/>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三、商务和技术偏差表</w:t>
              </w:r>
            </w:sdtContent>
          </w:sdt>
          <w:r>
            <w:rPr>
              <w:highlight w:val="none"/>
            </w:rPr>
            <w:tab/>
          </w:r>
          <w:bookmarkStart w:id="11" w:name="_Toc4406_WPSOffice_Level1Page"/>
          <w:r>
            <w:rPr>
              <w:highlight w:val="none"/>
            </w:rPr>
            <w:t>36</w:t>
          </w:r>
          <w:bookmarkEnd w:id="11"/>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_Toc6737_WPSOffice_Level1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f97f2e82-5595-46a3-bee6-9afc5c6cc013}"/>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四、报价表</w:t>
              </w:r>
            </w:sdtContent>
          </w:sdt>
          <w:r>
            <w:rPr>
              <w:highlight w:val="none"/>
            </w:rPr>
            <w:tab/>
          </w:r>
          <w:bookmarkStart w:id="12" w:name="_Toc6737_WPSOffice_Level1Page"/>
          <w:r>
            <w:rPr>
              <w:highlight w:val="none"/>
            </w:rPr>
            <w:t>37</w:t>
          </w:r>
          <w:bookmarkEnd w:id="12"/>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_Toc25816_WPSOffice_Level1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22cce72e-c41e-4f02-baf5-50d44c229616}"/>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五、资格审查资料</w:t>
              </w:r>
            </w:sdtContent>
          </w:sdt>
          <w:r>
            <w:rPr>
              <w:highlight w:val="none"/>
            </w:rPr>
            <w:tab/>
          </w:r>
          <w:bookmarkStart w:id="13" w:name="_Toc25816_WPSOffice_Level1Page"/>
          <w:r>
            <w:rPr>
              <w:highlight w:val="none"/>
            </w:rPr>
            <w:t>38</w:t>
          </w:r>
          <w:bookmarkEnd w:id="13"/>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_Toc17261_WPSOffice_Level1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79225ccb-0629-4243-bd35-37fea5420e23}"/>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六、响应方案</w:t>
              </w:r>
            </w:sdtContent>
          </w:sdt>
          <w:r>
            <w:rPr>
              <w:highlight w:val="none"/>
            </w:rPr>
            <w:tab/>
          </w:r>
          <w:bookmarkStart w:id="14" w:name="_Toc17261_WPSOffice_Level1Page"/>
          <w:r>
            <w:rPr>
              <w:highlight w:val="none"/>
            </w:rPr>
            <w:t>40</w:t>
          </w:r>
          <w:bookmarkEnd w:id="14"/>
          <w:r>
            <w:rPr>
              <w:highlight w:val="none"/>
            </w:rPr>
            <w:fldChar w:fldCharType="end"/>
          </w:r>
        </w:p>
        <w:p>
          <w:pPr>
            <w:pStyle w:val="184"/>
            <w:tabs>
              <w:tab w:val="right" w:leader="dot" w:pos="9746"/>
            </w:tabs>
            <w:rPr>
              <w:highlight w:val="none"/>
            </w:rPr>
          </w:pPr>
          <w:r>
            <w:rPr>
              <w:highlight w:val="none"/>
            </w:rPr>
            <w:fldChar w:fldCharType="begin"/>
          </w:r>
          <w:r>
            <w:rPr>
              <w:highlight w:val="none"/>
            </w:rPr>
            <w:instrText xml:space="preserve"> HYPERLINK \l _Toc24102_WPSOffice_Level1 </w:instrText>
          </w:r>
          <w:r>
            <w:rPr>
              <w:highlight w:val="none"/>
            </w:rPr>
            <w:fldChar w:fldCharType="separate"/>
          </w:r>
          <w:sdt>
            <w:sdtPr>
              <w:rPr>
                <w:rFonts w:ascii="Times New Roman" w:hAnsi="Times New Roman" w:eastAsia="宋体" w:cs="Times New Roman"/>
                <w:kern w:val="2"/>
                <w:sz w:val="21"/>
                <w:szCs w:val="24"/>
                <w:highlight w:val="none"/>
                <w:lang w:val="en-US" w:eastAsia="zh-CN" w:bidi="ar-SA"/>
              </w:rPr>
              <w:id w:val="147468111"/>
              <w:placeholder>
                <w:docPart w:val="{a38515ce-1a86-4eae-9ce4-001bfe882996}"/>
              </w:placeholder>
              <w15:color w:val="509DF3"/>
            </w:sdtPr>
            <w:sdtEndPr>
              <w:rPr>
                <w:rFonts w:ascii="Times New Roman" w:hAnsi="Times New Roman" w:eastAsia="宋体" w:cs="Times New Roman"/>
                <w:kern w:val="2"/>
                <w:sz w:val="21"/>
                <w:szCs w:val="24"/>
                <w:highlight w:val="none"/>
                <w:lang w:val="en-US" w:eastAsia="zh-CN" w:bidi="ar-SA"/>
              </w:rPr>
            </w:sdtEndPr>
            <w:sdtContent>
              <w:r>
                <w:rPr>
                  <w:rFonts w:hint="eastAsia" w:ascii="黑体" w:hAnsi="黑体" w:eastAsia="黑体" w:cs="仿宋"/>
                  <w:highlight w:val="none"/>
                </w:rPr>
                <w:t>七、其他资料</w:t>
              </w:r>
            </w:sdtContent>
          </w:sdt>
          <w:r>
            <w:rPr>
              <w:highlight w:val="none"/>
            </w:rPr>
            <w:tab/>
          </w:r>
          <w:bookmarkStart w:id="15" w:name="_Toc24102_WPSOffice_Level1Page"/>
          <w:r>
            <w:rPr>
              <w:highlight w:val="none"/>
            </w:rPr>
            <w:t>41</w:t>
          </w:r>
          <w:bookmarkEnd w:id="15"/>
          <w:r>
            <w:rPr>
              <w:highlight w:val="none"/>
            </w:rPr>
            <w:fldChar w:fldCharType="end"/>
          </w:r>
          <w:bookmarkEnd w:id="1"/>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p>
          <w:pPr>
            <w:pStyle w:val="184"/>
            <w:tabs>
              <w:tab w:val="right" w:leader="dot" w:pos="9746"/>
            </w:tabs>
            <w:rPr>
              <w:highlight w:val="none"/>
            </w:rPr>
          </w:pPr>
        </w:p>
      </w:sdtContent>
    </w:sdt>
    <w:p>
      <w:pPr>
        <w:spacing w:before="0" w:beforeLines="0" w:after="0" w:afterLines="0" w:line="240" w:lineRule="auto"/>
        <w:ind w:left="0" w:leftChars="0" w:right="0" w:rightChars="0" w:firstLine="0" w:firstLineChars="0"/>
        <w:jc w:val="center"/>
        <w:rPr>
          <w:rFonts w:ascii="宋体" w:hAnsi="宋体" w:eastAsia="宋体"/>
          <w:sz w:val="21"/>
          <w:highlight w:val="none"/>
        </w:rPr>
      </w:pPr>
    </w:p>
    <w:p>
      <w:pPr>
        <w:pStyle w:val="73"/>
        <w:numPr>
          <w:ilvl w:val="0"/>
          <w:numId w:val="1"/>
        </w:numPr>
        <w:spacing w:line="600" w:lineRule="exact"/>
        <w:ind w:firstLineChars="0"/>
        <w:jc w:val="center"/>
        <w:outlineLvl w:val="0"/>
        <w:rPr>
          <w:rFonts w:ascii="黑体" w:hAnsi="黑体" w:eastAsia="黑体" w:cs="仿宋"/>
          <w:b/>
          <w:color w:val="auto"/>
          <w:sz w:val="36"/>
          <w:szCs w:val="36"/>
          <w:highlight w:val="none"/>
        </w:rPr>
      </w:pPr>
      <w:bookmarkStart w:id="16" w:name="_Toc28308_WPSOffice_Level1"/>
      <w:r>
        <w:rPr>
          <w:rFonts w:hint="eastAsia" w:ascii="黑体" w:hAnsi="黑体" w:eastAsia="黑体" w:cs="仿宋"/>
          <w:b/>
          <w:color w:val="auto"/>
          <w:sz w:val="36"/>
          <w:szCs w:val="36"/>
          <w:highlight w:val="none"/>
          <w:lang w:val="en-US" w:eastAsia="zh-CN"/>
        </w:rPr>
        <w:t>二次</w:t>
      </w:r>
      <w:r>
        <w:rPr>
          <w:rFonts w:hint="eastAsia" w:ascii="黑体" w:hAnsi="黑体" w:eastAsia="黑体" w:cs="仿宋"/>
          <w:b/>
          <w:color w:val="auto"/>
          <w:sz w:val="36"/>
          <w:szCs w:val="36"/>
          <w:highlight w:val="none"/>
        </w:rPr>
        <w:t>采购公告</w:t>
      </w:r>
      <w:bookmarkEnd w:id="16"/>
    </w:p>
    <w:p>
      <w:pPr>
        <w:spacing w:before="0" w:beforeAutospacing="0" w:after="0" w:afterAutospacing="0"/>
        <w:ind w:firstLine="0" w:firstLineChars="0"/>
        <w:jc w:val="center"/>
        <w:rPr>
          <w:rFonts w:hint="eastAsia" w:ascii="黑体" w:hAnsi="黑体" w:eastAsia="黑体" w:cs="Times New Roman"/>
          <w:color w:val="auto"/>
          <w:kern w:val="2"/>
          <w:sz w:val="32"/>
          <w:szCs w:val="32"/>
          <w:highlight w:val="none"/>
          <w:u w:val="none"/>
          <w:lang w:val="en-US" w:eastAsia="zh-CN" w:bidi="ar"/>
        </w:rPr>
      </w:pPr>
    </w:p>
    <w:p>
      <w:pPr>
        <w:spacing w:line="360" w:lineRule="auto"/>
        <w:jc w:val="cente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岳阳城陵矶港务有限责任公司</w:t>
      </w:r>
    </w:p>
    <w:p>
      <w:pPr>
        <w:spacing w:line="36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2021年度职工体检项目二次采购文件</w:t>
      </w:r>
    </w:p>
    <w:p>
      <w:pPr>
        <w:autoSpaceDE/>
        <w:spacing w:line="240" w:lineRule="auto"/>
        <w:ind w:firstLine="0" w:firstLineChars="0"/>
        <w:jc w:val="left"/>
        <w:rPr>
          <w:rFonts w:hint="eastAsia" w:ascii="宋体" w:hAnsi="宋体"/>
          <w:color w:val="auto"/>
          <w:sz w:val="24"/>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sz w:val="24"/>
          <w:highlight w:val="none"/>
          <w:lang w:val="en-US" w:eastAsia="zh-CN"/>
        </w:rPr>
        <w:t>岳阳城陵矶港务有限责任公司2021年度职工体检项目二次询价文件</w:t>
      </w:r>
      <w:r>
        <w:rPr>
          <w:rFonts w:hint="eastAsia" w:ascii="宋体" w:hAnsi="宋体"/>
          <w:color w:val="auto"/>
          <w:sz w:val="24"/>
          <w:highlight w:val="none"/>
        </w:rPr>
        <w:t>已具备采购条件</w:t>
      </w:r>
      <w:r>
        <w:rPr>
          <w:rFonts w:hint="eastAsia" w:ascii="宋体" w:hAnsi="宋体"/>
          <w:color w:val="auto"/>
          <w:sz w:val="24"/>
          <w:highlight w:val="none"/>
          <w:lang w:eastAsia="zh-CN"/>
        </w:rPr>
        <w:t>，</w:t>
      </w:r>
      <w:r>
        <w:rPr>
          <w:rFonts w:hint="eastAsia" w:ascii="宋体" w:hAnsi="宋体"/>
          <w:color w:val="auto"/>
          <w:sz w:val="24"/>
          <w:highlight w:val="none"/>
        </w:rPr>
        <w:t>现</w:t>
      </w:r>
      <w:r>
        <w:rPr>
          <w:rFonts w:hint="eastAsia" w:ascii="宋体" w:hAnsi="宋体"/>
          <w:color w:val="auto"/>
          <w:sz w:val="24"/>
          <w:highlight w:val="none"/>
          <w:lang w:val="en-US" w:eastAsia="zh-CN"/>
        </w:rPr>
        <w:t>公开</w:t>
      </w:r>
      <w:r>
        <w:rPr>
          <w:rFonts w:hint="eastAsia" w:ascii="宋体" w:hAnsi="宋体"/>
          <w:color w:val="auto"/>
          <w:sz w:val="24"/>
          <w:highlight w:val="none"/>
        </w:rPr>
        <w:t xml:space="preserve">邀请供应商参加采购活动。 </w:t>
      </w:r>
    </w:p>
    <w:p>
      <w:pPr>
        <w:pStyle w:val="7"/>
        <w:jc w:val="both"/>
        <w:rPr>
          <w:rFonts w:hint="eastAsia" w:asciiTheme="majorHAnsi" w:hAnsiTheme="majorHAnsi"/>
          <w:color w:val="auto"/>
          <w:highlight w:val="none"/>
        </w:rPr>
      </w:pPr>
      <w:r>
        <w:rPr>
          <w:rFonts w:hint="eastAsia"/>
          <w:color w:val="auto"/>
          <w:highlight w:val="none"/>
          <w:lang w:val="en-US" w:eastAsia="zh-CN"/>
        </w:rPr>
        <w:t>一、</w:t>
      </w:r>
      <w:r>
        <w:rPr>
          <w:rFonts w:hint="eastAsia" w:asciiTheme="majorHAnsi" w:hAnsiTheme="majorHAnsi"/>
          <w:color w:val="auto"/>
          <w:highlight w:val="none"/>
        </w:rPr>
        <w:t xml:space="preserve">采购项目简介 </w:t>
      </w:r>
    </w:p>
    <w:p>
      <w:pPr>
        <w:autoSpaceDE w:val="0"/>
        <w:spacing w:line="400" w:lineRule="exact"/>
        <w:jc w:val="both"/>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采购项目名称:</w:t>
      </w:r>
      <w:r>
        <w:rPr>
          <w:rFonts w:hint="eastAsia" w:ascii="宋体" w:hAnsi="宋体"/>
          <w:color w:val="auto"/>
          <w:sz w:val="24"/>
          <w:highlight w:val="none"/>
          <w:lang w:val="en-US" w:eastAsia="zh-CN"/>
        </w:rPr>
        <w:t>岳阳城陵矶港务有限责任公司2021年度职工体检项目</w:t>
      </w:r>
      <w:r>
        <w:rPr>
          <w:rFonts w:hint="eastAsia" w:ascii="宋体" w:hAnsi="宋体"/>
          <w:color w:val="auto"/>
          <w:sz w:val="24"/>
          <w:highlight w:val="none"/>
          <w:lang w:val="zh-CN"/>
        </w:rPr>
        <w:t>。</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岳阳城陵矶港务有限责任公司</w:t>
      </w:r>
      <w:r>
        <w:rPr>
          <w:rFonts w:hint="eastAsia" w:ascii="宋体" w:hAnsi="宋体"/>
          <w:color w:val="auto"/>
          <w:sz w:val="24"/>
          <w:highlight w:val="none"/>
          <w:lang w:eastAsia="zh-CN"/>
        </w:rPr>
        <w:t>。</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采购代理机构:</w:t>
      </w:r>
      <w:r>
        <w:rPr>
          <w:rFonts w:hint="eastAsia" w:ascii="宋体" w:hAnsi="宋体"/>
          <w:color w:val="auto"/>
          <w:sz w:val="24"/>
          <w:highlight w:val="none"/>
          <w:lang w:eastAsia="zh-CN"/>
        </w:rPr>
        <w:t>无</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采购项目资金落实情况:</w:t>
      </w:r>
      <w:r>
        <w:rPr>
          <w:rFonts w:hint="eastAsia" w:ascii="宋体" w:hAnsi="宋体"/>
          <w:color w:val="auto"/>
          <w:sz w:val="24"/>
          <w:highlight w:val="none"/>
          <w:lang w:eastAsia="zh-CN"/>
        </w:rPr>
        <w:t>企业自筹，已落实。</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rPr>
        <w:t xml:space="preserve">采购项目概况: </w:t>
      </w:r>
      <w:r>
        <w:rPr>
          <w:rFonts w:hint="eastAsia" w:ascii="宋体" w:hAnsi="宋体"/>
          <w:color w:val="auto"/>
          <w:sz w:val="24"/>
          <w:highlight w:val="none"/>
          <w:lang w:val="en-US" w:eastAsia="zh-CN"/>
        </w:rPr>
        <w:t>岳阳城陵矶港务有限责任公司2021年度员工健康体检</w:t>
      </w:r>
      <w:r>
        <w:rPr>
          <w:rFonts w:hint="eastAsia" w:ascii="宋体" w:hAnsi="宋体"/>
          <w:color w:val="auto"/>
          <w:sz w:val="24"/>
          <w:highlight w:val="none"/>
        </w:rPr>
        <w:t>，</w:t>
      </w:r>
      <w:r>
        <w:rPr>
          <w:rFonts w:hint="eastAsia" w:ascii="宋体" w:hAnsi="宋体"/>
          <w:color w:val="auto"/>
          <w:sz w:val="24"/>
          <w:highlight w:val="none"/>
          <w:lang w:eastAsia="zh-CN"/>
        </w:rPr>
        <w:t>现采用</w:t>
      </w:r>
      <w:r>
        <w:rPr>
          <w:rFonts w:hint="eastAsia" w:ascii="宋体" w:hAnsi="宋体"/>
          <w:color w:val="auto"/>
          <w:sz w:val="24"/>
          <w:highlight w:val="none"/>
          <w:lang w:val="en-US" w:eastAsia="zh-CN"/>
        </w:rPr>
        <w:t>二次询价的</w:t>
      </w:r>
      <w:r>
        <w:rPr>
          <w:rFonts w:hint="eastAsia" w:ascii="宋体" w:hAnsi="宋体"/>
          <w:color w:val="auto"/>
          <w:sz w:val="24"/>
          <w:highlight w:val="none"/>
          <w:lang w:eastAsia="zh-CN"/>
        </w:rPr>
        <w:t>方式</w:t>
      </w:r>
      <w:r>
        <w:rPr>
          <w:rFonts w:hint="eastAsia" w:ascii="宋体" w:hAnsi="宋体"/>
          <w:color w:val="auto"/>
          <w:sz w:val="24"/>
          <w:highlight w:val="none"/>
          <w:lang w:val="en-US" w:eastAsia="zh-CN"/>
        </w:rPr>
        <w:t>进行采购</w:t>
      </w:r>
      <w:r>
        <w:rPr>
          <w:rFonts w:hint="eastAsia" w:ascii="宋体" w:hAnsi="宋体"/>
          <w:color w:val="auto"/>
          <w:sz w:val="24"/>
          <w:highlight w:val="none"/>
          <w:lang w:eastAsia="zh-CN"/>
        </w:rPr>
        <w:t>。</w:t>
      </w:r>
    </w:p>
    <w:p>
      <w:pPr>
        <w:pStyle w:val="7"/>
        <w:jc w:val="both"/>
        <w:rPr>
          <w:rFonts w:ascii="Arial" w:hAnsi="Arial"/>
          <w:color w:val="auto"/>
          <w:highlight w:val="none"/>
        </w:rPr>
      </w:pPr>
      <w:r>
        <w:rPr>
          <w:rFonts w:hint="eastAsia"/>
          <w:color w:val="auto"/>
          <w:highlight w:val="none"/>
          <w:lang w:val="en-US" w:eastAsia="zh-CN"/>
        </w:rPr>
        <w:t>二、</w:t>
      </w:r>
      <w:r>
        <w:rPr>
          <w:rFonts w:hint="eastAsia" w:ascii="黑体" w:hAnsi="黑体"/>
          <w:color w:val="auto"/>
          <w:highlight w:val="none"/>
        </w:rPr>
        <w:t xml:space="preserve">采购范围及相关要求 </w:t>
      </w:r>
    </w:p>
    <w:p>
      <w:pPr>
        <w:autoSpaceDE w:val="0"/>
        <w:spacing w:line="400" w:lineRule="exact"/>
        <w:jc w:val="both"/>
        <w:rPr>
          <w:rFonts w:hint="default" w:ascii="宋体" w:hAnsi="宋体" w:eastAsia="宋体"/>
          <w:b/>
          <w:bCs/>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 xml:space="preserve">采购范围: </w:t>
      </w:r>
      <w:r>
        <w:rPr>
          <w:rFonts w:hint="eastAsia" w:ascii="宋体" w:hAnsi="宋体"/>
          <w:color w:val="auto"/>
          <w:sz w:val="24"/>
          <w:highlight w:val="none"/>
          <w:lang w:val="en-US" w:eastAsia="zh-CN"/>
        </w:rPr>
        <w:t>本公司为湖南省港务集团有限公司旗下港口企业，为响应国家对于员工的职业健康检查，现列行2021年度职工健康体检，</w:t>
      </w:r>
      <w:r>
        <w:rPr>
          <w:rFonts w:hint="eastAsia" w:ascii="宋体" w:hAnsi="宋体"/>
          <w:color w:val="auto"/>
          <w:sz w:val="24"/>
          <w:highlight w:val="none"/>
        </w:rPr>
        <w:t>参与体检员工</w:t>
      </w:r>
      <w:r>
        <w:rPr>
          <w:rFonts w:hint="eastAsia" w:ascii="宋体" w:hAnsi="宋体"/>
          <w:color w:val="auto"/>
          <w:sz w:val="24"/>
          <w:highlight w:val="none"/>
          <w:lang w:val="en-US" w:eastAsia="zh-CN"/>
        </w:rPr>
        <w:t>总共</w:t>
      </w:r>
      <w:r>
        <w:rPr>
          <w:rFonts w:hint="eastAsia" w:ascii="宋体" w:hAnsi="宋体"/>
          <w:color w:val="auto"/>
          <w:sz w:val="24"/>
          <w:highlight w:val="none"/>
        </w:rPr>
        <w:t>为457人，其中男员工为351人，女员工为106人。体检</w:t>
      </w:r>
      <w:r>
        <w:rPr>
          <w:rFonts w:hint="eastAsia" w:ascii="宋体" w:hAnsi="宋体"/>
          <w:color w:val="auto"/>
          <w:sz w:val="24"/>
          <w:highlight w:val="none"/>
          <w:lang w:val="en-US" w:eastAsia="zh-CN"/>
        </w:rPr>
        <w:t>费用</w:t>
      </w:r>
      <w:r>
        <w:rPr>
          <w:rFonts w:hint="eastAsia" w:ascii="宋体" w:hAnsi="宋体"/>
          <w:color w:val="auto"/>
          <w:sz w:val="24"/>
          <w:highlight w:val="none"/>
        </w:rPr>
        <w:t>标准为男员工1000元/人，女员工1200元/人。</w:t>
      </w:r>
      <w:r>
        <w:rPr>
          <w:rFonts w:hint="eastAsia" w:ascii="宋体" w:hAnsi="宋体"/>
          <w:b/>
          <w:bCs/>
          <w:color w:val="auto"/>
          <w:sz w:val="24"/>
          <w:highlight w:val="none"/>
          <w:lang w:val="en-US" w:eastAsia="zh-CN"/>
        </w:rPr>
        <w:t>本公司已拟定体检项目，并就该项目以最低价评审法对外公开询价，体检费用标准与成交价的差额由职工在该体检中心自主消费完毕。</w:t>
      </w:r>
    </w:p>
    <w:p>
      <w:pPr>
        <w:autoSpaceDE w:val="0"/>
        <w:spacing w:line="400" w:lineRule="exact"/>
        <w:jc w:val="both"/>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 xml:space="preserve">服务期限: </w:t>
      </w:r>
      <w:r>
        <w:rPr>
          <w:rFonts w:hint="eastAsia" w:ascii="宋体" w:hAnsi="宋体"/>
          <w:color w:val="auto"/>
          <w:sz w:val="24"/>
          <w:highlight w:val="none"/>
          <w:lang w:val="en-US" w:eastAsia="zh-CN"/>
        </w:rPr>
        <w:t>计划体检时间30个日历天</w:t>
      </w:r>
    </w:p>
    <w:p>
      <w:pPr>
        <w:autoSpaceDE w:val="0"/>
        <w:spacing w:line="400" w:lineRule="exact"/>
        <w:jc w:val="both"/>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 xml:space="preserve">服务地点: </w:t>
      </w:r>
      <w:r>
        <w:rPr>
          <w:rFonts w:hint="eastAsia" w:ascii="宋体" w:hAnsi="宋体"/>
          <w:color w:val="auto"/>
          <w:sz w:val="24"/>
          <w:highlight w:val="none"/>
          <w:lang w:val="en-US" w:eastAsia="zh-CN"/>
        </w:rPr>
        <w:t>供应商医院</w:t>
      </w:r>
      <w:r>
        <w:rPr>
          <w:rFonts w:hint="eastAsia" w:ascii="宋体" w:hAnsi="宋体" w:eastAsia="宋体" w:cs="宋体"/>
          <w:sz w:val="24"/>
          <w:szCs w:val="24"/>
          <w:highlight w:val="none"/>
          <w:lang w:eastAsia="zh-CN"/>
        </w:rPr>
        <w:t>专业体检中心</w:t>
      </w:r>
    </w:p>
    <w:p>
      <w:pPr>
        <w:autoSpaceDE w:val="0"/>
        <w:spacing w:line="400" w:lineRule="exact"/>
        <w:jc w:val="both"/>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 xml:space="preserve">质量要求或服务标准: </w:t>
      </w:r>
    </w:p>
    <w:p>
      <w:pPr>
        <w:autoSpaceDE w:val="0"/>
        <w:spacing w:line="400" w:lineRule="exact"/>
        <w:ind w:firstLine="240" w:firstLineChars="100"/>
        <w:jc w:val="both"/>
        <w:rPr>
          <w:rFonts w:hint="eastAsia" w:ascii="宋体" w:hAnsi="宋体" w:cs="Times New Roman"/>
          <w:color w:val="auto"/>
          <w:kern w:val="2"/>
          <w:sz w:val="24"/>
          <w:szCs w:val="24"/>
          <w:highlight w:val="none"/>
          <w:vertAlign w:val="baseline"/>
          <w:lang w:val="en-US" w:eastAsia="zh-CN" w:bidi="ar"/>
        </w:rPr>
      </w:pPr>
      <w:r>
        <w:rPr>
          <w:rFonts w:hint="eastAsia" w:ascii="宋体" w:hAnsi="宋体"/>
          <w:color w:val="auto"/>
          <w:sz w:val="24"/>
          <w:highlight w:val="none"/>
          <w:lang w:val="en-US" w:eastAsia="zh-CN"/>
        </w:rPr>
        <w:t>详见询价文件第三章“采购需求”</w:t>
      </w:r>
    </w:p>
    <w:p>
      <w:pPr>
        <w:autoSpaceDE w:val="0"/>
        <w:spacing w:line="400" w:lineRule="exact"/>
        <w:jc w:val="both"/>
        <w:rPr>
          <w:rFonts w:hint="eastAsia" w:ascii="宋体" w:hAnsi="宋体"/>
          <w:b w:val="0"/>
          <w:bCs w:val="0"/>
          <w:color w:val="auto"/>
          <w:sz w:val="24"/>
          <w:highlight w:val="none"/>
          <w:lang w:eastAsia="zh-CN"/>
        </w:rPr>
      </w:pPr>
      <w:r>
        <w:rPr>
          <w:rFonts w:hint="eastAsia" w:ascii="宋体" w:hAnsi="宋体" w:cs="Times New Roman"/>
          <w:color w:val="auto"/>
          <w:kern w:val="2"/>
          <w:sz w:val="24"/>
          <w:szCs w:val="24"/>
          <w:highlight w:val="none"/>
          <w:vertAlign w:val="baseline"/>
          <w:lang w:val="en-US" w:eastAsia="zh-CN" w:bidi="ar"/>
        </w:rPr>
        <w:t>（五)</w:t>
      </w:r>
      <w:r>
        <w:rPr>
          <w:rFonts w:hint="eastAsia" w:ascii="宋体" w:hAnsi="宋体"/>
          <w:b w:val="0"/>
          <w:bCs w:val="0"/>
          <w:color w:val="auto"/>
          <w:sz w:val="24"/>
          <w:highlight w:val="none"/>
          <w:u w:val="none"/>
          <w:lang w:val="en-US" w:eastAsia="zh-CN"/>
        </w:rPr>
        <w:t xml:space="preserve"> 招标人为本次招标编制了最高投标限价，最高限价：351人*1000元/人+106人*1200=478200元。即肆拾柒万捌仟贰佰元整。提供6%的的增值税专用发票，超过最高限价的作废。如果报价人提供其他税率的增值税专用发票，招标人按6%的的增值税税率调整报价后参与排序。</w:t>
      </w:r>
    </w:p>
    <w:p>
      <w:pPr>
        <w:autoSpaceDE w:val="0"/>
        <w:spacing w:line="400" w:lineRule="exact"/>
        <w:ind w:firstLine="0" w:firstLineChars="0"/>
        <w:jc w:val="both"/>
        <w:rPr>
          <w:rFonts w:hint="eastAsia" w:ascii="宋体" w:hAnsi="宋体"/>
          <w:b w:val="0"/>
          <w:bCs w:val="0"/>
          <w:color w:val="auto"/>
          <w:sz w:val="24"/>
          <w:highlight w:val="none"/>
          <w:lang w:eastAsia="zh-CN"/>
        </w:rPr>
      </w:pPr>
      <w:r>
        <w:rPr>
          <w:rFonts w:hint="eastAsia" w:ascii="宋体" w:hAnsi="宋体"/>
          <w:color w:val="auto"/>
          <w:sz w:val="24"/>
          <w:highlight w:val="none"/>
          <w:lang w:val="en-US" w:eastAsia="zh-CN"/>
        </w:rPr>
        <w:t>三、</w:t>
      </w:r>
      <w:r>
        <w:rPr>
          <w:rFonts w:hint="eastAsia" w:ascii="宋体" w:hAnsi="宋体"/>
          <w:color w:val="auto"/>
          <w:sz w:val="24"/>
          <w:highlight w:val="none"/>
        </w:rPr>
        <w:t>供应商资格要求</w:t>
      </w:r>
    </w:p>
    <w:p>
      <w:pPr>
        <w:ind w:firstLine="0" w:firstLineChars="0"/>
        <w:rPr>
          <w:rFonts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color w:val="auto"/>
          <w:sz w:val="24"/>
          <w:highlight w:val="none"/>
        </w:rPr>
        <w:t>供应商不得存在下列情形之一:</w:t>
      </w:r>
    </w:p>
    <w:p>
      <w:pPr>
        <w:autoSpaceDE w:val="0"/>
        <w:spacing w:line="400" w:lineRule="exact"/>
        <w:ind w:firstLine="480" w:firstLineChars="200"/>
        <w:jc w:val="both"/>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处于被责令停产停业、暂扣或者吊销执照、暂扣或者吊销许可证、吊销资质证书状态;</w:t>
      </w:r>
    </w:p>
    <w:p>
      <w:pPr>
        <w:autoSpaceDE w:val="0"/>
        <w:spacing w:line="400" w:lineRule="exact"/>
        <w:ind w:firstLine="480" w:firstLineChars="200"/>
        <w:jc w:val="both"/>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进入清算程序，或被宣告破产，或其他丧失履约能力的情形;</w:t>
      </w:r>
    </w:p>
    <w:p>
      <w:pPr>
        <w:autoSpaceDE w:val="0"/>
        <w:spacing w:line="400"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被采购人或采购人上级单位纳入黑名单</w:t>
      </w:r>
      <w:r>
        <w:rPr>
          <w:rFonts w:hint="eastAsia" w:ascii="宋体" w:hAnsi="宋体"/>
          <w:color w:val="auto"/>
          <w:sz w:val="24"/>
          <w:highlight w:val="none"/>
          <w:lang w:eastAsia="zh-CN"/>
        </w:rPr>
        <w:t>；</w:t>
      </w:r>
    </w:p>
    <w:p>
      <w:pPr>
        <w:autoSpaceDE/>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4.</w:t>
      </w:r>
      <w:r>
        <w:rPr>
          <w:rFonts w:hint="eastAsia"/>
          <w:color w:val="auto"/>
          <w:sz w:val="24"/>
          <w:szCs w:val="24"/>
          <w:highlight w:val="none"/>
        </w:rPr>
        <w:t>涉及正在诉讼的案件且经审查委员会认定会对承担本项目造成重大影响</w:t>
      </w:r>
      <w:r>
        <w:rPr>
          <w:rFonts w:hint="eastAsia"/>
          <w:color w:val="auto"/>
          <w:sz w:val="24"/>
          <w:szCs w:val="24"/>
          <w:highlight w:val="none"/>
          <w:lang w:eastAsia="zh-CN"/>
        </w:rPr>
        <w:t>。</w:t>
      </w:r>
    </w:p>
    <w:p>
      <w:pPr>
        <w:autoSpaceDE w:val="0"/>
        <w:spacing w:line="400" w:lineRule="exact"/>
        <w:jc w:val="both"/>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供应商应满足如下要求:</w:t>
      </w:r>
    </w:p>
    <w:tbl>
      <w:tblPr>
        <w:tblStyle w:val="38"/>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72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资格条件</w:t>
            </w:r>
          </w:p>
        </w:tc>
        <w:tc>
          <w:tcPr>
            <w:tcW w:w="1729"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对供应商要求</w:t>
            </w:r>
          </w:p>
        </w:tc>
        <w:tc>
          <w:tcPr>
            <w:tcW w:w="4907"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（1）依法设立</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highlight w:val="none"/>
                <w:u w:val="single"/>
              </w:rPr>
            </w:pPr>
            <w:r>
              <w:rPr>
                <w:rStyle w:val="40"/>
                <w:rFonts w:hint="eastAsia"/>
                <w:b w:val="0"/>
                <w:bCs w:val="0"/>
                <w:highlight w:val="none"/>
                <w:u w:val="single"/>
              </w:rPr>
              <w:t xml:space="preserve">□不适用  </w:t>
            </w:r>
          </w:p>
          <w:p>
            <w:pPr>
              <w:widowControl w:val="0"/>
              <w:spacing w:line="320" w:lineRule="exact"/>
              <w:jc w:val="both"/>
              <w:rPr>
                <w:rStyle w:val="40"/>
                <w:rFonts w:hint="eastAsia"/>
                <w:b w:val="0"/>
                <w:bCs w:val="0"/>
                <w:color w:val="auto"/>
                <w:highlight w:val="none"/>
                <w:u w:val="none"/>
              </w:rPr>
            </w:pPr>
            <w:r>
              <w:rPr>
                <w:rStyle w:val="40"/>
                <w:rFonts w:hint="eastAsia"/>
                <w:b w:val="0"/>
                <w:bCs w:val="0"/>
                <w:highlight w:val="none"/>
                <w:u w:val="single"/>
                <w:lang w:eastAsia="zh-CN"/>
              </w:rPr>
              <w:t>☑</w:t>
            </w:r>
            <w:r>
              <w:rPr>
                <w:rStyle w:val="40"/>
                <w:rFonts w:hint="eastAsia"/>
                <w:b w:val="0"/>
                <w:bCs w:val="0"/>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（2）资质要求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）业绩要求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rFonts w:hint="eastAsia"/>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适用,见采购文件供应商须知前附表3.5（</w:t>
            </w:r>
            <w:r>
              <w:rPr>
                <w:rStyle w:val="40"/>
                <w:rFonts w:hint="eastAsia"/>
                <w:b w:val="0"/>
                <w:bCs w:val="0"/>
                <w:color w:val="auto"/>
                <w:highlight w:val="none"/>
                <w:u w:val="single"/>
                <w:lang w:val="en-US" w:eastAsia="zh-CN"/>
              </w:rPr>
              <w:t>3</w:t>
            </w:r>
            <w:r>
              <w:rPr>
                <w:rStyle w:val="40"/>
                <w:rFonts w:hint="eastAsia"/>
                <w:b w:val="0"/>
                <w:bCs w:val="0"/>
                <w:color w:val="auto"/>
                <w:highlight w:val="none"/>
                <w:u w:val="single"/>
              </w:rPr>
              <w:t>）。</w:t>
            </w:r>
            <w:r>
              <w:rPr>
                <w:rStyle w:val="40"/>
                <w:rFonts w:hint="eastAsia"/>
                <w:b w:val="0"/>
                <w:bCs w:val="0"/>
                <w:color w:val="auto"/>
                <w:highlight w:val="none"/>
                <w:u w:val="none"/>
              </w:rPr>
              <w:t xml:space="preserve">  </w:t>
            </w:r>
            <w:r>
              <w:rPr>
                <w:rFonts w:hint="eastAsia" w:cs="宋体" w:asciiTheme="minorEastAsia" w:hAnsiTheme="minorEastAsia" w:eastAsiaTheme="minorEastAsia"/>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4</w:t>
            </w:r>
            <w:r>
              <w:rPr>
                <w:rFonts w:hint="eastAsia" w:ascii="宋体" w:hAnsi="宋体"/>
                <w:b w:val="0"/>
                <w:bCs w:val="0"/>
                <w:color w:val="auto"/>
                <w:sz w:val="24"/>
                <w:highlight w:val="none"/>
              </w:rPr>
              <w:t>）信誉要求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4</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）承担本项目的主要人员要求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5</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6</w:t>
            </w:r>
            <w:r>
              <w:rPr>
                <w:rFonts w:hint="eastAsia" w:ascii="宋体" w:hAnsi="宋体"/>
                <w:b w:val="0"/>
                <w:bCs w:val="0"/>
                <w:color w:val="auto"/>
                <w:sz w:val="24"/>
                <w:highlight w:val="none"/>
              </w:rPr>
              <w:t>）其他要求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6</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7</w:t>
            </w:r>
            <w:r>
              <w:rPr>
                <w:rFonts w:hint="eastAsia" w:ascii="宋体" w:hAnsi="宋体"/>
                <w:b w:val="0"/>
                <w:bCs w:val="0"/>
                <w:color w:val="auto"/>
                <w:sz w:val="24"/>
                <w:highlight w:val="none"/>
              </w:rPr>
              <w:t>）供应商不存在第一章3.1款情形的证明材料</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7</w:t>
            </w:r>
            <w:r>
              <w:rPr>
                <w:rStyle w:val="40"/>
                <w:rFonts w:hint="eastAsia"/>
                <w:b w:val="0"/>
                <w:bCs w:val="0"/>
                <w:color w:val="auto"/>
                <w:highlight w:val="none"/>
                <w:u w:val="none"/>
              </w:rPr>
              <w:t>）。</w:t>
            </w:r>
          </w:p>
        </w:tc>
      </w:tr>
    </w:tbl>
    <w:p>
      <w:pPr>
        <w:pStyle w:val="6"/>
        <w:rPr>
          <w:rFonts w:hint="eastAsia" w:eastAsia="宋体"/>
          <w:color w:val="auto"/>
          <w:highlight w:val="none"/>
          <w:lang w:eastAsia="zh-CN"/>
        </w:rPr>
      </w:pPr>
      <w:r>
        <w:rPr>
          <w:rFonts w:hint="eastAsia"/>
          <w:color w:val="auto"/>
          <w:sz w:val="24"/>
          <w:highlight w:val="none"/>
          <w:lang w:eastAsia="zh-CN"/>
        </w:rPr>
        <w:t>本项目不接受联合体报价</w:t>
      </w:r>
    </w:p>
    <w:p>
      <w:pPr>
        <w:pStyle w:val="7"/>
        <w:jc w:val="both"/>
        <w:rPr>
          <w:rFonts w:ascii="Arial" w:hAnsi="Arial"/>
          <w:color w:val="auto"/>
          <w:sz w:val="24"/>
          <w:szCs w:val="24"/>
          <w:highlight w:val="none"/>
        </w:rPr>
      </w:pPr>
      <w:r>
        <w:rPr>
          <w:rFonts w:hint="eastAsia"/>
          <w:color w:val="auto"/>
          <w:sz w:val="24"/>
          <w:szCs w:val="24"/>
          <w:highlight w:val="none"/>
          <w:lang w:val="en-US" w:eastAsia="zh-CN"/>
        </w:rPr>
        <w:t>四、</w:t>
      </w:r>
      <w:r>
        <w:rPr>
          <w:rFonts w:hint="eastAsia" w:ascii="黑体" w:hAnsi="黑体"/>
          <w:color w:val="auto"/>
          <w:sz w:val="24"/>
          <w:szCs w:val="24"/>
          <w:highlight w:val="none"/>
        </w:rPr>
        <w:t>响应保证金</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z w:val="24"/>
                <w:szCs w:val="24"/>
                <w:highlight w:val="none"/>
              </w:rPr>
            </w:pPr>
            <w:r>
              <w:rPr>
                <w:rFonts w:hint="eastAsia" w:ascii="黑体" w:hAnsi="黑体"/>
                <w:color w:val="auto"/>
                <w:sz w:val="24"/>
                <w:szCs w:val="24"/>
                <w:highlight w:val="none"/>
              </w:rPr>
              <w:t>响应</w:t>
            </w:r>
            <w:r>
              <w:rPr>
                <w:rFonts w:hint="eastAsia" w:ascii="宋体" w:hAnsi="宋体"/>
                <w:color w:val="auto"/>
                <w:sz w:val="24"/>
                <w:szCs w:val="24"/>
                <w:highlight w:val="none"/>
              </w:rPr>
              <w:t>保证金的递交</w:t>
            </w:r>
          </w:p>
        </w:tc>
        <w:tc>
          <w:tcPr>
            <w:tcW w:w="3597" w:type="dxa"/>
          </w:tcPr>
          <w:p>
            <w:pPr>
              <w:widowControl w:val="0"/>
              <w:autoSpaceDE w:val="0"/>
              <w:spacing w:line="400" w:lineRule="exact"/>
              <w:jc w:val="both"/>
              <w:rPr>
                <w:rFonts w:ascii="黑体" w:hAnsi="黑体"/>
                <w:color w:val="auto"/>
                <w:sz w:val="24"/>
                <w:szCs w:val="24"/>
                <w:highlight w:val="none"/>
              </w:rPr>
            </w:pPr>
            <w:r>
              <w:rPr>
                <w:rFonts w:hint="eastAsia" w:ascii="宋体" w:hAnsi="宋体"/>
                <w:color w:val="auto"/>
                <w:sz w:val="24"/>
                <w:szCs w:val="24"/>
                <w:highlight w:val="none"/>
              </w:rPr>
              <w:t>不退还响应保证金的其他情形</w:t>
            </w:r>
          </w:p>
        </w:tc>
        <w:tc>
          <w:tcPr>
            <w:tcW w:w="3285" w:type="dxa"/>
          </w:tcPr>
          <w:p>
            <w:pPr>
              <w:widowControl w:val="0"/>
              <w:autoSpaceDE w:val="0"/>
              <w:spacing w:line="400" w:lineRule="exact"/>
              <w:jc w:val="both"/>
              <w:rPr>
                <w:rFonts w:ascii="黑体" w:hAnsi="黑体"/>
                <w:color w:val="auto"/>
                <w:sz w:val="24"/>
                <w:szCs w:val="24"/>
                <w:highlight w:val="none"/>
              </w:rPr>
            </w:pPr>
            <w:r>
              <w:rPr>
                <w:rFonts w:hint="eastAsia" w:ascii="宋体" w:hAnsi="宋体"/>
                <w:color w:val="auto"/>
                <w:sz w:val="24"/>
                <w:szCs w:val="24"/>
                <w:highlight w:val="none"/>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lang w:eastAsia="zh-CN"/>
              </w:rPr>
              <w:t>☑</w:t>
            </w:r>
            <w:r>
              <w:rPr>
                <w:rFonts w:hint="eastAsia" w:ascii="宋体" w:hAnsi="宋体"/>
                <w:color w:val="auto"/>
                <w:sz w:val="24"/>
                <w:szCs w:val="24"/>
                <w:highlight w:val="none"/>
              </w:rPr>
              <w:t>不要求递交</w:t>
            </w:r>
          </w:p>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rPr>
              <w:t>□</w:t>
            </w:r>
            <w:r>
              <w:rPr>
                <w:rFonts w:hint="eastAsia" w:ascii="宋体" w:hAnsi="宋体"/>
                <w:color w:val="auto"/>
                <w:sz w:val="24"/>
                <w:szCs w:val="24"/>
                <w:highlight w:val="none"/>
              </w:rPr>
              <w:t>要求递交</w:t>
            </w:r>
          </w:p>
          <w:p>
            <w:pPr>
              <w:widowControl w:val="0"/>
              <w:autoSpaceDE w:val="0"/>
              <w:spacing w:line="400" w:lineRule="exact"/>
              <w:jc w:val="both"/>
              <w:rPr>
                <w:rFonts w:ascii="宋体" w:hAnsi="宋体"/>
                <w:color w:val="auto"/>
                <w:sz w:val="24"/>
                <w:szCs w:val="24"/>
                <w:highlight w:val="none"/>
              </w:rPr>
            </w:pPr>
            <w:r>
              <w:rPr>
                <w:rFonts w:hint="eastAsia" w:ascii="宋体" w:hAnsi="宋体"/>
                <w:color w:val="auto"/>
                <w:sz w:val="24"/>
                <w:szCs w:val="24"/>
                <w:highlight w:val="none"/>
              </w:rPr>
              <w:t>保证金金额：_________；</w:t>
            </w:r>
          </w:p>
          <w:p>
            <w:pPr>
              <w:widowControl w:val="0"/>
              <w:autoSpaceDE w:val="0"/>
              <w:spacing w:line="400" w:lineRule="exact"/>
              <w:jc w:val="both"/>
              <w:rPr>
                <w:rFonts w:ascii="宋体" w:hAnsi="宋体"/>
                <w:color w:val="auto"/>
                <w:sz w:val="24"/>
                <w:szCs w:val="24"/>
                <w:highlight w:val="none"/>
              </w:rPr>
            </w:pPr>
            <w:r>
              <w:rPr>
                <w:rFonts w:hint="eastAsia" w:ascii="宋体" w:hAnsi="宋体"/>
                <w:color w:val="auto"/>
                <w:sz w:val="24"/>
                <w:szCs w:val="24"/>
                <w:highlight w:val="none"/>
              </w:rPr>
              <w:t>保证金形式：________；</w:t>
            </w:r>
          </w:p>
        </w:tc>
        <w:tc>
          <w:tcPr>
            <w:tcW w:w="3597" w:type="dxa"/>
          </w:tcPr>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lang w:eastAsia="zh-CN"/>
              </w:rPr>
              <w:t>☑</w:t>
            </w:r>
            <w:r>
              <w:rPr>
                <w:rStyle w:val="40"/>
                <w:rFonts w:hint="eastAsia"/>
                <w:color w:val="auto"/>
                <w:sz w:val="24"/>
                <w:szCs w:val="24"/>
                <w:highlight w:val="none"/>
              </w:rPr>
              <w:t>不</w:t>
            </w:r>
            <w:r>
              <w:rPr>
                <w:rFonts w:hint="eastAsia" w:ascii="宋体" w:hAnsi="宋体"/>
                <w:color w:val="auto"/>
                <w:sz w:val="24"/>
                <w:szCs w:val="24"/>
                <w:highlight w:val="none"/>
              </w:rPr>
              <w:t>适用</w:t>
            </w:r>
          </w:p>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rPr>
              <w:t>□</w:t>
            </w:r>
            <w:r>
              <w:rPr>
                <w:rFonts w:hint="eastAsia" w:ascii="宋体" w:hAnsi="宋体"/>
                <w:color w:val="auto"/>
                <w:sz w:val="24"/>
                <w:szCs w:val="24"/>
                <w:highlight w:val="none"/>
              </w:rPr>
              <w:t>适用，具体如下：</w:t>
            </w:r>
          </w:p>
          <w:p>
            <w:pPr>
              <w:widowControl w:val="0"/>
              <w:autoSpaceDE w:val="0"/>
              <w:spacing w:line="400" w:lineRule="exact"/>
              <w:jc w:val="both"/>
              <w:rPr>
                <w:rFonts w:ascii="宋体" w:hAnsi="宋体"/>
                <w:color w:val="auto"/>
                <w:sz w:val="24"/>
                <w:szCs w:val="24"/>
                <w:highlight w:val="none"/>
              </w:rPr>
            </w:pPr>
          </w:p>
          <w:p>
            <w:pPr>
              <w:widowControl w:val="0"/>
              <w:autoSpaceDE w:val="0"/>
              <w:spacing w:line="400" w:lineRule="exact"/>
              <w:jc w:val="both"/>
              <w:rPr>
                <w:rFonts w:ascii="黑体" w:hAnsi="黑体"/>
                <w:color w:val="auto"/>
                <w:sz w:val="24"/>
                <w:szCs w:val="24"/>
                <w:highlight w:val="none"/>
              </w:rPr>
            </w:pPr>
          </w:p>
        </w:tc>
        <w:tc>
          <w:tcPr>
            <w:tcW w:w="3285" w:type="dxa"/>
          </w:tcPr>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lang w:eastAsia="zh-CN"/>
              </w:rPr>
              <w:t>☑</w:t>
            </w:r>
            <w:r>
              <w:rPr>
                <w:rFonts w:hint="eastAsia" w:ascii="宋体" w:hAnsi="宋体"/>
                <w:color w:val="auto"/>
                <w:sz w:val="24"/>
                <w:szCs w:val="24"/>
                <w:highlight w:val="none"/>
              </w:rPr>
              <w:t>不适用</w:t>
            </w:r>
          </w:p>
          <w:p>
            <w:pPr>
              <w:widowControl w:val="0"/>
              <w:autoSpaceDE w:val="0"/>
              <w:spacing w:line="400" w:lineRule="exact"/>
              <w:jc w:val="both"/>
              <w:rPr>
                <w:rFonts w:ascii="宋体" w:hAnsi="宋体"/>
                <w:color w:val="auto"/>
                <w:sz w:val="24"/>
                <w:szCs w:val="24"/>
                <w:highlight w:val="none"/>
              </w:rPr>
            </w:pPr>
            <w:r>
              <w:rPr>
                <w:rStyle w:val="40"/>
                <w:rFonts w:hint="eastAsia"/>
                <w:color w:val="auto"/>
                <w:sz w:val="24"/>
                <w:szCs w:val="24"/>
                <w:highlight w:val="none"/>
              </w:rPr>
              <w:t>□</w:t>
            </w:r>
            <w:r>
              <w:rPr>
                <w:rFonts w:hint="eastAsia" w:ascii="宋体" w:hAnsi="宋体"/>
                <w:color w:val="auto"/>
                <w:sz w:val="24"/>
                <w:szCs w:val="24"/>
                <w:highlight w:val="none"/>
              </w:rPr>
              <w:t>适用，具体如下：</w:t>
            </w:r>
          </w:p>
          <w:p>
            <w:pPr>
              <w:widowControl w:val="0"/>
              <w:autoSpaceDE w:val="0"/>
              <w:spacing w:line="400" w:lineRule="exact"/>
              <w:jc w:val="both"/>
              <w:rPr>
                <w:rFonts w:ascii="宋体" w:hAnsi="宋体"/>
                <w:color w:val="auto"/>
                <w:sz w:val="24"/>
                <w:szCs w:val="24"/>
                <w:highlight w:val="none"/>
              </w:rPr>
            </w:pPr>
          </w:p>
          <w:p>
            <w:pPr>
              <w:widowControl w:val="0"/>
              <w:autoSpaceDE w:val="0"/>
              <w:spacing w:line="400" w:lineRule="exact"/>
              <w:jc w:val="both"/>
              <w:rPr>
                <w:rFonts w:ascii="黑体" w:hAnsi="黑体"/>
                <w:color w:val="auto"/>
                <w:sz w:val="24"/>
                <w:szCs w:val="24"/>
                <w:highlight w:val="none"/>
              </w:rPr>
            </w:pPr>
          </w:p>
        </w:tc>
      </w:tr>
    </w:tbl>
    <w:p>
      <w:pPr>
        <w:pStyle w:val="7"/>
        <w:jc w:val="both"/>
        <w:rPr>
          <w:rFonts w:ascii="Arial" w:hAnsi="Arial"/>
          <w:color w:val="auto"/>
          <w:highlight w:val="none"/>
        </w:rPr>
      </w:pPr>
      <w:r>
        <w:rPr>
          <w:rFonts w:hint="eastAsia"/>
          <w:color w:val="auto"/>
          <w:highlight w:val="none"/>
          <w:lang w:val="en-US" w:eastAsia="zh-CN"/>
        </w:rPr>
        <w:t>五、</w:t>
      </w:r>
      <w:r>
        <w:rPr>
          <w:rFonts w:hint="eastAsia" w:ascii="黑体" w:hAnsi="黑体"/>
          <w:color w:val="auto"/>
          <w:highlight w:val="none"/>
        </w:rPr>
        <w:t>确定成交供应商的方法</w:t>
      </w:r>
    </w:p>
    <w:p>
      <w:pPr>
        <w:autoSpaceDE w:val="0"/>
        <w:spacing w:line="400" w:lineRule="exact"/>
        <w:jc w:val="both"/>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Style w:val="39"/>
          <w:rFonts w:hint="eastAsia" w:ascii="宋体" w:hAnsi="宋体"/>
          <w:color w:val="auto"/>
          <w:sz w:val="24"/>
          <w:highlight w:val="none"/>
        </w:rPr>
        <w:t>最低价法</w:t>
      </w:r>
    </w:p>
    <w:p>
      <w:pPr>
        <w:autoSpaceDE w:val="0"/>
        <w:spacing w:line="400" w:lineRule="exact"/>
        <w:jc w:val="both"/>
        <w:rPr>
          <w:rFonts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lang w:eastAsia="zh-CN"/>
        </w:rPr>
        <w:t>）</w:t>
      </w:r>
      <w:r>
        <w:rPr>
          <w:rFonts w:hint="eastAsia" w:ascii="宋体" w:hAnsi="宋体"/>
          <w:color w:val="auto"/>
          <w:sz w:val="24"/>
          <w:highlight w:val="none"/>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7"/>
        <w:jc w:val="both"/>
        <w:rPr>
          <w:rFonts w:ascii="Arial" w:hAnsi="Arial"/>
          <w:color w:val="auto"/>
          <w:highlight w:val="none"/>
        </w:rPr>
      </w:pPr>
      <w:r>
        <w:rPr>
          <w:rFonts w:hint="eastAsia" w:ascii="黑体" w:hAnsi="黑体"/>
          <w:color w:val="auto"/>
          <w:highlight w:val="none"/>
          <w:lang w:val="en-US" w:eastAsia="zh-CN"/>
        </w:rPr>
        <w:t>六、</w:t>
      </w:r>
      <w:r>
        <w:rPr>
          <w:rFonts w:hint="eastAsia" w:ascii="黑体" w:hAnsi="黑体"/>
          <w:color w:val="auto"/>
          <w:highlight w:val="none"/>
        </w:rPr>
        <w:t>采购文件获取</w:t>
      </w:r>
    </w:p>
    <w:p>
      <w:pPr>
        <w:autoSpaceDE w:val="0"/>
        <w:spacing w:line="400" w:lineRule="exact"/>
        <w:jc w:val="both"/>
        <w:rPr>
          <w:rFonts w:ascii="宋体" w:hAnsi="宋体"/>
          <w:color w:val="auto"/>
          <w:sz w:val="24"/>
          <w:highlight w:val="none"/>
          <w:u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 xml:space="preserve"> </w:t>
      </w:r>
      <w:r>
        <w:rPr>
          <w:rFonts w:hint="eastAsia" w:ascii="宋体" w:hAnsi="宋体"/>
          <w:color w:val="auto"/>
          <w:sz w:val="24"/>
          <w:highlight w:val="none"/>
        </w:rPr>
        <w:t>供应商应当于</w:t>
      </w:r>
      <w:r>
        <w:rPr>
          <w:rFonts w:hint="eastAsia" w:ascii="宋体" w:hAnsi="宋体"/>
          <w:color w:val="auto"/>
          <w:sz w:val="24"/>
          <w:highlight w:val="none"/>
          <w:lang w:val="en-US" w:eastAsia="zh-CN"/>
        </w:rPr>
        <w:t>2022</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 xml:space="preserve"> 2</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 xml:space="preserve"> 11</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8</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分至</w:t>
      </w:r>
      <w:r>
        <w:rPr>
          <w:rFonts w:hint="eastAsia" w:ascii="宋体" w:hAnsi="宋体"/>
          <w:color w:val="auto"/>
          <w:sz w:val="24"/>
          <w:highlight w:val="none"/>
          <w:u w:val="none"/>
          <w:lang w:val="en-US" w:eastAsia="zh-CN"/>
        </w:rPr>
        <w:t xml:space="preserve"> 2022 </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2</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17</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17</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w:t>
      </w:r>
      <w:r>
        <w:rPr>
          <w:rFonts w:hint="eastAsia" w:ascii="宋体" w:hAnsi="宋体"/>
          <w:color w:val="auto"/>
          <w:sz w:val="24"/>
          <w:highlight w:val="none"/>
          <w:u w:val="none"/>
          <w:lang w:val="en-US" w:eastAsia="zh-CN"/>
        </w:rPr>
        <w:t>在</w:t>
      </w:r>
      <w:r>
        <w:rPr>
          <w:rFonts w:hint="eastAsia" w:ascii="宋体" w:hAnsi="宋体" w:eastAsia="宋体" w:cs="Times New Roman"/>
          <w:b w:val="0"/>
          <w:bCs w:val="0"/>
          <w:color w:val="auto"/>
          <w:sz w:val="24"/>
          <w:szCs w:val="24"/>
          <w:highlight w:val="none"/>
          <w:u w:val="none"/>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highlight w:val="none"/>
          <w:u w:val="none"/>
          <w:lang w:val="en-US" w:eastAsia="zh-CN" w:bidi="ar-SA"/>
        </w:rPr>
        <w:t>湖南省港务集团有限公司（http://www.hnsgwjt.com）</w:t>
      </w:r>
      <w:r>
        <w:rPr>
          <w:rFonts w:hint="eastAsia" w:ascii="宋体" w:hAnsi="宋体" w:eastAsia="宋体" w:cs="Times New Roman"/>
          <w:b w:val="0"/>
          <w:bCs w:val="0"/>
          <w:color w:val="auto"/>
          <w:sz w:val="24"/>
          <w:szCs w:val="24"/>
          <w:highlight w:val="none"/>
          <w:u w:val="none"/>
        </w:rPr>
        <w:t>上</w:t>
      </w:r>
      <w:r>
        <w:rPr>
          <w:rFonts w:hint="eastAsia" w:ascii="宋体" w:hAnsi="宋体"/>
          <w:color w:val="auto"/>
          <w:sz w:val="24"/>
          <w:highlight w:val="none"/>
          <w:u w:val="none"/>
        </w:rPr>
        <w:t>获取采购文件:</w:t>
      </w:r>
    </w:p>
    <w:p>
      <w:pPr>
        <w:autoSpaceDE w:val="0"/>
        <w:spacing w:line="400" w:lineRule="exact"/>
        <w:ind w:left="482" w:hanging="480" w:hangingChars="200"/>
        <w:jc w:val="both"/>
        <w:rPr>
          <w:rFonts w:hint="eastAsia" w:ascii="宋体" w:hAnsi="宋体"/>
          <w:color w:val="auto"/>
          <w:sz w:val="24"/>
          <w:highlight w:val="none"/>
          <w:u w:val="none"/>
          <w:lang w:val="en-US" w:eastAsia="zh-CN"/>
        </w:rPr>
      </w:pPr>
      <w:r>
        <w:rPr>
          <w:rFonts w:hint="eastAsia" w:ascii="宋体" w:hAnsi="宋体"/>
          <w:b w:val="0"/>
          <w:bCs w:val="0"/>
          <w:color w:val="auto"/>
          <w:sz w:val="24"/>
          <w:highlight w:val="none"/>
          <w:u w:val="none"/>
          <w:lang w:eastAsia="zh-CN"/>
        </w:rPr>
        <w:t>（</w:t>
      </w:r>
      <w:r>
        <w:rPr>
          <w:rFonts w:hint="eastAsia" w:ascii="宋体" w:hAnsi="宋体"/>
          <w:b w:val="0"/>
          <w:bCs w:val="0"/>
          <w:color w:val="auto"/>
          <w:sz w:val="24"/>
          <w:highlight w:val="none"/>
          <w:u w:val="none"/>
          <w:lang w:val="en-US" w:eastAsia="zh-CN"/>
        </w:rPr>
        <w:t>二</w:t>
      </w:r>
      <w:r>
        <w:rPr>
          <w:rFonts w:hint="eastAsia" w:ascii="宋体" w:hAnsi="宋体"/>
          <w:b w:val="0"/>
          <w:bCs w:val="0"/>
          <w:color w:val="auto"/>
          <w:sz w:val="24"/>
          <w:highlight w:val="none"/>
          <w:u w:val="none"/>
          <w:lang w:eastAsia="zh-CN"/>
        </w:rPr>
        <w:t>）</w:t>
      </w:r>
      <w:r>
        <w:rPr>
          <w:rFonts w:hint="eastAsia" w:ascii="宋体" w:hAnsi="宋体"/>
          <w:b w:val="0"/>
          <w:bCs w:val="0"/>
          <w:color w:val="auto"/>
          <w:sz w:val="24"/>
          <w:highlight w:val="none"/>
          <w:u w:val="none"/>
        </w:rPr>
        <w:t xml:space="preserve"> </w:t>
      </w:r>
      <w:r>
        <w:rPr>
          <w:rFonts w:hint="eastAsia" w:ascii="宋体" w:hAnsi="宋体"/>
          <w:color w:val="auto"/>
          <w:sz w:val="24"/>
          <w:highlight w:val="none"/>
          <w:u w:val="none"/>
        </w:rPr>
        <w:t>供应商若对本项目采购需求、资格要求等有疑问的，应当于</w:t>
      </w:r>
      <w:r>
        <w:rPr>
          <w:rFonts w:hint="eastAsia" w:ascii="宋体" w:hAnsi="宋体"/>
          <w:color w:val="auto"/>
          <w:sz w:val="24"/>
          <w:highlight w:val="none"/>
          <w:u w:val="none"/>
          <w:lang w:val="en-US" w:eastAsia="zh-CN"/>
        </w:rPr>
        <w:t xml:space="preserve"> 2022</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2</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15</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 xml:space="preserve">     </w:t>
      </w:r>
    </w:p>
    <w:p>
      <w:pPr>
        <w:autoSpaceDE w:val="0"/>
        <w:spacing w:line="400" w:lineRule="exact"/>
        <w:ind w:left="482" w:hanging="480" w:hangingChars="200"/>
        <w:jc w:val="both"/>
        <w:rPr>
          <w:rFonts w:ascii="宋体" w:hAnsi="宋体"/>
          <w:color w:val="auto"/>
          <w:sz w:val="24"/>
          <w:highlight w:val="none"/>
          <w:u w:val="none"/>
        </w:rPr>
      </w:pPr>
      <w:r>
        <w:rPr>
          <w:rFonts w:hint="eastAsia" w:ascii="宋体" w:hAnsi="宋体"/>
          <w:color w:val="auto"/>
          <w:sz w:val="24"/>
          <w:highlight w:val="none"/>
          <w:u w:val="none"/>
          <w:lang w:val="en-US" w:eastAsia="zh-CN"/>
        </w:rPr>
        <w:t>17</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30</w:t>
      </w:r>
      <w:r>
        <w:rPr>
          <w:rFonts w:hint="eastAsia" w:ascii="宋体" w:hAnsi="宋体"/>
          <w:color w:val="auto"/>
          <w:sz w:val="24"/>
          <w:highlight w:val="none"/>
          <w:u w:val="none"/>
        </w:rPr>
        <w:t>分前向采购人提出澄清要求。</w:t>
      </w:r>
    </w:p>
    <w:p>
      <w:pPr>
        <w:pStyle w:val="7"/>
        <w:jc w:val="both"/>
        <w:rPr>
          <w:color w:val="auto"/>
          <w:highlight w:val="none"/>
          <w:u w:val="single"/>
        </w:rPr>
      </w:pPr>
      <w:r>
        <w:rPr>
          <w:rFonts w:hint="eastAsia"/>
          <w:color w:val="auto"/>
          <w:highlight w:val="none"/>
          <w:lang w:val="en-US" w:eastAsia="zh-CN"/>
        </w:rPr>
        <w:t>七、</w:t>
      </w:r>
      <w:r>
        <w:rPr>
          <w:color w:val="auto"/>
          <w:highlight w:val="none"/>
        </w:rPr>
        <w:t>监督</w:t>
      </w:r>
      <w:r>
        <w:rPr>
          <w:rFonts w:hint="eastAsia"/>
          <w:color w:val="auto"/>
          <w:highlight w:val="none"/>
        </w:rPr>
        <w:t>部门</w:t>
      </w:r>
    </w:p>
    <w:p>
      <w:pPr>
        <w:pStyle w:val="32"/>
        <w:widowControl w:val="0"/>
        <w:adjustRightInd w:val="0"/>
        <w:snapToGrid w:val="0"/>
        <w:spacing w:before="0" w:beforeAutospacing="0" w:after="0" w:afterAutospacing="0" w:line="312" w:lineRule="auto"/>
        <w:ind w:firstLine="480" w:firstLineChars="200"/>
        <w:jc w:val="both"/>
        <w:rPr>
          <w:rFonts w:cs="Times New Roman"/>
          <w:color w:val="auto"/>
          <w:highlight w:val="none"/>
          <w:u w:val="none"/>
        </w:rPr>
      </w:pPr>
      <w:r>
        <w:rPr>
          <w:rFonts w:cs="Times New Roman"/>
          <w:color w:val="auto"/>
          <w:highlight w:val="none"/>
        </w:rPr>
        <w:t>本</w:t>
      </w:r>
      <w:r>
        <w:rPr>
          <w:rFonts w:cs="Times New Roman"/>
          <w:color w:val="auto"/>
          <w:highlight w:val="none"/>
          <w:u w:val="none"/>
        </w:rPr>
        <w:t>次</w:t>
      </w:r>
      <w:r>
        <w:rPr>
          <w:rFonts w:hint="eastAsia" w:cs="Times New Roman"/>
          <w:color w:val="auto"/>
          <w:highlight w:val="none"/>
          <w:u w:val="none"/>
        </w:rPr>
        <w:t>采购</w:t>
      </w:r>
      <w:r>
        <w:rPr>
          <w:rFonts w:cs="Times New Roman"/>
          <w:color w:val="auto"/>
          <w:highlight w:val="none"/>
          <w:u w:val="none"/>
        </w:rPr>
        <w:t xml:space="preserve">监督部门为 </w:t>
      </w:r>
      <w:r>
        <w:rPr>
          <w:rFonts w:hint="eastAsia" w:cs="Times New Roman"/>
          <w:color w:val="auto"/>
          <w:highlight w:val="none"/>
          <w:u w:val="none"/>
          <w:lang w:eastAsia="zh-CN"/>
        </w:rPr>
        <w:t>岳阳城陵矶</w:t>
      </w:r>
      <w:r>
        <w:rPr>
          <w:rFonts w:hint="eastAsia" w:cs="Times New Roman"/>
          <w:color w:val="auto"/>
          <w:highlight w:val="none"/>
          <w:u w:val="none"/>
          <w:lang w:val="en-US" w:eastAsia="zh-CN"/>
        </w:rPr>
        <w:t>港务</w:t>
      </w:r>
      <w:r>
        <w:rPr>
          <w:rFonts w:hint="eastAsia" w:cs="Times New Roman"/>
          <w:color w:val="auto"/>
          <w:highlight w:val="none"/>
          <w:u w:val="none"/>
          <w:lang w:eastAsia="zh-CN"/>
        </w:rPr>
        <w:t>有限</w:t>
      </w:r>
      <w:r>
        <w:rPr>
          <w:rFonts w:hint="eastAsia" w:cs="Times New Roman"/>
          <w:color w:val="auto"/>
          <w:highlight w:val="none"/>
          <w:u w:val="none"/>
          <w:lang w:val="en-US" w:eastAsia="zh-CN"/>
        </w:rPr>
        <w:t>责任</w:t>
      </w:r>
      <w:r>
        <w:rPr>
          <w:rFonts w:hint="eastAsia" w:cs="Times New Roman"/>
          <w:color w:val="auto"/>
          <w:highlight w:val="none"/>
          <w:u w:val="none"/>
          <w:lang w:eastAsia="zh-CN"/>
        </w:rPr>
        <w:t>公司综合管理部</w:t>
      </w:r>
      <w:r>
        <w:rPr>
          <w:rFonts w:cs="Times New Roman"/>
          <w:color w:val="auto"/>
          <w:highlight w:val="none"/>
          <w:u w:val="none"/>
        </w:rPr>
        <w:t xml:space="preserve"> ，电话：</w:t>
      </w:r>
      <w:r>
        <w:rPr>
          <w:rFonts w:hint="eastAsia"/>
          <w:color w:val="auto"/>
          <w:sz w:val="24"/>
          <w:szCs w:val="24"/>
          <w:highlight w:val="none"/>
          <w:u w:val="none"/>
          <w:lang w:val="en-US" w:eastAsia="zh-CN"/>
        </w:rPr>
        <w:t>13707307803</w:t>
      </w:r>
      <w:r>
        <w:rPr>
          <w:rFonts w:cs="Times New Roman"/>
          <w:color w:val="auto"/>
          <w:highlight w:val="none"/>
          <w:u w:val="none"/>
        </w:rPr>
        <w:t>。</w:t>
      </w:r>
    </w:p>
    <w:p>
      <w:pPr>
        <w:pStyle w:val="7"/>
        <w:autoSpaceDE w:val="0"/>
        <w:spacing w:line="400" w:lineRule="exact"/>
        <w:ind w:firstLine="281" w:firstLineChars="100"/>
        <w:jc w:val="both"/>
        <w:rPr>
          <w:rFonts w:hint="eastAsia" w:asciiTheme="majorHAnsi" w:hAnsiTheme="majorHAnsi" w:eastAsiaTheme="majorEastAsia" w:cstheme="majorBidi"/>
          <w:b/>
          <w:bCs/>
          <w:color w:val="auto"/>
          <w:sz w:val="28"/>
          <w:szCs w:val="28"/>
          <w:highlight w:val="none"/>
        </w:rPr>
      </w:pPr>
      <w:r>
        <w:rPr>
          <w:rFonts w:hint="eastAsia" w:asciiTheme="majorHAnsi" w:hAnsiTheme="majorHAnsi" w:cstheme="majorBidi"/>
          <w:b/>
          <w:bCs/>
          <w:color w:val="auto"/>
          <w:sz w:val="28"/>
          <w:szCs w:val="28"/>
          <w:highlight w:val="none"/>
          <w:lang w:val="en-US" w:eastAsia="zh-CN"/>
        </w:rPr>
        <w:t>八、</w:t>
      </w:r>
      <w:r>
        <w:rPr>
          <w:rFonts w:hint="eastAsia" w:asciiTheme="majorHAnsi" w:hAnsiTheme="majorHAnsi" w:eastAsiaTheme="majorEastAsia" w:cstheme="majorBidi"/>
          <w:b/>
          <w:bCs/>
          <w:color w:val="auto"/>
          <w:sz w:val="28"/>
          <w:szCs w:val="28"/>
          <w:highlight w:val="none"/>
        </w:rPr>
        <w:t>联系方式</w:t>
      </w:r>
    </w:p>
    <w:p>
      <w:pPr>
        <w:autoSpaceDE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询价人：</w:t>
      </w:r>
      <w:r>
        <w:rPr>
          <w:rFonts w:hint="eastAsia" w:ascii="宋体" w:hAnsi="宋体" w:eastAsia="宋体" w:cs="宋体"/>
          <w:color w:val="auto"/>
          <w:sz w:val="24"/>
          <w:szCs w:val="24"/>
          <w:highlight w:val="none"/>
          <w:lang w:val="en-US" w:eastAsia="zh-CN"/>
        </w:rPr>
        <w:t>岳阳城陵矶港务有限责任公司</w:t>
      </w:r>
    </w:p>
    <w:p>
      <w:pPr>
        <w:autoSpaceDE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val="en-US" w:eastAsia="zh-CN"/>
        </w:rPr>
        <w:t>岳</w:t>
      </w:r>
      <w:r>
        <w:rPr>
          <w:rFonts w:hint="eastAsia" w:ascii="宋体" w:hAnsi="宋体" w:eastAsia="宋体" w:cs="宋体"/>
          <w:color w:val="auto"/>
          <w:sz w:val="24"/>
          <w:szCs w:val="24"/>
          <w:highlight w:val="none"/>
          <w:lang w:val="en-US" w:eastAsia="zh-CN"/>
        </w:rPr>
        <w:t>阳城陵矶港务有限责任公司</w:t>
      </w:r>
      <w:r>
        <w:rPr>
          <w:rFonts w:hint="eastAsia" w:ascii="宋体" w:hAnsi="宋体" w:eastAsia="宋体" w:cs="宋体"/>
          <w:color w:val="auto"/>
          <w:sz w:val="24"/>
          <w:szCs w:val="24"/>
          <w:highlight w:val="none"/>
        </w:rPr>
        <w:t>城港公司办公楼322室</w:t>
      </w:r>
    </w:p>
    <w:p>
      <w:pPr>
        <w:autoSpaceDE w:val="0"/>
        <w:spacing w:line="400" w:lineRule="exact"/>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收件人：莫颖军</w:t>
      </w:r>
    </w:p>
    <w:p>
      <w:pPr>
        <w:autoSpaceDE w:val="0"/>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联系电话：13807301865</w:t>
      </w:r>
    </w:p>
    <w:p>
      <w:pPr>
        <w:autoSpaceDE w:val="0"/>
        <w:spacing w:line="400" w:lineRule="exact"/>
        <w:ind w:firstLine="240" w:firstLineChars="1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numPr>
          <w:ilvl w:val="-1"/>
          <w:numId w:val="0"/>
        </w:numPr>
        <w:spacing w:line="600" w:lineRule="exact"/>
        <w:ind w:left="0" w:firstLine="0"/>
        <w:jc w:val="center"/>
        <w:outlineLvl w:val="9"/>
        <w:rPr>
          <w:rFonts w:hint="eastAsia" w:ascii="黑体" w:hAnsi="黑体" w:eastAsia="黑体"/>
          <w:color w:val="auto"/>
          <w:sz w:val="36"/>
          <w:szCs w:val="36"/>
          <w:highlight w:val="none"/>
        </w:rPr>
      </w:pPr>
      <w:bookmarkStart w:id="17" w:name="_Toc12427_WPSOffice_Level1"/>
      <w:r>
        <w:rPr>
          <w:rFonts w:hint="eastAsia" w:ascii="黑体" w:hAnsi="黑体" w:eastAsia="黑体"/>
          <w:color w:val="auto"/>
          <w:sz w:val="36"/>
          <w:szCs w:val="36"/>
          <w:highlight w:val="none"/>
        </w:rPr>
        <w:t>第二章 供应商须知</w:t>
      </w:r>
      <w:bookmarkEnd w:id="17"/>
    </w:p>
    <w:p>
      <w:pPr>
        <w:spacing w:before="240" w:after="240" w:line="240" w:lineRule="auto"/>
        <w:jc w:val="center"/>
        <w:rPr>
          <w:rFonts w:hint="eastAsia" w:ascii="华文中宋" w:hAnsi="华文中宋" w:eastAsia="华文中宋" w:cs="仿宋"/>
          <w:b/>
          <w:bCs/>
          <w:color w:val="auto"/>
          <w:sz w:val="30"/>
          <w:szCs w:val="30"/>
          <w:highlight w:val="none"/>
        </w:rPr>
      </w:pPr>
      <w:r>
        <w:rPr>
          <w:rFonts w:hint="eastAsia" w:ascii="华文中宋" w:hAnsi="华文中宋" w:eastAsia="华文中宋" w:cs="仿宋"/>
          <w:b/>
          <w:bCs/>
          <w:color w:val="auto"/>
          <w:kern w:val="2"/>
          <w:sz w:val="30"/>
          <w:szCs w:val="30"/>
          <w:highlight w:val="none"/>
          <w:lang w:val="en-US" w:eastAsia="zh-CN"/>
        </w:rPr>
        <w:t xml:space="preserve">第一节  </w:t>
      </w:r>
      <w:r>
        <w:rPr>
          <w:rFonts w:hint="eastAsia" w:ascii="华文中宋" w:hAnsi="华文中宋" w:eastAsia="华文中宋" w:cs="仿宋"/>
          <w:b/>
          <w:bCs/>
          <w:color w:val="auto"/>
          <w:sz w:val="30"/>
          <w:szCs w:val="30"/>
          <w:highlight w:val="none"/>
        </w:rPr>
        <w:t>供应商须知前附表</w:t>
      </w:r>
    </w:p>
    <w:tbl>
      <w:tblPr>
        <w:tblStyle w:val="37"/>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不得分包的内容：</w:t>
            </w:r>
            <w:r>
              <w:rPr>
                <w:rFonts w:hint="eastAsia" w:ascii="宋体" w:hAnsi="宋体" w:cs="仿宋"/>
                <w:color w:val="auto"/>
                <w:sz w:val="24"/>
                <w:highlight w:val="none"/>
                <w:u w:val="none"/>
                <w:lang w:eastAsia="zh-CN"/>
              </w:rPr>
              <w:t>不允许分包</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sz w:val="24"/>
                <w:highlight w:val="none"/>
              </w:rPr>
              <w:t>允许偏差的范围：</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文件在实质上响应</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文件要求，但存在含义不明确的内容、明显文字或计算错误等情况，并且澄清、说明和补正这些情况不会对其他</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人造成不公平的结果</w:t>
            </w:r>
            <w:r>
              <w:rPr>
                <w:rFonts w:hint="eastAsia" w:ascii="宋体" w:hAnsi="宋体" w:cs="宋体"/>
                <w:color w:val="auto"/>
                <w:sz w:val="24"/>
                <w:szCs w:val="24"/>
                <w:highlight w:val="none"/>
                <w:lang w:eastAsia="zh-CN"/>
              </w:rPr>
              <w:t>。</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允许偏差的项数：</w:t>
            </w:r>
            <w:r>
              <w:rPr>
                <w:rFonts w:hint="eastAsia" w:cs="仿宋" w:asciiTheme="minorEastAsia" w:hAnsiTheme="minorEastAsia" w:eastAsiaTheme="minorEastAsia"/>
                <w:color w:val="auto"/>
                <w:sz w:val="24"/>
                <w:highlight w:val="none"/>
                <w:lang w:val="en-US" w:eastAsia="zh-CN"/>
              </w:rPr>
              <w:t>3项</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资料名称： </w:t>
            </w:r>
            <w:r>
              <w:rPr>
                <w:rFonts w:hint="eastAsia" w:cs="仿宋" w:asciiTheme="minorEastAsia" w:hAnsiTheme="minorEastAsia" w:eastAsiaTheme="minorEastAsia"/>
                <w:color w:val="auto"/>
                <w:sz w:val="24"/>
                <w:highlight w:val="none"/>
                <w:lang w:eastAsia="zh-CN"/>
              </w:rPr>
              <w:t>无</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截止时间： </w:t>
            </w:r>
            <w:r>
              <w:rPr>
                <w:rFonts w:hint="eastAsia" w:cs="仿宋" w:asciiTheme="minorEastAsia" w:hAnsiTheme="minorEastAsia" w:eastAsiaTheme="minorEastAsia"/>
                <w:color w:val="auto"/>
                <w:sz w:val="24"/>
                <w:highlight w:val="none"/>
                <w:lang w:val="en-US" w:eastAsia="zh-CN"/>
              </w:rPr>
              <w:t>2022年</w:t>
            </w:r>
            <w:r>
              <w:rPr>
                <w:rFonts w:hint="eastAsia" w:cs="仿宋" w:asciiTheme="minorEastAsia" w:hAnsiTheme="minorEastAsia" w:eastAsiaTheme="minorEastAsia"/>
                <w:color w:val="auto"/>
                <w:sz w:val="24"/>
                <w:highlight w:val="none"/>
                <w:u w:val="single"/>
                <w:lang w:val="en-US" w:eastAsia="zh-CN"/>
              </w:rPr>
              <w:t xml:space="preserve">2 </w:t>
            </w:r>
            <w:r>
              <w:rPr>
                <w:rFonts w:hint="eastAsia" w:cs="仿宋" w:asciiTheme="minorEastAsia" w:hAnsiTheme="minorEastAsia" w:eastAsiaTheme="minorEastAsia"/>
                <w:color w:val="auto"/>
                <w:sz w:val="24"/>
                <w:highlight w:val="none"/>
                <w:lang w:val="en-US" w:eastAsia="zh-CN"/>
              </w:rPr>
              <w:t xml:space="preserve">月 </w:t>
            </w:r>
            <w:r>
              <w:rPr>
                <w:rFonts w:hint="eastAsia" w:cs="仿宋" w:asciiTheme="minorEastAsia" w:hAnsiTheme="minorEastAsia" w:eastAsiaTheme="minorEastAsia"/>
                <w:color w:val="auto"/>
                <w:sz w:val="24"/>
                <w:highlight w:val="none"/>
                <w:u w:val="single"/>
                <w:lang w:val="en-US" w:eastAsia="zh-CN"/>
              </w:rPr>
              <w:t>17</w:t>
            </w:r>
            <w:r>
              <w:rPr>
                <w:rFonts w:hint="eastAsia" w:cs="仿宋" w:asciiTheme="minorEastAsia" w:hAnsiTheme="minorEastAsia" w:eastAsiaTheme="minorEastAsia"/>
                <w:color w:val="auto"/>
                <w:sz w:val="24"/>
                <w:highlight w:val="none"/>
                <w:lang w:val="en-US" w:eastAsia="zh-CN"/>
              </w:rPr>
              <w:t>日</w:t>
            </w:r>
            <w:r>
              <w:rPr>
                <w:rFonts w:hint="eastAsia" w:cs="仿宋" w:asciiTheme="minorEastAsia" w:hAnsiTheme="minorEastAsia" w:eastAsiaTheme="minorEastAsia"/>
                <w:color w:val="auto"/>
                <w:sz w:val="24"/>
                <w:highlight w:val="none"/>
                <w:u w:val="single"/>
                <w:lang w:val="en-US" w:eastAsia="zh-CN"/>
              </w:rPr>
              <w:t>17</w:t>
            </w:r>
            <w:r>
              <w:rPr>
                <w:rFonts w:hint="eastAsia" w:cs="仿宋" w:asciiTheme="minorEastAsia" w:hAnsiTheme="minorEastAsia" w:eastAsiaTheme="minorEastAsia"/>
                <w:color w:val="auto"/>
                <w:sz w:val="24"/>
                <w:highlight w:val="none"/>
                <w:lang w:val="en-US" w:eastAsia="zh-CN"/>
              </w:rPr>
              <w:t>时</w:t>
            </w:r>
            <w:r>
              <w:rPr>
                <w:rFonts w:hint="eastAsia" w:cs="仿宋" w:asciiTheme="minorEastAsia" w:hAnsiTheme="minorEastAsia" w:eastAsiaTheme="minorEastAsia"/>
                <w:color w:val="auto"/>
                <w:sz w:val="24"/>
                <w:highlight w:val="none"/>
                <w:u w:val="single"/>
                <w:lang w:val="en-US" w:eastAsia="zh-CN"/>
              </w:rPr>
              <w:t>30</w:t>
            </w:r>
            <w:r>
              <w:rPr>
                <w:rFonts w:hint="eastAsia" w:cs="仿宋" w:asciiTheme="minorEastAsia" w:hAnsiTheme="minorEastAsia" w:eastAsiaTheme="minorEastAsia"/>
                <w:color w:val="auto"/>
                <w:sz w:val="24"/>
                <w:highlight w:val="none"/>
                <w:lang w:val="en-US" w:eastAsia="zh-CN"/>
              </w:rPr>
              <w:t>分</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rPr>
              <w:t>确认的最晚时间：</w:t>
            </w:r>
            <w:r>
              <w:rPr>
                <w:rFonts w:hint="eastAsia" w:cs="仿宋" w:asciiTheme="minorEastAsia" w:hAnsiTheme="minorEastAsia" w:eastAsiaTheme="minorEastAsia"/>
                <w:color w:val="auto"/>
                <w:sz w:val="24"/>
                <w:highlight w:val="none"/>
                <w:lang w:val="en-US" w:eastAsia="zh-CN"/>
              </w:rPr>
              <w:t>补充文件发出后24小时</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确定的方式：</w:t>
            </w:r>
            <w:r>
              <w:rPr>
                <w:rFonts w:hint="eastAsia" w:cs="仿宋" w:asciiTheme="minorEastAsia" w:hAnsiTheme="minorEastAsia" w:eastAsiaTheme="minorEastAsia"/>
                <w:color w:val="auto"/>
                <w:sz w:val="24"/>
                <w:highlight w:val="none"/>
                <w:lang w:val="en-US" w:eastAsia="zh-CN"/>
              </w:rPr>
              <w:t>补充文件接收确认函</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资料名称</w:t>
            </w:r>
            <w:r>
              <w:rPr>
                <w:rFonts w:hint="eastAsia" w:cs="仿宋" w:asciiTheme="minorEastAsia" w:hAnsiTheme="minorEastAsia" w:eastAsiaTheme="minorEastAsia"/>
                <w:color w:val="auto"/>
                <w:sz w:val="24"/>
                <w:highlight w:val="none"/>
                <w:lang w:eastAsia="zh-CN"/>
              </w:rPr>
              <w:t>：无</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□无</w:t>
            </w:r>
          </w:p>
          <w:p>
            <w:pPr>
              <w:adjustRightInd w:val="0"/>
              <w:snapToGrid w:val="0"/>
              <w:spacing w:line="312" w:lineRule="auto"/>
              <w:ind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有，最高限价或其计算方法：</w:t>
            </w:r>
            <w:r>
              <w:rPr>
                <w:rFonts w:hint="default" w:ascii="Arial" w:hAnsi="Arial" w:cs="Arial"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478，200.00；</w:t>
            </w:r>
            <w:r>
              <w:rPr>
                <w:rFonts w:hint="eastAsia" w:ascii="宋体" w:hAnsi="宋体" w:cs="Times New Roman"/>
                <w:color w:val="auto"/>
                <w:sz w:val="24"/>
                <w:highlight w:val="none"/>
                <w:u w:val="none"/>
                <w:lang w:val="en-US" w:eastAsia="zh-CN"/>
              </w:rPr>
              <w:t>提供6%的增值税专用发票，超过最高限价的作废。如果报价人提供其他税率的增值税专用发票，招标人按6%的税率调整报价后参与排序。</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递交响应文件截止之日起</w:t>
            </w:r>
            <w:r>
              <w:rPr>
                <w:rFonts w:hint="eastAsia" w:cs="仿宋" w:asciiTheme="minorEastAsia" w:hAnsiTheme="minorEastAsia" w:eastAsiaTheme="minorEastAsia"/>
                <w:color w:val="auto"/>
                <w:sz w:val="24"/>
                <w:highlight w:val="none"/>
                <w:lang w:val="en-US" w:eastAsia="zh-CN"/>
              </w:rPr>
              <w:t>90</w:t>
            </w:r>
            <w:r>
              <w:rPr>
                <w:rFonts w:hint="eastAsia" w:cs="仿宋" w:asciiTheme="minorEastAsia" w:hAnsiTheme="minorEastAsia" w:eastAsiaTheme="minorEastAsia"/>
                <w:color w:val="auto"/>
                <w:sz w:val="24"/>
                <w:highlight w:val="none"/>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Style w:val="40"/>
                <w:rFonts w:hint="eastAsia" w:asciiTheme="minorEastAsia" w:hAnsiTheme="minorEastAsia" w:eastAsiaTheme="minorEastAsia"/>
                <w:b w:val="0"/>
                <w:color w:val="000000"/>
                <w:sz w:val="24"/>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□不适用。</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适用。</w:t>
            </w:r>
            <w:r>
              <w:rPr>
                <w:rFonts w:hint="eastAsia" w:asciiTheme="minorEastAsia" w:hAnsiTheme="minorEastAsia" w:eastAsiaTheme="minorEastAsia" w:cstheme="minorEastAsia"/>
                <w:color w:val="auto"/>
                <w:sz w:val="24"/>
                <w:szCs w:val="24"/>
                <w:highlight w:val="none"/>
              </w:rPr>
              <w:t>供应商应</w:t>
            </w:r>
            <w:r>
              <w:rPr>
                <w:rFonts w:hint="eastAsia" w:asciiTheme="minorEastAsia" w:hAnsiTheme="minorEastAsia" w:eastAsiaTheme="minorEastAsia" w:cstheme="minorEastAsia"/>
                <w:color w:val="auto"/>
                <w:sz w:val="24"/>
                <w:szCs w:val="24"/>
                <w:highlight w:val="none"/>
                <w:lang w:eastAsia="zh-CN"/>
              </w:rPr>
              <w:t>具有</w:t>
            </w:r>
            <w:r>
              <w:rPr>
                <w:rFonts w:hint="eastAsia" w:asciiTheme="minorEastAsia" w:hAnsiTheme="minorEastAsia" w:eastAsiaTheme="minorEastAsia" w:cstheme="minorEastAsia"/>
                <w:color w:val="auto"/>
                <w:sz w:val="24"/>
                <w:szCs w:val="24"/>
                <w:highlight w:val="none"/>
              </w:rPr>
              <w:t>市场监管部门或其他行政机关颁发的可以合法开展</w:t>
            </w:r>
            <w:r>
              <w:rPr>
                <w:rFonts w:hint="eastAsia" w:asciiTheme="minorEastAsia" w:hAnsiTheme="minorEastAsia" w:eastAsiaTheme="minorEastAsia" w:cstheme="minorEastAsia"/>
                <w:color w:val="auto"/>
                <w:sz w:val="24"/>
                <w:szCs w:val="24"/>
                <w:highlight w:val="none"/>
                <w:lang w:val="en-US" w:eastAsia="zh-CN"/>
              </w:rPr>
              <w:t>体检</w:t>
            </w:r>
            <w:r>
              <w:rPr>
                <w:rFonts w:hint="eastAsia" w:asciiTheme="minorEastAsia" w:hAnsiTheme="minorEastAsia" w:eastAsiaTheme="minorEastAsia" w:cstheme="minorEastAsia"/>
                <w:color w:val="auto"/>
                <w:sz w:val="24"/>
                <w:szCs w:val="24"/>
                <w:highlight w:val="none"/>
              </w:rPr>
              <w:t>业务的</w:t>
            </w:r>
            <w:r>
              <w:rPr>
                <w:rFonts w:hint="eastAsia" w:asciiTheme="minorEastAsia" w:hAnsiTheme="minorEastAsia" w:eastAsiaTheme="minorEastAsia" w:cstheme="minorEastAsia"/>
                <w:color w:val="auto"/>
                <w:sz w:val="24"/>
                <w:szCs w:val="24"/>
                <w:highlight w:val="none"/>
                <w:lang w:eastAsia="zh-CN"/>
              </w:rPr>
              <w:t>营业</w:t>
            </w:r>
            <w:r>
              <w:rPr>
                <w:rFonts w:hint="eastAsia" w:asciiTheme="minorEastAsia" w:hAnsiTheme="minorEastAsia" w:eastAsiaTheme="minorEastAsia" w:cstheme="minorEastAsia"/>
                <w:color w:val="auto"/>
                <w:sz w:val="24"/>
                <w:szCs w:val="24"/>
                <w:highlight w:val="none"/>
              </w:rPr>
              <w:t>执照或证书</w:t>
            </w:r>
            <w:r>
              <w:rPr>
                <w:rFonts w:hint="eastAsia" w:asciiTheme="minorEastAsia" w:hAnsiTheme="minorEastAsia" w:eastAsiaTheme="minorEastAsia" w:cstheme="minorEastAsia"/>
                <w:color w:val="auto"/>
                <w:sz w:val="24"/>
                <w:szCs w:val="24"/>
                <w:highlight w:val="none"/>
                <w:lang w:eastAsia="zh-CN"/>
              </w:rPr>
              <w:t>，提供复印件。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Style w:val="40"/>
                <w:rFonts w:hint="eastAsia" w:asciiTheme="minorEastAsia" w:hAnsiTheme="minorEastAsia" w:eastAsiaTheme="minorEastAsia"/>
                <w:b w:val="0"/>
                <w:color w:val="000000"/>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□不适用</w:t>
            </w:r>
          </w:p>
          <w:p>
            <w:pPr>
              <w:adjustRightInd w:val="0"/>
              <w:snapToGrid w:val="0"/>
              <w:spacing w:line="312"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适用。</w:t>
            </w:r>
            <w:r>
              <w:rPr>
                <w:rFonts w:hint="eastAsia" w:cs="宋体" w:asciiTheme="minorEastAsia" w:hAnsiTheme="minorEastAsia" w:eastAsiaTheme="minorEastAsia"/>
                <w:color w:val="auto"/>
                <w:sz w:val="24"/>
                <w:highlight w:val="none"/>
              </w:rPr>
              <w:t>本次询价要求体检医院具备独立法人资格，持有有效营业执照、需要提供由岳阳卫生局审批的医疗机构执业许可证，二甲</w:t>
            </w:r>
            <w:r>
              <w:rPr>
                <w:rFonts w:hint="eastAsia" w:cs="宋体" w:asciiTheme="minorEastAsia" w:hAnsiTheme="minorEastAsia" w:eastAsiaTheme="minorEastAsia"/>
                <w:color w:val="auto"/>
                <w:sz w:val="24"/>
                <w:highlight w:val="none"/>
                <w:lang w:val="en-US" w:eastAsia="zh-CN"/>
              </w:rPr>
              <w:t>或</w:t>
            </w:r>
            <w:r>
              <w:rPr>
                <w:rFonts w:hint="eastAsia" w:cs="宋体" w:asciiTheme="minorEastAsia" w:hAnsiTheme="minorEastAsia" w:eastAsiaTheme="minorEastAsia"/>
                <w:color w:val="auto"/>
                <w:sz w:val="24"/>
                <w:highlight w:val="none"/>
              </w:rPr>
              <w:t>三甲医院</w:t>
            </w:r>
            <w:r>
              <w:rPr>
                <w:rFonts w:hint="eastAsia" w:cs="宋体" w:asciiTheme="minorEastAsia" w:hAnsiTheme="minorEastAsia" w:eastAsiaTheme="minorEastAsia"/>
                <w:color w:val="auto"/>
                <w:sz w:val="24"/>
                <w:highlight w:val="none"/>
                <w:lang w:val="en-US" w:eastAsia="zh-CN"/>
              </w:rPr>
              <w:t>证明</w:t>
            </w:r>
            <w:r>
              <w:rPr>
                <w:rFonts w:hint="eastAsia" w:cs="宋体" w:asciiTheme="minorEastAsia" w:hAnsiTheme="minorEastAsia" w:eastAsiaTheme="minorEastAsia"/>
                <w:color w:val="auto"/>
                <w:sz w:val="24"/>
                <w:highlight w:val="none"/>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highlight w:val="none"/>
              </w:rPr>
            </w:pPr>
            <w:r>
              <w:rPr>
                <w:rStyle w:val="40"/>
                <w:rFonts w:hint="eastAsia" w:asciiTheme="minorEastAsia" w:hAnsiTheme="minorEastAsia" w:eastAsiaTheme="minorEastAsia"/>
                <w:b w:val="0"/>
                <w:color w:val="000000"/>
                <w:sz w:val="24"/>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不适用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□不适用</w:t>
            </w:r>
          </w:p>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auto"/>
                <w:sz w:val="24"/>
                <w:highlight w:val="none"/>
              </w:rPr>
              <w:t>适用。供应商应提供近</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年的类似项目情况表（格式见第六章“响应文件格式”</w:t>
            </w:r>
            <w:r>
              <w:rPr>
                <w:rFonts w:hint="eastAsia" w:cs="宋体" w:asciiTheme="minorEastAsia" w:hAnsiTheme="minorEastAsia" w:eastAsiaTheme="minorEastAsia"/>
                <w:color w:val="auto"/>
                <w:sz w:val="24"/>
                <w:highlight w:val="none"/>
                <w:lang w:val="en-US" w:eastAsia="zh-CN"/>
              </w:rPr>
              <w:t>五</w:t>
            </w:r>
            <w:r>
              <w:rPr>
                <w:rFonts w:hint="eastAsia" w:cs="宋体" w:asciiTheme="minorEastAsia" w:hAnsiTheme="minorEastAsia" w:eastAsiaTheme="minorEastAsia"/>
                <w:color w:val="auto"/>
                <w:sz w:val="24"/>
                <w:highlight w:val="none"/>
              </w:rPr>
              <w:t>、资格审查资料（</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）近年的类似</w:t>
            </w:r>
            <w:r>
              <w:rPr>
                <w:rFonts w:hint="eastAsia" w:cs="宋体" w:asciiTheme="minorEastAsia" w:hAnsiTheme="minorEastAsia" w:eastAsiaTheme="minorEastAsia"/>
                <w:color w:val="auto"/>
                <w:sz w:val="24"/>
                <w:highlight w:val="none"/>
                <w:lang w:val="en-US" w:eastAsia="zh-CN"/>
              </w:rPr>
              <w:t>项目</w:t>
            </w:r>
            <w:r>
              <w:rPr>
                <w:rFonts w:hint="eastAsia" w:cs="宋体" w:asciiTheme="minorEastAsia" w:hAnsiTheme="minorEastAsia" w:eastAsiaTheme="minorEastAsia"/>
                <w:color w:val="auto"/>
                <w:sz w:val="24"/>
                <w:highlight w:val="none"/>
              </w:rPr>
              <w:t>情况表），以证明供应商具有承担本项目要求的业绩。近年是指</w:t>
            </w:r>
            <w:r>
              <w:rPr>
                <w:rFonts w:hint="eastAsia" w:cs="宋体" w:asciiTheme="minorEastAsia" w:hAnsiTheme="minorEastAsia" w:eastAsiaTheme="minorEastAsia"/>
                <w:color w:val="auto"/>
                <w:sz w:val="24"/>
                <w:highlight w:val="none"/>
                <w:u w:val="single"/>
              </w:rPr>
              <w:t>从报价文件提交截止日期往前推算</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业绩证明材料</w:t>
            </w:r>
            <w:r>
              <w:rPr>
                <w:rFonts w:hint="eastAsia" w:cs="宋体" w:asciiTheme="minorEastAsia" w:hAnsiTheme="minorEastAsia" w:eastAsiaTheme="minorEastAsia"/>
                <w:color w:val="auto"/>
                <w:sz w:val="24"/>
                <w:highlight w:val="none"/>
                <w:lang w:val="en-US" w:eastAsia="zh-CN"/>
              </w:rPr>
              <w:t>应具有下列文件之一的复印件，且业绩证明文件不得少于壹份</w:t>
            </w:r>
            <w:r>
              <w:rPr>
                <w:rFonts w:hint="eastAsia" w:cs="宋体" w:asciiTheme="minorEastAsia" w:hAnsiTheme="minorEastAsia" w:eastAsiaTheme="minorEastAsia"/>
                <w:color w:val="auto"/>
                <w:sz w:val="24"/>
                <w:highlight w:val="none"/>
              </w:rPr>
              <w:t>：</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auto"/>
                <w:sz w:val="24"/>
                <w:highlight w:val="none"/>
              </w:rPr>
              <w:t>合同/订单</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业主证明</w:t>
            </w:r>
          </w:p>
          <w:p>
            <w:pPr>
              <w:spacing w:line="288" w:lineRule="auto"/>
              <w:jc w:val="both"/>
              <w:rPr>
                <w:rFonts w:hint="eastAsia" w:ascii="宋体" w:hAnsi="宋体" w:eastAsia="宋体" w:cs="宋体"/>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其他材料：</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highlight w:val="none"/>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auto"/>
                <w:sz w:val="24"/>
                <w:highlight w:val="none"/>
                <w:lang w:eastAsia="zh-CN"/>
              </w:rPr>
              <w:sym w:font="Wingdings 2" w:char="0052"/>
            </w:r>
            <w:r>
              <w:rPr>
                <w:rFonts w:hint="eastAsia" w:cs="宋体" w:asciiTheme="minorEastAsia" w:hAnsiTheme="minorEastAsia" w:eastAsiaTheme="minorEastAsia"/>
                <w:color w:val="000000"/>
                <w:sz w:val="24"/>
                <w:highlight w:val="none"/>
              </w:rPr>
              <w:t>不适用</w:t>
            </w:r>
          </w:p>
          <w:p>
            <w:pPr>
              <w:spacing w:line="288" w:lineRule="auto"/>
              <w:jc w:val="both"/>
              <w:rPr>
                <w:rFonts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适用。供应商应提供相关信誉情况的证明材料，包括：</w:t>
            </w:r>
          </w:p>
        </w:tc>
      </w:tr>
      <w:tr>
        <w:tblPrEx>
          <w:tblCellMar>
            <w:top w:w="0" w:type="dxa"/>
            <w:left w:w="108" w:type="dxa"/>
            <w:bottom w:w="0" w:type="dxa"/>
            <w:right w:w="108" w:type="dxa"/>
          </w:tblCellMar>
        </w:tblPrEx>
        <w:trPr>
          <w:trHeight w:val="1607"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numPr>
                <w:ilvl w:val="-1"/>
                <w:numId w:val="0"/>
              </w:num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000000"/>
                <w:sz w:val="24"/>
                <w:highlight w:val="none"/>
              </w:rPr>
              <w:t>不适用</w:t>
            </w:r>
          </w:p>
          <w:p>
            <w:pPr>
              <w:widowControl w:val="0"/>
              <w:numPr>
                <w:ilvl w:val="-1"/>
                <w:numId w:val="0"/>
              </w:numPr>
              <w:spacing w:line="288"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000000"/>
                <w:sz w:val="24"/>
                <w:highlight w:val="none"/>
              </w:rPr>
              <w:t>适用。</w:t>
            </w:r>
            <w:r>
              <w:rPr>
                <w:rFonts w:hint="eastAsia" w:cs="宋体" w:asciiTheme="minorEastAsia" w:hAnsiTheme="minorEastAsia" w:eastAsiaTheme="minorEastAsia"/>
                <w:color w:val="auto"/>
                <w:sz w:val="24"/>
                <w:highlight w:val="none"/>
                <w:u w:val="none"/>
                <w:lang w:eastAsia="zh-CN"/>
              </w:rPr>
              <w:t>供应商应提供拟委任的人员汇总表和保安人员简历表（格式见第六章“响应文件格式”五、资格审查资料（三）拟委任的人员汇总表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288" w:lineRule="auto"/>
              <w:jc w:val="both"/>
              <w:rPr>
                <w:rFonts w:hint="eastAsia"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auto"/>
                <w:sz w:val="24"/>
                <w:highlight w:val="none"/>
                <w:lang w:eastAsia="zh-CN"/>
              </w:rPr>
              <w:sym w:font="Wingdings 2" w:char="0052"/>
            </w:r>
            <w:r>
              <w:rPr>
                <w:rFonts w:hint="eastAsia" w:cs="宋体" w:asciiTheme="minorEastAsia" w:hAnsiTheme="minorEastAsia" w:eastAsiaTheme="minorEastAsia"/>
                <w:color w:val="000000"/>
                <w:sz w:val="24"/>
                <w:highlight w:val="none"/>
              </w:rPr>
              <w:t>不需要提供证明材料</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auto"/>
                <w:sz w:val="24"/>
                <w:highlight w:val="none"/>
                <w:lang w:eastAsia="zh-CN"/>
              </w:rPr>
              <w:sym w:font="Wingdings 2" w:char="00A3"/>
            </w:r>
            <w:r>
              <w:rPr>
                <w:rFonts w:hint="eastAsia" w:cs="宋体" w:asciiTheme="minorEastAsia" w:hAnsiTheme="minorEastAsia" w:eastAsiaTheme="minorEastAsia"/>
                <w:color w:val="000000"/>
                <w:sz w:val="24"/>
                <w:highlight w:val="none"/>
              </w:rPr>
              <w:t>需要提供证明材料，包括</w:t>
            </w:r>
            <w:r>
              <w:rPr>
                <w:rFonts w:hint="eastAsia" w:cs="宋体" w:asciiTheme="minorEastAsia" w:hAnsiTheme="minorEastAsia" w:eastAsiaTheme="minorEastAsia"/>
                <w:color w:val="000000"/>
                <w:sz w:val="24"/>
                <w:highlight w:val="none"/>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是否要求提供电子版响应文件：</w:t>
            </w:r>
          </w:p>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w:t>
            </w:r>
            <w:r>
              <w:rPr>
                <w:rFonts w:hint="eastAsia" w:cs="宋体" w:asciiTheme="minorEastAsia" w:hAnsiTheme="minorEastAsia" w:eastAsiaTheme="minorEastAsia"/>
                <w:color w:val="000000"/>
                <w:sz w:val="24"/>
                <w:highlight w:val="none"/>
                <w:lang w:eastAsia="zh-CN"/>
              </w:rPr>
              <w:t>一正二副，</w:t>
            </w:r>
            <w:r>
              <w:rPr>
                <w:rFonts w:hint="eastAsia" w:cs="宋体" w:asciiTheme="minorEastAsia" w:hAnsiTheme="minorEastAsia" w:eastAsiaTheme="minorEastAsia"/>
                <w:color w:val="000000"/>
                <w:sz w:val="24"/>
                <w:highlight w:val="none"/>
              </w:rPr>
              <w:t>须密封包装，并在封套的封口处加盖</w:t>
            </w:r>
            <w:r>
              <w:rPr>
                <w:rFonts w:hint="eastAsia" w:cs="宋体" w:asciiTheme="minorEastAsia" w:hAnsiTheme="minorEastAsia" w:eastAsiaTheme="minorEastAsia"/>
                <w:color w:val="000000"/>
                <w:sz w:val="24"/>
                <w:highlight w:val="none"/>
                <w:lang w:eastAsia="zh-CN"/>
              </w:rPr>
              <w:t>供应商</w:t>
            </w:r>
            <w:r>
              <w:rPr>
                <w:rFonts w:hint="eastAsia" w:cs="宋体" w:asciiTheme="minorEastAsia" w:hAnsiTheme="minorEastAsia" w:eastAsiaTheme="minorEastAsia"/>
                <w:color w:val="000000"/>
                <w:sz w:val="24"/>
                <w:highlight w:val="none"/>
              </w:rPr>
              <w:t>单位</w:t>
            </w:r>
            <w:r>
              <w:rPr>
                <w:rFonts w:hint="eastAsia" w:cs="宋体" w:asciiTheme="minorEastAsia" w:hAnsiTheme="minorEastAsia" w:eastAsiaTheme="minorEastAsia"/>
                <w:color w:val="000000"/>
                <w:sz w:val="24"/>
                <w:highlight w:val="none"/>
                <w:lang w:val="en-US" w:eastAsia="zh-CN"/>
              </w:rPr>
              <w:t>公</w:t>
            </w:r>
            <w:r>
              <w:rPr>
                <w:rFonts w:hint="eastAsia" w:cs="宋体" w:asciiTheme="minorEastAsia" w:hAnsiTheme="minorEastAsia" w:eastAsiaTheme="minorEastAsia"/>
                <w:color w:val="000000"/>
                <w:sz w:val="24"/>
                <w:highlight w:val="none"/>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□不适用</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适用，供应商名称</w:t>
            </w:r>
            <w:r>
              <w:rPr>
                <w:rFonts w:hint="eastAsia" w:cs="宋体" w:asciiTheme="minorEastAsia" w:hAnsiTheme="minorEastAsia" w:eastAsiaTheme="minorEastAsia"/>
                <w:color w:val="000000"/>
                <w:sz w:val="24"/>
                <w:highlight w:val="none"/>
                <w:lang w:eastAsia="zh-CN"/>
              </w:rPr>
              <w:t>：</w:t>
            </w:r>
            <w:r>
              <w:rPr>
                <w:rFonts w:hint="eastAsia" w:ascii="宋体" w:hAnsi="宋体" w:cs="宋体"/>
                <w:color w:val="auto"/>
                <w:sz w:val="24"/>
                <w:szCs w:val="24"/>
                <w:highlight w:val="none"/>
                <w:u w:val="single"/>
                <w:lang w:val="en-US" w:eastAsia="zh-CN"/>
              </w:rPr>
              <w:t>岳阳城陵矶港务有限责任公司2021年度职工体检项目</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rPr>
            </w:pPr>
            <w:r>
              <w:rPr>
                <w:rFonts w:hint="eastAsia" w:cs="宋体" w:asciiTheme="minorEastAsia" w:hAnsiTheme="minorEastAsia" w:eastAsiaTheme="minorEastAsia"/>
                <w:color w:val="000000"/>
                <w:sz w:val="24"/>
                <w:highlight w:val="none"/>
              </w:rPr>
              <w:t>截止时间：</w:t>
            </w:r>
            <w:r>
              <w:rPr>
                <w:rFonts w:hint="eastAsia" w:cs="宋体" w:asciiTheme="minorEastAsia" w:hAnsiTheme="minorEastAsia" w:eastAsiaTheme="minorEastAsia"/>
                <w:color w:val="000000"/>
                <w:sz w:val="24"/>
                <w:highlight w:val="none"/>
                <w:lang w:val="en-US" w:eastAsia="zh-CN"/>
              </w:rPr>
              <w:t>2022年</w:t>
            </w:r>
            <w:r>
              <w:rPr>
                <w:rFonts w:hint="eastAsia" w:cs="宋体" w:asciiTheme="minorEastAsia" w:hAnsiTheme="minorEastAsia" w:eastAsiaTheme="minorEastAsia"/>
                <w:color w:val="000000"/>
                <w:sz w:val="24"/>
                <w:highlight w:val="none"/>
                <w:u w:val="single"/>
                <w:lang w:val="en-US" w:eastAsia="zh-CN"/>
              </w:rPr>
              <w:t>2</w:t>
            </w:r>
            <w:r>
              <w:rPr>
                <w:rFonts w:hint="eastAsia" w:cs="宋体" w:asciiTheme="minorEastAsia" w:hAnsiTheme="minorEastAsia" w:eastAsiaTheme="minorEastAsia"/>
                <w:color w:val="000000"/>
                <w:sz w:val="24"/>
                <w:highlight w:val="none"/>
                <w:lang w:val="en-US" w:eastAsia="zh-CN"/>
              </w:rPr>
              <w:t xml:space="preserve">月 </w:t>
            </w:r>
            <w:r>
              <w:rPr>
                <w:rFonts w:hint="eastAsia" w:cs="宋体" w:asciiTheme="minorEastAsia" w:hAnsiTheme="minorEastAsia" w:eastAsiaTheme="minorEastAsia"/>
                <w:color w:val="000000"/>
                <w:sz w:val="24"/>
                <w:highlight w:val="none"/>
                <w:u w:val="single"/>
                <w:lang w:val="en-US" w:eastAsia="zh-CN"/>
              </w:rPr>
              <w:t>17</w:t>
            </w:r>
            <w:r>
              <w:rPr>
                <w:rFonts w:hint="eastAsia" w:cs="宋体" w:asciiTheme="minorEastAsia" w:hAnsiTheme="minorEastAsia" w:eastAsiaTheme="minorEastAsia"/>
                <w:color w:val="000000"/>
                <w:sz w:val="24"/>
                <w:highlight w:val="none"/>
                <w:lang w:val="en-US" w:eastAsia="zh-CN"/>
              </w:rPr>
              <w:t>日</w:t>
            </w:r>
            <w:r>
              <w:rPr>
                <w:rFonts w:hint="eastAsia" w:cs="宋体" w:asciiTheme="minorEastAsia" w:hAnsiTheme="minorEastAsia" w:eastAsiaTheme="minorEastAsia"/>
                <w:color w:val="000000"/>
                <w:sz w:val="24"/>
                <w:highlight w:val="none"/>
                <w:u w:val="single"/>
                <w:lang w:val="en-US" w:eastAsia="zh-CN"/>
              </w:rPr>
              <w:t>17</w:t>
            </w:r>
            <w:r>
              <w:rPr>
                <w:rFonts w:hint="eastAsia" w:cs="宋体" w:asciiTheme="minorEastAsia" w:hAnsiTheme="minorEastAsia" w:eastAsiaTheme="minorEastAsia"/>
                <w:color w:val="000000"/>
                <w:sz w:val="24"/>
                <w:highlight w:val="none"/>
                <w:lang w:val="en-US" w:eastAsia="zh-CN"/>
              </w:rPr>
              <w:t>时</w:t>
            </w:r>
            <w:r>
              <w:rPr>
                <w:rFonts w:hint="eastAsia" w:cs="宋体" w:asciiTheme="minorEastAsia" w:hAnsiTheme="minorEastAsia" w:eastAsiaTheme="minorEastAsia"/>
                <w:color w:val="000000"/>
                <w:sz w:val="24"/>
                <w:highlight w:val="none"/>
                <w:u w:val="single"/>
                <w:lang w:val="en-US" w:eastAsia="zh-CN"/>
              </w:rPr>
              <w:t>30</w:t>
            </w:r>
            <w:r>
              <w:rPr>
                <w:rFonts w:hint="eastAsia" w:cs="宋体" w:asciiTheme="minorEastAsia" w:hAnsiTheme="minorEastAsia" w:eastAsiaTheme="minorEastAsia"/>
                <w:color w:val="000000"/>
                <w:sz w:val="24"/>
                <w:highlight w:val="none"/>
                <w:lang w:val="en-US" w:eastAsia="zh-CN"/>
              </w:rPr>
              <w:t>分</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递交响应文件的地点：</w:t>
            </w:r>
            <w:r>
              <w:rPr>
                <w:rFonts w:hint="eastAsia" w:eastAsiaTheme="minorEastAsia"/>
                <w:color w:val="auto"/>
                <w:sz w:val="24"/>
                <w:szCs w:val="24"/>
                <w:highlight w:val="none"/>
                <w:u w:val="single"/>
                <w:lang w:val="en-US" w:eastAsia="zh-CN"/>
              </w:rPr>
              <w:t>岳阳城陵矶港务有限责任公司城港公司办公楼322室</w:t>
            </w:r>
            <w:r>
              <w:rPr>
                <w:rFonts w:hint="eastAsia" w:cs="宋体"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i w:val="0"/>
                <w:caps w:val="0"/>
                <w:color w:val="000000"/>
                <w:spacing w:val="0"/>
                <w:kern w:val="2"/>
                <w:sz w:val="24"/>
                <w:szCs w:val="24"/>
                <w:highlight w:val="none"/>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开启顺序：</w:t>
            </w:r>
            <w:r>
              <w:rPr>
                <w:rFonts w:hint="eastAsia" w:cs="宋体" w:asciiTheme="minorEastAsia" w:hAnsiTheme="minorEastAsia" w:eastAsiaTheme="minorEastAsia"/>
                <w:color w:val="000000"/>
                <w:sz w:val="24"/>
                <w:highlight w:val="none"/>
                <w:u w:val="single"/>
              </w:rPr>
              <w:t xml:space="preserve">   随机 </w:t>
            </w:r>
            <w:r>
              <w:rPr>
                <w:rFonts w:cs="宋体" w:asciiTheme="minorEastAsia" w:hAnsiTheme="minorEastAsia" w:eastAsiaTheme="minorEastAsia"/>
                <w:color w:val="000000"/>
                <w:sz w:val="24"/>
                <w:highlight w:val="none"/>
                <w:u w:val="single"/>
              </w:rPr>
              <w:t xml:space="preserve"> </w:t>
            </w:r>
            <w:r>
              <w:rPr>
                <w:rFonts w:hint="eastAsia" w:cs="宋体" w:asciiTheme="minorEastAsia" w:hAnsiTheme="minorEastAsia" w:eastAsiaTheme="minorEastAsia"/>
                <w:color w:val="000000"/>
                <w:sz w:val="24"/>
                <w:highlight w:val="none"/>
                <w:u w:val="single"/>
              </w:rPr>
              <w:t xml:space="preserve">     </w:t>
            </w:r>
          </w:p>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rPr>
              <w:t>其他应公布的信息：</w:t>
            </w:r>
            <w:r>
              <w:rPr>
                <w:rFonts w:hint="eastAsia" w:cs="宋体" w:asciiTheme="minorEastAsia" w:hAnsiTheme="minorEastAsia" w:eastAsiaTheme="minorEastAsia"/>
                <w:color w:val="000000"/>
                <w:sz w:val="24"/>
                <w:highlight w:val="none"/>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评审小组的组建</w:t>
            </w:r>
            <w:r>
              <w:rPr>
                <w:rStyle w:val="45"/>
                <w:rFonts w:cs="宋体" w:asciiTheme="minorEastAsia" w:hAnsiTheme="minorEastAsia" w:eastAsiaTheme="minorEastAsia"/>
                <w:color w:val="000000"/>
                <w:sz w:val="24"/>
                <w:highlight w:val="none"/>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评标小组构成：</w:t>
            </w:r>
            <w:r>
              <w:rPr>
                <w:rFonts w:cs="宋体" w:asciiTheme="minorEastAsia" w:hAnsiTheme="minorEastAsia" w:eastAsiaTheme="minorEastAsia"/>
                <w:color w:val="000000"/>
                <w:sz w:val="24"/>
                <w:highlight w:val="none"/>
                <w:u w:val="single"/>
              </w:rPr>
              <w:t>3</w:t>
            </w:r>
            <w:r>
              <w:rPr>
                <w:rFonts w:hint="eastAsia" w:cs="宋体" w:asciiTheme="minorEastAsia" w:hAnsiTheme="minorEastAsia" w:eastAsiaTheme="minorEastAsia"/>
                <w:color w:val="000000"/>
                <w:sz w:val="24"/>
                <w:highlight w:val="none"/>
              </w:rPr>
              <w:t>人。</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auto"/>
                <w:sz w:val="24"/>
                <w:highlight w:val="none"/>
              </w:rPr>
              <w:t>评审专家确定方式：在湖南省</w:t>
            </w:r>
            <w:r>
              <w:rPr>
                <w:rFonts w:hint="eastAsia" w:cs="宋体" w:asciiTheme="minorEastAsia" w:hAnsiTheme="minorEastAsia" w:eastAsiaTheme="minorEastAsia"/>
                <w:color w:val="auto"/>
                <w:sz w:val="24"/>
                <w:highlight w:val="none"/>
                <w:lang w:eastAsia="zh-CN"/>
              </w:rPr>
              <w:t>港务</w:t>
            </w:r>
            <w:r>
              <w:rPr>
                <w:rFonts w:hint="eastAsia" w:cs="宋体" w:asciiTheme="minorEastAsia" w:hAnsiTheme="minorEastAsia" w:eastAsiaTheme="minorEastAsia"/>
                <w:color w:val="auto"/>
                <w:sz w:val="24"/>
                <w:highlight w:val="none"/>
              </w:rPr>
              <w:t>集团有限公司综合评标专家库中随机抽取</w:t>
            </w:r>
            <w:r>
              <w:rPr>
                <w:rFonts w:hint="eastAsia" w:cs="宋体" w:asciiTheme="minorEastAsia" w:hAnsiTheme="minorEastAsia" w:eastAsiaTheme="minorEastAsia"/>
                <w:color w:val="auto"/>
                <w:sz w:val="24"/>
                <w:highlight w:val="none"/>
                <w:u w:val="single"/>
                <w:lang w:val="en-US" w:eastAsia="zh-CN"/>
              </w:rPr>
              <w:t>2</w:t>
            </w:r>
            <w:r>
              <w:rPr>
                <w:rFonts w:hint="eastAsia" w:cs="宋体" w:asciiTheme="minorEastAsia" w:hAnsiTheme="minorEastAsia" w:eastAsiaTheme="minorEastAsia"/>
                <w:color w:val="auto"/>
                <w:sz w:val="24"/>
                <w:highlight w:val="none"/>
                <w:lang w:val="en-US" w:eastAsia="zh-CN"/>
              </w:rPr>
              <w:t>人，业主代表</w:t>
            </w:r>
            <w:r>
              <w:rPr>
                <w:rFonts w:hint="eastAsia" w:cs="宋体" w:asciiTheme="minorEastAsia" w:hAnsiTheme="minorEastAsia" w:eastAsiaTheme="minorEastAsia"/>
                <w:color w:val="auto"/>
                <w:sz w:val="24"/>
                <w:highlight w:val="none"/>
                <w:u w:val="single"/>
                <w:lang w:val="en-US" w:eastAsia="zh-CN"/>
              </w:rPr>
              <w:t>1</w:t>
            </w:r>
            <w:r>
              <w:rPr>
                <w:rFonts w:hint="eastAsia" w:cs="宋体" w:asciiTheme="minorEastAsia" w:hAnsiTheme="minorEastAsia" w:eastAsiaTheme="minorEastAsia"/>
                <w:color w:val="auto"/>
                <w:sz w:val="24"/>
                <w:highlight w:val="none"/>
                <w:lang w:val="en-US" w:eastAsia="zh-CN"/>
              </w:rPr>
              <w:t>人</w:t>
            </w:r>
            <w:r>
              <w:rPr>
                <w:rFonts w:hint="eastAsia" w:cs="宋体" w:asciiTheme="minorEastAsia" w:hAnsiTheme="minorEastAsia" w:eastAsiaTheme="minorEastAsia"/>
                <w:color w:val="auto"/>
                <w:sz w:val="24"/>
                <w:highlight w:val="none"/>
              </w:rPr>
              <w:t>。</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b w:val="0"/>
                <w:bCs w:val="0"/>
                <w:color w:val="000000"/>
                <w:sz w:val="24"/>
                <w:highlight w:val="none"/>
              </w:rPr>
              <w:t xml:space="preserve"> </w:t>
            </w:r>
            <w:r>
              <w:rPr>
                <w:rFonts w:hint="eastAsia" w:cs="宋体" w:asciiTheme="minorEastAsia" w:hAnsiTheme="minorEastAsia" w:eastAsiaTheme="minorEastAsia"/>
                <w:b w:val="0"/>
                <w:bCs w:val="0"/>
                <w:color w:val="000000"/>
                <w:sz w:val="24"/>
                <w:highlight w:val="none"/>
                <w:lang w:val="en-US" w:eastAsia="zh-CN"/>
              </w:rPr>
              <w:t>1-3个</w:t>
            </w:r>
            <w:r>
              <w:rPr>
                <w:rFonts w:hint="eastAsia" w:cs="宋体" w:asciiTheme="minorEastAsia" w:hAnsiTheme="minorEastAsia" w:eastAsiaTheme="minorEastAsia"/>
                <w:color w:val="000000"/>
                <w:sz w:val="24"/>
                <w:highlight w:val="none"/>
              </w:rPr>
              <w:t>，并标明推荐顺序。</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不允许</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是否排序：</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排序</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□不排序</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数量：</w:t>
            </w:r>
            <w:r>
              <w:rPr>
                <w:rFonts w:hint="eastAsia" w:cs="宋体" w:asciiTheme="minorEastAsia" w:hAnsiTheme="minorEastAsia" w:eastAsiaTheme="minorEastAsia"/>
                <w:color w:val="000000"/>
                <w:sz w:val="24"/>
                <w:highlight w:val="none"/>
                <w:u w:val="single"/>
              </w:rPr>
              <w:t xml:space="preserve"> </w:t>
            </w:r>
            <w:r>
              <w:rPr>
                <w:rFonts w:hint="eastAsia" w:cs="宋体" w:asciiTheme="minorEastAsia" w:hAnsiTheme="minorEastAsia" w:eastAsiaTheme="minorEastAsia"/>
                <w:color w:val="000000"/>
                <w:sz w:val="24"/>
                <w:highlight w:val="none"/>
                <w:u w:val="single"/>
                <w:lang w:val="en-US" w:eastAsia="zh-CN"/>
              </w:rPr>
              <w:t>1-3个</w:t>
            </w:r>
            <w:r>
              <w:rPr>
                <w:rFonts w:hint="eastAsia" w:cs="宋体" w:asciiTheme="minorEastAsia" w:hAnsiTheme="minorEastAsia" w:eastAsiaTheme="minorEastAsia"/>
                <w:color w:val="000000"/>
                <w:sz w:val="24"/>
                <w:highlight w:val="none"/>
                <w:u w:val="singl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公示媒介：</w:t>
            </w:r>
            <w:r>
              <w:rPr>
                <w:rFonts w:hint="eastAsia" w:ascii="宋体" w:hAnsi="宋体" w:cs="宋体"/>
                <w:color w:val="auto"/>
                <w:sz w:val="24"/>
                <w:highlight w:val="none"/>
              </w:rPr>
              <w:t>中国招标投标公共服务平台（http：//www.cebpubservice.com</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湖南省湘水集团有限公司网站（http：//www.hnsxsjt.com）</w:t>
            </w:r>
            <w:r>
              <w:rPr>
                <w:rFonts w:hint="eastAsia" w:ascii="宋体" w:hAnsi="宋体" w:cs="宋体"/>
                <w:color w:val="auto"/>
                <w:sz w:val="24"/>
                <w:szCs w:val="24"/>
                <w:highlight w:val="none"/>
                <w:lang w:val="en-US" w:eastAsia="zh-CN"/>
              </w:rPr>
              <w:t>；</w:t>
            </w:r>
            <w:r>
              <w:rPr>
                <w:rFonts w:hint="eastAsia" w:ascii="宋体" w:hAnsi="宋体" w:eastAsia="宋体"/>
                <w:color w:val="auto"/>
                <w:sz w:val="24"/>
                <w:szCs w:val="24"/>
                <w:highlight w:val="none"/>
              </w:rPr>
              <w:t>湖南省港务集团公司网站（http://www.hnsgwjt.com/）</w:t>
            </w:r>
            <w:r>
              <w:rPr>
                <w:rFonts w:hint="eastAsia" w:cs="宋体" w:asciiTheme="minorEastAsia" w:hAnsiTheme="minorEastAsia" w:eastAsiaTheme="minorEastAsia"/>
                <w:color w:val="000000"/>
                <w:sz w:val="24"/>
                <w:highlight w:val="none"/>
              </w:rPr>
              <w:t>公示期限：</w:t>
            </w:r>
            <w:r>
              <w:rPr>
                <w:rFonts w:hint="eastAsia" w:cs="宋体" w:asciiTheme="minorEastAsia" w:hAnsiTheme="minorEastAsia" w:eastAsiaTheme="minorEastAsia"/>
                <w:color w:val="000000"/>
                <w:sz w:val="24"/>
                <w:highlight w:val="none"/>
                <w:u w:val="single"/>
              </w:rPr>
              <w:t xml:space="preserve"> </w:t>
            </w:r>
            <w:r>
              <w:rPr>
                <w:rFonts w:cs="宋体" w:asciiTheme="minorEastAsia" w:hAnsiTheme="minorEastAsia" w:eastAsiaTheme="minorEastAsia"/>
                <w:color w:val="000000"/>
                <w:sz w:val="24"/>
                <w:highlight w:val="none"/>
                <w:u w:val="single"/>
              </w:rPr>
              <w:t>3</w:t>
            </w:r>
            <w:r>
              <w:rPr>
                <w:rFonts w:hint="eastAsia" w:cs="宋体" w:asciiTheme="minorEastAsia" w:hAnsiTheme="minorEastAsia" w:eastAsiaTheme="minorEastAsia"/>
                <w:color w:val="000000"/>
                <w:sz w:val="24"/>
                <w:highlight w:val="none"/>
                <w:u w:val="single"/>
              </w:rPr>
              <w:t xml:space="preserve">个工作日  </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u w:val="none"/>
              </w:rPr>
              <w:t xml:space="preserve">其他应公示的内容：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不要求提交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eastAsia="zh-CN"/>
              </w:rPr>
              <w:t>岳阳城陵矶</w:t>
            </w:r>
            <w:r>
              <w:rPr>
                <w:rFonts w:hint="eastAsia" w:cs="宋体" w:asciiTheme="minorEastAsia" w:hAnsiTheme="minorEastAsia" w:eastAsiaTheme="minorEastAsia"/>
                <w:color w:val="auto"/>
                <w:sz w:val="24"/>
                <w:highlight w:val="none"/>
                <w:lang w:val="en-US" w:eastAsia="zh-CN"/>
              </w:rPr>
              <w:t>港务</w:t>
            </w:r>
            <w:r>
              <w:rPr>
                <w:rFonts w:hint="eastAsia" w:cs="宋体" w:asciiTheme="minorEastAsia" w:hAnsiTheme="minorEastAsia" w:eastAsiaTheme="minorEastAsia"/>
                <w:color w:val="000000"/>
                <w:sz w:val="24"/>
                <w:highlight w:val="none"/>
                <w:lang w:eastAsia="zh-CN"/>
              </w:rPr>
              <w:t>有限</w:t>
            </w:r>
            <w:r>
              <w:rPr>
                <w:rFonts w:hint="eastAsia" w:cs="宋体" w:asciiTheme="minorEastAsia" w:hAnsiTheme="minorEastAsia" w:eastAsiaTheme="minorEastAsia"/>
                <w:color w:val="auto"/>
                <w:sz w:val="24"/>
                <w:highlight w:val="none"/>
                <w:lang w:val="en-US" w:eastAsia="zh-CN"/>
              </w:rPr>
              <w:t>责任</w:t>
            </w:r>
            <w:r>
              <w:rPr>
                <w:rFonts w:hint="eastAsia" w:cs="宋体" w:asciiTheme="minorEastAsia" w:hAnsiTheme="minorEastAsia" w:eastAsiaTheme="minorEastAsia"/>
                <w:color w:val="000000"/>
                <w:sz w:val="24"/>
                <w:highlight w:val="none"/>
                <w:lang w:eastAsia="zh-CN"/>
              </w:rPr>
              <w:t>公司综合管理部</w:t>
            </w:r>
          </w:p>
          <w:p>
            <w:pPr>
              <w:spacing w:line="288" w:lineRule="auto"/>
              <w:jc w:val="both"/>
              <w:rPr>
                <w:rFonts w:hint="default"/>
                <w:color w:val="auto"/>
                <w:highlight w:val="none"/>
                <w:lang w:eastAsia="zh-CN"/>
              </w:rPr>
            </w:pPr>
            <w:r>
              <w:rPr>
                <w:rFonts w:hint="eastAsia" w:cs="宋体" w:asciiTheme="minorEastAsia" w:hAnsiTheme="minorEastAsia" w:eastAsiaTheme="minorEastAsia"/>
                <w:color w:val="000000"/>
                <w:sz w:val="24"/>
                <w:highlight w:val="none"/>
                <w:lang w:eastAsia="zh-CN"/>
              </w:rPr>
              <w:t>联系电话：</w:t>
            </w:r>
            <w:r>
              <w:rPr>
                <w:rFonts w:hint="eastAsia" w:cs="宋体" w:asciiTheme="minorEastAsia" w:hAnsiTheme="minorEastAsia" w:eastAsiaTheme="minorEastAsia"/>
                <w:color w:val="auto"/>
                <w:sz w:val="24"/>
                <w:szCs w:val="24"/>
                <w:highlight w:val="none"/>
                <w:u w:val="none"/>
                <w:lang w:val="en-US" w:eastAsia="zh-CN"/>
              </w:rPr>
              <w:t>13707307803</w:t>
            </w:r>
          </w:p>
        </w:tc>
      </w:tr>
    </w:tbl>
    <w:p>
      <w:pPr>
        <w:spacing w:line="240" w:lineRule="auto"/>
        <w:jc w:val="both"/>
        <w:rPr>
          <w:rFonts w:ascii="仿宋" w:hAnsi="仿宋" w:eastAsia="仿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pStyle w:val="6"/>
        <w:rPr>
          <w:rFonts w:hint="eastAsia" w:ascii="华文中宋" w:hAnsi="华文中宋" w:eastAsia="华文中宋" w:cs="仿宋"/>
          <w:b/>
          <w:bCs/>
          <w:color w:val="auto"/>
          <w:sz w:val="30"/>
          <w:szCs w:val="30"/>
          <w:highlight w:val="none"/>
        </w:rPr>
      </w:pPr>
    </w:p>
    <w:p>
      <w:pPr>
        <w:rPr>
          <w:rFonts w:hint="eastAsia" w:ascii="华文中宋" w:hAnsi="华文中宋" w:eastAsia="华文中宋" w:cs="仿宋"/>
          <w:b/>
          <w:bCs/>
          <w:color w:val="auto"/>
          <w:sz w:val="30"/>
          <w:szCs w:val="30"/>
          <w:highlight w:val="none"/>
        </w:rPr>
      </w:pPr>
    </w:p>
    <w:p>
      <w:pPr>
        <w:pStyle w:val="6"/>
        <w:rPr>
          <w:rFonts w:hint="eastAsia"/>
          <w:color w:val="auto"/>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center"/>
        <w:rPr>
          <w:rFonts w:hint="eastAsia" w:ascii="华文中宋" w:hAnsi="华文中宋" w:eastAsia="华文中宋" w:cs="仿宋"/>
          <w:b/>
          <w:bCs/>
          <w:color w:val="auto"/>
          <w:sz w:val="30"/>
          <w:szCs w:val="30"/>
          <w:highlight w:val="none"/>
        </w:rPr>
      </w:pPr>
    </w:p>
    <w:p>
      <w:pPr>
        <w:spacing w:line="240" w:lineRule="auto"/>
        <w:jc w:val="left"/>
        <w:rPr>
          <w:rFonts w:hint="eastAsia" w:ascii="华文中宋" w:hAnsi="华文中宋" w:eastAsia="华文中宋" w:cs="仿宋"/>
          <w:b/>
          <w:bCs/>
          <w:color w:val="auto"/>
          <w:sz w:val="30"/>
          <w:szCs w:val="30"/>
          <w:highlight w:val="none"/>
        </w:rPr>
      </w:pPr>
      <w:r>
        <w:rPr>
          <w:rFonts w:hint="eastAsia" w:ascii="华文中宋" w:hAnsi="华文中宋" w:eastAsia="华文中宋" w:cs="仿宋"/>
          <w:b/>
          <w:bCs/>
          <w:color w:val="auto"/>
          <w:sz w:val="30"/>
          <w:szCs w:val="30"/>
          <w:highlight w:val="none"/>
        </w:rPr>
        <w:br w:type="page"/>
      </w:r>
    </w:p>
    <w:p>
      <w:pPr>
        <w:spacing w:line="240" w:lineRule="auto"/>
        <w:jc w:val="center"/>
        <w:rPr>
          <w:rFonts w:ascii="仿宋" w:hAnsi="仿宋" w:eastAsia="仿宋" w:cs="仿宋"/>
          <w:color w:val="auto"/>
          <w:sz w:val="30"/>
          <w:szCs w:val="30"/>
          <w:highlight w:val="none"/>
        </w:rPr>
      </w:pPr>
      <w:r>
        <w:rPr>
          <w:rFonts w:hint="eastAsia" w:ascii="华文中宋" w:hAnsi="华文中宋" w:eastAsia="华文中宋" w:cs="仿宋"/>
          <w:b/>
          <w:bCs/>
          <w:color w:val="auto"/>
          <w:sz w:val="30"/>
          <w:szCs w:val="30"/>
          <w:highlight w:val="none"/>
        </w:rPr>
        <w:t>第二</w:t>
      </w:r>
      <w:r>
        <w:rPr>
          <w:rFonts w:hint="eastAsia" w:ascii="华文中宋" w:hAnsi="华文中宋" w:eastAsia="华文中宋" w:cs="仿宋"/>
          <w:b/>
          <w:bCs/>
          <w:color w:val="auto"/>
          <w:sz w:val="30"/>
          <w:szCs w:val="30"/>
          <w:highlight w:val="none"/>
          <w:lang w:val="en-US" w:eastAsia="zh-CN"/>
        </w:rPr>
        <w:t>节</w:t>
      </w:r>
      <w:r>
        <w:rPr>
          <w:rFonts w:hint="eastAsia" w:ascii="华文中宋" w:hAnsi="华文中宋" w:eastAsia="华文中宋" w:cs="仿宋"/>
          <w:b/>
          <w:bCs/>
          <w:color w:val="auto"/>
          <w:sz w:val="30"/>
          <w:szCs w:val="30"/>
          <w:highlight w:val="none"/>
        </w:rPr>
        <w:t xml:space="preserve"> 供应商须知正文</w:t>
      </w:r>
    </w:p>
    <w:p>
      <w:pPr>
        <w:adjustRightInd w:val="0"/>
        <w:snapToGrid w:val="0"/>
        <w:spacing w:before="120" w:beforeLines="50" w:after="120" w:afterLines="50"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 总则</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1.1采购方法和评审办法</w:t>
      </w:r>
    </w:p>
    <w:p>
      <w:pPr>
        <w:pStyle w:val="68"/>
        <w:spacing w:before="120" w:after="120" w:line="312" w:lineRule="auto"/>
        <w:ind w:left="426" w:firstLine="48" w:firstLineChars="20"/>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本项目采用供应商须知前附表规定的采购方式和评审办法。</w:t>
      </w:r>
    </w:p>
    <w:p>
      <w:pPr>
        <w:pStyle w:val="62"/>
        <w:spacing w:line="312" w:lineRule="auto"/>
        <w:ind w:firstLine="0" w:firstLineChars="0"/>
        <w:rPr>
          <w:rFonts w:hAnsi="宋体" w:eastAsia="宋体" w:cs="仿宋"/>
          <w:color w:val="auto"/>
          <w:sz w:val="24"/>
          <w:szCs w:val="24"/>
          <w:highlight w:val="none"/>
        </w:rPr>
      </w:pPr>
      <w:r>
        <w:rPr>
          <w:rFonts w:hint="eastAsia" w:hAnsi="宋体" w:eastAsia="宋体" w:cs="仿宋"/>
          <w:color w:val="auto"/>
          <w:sz w:val="24"/>
          <w:szCs w:val="24"/>
          <w:highlight w:val="none"/>
        </w:rPr>
        <w:t>1.1.1采购方法</w:t>
      </w:r>
    </w:p>
    <w:p>
      <w:pPr>
        <w:pStyle w:val="62"/>
        <w:spacing w:line="312" w:lineRule="auto"/>
        <w:ind w:firstLine="453" w:firstLineChars="189"/>
        <w:rPr>
          <w:rFonts w:hAnsi="宋体" w:eastAsia="宋体" w:cs="仿宋"/>
          <w:color w:val="auto"/>
          <w:sz w:val="24"/>
          <w:szCs w:val="24"/>
          <w:highlight w:val="none"/>
        </w:rPr>
      </w:pPr>
      <w:r>
        <w:rPr>
          <w:rFonts w:hint="eastAsia" w:hAnsi="宋体" w:eastAsia="宋体" w:cs="仿宋"/>
          <w:color w:val="auto"/>
          <w:sz w:val="24"/>
          <w:szCs w:val="24"/>
          <w:highlight w:val="none"/>
        </w:rPr>
        <w:t>询价采购，是指按照规定程序就采购项目向符合资格要求的供应商进行询价，通过评审、比较确定成交供应商的采购方式。</w:t>
      </w:r>
    </w:p>
    <w:p>
      <w:pPr>
        <w:pStyle w:val="62"/>
        <w:spacing w:line="312" w:lineRule="auto"/>
        <w:ind w:firstLine="0" w:firstLineChars="0"/>
        <w:rPr>
          <w:rFonts w:hAnsi="宋体" w:eastAsia="宋体" w:cs="仿宋"/>
          <w:color w:val="auto"/>
          <w:sz w:val="24"/>
          <w:szCs w:val="24"/>
          <w:highlight w:val="none"/>
        </w:rPr>
      </w:pPr>
      <w:r>
        <w:rPr>
          <w:rFonts w:hint="eastAsia" w:hAnsi="宋体" w:eastAsia="宋体" w:cs="仿宋"/>
          <w:color w:val="auto"/>
          <w:sz w:val="24"/>
          <w:szCs w:val="24"/>
          <w:highlight w:val="none"/>
        </w:rPr>
        <w:t>1.1.2评审办法</w:t>
      </w:r>
    </w:p>
    <w:p>
      <w:pPr>
        <w:pStyle w:val="62"/>
        <w:spacing w:line="312" w:lineRule="auto"/>
        <w:ind w:firstLine="453" w:firstLineChars="189"/>
        <w:rPr>
          <w:rFonts w:hint="eastAsia" w:hAnsi="宋体" w:eastAsia="宋体" w:cs="仿宋"/>
          <w:color w:val="auto"/>
          <w:sz w:val="24"/>
          <w:szCs w:val="24"/>
          <w:highlight w:val="none"/>
        </w:rPr>
      </w:pPr>
      <w:r>
        <w:rPr>
          <w:rFonts w:hint="eastAsia" w:hAnsi="宋体" w:eastAsia="宋体" w:cs="仿宋"/>
          <w:color w:val="auto"/>
          <w:sz w:val="24"/>
          <w:szCs w:val="24"/>
          <w:highlight w:val="none"/>
        </w:rPr>
        <w:t>最低价法，是指在资质、业绩、信誉等条件均满足询价文件要求的前提下，按单项或总价价格最低原则确定成交供应商。包括同质比价法和同价比质法。</w:t>
      </w:r>
    </w:p>
    <w:p>
      <w:pPr>
        <w:adjustRightInd w:val="0"/>
        <w:snapToGrid w:val="0"/>
        <w:ind w:firstLine="453" w:firstLineChars="189"/>
        <w:rPr>
          <w:rFonts w:hint="eastAsia" w:hAnsi="宋体" w:eastAsia="宋体" w:cs="仿宋"/>
          <w:color w:val="auto"/>
          <w:sz w:val="24"/>
          <w:szCs w:val="24"/>
          <w:highlight w:val="none"/>
        </w:rPr>
      </w:pPr>
      <w:r>
        <w:rPr>
          <w:rFonts w:hint="eastAsia" w:ascii="宋体" w:hAnsi="宋体" w:cs="仿宋"/>
          <w:color w:val="auto"/>
          <w:sz w:val="24"/>
          <w:highlight w:val="none"/>
          <w:lang w:val="en-US" w:eastAsia="zh-CN"/>
        </w:rPr>
        <w:t>同质比价法，遵循最低价法评审原则，在资质、业绩、信誉等条件均满足询价文件要求的前提下，按价格最低原则确定成交供应商。</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1.2采购项目概况和供应商资格要求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采购项目概况和供应商资格要求见第一章“</w:t>
      </w:r>
      <w:r>
        <w:rPr>
          <w:rFonts w:hint="eastAsia" w:ascii="宋体" w:hAnsi="宋体" w:cs="仿宋"/>
          <w:color w:val="auto"/>
          <w:sz w:val="24"/>
          <w:highlight w:val="none"/>
          <w:lang w:val="en-US" w:eastAsia="zh-CN"/>
        </w:rPr>
        <w:t>二次</w:t>
      </w:r>
      <w:r>
        <w:rPr>
          <w:rFonts w:hint="eastAsia" w:ascii="宋体" w:hAnsi="宋体" w:cs="仿宋"/>
          <w:color w:val="auto"/>
          <w:sz w:val="24"/>
          <w:highlight w:val="none"/>
        </w:rPr>
        <w:t>采购公告”。</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1.3 费用承担</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供应商准备和参加采购活动所发生的各种费用由供应商自行承担。</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1.4保密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1.5语言文字</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1.6计量单位</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所有计量均采用中华人民共和国法定计量单位。</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1.7踏勘现场</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1.8采购预备会</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1.9分包(</w:t>
      </w:r>
      <w:r>
        <w:rPr>
          <w:rFonts w:hint="eastAsia" w:ascii="宋体" w:hAnsi="宋体" w:cs="仿宋"/>
          <w:b/>
          <w:bCs/>
          <w:color w:val="auto"/>
          <w:sz w:val="24"/>
          <w:highlight w:val="none"/>
          <w:lang w:eastAsia="zh-CN"/>
        </w:rPr>
        <w:t>本项目不允许分包</w:t>
      </w:r>
      <w:r>
        <w:rPr>
          <w:rFonts w:hint="eastAsia" w:ascii="宋体" w:hAnsi="宋体" w:cs="仿宋"/>
          <w:b/>
          <w:bCs/>
          <w:color w:val="auto"/>
          <w:sz w:val="24"/>
          <w:highlight w:val="none"/>
        </w:rPr>
        <w:t>)</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1.10响应和偏差</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highlight w:val="none"/>
        </w:rPr>
      </w:pPr>
      <w:r>
        <w:rPr>
          <w:rFonts w:hint="eastAsia" w:ascii="宋体" w:hAnsi="宋体" w:cs="仿宋"/>
          <w:color w:val="auto"/>
          <w:sz w:val="24"/>
          <w:highlight w:val="none"/>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2采购文件</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2.1采购文件的组成</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本采购文件包括:</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(1)</w:t>
      </w:r>
      <w:r>
        <w:rPr>
          <w:rFonts w:hint="eastAsia" w:ascii="宋体" w:hAnsi="宋体" w:cs="仿宋"/>
          <w:color w:val="auto"/>
          <w:sz w:val="24"/>
          <w:highlight w:val="none"/>
          <w:lang w:val="en-US" w:eastAsia="zh-CN"/>
        </w:rPr>
        <w:t>二次</w:t>
      </w:r>
      <w:r>
        <w:rPr>
          <w:rFonts w:hint="eastAsia" w:ascii="宋体" w:hAnsi="宋体" w:cs="仿宋"/>
          <w:color w:val="auto"/>
          <w:sz w:val="24"/>
          <w:highlight w:val="none"/>
        </w:rPr>
        <w:t>采购公告:</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(2)供应商须知;</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(3)评审办法;</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(4)合同条款及格式;</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(5)采购需求;</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(6)响应文件格式;</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2.2采购文件的澄清和修改</w:t>
      </w:r>
    </w:p>
    <w:p>
      <w:pPr>
        <w:adjustRightInd w:val="0"/>
        <w:snapToGrid w:val="0"/>
        <w:spacing w:line="312" w:lineRule="auto"/>
        <w:ind w:left="105" w:leftChars="50"/>
        <w:jc w:val="both"/>
        <w:rPr>
          <w:rFonts w:ascii="宋体" w:hAnsi="宋体" w:cs="仿宋"/>
          <w:color w:val="auto"/>
          <w:sz w:val="24"/>
          <w:highlight w:val="none"/>
        </w:rPr>
      </w:pPr>
      <w:r>
        <w:rPr>
          <w:rFonts w:hint="eastAsia" w:ascii="宋体" w:hAnsi="宋体" w:cs="仿宋"/>
          <w:color w:val="auto"/>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highlight w:val="none"/>
        </w:rPr>
      </w:pPr>
      <w:r>
        <w:rPr>
          <w:rFonts w:hint="eastAsia" w:ascii="宋体" w:hAnsi="宋体" w:cs="仿宋"/>
          <w:color w:val="auto"/>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highlight w:val="none"/>
        </w:rPr>
      </w:pPr>
      <w:r>
        <w:rPr>
          <w:rFonts w:hint="eastAsia" w:ascii="宋体" w:hAnsi="宋体" w:cs="仿宋"/>
          <w:color w:val="auto"/>
          <w:sz w:val="24"/>
          <w:highlight w:val="none"/>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highlight w:val="none"/>
        </w:rPr>
      </w:pPr>
      <w:r>
        <w:rPr>
          <w:rFonts w:hint="eastAsia" w:ascii="宋体" w:hAnsi="宋体" w:cs="仿宋"/>
          <w:color w:val="auto"/>
          <w:sz w:val="24"/>
          <w:highlight w:val="none"/>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3响应文件</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3.1响应文件的组成</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3.1.1响应文件应包括下列内容:</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(1)响应函;</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(2)授权委托书(如有);</w:t>
      </w:r>
    </w:p>
    <w:p>
      <w:pPr>
        <w:adjustRightInd w:val="0"/>
        <w:snapToGrid w:val="0"/>
        <w:spacing w:line="312" w:lineRule="auto"/>
        <w:ind w:firstLine="453" w:firstLineChars="189"/>
        <w:jc w:val="both"/>
        <w:rPr>
          <w:rFonts w:hint="eastAsia"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)商务和技术偏差表;</w:t>
      </w:r>
    </w:p>
    <w:p>
      <w:pPr>
        <w:adjustRightInd w:val="0"/>
        <w:snapToGrid w:val="0"/>
        <w:spacing w:line="312" w:lineRule="auto"/>
        <w:ind w:firstLine="453" w:firstLineChars="189"/>
        <w:jc w:val="both"/>
        <w:rPr>
          <w:rFonts w:hint="default" w:ascii="宋体" w:hAnsi="宋体" w:cs="仿宋"/>
          <w:color w:val="auto"/>
          <w:sz w:val="24"/>
          <w:highlight w:val="none"/>
        </w:rPr>
      </w:pP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rPr>
        <w:t>)</w:t>
      </w:r>
      <w:r>
        <w:rPr>
          <w:rFonts w:hint="eastAsia" w:ascii="宋体" w:hAnsi="宋体" w:cs="仿宋"/>
          <w:color w:val="auto"/>
          <w:sz w:val="24"/>
          <w:highlight w:val="none"/>
          <w:lang w:val="en-US" w:eastAsia="zh-CN"/>
        </w:rPr>
        <w:t>报价</w:t>
      </w:r>
      <w:r>
        <w:rPr>
          <w:rFonts w:hint="eastAsia" w:ascii="宋体" w:hAnsi="宋体" w:cs="仿宋"/>
          <w:color w:val="auto"/>
          <w:sz w:val="24"/>
          <w:highlight w:val="none"/>
        </w:rPr>
        <w:t>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)资格审查资料;</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6</w:t>
      </w:r>
      <w:r>
        <w:rPr>
          <w:rFonts w:hint="eastAsia" w:ascii="宋体" w:hAnsi="宋体" w:cs="仿宋"/>
          <w:color w:val="auto"/>
          <w:sz w:val="24"/>
          <w:highlight w:val="none"/>
        </w:rPr>
        <w:t>)响应方案;</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7</w:t>
      </w:r>
      <w:r>
        <w:rPr>
          <w:rFonts w:hint="eastAsia" w:ascii="宋体" w:hAnsi="宋体" w:cs="仿宋"/>
          <w:color w:val="auto"/>
          <w:sz w:val="24"/>
          <w:highlight w:val="none"/>
        </w:rPr>
        <w:t>)供应商须知前附表规定的其他资料。</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3.1.2供应商的法定代表人(单位负责人)亲自签署响应文件、亲自参加采购的，响应文件不包括第3.1.1(2)目所指的授权委托书。第一章“</w:t>
      </w:r>
      <w:r>
        <w:rPr>
          <w:rFonts w:hint="eastAsia" w:ascii="宋体" w:hAnsi="宋体" w:cs="仿宋"/>
          <w:color w:val="auto"/>
          <w:sz w:val="24"/>
          <w:highlight w:val="none"/>
          <w:lang w:val="en-US" w:eastAsia="zh-CN"/>
        </w:rPr>
        <w:t>二次</w:t>
      </w:r>
      <w:r>
        <w:rPr>
          <w:rFonts w:hint="eastAsia" w:ascii="宋体" w:hAnsi="宋体" w:cs="仿宋"/>
          <w:color w:val="auto"/>
          <w:sz w:val="24"/>
          <w:highlight w:val="none"/>
        </w:rPr>
        <w:t>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3.2报价</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3.2.4报价的其他要求见供应商须知前附表。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3.3响应文件有效期</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highlight w:val="none"/>
          <w:lang w:eastAsia="zh-CN"/>
        </w:rPr>
      </w:pPr>
      <w:r>
        <w:rPr>
          <w:rFonts w:hint="eastAsia" w:ascii="宋体" w:hAnsi="宋体" w:cs="仿宋"/>
          <w:b/>
          <w:bCs/>
          <w:color w:val="auto"/>
          <w:sz w:val="24"/>
          <w:highlight w:val="none"/>
        </w:rPr>
        <w:t>3.4响应保证金</w:t>
      </w:r>
      <w:r>
        <w:rPr>
          <w:rFonts w:hint="eastAsia" w:ascii="宋体" w:hAnsi="宋体" w:cs="仿宋"/>
          <w:b/>
          <w:bCs/>
          <w:color w:val="auto"/>
          <w:sz w:val="24"/>
          <w:highlight w:val="none"/>
          <w:lang w:eastAsia="zh-CN"/>
        </w:rPr>
        <w:t>（本项目不提交响应保证金）</w:t>
      </w:r>
    </w:p>
    <w:p>
      <w:pPr>
        <w:adjustRightInd w:val="0"/>
        <w:snapToGrid w:val="0"/>
        <w:spacing w:line="312" w:lineRule="auto"/>
        <w:ind w:left="120" w:hanging="120" w:hangingChars="50"/>
        <w:jc w:val="both"/>
        <w:rPr>
          <w:rFonts w:ascii="宋体" w:hAnsi="宋体" w:cs="仿宋"/>
          <w:b/>
          <w:bCs/>
          <w:color w:val="auto"/>
          <w:sz w:val="24"/>
          <w:highlight w:val="none"/>
        </w:rPr>
      </w:pPr>
      <w:r>
        <w:rPr>
          <w:rFonts w:hint="eastAsia" w:ascii="宋体" w:hAnsi="宋体" w:cs="仿宋"/>
          <w:b/>
          <w:bCs/>
          <w:color w:val="auto"/>
          <w:sz w:val="24"/>
          <w:highlight w:val="none"/>
        </w:rPr>
        <w:t>3.5资格审查资料</w:t>
      </w:r>
    </w:p>
    <w:p>
      <w:pPr>
        <w:adjustRightInd w:val="0"/>
        <w:snapToGrid w:val="0"/>
        <w:spacing w:line="312" w:lineRule="auto"/>
        <w:ind w:left="149" w:leftChars="71" w:firstLine="360" w:firstLineChars="150"/>
        <w:jc w:val="both"/>
        <w:rPr>
          <w:rFonts w:ascii="宋体" w:hAnsi="宋体" w:cs="仿宋"/>
          <w:color w:val="auto"/>
          <w:sz w:val="24"/>
          <w:highlight w:val="none"/>
        </w:rPr>
      </w:pPr>
      <w:r>
        <w:rPr>
          <w:rFonts w:hint="eastAsia" w:ascii="宋体" w:hAnsi="宋体" w:cs="仿宋"/>
          <w:color w:val="auto"/>
          <w:sz w:val="24"/>
          <w:highlight w:val="none"/>
        </w:rPr>
        <w:t>供应商应提供供应商须知前附表3.5(1)-3.5(</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)中规定的资格审查资料，以证明其满足第一章“</w:t>
      </w:r>
      <w:r>
        <w:rPr>
          <w:rFonts w:hint="eastAsia" w:ascii="宋体" w:hAnsi="宋体" w:cs="仿宋"/>
          <w:color w:val="auto"/>
          <w:sz w:val="24"/>
          <w:highlight w:val="none"/>
          <w:lang w:val="en-US" w:eastAsia="zh-CN"/>
        </w:rPr>
        <w:t>二次</w:t>
      </w:r>
      <w:r>
        <w:rPr>
          <w:rFonts w:hint="eastAsia" w:ascii="宋体" w:hAnsi="宋体" w:cs="仿宋"/>
          <w:color w:val="auto"/>
          <w:sz w:val="24"/>
          <w:highlight w:val="none"/>
        </w:rPr>
        <w:t>采购公告”对供应商的各项资格要求。</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3.6响应方案</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3.7响应文件的编制</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highlight w:val="none"/>
        </w:rPr>
      </w:pPr>
      <w:r>
        <w:rPr>
          <w:rFonts w:ascii="宋体" w:hAnsi="宋体" w:cs="仿宋"/>
          <w:color w:val="auto"/>
          <w:sz w:val="24"/>
          <w:highlight w:val="none"/>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highlight w:val="none"/>
        </w:rPr>
      </w:pPr>
      <w:r>
        <w:rPr>
          <w:rFonts w:ascii="宋体" w:hAnsi="宋体" w:cs="仿宋"/>
          <w:color w:val="auto"/>
          <w:sz w:val="24"/>
          <w:highlight w:val="none"/>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4响应文件的递交</w:t>
      </w:r>
    </w:p>
    <w:p>
      <w:pPr>
        <w:adjustRightInd w:val="0"/>
        <w:snapToGrid w:val="0"/>
        <w:spacing w:line="312" w:lineRule="auto"/>
        <w:jc w:val="both"/>
        <w:rPr>
          <w:rFonts w:ascii="宋体" w:hAnsi="宋体" w:cs="仿宋"/>
          <w:b/>
          <w:bCs/>
          <w:color w:val="auto"/>
          <w:sz w:val="24"/>
          <w:highlight w:val="none"/>
        </w:rPr>
      </w:pPr>
      <w:r>
        <w:rPr>
          <w:rFonts w:ascii="宋体" w:hAnsi="宋体" w:cs="仿宋"/>
          <w:b/>
          <w:bCs/>
          <w:color w:val="auto"/>
          <w:sz w:val="24"/>
          <w:highlight w:val="none"/>
        </w:rPr>
        <w:t>4.1响应文件的包装与标记</w:t>
      </w:r>
    </w:p>
    <w:p>
      <w:pPr>
        <w:adjustRightInd w:val="0"/>
        <w:snapToGrid w:val="0"/>
        <w:spacing w:line="312" w:lineRule="auto"/>
        <w:jc w:val="both"/>
        <w:rPr>
          <w:rFonts w:ascii="宋体" w:hAnsi="宋体" w:cs="仿宋"/>
          <w:color w:val="auto"/>
          <w:sz w:val="24"/>
          <w:highlight w:val="none"/>
        </w:rPr>
      </w:pPr>
      <w:r>
        <w:rPr>
          <w:rFonts w:ascii="宋体" w:hAnsi="宋体" w:cs="仿宋"/>
          <w:color w:val="auto"/>
          <w:sz w:val="24"/>
          <w:highlight w:val="none"/>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highlight w:val="none"/>
        </w:rPr>
      </w:pPr>
      <w:r>
        <w:rPr>
          <w:rFonts w:ascii="宋体" w:hAnsi="宋体" w:cs="仿宋"/>
          <w:color w:val="auto"/>
          <w:sz w:val="24"/>
          <w:highlight w:val="none"/>
        </w:rPr>
        <w:t>4.1.2响应文件封套上应载明的内容见供应商须知前附表。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4.2响应文件的递交</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4.2.2除供应商须知前附表另有规定外，供应商所提交的响应文件不</w:t>
      </w:r>
      <w:r>
        <w:rPr>
          <w:rFonts w:hint="eastAsia" w:ascii="宋体" w:hAnsi="宋体" w:cs="仿宋"/>
          <w:color w:val="auto"/>
          <w:sz w:val="24"/>
          <w:highlight w:val="none"/>
          <w:lang w:eastAsia="zh-CN"/>
        </w:rPr>
        <w:t>予</w:t>
      </w:r>
      <w:r>
        <w:rPr>
          <w:rFonts w:hint="eastAsia" w:ascii="宋体" w:hAnsi="宋体" w:cs="仿宋"/>
          <w:color w:val="auto"/>
          <w:sz w:val="24"/>
          <w:highlight w:val="none"/>
        </w:rPr>
        <w:t>退还。</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4.3响应文件的修改与撤回</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4.3.2</w:t>
      </w:r>
      <w:r>
        <w:rPr>
          <w:rFonts w:ascii="宋体" w:hAnsi="宋体" w:cs="仿宋"/>
          <w:color w:val="auto"/>
          <w:sz w:val="24"/>
          <w:highlight w:val="none"/>
        </w:rPr>
        <w:t>响应文件的修改文件或供应商</w:t>
      </w:r>
      <w:r>
        <w:rPr>
          <w:rFonts w:hint="eastAsia" w:ascii="宋体" w:hAnsi="宋体" w:cs="仿宋"/>
          <w:color w:val="auto"/>
          <w:sz w:val="24"/>
          <w:highlight w:val="none"/>
        </w:rPr>
        <w:t>撤</w:t>
      </w:r>
      <w:r>
        <w:rPr>
          <w:rFonts w:ascii="宋体" w:hAnsi="宋体" w:cs="仿宋"/>
          <w:color w:val="auto"/>
          <w:sz w:val="24"/>
          <w:highlight w:val="none"/>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5开启响应文件</w:t>
      </w:r>
    </w:p>
    <w:p>
      <w:pPr>
        <w:adjustRightInd w:val="0"/>
        <w:snapToGrid w:val="0"/>
        <w:spacing w:line="312" w:lineRule="auto"/>
        <w:ind w:firstLine="455" w:firstLineChars="189"/>
        <w:jc w:val="both"/>
        <w:rPr>
          <w:rFonts w:ascii="宋体" w:hAnsi="宋体" w:cs="仿宋"/>
          <w:color w:val="auto"/>
          <w:sz w:val="24"/>
          <w:highlight w:val="none"/>
        </w:rPr>
      </w:pPr>
      <w:r>
        <w:rPr>
          <w:rFonts w:hint="eastAsia" w:ascii="宋体" w:hAnsi="宋体" w:cs="仿宋"/>
          <w:b/>
          <w:color w:val="auto"/>
          <w:sz w:val="24"/>
          <w:highlight w:val="none"/>
        </w:rPr>
        <w:t>采购人一般不公开开启响应文件。如</w:t>
      </w:r>
      <w:r>
        <w:rPr>
          <w:rFonts w:hint="eastAsia" w:ascii="宋体" w:hAnsi="宋体" w:cs="仿宋"/>
          <w:color w:val="auto"/>
          <w:sz w:val="24"/>
          <w:highlight w:val="none"/>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5.1开启响应文件的时间和地点</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5.2开启程序</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主持人按下列程序公开开启响应文件:</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highlight w:val="none"/>
          <w:lang w:eastAsia="zh-CN"/>
        </w:rPr>
      </w:pPr>
      <w:r>
        <w:rPr>
          <w:rFonts w:hint="eastAsia" w:ascii="宋体" w:hAnsi="宋体" w:cs="仿宋"/>
          <w:color w:val="auto"/>
          <w:sz w:val="24"/>
          <w:highlight w:val="none"/>
        </w:rPr>
        <w:t>(2)开启会议结束。</w:t>
      </w:r>
    </w:p>
    <w:p>
      <w:pPr>
        <w:adjustRightInd w:val="0"/>
        <w:snapToGrid w:val="0"/>
        <w:spacing w:line="312" w:lineRule="auto"/>
        <w:ind w:firstLine="455" w:firstLineChars="189"/>
        <w:jc w:val="both"/>
        <w:rPr>
          <w:rFonts w:ascii="宋体" w:hAnsi="宋体" w:cs="仿宋"/>
          <w:color w:val="auto"/>
          <w:sz w:val="24"/>
          <w:highlight w:val="none"/>
        </w:rPr>
      </w:pPr>
      <w:r>
        <w:rPr>
          <w:rFonts w:hint="eastAsia" w:ascii="宋体" w:hAnsi="宋体" w:cs="仿宋"/>
          <w:b/>
          <w:bCs/>
          <w:color w:val="auto"/>
          <w:sz w:val="24"/>
          <w:highlight w:val="none"/>
        </w:rPr>
        <w:t>5.3递交响应文件的供应商不足的情形</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6评审</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6.1评审小组</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6.1.1评审由采购人组建的评审小组负责。</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w:t>
      </w:r>
      <w:r>
        <w:rPr>
          <w:rFonts w:hint="eastAsia" w:ascii="宋体" w:hAnsi="宋体" w:cs="仿宋"/>
          <w:color w:val="auto"/>
          <w:sz w:val="24"/>
          <w:highlight w:val="none"/>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highlight w:val="none"/>
        </w:rPr>
      </w:pPr>
      <w:r>
        <w:rPr>
          <w:rFonts w:hint="eastAsia" w:ascii="宋体" w:hAnsi="宋体" w:cs="仿宋"/>
          <w:color w:val="auto"/>
          <w:sz w:val="24"/>
          <w:highlight w:val="none"/>
        </w:rPr>
        <w:t>(2)与供应商有经济利益关系或其他利害关系，可能影响公正评审的。</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6.2评审</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auto"/>
          <w:sz w:val="24"/>
          <w:highlight w:val="none"/>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7合同授予</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7.1成交候选供应商报价核查</w:t>
      </w:r>
    </w:p>
    <w:p>
      <w:pPr>
        <w:widowControl w:val="0"/>
        <w:adjustRightInd w:val="0"/>
        <w:snapToGrid w:val="0"/>
        <w:spacing w:line="312" w:lineRule="auto"/>
        <w:ind w:firstLine="475" w:firstLineChars="198"/>
        <w:jc w:val="both"/>
        <w:rPr>
          <w:rFonts w:ascii="宋体" w:hAnsi="宋体" w:cs="仿宋"/>
          <w:color w:val="auto"/>
          <w:sz w:val="24"/>
          <w:highlight w:val="none"/>
        </w:rPr>
      </w:pPr>
      <w:r>
        <w:rPr>
          <w:rFonts w:hint="eastAsia" w:ascii="宋体" w:hAnsi="宋体" w:cs="仿宋"/>
          <w:color w:val="auto"/>
          <w:sz w:val="24"/>
          <w:highlight w:val="none"/>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highlight w:val="none"/>
        </w:rPr>
      </w:pPr>
      <w:r>
        <w:rPr>
          <w:rFonts w:hint="eastAsia" w:ascii="宋体" w:hAnsi="宋体" w:cs="仿宋"/>
          <w:b/>
          <w:bCs/>
          <w:color w:val="auto"/>
          <w:sz w:val="24"/>
          <w:highlight w:val="none"/>
        </w:rPr>
        <w:t>7.2</w:t>
      </w:r>
      <w:r>
        <w:rPr>
          <w:rFonts w:hint="eastAsia" w:ascii="宋体" w:hAnsi="宋体" w:cs="宋体"/>
          <w:b/>
          <w:bCs/>
          <w:color w:val="auto"/>
          <w:sz w:val="24"/>
          <w:highlight w:val="none"/>
        </w:rPr>
        <w:t>成交候选</w:t>
      </w:r>
      <w:r>
        <w:rPr>
          <w:rFonts w:hint="eastAsia" w:ascii="宋体" w:hAnsi="宋体" w:cs="仿宋"/>
          <w:b/>
          <w:bCs/>
          <w:color w:val="auto"/>
          <w:sz w:val="24"/>
          <w:highlight w:val="none"/>
        </w:rPr>
        <w:t>供应商</w:t>
      </w:r>
      <w:r>
        <w:rPr>
          <w:rFonts w:hint="eastAsia" w:ascii="宋体" w:hAnsi="宋体" w:cs="宋体"/>
          <w:b/>
          <w:bCs/>
          <w:color w:val="auto"/>
          <w:sz w:val="24"/>
          <w:highlight w:val="none"/>
        </w:rPr>
        <w:t xml:space="preserve">公示 </w:t>
      </w:r>
    </w:p>
    <w:p>
      <w:pPr>
        <w:widowControl w:val="0"/>
        <w:adjustRightInd w:val="0"/>
        <w:snapToGrid w:val="0"/>
        <w:spacing w:line="312"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highlight w:val="none"/>
        </w:rPr>
      </w:pPr>
      <w:r>
        <w:rPr>
          <w:rFonts w:hint="eastAsia" w:ascii="宋体" w:hAnsi="宋体" w:cs="宋体"/>
          <w:b/>
          <w:bCs/>
          <w:color w:val="auto"/>
          <w:sz w:val="24"/>
          <w:highlight w:val="none"/>
        </w:rPr>
        <w:t xml:space="preserve">7.3成交结果异议 </w:t>
      </w:r>
    </w:p>
    <w:p>
      <w:pPr>
        <w:adjustRightInd w:val="0"/>
        <w:snapToGrid w:val="0"/>
        <w:spacing w:line="312" w:lineRule="auto"/>
        <w:ind w:firstLine="424" w:firstLineChars="177"/>
        <w:jc w:val="both"/>
        <w:rPr>
          <w:rFonts w:ascii="宋体" w:hAnsi="宋体" w:cs="宋体"/>
          <w:color w:val="auto"/>
          <w:sz w:val="24"/>
          <w:highlight w:val="none"/>
        </w:rPr>
      </w:pPr>
      <w:r>
        <w:rPr>
          <w:rFonts w:hint="eastAsia" w:ascii="宋体" w:hAnsi="宋体" w:cs="宋体"/>
          <w:color w:val="auto"/>
          <w:sz w:val="24"/>
          <w:highlight w:val="none"/>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7.4成交候选供应商履约能力核查</w:t>
      </w:r>
    </w:p>
    <w:p>
      <w:pPr>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7.5发出成交通知书</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7.6履约保证金</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highlight w:val="none"/>
        </w:rPr>
        <w:t>10</w:t>
      </w:r>
      <w:r>
        <w:rPr>
          <w:rFonts w:hint="eastAsia" w:ascii="宋体" w:hAnsi="宋体" w:cs="仿宋"/>
          <w:color w:val="auto"/>
          <w:sz w:val="24"/>
          <w:highlight w:val="none"/>
        </w:rPr>
        <w:t>%。</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7.7签订合同</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7.</w:t>
      </w:r>
      <w:r>
        <w:rPr>
          <w:rFonts w:ascii="宋体" w:hAnsi="宋体" w:cs="仿宋"/>
          <w:b/>
          <w:bCs/>
          <w:color w:val="auto"/>
          <w:sz w:val="24"/>
          <w:highlight w:val="none"/>
        </w:rPr>
        <w:t>8</w:t>
      </w:r>
      <w:r>
        <w:rPr>
          <w:rFonts w:hint="eastAsia" w:ascii="宋体" w:hAnsi="宋体" w:cs="仿宋"/>
          <w:b/>
          <w:bCs/>
          <w:color w:val="auto"/>
          <w:sz w:val="24"/>
          <w:highlight w:val="none"/>
        </w:rPr>
        <w:t>特殊情形处理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8异议</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8.1提出异议</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8.2异议处理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9纪律要求</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9.1对采购人的纪律要求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9.2对供应商的纪律要求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9.3对评审小组成员的纪律要求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10</w:t>
      </w:r>
      <w:r>
        <w:rPr>
          <w:rFonts w:ascii="宋体" w:hAnsi="宋体" w:cs="仿宋"/>
          <w:b/>
          <w:bCs/>
          <w:color w:val="auto"/>
          <w:sz w:val="24"/>
          <w:highlight w:val="none"/>
        </w:rPr>
        <w:t xml:space="preserve"> </w:t>
      </w:r>
      <w:r>
        <w:rPr>
          <w:rFonts w:hint="eastAsia" w:ascii="宋体" w:hAnsi="宋体" w:cs="仿宋"/>
          <w:b/>
          <w:bCs/>
          <w:color w:val="auto"/>
          <w:sz w:val="24"/>
          <w:highlight w:val="none"/>
        </w:rPr>
        <w:t>需要补充的其他内容</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10.1采购代理服务费</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10.2其他</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需更补充的其他内容:见供应商须知前附表。</w:t>
      </w:r>
    </w:p>
    <w:p>
      <w:pPr>
        <w:adjustRightInd w:val="0"/>
        <w:snapToGrid w:val="0"/>
        <w:spacing w:line="312" w:lineRule="auto"/>
        <w:jc w:val="both"/>
        <w:rPr>
          <w:rFonts w:ascii="宋体" w:hAnsi="宋体" w:cs="仿宋"/>
          <w:color w:val="auto"/>
          <w:sz w:val="24"/>
          <w:highlight w:val="none"/>
        </w:rPr>
      </w:pPr>
    </w:p>
    <w:p>
      <w:pPr>
        <w:adjustRightInd w:val="0"/>
        <w:snapToGrid w:val="0"/>
        <w:spacing w:line="312" w:lineRule="auto"/>
        <w:ind w:firstLine="453" w:firstLineChars="189"/>
        <w:jc w:val="both"/>
        <w:rPr>
          <w:rFonts w:ascii="宋体" w:hAnsi="宋体" w:cs="仿宋"/>
          <w:color w:val="auto"/>
          <w:sz w:val="24"/>
          <w:highlight w:val="none"/>
        </w:rPr>
      </w:pPr>
    </w:p>
    <w:p>
      <w:pPr>
        <w:spacing w:line="312" w:lineRule="auto"/>
        <w:jc w:val="both"/>
        <w:rPr>
          <w:rFonts w:ascii="宋体" w:hAnsi="宋体" w:cs="仿宋"/>
          <w:color w:val="auto"/>
          <w:sz w:val="24"/>
          <w:highlight w:val="none"/>
        </w:rPr>
      </w:pPr>
      <w:r>
        <w:rPr>
          <w:rFonts w:hint="eastAsia" w:ascii="宋体" w:hAnsi="宋体" w:cs="仿宋"/>
          <w:color w:val="auto"/>
          <w:sz w:val="24"/>
          <w:highlight w:val="none"/>
        </w:rPr>
        <w:br w:type="page"/>
      </w:r>
    </w:p>
    <w:p>
      <w:pPr>
        <w:adjustRightInd w:val="0"/>
        <w:snapToGrid w:val="0"/>
        <w:spacing w:line="600" w:lineRule="exact"/>
        <w:ind w:firstLine="600" w:firstLineChars="200"/>
        <w:rPr>
          <w:rFonts w:ascii="宋体" w:hAnsi="宋体" w:cs="仿宋"/>
          <w:color w:val="auto"/>
          <w:sz w:val="30"/>
          <w:szCs w:val="30"/>
          <w:highlight w:val="none"/>
        </w:rPr>
      </w:pPr>
      <w:r>
        <w:rPr>
          <w:rFonts w:hint="eastAsia" w:ascii="宋体" w:hAnsi="宋体" w:cs="仿宋"/>
          <w:color w:val="auto"/>
          <w:sz w:val="30"/>
          <w:szCs w:val="30"/>
          <w:highlight w:val="none"/>
        </w:rPr>
        <w:t>附件1  开启记录表</w:t>
      </w:r>
    </w:p>
    <w:p>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开启记录表</w:t>
      </w:r>
    </w:p>
    <w:p>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pPr>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 </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开启时间：</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年</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月</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日</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时</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分</w:t>
      </w:r>
    </w:p>
    <w:tbl>
      <w:tblPr>
        <w:tblStyle w:val="38"/>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序 号</w:t>
            </w:r>
          </w:p>
        </w:tc>
        <w:tc>
          <w:tcPr>
            <w:tcW w:w="2396" w:type="dxa"/>
            <w:vAlign w:val="center"/>
          </w:tcPr>
          <w:p>
            <w:pPr>
              <w:widowControl w:val="0"/>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w:t>
            </w:r>
          </w:p>
        </w:tc>
        <w:tc>
          <w:tcPr>
            <w:tcW w:w="1992" w:type="dxa"/>
            <w:vAlign w:val="center"/>
          </w:tcPr>
          <w:p>
            <w:pPr>
              <w:widowControl w:val="0"/>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密封情况</w:t>
            </w:r>
          </w:p>
        </w:tc>
        <w:tc>
          <w:tcPr>
            <w:tcW w:w="1992" w:type="dxa"/>
            <w:vAlign w:val="center"/>
          </w:tcPr>
          <w:p>
            <w:pPr>
              <w:widowControl w:val="0"/>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报价</w:t>
            </w:r>
          </w:p>
        </w:tc>
        <w:tc>
          <w:tcPr>
            <w:tcW w:w="1992" w:type="dxa"/>
            <w:vAlign w:val="center"/>
          </w:tcPr>
          <w:p>
            <w:pPr>
              <w:widowControl w:val="0"/>
              <w:spacing w:line="240"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2396"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2396"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2396"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2396"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2396"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c>
          <w:tcPr>
            <w:tcW w:w="1992" w:type="dxa"/>
            <w:vAlign w:val="center"/>
          </w:tcPr>
          <w:p>
            <w:pPr>
              <w:widowControl w:val="0"/>
              <w:spacing w:line="240" w:lineRule="auto"/>
              <w:jc w:val="both"/>
              <w:rPr>
                <w:rFonts w:cs="仿宋" w:asciiTheme="minorEastAsia" w:hAnsiTheme="minorEastAsia" w:eastAsiaTheme="minorEastAsia"/>
                <w:color w:val="auto"/>
                <w:sz w:val="24"/>
                <w:highlight w:val="none"/>
              </w:rPr>
            </w:pPr>
          </w:p>
        </w:tc>
      </w:tr>
    </w:tbl>
    <w:p>
      <w:pPr>
        <w:spacing w:line="240" w:lineRule="auto"/>
        <w:jc w:val="both"/>
        <w:rPr>
          <w:rFonts w:cs="仿宋" w:asciiTheme="minorEastAsia" w:hAnsiTheme="minorEastAsia" w:eastAsiaTheme="minorEastAsia"/>
          <w:color w:val="auto"/>
          <w:sz w:val="24"/>
          <w:highlight w:val="none"/>
        </w:rPr>
      </w:pPr>
    </w:p>
    <w:p>
      <w:pPr>
        <w:spacing w:line="240" w:lineRule="auto"/>
        <w:ind w:firstLine="1200" w:firstLineChars="500"/>
        <w:jc w:val="both"/>
        <w:rPr>
          <w:rFonts w:cs="仿宋" w:asciiTheme="minorEastAsia" w:hAnsiTheme="minorEastAsia" w:eastAsiaTheme="minorEastAsia"/>
          <w:color w:val="auto"/>
          <w:sz w:val="24"/>
          <w:highlight w:val="none"/>
          <w:u w:val="single"/>
        </w:rPr>
      </w:pPr>
      <w:r>
        <w:rPr>
          <w:rFonts w:hint="eastAsia" w:cs="仿宋" w:asciiTheme="minorEastAsia" w:hAnsiTheme="minorEastAsia" w:eastAsiaTheme="minorEastAsia"/>
          <w:color w:val="auto"/>
          <w:sz w:val="24"/>
          <w:highlight w:val="none"/>
        </w:rPr>
        <w:t>采购人代表：</w:t>
      </w:r>
      <w:r>
        <w:rPr>
          <w:rFonts w:hint="eastAsia" w:cs="仿宋" w:asciiTheme="minorEastAsia" w:hAnsiTheme="minorEastAsia" w:eastAsiaTheme="minorEastAsia"/>
          <w:color w:val="auto"/>
          <w:sz w:val="24"/>
          <w:highlight w:val="none"/>
          <w:u w:val="single"/>
        </w:rPr>
        <w:t xml:space="preserve">   </w:t>
      </w:r>
      <w:r>
        <w:rPr>
          <w:rFonts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 xml:space="preserve">      记录人：</w:t>
      </w:r>
      <w:r>
        <w:rPr>
          <w:rFonts w:hint="eastAsia" w:cs="仿宋" w:asciiTheme="minorEastAsia" w:hAnsiTheme="minorEastAsia" w:eastAsiaTheme="minorEastAsia"/>
          <w:color w:val="auto"/>
          <w:sz w:val="24"/>
          <w:highlight w:val="none"/>
          <w:u w:val="single"/>
        </w:rPr>
        <w:t xml:space="preserve">     </w:t>
      </w:r>
      <w:r>
        <w:rPr>
          <w:rFonts w:cs="仿宋" w:asciiTheme="minorEastAsia" w:hAnsiTheme="minorEastAsia" w:eastAsiaTheme="minorEastAsia"/>
          <w:color w:val="auto"/>
          <w:sz w:val="24"/>
          <w:highlight w:val="none"/>
          <w:u w:val="single"/>
        </w:rPr>
        <w:t xml:space="preserve"> </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监督人：</w:t>
      </w:r>
      <w:r>
        <w:rPr>
          <w:rFonts w:hint="eastAsia" w:cs="仿宋" w:asciiTheme="minorEastAsia" w:hAnsiTheme="minorEastAsia" w:eastAsiaTheme="minorEastAsia"/>
          <w:color w:val="auto"/>
          <w:sz w:val="24"/>
          <w:highlight w:val="none"/>
          <w:u w:val="single"/>
        </w:rPr>
        <w:t xml:space="preserve">        </w:t>
      </w:r>
    </w:p>
    <w:p>
      <w:pPr>
        <w:spacing w:line="240" w:lineRule="auto"/>
        <w:jc w:val="both"/>
        <w:rPr>
          <w:rFonts w:cs="仿宋" w:asciiTheme="minorEastAsia" w:hAnsiTheme="minorEastAsia" w:eastAsiaTheme="minorEastAsia"/>
          <w:color w:val="auto"/>
          <w:sz w:val="24"/>
          <w:highlight w:val="none"/>
        </w:rPr>
      </w:pPr>
    </w:p>
    <w:p>
      <w:pPr>
        <w:spacing w:line="240" w:lineRule="auto"/>
        <w:jc w:val="both"/>
        <w:rPr>
          <w:rFonts w:ascii="仿宋" w:hAnsi="仿宋" w:eastAsia="仿宋" w:cs="仿宋"/>
          <w:color w:val="auto"/>
          <w:sz w:val="30"/>
          <w:szCs w:val="30"/>
          <w:highlight w:val="none"/>
        </w:rPr>
      </w:pPr>
    </w:p>
    <w:p>
      <w:pPr>
        <w:spacing w:line="240" w:lineRule="auto"/>
        <w:jc w:val="both"/>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pPr>
        <w:spacing w:line="600" w:lineRule="exact"/>
        <w:ind w:firstLine="8100" w:firstLineChars="2700"/>
        <w:jc w:val="both"/>
        <w:rPr>
          <w:rFonts w:ascii="仿宋" w:hAnsi="仿宋" w:eastAsia="仿宋" w:cs="仿宋"/>
          <w:color w:val="auto"/>
          <w:sz w:val="30"/>
          <w:szCs w:val="30"/>
          <w:highlight w:val="none"/>
        </w:rPr>
      </w:pPr>
    </w:p>
    <w:p>
      <w:pPr>
        <w:adjustRightInd w:val="0"/>
        <w:snapToGrid w:val="0"/>
        <w:spacing w:line="600" w:lineRule="exact"/>
        <w:ind w:firstLine="567" w:firstLineChars="189"/>
        <w:rPr>
          <w:rFonts w:ascii="宋体" w:hAnsi="宋体" w:cs="仿宋"/>
          <w:color w:val="auto"/>
          <w:sz w:val="30"/>
          <w:szCs w:val="30"/>
          <w:highlight w:val="none"/>
        </w:rPr>
      </w:pPr>
      <w:r>
        <w:rPr>
          <w:rFonts w:hint="eastAsia" w:ascii="宋体" w:hAnsi="宋体" w:cs="仿宋"/>
          <w:color w:val="auto"/>
          <w:sz w:val="30"/>
          <w:szCs w:val="30"/>
          <w:highlight w:val="none"/>
        </w:rPr>
        <w:t>附件</w:t>
      </w:r>
      <w:r>
        <w:rPr>
          <w:rFonts w:hint="eastAsia" w:ascii="宋体" w:hAnsi="宋体" w:cs="仿宋"/>
          <w:color w:val="auto"/>
          <w:sz w:val="30"/>
          <w:szCs w:val="30"/>
          <w:highlight w:val="none"/>
          <w:lang w:val="en-US" w:eastAsia="zh-CN"/>
        </w:rPr>
        <w:t>2</w:t>
      </w:r>
      <w:r>
        <w:rPr>
          <w:rFonts w:hint="eastAsia" w:ascii="宋体" w:hAnsi="宋体" w:cs="仿宋"/>
          <w:color w:val="auto"/>
          <w:sz w:val="30"/>
          <w:szCs w:val="30"/>
          <w:highlight w:val="none"/>
        </w:rPr>
        <w:t xml:space="preserve">  问题的澄清</w:t>
      </w:r>
    </w:p>
    <w:p>
      <w:pPr>
        <w:adjustRightInd w:val="0"/>
        <w:snapToGrid w:val="0"/>
        <w:spacing w:line="600" w:lineRule="exact"/>
        <w:jc w:val="center"/>
        <w:rPr>
          <w:rFonts w:ascii="华文中宋" w:hAnsi="华文中宋" w:eastAsia="华文中宋" w:cs="仿宋"/>
          <w:b/>
          <w:bCs/>
          <w:color w:val="auto"/>
          <w:sz w:val="36"/>
          <w:szCs w:val="36"/>
          <w:highlight w:val="none"/>
        </w:rPr>
      </w:pPr>
    </w:p>
    <w:p>
      <w:pPr>
        <w:adjustRightInd w:val="0"/>
        <w:snapToGrid w:val="0"/>
        <w:spacing w:line="600" w:lineRule="exact"/>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问题的澄清</w:t>
      </w:r>
    </w:p>
    <w:p>
      <w:pPr>
        <w:adjustRightInd w:val="0"/>
        <w:snapToGrid w:val="0"/>
        <w:spacing w:line="600" w:lineRule="exact"/>
        <w:ind w:firstLine="480" w:firstLineChars="200"/>
        <w:jc w:val="center"/>
        <w:rPr>
          <w:rFonts w:ascii="宋体" w:hAnsi="宋体" w:cs="仿宋"/>
          <w:color w:val="auto"/>
          <w:sz w:val="24"/>
          <w:highlight w:val="none"/>
        </w:rPr>
      </w:pPr>
      <w:r>
        <w:rPr>
          <w:rFonts w:hint="eastAsia" w:ascii="宋体" w:hAnsi="宋体" w:cs="仿宋"/>
          <w:color w:val="auto"/>
          <w:sz w:val="24"/>
          <w:highlight w:val="none"/>
        </w:rPr>
        <w:t>(编号:</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adjustRightInd w:val="0"/>
        <w:snapToGrid w:val="0"/>
        <w:spacing w:line="600" w:lineRule="exact"/>
        <w:jc w:val="both"/>
        <w:rPr>
          <w:rFonts w:ascii="宋体" w:hAnsi="宋体" w:cs="仿宋"/>
          <w:color w:val="auto"/>
          <w:sz w:val="24"/>
          <w:highlight w:val="none"/>
        </w:rPr>
      </w:pPr>
      <w:r>
        <w:rPr>
          <w:rFonts w:hint="eastAsia" w:ascii="宋体" w:hAnsi="宋体" w:cs="仿宋"/>
          <w:color w:val="auto"/>
          <w:sz w:val="24"/>
          <w:highlight w:val="none"/>
        </w:rPr>
        <w:t>评审小组:</w:t>
      </w:r>
    </w:p>
    <w:p>
      <w:pPr>
        <w:adjustRightInd w:val="0"/>
        <w:snapToGrid w:val="0"/>
        <w:spacing w:line="600" w:lineRule="exact"/>
        <w:ind w:firstLine="530" w:firstLineChars="221"/>
        <w:jc w:val="both"/>
        <w:rPr>
          <w:rFonts w:ascii="宋体" w:hAnsi="宋体" w:cs="仿宋"/>
          <w:color w:val="auto"/>
          <w:sz w:val="24"/>
          <w:highlight w:val="none"/>
        </w:rPr>
      </w:pPr>
      <w:r>
        <w:rPr>
          <w:rFonts w:hint="eastAsia" w:ascii="宋体" w:hAnsi="宋体" w:cs="仿宋"/>
          <w:color w:val="auto"/>
          <w:sz w:val="24"/>
          <w:highlight w:val="none"/>
        </w:rPr>
        <w:t>问题澄清通知(编号:</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)已收悉，现澄清、说明和补正如下：</w:t>
      </w:r>
    </w:p>
    <w:p>
      <w:pPr>
        <w:adjustRightInd w:val="0"/>
        <w:snapToGrid w:val="0"/>
        <w:spacing w:line="600" w:lineRule="exact"/>
        <w:ind w:firstLine="530" w:firstLineChars="221"/>
        <w:jc w:val="both"/>
        <w:rPr>
          <w:rFonts w:ascii="宋体" w:hAnsi="宋体" w:cs="仿宋"/>
          <w:color w:val="auto"/>
          <w:sz w:val="24"/>
          <w:highlight w:val="none"/>
        </w:rPr>
      </w:pPr>
      <w:r>
        <w:rPr>
          <w:rFonts w:hint="eastAsia" w:ascii="宋体" w:hAnsi="宋体" w:cs="仿宋"/>
          <w:color w:val="auto"/>
          <w:sz w:val="24"/>
          <w:highlight w:val="none"/>
        </w:rPr>
        <w:t>1.</w:t>
      </w:r>
    </w:p>
    <w:p>
      <w:pPr>
        <w:adjustRightInd w:val="0"/>
        <w:snapToGrid w:val="0"/>
        <w:spacing w:line="600" w:lineRule="exact"/>
        <w:ind w:firstLine="530" w:firstLineChars="221"/>
        <w:jc w:val="both"/>
        <w:rPr>
          <w:rFonts w:ascii="宋体" w:hAnsi="宋体" w:cs="仿宋"/>
          <w:color w:val="auto"/>
          <w:sz w:val="24"/>
          <w:highlight w:val="none"/>
        </w:rPr>
      </w:pPr>
      <w:r>
        <w:rPr>
          <w:rFonts w:hint="eastAsia" w:ascii="宋体" w:hAnsi="宋体" w:cs="仿宋"/>
          <w:color w:val="auto"/>
          <w:sz w:val="24"/>
          <w:highlight w:val="none"/>
        </w:rPr>
        <w:t>2.</w:t>
      </w:r>
    </w:p>
    <w:p>
      <w:pPr>
        <w:adjustRightInd w:val="0"/>
        <w:snapToGrid w:val="0"/>
        <w:spacing w:line="600" w:lineRule="exact"/>
        <w:ind w:firstLine="530" w:firstLineChars="221"/>
        <w:jc w:val="both"/>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600" w:lineRule="exact"/>
        <w:ind w:firstLine="530" w:firstLineChars="221"/>
        <w:jc w:val="both"/>
        <w:rPr>
          <w:rFonts w:ascii="宋体" w:hAnsi="宋体" w:cs="仿宋"/>
          <w:color w:val="auto"/>
          <w:sz w:val="24"/>
          <w:highlight w:val="none"/>
        </w:rPr>
      </w:pPr>
      <w:r>
        <w:rPr>
          <w:rFonts w:hint="eastAsia" w:ascii="宋体" w:hAnsi="宋体" w:cs="仿宋"/>
          <w:color w:val="auto"/>
          <w:sz w:val="24"/>
          <w:highlight w:val="none"/>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highlight w:val="none"/>
        </w:rPr>
      </w:pPr>
    </w:p>
    <w:p>
      <w:pPr>
        <w:adjustRightInd w:val="0"/>
        <w:snapToGrid w:val="0"/>
        <w:spacing w:line="600" w:lineRule="exact"/>
        <w:ind w:firstLine="5090" w:firstLineChars="2121"/>
        <w:jc w:val="both"/>
        <w:rPr>
          <w:rFonts w:ascii="宋体" w:hAnsi="宋体" w:cs="仿宋"/>
          <w:color w:val="auto"/>
          <w:sz w:val="24"/>
          <w:highlight w:val="none"/>
          <w:u w:val="single"/>
        </w:rPr>
      </w:pPr>
      <w:r>
        <w:rPr>
          <w:rFonts w:hint="eastAsia" w:ascii="宋体" w:hAnsi="宋体" w:cs="仿宋"/>
          <w:color w:val="auto"/>
          <w:sz w:val="24"/>
          <w:highlight w:val="none"/>
        </w:rPr>
        <w:t>供应商:</w:t>
      </w:r>
      <w:r>
        <w:rPr>
          <w:rFonts w:ascii="宋体" w:hAnsi="宋体" w:cs="仿宋"/>
          <w:color w:val="auto"/>
          <w:sz w:val="24"/>
          <w:highlight w:val="none"/>
        </w:rPr>
        <w:t xml:space="preserve"> </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(盖单位章)</w:t>
      </w:r>
      <w:r>
        <w:rPr>
          <w:rFonts w:ascii="宋体" w:hAnsi="宋体" w:cs="仿宋"/>
          <w:color w:val="auto"/>
          <w:sz w:val="24"/>
          <w:highlight w:val="none"/>
          <w:u w:val="single"/>
        </w:rPr>
        <w:t xml:space="preserve">      </w:t>
      </w:r>
    </w:p>
    <w:p>
      <w:pPr>
        <w:adjustRightInd w:val="0"/>
        <w:snapToGrid w:val="0"/>
        <w:spacing w:line="600" w:lineRule="exact"/>
        <w:ind w:firstLine="3410" w:firstLineChars="1421"/>
        <w:jc w:val="both"/>
        <w:rPr>
          <w:rFonts w:ascii="宋体" w:hAnsi="宋体" w:cs="仿宋"/>
          <w:color w:val="auto"/>
          <w:sz w:val="24"/>
          <w:highlight w:val="none"/>
          <w:u w:val="single"/>
        </w:rPr>
      </w:pPr>
      <w:r>
        <w:rPr>
          <w:rFonts w:hint="eastAsia" w:ascii="宋体" w:hAnsi="宋体" w:cs="仿宋"/>
          <w:color w:val="auto"/>
          <w:sz w:val="24"/>
          <w:highlight w:val="none"/>
        </w:rPr>
        <w:t>法定代表人(单位负责人)或其授权的代理人:</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(签字)</w:t>
      </w:r>
      <w:r>
        <w:rPr>
          <w:rFonts w:ascii="宋体" w:hAnsi="宋体" w:cs="仿宋"/>
          <w:color w:val="auto"/>
          <w:sz w:val="24"/>
          <w:highlight w:val="none"/>
          <w:u w:val="single"/>
        </w:rPr>
        <w:t xml:space="preserve">  </w:t>
      </w:r>
    </w:p>
    <w:p>
      <w:pPr>
        <w:adjustRightInd/>
        <w:snapToGrid/>
        <w:spacing w:line="600" w:lineRule="exact"/>
        <w:ind w:firstLine="5570" w:firstLineChars="2321"/>
        <w:jc w:val="both"/>
        <w:rPr>
          <w:rFonts w:ascii="仿宋" w:hAnsi="仿宋" w:eastAsia="仿宋" w:cs="仿宋"/>
          <w:color w:val="auto"/>
          <w:sz w:val="30"/>
          <w:szCs w:val="30"/>
          <w:highlight w:val="none"/>
        </w:rPr>
      </w:pPr>
      <w:r>
        <w:rPr>
          <w:rFonts w:hint="eastAsia" w:ascii="宋体" w:hAnsi="宋体" w:cs="仿宋"/>
          <w:color w:val="auto"/>
          <w:sz w:val="24"/>
          <w:highlight w:val="none"/>
          <w:u w:val="single"/>
        </w:rPr>
        <w:t xml:space="preserve"> </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ascii="宋体" w:hAnsi="宋体" w:cs="仿宋"/>
          <w:color w:val="auto"/>
          <w:sz w:val="24"/>
          <w:highlight w:val="none"/>
          <w:u w:val="single"/>
        </w:rPr>
        <w:t xml:space="preserve">   </w:t>
      </w:r>
      <w:r>
        <w:rPr>
          <w:rFonts w:hint="eastAsia" w:ascii="宋体" w:hAnsi="宋体" w:cs="仿宋"/>
          <w:color w:val="auto"/>
          <w:sz w:val="24"/>
          <w:highlight w:val="none"/>
        </w:rPr>
        <w:t>日</w:t>
      </w:r>
      <w:r>
        <w:rPr>
          <w:rFonts w:hint="eastAsia" w:ascii="仿宋" w:hAnsi="仿宋" w:eastAsia="仿宋" w:cs="仿宋"/>
          <w:color w:val="auto"/>
          <w:sz w:val="30"/>
          <w:szCs w:val="30"/>
          <w:highlight w:val="none"/>
        </w:rPr>
        <w:br w:type="page"/>
      </w:r>
    </w:p>
    <w:p>
      <w:pPr>
        <w:adjustRightInd w:val="0"/>
        <w:snapToGrid w:val="0"/>
        <w:spacing w:line="600" w:lineRule="exact"/>
        <w:ind w:firstLine="567" w:firstLineChars="189"/>
        <w:rPr>
          <w:rFonts w:ascii="宋体" w:hAnsi="宋体" w:cs="仿宋"/>
          <w:color w:val="auto"/>
          <w:sz w:val="30"/>
          <w:szCs w:val="30"/>
          <w:highlight w:val="none"/>
        </w:rPr>
      </w:pPr>
      <w:r>
        <w:rPr>
          <w:rFonts w:hint="eastAsia" w:ascii="宋体" w:hAnsi="宋体" w:cs="仿宋"/>
          <w:color w:val="auto"/>
          <w:sz w:val="30"/>
          <w:szCs w:val="30"/>
          <w:highlight w:val="none"/>
        </w:rPr>
        <w:t>附件</w:t>
      </w:r>
      <w:r>
        <w:rPr>
          <w:rFonts w:hint="eastAsia" w:ascii="宋体" w:hAnsi="宋体" w:cs="仿宋"/>
          <w:color w:val="auto"/>
          <w:sz w:val="30"/>
          <w:szCs w:val="30"/>
          <w:highlight w:val="none"/>
          <w:lang w:val="en-US" w:eastAsia="zh-CN"/>
        </w:rPr>
        <w:t>3</w:t>
      </w:r>
      <w:r>
        <w:rPr>
          <w:rFonts w:hint="eastAsia" w:ascii="宋体" w:hAnsi="宋体" w:cs="仿宋"/>
          <w:color w:val="auto"/>
          <w:sz w:val="30"/>
          <w:szCs w:val="30"/>
          <w:highlight w:val="none"/>
        </w:rPr>
        <w:t xml:space="preserve">  确认通知</w:t>
      </w:r>
    </w:p>
    <w:p>
      <w:pPr>
        <w:adjustRightInd w:val="0"/>
        <w:snapToGrid w:val="0"/>
        <w:spacing w:line="600" w:lineRule="exact"/>
        <w:ind w:firstLine="721" w:firstLineChars="200"/>
        <w:jc w:val="both"/>
        <w:rPr>
          <w:rFonts w:ascii="华文中宋" w:hAnsi="华文中宋" w:eastAsia="华文中宋" w:cs="仿宋"/>
          <w:b/>
          <w:bCs/>
          <w:color w:val="auto"/>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确认通知</w:t>
      </w:r>
    </w:p>
    <w:p>
      <w:pPr>
        <w:adjustRightInd w:val="0"/>
        <w:snapToGrid w:val="0"/>
        <w:spacing w:line="600" w:lineRule="exact"/>
        <w:ind w:firstLine="721" w:firstLineChars="200"/>
        <w:jc w:val="both"/>
        <w:rPr>
          <w:rFonts w:ascii="华文中宋" w:hAnsi="华文中宋" w:eastAsia="华文中宋" w:cs="仿宋"/>
          <w:b/>
          <w:bCs/>
          <w:color w:val="auto"/>
          <w:sz w:val="36"/>
          <w:szCs w:val="36"/>
          <w:highlight w:val="none"/>
        </w:rPr>
      </w:pPr>
    </w:p>
    <w:p>
      <w:pPr>
        <w:adjustRightInd w:val="0"/>
        <w:snapToGrid w:val="0"/>
        <w:spacing w:line="600" w:lineRule="exact"/>
        <w:ind w:firstLine="480" w:firstLineChars="200"/>
        <w:jc w:val="both"/>
        <w:rPr>
          <w:rFonts w:ascii="宋体" w:hAnsi="宋体" w:cs="仿宋"/>
          <w:b/>
          <w:bCs/>
          <w:color w:val="auto"/>
          <w:sz w:val="24"/>
          <w:highlight w:val="none"/>
        </w:rPr>
      </w:pPr>
      <w:r>
        <w:rPr>
          <w:rFonts w:hint="eastAsia" w:ascii="宋体" w:hAnsi="宋体" w:cs="仿宋"/>
          <w:color w:val="auto"/>
          <w:sz w:val="24"/>
          <w:highlight w:val="none"/>
          <w:u w:val="single"/>
        </w:rPr>
        <w:t xml:space="preserve">           （采购人或采购代理机构名称)</w:t>
      </w:r>
      <w:r>
        <w:rPr>
          <w:rFonts w:hint="eastAsia" w:ascii="宋体" w:hAnsi="宋体" w:cs="仿宋"/>
          <w:color w:val="auto"/>
          <w:sz w:val="24"/>
          <w:highlight w:val="none"/>
        </w:rPr>
        <w:t>:</w:t>
      </w:r>
    </w:p>
    <w:p>
      <w:pPr>
        <w:adjustRightInd w:val="0"/>
        <w:snapToGrid w:val="0"/>
        <w:spacing w:line="600" w:lineRule="exact"/>
        <w:ind w:firstLine="480" w:firstLineChars="200"/>
        <w:jc w:val="both"/>
        <w:rPr>
          <w:rFonts w:ascii="宋体" w:hAnsi="宋体" w:cs="仿宋"/>
          <w:color w:val="auto"/>
          <w:sz w:val="24"/>
          <w:highlight w:val="none"/>
        </w:rPr>
      </w:pPr>
      <w:r>
        <w:rPr>
          <w:rFonts w:hint="eastAsia" w:ascii="宋体" w:hAnsi="宋体" w:cs="仿宋"/>
          <w:color w:val="auto"/>
          <w:sz w:val="24"/>
          <w:highlight w:val="none"/>
        </w:rPr>
        <w:t>你方于</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日发出的的</w:t>
      </w:r>
      <w:r>
        <w:rPr>
          <w:rFonts w:hint="eastAsia" w:ascii="宋体" w:hAnsi="宋体" w:cs="仿宋"/>
          <w:color w:val="auto"/>
          <w:sz w:val="24"/>
          <w:highlight w:val="none"/>
          <w:u w:val="single"/>
        </w:rPr>
        <w:t>(项目名称)</w:t>
      </w:r>
      <w:r>
        <w:rPr>
          <w:rFonts w:hint="eastAsia" w:ascii="宋体" w:hAnsi="宋体" w:cs="仿宋"/>
          <w:color w:val="auto"/>
          <w:sz w:val="24"/>
          <w:highlight w:val="none"/>
        </w:rPr>
        <w:t>采购文件的澄清/修改的通知，我方已于</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日收到。</w:t>
      </w:r>
    </w:p>
    <w:p>
      <w:pPr>
        <w:adjustRightInd w:val="0"/>
        <w:snapToGrid w:val="0"/>
        <w:spacing w:line="600" w:lineRule="exact"/>
        <w:ind w:firstLine="480" w:firstLineChars="200"/>
        <w:jc w:val="both"/>
        <w:rPr>
          <w:rFonts w:ascii="宋体" w:hAnsi="宋体" w:cs="仿宋"/>
          <w:color w:val="auto"/>
          <w:sz w:val="24"/>
          <w:highlight w:val="none"/>
        </w:rPr>
      </w:pPr>
      <w:r>
        <w:rPr>
          <w:rFonts w:hint="eastAsia" w:ascii="宋体" w:hAnsi="宋体" w:cs="仿宋"/>
          <w:color w:val="auto"/>
          <w:sz w:val="24"/>
          <w:highlight w:val="none"/>
        </w:rPr>
        <w:t>特此确认。</w:t>
      </w:r>
    </w:p>
    <w:p>
      <w:pPr>
        <w:adjustRightInd w:val="0"/>
        <w:snapToGrid w:val="0"/>
        <w:spacing w:line="600" w:lineRule="exact"/>
        <w:ind w:firstLine="480" w:firstLineChars="200"/>
        <w:jc w:val="both"/>
        <w:rPr>
          <w:rFonts w:ascii="宋体" w:hAnsi="宋体" w:cs="仿宋"/>
          <w:color w:val="auto"/>
          <w:sz w:val="24"/>
          <w:highlight w:val="none"/>
        </w:rPr>
      </w:pPr>
    </w:p>
    <w:p>
      <w:pPr>
        <w:adjustRightInd w:val="0"/>
        <w:snapToGrid w:val="0"/>
        <w:spacing w:line="600" w:lineRule="exact"/>
        <w:ind w:firstLine="480" w:firstLineChars="200"/>
        <w:jc w:val="both"/>
        <w:rPr>
          <w:rFonts w:ascii="宋体" w:hAnsi="宋体" w:cs="仿宋"/>
          <w:color w:val="auto"/>
          <w:sz w:val="24"/>
          <w:highlight w:val="none"/>
        </w:rPr>
      </w:pPr>
    </w:p>
    <w:p>
      <w:pPr>
        <w:adjustRightInd w:val="0"/>
        <w:snapToGrid w:val="0"/>
        <w:spacing w:line="600" w:lineRule="exact"/>
        <w:ind w:firstLine="5090" w:firstLineChars="2121"/>
        <w:jc w:val="both"/>
        <w:rPr>
          <w:rFonts w:ascii="宋体" w:hAnsi="宋体" w:cs="仿宋"/>
          <w:color w:val="auto"/>
          <w:sz w:val="24"/>
          <w:highlight w:val="none"/>
          <w:u w:val="single"/>
        </w:rPr>
      </w:pPr>
      <w:r>
        <w:rPr>
          <w:rFonts w:hint="eastAsia" w:ascii="宋体" w:hAnsi="宋体" w:cs="仿宋"/>
          <w:color w:val="auto"/>
          <w:sz w:val="24"/>
          <w:highlight w:val="none"/>
        </w:rPr>
        <w:t>供应商:</w:t>
      </w:r>
      <w:r>
        <w:rPr>
          <w:rFonts w:ascii="宋体" w:hAnsi="宋体" w:cs="仿宋"/>
          <w:color w:val="auto"/>
          <w:sz w:val="24"/>
          <w:highlight w:val="none"/>
        </w:rPr>
        <w:t xml:space="preserve"> </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(盖单位章)</w:t>
      </w:r>
      <w:r>
        <w:rPr>
          <w:rFonts w:ascii="宋体" w:hAnsi="宋体" w:cs="仿宋"/>
          <w:color w:val="auto"/>
          <w:sz w:val="24"/>
          <w:highlight w:val="none"/>
          <w:u w:val="single"/>
        </w:rPr>
        <w:t xml:space="preserve">      </w:t>
      </w:r>
    </w:p>
    <w:p>
      <w:pPr>
        <w:pStyle w:val="73"/>
        <w:spacing w:line="600" w:lineRule="exact"/>
        <w:ind w:left="420" w:firstLine="5280" w:firstLineChars="2200"/>
        <w:jc w:val="both"/>
        <w:rPr>
          <w:rFonts w:cs="仿宋"/>
          <w:b/>
          <w:color w:val="000000"/>
          <w:highlight w:val="none"/>
        </w:rPr>
      </w:pPr>
      <w:r>
        <w:rPr>
          <w:rFonts w:hint="eastAsia" w:cs="仿宋"/>
          <w:color w:val="auto"/>
          <w:highlight w:val="none"/>
          <w:u w:val="single"/>
        </w:rPr>
        <w:t xml:space="preserve"> </w:t>
      </w:r>
      <w:r>
        <w:rPr>
          <w:rFonts w:cs="仿宋"/>
          <w:color w:val="auto"/>
          <w:highlight w:val="none"/>
          <w:u w:val="single"/>
        </w:rPr>
        <w:t xml:space="preserve">       </w:t>
      </w:r>
      <w:r>
        <w:rPr>
          <w:rFonts w:hint="eastAsia" w:cs="仿宋"/>
          <w:color w:val="auto"/>
          <w:highlight w:val="none"/>
          <w:u w:val="single"/>
        </w:rPr>
        <w:t xml:space="preserve"> </w:t>
      </w:r>
      <w:r>
        <w:rPr>
          <w:rFonts w:hint="eastAsia" w:cs="仿宋"/>
          <w:color w:val="auto"/>
          <w:highlight w:val="none"/>
        </w:rPr>
        <w:t>年</w:t>
      </w:r>
      <w:r>
        <w:rPr>
          <w:rFonts w:hint="eastAsia" w:cs="仿宋"/>
          <w:color w:val="auto"/>
          <w:highlight w:val="none"/>
          <w:u w:val="single"/>
        </w:rPr>
        <w:t xml:space="preserve"> </w:t>
      </w:r>
      <w:r>
        <w:rPr>
          <w:rFonts w:cs="仿宋"/>
          <w:color w:val="auto"/>
          <w:highlight w:val="none"/>
          <w:u w:val="single"/>
        </w:rPr>
        <w:t xml:space="preserve">  </w:t>
      </w:r>
      <w:r>
        <w:rPr>
          <w:rFonts w:hint="eastAsia" w:cs="仿宋"/>
          <w:color w:val="auto"/>
          <w:highlight w:val="none"/>
          <w:u w:val="single"/>
        </w:rPr>
        <w:t xml:space="preserve"> </w:t>
      </w:r>
      <w:r>
        <w:rPr>
          <w:rFonts w:hint="eastAsia" w:cs="仿宋"/>
          <w:color w:val="auto"/>
          <w:highlight w:val="none"/>
        </w:rPr>
        <w:t>月</w:t>
      </w:r>
      <w:r>
        <w:rPr>
          <w:rFonts w:hint="eastAsia" w:cs="仿宋"/>
          <w:color w:val="auto"/>
          <w:highlight w:val="none"/>
          <w:u w:val="single"/>
        </w:rPr>
        <w:t xml:space="preserve"> </w:t>
      </w:r>
      <w:r>
        <w:rPr>
          <w:rFonts w:cs="仿宋"/>
          <w:color w:val="auto"/>
          <w:highlight w:val="none"/>
          <w:u w:val="single"/>
        </w:rPr>
        <w:t xml:space="preserve">  </w:t>
      </w:r>
      <w:r>
        <w:rPr>
          <w:rFonts w:hint="eastAsia" w:cs="仿宋"/>
          <w:color w:val="auto"/>
          <w:highlight w:val="none"/>
          <w:u w:val="single"/>
        </w:rPr>
        <w:t xml:space="preserve"> </w:t>
      </w:r>
      <w:r>
        <w:rPr>
          <w:rFonts w:hint="eastAsia" w:cs="仿宋"/>
          <w:color w:val="auto"/>
          <w:highlight w:val="none"/>
        </w:rPr>
        <w:t>日</w:t>
      </w:r>
    </w:p>
    <w:p>
      <w:pPr>
        <w:spacing w:line="240" w:lineRule="auto"/>
        <w:jc w:val="both"/>
        <w:rPr>
          <w:rFonts w:ascii="宋体" w:hAnsi="宋体" w:cs="仿宋"/>
          <w:b/>
          <w:color w:val="000000"/>
          <w:kern w:val="0"/>
          <w:sz w:val="24"/>
          <w:highlight w:val="none"/>
        </w:rPr>
      </w:pPr>
      <w:r>
        <w:rPr>
          <w:rFonts w:ascii="宋体" w:hAnsi="宋体" w:cs="仿宋"/>
          <w:b/>
          <w:color w:val="000000"/>
          <w:sz w:val="24"/>
          <w:highlight w:val="none"/>
        </w:rPr>
        <w:br w:type="page"/>
      </w:r>
    </w:p>
    <w:p>
      <w:pPr>
        <w:adjustRightInd w:val="0"/>
        <w:snapToGrid w:val="0"/>
        <w:spacing w:line="600" w:lineRule="exact"/>
        <w:jc w:val="center"/>
        <w:outlineLvl w:val="0"/>
        <w:rPr>
          <w:rFonts w:ascii="黑体" w:hAnsi="黑体" w:eastAsia="黑体" w:cs="仿宋"/>
          <w:bCs/>
          <w:color w:val="auto"/>
          <w:sz w:val="36"/>
          <w:szCs w:val="36"/>
          <w:highlight w:val="none"/>
        </w:rPr>
      </w:pPr>
      <w:bookmarkStart w:id="18" w:name="_Toc31455_WPSOffice_Level1"/>
      <w:r>
        <w:rPr>
          <w:rFonts w:hint="eastAsia" w:ascii="黑体" w:hAnsi="黑体" w:eastAsia="黑体" w:cs="仿宋"/>
          <w:bCs/>
          <w:color w:val="auto"/>
          <w:sz w:val="36"/>
          <w:szCs w:val="36"/>
          <w:highlight w:val="none"/>
        </w:rPr>
        <w:t>第三章 评审办法</w:t>
      </w:r>
      <w:bookmarkEnd w:id="18"/>
    </w:p>
    <w:p>
      <w:pPr>
        <w:adjustRightInd w:val="0"/>
        <w:snapToGrid w:val="0"/>
        <w:spacing w:before="120" w:beforeLines="50" w:after="120" w:afterLines="50" w:line="312" w:lineRule="auto"/>
        <w:jc w:val="center"/>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评审办法前附表</w:t>
      </w:r>
    </w:p>
    <w:tbl>
      <w:tblPr>
        <w:tblStyle w:val="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不存在第一章第3.</w:t>
            </w:r>
            <w:r>
              <w:rPr>
                <w:rFonts w:hint="eastAsia" w:cs="仿宋" w:asciiTheme="minorEastAsia" w:hAnsiTheme="minorEastAsia" w:eastAsiaTheme="minorEastAsia"/>
                <w:color w:val="auto"/>
                <w:szCs w:val="21"/>
                <w:highlight w:val="none"/>
                <w:lang w:val="en-US" w:eastAsia="zh-CN"/>
              </w:rPr>
              <w:t>1</w:t>
            </w:r>
            <w:r>
              <w:rPr>
                <w:rFonts w:hint="eastAsia" w:cs="仿宋" w:asciiTheme="minorEastAsia" w:hAnsiTheme="minorEastAsia" w:eastAsiaTheme="minorEastAsia"/>
                <w:color w:val="auto"/>
                <w:szCs w:val="21"/>
                <w:highlight w:val="none"/>
              </w:rPr>
              <w:t>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响应保证金</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服务</w:t>
            </w:r>
            <w:r>
              <w:rPr>
                <w:rFonts w:hint="eastAsia" w:cs="仿宋" w:asciiTheme="minorEastAsia" w:hAnsiTheme="minorEastAsia" w:eastAsiaTheme="minorEastAsia"/>
                <w:color w:val="auto"/>
                <w:szCs w:val="21"/>
                <w:highlight w:val="none"/>
              </w:rPr>
              <w:t>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eastAsia="zh-CN"/>
              </w:rPr>
              <w:t>服务</w:t>
            </w:r>
            <w:r>
              <w:rPr>
                <w:rFonts w:hint="eastAsia" w:cs="仿宋" w:asciiTheme="minorEastAsia" w:hAnsiTheme="minorEastAsia" w:eastAsiaTheme="minorEastAsia"/>
                <w:color w:val="auto"/>
                <w:szCs w:val="21"/>
                <w:highlight w:val="none"/>
              </w:rPr>
              <w:t>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偏差范围和偏差项数符合第二章第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大写含税价格</w:t>
            </w:r>
            <w:r>
              <w:rPr>
                <w:rFonts w:hint="eastAsia" w:cs="仿宋" w:asciiTheme="minorEastAsia" w:hAnsiTheme="minorEastAsia" w:eastAsiaTheme="minorEastAsia"/>
                <w:color w:val="auto"/>
                <w:szCs w:val="21"/>
                <w:highlight w:val="none"/>
                <w:lang w:eastAsia="zh-CN"/>
              </w:rPr>
              <w:t>，</w:t>
            </w:r>
            <w:r>
              <w:rPr>
                <w:rFonts w:hint="eastAsia" w:cs="仿宋" w:asciiTheme="minorEastAsia" w:hAnsiTheme="minorEastAsia" w:eastAsiaTheme="minorEastAsia"/>
                <w:color w:val="auto"/>
                <w:szCs w:val="21"/>
                <w:highlight w:val="none"/>
                <w:lang w:val="en-US" w:eastAsia="zh-CN"/>
              </w:rPr>
              <w:t>注明税率</w:t>
            </w:r>
            <w:r>
              <w:rPr>
                <w:rFonts w:hint="eastAsia" w:cs="仿宋"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w:t>
            </w:r>
          </w:p>
        </w:tc>
        <w:tc>
          <w:tcPr>
            <w:tcW w:w="1573" w:type="dxa"/>
            <w:vAlign w:val="center"/>
          </w:tcPr>
          <w:p>
            <w:pPr>
              <w:widowControl w:val="0"/>
              <w:spacing w:line="288"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w:t>
            </w:r>
          </w:p>
        </w:tc>
        <w:tc>
          <w:tcPr>
            <w:tcW w:w="5676" w:type="dxa"/>
          </w:tcPr>
          <w:p>
            <w:pPr>
              <w:widowControl/>
              <w:autoSpaceDE w:val="0"/>
              <w:adjustRightInd/>
              <w:snapToGrid/>
              <w:spacing w:line="400" w:lineRule="exact"/>
              <w:jc w:val="both"/>
              <w:rPr>
                <w:rFonts w:cs="仿宋"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条规定，</w:t>
            </w:r>
            <w:r>
              <w:rPr>
                <w:rFonts w:hint="eastAsia" w:asciiTheme="minorEastAsia" w:hAnsiTheme="minorEastAsia" w:eastAsiaTheme="minorEastAsia"/>
                <w:b w:val="0"/>
                <w:bCs w:val="0"/>
                <w:color w:val="auto"/>
                <w:sz w:val="21"/>
                <w:szCs w:val="21"/>
                <w:highlight w:val="none"/>
                <w:u w:val="none"/>
                <w:lang w:val="en-US" w:eastAsia="zh-CN"/>
              </w:rPr>
              <w:t>提供6%的的增值税专用发票，超过最高限价的作废。如果报价人提供其他税率的增值税专用发票，招标人按6%的的增值税税率调整报价后参</w:t>
            </w:r>
            <w:r>
              <w:rPr>
                <w:rFonts w:hint="eastAsia" w:cs="仿宋" w:asciiTheme="minorEastAsia" w:hAnsiTheme="minorEastAsia" w:eastAsiaTheme="minorEastAsia"/>
                <w:color w:val="auto"/>
                <w:szCs w:val="21"/>
                <w:highlight w:val="none"/>
              </w:rPr>
              <w:t>按照评审价格由低到高的顺序推荐成交候选供应商。</w:t>
            </w:r>
          </w:p>
        </w:tc>
      </w:tr>
    </w:tbl>
    <w:p>
      <w:pPr>
        <w:spacing w:line="288" w:lineRule="auto"/>
        <w:jc w:val="both"/>
        <w:rPr>
          <w:rFonts w:ascii="宋体" w:hAnsi="宋体" w:cs="仿宋"/>
          <w:color w:val="auto"/>
          <w:sz w:val="24"/>
          <w:highlight w:val="none"/>
        </w:rPr>
      </w:pPr>
      <w:r>
        <w:rPr>
          <w:rFonts w:hint="eastAsia" w:ascii="宋体" w:hAnsi="宋体" w:cs="仿宋"/>
          <w:color w:val="auto"/>
          <w:sz w:val="24"/>
          <w:highlight w:val="none"/>
        </w:rPr>
        <w:br w:type="page"/>
      </w:r>
    </w:p>
    <w:p>
      <w:pPr>
        <w:adjustRightInd w:val="0"/>
        <w:snapToGrid w:val="0"/>
        <w:spacing w:line="312" w:lineRule="auto"/>
        <w:jc w:val="center"/>
        <w:rPr>
          <w:rFonts w:ascii="宋体" w:hAnsi="宋体" w:cs="仿宋"/>
          <w:b/>
          <w:bCs/>
          <w:color w:val="auto"/>
          <w:sz w:val="36"/>
          <w:szCs w:val="36"/>
          <w:highlight w:val="none"/>
        </w:rPr>
      </w:pPr>
      <w:r>
        <w:rPr>
          <w:rFonts w:hint="eastAsia" w:ascii="宋体" w:hAnsi="宋体" w:cs="仿宋"/>
          <w:b/>
          <w:bCs/>
          <w:color w:val="auto"/>
          <w:sz w:val="36"/>
          <w:szCs w:val="36"/>
          <w:highlight w:val="none"/>
        </w:rPr>
        <w:t>评审办法正文</w:t>
      </w:r>
    </w:p>
    <w:p>
      <w:pPr>
        <w:adjustRightInd w:val="0"/>
        <w:snapToGrid w:val="0"/>
        <w:spacing w:line="312" w:lineRule="auto"/>
        <w:jc w:val="both"/>
        <w:rPr>
          <w:rFonts w:ascii="宋体" w:hAnsi="宋体" w:cs="仿宋"/>
          <w:b/>
          <w:bCs/>
          <w:color w:val="auto"/>
          <w:sz w:val="36"/>
          <w:szCs w:val="36"/>
          <w:highlight w:val="none"/>
        </w:rPr>
      </w:pP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1评审方法(最低价法)</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2初步评审标准和程序</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2.1初步评审标准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2.1.1形式评审标准:见评审办法前附表。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2.1.2资格评审标准:见评审办法前附表。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2.1.3响应性评审标准:见评审办法前附表。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2.2初步评审程序</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utoSpaceDE w:val="0"/>
        <w:spacing w:line="400" w:lineRule="exact"/>
        <w:jc w:val="both"/>
        <w:rPr>
          <w:rFonts w:hint="eastAsia" w:ascii="宋体" w:hAnsi="宋体"/>
          <w:b w:val="0"/>
          <w:bCs w:val="0"/>
          <w:color w:val="auto"/>
          <w:sz w:val="24"/>
          <w:highlight w:val="none"/>
          <w:lang w:eastAsia="zh-CN"/>
        </w:rPr>
      </w:pPr>
      <w:r>
        <w:rPr>
          <w:rFonts w:hint="eastAsia" w:ascii="宋体" w:hAnsi="宋体" w:cs="仿宋"/>
          <w:color w:val="auto"/>
          <w:sz w:val="24"/>
          <w:highlight w:val="none"/>
        </w:rPr>
        <w:t>2.2.2除评审办法前附表另有规定外，评审价格为供应商在响应函中填报的大写含税价格。</w:t>
      </w:r>
      <w:r>
        <w:rPr>
          <w:rFonts w:hint="eastAsia" w:ascii="宋体" w:hAnsi="宋体"/>
          <w:b w:val="0"/>
          <w:bCs w:val="0"/>
          <w:color w:val="auto"/>
          <w:sz w:val="24"/>
          <w:highlight w:val="none"/>
          <w:u w:val="none"/>
          <w:lang w:val="en-US" w:eastAsia="zh-CN"/>
        </w:rPr>
        <w:t>如果报价人提供其他税率的增值税专用发票，招标人按6%的的增值税税率调整报价后参与排序。</w:t>
      </w:r>
    </w:p>
    <w:p>
      <w:pPr>
        <w:adjustRightInd w:val="0"/>
        <w:snapToGrid w:val="0"/>
        <w:spacing w:line="312" w:lineRule="auto"/>
        <w:ind w:firstLine="453" w:firstLineChars="189"/>
        <w:jc w:val="both"/>
        <w:rPr>
          <w:rFonts w:ascii="宋体" w:hAnsi="宋体" w:cs="仿宋"/>
          <w:color w:val="auto"/>
          <w:sz w:val="24"/>
          <w:highlight w:val="none"/>
        </w:rPr>
      </w:pP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2.2.4供应商有串通，弄虚作假、行贿等违法行为的，其响应文件将被视为无效。</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3详细评审标准和程序(最低价法)</w:t>
      </w:r>
    </w:p>
    <w:p>
      <w:pPr>
        <w:adjustRightInd w:val="0"/>
        <w:snapToGrid w:val="0"/>
        <w:spacing w:line="312" w:lineRule="auto"/>
        <w:ind w:firstLine="931" w:firstLineChars="388"/>
        <w:jc w:val="both"/>
        <w:rPr>
          <w:rFonts w:hint="eastAsia" w:ascii="宋体" w:hAnsi="宋体" w:eastAsia="宋体" w:cs="仿宋"/>
          <w:color w:val="auto"/>
          <w:sz w:val="24"/>
          <w:highlight w:val="none"/>
        </w:rPr>
      </w:pPr>
      <w:r>
        <w:rPr>
          <w:rFonts w:hint="eastAsia" w:ascii="宋体" w:hAnsi="宋体" w:cs="仿宋"/>
          <w:color w:val="auto"/>
          <w:sz w:val="24"/>
          <w:highlight w:val="none"/>
        </w:rPr>
        <w:t>评审小组对评审价格进行比较后，按照评审价格由低到高的顺序对供应商排序。供应商评审价格相等时，</w:t>
      </w:r>
      <w:r>
        <w:rPr>
          <w:rFonts w:hint="eastAsia" w:ascii="宋体" w:hAnsi="宋体" w:eastAsia="宋体" w:cs="仿宋"/>
          <w:color w:val="auto"/>
          <w:sz w:val="24"/>
          <w:highlight w:val="none"/>
        </w:rPr>
        <w:t>则以投标报价低的投标人优先，若评审价相同且报价也相同时，以技术优的投标人优先。若评审价相同、报价相同且技术也相同时则按抽签决定排名顺序。</w:t>
      </w:r>
    </w:p>
    <w:p>
      <w:pPr>
        <w:adjustRightInd w:val="0"/>
        <w:snapToGrid w:val="0"/>
        <w:spacing w:line="312" w:lineRule="auto"/>
        <w:ind w:firstLine="482" w:firstLineChars="200"/>
        <w:jc w:val="both"/>
        <w:rPr>
          <w:rFonts w:ascii="宋体" w:hAnsi="宋体" w:cs="仿宋"/>
          <w:b/>
          <w:bCs/>
          <w:color w:val="auto"/>
          <w:sz w:val="24"/>
          <w:highlight w:val="none"/>
        </w:rPr>
      </w:pPr>
      <w:r>
        <w:rPr>
          <w:rFonts w:hint="eastAsia" w:ascii="宋体" w:hAnsi="宋体" w:cs="仿宋"/>
          <w:b/>
          <w:bCs/>
          <w:color w:val="auto"/>
          <w:sz w:val="24"/>
          <w:highlight w:val="none"/>
        </w:rPr>
        <w:t>4评审结果</w:t>
      </w:r>
    </w:p>
    <w:p>
      <w:pPr>
        <w:adjustRightInd w:val="0"/>
        <w:snapToGrid w:val="0"/>
        <w:spacing w:line="312" w:lineRule="auto"/>
        <w:ind w:firstLine="482" w:firstLineChars="200"/>
        <w:jc w:val="both"/>
        <w:rPr>
          <w:rFonts w:ascii="宋体" w:hAnsi="宋体" w:cs="仿宋"/>
          <w:b/>
          <w:bCs/>
          <w:color w:val="auto"/>
          <w:sz w:val="24"/>
          <w:highlight w:val="none"/>
        </w:rPr>
      </w:pPr>
      <w:r>
        <w:rPr>
          <w:rFonts w:hint="eastAsia" w:ascii="宋体" w:hAnsi="宋体" w:cs="仿宋"/>
          <w:b/>
          <w:bCs/>
          <w:color w:val="auto"/>
          <w:sz w:val="24"/>
          <w:highlight w:val="none"/>
        </w:rPr>
        <w:t>4.1提交书面评审报告</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评审小组完成评审后，应当向采购人提交书面评审报告。</w:t>
      </w:r>
    </w:p>
    <w:p>
      <w:pPr>
        <w:adjustRightInd w:val="0"/>
        <w:snapToGrid w:val="0"/>
        <w:spacing w:line="312" w:lineRule="auto"/>
        <w:ind w:firstLine="482" w:firstLineChars="200"/>
        <w:jc w:val="both"/>
        <w:rPr>
          <w:rFonts w:ascii="宋体" w:hAnsi="宋体" w:cs="仿宋"/>
          <w:b/>
          <w:bCs/>
          <w:color w:val="auto"/>
          <w:sz w:val="24"/>
          <w:highlight w:val="none"/>
        </w:rPr>
      </w:pPr>
      <w:r>
        <w:rPr>
          <w:rFonts w:hint="eastAsia" w:ascii="宋体" w:hAnsi="宋体" w:cs="仿宋"/>
          <w:b/>
          <w:bCs/>
          <w:color w:val="auto"/>
          <w:sz w:val="24"/>
          <w:highlight w:val="none"/>
        </w:rPr>
        <w:t>4.2推荐成交候选供应商排序要求及数量</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widowControl w:val="0"/>
        <w:snapToGrid w:val="0"/>
        <w:spacing w:line="490" w:lineRule="exact"/>
        <w:jc w:val="center"/>
        <w:outlineLvl w:val="9"/>
        <w:rPr>
          <w:rFonts w:ascii="黑体" w:hAnsi="黑体" w:eastAsia="黑体" w:cs="宋体"/>
          <w:color w:val="auto"/>
          <w:kern w:val="44"/>
          <w:sz w:val="32"/>
          <w:szCs w:val="32"/>
          <w:highlight w:val="none"/>
        </w:rPr>
      </w:pPr>
    </w:p>
    <w:p>
      <w:pPr>
        <w:pStyle w:val="73"/>
        <w:spacing w:line="600" w:lineRule="exact"/>
        <w:ind w:left="0" w:leftChars="0" w:firstLine="0" w:firstLineChars="0"/>
        <w:jc w:val="center"/>
        <w:outlineLvl w:val="0"/>
        <w:rPr>
          <w:rFonts w:hint="eastAsia" w:ascii="黑体" w:hAnsi="黑体" w:eastAsia="黑体" w:cs="仿宋"/>
          <w:bCs/>
          <w:color w:val="auto"/>
          <w:kern w:val="2"/>
          <w:sz w:val="36"/>
          <w:szCs w:val="36"/>
          <w:highlight w:val="none"/>
          <w:lang w:val="en-US" w:eastAsia="zh-CN" w:bidi="ar-SA"/>
        </w:rPr>
      </w:pPr>
      <w:bookmarkStart w:id="19" w:name="_Toc17579"/>
      <w:bookmarkStart w:id="20" w:name="_Toc20262_WPSOffice_Level1"/>
      <w:bookmarkStart w:id="21" w:name="_Toc11453_WPSOffice_Level1"/>
      <w:bookmarkStart w:id="22" w:name="_Toc3707_WPSOffice_Level1"/>
      <w:r>
        <w:rPr>
          <w:rFonts w:hint="eastAsia" w:ascii="黑体" w:hAnsi="黑体" w:eastAsia="黑体" w:cs="仿宋"/>
          <w:b/>
          <w:color w:val="auto"/>
          <w:kern w:val="2"/>
          <w:sz w:val="36"/>
          <w:szCs w:val="36"/>
          <w:highlight w:val="none"/>
          <w:lang w:val="en-US" w:eastAsia="zh-CN" w:bidi="ar-SA"/>
        </w:rPr>
        <w:t>第四章  合同条款及格式</w:t>
      </w:r>
      <w:bookmarkEnd w:id="19"/>
      <w:bookmarkEnd w:id="20"/>
      <w:bookmarkEnd w:id="21"/>
      <w:bookmarkEnd w:id="22"/>
    </w:p>
    <w:p>
      <w:pPr>
        <w:jc w:val="center"/>
        <w:rPr>
          <w:color w:val="auto"/>
          <w:highlight w:val="none"/>
          <w:lang w:val="zh-CN"/>
        </w:rPr>
      </w:pPr>
    </w:p>
    <w:p>
      <w:pPr>
        <w:jc w:val="center"/>
        <w:rPr>
          <w:rFonts w:hint="eastAsia"/>
          <w:b/>
          <w:bCs/>
          <w:sz w:val="32"/>
          <w:szCs w:val="40"/>
          <w:highlight w:val="none"/>
          <w:lang w:val="en-US" w:eastAsia="zh-CN"/>
        </w:rPr>
      </w:pPr>
      <w:bookmarkStart w:id="23" w:name="_Toc21529"/>
      <w:r>
        <w:rPr>
          <w:rFonts w:hint="eastAsia"/>
          <w:b/>
          <w:bCs/>
          <w:sz w:val="32"/>
          <w:szCs w:val="40"/>
          <w:highlight w:val="none"/>
          <w:lang w:val="en-US" w:eastAsia="zh-CN"/>
        </w:rPr>
        <w:t>城港公司2021年度职工体检项目合同</w:t>
      </w:r>
    </w:p>
    <w:p>
      <w:pPr>
        <w:pStyle w:val="2"/>
        <w:numPr>
          <w:ilvl w:val="0"/>
          <w:numId w:val="0"/>
        </w:numPr>
        <w:ind w:leftChars="0"/>
        <w:rPr>
          <w:rFonts w:hint="eastAsia"/>
          <w:highlight w:val="none"/>
          <w:lang w:val="en-US" w:eastAsia="zh-CN"/>
        </w:rPr>
      </w:pP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第一条 项目概况</w:t>
      </w:r>
    </w:p>
    <w:p>
      <w:pPr>
        <w:widowControl w:val="0"/>
        <w:spacing w:line="360" w:lineRule="auto"/>
        <w:ind w:firstLine="316" w:firstLineChars="13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2021年度体检城港参与体检员工为457人，其中男员工为351人，女员工为106人。</w:t>
      </w:r>
      <w:r>
        <w:rPr>
          <w:rFonts w:hint="eastAsia" w:ascii="宋体" w:hAnsi="宋体" w:cs="宋体"/>
          <w:color w:val="000000"/>
          <w:sz w:val="24"/>
          <w:szCs w:val="24"/>
          <w:highlight w:val="none"/>
          <w:lang w:eastAsia="zh-CN"/>
        </w:rPr>
        <w:t>职工体检项目</w:t>
      </w:r>
      <w:r>
        <w:rPr>
          <w:rFonts w:hint="eastAsia" w:ascii="宋体" w:hAnsi="宋体" w:eastAsia="宋体" w:cs="宋体"/>
          <w:color w:val="000000"/>
          <w:sz w:val="24"/>
          <w:szCs w:val="24"/>
          <w:highlight w:val="none"/>
          <w:lang w:eastAsia="zh-CN"/>
        </w:rPr>
        <w:t xml:space="preserve">（包含早餐）：详见招标文件。     </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第二条 服务工期</w:t>
      </w:r>
    </w:p>
    <w:p>
      <w:pPr>
        <w:pStyle w:val="188"/>
        <w:widowControl w:val="0"/>
        <w:spacing w:line="360" w:lineRule="auto"/>
        <w:rPr>
          <w:rFonts w:hint="eastAsia" w:ascii="宋体" w:hAnsi="宋体" w:eastAsia="宋体" w:cs="宋体"/>
          <w:sz w:val="24"/>
          <w:szCs w:val="24"/>
          <w:highlight w:val="none"/>
          <w:shd w:val="clear" w:color="auto" w:fill="FFFF00"/>
        </w:rPr>
      </w:pPr>
      <w:r>
        <w:rPr>
          <w:rFonts w:hint="eastAsia" w:ascii="宋体" w:hAnsi="宋体" w:eastAsia="宋体" w:cs="宋体"/>
          <w:sz w:val="24"/>
          <w:szCs w:val="24"/>
          <w:highlight w:val="none"/>
        </w:rPr>
        <w:t>计划服务工期为2021年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日-202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月30日之</w:t>
      </w:r>
      <w:r>
        <w:rPr>
          <w:rFonts w:hint="eastAsia" w:ascii="宋体" w:hAnsi="宋体" w:eastAsia="宋体" w:cs="宋体"/>
          <w:sz w:val="24"/>
          <w:szCs w:val="24"/>
          <w:highlight w:val="none"/>
          <w:shd w:val="clear" w:color="auto" w:fill="D7D7D7"/>
        </w:rPr>
        <w:t>间。</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第三条 合同价格</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项目内容为:岳阳城陵矶港务有限责任公司2021年度</w:t>
      </w:r>
      <w:r>
        <w:rPr>
          <w:rFonts w:hint="eastAsia" w:ascii="宋体" w:hAnsi="宋体" w:eastAsia="宋体" w:cs="宋体"/>
          <w:sz w:val="24"/>
          <w:szCs w:val="24"/>
          <w:highlight w:val="none"/>
          <w:lang w:val="en-US" w:eastAsia="zh-CN"/>
        </w:rPr>
        <w:t>员工健康</w:t>
      </w:r>
      <w:r>
        <w:rPr>
          <w:rFonts w:hint="eastAsia" w:ascii="宋体" w:hAnsi="宋体" w:eastAsia="宋体" w:cs="宋体"/>
          <w:sz w:val="24"/>
          <w:szCs w:val="24"/>
          <w:highlight w:val="none"/>
          <w:lang w:eastAsia="zh-CN"/>
        </w:rPr>
        <w:t>体检</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体检地点：乙方</w:t>
      </w:r>
      <w:r>
        <w:rPr>
          <w:rFonts w:hint="eastAsia" w:ascii="宋体" w:hAnsi="宋体" w:cs="宋体"/>
          <w:sz w:val="24"/>
          <w:szCs w:val="24"/>
          <w:highlight w:val="none"/>
          <w:lang w:val="en-US" w:eastAsia="zh-CN"/>
        </w:rPr>
        <w:t>医院</w:t>
      </w:r>
      <w:r>
        <w:rPr>
          <w:rFonts w:hint="eastAsia" w:ascii="宋体" w:hAnsi="宋体" w:eastAsia="宋体" w:cs="宋体"/>
          <w:sz w:val="24"/>
          <w:szCs w:val="24"/>
          <w:highlight w:val="none"/>
          <w:lang w:eastAsia="zh-CN"/>
        </w:rPr>
        <w:t>专业体检中心</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本项目结算：职工健康体检实际参检人数*单价</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第四条 验收及付款方式</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（一）职工健康体检须按照</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要求的时间进行。</w:t>
      </w:r>
    </w:p>
    <w:p>
      <w:pPr>
        <w:spacing w:line="36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（二）体检结果完成后的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个工作日之内，一次性付清。</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验收确认</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，提供附和要求的发票后付款。</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第五条 服务目标</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1体检医院设采购人体检专场，体检计划在</w:t>
      </w:r>
      <w:r>
        <w:rPr>
          <w:rFonts w:hint="eastAsia" w:ascii="宋体" w:hAnsi="宋体" w:eastAsia="宋体" w:cs="宋体"/>
          <w:sz w:val="24"/>
          <w:szCs w:val="24"/>
          <w:highlight w:val="none"/>
          <w:lang w:val="en-US" w:eastAsia="zh-CN"/>
        </w:rPr>
        <w:t>30日</w:t>
      </w:r>
      <w:r>
        <w:rPr>
          <w:rFonts w:hint="eastAsia" w:ascii="宋体" w:hAnsi="宋体" w:eastAsia="宋体" w:cs="宋体"/>
          <w:sz w:val="24"/>
          <w:szCs w:val="24"/>
          <w:highlight w:val="none"/>
          <w:lang w:eastAsia="zh-CN"/>
        </w:rPr>
        <w:t>内完成。</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在体检区域内须有清晰准确的体检引导牌和体检导诊员，导诊员负责体检现场指导工作，并对体检过程中发生的事故进行及时有效地处理，以保证体检工作按时有序地完成。同时应做好体检资料的制作，管理，发放（包括体检表，体检须知），如采购人不慎遗失体检表或因工作调动等原因漏报体检人数，中标人应及时补发。</w:t>
      </w:r>
    </w:p>
    <w:p>
      <w:pPr>
        <w:spacing w:line="360" w:lineRule="auto"/>
        <w:rPr>
          <w:rFonts w:hint="eastAsia" w:ascii="宋体" w:hAnsi="宋体" w:eastAsia="宋体" w:cs="宋体"/>
          <w:sz w:val="24"/>
          <w:szCs w:val="24"/>
          <w:highlight w:val="none"/>
          <w:lang w:eastAsia="zh-CN"/>
        </w:rPr>
      </w:pPr>
      <w:commentRangeStart w:id="0"/>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中标人在体检其间须派据一名具有中级以上职称的内科医生作为现场咨询专家，要求专家耐心细致，能认真回答体检员工的相关疑问。</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中标人应对体检结果负责，体检医院要中级以上医生填写每人的健康体检报告，体检报告应提供纸质版和电子版。</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体检过程中如遇发现疑似恶性肿瘤，传染病等特殊情况，中标服务商应立即通知采购人，对可疑病例要复查的，复查名单及内容通知其个人及采购单位联系人。</w:t>
      </w:r>
      <w:commentRangeEnd w:id="0"/>
      <w:r>
        <w:rPr>
          <w:highlight w:val="none"/>
        </w:rPr>
        <w:commentReference w:id="0"/>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中标服务商承诺未按服务项目完成或完成不彻底，须按要求重新安排体检，且采购人有权扣减合同付款金额直致终止合同，由此造成的一切后果由中标服务商承担。中标服务商在服务其间由于自身责任造成采购人的一切损失由中标服务商负责赔偿。</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条 双方权利与义务</w:t>
      </w:r>
    </w:p>
    <w:p>
      <w:pPr>
        <w:spacing w:line="36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（一）</w:t>
      </w:r>
      <w:r>
        <w:rPr>
          <w:rFonts w:hint="eastAsia" w:ascii="宋体" w:hAnsi="宋体" w:eastAsia="宋体" w:cs="宋体"/>
          <w:bCs/>
          <w:sz w:val="24"/>
          <w:szCs w:val="24"/>
          <w:highlight w:val="none"/>
          <w:lang w:eastAsia="zh-CN"/>
        </w:rPr>
        <w:t>甲方的权利与义务</w:t>
      </w:r>
    </w:p>
    <w:p>
      <w:pPr>
        <w:spacing w:line="360" w:lineRule="auto"/>
        <w:ind w:left="239" w:leftChars="114" w:firstLine="398" w:firstLineChars="166"/>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sz w:val="24"/>
          <w:szCs w:val="24"/>
          <w:highlight w:val="none"/>
          <w:lang w:eastAsia="zh-CN"/>
        </w:rPr>
        <w:t xml:space="preserve"> 在乙方按照合同要求的时间完成该项体检工作后，并通过验收后，甲方应在个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 xml:space="preserve">工作日之内，足额支付职工健康体检款项。 </w:t>
      </w:r>
    </w:p>
    <w:p>
      <w:pPr>
        <w:spacing w:line="360" w:lineRule="auto"/>
        <w:ind w:left="2" w:leftChars="1" w:firstLine="56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2.甲方组织体检人员，同时配合乙方开转工作。</w:t>
      </w:r>
    </w:p>
    <w:p>
      <w:pPr>
        <w:spacing w:line="36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（二）</w:t>
      </w:r>
      <w:r>
        <w:rPr>
          <w:rFonts w:hint="eastAsia" w:ascii="宋体" w:hAnsi="宋体" w:eastAsia="宋体" w:cs="宋体"/>
          <w:bCs/>
          <w:sz w:val="24"/>
          <w:szCs w:val="24"/>
          <w:highlight w:val="none"/>
          <w:lang w:eastAsia="zh-CN"/>
        </w:rPr>
        <w:t>乙方的权利与义务</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1.工作期间严格遵守甲方的各项制度和规定，主动沟通协调，不得影响甲方生产工作。</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2.乙方在工作中发生的人员事故其责任均由乙方承担，甲方概不负责。</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乙方掌握各个</w:t>
      </w:r>
      <w:r>
        <w:rPr>
          <w:rFonts w:hint="eastAsia" w:ascii="宋体" w:hAnsi="宋体" w:cs="宋体"/>
          <w:sz w:val="24"/>
          <w:szCs w:val="24"/>
          <w:highlight w:val="none"/>
          <w:lang w:eastAsia="zh-CN"/>
        </w:rPr>
        <w:t>职工体检项目</w:t>
      </w:r>
      <w:r>
        <w:rPr>
          <w:rFonts w:hint="eastAsia" w:ascii="宋体" w:hAnsi="宋体" w:eastAsia="宋体" w:cs="宋体"/>
          <w:sz w:val="24"/>
          <w:szCs w:val="24"/>
          <w:highlight w:val="none"/>
          <w:lang w:eastAsia="zh-CN"/>
        </w:rPr>
        <w:t>的适应症，禁忌症，由此造成的人身伤害及医疗纠纷由乙方负责，甲方概不负责。</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w:t>
      </w: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lang w:eastAsia="zh-CN"/>
        </w:rPr>
        <w:t>条 考核条款</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乙方承担的工作应保质保量完成，出现无法完成的工作，甲方有权另请他人解决，因此产生的费用，由乙方全额支付。</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甲方按合同规定的期限按时支付费用，逾期按应付款的百分之</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向乙方支付违约金。</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w:t>
      </w: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eastAsia="zh-CN"/>
        </w:rPr>
        <w:t>条 合同组成附件</w:t>
      </w:r>
    </w:p>
    <w:p>
      <w:pPr>
        <w:spacing w:line="360" w:lineRule="auto"/>
        <w:ind w:left="2" w:leftChars="1" w:firstLine="560"/>
        <w:rPr>
          <w:rFonts w:hint="default" w:ascii="宋体" w:hAnsi="宋体" w:eastAsia="宋体" w:cs="宋体"/>
          <w:sz w:val="24"/>
          <w:szCs w:val="24"/>
          <w:highlight w:val="none"/>
          <w:lang w:val="en-US" w:eastAsia="zh-CN"/>
        </w:rPr>
      </w:pPr>
      <w:bookmarkStart w:id="24" w:name="_Hlk13514508"/>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体检套餐</w:t>
      </w:r>
    </w:p>
    <w:p>
      <w:pPr>
        <w:spacing w:line="360" w:lineRule="auto"/>
        <w:ind w:firstLine="56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体检员工名单</w:t>
      </w:r>
    </w:p>
    <w:p>
      <w:pPr>
        <w:spacing w:line="360" w:lineRule="auto"/>
        <w:ind w:left="2" w:leftChars="1" w:firstLine="560"/>
        <w:rPr>
          <w:rFonts w:hint="eastAsia" w:ascii="宋体" w:hAnsi="宋体" w:eastAsia="宋体" w:cs="宋体"/>
          <w:sz w:val="24"/>
          <w:szCs w:val="24"/>
          <w:highlight w:val="none"/>
          <w:shd w:val="clear" w:color="auto" w:fill="FFFF00"/>
          <w:lang w:eastAsia="zh-CN"/>
        </w:rPr>
      </w:pPr>
    </w:p>
    <w:p>
      <w:pPr>
        <w:spacing w:line="360" w:lineRule="auto"/>
        <w:ind w:left="2" w:leftChars="1" w:firstLine="560"/>
        <w:rPr>
          <w:rFonts w:hint="eastAsia" w:ascii="宋体" w:hAnsi="宋体" w:eastAsia="宋体" w:cs="宋体"/>
          <w:color w:val="000000"/>
          <w:sz w:val="24"/>
          <w:szCs w:val="24"/>
          <w:highlight w:val="none"/>
          <w:lang w:eastAsia="zh-CN"/>
        </w:rPr>
        <w:sectPr>
          <w:footerReference r:id="rId8" w:type="default"/>
          <w:pgSz w:w="11907" w:h="16839"/>
          <w:pgMar w:top="1797" w:right="1440" w:bottom="1797" w:left="1440" w:header="1021" w:footer="851" w:gutter="0"/>
          <w:cols w:space="720" w:num="1"/>
          <w:docGrid w:linePitch="326" w:charSpace="0"/>
        </w:sectPr>
      </w:pPr>
      <w:r>
        <w:rPr>
          <w:rFonts w:hint="eastAsia" w:ascii="宋体" w:hAnsi="宋体" w:eastAsia="宋体" w:cs="宋体"/>
          <w:sz w:val="24"/>
          <w:szCs w:val="24"/>
          <w:highlight w:val="none"/>
          <w:lang w:eastAsia="zh-CN"/>
        </w:rPr>
        <w:t>以上为合同主要条款，合同签订时，双方以此为基础协商完善其他条款。</w:t>
      </w:r>
      <w:bookmarkEnd w:id="24"/>
    </w:p>
    <w:p>
      <w:pPr>
        <w:spacing w:line="312" w:lineRule="auto"/>
        <w:jc w:val="center"/>
        <w:outlineLvl w:val="0"/>
        <w:rPr>
          <w:rFonts w:hint="eastAsia" w:ascii="黑体" w:hAnsi="黑体" w:eastAsia="黑体" w:cs="仿宋"/>
          <w:b/>
          <w:color w:val="auto"/>
          <w:sz w:val="36"/>
          <w:szCs w:val="36"/>
          <w:highlight w:val="none"/>
          <w:lang w:val="en-US" w:eastAsia="zh-CN"/>
        </w:rPr>
      </w:pPr>
      <w:bookmarkStart w:id="25" w:name="_Toc2490_WPSOffice_Level1"/>
      <w:bookmarkStart w:id="26" w:name="_Toc18293_WPSOffice_Level1"/>
      <w:bookmarkStart w:id="27" w:name="_Toc21448_WPSOffice_Level1"/>
      <w:r>
        <w:rPr>
          <w:rFonts w:hint="eastAsia" w:ascii="黑体" w:hAnsi="黑体" w:eastAsia="黑体" w:cs="仿宋"/>
          <w:b/>
          <w:color w:val="auto"/>
          <w:sz w:val="36"/>
          <w:szCs w:val="36"/>
          <w:highlight w:val="none"/>
          <w:lang w:val="en-US" w:eastAsia="zh-CN"/>
        </w:rPr>
        <w:t>第五章  采购需求</w:t>
      </w:r>
      <w:bookmarkEnd w:id="23"/>
      <w:bookmarkEnd w:id="25"/>
      <w:bookmarkEnd w:id="26"/>
      <w:bookmarkEnd w:id="27"/>
    </w:p>
    <w:p>
      <w:pPr>
        <w:autoSpaceDE w:val="0"/>
        <w:spacing w:line="400" w:lineRule="exact"/>
        <w:jc w:val="left"/>
        <w:rPr>
          <w:rFonts w:hint="eastAsia" w:ascii="宋体" w:hAnsi="宋体"/>
          <w:color w:val="auto"/>
          <w:sz w:val="24"/>
          <w:highlight w:val="none"/>
          <w:lang w:eastAsia="zh-CN"/>
        </w:rPr>
      </w:pPr>
    </w:p>
    <w:p>
      <w:pPr>
        <w:autoSpaceDE w:val="0"/>
        <w:spacing w:line="400" w:lineRule="exact"/>
        <w:jc w:val="left"/>
        <w:rPr>
          <w:rFonts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采购范围:</w:t>
      </w:r>
      <w:r>
        <w:rPr>
          <w:rFonts w:hint="eastAsia" w:ascii="宋体" w:hAnsi="宋体"/>
          <w:color w:val="auto"/>
          <w:sz w:val="24"/>
          <w:highlight w:val="none"/>
          <w:u w:val="single"/>
          <w:lang w:val="en-US" w:eastAsia="zh-CN"/>
        </w:rPr>
        <w:t>2021年度体检城港参与体检员工457人</w:t>
      </w:r>
    </w:p>
    <w:p>
      <w:pPr>
        <w:autoSpaceDE w:val="0"/>
        <w:spacing w:line="400" w:lineRule="exact"/>
        <w:jc w:val="left"/>
        <w:rPr>
          <w:rFonts w:hint="default" w:ascii="宋体" w:hAnsi="宋体"/>
          <w:color w:val="auto"/>
          <w:sz w:val="24"/>
          <w:highlight w:val="none"/>
          <w:lang w:val="en-US"/>
        </w:rPr>
      </w:pPr>
      <w:r>
        <w:rPr>
          <w:rFonts w:hint="eastAsia" w:ascii="宋体" w:hAnsi="宋体"/>
          <w:color w:val="auto"/>
          <w:sz w:val="24"/>
          <w:highlight w:val="none"/>
          <w:lang w:eastAsia="zh-CN"/>
        </w:rPr>
        <w:t>（二）</w:t>
      </w:r>
      <w:r>
        <w:rPr>
          <w:rFonts w:hint="eastAsia" w:ascii="宋体" w:hAnsi="宋体"/>
          <w:color w:val="auto"/>
          <w:sz w:val="24"/>
          <w:highlight w:val="none"/>
        </w:rPr>
        <w:t>服务期限:</w:t>
      </w:r>
      <w:r>
        <w:rPr>
          <w:rFonts w:hint="eastAsia" w:ascii="宋体" w:hAnsi="宋体"/>
          <w:color w:val="auto"/>
          <w:sz w:val="24"/>
          <w:highlight w:val="none"/>
          <w:u w:val="single"/>
          <w:lang w:val="en-US" w:eastAsia="zh-CN"/>
        </w:rPr>
        <w:t>合同签订日-2022年4月30日</w:t>
      </w:r>
    </w:p>
    <w:p>
      <w:pPr>
        <w:autoSpaceDE w:val="0"/>
        <w:spacing w:line="400" w:lineRule="exact"/>
        <w:jc w:val="left"/>
        <w:rPr>
          <w:rFonts w:hint="eastAsia" w:ascii="宋体" w:hAnsi="宋体"/>
          <w:color w:val="auto"/>
          <w:sz w:val="24"/>
          <w:highlight w:val="none"/>
          <w:u w:val="single"/>
        </w:rPr>
      </w:pPr>
      <w:r>
        <w:rPr>
          <w:rFonts w:hint="eastAsia" w:ascii="宋体" w:hAnsi="宋体"/>
          <w:color w:val="auto"/>
          <w:sz w:val="24"/>
          <w:highlight w:val="none"/>
          <w:lang w:eastAsia="zh-CN"/>
        </w:rPr>
        <w:t>（三）</w:t>
      </w:r>
      <w:r>
        <w:rPr>
          <w:rFonts w:hint="eastAsia" w:ascii="宋体" w:hAnsi="宋体"/>
          <w:color w:val="auto"/>
          <w:sz w:val="24"/>
          <w:highlight w:val="none"/>
        </w:rPr>
        <w:t>服务地点:</w:t>
      </w:r>
      <w:r>
        <w:rPr>
          <w:rFonts w:hint="eastAsia" w:ascii="宋体" w:hAnsi="宋体"/>
          <w:color w:val="auto"/>
          <w:sz w:val="24"/>
          <w:highlight w:val="none"/>
          <w:u w:val="single"/>
        </w:rPr>
        <w:t>乙方专业体检中心</w:t>
      </w:r>
    </w:p>
    <w:p>
      <w:pPr>
        <w:spacing w:line="360" w:lineRule="auto"/>
        <w:rPr>
          <w:rFonts w:hint="eastAsia" w:ascii="宋体" w:hAnsi="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四</w:t>
      </w:r>
      <w:r>
        <w:rPr>
          <w:rFonts w:hint="eastAsia" w:ascii="宋体" w:hAnsi="宋体"/>
          <w:color w:val="auto"/>
          <w:sz w:val="24"/>
          <w:highlight w:val="none"/>
          <w:u w:val="none"/>
          <w:lang w:eastAsia="zh-CN"/>
        </w:rPr>
        <w:t>）</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1体检医院设采购人体检专场，体检计划在</w:t>
      </w:r>
      <w:r>
        <w:rPr>
          <w:rFonts w:hint="eastAsia" w:ascii="宋体" w:hAnsi="宋体" w:eastAsia="宋体" w:cs="宋体"/>
          <w:sz w:val="24"/>
          <w:szCs w:val="24"/>
          <w:highlight w:val="none"/>
          <w:lang w:val="en-US" w:eastAsia="zh-CN"/>
        </w:rPr>
        <w:t>30日</w:t>
      </w:r>
      <w:r>
        <w:rPr>
          <w:rFonts w:hint="eastAsia" w:ascii="宋体" w:hAnsi="宋体" w:eastAsia="宋体" w:cs="宋体"/>
          <w:sz w:val="24"/>
          <w:szCs w:val="24"/>
          <w:highlight w:val="none"/>
          <w:lang w:eastAsia="zh-CN"/>
        </w:rPr>
        <w:t>内完成。</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在体检区域内须有清晰准确的体检引导牌和体检导诊员，导诊员负责体检现场指导工作，并对体检过程中发生的事故进行及时有效地处理，以保证体检工作按时有序地完成。同时应做好体检资料的制作，管理，发放（包括体检表，体检须知），如采购人不慎遗失体检表或因工作调动等原因漏报体检人数，中标人应及时补发。</w:t>
      </w:r>
    </w:p>
    <w:p>
      <w:pPr>
        <w:spacing w:line="360" w:lineRule="auto"/>
        <w:rPr>
          <w:rFonts w:hint="eastAsia" w:ascii="宋体" w:hAnsi="宋体" w:eastAsia="宋体" w:cs="宋体"/>
          <w:sz w:val="24"/>
          <w:szCs w:val="24"/>
          <w:highlight w:val="none"/>
          <w:lang w:eastAsia="zh-CN"/>
        </w:rPr>
      </w:pPr>
      <w:commentRangeStart w:id="1"/>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中标人在体检其间须派据一名具有中级以上职称的内科医生作为现场咨询专家，要求专家耐心细致，能认真回答体检员工的相关疑问。</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中标人应对体检结果负责，体检医院要中级以上医生填写每人的健康体检报告，体检报告应提供纸质版和电子版。</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体检过程中如遇发现疑似恶性肿瘤，传染病等特殊情况，中标服务商应立即通知采购人，对可疑病例要复查的，复查名单及内容通知其个人及采购单位联系人。</w:t>
      </w:r>
      <w:commentRangeEnd w:id="1"/>
      <w:r>
        <w:rPr>
          <w:highlight w:val="none"/>
        </w:rPr>
        <w:commentReference w:id="1"/>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中标服务商承诺未按服务项目完成或完成不彻底，须按要求重新安排体检，且采购人有权扣减合同付款金额直致终止合同，由此造成的一切后果由中标服务商承担。中标服务商在服务其间由于自身责任造成采购人的一切损失由中标服务商负责赔偿。</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报价方案</w:t>
      </w:r>
      <w:r>
        <w:rPr>
          <w:rFonts w:hint="eastAsia" w:ascii="宋体" w:hAnsi="宋体"/>
          <w:color w:val="auto"/>
          <w:sz w:val="24"/>
          <w:highlight w:val="none"/>
        </w:rPr>
        <w:t xml:space="preserve">: </w:t>
      </w:r>
    </w:p>
    <w:p>
      <w:pPr>
        <w:rPr>
          <w:color w:val="auto"/>
          <w:highlight w:val="none"/>
          <w:lang w:val="zh-CN"/>
        </w:rPr>
      </w:pPr>
    </w:p>
    <w:tbl>
      <w:tblPr>
        <w:tblStyle w:val="37"/>
        <w:tblpPr w:leftFromText="180" w:rightFromText="180" w:vertAnchor="text" w:horzAnchor="page" w:tblpXSpec="center" w:tblpYSpec="outside"/>
        <w:tblOverlap w:val="never"/>
        <w:tblW w:w="10340" w:type="dxa"/>
        <w:jc w:val="center"/>
        <w:tblLayout w:type="fixed"/>
        <w:tblCellMar>
          <w:top w:w="0" w:type="dxa"/>
          <w:left w:w="0" w:type="dxa"/>
          <w:bottom w:w="0" w:type="dxa"/>
          <w:right w:w="0" w:type="dxa"/>
        </w:tblCellMar>
      </w:tblPr>
      <w:tblGrid>
        <w:gridCol w:w="2151"/>
        <w:gridCol w:w="80"/>
        <w:gridCol w:w="8109"/>
      </w:tblGrid>
      <w:tr>
        <w:tblPrEx>
          <w:tblCellMar>
            <w:top w:w="0" w:type="dxa"/>
            <w:left w:w="0" w:type="dxa"/>
            <w:bottom w:w="0" w:type="dxa"/>
            <w:right w:w="0" w:type="dxa"/>
          </w:tblCellMar>
        </w:tblPrEx>
        <w:trPr>
          <w:trHeight w:val="531" w:hRule="atLeast"/>
          <w:jc w:val="center"/>
        </w:trPr>
        <w:tc>
          <w:tcPr>
            <w:tcW w:w="10340" w:type="dxa"/>
            <w:gridSpan w:val="3"/>
            <w:tcBorders>
              <w:top w:val="nil"/>
              <w:left w:val="nil"/>
              <w:bottom w:val="nil"/>
              <w:right w:val="nil"/>
            </w:tcBorders>
            <w:noWrap w:val="0"/>
            <w:tcMar>
              <w:top w:w="15" w:type="dxa"/>
              <w:left w:w="15" w:type="dxa"/>
              <w:right w:w="15" w:type="dxa"/>
            </w:tcMar>
            <w:vAlign w:val="center"/>
          </w:tcPr>
          <w:p>
            <w:pPr>
              <w:ind w:firstLine="3433" w:firstLineChars="900"/>
              <w:jc w:val="both"/>
              <w:textAlignment w:val="center"/>
              <w:rPr>
                <w:rFonts w:hint="eastAsia" w:ascii="宋体" w:hAnsi="宋体" w:cs="宋体"/>
                <w:b/>
                <w:color w:val="000000"/>
                <w:sz w:val="38"/>
                <w:szCs w:val="38"/>
                <w:highlight w:val="none"/>
                <w:lang w:bidi="ar"/>
              </w:rPr>
            </w:pPr>
          </w:p>
          <w:p>
            <w:pPr>
              <w:ind w:firstLine="3433" w:firstLineChars="900"/>
              <w:jc w:val="both"/>
              <w:textAlignment w:val="center"/>
              <w:rPr>
                <w:rFonts w:hint="eastAsia" w:ascii="宋体" w:hAnsi="宋体" w:eastAsia="宋体" w:cs="宋体"/>
                <w:b/>
                <w:color w:val="000000"/>
                <w:sz w:val="38"/>
                <w:szCs w:val="38"/>
                <w:highlight w:val="none"/>
                <w:lang w:eastAsia="zh-CN"/>
              </w:rPr>
            </w:pPr>
            <w:r>
              <w:rPr>
                <w:rFonts w:hint="eastAsia" w:ascii="宋体" w:hAnsi="宋体" w:cs="宋体"/>
                <w:b/>
                <w:color w:val="000000"/>
                <w:sz w:val="38"/>
                <w:szCs w:val="38"/>
                <w:highlight w:val="none"/>
                <w:lang w:bidi="ar"/>
              </w:rPr>
              <w:t>2021年男性</w:t>
            </w:r>
            <w:r>
              <w:rPr>
                <w:rFonts w:hint="eastAsia" w:ascii="宋体" w:hAnsi="宋体" w:cs="宋体"/>
                <w:b/>
                <w:color w:val="000000"/>
                <w:sz w:val="38"/>
                <w:szCs w:val="38"/>
                <w:highlight w:val="none"/>
                <w:lang w:eastAsia="zh-CN" w:bidi="ar"/>
              </w:rPr>
              <w:t>职工体检项目</w:t>
            </w:r>
          </w:p>
        </w:tc>
      </w:tr>
      <w:tr>
        <w:tblPrEx>
          <w:tblCellMar>
            <w:top w:w="0" w:type="dxa"/>
            <w:left w:w="0" w:type="dxa"/>
            <w:bottom w:w="0" w:type="dxa"/>
            <w:right w:w="0" w:type="dxa"/>
          </w:tblCellMar>
        </w:tblPrEx>
        <w:trPr>
          <w:trHeight w:val="626"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eastAsia="宋体" w:cs="宋体"/>
                <w:b/>
                <w:color w:val="000000"/>
                <w:sz w:val="23"/>
                <w:szCs w:val="23"/>
                <w:highlight w:val="none"/>
                <w:lang w:eastAsia="zh-CN"/>
              </w:rPr>
            </w:pPr>
            <w:r>
              <w:rPr>
                <w:rFonts w:hint="eastAsia" w:ascii="宋体" w:hAnsi="宋体" w:cs="宋体"/>
                <w:b/>
                <w:color w:val="000000"/>
                <w:sz w:val="23"/>
                <w:szCs w:val="23"/>
                <w:highlight w:val="none"/>
                <w:lang w:eastAsia="zh-CN" w:bidi="ar"/>
              </w:rPr>
              <w:t>职工体检项目</w:t>
            </w:r>
          </w:p>
        </w:tc>
        <w:tc>
          <w:tcPr>
            <w:tcW w:w="8109" w:type="dxa"/>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cs="宋体"/>
                <w:b/>
                <w:color w:val="000000"/>
                <w:sz w:val="23"/>
                <w:szCs w:val="23"/>
                <w:highlight w:val="none"/>
              </w:rPr>
            </w:pPr>
            <w:r>
              <w:rPr>
                <w:rStyle w:val="187"/>
                <w:rFonts w:hint="default"/>
                <w:highlight w:val="none"/>
                <w:lang w:bidi="ar"/>
              </w:rPr>
              <w:t>检查内容及意义</w:t>
            </w:r>
          </w:p>
        </w:tc>
      </w:tr>
      <w:tr>
        <w:tblPrEx>
          <w:tblCellMar>
            <w:top w:w="0" w:type="dxa"/>
            <w:left w:w="0" w:type="dxa"/>
            <w:bottom w:w="0" w:type="dxa"/>
            <w:right w:w="0" w:type="dxa"/>
          </w:tblCellMar>
        </w:tblPrEx>
        <w:trPr>
          <w:trHeight w:val="79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86"/>
                <w:rFonts w:hint="default"/>
                <w:highlight w:val="none"/>
                <w:lang w:bidi="ar"/>
              </w:rPr>
              <w:t>身高、体重、血压、腰围、臀围</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用于筛查高血压、超重、肥胖、消瘦、矮小症等，为相关科室检查提供重要依据。</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内科检查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检查心、肺、肝、胆、脾、肾、肠道、神经系统有无异常。</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神经内科</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神经系统的检查项目包括周围神经病、中枢神经系统疾病、运动障碍疾病及脑血管疾病等。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外科检查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判断颈部、腋窝、腹股沟浅表淋巴结病变或肿瘤淋巴转移；检查四肢、关节、外生殖器，早期发现甲状腺病症和肿瘤；</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眼科（含眼底检查、裂隙灯）</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进行视力测验，筛查常见眼部疾病：结膜炎、角膜炎、屈光不正、青光眼、白内障及糖尿病和高血压等视网膜病变。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耳鼻喉科检查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检查耳、鼻、咽喉各部形态、功能是否正常，筛查常见的炎症及肿瘤。</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口腔检查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早期筛查龋齿、牙龈炎、牙周炎等口腔疾病，同时提供口腔保健指导。</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电测听</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客观评价听觉系统的功能状态。</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尿常规+尿沉渣</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检查有无泌尿系统感染性疾病、急慢性肾病及其它与肾脏有关的代谢障碍性疾病，糖尿病的辅助检查。</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血常规</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86"/>
                <w:rFonts w:hint="default"/>
                <w:highlight w:val="none"/>
                <w:lang w:bidi="ar"/>
              </w:rPr>
              <w:t>通过血液分析可发现有无贫血、血小板减少、细菌感染、病毒感染、败血症等血液方面疾病。</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血糖（静脉血）</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筛查糖尿病最基本的方法，除此之外还见于甲亢、肾上腺皮质功能亢进和生理性高血糖。</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肝功能11项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检查肝脏代谢功能、胆红素代谢是否正常，有无肝脏受损。</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肾功能3项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检查肾脏排泄功能是否正常，有无肾脏炎症或器质性受损等。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血脂4项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评估血脂有无异常，辅助评估糖尿病、肥胖、高脂血症、冠心病、高血压病、动脉粥样硬化及肝炎、肝硬化等。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血吸虫3项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检测是否有血吸虫感染。</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乙肝两对半</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乙肝病毒感染的诊断，评价乙肝病毒复制水平，传染性强弱，药物疗效的指标。</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吗啡◆</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甲基安非他命◆（冰毒）</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12导联心电图检查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用于心肌梗死、心律失常、心肌缺血等心脏疾病的检查。</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电解质4项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检测血清钠、钾、钙、氯离子浓度</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肺通气功能检测</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用于对呼吸功能状态和呼吸功能损害作出质和量的评估 、呼吸疾病的诊断和疗效考核提供依据。</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碳14呼气试验</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Fonts w:hint="eastAsia" w:ascii="宋体" w:hAnsi="宋体" w:cs="宋体"/>
                <w:color w:val="000000"/>
                <w:sz w:val="23"/>
                <w:szCs w:val="23"/>
                <w:highlight w:val="none"/>
                <w:lang w:bidi="ar"/>
              </w:rPr>
              <w:t>检测幽门螺杆菌感染的金标准。消化性溃疡、慢性活动性胃炎、胃癌等消化系统疾病病因检测和筛查。</w:t>
            </w:r>
          </w:p>
        </w:tc>
      </w:tr>
      <w:tr>
        <w:tblPrEx>
          <w:tblCellMar>
            <w:top w:w="0" w:type="dxa"/>
            <w:left w:w="0" w:type="dxa"/>
            <w:bottom w:w="0" w:type="dxa"/>
            <w:right w:w="0" w:type="dxa"/>
          </w:tblCellMar>
        </w:tblPrEx>
        <w:trPr>
          <w:trHeight w:val="79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动脉硬化检测</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检测内容包括脉搏波速度(PWV)及踝臂指数(ABI,下肢血压与上肢血压的比值)，动脉壁僵硬度增加是动脉硬化早期危险信号，动脉硬化检测对动脉硬化诊断和预测有辅助参考价值，可早期发现动脉粥样硬化的病变。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胸部正侧位片（不含片）</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胸部各种病变影像诊断常用的检查方法。</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肝胆脾胰彩超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检查肝、胆、脾、胰，筛查病变。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双肾输尿管膀胱彩超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检查双肾、输尿管、膀胱结构，筛查病变。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前列腺彩超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检查前列腺结构，筛查病变。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营养早餐</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color w:val="000000"/>
                <w:highlight w:val="none"/>
              </w:rPr>
            </w:pPr>
          </w:p>
        </w:tc>
      </w:tr>
      <w:tr>
        <w:tblPrEx>
          <w:tblCellMar>
            <w:top w:w="0" w:type="dxa"/>
            <w:left w:w="0" w:type="dxa"/>
            <w:bottom w:w="0" w:type="dxa"/>
            <w:right w:w="0" w:type="dxa"/>
          </w:tblCellMar>
        </w:tblPrEx>
        <w:trPr>
          <w:trHeight w:val="540" w:hRule="atLeast"/>
          <w:jc w:val="center"/>
        </w:trPr>
        <w:tc>
          <w:tcPr>
            <w:tcW w:w="10340" w:type="dxa"/>
            <w:gridSpan w:val="3"/>
            <w:tcBorders>
              <w:top w:val="nil"/>
              <w:left w:val="nil"/>
              <w:bottom w:val="nil"/>
              <w:right w:val="nil"/>
            </w:tcBorders>
            <w:noWrap w:val="0"/>
            <w:tcMar>
              <w:top w:w="15" w:type="dxa"/>
              <w:left w:w="15" w:type="dxa"/>
              <w:right w:w="15" w:type="dxa"/>
            </w:tcMar>
            <w:vAlign w:val="center"/>
          </w:tcPr>
          <w:p>
            <w:pPr>
              <w:jc w:val="center"/>
              <w:textAlignment w:val="center"/>
              <w:rPr>
                <w:rFonts w:hint="eastAsia" w:ascii="宋体" w:hAnsi="宋体" w:eastAsia="宋体" w:cs="宋体"/>
                <w:b/>
                <w:color w:val="000000"/>
                <w:sz w:val="40"/>
                <w:szCs w:val="40"/>
                <w:highlight w:val="none"/>
                <w:lang w:eastAsia="zh-CN"/>
              </w:rPr>
            </w:pPr>
            <w:r>
              <w:rPr>
                <w:rFonts w:hint="eastAsia" w:ascii="宋体" w:hAnsi="宋体" w:cs="宋体"/>
                <w:b/>
                <w:color w:val="000000"/>
                <w:sz w:val="40"/>
                <w:szCs w:val="40"/>
                <w:highlight w:val="none"/>
                <w:lang w:bidi="ar"/>
              </w:rPr>
              <w:t>2021年女性</w:t>
            </w:r>
            <w:r>
              <w:rPr>
                <w:rFonts w:hint="eastAsia" w:ascii="宋体" w:hAnsi="宋体" w:cs="宋体"/>
                <w:b/>
                <w:color w:val="000000"/>
                <w:sz w:val="40"/>
                <w:szCs w:val="40"/>
                <w:highlight w:val="none"/>
                <w:lang w:eastAsia="zh-CN" w:bidi="ar"/>
              </w:rPr>
              <w:t>职工体检项目</w:t>
            </w:r>
          </w:p>
        </w:tc>
      </w:tr>
      <w:tr>
        <w:tblPrEx>
          <w:tblCellMar>
            <w:top w:w="0" w:type="dxa"/>
            <w:left w:w="0" w:type="dxa"/>
            <w:bottom w:w="0" w:type="dxa"/>
            <w:right w:w="0" w:type="dxa"/>
          </w:tblCellMar>
        </w:tblPrEx>
        <w:trPr>
          <w:trHeight w:val="49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eastAsia="宋体" w:cs="宋体"/>
                <w:b/>
                <w:color w:val="000000"/>
                <w:sz w:val="24"/>
                <w:szCs w:val="24"/>
                <w:highlight w:val="none"/>
                <w:lang w:eastAsia="zh-CN"/>
              </w:rPr>
            </w:pPr>
            <w:r>
              <w:rPr>
                <w:rStyle w:val="189"/>
                <w:rFonts w:hint="eastAsia"/>
                <w:highlight w:val="none"/>
                <w:lang w:eastAsia="zh-CN" w:bidi="ar"/>
              </w:rPr>
              <w:t>职工体检项目</w:t>
            </w:r>
          </w:p>
        </w:tc>
        <w:tc>
          <w:tcPr>
            <w:tcW w:w="8189" w:type="dxa"/>
            <w:gridSpan w:val="2"/>
            <w:tcBorders>
              <w:top w:val="single" w:color="000000" w:sz="4" w:space="0"/>
              <w:left w:val="single" w:color="000000" w:sz="4" w:space="0"/>
              <w:bottom w:val="nil"/>
              <w:right w:val="nil"/>
            </w:tcBorders>
            <w:shd w:val="clear" w:color="auto" w:fill="DDEBF7"/>
            <w:noWrap w:val="0"/>
            <w:tcMar>
              <w:top w:w="15" w:type="dxa"/>
              <w:left w:w="15" w:type="dxa"/>
              <w:right w:w="15" w:type="dxa"/>
            </w:tcMar>
            <w:vAlign w:val="center"/>
          </w:tcPr>
          <w:p>
            <w:pPr>
              <w:jc w:val="center"/>
              <w:textAlignment w:val="center"/>
              <w:rPr>
                <w:rFonts w:hint="eastAsia" w:ascii="宋体" w:hAnsi="宋体" w:cs="宋体"/>
                <w:b/>
                <w:color w:val="000000"/>
                <w:sz w:val="24"/>
                <w:szCs w:val="24"/>
                <w:highlight w:val="none"/>
              </w:rPr>
            </w:pPr>
            <w:r>
              <w:rPr>
                <w:rStyle w:val="189"/>
                <w:rFonts w:hint="default"/>
                <w:highlight w:val="none"/>
                <w:lang w:bidi="ar"/>
              </w:rPr>
              <w:t>检查内容及意义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身高、体重、血压</w:t>
            </w:r>
          </w:p>
          <w:p>
            <w:pPr>
              <w:textAlignment w:val="center"/>
              <w:rPr>
                <w:color w:val="000000"/>
                <w:highlight w:val="none"/>
              </w:rPr>
            </w:pPr>
            <w:r>
              <w:rPr>
                <w:rStyle w:val="190"/>
                <w:rFonts w:hint="default"/>
                <w:highlight w:val="none"/>
                <w:lang w:bidi="ar"/>
              </w:rPr>
              <w:t>、腰围、臀围</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用于筛查高血压、超重、肥胖、消瘦、矮小症等，为相关科室检查提供重要依据。</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内科检查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检查心、肺、肝、胆、脾、肾、肠道、神经系统有无异常。</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神经内科</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神经系统的检查项目包括周围神经病、中枢神经系统疾病、运动障碍疾病及脑血管疾病等。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外科检查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判断颈部、腋窝、腹股沟浅表淋巴结病变或肿瘤淋巴转移；检查四肢、关节</w:t>
            </w:r>
          </w:p>
          <w:p>
            <w:pPr>
              <w:pStyle w:val="2"/>
              <w:rPr>
                <w:rFonts w:hint="eastAsia"/>
                <w:highlight w:val="none"/>
                <w:lang w:eastAsia="zh-CN"/>
              </w:rPr>
            </w:pPr>
          </w:p>
          <w:p>
            <w:pPr>
              <w:textAlignment w:val="center"/>
              <w:rPr>
                <w:color w:val="000000"/>
                <w:highlight w:val="none"/>
              </w:rPr>
            </w:pPr>
            <w:r>
              <w:rPr>
                <w:rStyle w:val="190"/>
                <w:rFonts w:hint="default"/>
                <w:highlight w:val="none"/>
                <w:lang w:bidi="ar"/>
              </w:rPr>
              <w:t>、外生殖器，早期发现甲状腺病症和肿瘤；</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眼科（含眼底检查</w:t>
            </w:r>
          </w:p>
          <w:p>
            <w:pPr>
              <w:textAlignment w:val="center"/>
              <w:rPr>
                <w:color w:val="000000"/>
                <w:highlight w:val="none"/>
              </w:rPr>
            </w:pPr>
            <w:r>
              <w:rPr>
                <w:rStyle w:val="190"/>
                <w:rFonts w:hint="default"/>
                <w:highlight w:val="none"/>
                <w:lang w:bidi="ar"/>
              </w:rPr>
              <w:t>、裂隙灯）</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进行视力测验，筛查常见眼部疾病：结膜炎、角膜炎、屈光不正、青光眼、白内障及糖尿病和高血压等视网膜病变。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耳鼻喉科检查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检查耳、鼻、咽喉各部形态、功能是否正常，筛查常见的炎症及肿瘤。</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口腔检查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早期筛查龋齿、牙龈炎、牙周炎等口腔疾病，同时提供口腔保健指导。</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电测听</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客观评价听觉系统的功能状态。</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尿常规+尿沉渣</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检查有无泌尿系统感染性疾病、急慢性肾病及其它与肾脏有关的代谢障碍性疾病，糖尿病的辅助检查。</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血常规</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通过血液分析可发现有无贫血、血小板减少、细菌感染、病毒感染、败血症等血液方面疾病。</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血糖（静脉血）</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筛查糖尿病最基本的方法，除此之外还见于甲亢、肾上腺皮质功能亢进和生理性高血糖。</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肝功能11项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检查肝脏代谢功能、胆红素代谢是否正常，有无肝脏受损。</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肾功能3项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检查肾脏排泄功能是否正常，有无肾脏炎症或器质性受损等。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血脂4项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评估血脂有无异常，辅助评估糖尿病、肥胖、高脂血症、冠心病、高血压病</w:t>
            </w:r>
          </w:p>
          <w:p>
            <w:pPr>
              <w:textAlignment w:val="center"/>
              <w:rPr>
                <w:color w:val="000000"/>
                <w:highlight w:val="none"/>
              </w:rPr>
            </w:pPr>
            <w:r>
              <w:rPr>
                <w:rStyle w:val="190"/>
                <w:rFonts w:hint="default"/>
                <w:highlight w:val="none"/>
                <w:lang w:bidi="ar"/>
              </w:rPr>
              <w:t>、动脉粥样硬化及肝炎、肝硬化等。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血吸虫3项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检测是否有血吸虫感染。</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乙肝两对半</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乙肝病毒感染的诊断，评价乙肝病毒复制水平，传染性强弱，药物疗效的指标。</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吗啡◆</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甲基安非他命◆</w:t>
            </w:r>
          </w:p>
          <w:p>
            <w:pPr>
              <w:textAlignment w:val="center"/>
              <w:rPr>
                <w:color w:val="000000"/>
                <w:highlight w:val="none"/>
              </w:rPr>
            </w:pPr>
            <w:r>
              <w:rPr>
                <w:rStyle w:val="190"/>
                <w:rFonts w:hint="eastAsia"/>
                <w:highlight w:val="none"/>
                <w:lang w:eastAsia="zh-CN" w:bidi="ar"/>
              </w:rPr>
              <w:t>（</w:t>
            </w:r>
            <w:r>
              <w:rPr>
                <w:rStyle w:val="190"/>
                <w:rFonts w:hint="default"/>
                <w:highlight w:val="none"/>
                <w:lang w:bidi="ar"/>
              </w:rPr>
              <w:t>冰毒）</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12导联心电图检查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用于心肌梗死、心律失常、心肌缺血等心脏疾病的检查。</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电解质4项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检测血清钠、钾、钙、氯离子浓度</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Style w:val="190"/>
                <w:rFonts w:hint="eastAsia" w:eastAsia="宋体"/>
                <w:highlight w:val="none"/>
                <w:lang w:eastAsia="zh-CN" w:bidi="ar"/>
              </w:rPr>
            </w:pPr>
            <w:r>
              <w:rPr>
                <w:rStyle w:val="190"/>
                <w:rFonts w:hint="default"/>
                <w:highlight w:val="none"/>
                <w:lang w:bidi="ar"/>
              </w:rPr>
              <w:t>肿瘤2项</w:t>
            </w:r>
          </w:p>
          <w:p>
            <w:pPr>
              <w:textAlignment w:val="center"/>
              <w:rPr>
                <w:color w:val="000000"/>
                <w:highlight w:val="none"/>
              </w:rPr>
            </w:pPr>
            <w:r>
              <w:rPr>
                <w:rStyle w:val="190"/>
                <w:rFonts w:hint="default"/>
                <w:highlight w:val="none"/>
                <w:lang w:bidi="ar"/>
              </w:rPr>
              <w:t>（AFP+CEA）</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是肝癌及肠胃癌普查及诊断的重要指标</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胸部正侧位片（不含片）</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胸部各种病变影像诊断常用的检查方法。</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肝胆脾胰彩超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检查肝、胆、脾、胰，筛查病变。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双肾输尿管膀胱彩超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检查双肾、输尿管、膀胱结构，筛查病变。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子宫附件彩超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检查女性盆腔子宫和附件结构，筛查病变。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双乳腺彩超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常用于对乳腺增生、囊肿、纤维瘤及乳腺癌的鉴别诊断。</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妇科（含材料费）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主要用于阴道炎、宫颈炎以及妇科等疾病的检查。</w:t>
            </w:r>
          </w:p>
        </w:tc>
      </w:tr>
      <w:tr>
        <w:tblPrEx>
          <w:tblCellMar>
            <w:top w:w="0" w:type="dxa"/>
            <w:left w:w="0" w:type="dxa"/>
            <w:bottom w:w="0" w:type="dxa"/>
            <w:right w:w="0" w:type="dxa"/>
          </w:tblCellMar>
        </w:tblPrEx>
        <w:trPr>
          <w:trHeight w:val="79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液基TCT</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是目前国内外替代传统宫颈涂片检测宫颈癌最准确的检测技术，大大减少了由于血液、粘液、炎症而造成的模糊子宫颈细胞样本的数量，从而大大提高了妇女宫颈癌早期病变的检出率。</w:t>
            </w:r>
          </w:p>
        </w:tc>
      </w:tr>
      <w:tr>
        <w:tblPrEx>
          <w:tblCellMar>
            <w:top w:w="0" w:type="dxa"/>
            <w:left w:w="0" w:type="dxa"/>
            <w:bottom w:w="0" w:type="dxa"/>
            <w:right w:w="0" w:type="dxa"/>
          </w:tblCellMar>
        </w:tblPrEx>
        <w:trPr>
          <w:trHeight w:val="59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营养早餐</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color w:val="000000"/>
                <w:highlight w:val="none"/>
              </w:rPr>
            </w:pPr>
          </w:p>
        </w:tc>
      </w:tr>
    </w:tbl>
    <w:p>
      <w:pPr>
        <w:rPr>
          <w:rFonts w:hint="eastAsia" w:ascii="黑体" w:hAnsi="黑体" w:eastAsia="黑体" w:cs="仿宋"/>
          <w:b/>
          <w:color w:val="auto"/>
          <w:sz w:val="36"/>
          <w:szCs w:val="36"/>
          <w:highlight w:val="none"/>
        </w:rPr>
      </w:pPr>
      <w:r>
        <w:rPr>
          <w:highlight w:val="none"/>
        </w:rPr>
        <w:br w:type="page"/>
      </w:r>
    </w:p>
    <w:p>
      <w:pPr>
        <w:autoSpaceDE w:val="0"/>
        <w:spacing w:line="400" w:lineRule="exact"/>
        <w:jc w:val="center"/>
        <w:outlineLvl w:val="9"/>
        <w:rPr>
          <w:rFonts w:ascii="黑体" w:hAnsi="黑体" w:eastAsia="黑体" w:cs="仿宋"/>
          <w:b/>
          <w:color w:val="000000"/>
          <w:sz w:val="36"/>
          <w:szCs w:val="36"/>
          <w:highlight w:val="none"/>
        </w:rPr>
      </w:pPr>
      <w:bookmarkStart w:id="28" w:name="_Toc52_WPSOffice_Level1"/>
      <w:r>
        <w:rPr>
          <w:rFonts w:hint="eastAsia" w:ascii="黑体" w:hAnsi="黑体" w:eastAsia="黑体" w:cs="仿宋"/>
          <w:b/>
          <w:color w:val="000000"/>
          <w:sz w:val="36"/>
          <w:szCs w:val="36"/>
          <w:highlight w:val="none"/>
        </w:rPr>
        <w:t>第六章  响应文件格式</w:t>
      </w:r>
      <w:bookmarkEnd w:id="28"/>
    </w:p>
    <w:p>
      <w:pPr>
        <w:jc w:val="center"/>
        <w:rPr>
          <w:rFonts w:ascii="仿宋" w:hAnsi="仿宋" w:eastAsia="仿宋" w:cs="仿宋"/>
          <w:color w:val="auto"/>
          <w:sz w:val="30"/>
          <w:szCs w:val="30"/>
          <w:highlight w:val="none"/>
        </w:rPr>
      </w:pPr>
    </w:p>
    <w:p>
      <w:pPr>
        <w:jc w:val="center"/>
        <w:rPr>
          <w:rFonts w:ascii="仿宋" w:hAnsi="仿宋" w:eastAsia="仿宋" w:cs="仿宋"/>
          <w:color w:val="auto"/>
          <w:sz w:val="30"/>
          <w:szCs w:val="30"/>
          <w:highlight w:val="none"/>
        </w:rPr>
      </w:pPr>
    </w:p>
    <w:p>
      <w:pPr>
        <w:jc w:val="center"/>
        <w:rPr>
          <w:rFonts w:ascii="仿宋" w:hAnsi="仿宋" w:eastAsia="仿宋" w:cs="仿宋"/>
          <w:color w:val="auto"/>
          <w:sz w:val="30"/>
          <w:szCs w:val="30"/>
          <w:highlight w:val="none"/>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highlight w:val="none"/>
          <w:u w:val="none"/>
          <w:lang w:val="en-US" w:eastAsia="zh-CN" w:bidi="ar"/>
        </w:rPr>
      </w:pPr>
      <w:bookmarkStart w:id="29" w:name="_Toc1234_WPSOffice_Level1"/>
      <w:r>
        <w:rPr>
          <w:rFonts w:hint="eastAsia" w:ascii="黑体" w:hAnsi="黑体" w:eastAsia="黑体" w:cs="Times New Roman"/>
          <w:b/>
          <w:bCs/>
          <w:color w:val="auto"/>
          <w:kern w:val="2"/>
          <w:sz w:val="48"/>
          <w:szCs w:val="48"/>
          <w:highlight w:val="none"/>
          <w:u w:val="none"/>
          <w:lang w:val="en-US" w:eastAsia="zh-CN" w:bidi="ar"/>
        </w:rPr>
        <w:t>岳阳城陵矶港务有限责任公司</w:t>
      </w:r>
      <w:bookmarkEnd w:id="29"/>
    </w:p>
    <w:p>
      <w:pPr>
        <w:snapToGrid w:val="0"/>
        <w:spacing w:line="900" w:lineRule="exact"/>
        <w:jc w:val="center"/>
        <w:rPr>
          <w:rFonts w:hint="eastAsia" w:ascii="黑体" w:hAnsi="黑体" w:eastAsia="黑体"/>
          <w:b/>
          <w:bCs/>
          <w:color w:val="auto"/>
          <w:sz w:val="48"/>
          <w:szCs w:val="48"/>
          <w:highlight w:val="none"/>
          <w:u w:val="none"/>
          <w:lang w:val="en-US" w:eastAsia="zh-CN" w:bidi="ar"/>
        </w:rPr>
      </w:pPr>
      <w:bookmarkStart w:id="30" w:name="_Toc28358_WPSOffice_Level1"/>
      <w:r>
        <w:rPr>
          <w:rFonts w:hint="eastAsia" w:ascii="黑体" w:hAnsi="黑体" w:eastAsia="黑体" w:cs="Times New Roman"/>
          <w:b/>
          <w:bCs/>
          <w:color w:val="auto"/>
          <w:kern w:val="2"/>
          <w:sz w:val="48"/>
          <w:szCs w:val="48"/>
          <w:highlight w:val="none"/>
          <w:u w:val="none"/>
          <w:lang w:bidi="ar"/>
        </w:rPr>
        <w:t>2021年度</w:t>
      </w:r>
      <w:r>
        <w:rPr>
          <w:rFonts w:hint="eastAsia" w:ascii="黑体" w:hAnsi="黑体" w:eastAsia="黑体" w:cs="Times New Roman"/>
          <w:b/>
          <w:bCs/>
          <w:color w:val="auto"/>
          <w:kern w:val="2"/>
          <w:sz w:val="48"/>
          <w:szCs w:val="48"/>
          <w:highlight w:val="none"/>
          <w:u w:val="none"/>
          <w:lang w:eastAsia="zh-CN" w:bidi="ar"/>
        </w:rPr>
        <w:t>职工体检项目</w:t>
      </w:r>
      <w:bookmarkEnd w:id="30"/>
      <w:r>
        <w:rPr>
          <w:rFonts w:hint="eastAsia" w:ascii="黑体" w:hAnsi="黑体" w:eastAsia="黑体" w:cs="Times New Roman"/>
          <w:b/>
          <w:bCs/>
          <w:color w:val="auto"/>
          <w:kern w:val="2"/>
          <w:sz w:val="48"/>
          <w:szCs w:val="48"/>
          <w:highlight w:val="none"/>
          <w:u w:val="none"/>
          <w:lang w:bidi="ar"/>
        </w:rPr>
        <w:t xml:space="preserve"> </w:t>
      </w:r>
    </w:p>
    <w:p>
      <w:pPr>
        <w:widowControl/>
        <w:snapToGrid w:val="0"/>
        <w:spacing w:before="0" w:beforeLines="-2147483648" w:after="0" w:afterLines="-2147483648" w:line="900" w:lineRule="exact"/>
        <w:ind w:firstLine="0" w:firstLineChars="0"/>
        <w:jc w:val="center"/>
        <w:outlineLvl w:val="9"/>
        <w:rPr>
          <w:rFonts w:hint="eastAsia" w:ascii="黑体" w:hAnsi="黑体" w:eastAsia="黑体"/>
          <w:b/>
          <w:bCs/>
          <w:color w:val="auto"/>
          <w:sz w:val="48"/>
          <w:szCs w:val="48"/>
          <w:highlight w:val="none"/>
          <w:u w:val="none"/>
          <w:lang w:bidi="ar"/>
        </w:rPr>
      </w:pPr>
      <w:bookmarkStart w:id="31" w:name="_Toc22236"/>
    </w:p>
    <w:p>
      <w:pPr>
        <w:widowControl w:val="0"/>
        <w:spacing w:before="240" w:beforeLines="100" w:after="240" w:afterLines="100" w:line="240" w:lineRule="auto"/>
        <w:ind w:firstLine="0" w:firstLineChars="0"/>
        <w:jc w:val="center"/>
        <w:outlineLvl w:val="0"/>
        <w:rPr>
          <w:rFonts w:eastAsia="楷体_GB2312"/>
          <w:b/>
          <w:bCs/>
          <w:color w:val="auto"/>
          <w:sz w:val="28"/>
          <w:szCs w:val="28"/>
          <w:highlight w:val="none"/>
        </w:rPr>
      </w:pPr>
      <w:bookmarkStart w:id="32" w:name="_Toc2941"/>
      <w:bookmarkStart w:id="33" w:name="_Toc31152_WPSOffice_Level1"/>
      <w:r>
        <w:rPr>
          <w:rFonts w:eastAsia="楷体_GB2312"/>
          <w:b/>
          <w:bCs/>
          <w:color w:val="auto"/>
          <w:sz w:val="28"/>
          <w:szCs w:val="28"/>
          <w:highlight w:val="none"/>
        </w:rPr>
        <w:t>（项目</w:t>
      </w:r>
      <w:r>
        <w:rPr>
          <w:rFonts w:hint="eastAsia" w:eastAsia="楷体_GB2312"/>
          <w:b/>
          <w:bCs/>
          <w:color w:val="auto"/>
          <w:sz w:val="28"/>
          <w:szCs w:val="28"/>
          <w:highlight w:val="none"/>
        </w:rPr>
        <w:t>采购</w:t>
      </w:r>
      <w:r>
        <w:rPr>
          <w:rFonts w:eastAsia="楷体_GB2312"/>
          <w:b/>
          <w:bCs/>
          <w:color w:val="auto"/>
          <w:sz w:val="28"/>
          <w:szCs w:val="28"/>
          <w:highlight w:val="none"/>
        </w:rPr>
        <w:t>编号：</w:t>
      </w:r>
      <w:r>
        <w:rPr>
          <w:rFonts w:eastAsia="楷体_GB2312"/>
          <w:b/>
          <w:bCs/>
          <w:color w:val="auto"/>
          <w:sz w:val="28"/>
          <w:szCs w:val="28"/>
          <w:highlight w:val="none"/>
          <w:u w:val="single"/>
        </w:rPr>
        <w:t xml:space="preserve">   </w:t>
      </w:r>
      <w:r>
        <w:rPr>
          <w:rFonts w:hint="eastAsia" w:eastAsia="楷体_GB2312"/>
          <w:b/>
          <w:bCs/>
          <w:color w:val="auto"/>
          <w:sz w:val="28"/>
          <w:szCs w:val="28"/>
          <w:highlight w:val="none"/>
          <w:u w:val="single"/>
        </w:rPr>
        <w:t>填入项目采购编号</w:t>
      </w:r>
      <w:r>
        <w:rPr>
          <w:rFonts w:eastAsia="楷体_GB2312"/>
          <w:b/>
          <w:bCs/>
          <w:color w:val="auto"/>
          <w:sz w:val="28"/>
          <w:szCs w:val="28"/>
          <w:highlight w:val="none"/>
          <w:u w:val="single"/>
        </w:rPr>
        <w:t xml:space="preserve">     </w:t>
      </w:r>
      <w:r>
        <w:rPr>
          <w:rFonts w:eastAsia="楷体_GB2312"/>
          <w:b/>
          <w:bCs/>
          <w:color w:val="auto"/>
          <w:sz w:val="28"/>
          <w:szCs w:val="28"/>
          <w:highlight w:val="none"/>
        </w:rPr>
        <w:t>）</w:t>
      </w:r>
      <w:bookmarkEnd w:id="31"/>
      <w:bookmarkEnd w:id="32"/>
      <w:bookmarkEnd w:id="33"/>
    </w:p>
    <w:p>
      <w:pPr>
        <w:widowControl w:val="0"/>
        <w:adjustRightInd w:val="0"/>
        <w:snapToGrid w:val="0"/>
        <w:rPr>
          <w:b/>
          <w:color w:val="auto"/>
          <w:highlight w:val="none"/>
        </w:rPr>
      </w:pPr>
    </w:p>
    <w:p>
      <w:pPr>
        <w:spacing w:line="288" w:lineRule="auto"/>
        <w:jc w:val="center"/>
        <w:rPr>
          <w:rFonts w:eastAsia="方正小标宋_GBK"/>
          <w:b/>
          <w:bCs/>
          <w:color w:val="auto"/>
          <w:spacing w:val="160"/>
          <w:sz w:val="72"/>
          <w:szCs w:val="72"/>
          <w:highlight w:val="none"/>
        </w:rPr>
      </w:pPr>
    </w:p>
    <w:p>
      <w:pPr>
        <w:pStyle w:val="6"/>
        <w:rPr>
          <w:color w:val="auto"/>
          <w:highlight w:val="none"/>
        </w:rPr>
      </w:pPr>
    </w:p>
    <w:p>
      <w:pPr>
        <w:spacing w:line="288" w:lineRule="auto"/>
        <w:jc w:val="center"/>
        <w:outlineLvl w:val="0"/>
        <w:rPr>
          <w:rFonts w:eastAsia="方正小标宋_GBK"/>
          <w:b/>
          <w:bCs/>
          <w:color w:val="auto"/>
          <w:spacing w:val="160"/>
          <w:sz w:val="72"/>
          <w:szCs w:val="72"/>
          <w:highlight w:val="none"/>
        </w:rPr>
      </w:pPr>
      <w:bookmarkStart w:id="34" w:name="_Toc11795_WPSOffice_Level1"/>
      <w:bookmarkStart w:id="35" w:name="_Toc22936"/>
      <w:bookmarkStart w:id="36" w:name="_Toc2815"/>
      <w:r>
        <w:rPr>
          <w:rFonts w:hint="eastAsia" w:eastAsia="方正小标宋_GBK"/>
          <w:b/>
          <w:bCs/>
          <w:color w:val="auto"/>
          <w:spacing w:val="160"/>
          <w:sz w:val="72"/>
          <w:szCs w:val="72"/>
          <w:highlight w:val="none"/>
        </w:rPr>
        <w:t>响应</w:t>
      </w:r>
      <w:r>
        <w:rPr>
          <w:rFonts w:eastAsia="方正小标宋_GBK"/>
          <w:b/>
          <w:bCs/>
          <w:color w:val="auto"/>
          <w:spacing w:val="160"/>
          <w:sz w:val="72"/>
          <w:szCs w:val="72"/>
          <w:highlight w:val="none"/>
        </w:rPr>
        <w:t>文件</w:t>
      </w:r>
      <w:bookmarkEnd w:id="34"/>
      <w:bookmarkEnd w:id="35"/>
      <w:bookmarkEnd w:id="36"/>
    </w:p>
    <w:p>
      <w:pPr>
        <w:spacing w:line="288" w:lineRule="auto"/>
        <w:rPr>
          <w:color w:val="auto"/>
          <w:sz w:val="26"/>
          <w:szCs w:val="26"/>
          <w:highlight w:val="none"/>
        </w:rPr>
      </w:pPr>
    </w:p>
    <w:p>
      <w:pPr>
        <w:spacing w:line="288" w:lineRule="auto"/>
        <w:rPr>
          <w:color w:val="auto"/>
          <w:sz w:val="26"/>
          <w:szCs w:val="26"/>
          <w:highlight w:val="none"/>
        </w:rPr>
      </w:pPr>
    </w:p>
    <w:p>
      <w:pPr>
        <w:spacing w:line="288" w:lineRule="auto"/>
        <w:rPr>
          <w:color w:val="auto"/>
          <w:sz w:val="26"/>
          <w:szCs w:val="26"/>
          <w:highlight w:val="none"/>
        </w:rPr>
      </w:pPr>
    </w:p>
    <w:p>
      <w:pPr>
        <w:spacing w:line="288" w:lineRule="auto"/>
        <w:rPr>
          <w:color w:val="auto"/>
          <w:sz w:val="26"/>
          <w:szCs w:val="26"/>
          <w:highlight w:val="none"/>
        </w:rPr>
      </w:pPr>
    </w:p>
    <w:p>
      <w:pPr>
        <w:spacing w:line="900" w:lineRule="exact"/>
        <w:jc w:val="center"/>
        <w:outlineLvl w:val="0"/>
        <w:rPr>
          <w:rFonts w:eastAsia="黑体"/>
          <w:bCs/>
          <w:color w:val="auto"/>
          <w:sz w:val="30"/>
          <w:szCs w:val="30"/>
          <w:highlight w:val="none"/>
        </w:rPr>
      </w:pPr>
      <w:bookmarkStart w:id="37" w:name="_Toc7376"/>
      <w:bookmarkStart w:id="38" w:name="_Toc1037"/>
      <w:bookmarkStart w:id="39" w:name="_Toc17206_WPSOffice_Level1"/>
      <w:r>
        <w:rPr>
          <w:rFonts w:hint="eastAsia" w:eastAsia="黑体"/>
          <w:bCs/>
          <w:color w:val="auto"/>
          <w:sz w:val="30"/>
          <w:szCs w:val="30"/>
          <w:highlight w:val="none"/>
        </w:rPr>
        <w:t>供 应 商</w:t>
      </w:r>
      <w:r>
        <w:rPr>
          <w:rFonts w:eastAsia="黑体"/>
          <w:bCs/>
          <w:color w:val="auto"/>
          <w:sz w:val="30"/>
          <w:szCs w:val="30"/>
          <w:highlight w:val="none"/>
        </w:rPr>
        <w:t>：</w:t>
      </w:r>
      <w:r>
        <w:rPr>
          <w:rFonts w:eastAsia="黑体"/>
          <w:bCs/>
          <w:color w:val="auto"/>
          <w:sz w:val="30"/>
          <w:szCs w:val="30"/>
          <w:highlight w:val="none"/>
          <w:u w:val="single"/>
        </w:rPr>
        <w:t xml:space="preserve">  </w:t>
      </w:r>
      <w:r>
        <w:rPr>
          <w:rFonts w:hint="eastAsia" w:eastAsia="黑体"/>
          <w:bCs/>
          <w:color w:val="auto"/>
          <w:sz w:val="30"/>
          <w:szCs w:val="30"/>
          <w:highlight w:val="none"/>
          <w:u w:val="single"/>
        </w:rPr>
        <w:t>供应商</w:t>
      </w:r>
      <w:r>
        <w:rPr>
          <w:rFonts w:eastAsia="黑体"/>
          <w:bCs/>
          <w:color w:val="auto"/>
          <w:sz w:val="30"/>
          <w:szCs w:val="30"/>
          <w:highlight w:val="none"/>
          <w:u w:val="single"/>
        </w:rPr>
        <w:t>全称并盖单位公章</w:t>
      </w:r>
      <w:bookmarkEnd w:id="37"/>
      <w:bookmarkEnd w:id="38"/>
      <w:bookmarkEnd w:id="39"/>
      <w:r>
        <w:rPr>
          <w:rFonts w:eastAsia="黑体"/>
          <w:bCs/>
          <w:color w:val="auto"/>
          <w:sz w:val="30"/>
          <w:szCs w:val="30"/>
          <w:highlight w:val="none"/>
          <w:u w:val="single"/>
        </w:rPr>
        <w:t xml:space="preserve"> </w:t>
      </w:r>
    </w:p>
    <w:p>
      <w:pPr>
        <w:spacing w:line="900" w:lineRule="exact"/>
        <w:jc w:val="center"/>
        <w:outlineLvl w:val="0"/>
        <w:rPr>
          <w:rFonts w:eastAsia="黑体"/>
          <w:color w:val="auto"/>
          <w:sz w:val="30"/>
          <w:szCs w:val="30"/>
          <w:highlight w:val="none"/>
        </w:rPr>
      </w:pPr>
      <w:bookmarkStart w:id="40" w:name="_Toc6101_WPSOffice_Level1"/>
      <w:bookmarkStart w:id="41" w:name="_Toc25301"/>
      <w:bookmarkStart w:id="42" w:name="_Toc1745"/>
      <w:r>
        <w:rPr>
          <w:rFonts w:eastAsia="黑体"/>
          <w:color w:val="auto"/>
          <w:sz w:val="30"/>
          <w:szCs w:val="30"/>
          <w:highlight w:val="none"/>
        </w:rPr>
        <w:t>日</w:t>
      </w:r>
      <w:r>
        <w:rPr>
          <w:rFonts w:hint="eastAsia" w:eastAsia="黑体"/>
          <w:color w:val="auto"/>
          <w:sz w:val="30"/>
          <w:szCs w:val="30"/>
          <w:highlight w:val="none"/>
        </w:rPr>
        <w:t xml:space="preserve">   </w:t>
      </w:r>
      <w:r>
        <w:rPr>
          <w:rFonts w:eastAsia="黑体"/>
          <w:color w:val="auto"/>
          <w:sz w:val="30"/>
          <w:szCs w:val="30"/>
          <w:highlight w:val="none"/>
        </w:rPr>
        <w:t>期：</w:t>
      </w:r>
      <w:r>
        <w:rPr>
          <w:rFonts w:eastAsia="黑体"/>
          <w:color w:val="auto"/>
          <w:sz w:val="30"/>
          <w:szCs w:val="30"/>
          <w:highlight w:val="none"/>
          <w:u w:val="single"/>
        </w:rPr>
        <w:t xml:space="preserve">      </w:t>
      </w:r>
      <w:r>
        <w:rPr>
          <w:rFonts w:eastAsia="黑体"/>
          <w:color w:val="auto"/>
          <w:sz w:val="30"/>
          <w:szCs w:val="30"/>
          <w:highlight w:val="none"/>
        </w:rPr>
        <w:t>年</w:t>
      </w:r>
      <w:r>
        <w:rPr>
          <w:rFonts w:eastAsia="黑体"/>
          <w:color w:val="auto"/>
          <w:sz w:val="30"/>
          <w:szCs w:val="30"/>
          <w:highlight w:val="none"/>
          <w:u w:val="single"/>
        </w:rPr>
        <w:t xml:space="preserve">    </w:t>
      </w:r>
      <w:r>
        <w:rPr>
          <w:rFonts w:eastAsia="黑体"/>
          <w:color w:val="auto"/>
          <w:sz w:val="30"/>
          <w:szCs w:val="30"/>
          <w:highlight w:val="none"/>
        </w:rPr>
        <w:t>月</w:t>
      </w:r>
      <w:r>
        <w:rPr>
          <w:rFonts w:eastAsia="黑体"/>
          <w:color w:val="auto"/>
          <w:sz w:val="30"/>
          <w:szCs w:val="30"/>
          <w:highlight w:val="none"/>
          <w:u w:val="single"/>
        </w:rPr>
        <w:t xml:space="preserve">    </w:t>
      </w:r>
      <w:r>
        <w:rPr>
          <w:rFonts w:eastAsia="黑体"/>
          <w:color w:val="auto"/>
          <w:sz w:val="30"/>
          <w:szCs w:val="30"/>
          <w:highlight w:val="none"/>
        </w:rPr>
        <w:t>日</w:t>
      </w:r>
      <w:bookmarkEnd w:id="40"/>
      <w:bookmarkEnd w:id="41"/>
      <w:bookmarkEnd w:id="42"/>
    </w:p>
    <w:p>
      <w:pPr>
        <w:adjustRightInd/>
        <w:snapToGrid/>
        <w:spacing w:line="240" w:lineRule="auto"/>
        <w:jc w:val="left"/>
        <w:outlineLvl w:val="9"/>
        <w:rPr>
          <w:rFonts w:hint="eastAsia" w:ascii="黑体" w:hAnsi="黑体" w:eastAsia="黑体" w:cs="仿宋"/>
          <w:color w:val="auto"/>
          <w:sz w:val="36"/>
          <w:szCs w:val="36"/>
          <w:highlight w:val="none"/>
        </w:rPr>
      </w:pPr>
      <w:bookmarkStart w:id="43" w:name="_Toc11266"/>
      <w:r>
        <w:rPr>
          <w:rFonts w:hint="eastAsia" w:ascii="黑体" w:hAnsi="黑体" w:eastAsia="黑体" w:cs="仿宋"/>
          <w:color w:val="auto"/>
          <w:sz w:val="36"/>
          <w:szCs w:val="36"/>
          <w:highlight w:val="none"/>
        </w:rPr>
        <w:br w:type="page"/>
      </w:r>
    </w:p>
    <w:p>
      <w:pPr>
        <w:spacing w:before="0" w:beforeLines="0" w:after="0" w:afterLines="0" w:line="240" w:lineRule="auto"/>
        <w:ind w:left="0" w:leftChars="0" w:right="0" w:rightChars="0" w:firstLine="0" w:firstLineChars="0"/>
        <w:jc w:val="center"/>
        <w:rPr>
          <w:rFonts w:hint="eastAsia" w:ascii="黑体" w:hAnsi="黑体" w:eastAsia="黑体" w:cs="仿宋"/>
          <w:color w:val="auto"/>
          <w:sz w:val="36"/>
          <w:szCs w:val="36"/>
          <w:highlight w:val="none"/>
          <w:lang w:val="en-US" w:eastAsia="zh-CN"/>
        </w:rPr>
      </w:pPr>
      <w:bookmarkStart w:id="44" w:name="_Toc7446_WPSOffice_Level1"/>
      <w:bookmarkStart w:id="45" w:name="_Toc5779"/>
    </w:p>
    <w:p>
      <w:pPr>
        <w:spacing w:before="0" w:beforeLines="0" w:after="0" w:afterLines="0" w:line="240" w:lineRule="auto"/>
        <w:ind w:left="0" w:leftChars="0" w:right="0" w:rightChars="0" w:firstLine="0" w:firstLineChars="0"/>
        <w:jc w:val="center"/>
        <w:rPr>
          <w:rFonts w:hint="eastAsia" w:ascii="黑体" w:hAnsi="黑体" w:eastAsia="黑体" w:cs="仿宋"/>
          <w:color w:val="auto"/>
          <w:sz w:val="36"/>
          <w:szCs w:val="36"/>
          <w:highlight w:val="none"/>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仿宋"/>
          <w:color w:val="auto"/>
          <w:sz w:val="36"/>
          <w:szCs w:val="36"/>
          <w:highlight w:val="none"/>
          <w:lang w:val="en-US" w:eastAsia="zh-CN"/>
        </w:rPr>
      </w:pPr>
      <w:r>
        <w:rPr>
          <w:rFonts w:hint="eastAsia" w:ascii="黑体" w:hAnsi="黑体" w:eastAsia="黑体" w:cs="仿宋"/>
          <w:color w:val="auto"/>
          <w:sz w:val="36"/>
          <w:szCs w:val="36"/>
          <w:highlight w:val="none"/>
          <w:lang w:val="en-US" w:eastAsia="zh-CN"/>
        </w:rPr>
        <w:t>目  录</w:t>
      </w:r>
      <w:bookmarkEnd w:id="43"/>
      <w:bookmarkEnd w:id="44"/>
      <w:bookmarkEnd w:id="45"/>
      <w:bookmarkStart w:id="46" w:name="_Toc22599"/>
    </w:p>
    <w:p>
      <w:pPr>
        <w:pStyle w:val="2"/>
        <w:rPr>
          <w:rFonts w:hint="eastAsia" w:ascii="黑体" w:hAnsi="黑体" w:eastAsia="黑体" w:cs="仿宋"/>
          <w:color w:val="auto"/>
          <w:sz w:val="36"/>
          <w:szCs w:val="36"/>
          <w:highlight w:val="none"/>
          <w:lang w:val="en-US" w:eastAsia="zh-CN"/>
        </w:rPr>
      </w:pPr>
    </w:p>
    <w:p>
      <w:pPr>
        <w:pStyle w:val="3"/>
        <w:rPr>
          <w:rFonts w:hint="eastAsia" w:ascii="黑体" w:hAnsi="黑体" w:eastAsia="黑体" w:cs="仿宋"/>
          <w:color w:val="auto"/>
          <w:sz w:val="36"/>
          <w:szCs w:val="36"/>
          <w:highlight w:val="none"/>
          <w:lang w:val="en-US" w:eastAsia="zh-CN"/>
        </w:rPr>
      </w:pPr>
    </w:p>
    <w:bookmarkEnd w:id="46"/>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一、响应函</w:t>
      </w:r>
      <w:r>
        <w:rPr>
          <w:rFonts w:hint="eastAsia" w:ascii="宋体" w:hAnsi="宋体" w:cs="仿宋"/>
          <w:color w:val="auto"/>
          <w:sz w:val="24"/>
        </w:rPr>
        <w:br w:type="textWrapping"/>
      </w:r>
      <w:r>
        <w:rPr>
          <w:rFonts w:hint="eastAsia" w:ascii="宋体" w:hAnsi="宋体" w:cs="仿宋"/>
          <w:color w:val="auto"/>
          <w:sz w:val="24"/>
        </w:rPr>
        <w:t>二、授权委托书(适用于有委托代理人的情况)</w:t>
      </w:r>
      <w:r>
        <w:rPr>
          <w:rFonts w:hint="eastAsia" w:ascii="宋体" w:hAnsi="宋体" w:cs="仿宋"/>
          <w:color w:val="auto"/>
          <w:sz w:val="24"/>
        </w:rPr>
        <w:br w:type="textWrapping"/>
      </w:r>
      <w:r>
        <w:rPr>
          <w:rFonts w:hint="eastAsia" w:ascii="宋体" w:hAnsi="宋体" w:cs="仿宋"/>
          <w:color w:val="auto"/>
          <w:sz w:val="24"/>
        </w:rPr>
        <w:t>三、商务和技术偏差表</w:t>
      </w:r>
      <w:r>
        <w:rPr>
          <w:rFonts w:hint="eastAsia" w:ascii="宋体" w:hAnsi="宋体" w:cs="仿宋"/>
          <w:color w:val="auto"/>
          <w:sz w:val="24"/>
        </w:rPr>
        <w:br w:type="textWrapping"/>
      </w:r>
      <w:r>
        <w:rPr>
          <w:rFonts w:hint="eastAsia" w:ascii="宋体" w:hAnsi="宋体" w:cs="仿宋"/>
          <w:color w:val="auto"/>
          <w:sz w:val="24"/>
          <w:lang w:eastAsia="zh-CN"/>
        </w:rPr>
        <w:t>四</w:t>
      </w:r>
      <w:r>
        <w:rPr>
          <w:rFonts w:hint="eastAsia" w:ascii="宋体" w:hAnsi="宋体" w:cs="仿宋"/>
          <w:color w:val="auto"/>
          <w:sz w:val="24"/>
        </w:rPr>
        <w:t>、报价表</w:t>
      </w:r>
      <w:r>
        <w:rPr>
          <w:rFonts w:hint="eastAsia" w:ascii="宋体" w:hAnsi="宋体" w:cs="仿宋"/>
          <w:color w:val="auto"/>
          <w:sz w:val="24"/>
        </w:rPr>
        <w:br w:type="textWrapping"/>
      </w:r>
      <w:r>
        <w:rPr>
          <w:rFonts w:hint="eastAsia" w:ascii="宋体" w:hAnsi="宋体" w:cs="仿宋"/>
          <w:color w:val="auto"/>
          <w:sz w:val="24"/>
          <w:lang w:eastAsia="zh-CN"/>
        </w:rPr>
        <w:t>五</w:t>
      </w:r>
      <w:r>
        <w:rPr>
          <w:rFonts w:hint="eastAsia" w:ascii="宋体" w:hAnsi="宋体" w:cs="仿宋"/>
          <w:color w:val="auto"/>
          <w:sz w:val="24"/>
        </w:rPr>
        <w:t>、资格审查资料</w:t>
      </w:r>
      <w:r>
        <w:rPr>
          <w:rFonts w:hint="eastAsia" w:ascii="宋体" w:hAnsi="宋体" w:cs="仿宋"/>
          <w:color w:val="auto"/>
          <w:sz w:val="24"/>
        </w:rPr>
        <w:br w:type="textWrapping"/>
      </w:r>
      <w:r>
        <w:rPr>
          <w:rFonts w:hint="eastAsia" w:ascii="宋体" w:hAnsi="宋体" w:cs="仿宋"/>
          <w:color w:val="auto"/>
          <w:sz w:val="24"/>
          <w:lang w:eastAsia="zh-CN"/>
        </w:rPr>
        <w:t>六</w:t>
      </w:r>
      <w:r>
        <w:rPr>
          <w:rFonts w:hint="eastAsia" w:ascii="宋体" w:hAnsi="宋体" w:cs="仿宋"/>
          <w:color w:val="auto"/>
          <w:sz w:val="24"/>
        </w:rPr>
        <w:t>、响应方案</w:t>
      </w:r>
      <w:r>
        <w:rPr>
          <w:rFonts w:hint="eastAsia" w:ascii="宋体" w:hAnsi="宋体" w:cs="仿宋"/>
          <w:color w:val="auto"/>
          <w:sz w:val="24"/>
        </w:rPr>
        <w:br w:type="textWrapping"/>
      </w:r>
      <w:r>
        <w:rPr>
          <w:rFonts w:hint="eastAsia" w:ascii="宋体" w:hAnsi="宋体" w:cs="仿宋"/>
          <w:color w:val="auto"/>
          <w:sz w:val="24"/>
          <w:lang w:eastAsia="zh-CN"/>
        </w:rPr>
        <w:t>七</w:t>
      </w:r>
      <w:r>
        <w:rPr>
          <w:rFonts w:hint="eastAsia" w:ascii="宋体" w:hAnsi="宋体" w:cs="仿宋"/>
          <w:color w:val="auto"/>
          <w:sz w:val="24"/>
        </w:rPr>
        <w:t>、其他资料</w:t>
      </w:r>
    </w:p>
    <w:p>
      <w:pPr>
        <w:rPr>
          <w:color w:val="auto"/>
          <w:lang w:val="zh-CN"/>
        </w:rPr>
      </w:pPr>
      <w:r>
        <w:rPr>
          <w:color w:val="auto"/>
          <w:lang w:val="zh-CN"/>
        </w:rPr>
        <w:br w:type="page"/>
      </w:r>
    </w:p>
    <w:p>
      <w:pPr>
        <w:numPr>
          <w:ilvl w:val="0"/>
          <w:numId w:val="2"/>
        </w:numPr>
        <w:adjustRightInd w:val="0"/>
        <w:snapToGrid w:val="0"/>
        <w:spacing w:line="600" w:lineRule="exact"/>
        <w:jc w:val="center"/>
        <w:outlineLvl w:val="0"/>
        <w:rPr>
          <w:rFonts w:ascii="黑体" w:hAnsi="黑体" w:eastAsia="黑体" w:cs="仿宋"/>
          <w:color w:val="auto"/>
          <w:sz w:val="36"/>
          <w:szCs w:val="36"/>
          <w:highlight w:val="none"/>
        </w:rPr>
      </w:pPr>
      <w:bookmarkStart w:id="47" w:name="_Toc29407"/>
      <w:bookmarkStart w:id="48" w:name="_Toc1642_WPSOffice_Level1"/>
      <w:r>
        <w:rPr>
          <w:rFonts w:hint="eastAsia" w:ascii="黑体" w:hAnsi="黑体" w:eastAsia="黑体" w:cs="仿宋"/>
          <w:color w:val="auto"/>
          <w:sz w:val="36"/>
          <w:szCs w:val="36"/>
          <w:highlight w:val="none"/>
        </w:rPr>
        <w:t>响应函</w:t>
      </w:r>
      <w:bookmarkEnd w:id="47"/>
      <w:bookmarkEnd w:id="48"/>
    </w:p>
    <w:p>
      <w:pPr>
        <w:adjustRightInd w:val="0"/>
        <w:snapToGrid w:val="0"/>
        <w:spacing w:line="600" w:lineRule="exact"/>
        <w:jc w:val="both"/>
        <w:rPr>
          <w:rFonts w:cs="仿宋" w:asciiTheme="minorEastAsia" w:hAnsiTheme="minorEastAsia" w:eastAsiaTheme="minorEastAsia"/>
          <w:color w:val="auto"/>
          <w:sz w:val="24"/>
          <w:highlight w:val="none"/>
        </w:rPr>
      </w:pPr>
    </w:p>
    <w:p>
      <w:pPr>
        <w:adjustRightInd w:val="0"/>
        <w:snapToGrid w:val="0"/>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(采购人名称):</w:t>
      </w:r>
    </w:p>
    <w:p>
      <w:pPr>
        <w:adjustRightInd w:val="0"/>
        <w:snapToGrid w:val="0"/>
        <w:spacing w:line="360" w:lineRule="auto"/>
        <w:rPr>
          <w:rFonts w:hint="eastAsia" w:ascii="宋体" w:hAnsi="宋体" w:cs="Times New Roman"/>
          <w:color w:val="auto"/>
          <w:sz w:val="24"/>
          <w:highlight w:val="none"/>
          <w:lang w:val="en-US" w:eastAsia="zh-CN"/>
        </w:rPr>
      </w:pPr>
    </w:p>
    <w:p>
      <w:pPr>
        <w:adjustRightInd w:val="0"/>
        <w:snapToGrid w:val="0"/>
        <w:spacing w:line="360" w:lineRule="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我方已仔细研究了</w:t>
      </w:r>
      <w:r>
        <w:rPr>
          <w:rFonts w:hint="eastAsia" w:ascii="宋体" w:hAnsi="宋体" w:cs="Times New Roman"/>
          <w:color w:val="auto"/>
          <w:sz w:val="24"/>
          <w:highlight w:val="none"/>
          <w:lang w:val="en-US" w:eastAsia="zh-CN"/>
        </w:rPr>
        <w:t>贵公司《</w:t>
      </w:r>
      <w:r>
        <w:rPr>
          <w:rFonts w:hint="eastAsia" w:ascii="宋体" w:hAnsi="宋体" w:cs="Times New Roman"/>
          <w:b w:val="0"/>
          <w:bCs w:val="0"/>
          <w:color w:val="auto"/>
          <w:kern w:val="2"/>
          <w:sz w:val="24"/>
          <w:szCs w:val="24"/>
          <w:highlight w:val="none"/>
          <w:u w:val="none"/>
          <w:lang w:val="en-US" w:eastAsia="zh-CN" w:bidi="ar"/>
        </w:rPr>
        <w:t>2021年度职工体检</w:t>
      </w:r>
      <w:r>
        <w:rPr>
          <w:rFonts w:hint="eastAsia" w:ascii="宋体" w:hAnsi="宋体" w:eastAsia="宋体" w:cs="Times New Roman"/>
          <w:b w:val="0"/>
          <w:bCs w:val="0"/>
          <w:color w:val="auto"/>
          <w:kern w:val="2"/>
          <w:sz w:val="24"/>
          <w:szCs w:val="24"/>
          <w:highlight w:val="none"/>
          <w:u w:val="none"/>
          <w:lang w:val="en-US" w:eastAsia="zh-CN" w:bidi="ar"/>
        </w:rPr>
        <w:t>项目</w:t>
      </w:r>
      <w:r>
        <w:rPr>
          <w:rFonts w:hint="eastAsia" w:ascii="宋体" w:hAnsi="宋体" w:cs="Times New Roman"/>
          <w:b w:val="0"/>
          <w:bCs w:val="0"/>
          <w:color w:val="auto"/>
          <w:kern w:val="2"/>
          <w:sz w:val="24"/>
          <w:szCs w:val="24"/>
          <w:highlight w:val="none"/>
          <w:u w:val="none"/>
          <w:lang w:val="en-US" w:eastAsia="zh-CN" w:bidi="ar"/>
        </w:rPr>
        <w:t>》二次</w:t>
      </w:r>
      <w:r>
        <w:rPr>
          <w:rFonts w:hint="eastAsia" w:ascii="宋体" w:hAnsi="宋体" w:eastAsia="宋体" w:cs="Times New Roman"/>
          <w:color w:val="auto"/>
          <w:sz w:val="24"/>
          <w:highlight w:val="none"/>
        </w:rPr>
        <w:t>采购文件的全部内容，愿意以含税价人民币(大写)</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rPr>
        <w:t>)的报价</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（其中：不含税价为:</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rPr>
        <w:t>;增值税税</w:t>
      </w:r>
      <w:r>
        <w:rPr>
          <w:rFonts w:hint="eastAsia" w:ascii="宋体" w:hAnsi="宋体" w:cs="Times New Roman"/>
          <w:color w:val="auto"/>
          <w:sz w:val="24"/>
          <w:highlight w:val="none"/>
          <w:lang w:val="en-US" w:eastAsia="zh-CN"/>
        </w:rPr>
        <w:t>率</w:t>
      </w:r>
      <w:r>
        <w:rPr>
          <w:rFonts w:hint="eastAsia" w:ascii="宋体" w:hAnsi="宋体" w:eastAsia="宋体" w:cs="Times New Roman"/>
          <w:color w:val="auto"/>
          <w:sz w:val="24"/>
          <w:highlight w:val="none"/>
        </w:rPr>
        <w:t>为:</w:t>
      </w:r>
      <w:r>
        <w:rPr>
          <w:rFonts w:hint="eastAsia" w:ascii="宋体" w:hAnsi="宋体" w:eastAsia="宋体" w:cs="Times New Roman"/>
          <w:color w:val="auto"/>
          <w:sz w:val="24"/>
          <w:highlight w:val="none"/>
          <w:u w:val="none"/>
        </w:rPr>
        <w:t xml:space="preserve">           </w:t>
      </w:r>
      <w:r>
        <w:rPr>
          <w:rFonts w:hint="eastAsia" w:ascii="宋体" w:hAnsi="宋体" w:cs="Times New Roman"/>
          <w:color w:val="auto"/>
          <w:sz w:val="24"/>
          <w:highlight w:val="none"/>
          <w:u w:val="none"/>
          <w:lang w:eastAsia="zh-CN"/>
        </w:rPr>
        <w:t>（</w:t>
      </w:r>
      <w:r>
        <w:rPr>
          <w:rFonts w:hint="eastAsia" w:ascii="宋体" w:hAnsi="宋体" w:eastAsia="宋体" w:cs="Times New Roman"/>
          <w:color w:val="auto"/>
          <w:sz w:val="24"/>
          <w:highlight w:val="none"/>
          <w:lang w:val="en-US" w:eastAsia="zh-CN"/>
        </w:rPr>
        <w:t>提供增值税专用发票</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eastAsia="zh-CN"/>
        </w:rPr>
        <w:t>提供</w:t>
      </w:r>
      <w:r>
        <w:rPr>
          <w:rFonts w:hint="eastAsia" w:ascii="宋体" w:hAnsi="宋体" w:eastAsia="宋体" w:cs="Times New Roman"/>
          <w:color w:val="auto"/>
          <w:sz w:val="24"/>
          <w:highlight w:val="none"/>
        </w:rPr>
        <w:t>服务，并按合同约定履行义务。</w:t>
      </w:r>
      <w:r>
        <w:rPr>
          <w:rFonts w:hint="eastAsia" w:ascii="宋体" w:hAnsi="宋体" w:cs="Times New Roman"/>
          <w:color w:val="auto"/>
          <w:sz w:val="24"/>
          <w:highlight w:val="none"/>
          <w:lang w:val="en-US" w:eastAsia="zh-CN"/>
        </w:rPr>
        <w:t>服务期限为合同签订日至2022年4月30日。</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(1)响应函;</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(2)授权委托书(如有);</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3</w:t>
      </w:r>
      <w:r>
        <w:rPr>
          <w:rFonts w:hint="eastAsia" w:cs="仿宋" w:asciiTheme="minorEastAsia" w:hAnsiTheme="minorEastAsia" w:eastAsiaTheme="minorEastAsia"/>
          <w:color w:val="auto"/>
          <w:sz w:val="24"/>
          <w:highlight w:val="none"/>
        </w:rPr>
        <w:t>)商务和技术偏差表;</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4</w:t>
      </w:r>
      <w:r>
        <w:rPr>
          <w:rFonts w:hint="eastAsia" w:cs="仿宋" w:asciiTheme="minorEastAsia" w:hAnsiTheme="minorEastAsia" w:eastAsiaTheme="minorEastAsia"/>
          <w:color w:val="auto"/>
          <w:sz w:val="24"/>
          <w:highlight w:val="none"/>
        </w:rPr>
        <w:t>)报价表;</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)资格审查资料;</w:t>
      </w:r>
    </w:p>
    <w:p>
      <w:pPr>
        <w:adjustRightInd w:val="0"/>
        <w:snapToGrid w:val="0"/>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6</w:t>
      </w:r>
      <w:r>
        <w:rPr>
          <w:rFonts w:hint="eastAsia" w:cs="仿宋" w:asciiTheme="minorEastAsia" w:hAnsiTheme="minorEastAsia" w:eastAsiaTheme="minorEastAsia"/>
          <w:color w:val="auto"/>
          <w:sz w:val="24"/>
          <w:highlight w:val="none"/>
        </w:rPr>
        <w:t>)响应方案;</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6.我方在此声明，所递交的响应文件及有关资料内容完整、真实和准确，且不</w:t>
      </w:r>
      <w:r>
        <w:rPr>
          <w:rFonts w:hint="eastAsia" w:cs="仿宋" w:asciiTheme="minorEastAsia" w:hAnsiTheme="minorEastAsia" w:eastAsiaTheme="minorEastAsia"/>
          <w:color w:val="auto"/>
          <w:sz w:val="24"/>
          <w:highlight w:val="none"/>
          <w:lang w:eastAsia="zh-CN"/>
        </w:rPr>
        <w:t>存</w:t>
      </w:r>
      <w:r>
        <w:rPr>
          <w:rFonts w:hint="eastAsia" w:cs="仿宋" w:asciiTheme="minorEastAsia" w:hAnsiTheme="minorEastAsia" w:eastAsiaTheme="minorEastAsia"/>
          <w:color w:val="auto"/>
          <w:sz w:val="24"/>
          <w:highlight w:val="none"/>
        </w:rPr>
        <w:t>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7.(其他补充说明)。</w:t>
      </w:r>
    </w:p>
    <w:p>
      <w:pPr>
        <w:adjustRightInd w:val="0"/>
        <w:snapToGrid w:val="0"/>
        <w:spacing w:line="600" w:lineRule="exact"/>
        <w:jc w:val="both"/>
        <w:rPr>
          <w:rFonts w:cs="仿宋" w:asciiTheme="minorEastAsia" w:hAnsiTheme="minorEastAsia" w:eastAsiaTheme="minorEastAsia"/>
          <w:color w:val="auto"/>
          <w:sz w:val="24"/>
          <w:highlight w:val="none"/>
        </w:rPr>
      </w:pP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法定代表人(单位负责人)或其授权的代理人:(签字) </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地址:____________________________________________</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电子邮箱：_______________________________________</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电话：____________________________________________</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传真：____________________________________________</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邮政编码：_______________________________________</w:t>
      </w:r>
    </w:p>
    <w:p>
      <w:pPr>
        <w:spacing w:line="600" w:lineRule="exact"/>
        <w:jc w:val="both"/>
        <w:rPr>
          <w:rFonts w:cs="仿宋" w:asciiTheme="minorEastAsia" w:hAnsiTheme="minorEastAsia" w:eastAsiaTheme="minorEastAsia"/>
          <w:color w:val="auto"/>
          <w:sz w:val="24"/>
          <w:highlight w:val="none"/>
        </w:rPr>
      </w:pPr>
    </w:p>
    <w:p>
      <w:pPr>
        <w:spacing w:line="600" w:lineRule="exact"/>
        <w:ind w:firstLine="7200" w:firstLineChars="30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年 </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 xml:space="preserve">月 </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日</w:t>
      </w:r>
    </w:p>
    <w:p>
      <w:pPr>
        <w:spacing w:line="240" w:lineRule="auto"/>
        <w:jc w:val="both"/>
        <w:rPr>
          <w:rFonts w:cs="仿宋" w:asciiTheme="minorEastAsia" w:hAnsiTheme="minorEastAsia" w:eastAsiaTheme="minorEastAsia"/>
          <w:color w:val="auto"/>
          <w:sz w:val="24"/>
          <w:highlight w:val="none"/>
        </w:rPr>
      </w:pPr>
      <w:r>
        <w:rPr>
          <w:rFonts w:cs="仿宋" w:asciiTheme="minorEastAsia" w:hAnsiTheme="minorEastAsia" w:eastAsiaTheme="minorEastAsia"/>
          <w:color w:val="auto"/>
          <w:sz w:val="24"/>
          <w:highlight w:val="none"/>
        </w:rPr>
        <w:br w:type="page"/>
      </w:r>
    </w:p>
    <w:p>
      <w:pPr>
        <w:spacing w:line="400" w:lineRule="exact"/>
        <w:jc w:val="center"/>
        <w:rPr>
          <w:rFonts w:cs="宋体" w:asciiTheme="minorEastAsia" w:hAnsiTheme="minorEastAsia" w:eastAsiaTheme="minorEastAsia"/>
          <w:b/>
          <w:color w:val="000000"/>
          <w:kern w:val="0"/>
          <w:sz w:val="36"/>
          <w:szCs w:val="36"/>
          <w:highlight w:val="none"/>
        </w:rPr>
      </w:pPr>
      <w:r>
        <w:rPr>
          <w:rFonts w:hint="eastAsia" w:cs="宋体" w:asciiTheme="minorEastAsia" w:hAnsiTheme="minorEastAsia" w:eastAsiaTheme="minorEastAsia"/>
          <w:b/>
          <w:color w:val="000000"/>
          <w:kern w:val="0"/>
          <w:sz w:val="36"/>
          <w:szCs w:val="36"/>
          <w:highlight w:val="none"/>
        </w:rPr>
        <w:t>附：守法诚信承诺书</w:t>
      </w:r>
    </w:p>
    <w:p>
      <w:pPr>
        <w:spacing w:line="360" w:lineRule="auto"/>
        <w:ind w:firstLine="480" w:firstLineChars="200"/>
        <w:jc w:val="both"/>
        <w:rPr>
          <w:rFonts w:asciiTheme="minorEastAsia" w:hAnsiTheme="minorEastAsia" w:eastAsiaTheme="minorEastAsia"/>
          <w:color w:val="000000"/>
          <w:sz w:val="24"/>
          <w:highlight w:val="none"/>
        </w:rPr>
      </w:pP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××公司：</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1、我司已仔细阅读《××单位××文件》</w:t>
      </w:r>
      <w:r>
        <w:rPr>
          <w:rFonts w:cs="仿宋" w:asciiTheme="minorEastAsia" w:hAnsiTheme="minorEastAsia" w:eastAsiaTheme="minorEastAsia"/>
          <w:color w:val="auto"/>
          <w:sz w:val="24"/>
          <w:highlight w:val="none"/>
        </w:rPr>
        <w:t>（编号</w:t>
      </w: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rPr>
        <w:t>（以下</w:t>
      </w:r>
      <w:r>
        <w:rPr>
          <w:rFonts w:cs="仿宋" w:asciiTheme="minorEastAsia" w:hAnsiTheme="minorEastAsia" w:eastAsiaTheme="minorEastAsia"/>
          <w:color w:val="auto"/>
          <w:sz w:val="24"/>
          <w:highlight w:val="none"/>
        </w:rPr>
        <w:t>简称</w:t>
      </w:r>
      <w:r>
        <w:rPr>
          <w:rFonts w:hint="eastAsia" w:cs="仿宋" w:asciiTheme="minorEastAsia" w:hAnsiTheme="minorEastAsia" w:eastAsiaTheme="minorEastAsia"/>
          <w:color w:val="auto"/>
          <w:sz w:val="24"/>
          <w:highlight w:val="none"/>
        </w:rPr>
        <w:t>采购</w:t>
      </w:r>
      <w:r>
        <w:rPr>
          <w:rFonts w:cs="仿宋" w:asciiTheme="minorEastAsia" w:hAnsiTheme="minorEastAsia" w:eastAsiaTheme="minorEastAsia"/>
          <w:color w:val="auto"/>
          <w:sz w:val="24"/>
          <w:highlight w:val="none"/>
        </w:rPr>
        <w:t>文件）</w:t>
      </w:r>
      <w:r>
        <w:rPr>
          <w:rFonts w:hint="eastAsia" w:cs="仿宋" w:asciiTheme="minorEastAsia" w:hAnsiTheme="minorEastAsia" w:eastAsiaTheme="minorEastAsia"/>
          <w:color w:val="auto"/>
          <w:sz w:val="24"/>
          <w:highlight w:val="none"/>
        </w:rPr>
        <w:t>，包括采</w:t>
      </w:r>
      <w:r>
        <w:rPr>
          <w:rFonts w:cs="仿宋" w:asciiTheme="minorEastAsia" w:hAnsiTheme="minorEastAsia" w:eastAsiaTheme="minorEastAsia"/>
          <w:color w:val="auto"/>
          <w:sz w:val="24"/>
          <w:highlight w:val="none"/>
        </w:rPr>
        <w:t>购</w:t>
      </w:r>
      <w:r>
        <w:rPr>
          <w:rFonts w:hint="eastAsia" w:cs="仿宋" w:asciiTheme="minorEastAsia" w:hAnsiTheme="minorEastAsia" w:eastAsiaTheme="minorEastAsia"/>
          <w:color w:val="auto"/>
          <w:sz w:val="24"/>
          <w:highlight w:val="none"/>
        </w:rPr>
        <w:t>文件的澄清或修改说明</w:t>
      </w:r>
      <w:r>
        <w:rPr>
          <w:rFonts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2、遵纪守法，不触底线，公平公正参与竞争。我司提供的《响应文件》及其资料真实合法有效。</w:t>
      </w:r>
      <w:r>
        <w:rPr>
          <w:rFonts w:cs="仿宋" w:asciiTheme="minorEastAsia" w:hAnsiTheme="minorEastAsia" w:eastAsiaTheme="minorEastAsia"/>
          <w:color w:val="auto"/>
          <w:sz w:val="24"/>
          <w:highlight w:val="none"/>
        </w:rPr>
        <w:t xml:space="preserve"> </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3、响应期间没有因质量或</w:t>
      </w:r>
      <w:r>
        <w:rPr>
          <w:rFonts w:cs="仿宋" w:asciiTheme="minorEastAsia" w:hAnsiTheme="minorEastAsia" w:eastAsiaTheme="minorEastAsia"/>
          <w:color w:val="auto"/>
          <w:sz w:val="24"/>
          <w:highlight w:val="none"/>
        </w:rPr>
        <w:t>服务</w:t>
      </w:r>
      <w:r>
        <w:rPr>
          <w:rFonts w:hint="eastAsia" w:cs="仿宋" w:asciiTheme="minorEastAsia" w:hAnsiTheme="minorEastAsia" w:eastAsiaTheme="minorEastAsia"/>
          <w:color w:val="auto"/>
          <w:sz w:val="24"/>
          <w:highlight w:val="none"/>
        </w:rPr>
        <w:t>问题被采购人或采购人上级</w:t>
      </w:r>
      <w:r>
        <w:rPr>
          <w:rFonts w:cs="仿宋" w:asciiTheme="minorEastAsia" w:hAnsiTheme="minorEastAsia" w:eastAsiaTheme="minorEastAsia"/>
          <w:color w:val="auto"/>
          <w:sz w:val="24"/>
          <w:highlight w:val="none"/>
        </w:rPr>
        <w:t>机构</w:t>
      </w:r>
      <w:r>
        <w:rPr>
          <w:rFonts w:hint="eastAsia" w:cs="仿宋" w:asciiTheme="minorEastAsia" w:hAnsiTheme="minorEastAsia" w:eastAsiaTheme="minorEastAsia"/>
          <w:color w:val="auto"/>
          <w:sz w:val="24"/>
          <w:highlight w:val="none"/>
        </w:rPr>
        <w:t>通报且在整改期内。</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5、无联合体另外报价。</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highlight w:val="none"/>
        </w:rPr>
      </w:pPr>
      <w:r>
        <w:rPr>
          <w:rFonts w:cs="仿宋" w:asciiTheme="minorEastAsia" w:hAnsiTheme="minorEastAsia" w:eastAsiaTheme="minorEastAsia"/>
          <w:color w:val="auto"/>
          <w:sz w:val="24"/>
          <w:highlight w:val="none"/>
        </w:rPr>
        <w:t>7</w:t>
      </w:r>
      <w:r>
        <w:rPr>
          <w:rFonts w:hint="eastAsia" w:cs="仿宋" w:asciiTheme="minorEastAsia" w:hAnsiTheme="minorEastAsia" w:eastAsiaTheme="minorEastAsia"/>
          <w:color w:val="auto"/>
          <w:sz w:val="24"/>
          <w:highlight w:val="none"/>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highlight w:val="none"/>
        </w:rPr>
      </w:pPr>
      <w:r>
        <w:rPr>
          <w:rFonts w:cs="仿宋" w:asciiTheme="minorEastAsia" w:hAnsiTheme="minorEastAsia" w:eastAsiaTheme="minorEastAsia"/>
          <w:color w:val="auto"/>
          <w:sz w:val="24"/>
          <w:highlight w:val="none"/>
        </w:rPr>
        <w:t>8</w:t>
      </w:r>
      <w:r>
        <w:rPr>
          <w:rFonts w:hint="eastAsia" w:cs="仿宋" w:asciiTheme="minorEastAsia" w:hAnsiTheme="minorEastAsia" w:eastAsiaTheme="minorEastAsia"/>
          <w:color w:val="auto"/>
          <w:sz w:val="24"/>
          <w:highlight w:val="none"/>
        </w:rPr>
        <w:t>、自我管理，知行合一，主动承担社会责任。坚持“五大发展理念”，始终为用户着想，维护同业形象，自觉接受监管，维护和谐稳定。</w:t>
      </w:r>
    </w:p>
    <w:p>
      <w:pPr>
        <w:spacing w:line="360" w:lineRule="auto"/>
        <w:ind w:firstLine="480" w:firstLineChars="200"/>
        <w:jc w:val="both"/>
        <w:rPr>
          <w:rFonts w:hint="eastAsia" w:cs="仿宋" w:asciiTheme="minorEastAsia" w:hAnsiTheme="minorEastAsia" w:eastAsiaTheme="minorEastAsia"/>
          <w:color w:val="auto"/>
          <w:sz w:val="24"/>
          <w:highlight w:val="none"/>
        </w:rPr>
      </w:pPr>
      <w:r>
        <w:rPr>
          <w:rFonts w:cs="仿宋" w:asciiTheme="minorEastAsia" w:hAnsiTheme="minorEastAsia" w:eastAsiaTheme="minorEastAsia"/>
          <w:color w:val="auto"/>
          <w:sz w:val="24"/>
          <w:highlight w:val="none"/>
        </w:rPr>
        <w:t>9</w:t>
      </w:r>
      <w:r>
        <w:rPr>
          <w:rFonts w:hint="eastAsia" w:cs="仿宋" w:asciiTheme="minorEastAsia" w:hAnsiTheme="minorEastAsia" w:eastAsiaTheme="minorEastAsia"/>
          <w:color w:val="auto"/>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专此承诺。</w:t>
      </w:r>
    </w:p>
    <w:p>
      <w:pPr>
        <w:spacing w:line="360" w:lineRule="auto"/>
        <w:ind w:firstLine="480" w:firstLineChars="200"/>
        <w:jc w:val="both"/>
        <w:rPr>
          <w:rFonts w:cs="仿宋" w:asciiTheme="minorEastAsia" w:hAnsiTheme="minorEastAsia" w:eastAsiaTheme="minorEastAsia"/>
          <w:color w:val="auto"/>
          <w:sz w:val="24"/>
          <w:highlight w:val="none"/>
        </w:rPr>
      </w:pPr>
    </w:p>
    <w:p>
      <w:pPr>
        <w:spacing w:line="360" w:lineRule="auto"/>
        <w:ind w:firstLine="4320" w:firstLineChars="18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承诺单位</w:t>
      </w:r>
      <w:r>
        <w:rPr>
          <w:rFonts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rPr>
        <w:t>印刷体全称</w:t>
      </w:r>
      <w:r>
        <w:rPr>
          <w:rFonts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rPr>
        <w:t>单位公章</w:t>
      </w:r>
      <w:r>
        <w:rPr>
          <w:rFonts w:cs="仿宋" w:asciiTheme="minorEastAsia" w:hAnsiTheme="minorEastAsia" w:eastAsiaTheme="minorEastAsia"/>
          <w:color w:val="auto"/>
          <w:sz w:val="24"/>
          <w:highlight w:val="none"/>
        </w:rPr>
        <w:t>）：</w:t>
      </w:r>
    </w:p>
    <w:p>
      <w:pPr>
        <w:spacing w:line="360" w:lineRule="auto"/>
        <w:ind w:firstLine="3600" w:firstLineChars="15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承诺单位法定代表人或其委托代理人（印刷体+</w:t>
      </w:r>
      <w:r>
        <w:rPr>
          <w:rFonts w:cs="仿宋" w:asciiTheme="minorEastAsia" w:hAnsiTheme="minorEastAsia" w:eastAsiaTheme="minorEastAsia"/>
          <w:color w:val="auto"/>
          <w:sz w:val="24"/>
          <w:highlight w:val="none"/>
        </w:rPr>
        <w:t>签字）：</w:t>
      </w:r>
    </w:p>
    <w:p>
      <w:pPr>
        <w:ind w:firstLine="480" w:firstLineChars="200"/>
        <w:jc w:val="both"/>
        <w:rPr>
          <w:rFonts w:cs="仿宋" w:asciiTheme="minorEastAsia" w:hAnsiTheme="minorEastAsia" w:eastAsiaTheme="minorEastAsia"/>
          <w:color w:val="auto"/>
          <w:sz w:val="24"/>
          <w:highlight w:val="none"/>
        </w:rPr>
      </w:pP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年</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月</w:t>
      </w:r>
      <w:r>
        <w:rPr>
          <w:rFonts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rPr>
        <w:t>日</w:t>
      </w:r>
    </w:p>
    <w:p>
      <w:pPr>
        <w:spacing w:line="600" w:lineRule="exact"/>
        <w:jc w:val="center"/>
        <w:outlineLvl w:val="0"/>
        <w:rPr>
          <w:rFonts w:ascii="黑体" w:hAnsi="黑体" w:eastAsia="黑体" w:cs="仿宋"/>
          <w:color w:val="auto"/>
          <w:sz w:val="36"/>
          <w:szCs w:val="36"/>
          <w:highlight w:val="none"/>
        </w:rPr>
      </w:pPr>
      <w:r>
        <w:rPr>
          <w:rFonts w:hint="eastAsia" w:cs="仿宋" w:asciiTheme="minorEastAsia" w:hAnsiTheme="minorEastAsia" w:eastAsiaTheme="minorEastAsia"/>
          <w:color w:val="auto"/>
          <w:sz w:val="24"/>
          <w:highlight w:val="none"/>
        </w:rPr>
        <w:br w:type="page"/>
      </w:r>
      <w:bookmarkStart w:id="49" w:name="_Toc27389"/>
      <w:bookmarkStart w:id="50" w:name="_Toc6105_WPSOffice_Level1"/>
      <w:r>
        <w:rPr>
          <w:rFonts w:hint="eastAsia" w:ascii="黑体" w:hAnsi="黑体" w:eastAsia="黑体" w:cs="仿宋"/>
          <w:color w:val="auto"/>
          <w:sz w:val="36"/>
          <w:szCs w:val="36"/>
          <w:highlight w:val="none"/>
        </w:rPr>
        <w:t>二、授权委托书</w:t>
      </w:r>
      <w:bookmarkEnd w:id="49"/>
      <w:bookmarkEnd w:id="50"/>
    </w:p>
    <w:p>
      <w:pPr>
        <w:adjustRightInd w:val="0"/>
        <w:snapToGrid w:val="0"/>
        <w:spacing w:line="600" w:lineRule="exact"/>
        <w:ind w:left="420" w:leftChars="200"/>
        <w:jc w:val="both"/>
        <w:rPr>
          <w:rFonts w:cs="仿宋" w:asciiTheme="minorEastAsia" w:hAnsiTheme="minorEastAsia" w:eastAsiaTheme="minorEastAsia"/>
          <w:color w:val="auto"/>
          <w:sz w:val="24"/>
          <w:highlight w:val="none"/>
        </w:rPr>
      </w:pPr>
    </w:p>
    <w:p>
      <w:pPr>
        <w:adjustRightInd w:val="0"/>
        <w:snapToGrid w:val="0"/>
        <w:spacing w:line="600" w:lineRule="exact"/>
        <w:ind w:left="420" w:left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委托期限:自本委托书签署之日起至</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color w:val="auto"/>
          <w:sz w:val="24"/>
          <w:highlight w:val="none"/>
          <w:u w:val="none"/>
        </w:rPr>
      </w:pPr>
      <w:r>
        <w:rPr>
          <w:rFonts w:hint="eastAsia" w:cs="仿宋" w:asciiTheme="minorEastAsia" w:hAnsiTheme="minorEastAsia" w:eastAsiaTheme="minorEastAsia"/>
          <w:color w:val="auto"/>
          <w:sz w:val="24"/>
          <w:highlight w:val="none"/>
          <w:u w:val="none"/>
        </w:rPr>
        <w:t>年</w:t>
      </w:r>
      <w:r>
        <w:rPr>
          <w:rFonts w:hint="eastAsia" w:cs="仿宋" w:asciiTheme="minorEastAsia" w:hAnsiTheme="minorEastAsia" w:eastAsiaTheme="minorEastAsia"/>
          <w:color w:val="auto"/>
          <w:sz w:val="24"/>
          <w:highlight w:val="none"/>
          <w:u w:val="none"/>
          <w:lang w:val="en-US" w:eastAsia="zh-CN"/>
        </w:rPr>
        <w:t xml:space="preserve">   </w:t>
      </w:r>
      <w:r>
        <w:rPr>
          <w:rFonts w:hint="eastAsia" w:cs="仿宋" w:asciiTheme="minorEastAsia" w:hAnsiTheme="minorEastAsia" w:eastAsiaTheme="minorEastAsia"/>
          <w:color w:val="auto"/>
          <w:sz w:val="24"/>
          <w:highlight w:val="none"/>
          <w:u w:val="none"/>
        </w:rPr>
        <w:t>月</w:t>
      </w:r>
      <w:r>
        <w:rPr>
          <w:rFonts w:hint="eastAsia" w:cs="仿宋" w:asciiTheme="minorEastAsia" w:hAnsiTheme="minorEastAsia" w:eastAsiaTheme="minorEastAsia"/>
          <w:color w:val="auto"/>
          <w:sz w:val="24"/>
          <w:highlight w:val="none"/>
          <w:u w:val="none"/>
          <w:lang w:val="en-US" w:eastAsia="zh-CN"/>
        </w:rPr>
        <w:t xml:space="preserve">   </w:t>
      </w:r>
      <w:r>
        <w:rPr>
          <w:rFonts w:hint="eastAsia" w:cs="仿宋" w:asciiTheme="minorEastAsia" w:hAnsiTheme="minorEastAsia" w:eastAsiaTheme="minorEastAsia"/>
          <w:color w:val="auto"/>
          <w:sz w:val="24"/>
          <w:highlight w:val="none"/>
          <w:u w:val="none"/>
        </w:rPr>
        <w:t>日</w:t>
      </w: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spacing w:line="240" w:lineRule="auto"/>
        <w:jc w:val="center"/>
        <w:outlineLvl w:val="0"/>
        <w:rPr>
          <w:rFonts w:ascii="黑体" w:hAnsi="黑体" w:eastAsia="黑体" w:cs="仿宋"/>
          <w:color w:val="auto"/>
          <w:sz w:val="36"/>
          <w:szCs w:val="36"/>
          <w:highlight w:val="none"/>
        </w:rPr>
      </w:pPr>
      <w:bookmarkStart w:id="51" w:name="_Toc4406_WPSOffice_Level1"/>
      <w:bookmarkStart w:id="52" w:name="_Toc19"/>
      <w:r>
        <w:rPr>
          <w:rFonts w:hint="eastAsia" w:ascii="黑体" w:hAnsi="黑体" w:eastAsia="黑体" w:cs="仿宋"/>
          <w:color w:val="auto"/>
          <w:sz w:val="36"/>
          <w:szCs w:val="36"/>
          <w:highlight w:val="none"/>
          <w:lang w:eastAsia="zh-CN"/>
        </w:rPr>
        <w:t>三</w:t>
      </w:r>
      <w:r>
        <w:rPr>
          <w:rFonts w:hint="eastAsia" w:ascii="黑体" w:hAnsi="黑体" w:eastAsia="黑体" w:cs="仿宋"/>
          <w:color w:val="auto"/>
          <w:sz w:val="36"/>
          <w:szCs w:val="36"/>
          <w:highlight w:val="none"/>
        </w:rPr>
        <w:t>、商务和技术偏差表</w:t>
      </w:r>
      <w:bookmarkEnd w:id="51"/>
      <w:bookmarkEnd w:id="52"/>
    </w:p>
    <w:p>
      <w:pPr>
        <w:spacing w:line="600" w:lineRule="exact"/>
        <w:jc w:val="center"/>
        <w:rPr>
          <w:rFonts w:cs="仿宋" w:asciiTheme="minorEastAsia" w:hAnsiTheme="minorEastAsia" w:eastAsiaTheme="minorEastAsia"/>
          <w:color w:val="auto"/>
          <w:sz w:val="24"/>
          <w:highlight w:val="none"/>
        </w:rPr>
      </w:pP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序号</w:t>
            </w:r>
          </w:p>
        </w:tc>
        <w:tc>
          <w:tcPr>
            <w:tcW w:w="2982" w:type="dxa"/>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采购文件章节及条款号</w:t>
            </w:r>
          </w:p>
        </w:tc>
        <w:tc>
          <w:tcPr>
            <w:tcW w:w="2621" w:type="dxa"/>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响应文件章节及条款号</w:t>
            </w:r>
          </w:p>
        </w:tc>
        <w:tc>
          <w:tcPr>
            <w:tcW w:w="2307" w:type="dxa"/>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highlight w:val="none"/>
              </w:rPr>
            </w:pPr>
          </w:p>
        </w:tc>
        <w:tc>
          <w:tcPr>
            <w:tcW w:w="2982" w:type="dxa"/>
          </w:tcPr>
          <w:p>
            <w:pPr>
              <w:widowControl/>
              <w:spacing w:line="600" w:lineRule="exact"/>
              <w:jc w:val="both"/>
              <w:rPr>
                <w:rFonts w:cs="仿宋" w:asciiTheme="minorEastAsia" w:hAnsiTheme="minorEastAsia" w:eastAsiaTheme="minorEastAsia"/>
                <w:color w:val="auto"/>
                <w:sz w:val="24"/>
                <w:highlight w:val="none"/>
              </w:rPr>
            </w:pPr>
          </w:p>
        </w:tc>
        <w:tc>
          <w:tcPr>
            <w:tcW w:w="2621" w:type="dxa"/>
          </w:tcPr>
          <w:p>
            <w:pPr>
              <w:widowControl/>
              <w:spacing w:line="600" w:lineRule="exact"/>
              <w:jc w:val="both"/>
              <w:rPr>
                <w:rFonts w:cs="仿宋" w:asciiTheme="minorEastAsia" w:hAnsiTheme="minorEastAsia" w:eastAsiaTheme="minorEastAsia"/>
                <w:color w:val="auto"/>
                <w:sz w:val="24"/>
                <w:highlight w:val="none"/>
              </w:rPr>
            </w:pPr>
          </w:p>
        </w:tc>
        <w:tc>
          <w:tcPr>
            <w:tcW w:w="2307" w:type="dxa"/>
          </w:tcPr>
          <w:p>
            <w:pPr>
              <w:widowControl/>
              <w:spacing w:line="600" w:lineRule="exact"/>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highlight w:val="none"/>
              </w:rPr>
            </w:pPr>
          </w:p>
        </w:tc>
        <w:tc>
          <w:tcPr>
            <w:tcW w:w="2982" w:type="dxa"/>
          </w:tcPr>
          <w:p>
            <w:pPr>
              <w:widowControl/>
              <w:spacing w:line="600" w:lineRule="exact"/>
              <w:jc w:val="both"/>
              <w:rPr>
                <w:rFonts w:cs="仿宋" w:asciiTheme="minorEastAsia" w:hAnsiTheme="minorEastAsia" w:eastAsiaTheme="minorEastAsia"/>
                <w:color w:val="auto"/>
                <w:sz w:val="24"/>
                <w:highlight w:val="none"/>
              </w:rPr>
            </w:pPr>
          </w:p>
        </w:tc>
        <w:tc>
          <w:tcPr>
            <w:tcW w:w="2621" w:type="dxa"/>
          </w:tcPr>
          <w:p>
            <w:pPr>
              <w:widowControl/>
              <w:spacing w:line="600" w:lineRule="exact"/>
              <w:jc w:val="both"/>
              <w:rPr>
                <w:rFonts w:cs="仿宋" w:asciiTheme="minorEastAsia" w:hAnsiTheme="minorEastAsia" w:eastAsiaTheme="minorEastAsia"/>
                <w:color w:val="auto"/>
                <w:sz w:val="24"/>
                <w:highlight w:val="none"/>
              </w:rPr>
            </w:pPr>
          </w:p>
        </w:tc>
        <w:tc>
          <w:tcPr>
            <w:tcW w:w="2307" w:type="dxa"/>
          </w:tcPr>
          <w:p>
            <w:pPr>
              <w:widowControl/>
              <w:spacing w:line="600" w:lineRule="exact"/>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highlight w:val="none"/>
              </w:rPr>
            </w:pPr>
          </w:p>
        </w:tc>
        <w:tc>
          <w:tcPr>
            <w:tcW w:w="2982" w:type="dxa"/>
          </w:tcPr>
          <w:p>
            <w:pPr>
              <w:widowControl/>
              <w:spacing w:line="600" w:lineRule="exact"/>
              <w:jc w:val="both"/>
              <w:rPr>
                <w:rFonts w:cs="仿宋" w:asciiTheme="minorEastAsia" w:hAnsiTheme="minorEastAsia" w:eastAsiaTheme="minorEastAsia"/>
                <w:color w:val="auto"/>
                <w:sz w:val="24"/>
                <w:highlight w:val="none"/>
              </w:rPr>
            </w:pPr>
          </w:p>
        </w:tc>
        <w:tc>
          <w:tcPr>
            <w:tcW w:w="2621" w:type="dxa"/>
          </w:tcPr>
          <w:p>
            <w:pPr>
              <w:widowControl/>
              <w:spacing w:line="600" w:lineRule="exact"/>
              <w:jc w:val="both"/>
              <w:rPr>
                <w:rFonts w:cs="仿宋" w:asciiTheme="minorEastAsia" w:hAnsiTheme="minorEastAsia" w:eastAsiaTheme="minorEastAsia"/>
                <w:color w:val="auto"/>
                <w:sz w:val="24"/>
                <w:highlight w:val="none"/>
              </w:rPr>
            </w:pPr>
          </w:p>
        </w:tc>
        <w:tc>
          <w:tcPr>
            <w:tcW w:w="2307" w:type="dxa"/>
          </w:tcPr>
          <w:p>
            <w:pPr>
              <w:widowControl/>
              <w:spacing w:line="600" w:lineRule="exact"/>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highlight w:val="none"/>
              </w:rPr>
            </w:pPr>
          </w:p>
        </w:tc>
        <w:tc>
          <w:tcPr>
            <w:tcW w:w="2982" w:type="dxa"/>
          </w:tcPr>
          <w:p>
            <w:pPr>
              <w:widowControl/>
              <w:spacing w:line="600" w:lineRule="exact"/>
              <w:jc w:val="both"/>
              <w:rPr>
                <w:rFonts w:cs="仿宋" w:asciiTheme="minorEastAsia" w:hAnsiTheme="minorEastAsia" w:eastAsiaTheme="minorEastAsia"/>
                <w:color w:val="auto"/>
                <w:sz w:val="24"/>
                <w:highlight w:val="none"/>
              </w:rPr>
            </w:pPr>
          </w:p>
        </w:tc>
        <w:tc>
          <w:tcPr>
            <w:tcW w:w="2621" w:type="dxa"/>
          </w:tcPr>
          <w:p>
            <w:pPr>
              <w:widowControl/>
              <w:spacing w:line="600" w:lineRule="exact"/>
              <w:jc w:val="both"/>
              <w:rPr>
                <w:rFonts w:cs="仿宋" w:asciiTheme="minorEastAsia" w:hAnsiTheme="minorEastAsia" w:eastAsiaTheme="minorEastAsia"/>
                <w:color w:val="auto"/>
                <w:sz w:val="24"/>
                <w:highlight w:val="none"/>
              </w:rPr>
            </w:pPr>
          </w:p>
        </w:tc>
        <w:tc>
          <w:tcPr>
            <w:tcW w:w="2307" w:type="dxa"/>
          </w:tcPr>
          <w:p>
            <w:pPr>
              <w:widowControl/>
              <w:spacing w:line="600" w:lineRule="exact"/>
              <w:jc w:val="both"/>
              <w:rPr>
                <w:rFonts w:cs="仿宋" w:asciiTheme="minorEastAsia" w:hAnsiTheme="minorEastAsia" w:eastAsiaTheme="minorEastAsia"/>
                <w:color w:val="auto"/>
                <w:sz w:val="24"/>
                <w:highlight w:val="none"/>
              </w:rPr>
            </w:pPr>
          </w:p>
        </w:tc>
      </w:tr>
    </w:tbl>
    <w:p>
      <w:pPr>
        <w:spacing w:line="600" w:lineRule="exact"/>
        <w:ind w:left="420" w:left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供应商保证：除商务和技术偏差表列出的偏差外，供应商响应采购文件的全部要求。</w:t>
      </w: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spacing w:line="600" w:lineRule="exact"/>
        <w:ind w:left="0"/>
        <w:jc w:val="center"/>
        <w:outlineLvl w:val="0"/>
        <w:rPr>
          <w:rFonts w:ascii="黑体" w:hAnsi="黑体" w:eastAsia="黑体" w:cs="仿宋"/>
          <w:color w:val="auto"/>
          <w:sz w:val="36"/>
          <w:szCs w:val="36"/>
          <w:highlight w:val="none"/>
        </w:rPr>
      </w:pPr>
      <w:bookmarkStart w:id="53" w:name="_Toc6737_WPSOffice_Level1"/>
      <w:bookmarkStart w:id="54" w:name="_Toc16238"/>
      <w:r>
        <w:rPr>
          <w:rFonts w:hint="eastAsia" w:ascii="黑体" w:hAnsi="黑体" w:eastAsia="黑体" w:cs="仿宋"/>
          <w:color w:val="auto"/>
          <w:sz w:val="36"/>
          <w:szCs w:val="36"/>
          <w:highlight w:val="none"/>
          <w:lang w:eastAsia="zh-CN"/>
        </w:rPr>
        <w:t>四</w:t>
      </w:r>
      <w:r>
        <w:rPr>
          <w:rFonts w:hint="eastAsia" w:ascii="黑体" w:hAnsi="黑体" w:eastAsia="黑体" w:cs="仿宋"/>
          <w:color w:val="auto"/>
          <w:sz w:val="36"/>
          <w:szCs w:val="36"/>
          <w:highlight w:val="none"/>
        </w:rPr>
        <w:t>、报价表</w:t>
      </w:r>
      <w:bookmarkEnd w:id="53"/>
      <w:bookmarkEnd w:id="54"/>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1.报价表说明</w:t>
      </w:r>
    </w:p>
    <w:p>
      <w:pPr>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2.报价表</w:t>
      </w:r>
    </w:p>
    <w:tbl>
      <w:tblPr>
        <w:tblStyle w:val="38"/>
        <w:tblpPr w:leftFromText="180" w:rightFromText="180" w:vertAnchor="text" w:horzAnchor="page" w:tblpX="1158" w:tblpY="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24"/>
        <w:gridCol w:w="498"/>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序号</w:t>
            </w:r>
          </w:p>
        </w:tc>
        <w:tc>
          <w:tcPr>
            <w:tcW w:w="1424" w:type="dxa"/>
            <w:vMerge w:val="restart"/>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服务费用分项名称</w:t>
            </w:r>
          </w:p>
        </w:tc>
        <w:tc>
          <w:tcPr>
            <w:tcW w:w="498" w:type="dxa"/>
            <w:vMerge w:val="restart"/>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数量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单价</w:t>
            </w:r>
          </w:p>
        </w:tc>
        <w:tc>
          <w:tcPr>
            <w:tcW w:w="1706" w:type="dxa"/>
            <w:vMerge w:val="restart"/>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总价</w:t>
            </w:r>
          </w:p>
        </w:tc>
        <w:tc>
          <w:tcPr>
            <w:tcW w:w="627" w:type="dxa"/>
            <w:vMerge w:val="restart"/>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color w:val="auto"/>
                <w:sz w:val="24"/>
                <w:highlight w:val="none"/>
              </w:rPr>
            </w:pPr>
          </w:p>
        </w:tc>
        <w:tc>
          <w:tcPr>
            <w:tcW w:w="1424" w:type="dxa"/>
            <w:vMerge w:val="continue"/>
            <w:vAlign w:val="center"/>
          </w:tcPr>
          <w:p>
            <w:pPr>
              <w:widowControl/>
              <w:spacing w:line="312" w:lineRule="auto"/>
              <w:jc w:val="center"/>
              <w:rPr>
                <w:rFonts w:cs="仿宋" w:asciiTheme="minorEastAsia" w:hAnsiTheme="minorEastAsia" w:eastAsiaTheme="minorEastAsia"/>
                <w:color w:val="auto"/>
                <w:sz w:val="24"/>
                <w:highlight w:val="none"/>
              </w:rPr>
            </w:pPr>
          </w:p>
        </w:tc>
        <w:tc>
          <w:tcPr>
            <w:tcW w:w="498" w:type="dxa"/>
            <w:vMerge w:val="continue"/>
            <w:vAlign w:val="center"/>
          </w:tcPr>
          <w:p>
            <w:pPr>
              <w:widowControl/>
              <w:spacing w:line="312" w:lineRule="auto"/>
              <w:jc w:val="center"/>
              <w:rPr>
                <w:rFonts w:cs="仿宋" w:asciiTheme="minorEastAsia" w:hAnsiTheme="minorEastAsia" w:eastAsiaTheme="minorEastAsia"/>
                <w:color w:val="auto"/>
                <w:sz w:val="24"/>
                <w:highlight w:val="none"/>
              </w:rPr>
            </w:pPr>
          </w:p>
        </w:tc>
        <w:tc>
          <w:tcPr>
            <w:tcW w:w="961"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color w:val="auto"/>
                <w:sz w:val="24"/>
                <w:highlight w:val="none"/>
              </w:rPr>
            </w:pPr>
          </w:p>
        </w:tc>
        <w:tc>
          <w:tcPr>
            <w:tcW w:w="961"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p>
        </w:tc>
        <w:tc>
          <w:tcPr>
            <w:tcW w:w="1424" w:type="dxa"/>
            <w:vAlign w:val="center"/>
          </w:tcPr>
          <w:p>
            <w:pPr>
              <w:widowControl/>
              <w:spacing w:line="312" w:lineRule="auto"/>
              <w:jc w:val="center"/>
              <w:rPr>
                <w:rFonts w:hint="default" w:cs="仿宋" w:asciiTheme="minorEastAsia" w:hAnsiTheme="minorEastAsia" w:eastAsiaTheme="minorEastAsia"/>
                <w:color w:val="auto"/>
                <w:sz w:val="24"/>
                <w:highlight w:val="none"/>
                <w:lang w:val="en-US"/>
              </w:rPr>
            </w:pPr>
          </w:p>
        </w:tc>
        <w:tc>
          <w:tcPr>
            <w:tcW w:w="498" w:type="dxa"/>
            <w:vAlign w:val="center"/>
          </w:tcPr>
          <w:p>
            <w:pPr>
              <w:widowControl/>
              <w:spacing w:line="312" w:lineRule="auto"/>
              <w:jc w:val="center"/>
              <w:rPr>
                <w:rFonts w:hint="default" w:cs="仿宋" w:asciiTheme="minorEastAsia" w:hAnsiTheme="minorEastAsia" w:eastAsiaTheme="minorEastAsia"/>
                <w:color w:val="auto"/>
                <w:sz w:val="24"/>
                <w:highlight w:val="none"/>
                <w:lang w:val="en-US" w:eastAsia="zh-CN"/>
              </w:rPr>
            </w:pPr>
          </w:p>
        </w:tc>
        <w:tc>
          <w:tcPr>
            <w:tcW w:w="961"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627"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850"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1706"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961"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627"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850"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627" w:type="dxa"/>
            <w:vAlign w:val="center"/>
          </w:tcPr>
          <w:p>
            <w:pPr>
              <w:widowControl/>
              <w:spacing w:line="312" w:lineRule="auto"/>
              <w:jc w:val="center"/>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合计报价</w:t>
            </w:r>
          </w:p>
        </w:tc>
        <w:tc>
          <w:tcPr>
            <w:tcW w:w="1706" w:type="dxa"/>
            <w:vAlign w:val="center"/>
          </w:tcPr>
          <w:p>
            <w:pPr>
              <w:widowControl/>
              <w:spacing w:line="600" w:lineRule="exact"/>
              <w:jc w:val="center"/>
              <w:rPr>
                <w:rFonts w:cs="仿宋" w:asciiTheme="minorEastAsia" w:hAnsiTheme="minorEastAsia" w:eastAsiaTheme="minorEastAsia"/>
                <w:color w:val="auto"/>
                <w:sz w:val="24"/>
                <w:highlight w:val="none"/>
              </w:rPr>
            </w:pPr>
          </w:p>
        </w:tc>
        <w:tc>
          <w:tcPr>
            <w:tcW w:w="961" w:type="dxa"/>
            <w:vAlign w:val="center"/>
          </w:tcPr>
          <w:p>
            <w:pPr>
              <w:widowControl/>
              <w:spacing w:line="600" w:lineRule="exact"/>
              <w:jc w:val="center"/>
              <w:rPr>
                <w:rFonts w:cs="仿宋" w:asciiTheme="minorEastAsia" w:hAnsiTheme="minorEastAsia" w:eastAsiaTheme="minorEastAsia"/>
                <w:color w:val="auto"/>
                <w:sz w:val="24"/>
                <w:highlight w:val="none"/>
              </w:rPr>
            </w:pPr>
          </w:p>
        </w:tc>
        <w:tc>
          <w:tcPr>
            <w:tcW w:w="627" w:type="dxa"/>
            <w:vAlign w:val="center"/>
          </w:tcPr>
          <w:p>
            <w:pPr>
              <w:widowControl/>
              <w:spacing w:line="600" w:lineRule="exact"/>
              <w:jc w:val="center"/>
              <w:rPr>
                <w:rFonts w:cs="仿宋" w:asciiTheme="minorEastAsia" w:hAnsiTheme="minorEastAsia" w:eastAsiaTheme="minorEastAsia"/>
                <w:color w:val="auto"/>
                <w:sz w:val="24"/>
                <w:highlight w:val="none"/>
              </w:rPr>
            </w:pPr>
          </w:p>
        </w:tc>
        <w:tc>
          <w:tcPr>
            <w:tcW w:w="850" w:type="dxa"/>
            <w:vAlign w:val="center"/>
          </w:tcPr>
          <w:p>
            <w:pPr>
              <w:widowControl/>
              <w:spacing w:line="600" w:lineRule="exact"/>
              <w:jc w:val="center"/>
              <w:rPr>
                <w:rFonts w:cs="仿宋" w:asciiTheme="minorEastAsia" w:hAnsiTheme="minorEastAsia" w:eastAsiaTheme="minorEastAsia"/>
                <w:color w:val="auto"/>
                <w:sz w:val="24"/>
                <w:highlight w:val="none"/>
              </w:rPr>
            </w:pPr>
          </w:p>
        </w:tc>
        <w:tc>
          <w:tcPr>
            <w:tcW w:w="627" w:type="dxa"/>
            <w:vAlign w:val="center"/>
          </w:tcPr>
          <w:p>
            <w:pPr>
              <w:widowControl/>
              <w:spacing w:line="600" w:lineRule="exact"/>
              <w:jc w:val="center"/>
              <w:rPr>
                <w:rFonts w:cs="仿宋" w:asciiTheme="minorEastAsia" w:hAnsiTheme="minorEastAsia" w:eastAsiaTheme="minorEastAsia"/>
                <w:color w:val="auto"/>
                <w:sz w:val="24"/>
                <w:highlight w:val="none"/>
              </w:rPr>
            </w:pPr>
          </w:p>
        </w:tc>
      </w:tr>
    </w:tbl>
    <w:p>
      <w:pPr>
        <w:autoSpaceDE w:val="0"/>
        <w:spacing w:line="400" w:lineRule="exact"/>
        <w:jc w:val="both"/>
        <w:rPr>
          <w:rFonts w:hint="eastAsia" w:ascii="宋体" w:hAnsi="宋体"/>
          <w:b w:val="0"/>
          <w:bCs w:val="0"/>
          <w:color w:val="auto"/>
          <w:sz w:val="24"/>
          <w:highlight w:val="none"/>
          <w:lang w:eastAsia="zh-CN"/>
        </w:rPr>
      </w:pPr>
      <w:r>
        <w:rPr>
          <w:rFonts w:hint="eastAsia" w:cs="仿宋" w:asciiTheme="minorEastAsia" w:hAnsiTheme="minorEastAsia" w:eastAsiaTheme="minorEastAsia"/>
          <w:color w:val="auto"/>
          <w:sz w:val="24"/>
          <w:highlight w:val="none"/>
        </w:rPr>
        <w:t>注</w:t>
      </w:r>
      <w:r>
        <w:rPr>
          <w:rFonts w:hint="eastAsia" w:cs="仿宋" w:asciiTheme="minorEastAsia" w:hAnsiTheme="minorEastAsia" w:eastAsiaTheme="minorEastAsia"/>
          <w:color w:val="auto"/>
          <w:sz w:val="24"/>
          <w:highlight w:val="none"/>
          <w:lang w:val="en-US" w:eastAsia="zh-CN"/>
        </w:rPr>
        <w:t>:1、</w:t>
      </w:r>
      <w:r>
        <w:rPr>
          <w:rFonts w:hint="eastAsia" w:ascii="宋体" w:hAnsi="宋体"/>
          <w:b w:val="0"/>
          <w:bCs w:val="0"/>
          <w:color w:val="auto"/>
          <w:sz w:val="24"/>
          <w:highlight w:val="none"/>
          <w:u w:val="none"/>
          <w:lang w:val="en-US" w:eastAsia="zh-CN"/>
        </w:rPr>
        <w:t>招标人为本次招标编制了最高投标限价，最高限价：351人*1000元/人+106人*1200=478200元。即肆拾柒万捌仟贰佰元整。提供6%的的增值税专用发票，超过最高限价的作废。如果报价人提供其他税率的增值税专用发票，招标人按6%的的增值税税率调整报价后参与排序。</w:t>
      </w:r>
    </w:p>
    <w:p>
      <w:pPr>
        <w:spacing w:line="600" w:lineRule="exact"/>
        <w:ind w:left="0" w:leftChars="0" w:firstLine="0" w:firstLineChars="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val="en-US" w:eastAsia="zh-CN"/>
        </w:rPr>
        <w:t>2、</w:t>
      </w:r>
      <w:r>
        <w:rPr>
          <w:rFonts w:hint="eastAsia" w:cs="仿宋" w:asciiTheme="minorEastAsia" w:hAnsiTheme="minorEastAsia" w:eastAsiaTheme="minorEastAsia"/>
          <w:color w:val="auto"/>
          <w:sz w:val="24"/>
          <w:highlight w:val="none"/>
        </w:rPr>
        <w:t>若分项费用的计算依据、过程和公式不便在表中表述，可单独另附表格或描述进行说明。</w:t>
      </w: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spacing w:line="600" w:lineRule="exact"/>
        <w:jc w:val="center"/>
        <w:outlineLvl w:val="0"/>
        <w:rPr>
          <w:rFonts w:ascii="黑体" w:hAnsi="黑体" w:eastAsia="黑体" w:cs="仿宋"/>
          <w:color w:val="auto"/>
          <w:sz w:val="36"/>
          <w:szCs w:val="36"/>
          <w:highlight w:val="none"/>
        </w:rPr>
      </w:pPr>
      <w:bookmarkStart w:id="55" w:name="_Toc24758"/>
      <w:bookmarkStart w:id="56" w:name="_Toc25816_WPSOffice_Level1"/>
      <w:r>
        <w:rPr>
          <w:rFonts w:hint="eastAsia" w:ascii="黑体" w:hAnsi="黑体" w:eastAsia="黑体" w:cs="仿宋"/>
          <w:color w:val="auto"/>
          <w:sz w:val="36"/>
          <w:szCs w:val="36"/>
          <w:highlight w:val="none"/>
          <w:lang w:eastAsia="zh-CN"/>
        </w:rPr>
        <w:t>五</w:t>
      </w:r>
      <w:r>
        <w:rPr>
          <w:rFonts w:hint="eastAsia" w:ascii="黑体" w:hAnsi="黑体" w:eastAsia="黑体" w:cs="仿宋"/>
          <w:color w:val="auto"/>
          <w:sz w:val="36"/>
          <w:szCs w:val="36"/>
          <w:highlight w:val="none"/>
        </w:rPr>
        <w:t>、资格审查资料</w:t>
      </w:r>
      <w:bookmarkEnd w:id="55"/>
      <w:bookmarkEnd w:id="56"/>
    </w:p>
    <w:p>
      <w:pPr>
        <w:spacing w:line="600" w:lineRule="exact"/>
        <w:jc w:val="center"/>
        <w:rPr>
          <w:rFonts w:ascii="黑体" w:hAnsi="黑体" w:eastAsia="黑体" w:cs="仿宋"/>
          <w:color w:val="auto"/>
          <w:sz w:val="36"/>
          <w:szCs w:val="36"/>
          <w:highlight w:val="none"/>
        </w:rPr>
      </w:pP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（一）基本情况</w:t>
      </w:r>
    </w:p>
    <w:p>
      <w:pPr>
        <w:spacing w:line="600" w:lineRule="exact"/>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供应商应根据供应商须知前附表第3.5（1）项和第3.5（2）项的要求提供主体资格证明及相关资质证明资料。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供应商还应根据供应商须知前附表第3.5（8）项的要求提供其他相关证明材料。</w:t>
      </w:r>
    </w:p>
    <w:p>
      <w:pPr>
        <w:spacing w:line="600" w:lineRule="exact"/>
        <w:jc w:val="both"/>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eastAsia="zh-CN"/>
        </w:rPr>
        <w:t>二</w:t>
      </w:r>
      <w:r>
        <w:rPr>
          <w:rFonts w:hint="eastAsia" w:cs="仿宋" w:asciiTheme="minorEastAsia" w:hAnsiTheme="minorEastAsia" w:eastAsiaTheme="minorEastAsia"/>
          <w:color w:val="auto"/>
          <w:sz w:val="24"/>
          <w:highlight w:val="none"/>
        </w:rPr>
        <w:t>）近年的类似</w:t>
      </w:r>
      <w:r>
        <w:rPr>
          <w:rFonts w:hint="eastAsia" w:cs="仿宋" w:asciiTheme="minorEastAsia" w:hAnsiTheme="minorEastAsia" w:eastAsiaTheme="minorEastAsia"/>
          <w:color w:val="auto"/>
          <w:sz w:val="24"/>
          <w:highlight w:val="none"/>
          <w:lang w:eastAsia="zh-CN"/>
        </w:rPr>
        <w:t>项目</w:t>
      </w:r>
      <w:r>
        <w:rPr>
          <w:rFonts w:hint="eastAsia" w:cs="仿宋" w:asciiTheme="minorEastAsia" w:hAnsiTheme="minorEastAsia" w:eastAsiaTheme="minorEastAsia"/>
          <w:color w:val="auto"/>
          <w:sz w:val="24"/>
          <w:highlight w:val="none"/>
        </w:rPr>
        <w:t>情况表</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项目名称</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服务内容</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委托人/发包人名称</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委托人/发包人联系人及电话</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合同价格</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服务是否完成</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项目负责人（如有）</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项目概况及供应商履约情况</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备注</w:t>
            </w:r>
          </w:p>
        </w:tc>
        <w:tc>
          <w:tcPr>
            <w:tcW w:w="1585"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c>
          <w:tcPr>
            <w:tcW w:w="1971" w:type="dxa"/>
          </w:tcPr>
          <w:p>
            <w:pPr>
              <w:widowControl/>
              <w:spacing w:line="288" w:lineRule="auto"/>
              <w:jc w:val="both"/>
              <w:rPr>
                <w:rFonts w:cs="仿宋" w:asciiTheme="minorEastAsia" w:hAnsiTheme="minorEastAsia" w:eastAsiaTheme="minorEastAsia"/>
                <w:color w:val="auto"/>
                <w:sz w:val="24"/>
                <w:highlight w:val="none"/>
              </w:rPr>
            </w:pPr>
          </w:p>
        </w:tc>
      </w:tr>
    </w:tbl>
    <w:p>
      <w:pPr>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注：供应商应根据供应商须知前附表第3.5（4）项的要求在本表后附相关证明材料。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如：提供类似</w:t>
      </w:r>
      <w:r>
        <w:rPr>
          <w:rFonts w:hint="eastAsia" w:cs="宋体" w:asciiTheme="minorEastAsia" w:hAnsiTheme="minorEastAsia" w:eastAsiaTheme="minorEastAsia"/>
          <w:color w:val="auto"/>
          <w:sz w:val="24"/>
          <w:highlight w:val="none"/>
        </w:rPr>
        <w:t>业绩</w:t>
      </w:r>
      <w:r>
        <w:rPr>
          <w:rFonts w:hint="eastAsia" w:cs="宋体" w:asciiTheme="minorEastAsia" w:hAnsiTheme="minorEastAsia" w:eastAsiaTheme="minorEastAsia"/>
          <w:color w:val="auto"/>
          <w:sz w:val="24"/>
          <w:highlight w:val="none"/>
          <w:lang w:val="en-US" w:eastAsia="zh-CN"/>
        </w:rPr>
        <w:t>合同和业主证明的复印件不少于二份</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并加盖公章。</w:t>
      </w:r>
    </w:p>
    <w:p>
      <w:pPr>
        <w:pStyle w:val="6"/>
        <w:rPr>
          <w:rFonts w:hint="default" w:eastAsiaTheme="minorEastAsia"/>
          <w:color w:val="auto"/>
          <w:highlight w:val="none"/>
          <w:lang w:val="en-US" w:eastAsia="zh-CN"/>
        </w:rPr>
      </w:pP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eastAsia="zh-CN"/>
        </w:rPr>
        <w:t>三</w:t>
      </w:r>
      <w:r>
        <w:rPr>
          <w:rFonts w:hint="eastAsia" w:cs="仿宋" w:asciiTheme="minorEastAsia" w:hAnsiTheme="minorEastAsia" w:eastAsiaTheme="minorEastAsia"/>
          <w:color w:val="auto"/>
          <w:sz w:val="24"/>
          <w:highlight w:val="none"/>
        </w:rPr>
        <w:t>）拟委任的人员汇总表</w:t>
      </w: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lang w:val="en-US" w:eastAsia="zh-CN"/>
        </w:rPr>
        <w:t>如有</w:t>
      </w:r>
      <w:r>
        <w:rPr>
          <w:rFonts w:hint="eastAsia" w:cs="仿宋" w:asciiTheme="minorEastAsia" w:hAnsiTheme="minorEastAsia" w:eastAsiaTheme="minorEastAsia"/>
          <w:color w:val="auto"/>
          <w:sz w:val="24"/>
          <w:highlight w:val="none"/>
          <w:lang w:eastAsia="zh-CN"/>
        </w:rPr>
        <w:t>）</w:t>
      </w:r>
    </w:p>
    <w:tbl>
      <w:tblPr>
        <w:tblStyle w:val="37"/>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050"/>
        <w:gridCol w:w="1050"/>
        <w:gridCol w:w="1515"/>
        <w:gridCol w:w="384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姓名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性别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eastAsia="zh-CN"/>
              </w:rPr>
              <w:t>本项目任</w:t>
            </w:r>
            <w:r>
              <w:rPr>
                <w:rFonts w:hint="eastAsia" w:ascii="宋体" w:hAnsi="宋体" w:cs="宋体"/>
                <w:i w:val="0"/>
                <w:iCs w:val="0"/>
                <w:color w:val="auto"/>
                <w:sz w:val="24"/>
                <w:szCs w:val="24"/>
                <w:highlight w:val="none"/>
                <w:u w:val="none"/>
                <w:lang w:val="en-US" w:eastAsia="zh-CN"/>
              </w:rPr>
              <w:t>职</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身份证号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highlight w:val="none"/>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highlight w:val="none"/>
                <w:u w:val="none"/>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highlight w:val="none"/>
                <w:u w:val="none"/>
              </w:rPr>
            </w:pPr>
          </w:p>
        </w:tc>
      </w:tr>
    </w:tbl>
    <w:p>
      <w:pPr>
        <w:jc w:val="both"/>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adjustRightInd/>
        <w:snapToGrid/>
        <w:spacing w:line="240" w:lineRule="auto"/>
        <w:jc w:val="left"/>
        <w:outlineLvl w:val="9"/>
        <w:rPr>
          <w:rFonts w:hint="eastAsia" w:ascii="黑体" w:hAnsi="黑体" w:eastAsia="黑体" w:cs="仿宋"/>
          <w:color w:val="auto"/>
          <w:sz w:val="36"/>
          <w:szCs w:val="36"/>
          <w:highlight w:val="none"/>
          <w:lang w:eastAsia="zh-CN"/>
        </w:rPr>
      </w:pPr>
      <w:bookmarkStart w:id="57" w:name="_Toc2844"/>
    </w:p>
    <w:p>
      <w:pPr>
        <w:adjustRightInd w:val="0"/>
        <w:snapToGrid w:val="0"/>
        <w:spacing w:line="600" w:lineRule="exact"/>
        <w:jc w:val="center"/>
        <w:outlineLvl w:val="0"/>
        <w:rPr>
          <w:rFonts w:hint="eastAsia" w:ascii="黑体" w:hAnsi="黑体" w:eastAsia="黑体" w:cs="仿宋"/>
          <w:color w:val="auto"/>
          <w:sz w:val="36"/>
          <w:szCs w:val="36"/>
          <w:highlight w:val="none"/>
          <w:lang w:eastAsia="zh-CN"/>
        </w:rPr>
      </w:pPr>
      <w:bookmarkStart w:id="58" w:name="_Toc17261_WPSOffice_Level1"/>
      <w:r>
        <w:rPr>
          <w:rFonts w:hint="eastAsia" w:ascii="黑体" w:hAnsi="黑体" w:eastAsia="黑体" w:cs="仿宋"/>
          <w:color w:val="auto"/>
          <w:sz w:val="36"/>
          <w:szCs w:val="36"/>
          <w:highlight w:val="none"/>
          <w:lang w:eastAsia="zh-CN"/>
        </w:rPr>
        <w:t>六</w:t>
      </w:r>
      <w:r>
        <w:rPr>
          <w:rFonts w:hint="eastAsia" w:ascii="黑体" w:hAnsi="黑体" w:eastAsia="黑体" w:cs="仿宋"/>
          <w:color w:val="auto"/>
          <w:sz w:val="36"/>
          <w:szCs w:val="36"/>
          <w:highlight w:val="none"/>
        </w:rPr>
        <w:t>、响应方案</w:t>
      </w:r>
      <w:bookmarkEnd w:id="57"/>
      <w:bookmarkEnd w:id="58"/>
    </w:p>
    <w:p>
      <w:pPr>
        <w:pStyle w:val="2"/>
        <w:rPr>
          <w:rFonts w:hint="eastAsia"/>
          <w:color w:val="auto"/>
          <w:highlight w:val="none"/>
          <w:lang w:eastAsia="zh-CN"/>
        </w:rPr>
      </w:pPr>
    </w:p>
    <w:p>
      <w:pPr>
        <w:adjustRightInd w:val="0"/>
        <w:snapToGrid w:val="0"/>
        <w:spacing w:line="600" w:lineRule="exact"/>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6</w:t>
      </w:r>
      <w:r>
        <w:rPr>
          <w:rFonts w:hint="eastAsia" w:cs="仿宋" w:asciiTheme="minorEastAsia" w:hAnsiTheme="minorEastAsia" w:eastAsiaTheme="minorEastAsia"/>
          <w:color w:val="auto"/>
          <w:sz w:val="24"/>
          <w:highlight w:val="none"/>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7</w:t>
      </w:r>
      <w:r>
        <w:rPr>
          <w:rFonts w:hint="eastAsia" w:cs="仿宋" w:asciiTheme="minorEastAsia" w:hAnsiTheme="minorEastAsia" w:eastAsiaTheme="minorEastAsia"/>
          <w:color w:val="auto"/>
          <w:sz w:val="24"/>
          <w:highlight w:val="none"/>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8</w:t>
      </w:r>
      <w:r>
        <w:rPr>
          <w:rFonts w:hint="eastAsia" w:cs="仿宋" w:asciiTheme="minorEastAsia" w:hAnsiTheme="minorEastAsia" w:eastAsiaTheme="minorEastAsia"/>
          <w:color w:val="auto"/>
          <w:sz w:val="24"/>
          <w:highlight w:val="none"/>
        </w:rPr>
        <w:t>)对本项目的合理化建议。</w:t>
      </w: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adjustRightInd w:val="0"/>
        <w:snapToGrid w:val="0"/>
        <w:spacing w:line="600" w:lineRule="exact"/>
        <w:jc w:val="center"/>
        <w:outlineLvl w:val="0"/>
        <w:rPr>
          <w:rFonts w:ascii="黑体" w:hAnsi="黑体" w:eastAsia="黑体" w:cs="仿宋"/>
          <w:color w:val="auto"/>
          <w:sz w:val="36"/>
          <w:szCs w:val="36"/>
          <w:highlight w:val="none"/>
        </w:rPr>
      </w:pPr>
      <w:bookmarkStart w:id="59" w:name="_Toc24102_WPSOffice_Level1"/>
      <w:bookmarkStart w:id="60" w:name="_Toc10499"/>
      <w:r>
        <w:rPr>
          <w:rFonts w:hint="eastAsia" w:ascii="黑体" w:hAnsi="黑体" w:eastAsia="黑体" w:cs="仿宋"/>
          <w:color w:val="auto"/>
          <w:sz w:val="36"/>
          <w:szCs w:val="36"/>
          <w:highlight w:val="none"/>
          <w:lang w:eastAsia="zh-CN"/>
        </w:rPr>
        <w:t>七</w:t>
      </w:r>
      <w:r>
        <w:rPr>
          <w:rFonts w:hint="eastAsia" w:ascii="黑体" w:hAnsi="黑体" w:eastAsia="黑体" w:cs="仿宋"/>
          <w:color w:val="auto"/>
          <w:sz w:val="36"/>
          <w:szCs w:val="36"/>
          <w:highlight w:val="none"/>
        </w:rPr>
        <w:t>、其他资料</w:t>
      </w:r>
      <w:bookmarkEnd w:id="59"/>
      <w:bookmarkEnd w:id="60"/>
    </w:p>
    <w:p>
      <w:pPr>
        <w:adjustRightInd w:val="0"/>
        <w:snapToGrid w:val="0"/>
        <w:spacing w:line="600" w:lineRule="exact"/>
        <w:ind w:left="420" w:leftChars="200"/>
        <w:jc w:val="both"/>
        <w:rPr>
          <w:rFonts w:cs="仿宋" w:asciiTheme="minorEastAsia" w:hAnsiTheme="minorEastAsia" w:eastAsiaTheme="minorEastAsia"/>
          <w:color w:val="auto"/>
          <w:sz w:val="24"/>
          <w:highlight w:val="none"/>
        </w:rPr>
      </w:pPr>
    </w:p>
    <w:p>
      <w:pPr>
        <w:adjustRightInd w:val="0"/>
        <w:snapToGrid w:val="0"/>
        <w:spacing w:line="600" w:lineRule="exact"/>
        <w:ind w:left="420" w:left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供应商需提交的其他资料。</w:t>
      </w:r>
    </w:p>
    <w:p>
      <w:pPr>
        <w:spacing w:line="240" w:lineRule="auto"/>
        <w:jc w:val="both"/>
        <w:rPr>
          <w:rFonts w:asciiTheme="minorEastAsia" w:hAnsiTheme="minorEastAsia" w:eastAsiaTheme="minorEastAsia"/>
          <w:color w:val="auto"/>
          <w:sz w:val="24"/>
          <w:highlight w:val="none"/>
        </w:rPr>
      </w:pPr>
    </w:p>
    <w:p>
      <w:pPr>
        <w:rPr>
          <w:color w:val="auto"/>
          <w:highlight w:val="none"/>
        </w:rPr>
      </w:pPr>
    </w:p>
    <w:sectPr>
      <w:footerReference r:id="rId9" w:type="default"/>
      <w:pgSz w:w="11906" w:h="16838"/>
      <w:pgMar w:top="1440" w:right="1080" w:bottom="1440" w:left="1080" w:header="851" w:footer="1344" w:gutter="0"/>
      <w:pgNumType w:fmt="decimal"/>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蔡艳" w:date="2021-12-25T16:22:54Z" w:initials="">
    <w:p w14:paraId="59754AAA">
      <w:pPr>
        <w:pStyle w:val="12"/>
        <w:rPr>
          <w:rFonts w:hint="default" w:eastAsia="宋体"/>
          <w:lang w:val="en-US" w:eastAsia="zh-CN"/>
        </w:rPr>
      </w:pPr>
      <w:r>
        <w:rPr>
          <w:rFonts w:hint="eastAsia"/>
          <w:lang w:val="en-US" w:eastAsia="zh-CN"/>
        </w:rPr>
        <w:t>前面招标公告中对医生米没做要求，合同中又提了要求，需要一致。</w:t>
      </w:r>
    </w:p>
  </w:comment>
  <w:comment w:id="1" w:author="蔡艳" w:date="2021-12-25T16:22:54Z" w:initials="">
    <w:p w14:paraId="75CB4ACD">
      <w:pPr>
        <w:pStyle w:val="12"/>
        <w:rPr>
          <w:rFonts w:hint="default" w:eastAsia="宋体"/>
          <w:lang w:val="en-US" w:eastAsia="zh-CN"/>
        </w:rPr>
      </w:pPr>
      <w:r>
        <w:rPr>
          <w:rFonts w:hint="eastAsia"/>
          <w:lang w:val="en-US" w:eastAsia="zh-CN"/>
        </w:rPr>
        <w:t>前面招标公告中对医生米没做要求，合同中又提了要求，需要一致。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754AAA" w15:done="0"/>
  <w15:commentEx w15:paraId="75CB4A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7"/>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ED67"/>
    <w:multiLevelType w:val="singleLevel"/>
    <w:tmpl w:val="03ECED67"/>
    <w:lvl w:ilvl="0" w:tentative="0">
      <w:start w:val="4"/>
      <w:numFmt w:val="decimal"/>
      <w:lvlText w:val="%1."/>
      <w:lvlJc w:val="left"/>
      <w:pPr>
        <w:tabs>
          <w:tab w:val="left" w:pos="312"/>
        </w:tabs>
      </w:pPr>
    </w:lvl>
  </w:abstractNum>
  <w:abstractNum w:abstractNumId="1">
    <w:nsid w:val="3601A173"/>
    <w:multiLevelType w:val="singleLevel"/>
    <w:tmpl w:val="3601A173"/>
    <w:lvl w:ilvl="0" w:tentative="0">
      <w:start w:val="1"/>
      <w:numFmt w:val="chineseCounting"/>
      <w:suff w:val="nothing"/>
      <w:lvlText w:val="%1、"/>
      <w:lvlJc w:val="left"/>
      <w:rPr>
        <w:rFonts w:hint="eastAsia"/>
      </w:rPr>
    </w:lvl>
  </w:abstractNum>
  <w:abstractNum w:abstractNumId="2">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艳">
    <w15:presenceInfo w15:providerId="None" w15:userId="蔡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960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32BB"/>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1550"/>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97B8B"/>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C6ADC"/>
    <w:rsid w:val="005E5529"/>
    <w:rsid w:val="005F29AC"/>
    <w:rsid w:val="005F3C29"/>
    <w:rsid w:val="005F499C"/>
    <w:rsid w:val="00602185"/>
    <w:rsid w:val="00610597"/>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06C6"/>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25D1"/>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7716F4"/>
    <w:rsid w:val="0181787D"/>
    <w:rsid w:val="018856AF"/>
    <w:rsid w:val="01AC7279"/>
    <w:rsid w:val="01BD35AB"/>
    <w:rsid w:val="01E50D53"/>
    <w:rsid w:val="01E66FA5"/>
    <w:rsid w:val="01EB3062"/>
    <w:rsid w:val="01F9035B"/>
    <w:rsid w:val="0262063F"/>
    <w:rsid w:val="02BF77F6"/>
    <w:rsid w:val="02D212D8"/>
    <w:rsid w:val="046C3066"/>
    <w:rsid w:val="047005FC"/>
    <w:rsid w:val="047F3799"/>
    <w:rsid w:val="04893C18"/>
    <w:rsid w:val="056621AB"/>
    <w:rsid w:val="05AB5805"/>
    <w:rsid w:val="05EF1FFE"/>
    <w:rsid w:val="05FE58B2"/>
    <w:rsid w:val="0603143D"/>
    <w:rsid w:val="065A1D10"/>
    <w:rsid w:val="071C2DD7"/>
    <w:rsid w:val="076524A3"/>
    <w:rsid w:val="07C35693"/>
    <w:rsid w:val="07CC4803"/>
    <w:rsid w:val="07F12200"/>
    <w:rsid w:val="0802440D"/>
    <w:rsid w:val="08246246"/>
    <w:rsid w:val="089237A2"/>
    <w:rsid w:val="09C6304D"/>
    <w:rsid w:val="09E244F6"/>
    <w:rsid w:val="0A0F27C8"/>
    <w:rsid w:val="0A2C5771"/>
    <w:rsid w:val="0A8C7FBE"/>
    <w:rsid w:val="0AD11E75"/>
    <w:rsid w:val="0AED2D32"/>
    <w:rsid w:val="0B27418B"/>
    <w:rsid w:val="0B30278F"/>
    <w:rsid w:val="0B6B1C72"/>
    <w:rsid w:val="0B7703D0"/>
    <w:rsid w:val="0B7A075E"/>
    <w:rsid w:val="0B9E3F69"/>
    <w:rsid w:val="0BD57D80"/>
    <w:rsid w:val="0BDE2320"/>
    <w:rsid w:val="0C590374"/>
    <w:rsid w:val="0C905B62"/>
    <w:rsid w:val="0CC06E3D"/>
    <w:rsid w:val="0CFF0F1B"/>
    <w:rsid w:val="0D38267F"/>
    <w:rsid w:val="0D3861DB"/>
    <w:rsid w:val="0DA36F65"/>
    <w:rsid w:val="0DB759FC"/>
    <w:rsid w:val="0DE85E53"/>
    <w:rsid w:val="0E261694"/>
    <w:rsid w:val="0E891CDE"/>
    <w:rsid w:val="0EB75109"/>
    <w:rsid w:val="0EC87A33"/>
    <w:rsid w:val="0EE82EF2"/>
    <w:rsid w:val="0EE859DF"/>
    <w:rsid w:val="0F152C78"/>
    <w:rsid w:val="0F157C75"/>
    <w:rsid w:val="0F4A4F73"/>
    <w:rsid w:val="0F783207"/>
    <w:rsid w:val="0F930041"/>
    <w:rsid w:val="0FD7617F"/>
    <w:rsid w:val="10045BDC"/>
    <w:rsid w:val="100B7BD7"/>
    <w:rsid w:val="1032785A"/>
    <w:rsid w:val="107B5729"/>
    <w:rsid w:val="10D601E5"/>
    <w:rsid w:val="112F3D99"/>
    <w:rsid w:val="1182006D"/>
    <w:rsid w:val="119E5E08"/>
    <w:rsid w:val="11B1637C"/>
    <w:rsid w:val="1202325C"/>
    <w:rsid w:val="121E0096"/>
    <w:rsid w:val="1232769D"/>
    <w:rsid w:val="12353631"/>
    <w:rsid w:val="12704669"/>
    <w:rsid w:val="129C545E"/>
    <w:rsid w:val="12CB1C83"/>
    <w:rsid w:val="133C3EE5"/>
    <w:rsid w:val="138228A6"/>
    <w:rsid w:val="138403CC"/>
    <w:rsid w:val="13CC58CF"/>
    <w:rsid w:val="13F60B9E"/>
    <w:rsid w:val="14005579"/>
    <w:rsid w:val="140A7A2F"/>
    <w:rsid w:val="141B736B"/>
    <w:rsid w:val="14237BE5"/>
    <w:rsid w:val="14847F58"/>
    <w:rsid w:val="149A3C1F"/>
    <w:rsid w:val="153B4ABB"/>
    <w:rsid w:val="159348F7"/>
    <w:rsid w:val="15E96C0C"/>
    <w:rsid w:val="16133C89"/>
    <w:rsid w:val="16161084"/>
    <w:rsid w:val="16314BAD"/>
    <w:rsid w:val="16383CD8"/>
    <w:rsid w:val="16641FD1"/>
    <w:rsid w:val="167879EF"/>
    <w:rsid w:val="16E72127"/>
    <w:rsid w:val="17594306"/>
    <w:rsid w:val="176A3611"/>
    <w:rsid w:val="17D539F2"/>
    <w:rsid w:val="17F43647"/>
    <w:rsid w:val="18187335"/>
    <w:rsid w:val="185B29BA"/>
    <w:rsid w:val="18A46E1B"/>
    <w:rsid w:val="18B75AAA"/>
    <w:rsid w:val="18E67DE6"/>
    <w:rsid w:val="18F94297"/>
    <w:rsid w:val="18FE652B"/>
    <w:rsid w:val="19097045"/>
    <w:rsid w:val="194A36D5"/>
    <w:rsid w:val="1977452F"/>
    <w:rsid w:val="19B94B48"/>
    <w:rsid w:val="1A1104E0"/>
    <w:rsid w:val="1A5D44CE"/>
    <w:rsid w:val="1A9A04D5"/>
    <w:rsid w:val="1AA80E44"/>
    <w:rsid w:val="1B4B6E03"/>
    <w:rsid w:val="1BBD091F"/>
    <w:rsid w:val="1BCD1ED9"/>
    <w:rsid w:val="1C3E30E2"/>
    <w:rsid w:val="1C4C57FF"/>
    <w:rsid w:val="1CBA4E5F"/>
    <w:rsid w:val="1D1E6646"/>
    <w:rsid w:val="1D3369BF"/>
    <w:rsid w:val="1DB17B97"/>
    <w:rsid w:val="1E1F3B60"/>
    <w:rsid w:val="1E98524F"/>
    <w:rsid w:val="1EA96F39"/>
    <w:rsid w:val="1EF04B68"/>
    <w:rsid w:val="1F0979D8"/>
    <w:rsid w:val="1F114ADE"/>
    <w:rsid w:val="1F122D30"/>
    <w:rsid w:val="1F2E0BFF"/>
    <w:rsid w:val="1F4142CA"/>
    <w:rsid w:val="1F947BE9"/>
    <w:rsid w:val="1FAB0A8F"/>
    <w:rsid w:val="1FB45B95"/>
    <w:rsid w:val="1FBF76D7"/>
    <w:rsid w:val="1FC102B2"/>
    <w:rsid w:val="1FCB6952"/>
    <w:rsid w:val="20135BC8"/>
    <w:rsid w:val="20270A5D"/>
    <w:rsid w:val="204F58BE"/>
    <w:rsid w:val="20661AFC"/>
    <w:rsid w:val="20672A87"/>
    <w:rsid w:val="206770AC"/>
    <w:rsid w:val="208F215E"/>
    <w:rsid w:val="20BB73F7"/>
    <w:rsid w:val="2120725A"/>
    <w:rsid w:val="212705E9"/>
    <w:rsid w:val="212E078A"/>
    <w:rsid w:val="21661111"/>
    <w:rsid w:val="21B856E5"/>
    <w:rsid w:val="21C347B6"/>
    <w:rsid w:val="21E07116"/>
    <w:rsid w:val="21E52EAF"/>
    <w:rsid w:val="22096D4A"/>
    <w:rsid w:val="223F64B1"/>
    <w:rsid w:val="235F406A"/>
    <w:rsid w:val="2372665A"/>
    <w:rsid w:val="23B56380"/>
    <w:rsid w:val="23E427C1"/>
    <w:rsid w:val="24421C82"/>
    <w:rsid w:val="24443260"/>
    <w:rsid w:val="245636BF"/>
    <w:rsid w:val="24C85C3F"/>
    <w:rsid w:val="24D40A88"/>
    <w:rsid w:val="24D740D4"/>
    <w:rsid w:val="259B2448"/>
    <w:rsid w:val="25AB7A3A"/>
    <w:rsid w:val="25AC730F"/>
    <w:rsid w:val="25CC175F"/>
    <w:rsid w:val="26213859"/>
    <w:rsid w:val="264E6DB9"/>
    <w:rsid w:val="26A05072"/>
    <w:rsid w:val="26A1499A"/>
    <w:rsid w:val="26B62A64"/>
    <w:rsid w:val="26CD1C32"/>
    <w:rsid w:val="26D42FC1"/>
    <w:rsid w:val="27315D1D"/>
    <w:rsid w:val="27561C28"/>
    <w:rsid w:val="282B4E63"/>
    <w:rsid w:val="28584B5F"/>
    <w:rsid w:val="2872440F"/>
    <w:rsid w:val="28800664"/>
    <w:rsid w:val="28887BBF"/>
    <w:rsid w:val="288D646A"/>
    <w:rsid w:val="292F44DF"/>
    <w:rsid w:val="2967011C"/>
    <w:rsid w:val="29B35110"/>
    <w:rsid w:val="29EF3C6E"/>
    <w:rsid w:val="2A0B31D8"/>
    <w:rsid w:val="2A4165B8"/>
    <w:rsid w:val="2A5260C0"/>
    <w:rsid w:val="2AA35184"/>
    <w:rsid w:val="2AB47391"/>
    <w:rsid w:val="2B0A5203"/>
    <w:rsid w:val="2B4B37B7"/>
    <w:rsid w:val="2BC41245"/>
    <w:rsid w:val="2BF10955"/>
    <w:rsid w:val="2C3D6F12"/>
    <w:rsid w:val="2C4402A1"/>
    <w:rsid w:val="2C8D572B"/>
    <w:rsid w:val="2C8F5CA8"/>
    <w:rsid w:val="2C992CE6"/>
    <w:rsid w:val="2D160551"/>
    <w:rsid w:val="2D265BF9"/>
    <w:rsid w:val="2D3E3F91"/>
    <w:rsid w:val="2D811081"/>
    <w:rsid w:val="2E13617D"/>
    <w:rsid w:val="2E41641E"/>
    <w:rsid w:val="2E497DF1"/>
    <w:rsid w:val="2E5642BC"/>
    <w:rsid w:val="2E693FEF"/>
    <w:rsid w:val="2E944985"/>
    <w:rsid w:val="2EB9440E"/>
    <w:rsid w:val="2EC61441"/>
    <w:rsid w:val="2F106B60"/>
    <w:rsid w:val="2F503401"/>
    <w:rsid w:val="2F5905E3"/>
    <w:rsid w:val="2F8C268B"/>
    <w:rsid w:val="2FD26F55"/>
    <w:rsid w:val="2FD67105"/>
    <w:rsid w:val="2FD858D0"/>
    <w:rsid w:val="2FF7387C"/>
    <w:rsid w:val="30096558"/>
    <w:rsid w:val="300D2130"/>
    <w:rsid w:val="30746DBB"/>
    <w:rsid w:val="309D4424"/>
    <w:rsid w:val="30AE03DF"/>
    <w:rsid w:val="30DE2DAE"/>
    <w:rsid w:val="30F229C1"/>
    <w:rsid w:val="30FA7AC8"/>
    <w:rsid w:val="310444A3"/>
    <w:rsid w:val="31456BA5"/>
    <w:rsid w:val="31493BE8"/>
    <w:rsid w:val="3200110E"/>
    <w:rsid w:val="320226C8"/>
    <w:rsid w:val="322F4600"/>
    <w:rsid w:val="32476D3D"/>
    <w:rsid w:val="326C0551"/>
    <w:rsid w:val="32756EB2"/>
    <w:rsid w:val="32911D66"/>
    <w:rsid w:val="32DF17E8"/>
    <w:rsid w:val="33833DA5"/>
    <w:rsid w:val="339248A7"/>
    <w:rsid w:val="33EA7980"/>
    <w:rsid w:val="33FA125E"/>
    <w:rsid w:val="34874156"/>
    <w:rsid w:val="34A1724E"/>
    <w:rsid w:val="35032B89"/>
    <w:rsid w:val="35223149"/>
    <w:rsid w:val="354D466A"/>
    <w:rsid w:val="35521983"/>
    <w:rsid w:val="357A4D33"/>
    <w:rsid w:val="360974FC"/>
    <w:rsid w:val="36127662"/>
    <w:rsid w:val="364C66D0"/>
    <w:rsid w:val="371B60A2"/>
    <w:rsid w:val="379B30ED"/>
    <w:rsid w:val="37E1109A"/>
    <w:rsid w:val="37E36BED"/>
    <w:rsid w:val="37FE39FA"/>
    <w:rsid w:val="380C6A89"/>
    <w:rsid w:val="383C4522"/>
    <w:rsid w:val="38BB5D8F"/>
    <w:rsid w:val="38BD1B07"/>
    <w:rsid w:val="3902751A"/>
    <w:rsid w:val="390C2146"/>
    <w:rsid w:val="3922196A"/>
    <w:rsid w:val="3934169D"/>
    <w:rsid w:val="39616936"/>
    <w:rsid w:val="39893797"/>
    <w:rsid w:val="39AB5E03"/>
    <w:rsid w:val="39B21459"/>
    <w:rsid w:val="39D53E8F"/>
    <w:rsid w:val="3A4C1E8C"/>
    <w:rsid w:val="3A6B7785"/>
    <w:rsid w:val="3A6F4B32"/>
    <w:rsid w:val="3A83468A"/>
    <w:rsid w:val="3A8609A5"/>
    <w:rsid w:val="3A8B523C"/>
    <w:rsid w:val="3AE50EA1"/>
    <w:rsid w:val="3B2B40CB"/>
    <w:rsid w:val="3B375740"/>
    <w:rsid w:val="3B3F2CA7"/>
    <w:rsid w:val="3BBC60A6"/>
    <w:rsid w:val="3BE13D5E"/>
    <w:rsid w:val="3BEF353A"/>
    <w:rsid w:val="3BF910A8"/>
    <w:rsid w:val="3C351357"/>
    <w:rsid w:val="3C6A3D54"/>
    <w:rsid w:val="3C781F6C"/>
    <w:rsid w:val="3CBD3561"/>
    <w:rsid w:val="3CD30C88"/>
    <w:rsid w:val="3CE41E62"/>
    <w:rsid w:val="3CF10ACC"/>
    <w:rsid w:val="3D1E4B3E"/>
    <w:rsid w:val="3D6F0EF6"/>
    <w:rsid w:val="3DA233C5"/>
    <w:rsid w:val="3E012496"/>
    <w:rsid w:val="3E6B790F"/>
    <w:rsid w:val="3E7A3FF6"/>
    <w:rsid w:val="3E7F160D"/>
    <w:rsid w:val="3E86299B"/>
    <w:rsid w:val="3E8B6203"/>
    <w:rsid w:val="3F402B4A"/>
    <w:rsid w:val="3F4E170B"/>
    <w:rsid w:val="3FA4757D"/>
    <w:rsid w:val="3FAE03FB"/>
    <w:rsid w:val="3FAF1A7E"/>
    <w:rsid w:val="3FB93C81"/>
    <w:rsid w:val="400B3158"/>
    <w:rsid w:val="403E79D4"/>
    <w:rsid w:val="406A6685"/>
    <w:rsid w:val="409F1AF2"/>
    <w:rsid w:val="40C9397A"/>
    <w:rsid w:val="41076015"/>
    <w:rsid w:val="410A78B3"/>
    <w:rsid w:val="41342EE8"/>
    <w:rsid w:val="414A7CB0"/>
    <w:rsid w:val="41614FF9"/>
    <w:rsid w:val="41AD023F"/>
    <w:rsid w:val="41BD2B78"/>
    <w:rsid w:val="41EC6460"/>
    <w:rsid w:val="423A5F76"/>
    <w:rsid w:val="424A1938"/>
    <w:rsid w:val="42770F78"/>
    <w:rsid w:val="42AA5FDC"/>
    <w:rsid w:val="42E62D18"/>
    <w:rsid w:val="42EC5E84"/>
    <w:rsid w:val="430D71E7"/>
    <w:rsid w:val="4348021F"/>
    <w:rsid w:val="43AA712C"/>
    <w:rsid w:val="43C26C98"/>
    <w:rsid w:val="43C46AB7"/>
    <w:rsid w:val="44071E88"/>
    <w:rsid w:val="447D214A"/>
    <w:rsid w:val="44B042CE"/>
    <w:rsid w:val="44B71B00"/>
    <w:rsid w:val="44D14A1F"/>
    <w:rsid w:val="4503099B"/>
    <w:rsid w:val="4504286C"/>
    <w:rsid w:val="451C5E07"/>
    <w:rsid w:val="453D7EFA"/>
    <w:rsid w:val="4578119A"/>
    <w:rsid w:val="46236D21"/>
    <w:rsid w:val="46371DF4"/>
    <w:rsid w:val="46480423"/>
    <w:rsid w:val="464C0026"/>
    <w:rsid w:val="46C44BD5"/>
    <w:rsid w:val="46FD0ED7"/>
    <w:rsid w:val="47723562"/>
    <w:rsid w:val="477D334F"/>
    <w:rsid w:val="47975C19"/>
    <w:rsid w:val="479C322F"/>
    <w:rsid w:val="47C4371E"/>
    <w:rsid w:val="47D44A52"/>
    <w:rsid w:val="47E6706E"/>
    <w:rsid w:val="47E86474"/>
    <w:rsid w:val="48077812"/>
    <w:rsid w:val="482F19AD"/>
    <w:rsid w:val="48657AC5"/>
    <w:rsid w:val="48EA3B26"/>
    <w:rsid w:val="49627B61"/>
    <w:rsid w:val="4972249A"/>
    <w:rsid w:val="497A75A0"/>
    <w:rsid w:val="49D92519"/>
    <w:rsid w:val="4A0C644A"/>
    <w:rsid w:val="4A2319E6"/>
    <w:rsid w:val="4AFF1B0B"/>
    <w:rsid w:val="4B2F4D45"/>
    <w:rsid w:val="4BB52B12"/>
    <w:rsid w:val="4BB73BE9"/>
    <w:rsid w:val="4BEB2031"/>
    <w:rsid w:val="4C5279A0"/>
    <w:rsid w:val="4C9149E5"/>
    <w:rsid w:val="4CB61D2B"/>
    <w:rsid w:val="4CB84667"/>
    <w:rsid w:val="4D471547"/>
    <w:rsid w:val="4D7A7B6F"/>
    <w:rsid w:val="4D8C33FE"/>
    <w:rsid w:val="4DA23EAF"/>
    <w:rsid w:val="4DDC4386"/>
    <w:rsid w:val="4E5A665D"/>
    <w:rsid w:val="4E5C7274"/>
    <w:rsid w:val="4E5F0909"/>
    <w:rsid w:val="4E6200BB"/>
    <w:rsid w:val="4E7B3B9E"/>
    <w:rsid w:val="4E8F31A6"/>
    <w:rsid w:val="4EC015B1"/>
    <w:rsid w:val="4ED41501"/>
    <w:rsid w:val="4EDD2163"/>
    <w:rsid w:val="4F0C47F7"/>
    <w:rsid w:val="4F275AD4"/>
    <w:rsid w:val="4FCB4C5A"/>
    <w:rsid w:val="50203001"/>
    <w:rsid w:val="5022736D"/>
    <w:rsid w:val="50555825"/>
    <w:rsid w:val="506D7517"/>
    <w:rsid w:val="50812371"/>
    <w:rsid w:val="508D1967"/>
    <w:rsid w:val="50BE3B2A"/>
    <w:rsid w:val="51340172"/>
    <w:rsid w:val="514613DA"/>
    <w:rsid w:val="515801C7"/>
    <w:rsid w:val="51A76A58"/>
    <w:rsid w:val="51D75590"/>
    <w:rsid w:val="51F83758"/>
    <w:rsid w:val="521E31BF"/>
    <w:rsid w:val="52F67C97"/>
    <w:rsid w:val="53AF7E46"/>
    <w:rsid w:val="54091C4C"/>
    <w:rsid w:val="540B1521"/>
    <w:rsid w:val="547A48F8"/>
    <w:rsid w:val="54880DC3"/>
    <w:rsid w:val="548E3F00"/>
    <w:rsid w:val="54A656ED"/>
    <w:rsid w:val="55C53951"/>
    <w:rsid w:val="56552F27"/>
    <w:rsid w:val="56690780"/>
    <w:rsid w:val="56820D5B"/>
    <w:rsid w:val="56CB4937"/>
    <w:rsid w:val="56D02BB3"/>
    <w:rsid w:val="56EF2533"/>
    <w:rsid w:val="57096D7C"/>
    <w:rsid w:val="5733648B"/>
    <w:rsid w:val="5776594E"/>
    <w:rsid w:val="57A04676"/>
    <w:rsid w:val="57CE2BAB"/>
    <w:rsid w:val="585B234B"/>
    <w:rsid w:val="58627B7D"/>
    <w:rsid w:val="58906498"/>
    <w:rsid w:val="592A069B"/>
    <w:rsid w:val="594F3C5E"/>
    <w:rsid w:val="59ED36AC"/>
    <w:rsid w:val="5A2E7D17"/>
    <w:rsid w:val="5A755946"/>
    <w:rsid w:val="5A760051"/>
    <w:rsid w:val="5AD248B6"/>
    <w:rsid w:val="5B554F2C"/>
    <w:rsid w:val="5B77438F"/>
    <w:rsid w:val="5C2018E1"/>
    <w:rsid w:val="5C311D40"/>
    <w:rsid w:val="5C9F6DF3"/>
    <w:rsid w:val="5CB5471F"/>
    <w:rsid w:val="5CC26E3C"/>
    <w:rsid w:val="5CD821BC"/>
    <w:rsid w:val="5CEE5E83"/>
    <w:rsid w:val="5CF2188A"/>
    <w:rsid w:val="5D0336DD"/>
    <w:rsid w:val="5D114F55"/>
    <w:rsid w:val="5D9407D9"/>
    <w:rsid w:val="5DA34700"/>
    <w:rsid w:val="5DBA7B13"/>
    <w:rsid w:val="5E007081"/>
    <w:rsid w:val="5E5B12F6"/>
    <w:rsid w:val="5E826883"/>
    <w:rsid w:val="5E875C48"/>
    <w:rsid w:val="5E9B16F3"/>
    <w:rsid w:val="5EAE1426"/>
    <w:rsid w:val="5F59613B"/>
    <w:rsid w:val="5FC03181"/>
    <w:rsid w:val="5FC44522"/>
    <w:rsid w:val="5FC5301A"/>
    <w:rsid w:val="5FDD5D90"/>
    <w:rsid w:val="6045273B"/>
    <w:rsid w:val="606326E4"/>
    <w:rsid w:val="60BD3BA3"/>
    <w:rsid w:val="61FD0F99"/>
    <w:rsid w:val="62525166"/>
    <w:rsid w:val="628F05F8"/>
    <w:rsid w:val="62F35E96"/>
    <w:rsid w:val="63247F09"/>
    <w:rsid w:val="63310F09"/>
    <w:rsid w:val="635A1B7D"/>
    <w:rsid w:val="6397692D"/>
    <w:rsid w:val="63B84F56"/>
    <w:rsid w:val="63CE35E1"/>
    <w:rsid w:val="63DF02D4"/>
    <w:rsid w:val="6401024A"/>
    <w:rsid w:val="641E67B2"/>
    <w:rsid w:val="64300A43"/>
    <w:rsid w:val="64306D81"/>
    <w:rsid w:val="64A121F4"/>
    <w:rsid w:val="64C23E7D"/>
    <w:rsid w:val="65960E66"/>
    <w:rsid w:val="659B647C"/>
    <w:rsid w:val="65DC4ACB"/>
    <w:rsid w:val="65E676F8"/>
    <w:rsid w:val="663E10C6"/>
    <w:rsid w:val="673C2281"/>
    <w:rsid w:val="67513297"/>
    <w:rsid w:val="676B07FC"/>
    <w:rsid w:val="67DB2C51"/>
    <w:rsid w:val="682269E1"/>
    <w:rsid w:val="68562B5B"/>
    <w:rsid w:val="685748DD"/>
    <w:rsid w:val="686B311E"/>
    <w:rsid w:val="687F5BE1"/>
    <w:rsid w:val="695157D0"/>
    <w:rsid w:val="699456BD"/>
    <w:rsid w:val="699C5800"/>
    <w:rsid w:val="69E90781"/>
    <w:rsid w:val="6A2C1D99"/>
    <w:rsid w:val="6A425119"/>
    <w:rsid w:val="6AAB53B4"/>
    <w:rsid w:val="6AB9362D"/>
    <w:rsid w:val="6AE10DD5"/>
    <w:rsid w:val="6AE663EC"/>
    <w:rsid w:val="6B1C1E0E"/>
    <w:rsid w:val="6B533C17"/>
    <w:rsid w:val="6BBA58AE"/>
    <w:rsid w:val="6C184383"/>
    <w:rsid w:val="6C296590"/>
    <w:rsid w:val="6C427652"/>
    <w:rsid w:val="6C5601E2"/>
    <w:rsid w:val="6DB4457F"/>
    <w:rsid w:val="6DCC3677"/>
    <w:rsid w:val="6E0252EB"/>
    <w:rsid w:val="6E4E4D9B"/>
    <w:rsid w:val="6EEA46FD"/>
    <w:rsid w:val="6EF22BF4"/>
    <w:rsid w:val="6F285225"/>
    <w:rsid w:val="6F631DB9"/>
    <w:rsid w:val="6FB1521A"/>
    <w:rsid w:val="6FC565D0"/>
    <w:rsid w:val="6FCD36D6"/>
    <w:rsid w:val="6FD45398"/>
    <w:rsid w:val="6FE23626"/>
    <w:rsid w:val="701C772F"/>
    <w:rsid w:val="702C2AF3"/>
    <w:rsid w:val="706109EE"/>
    <w:rsid w:val="70F25AEA"/>
    <w:rsid w:val="71066EA0"/>
    <w:rsid w:val="715C11B6"/>
    <w:rsid w:val="719B1CDE"/>
    <w:rsid w:val="71C8684B"/>
    <w:rsid w:val="71CD5C10"/>
    <w:rsid w:val="71FE04BF"/>
    <w:rsid w:val="723143F0"/>
    <w:rsid w:val="72395053"/>
    <w:rsid w:val="728A18E1"/>
    <w:rsid w:val="72A66B8C"/>
    <w:rsid w:val="72AB636B"/>
    <w:rsid w:val="72B24C2E"/>
    <w:rsid w:val="73267CCD"/>
    <w:rsid w:val="73430453"/>
    <w:rsid w:val="7372081D"/>
    <w:rsid w:val="73927111"/>
    <w:rsid w:val="73965B0B"/>
    <w:rsid w:val="73BC5AD9"/>
    <w:rsid w:val="74051691"/>
    <w:rsid w:val="7420471D"/>
    <w:rsid w:val="749A44CF"/>
    <w:rsid w:val="74B762B8"/>
    <w:rsid w:val="74C4154C"/>
    <w:rsid w:val="74D25041"/>
    <w:rsid w:val="75215CF5"/>
    <w:rsid w:val="75A650F5"/>
    <w:rsid w:val="75C64E50"/>
    <w:rsid w:val="7645283B"/>
    <w:rsid w:val="764D1C01"/>
    <w:rsid w:val="765B7C8E"/>
    <w:rsid w:val="769D53B4"/>
    <w:rsid w:val="76AA2A41"/>
    <w:rsid w:val="76DA2BC4"/>
    <w:rsid w:val="76F459ED"/>
    <w:rsid w:val="773A5AF5"/>
    <w:rsid w:val="773C7ABF"/>
    <w:rsid w:val="7771703D"/>
    <w:rsid w:val="77935205"/>
    <w:rsid w:val="77A85155"/>
    <w:rsid w:val="77D870BC"/>
    <w:rsid w:val="788F1E71"/>
    <w:rsid w:val="78AC2A23"/>
    <w:rsid w:val="78AF2513"/>
    <w:rsid w:val="78E35D19"/>
    <w:rsid w:val="793B703E"/>
    <w:rsid w:val="79690914"/>
    <w:rsid w:val="79A61220"/>
    <w:rsid w:val="79A90D10"/>
    <w:rsid w:val="79AB4A88"/>
    <w:rsid w:val="79C63670"/>
    <w:rsid w:val="79CD0EA3"/>
    <w:rsid w:val="79E93803"/>
    <w:rsid w:val="7A9C0875"/>
    <w:rsid w:val="7B2974D7"/>
    <w:rsid w:val="7B684718"/>
    <w:rsid w:val="7B95140A"/>
    <w:rsid w:val="7BBF481B"/>
    <w:rsid w:val="7BC106F9"/>
    <w:rsid w:val="7BD06A28"/>
    <w:rsid w:val="7C4B60AF"/>
    <w:rsid w:val="7C63164A"/>
    <w:rsid w:val="7C792C1C"/>
    <w:rsid w:val="7CDB7433"/>
    <w:rsid w:val="7D4E63C6"/>
    <w:rsid w:val="7D5B0573"/>
    <w:rsid w:val="7D9F66B2"/>
    <w:rsid w:val="7DB1356C"/>
    <w:rsid w:val="7E20202B"/>
    <w:rsid w:val="7E457378"/>
    <w:rsid w:val="7E6C430A"/>
    <w:rsid w:val="7EC363D0"/>
    <w:rsid w:val="7FD50AB1"/>
    <w:rsid w:val="7FD85EA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47"/>
    <w:qFormat/>
    <w:uiPriority w:val="0"/>
    <w:pPr>
      <w:spacing w:before="100" w:beforeAutospacing="1" w:after="100" w:afterAutospacing="1"/>
      <w:outlineLvl w:val="1"/>
    </w:pPr>
    <w:rPr>
      <w:rFonts w:ascii="宋体" w:hAnsi="宋体"/>
      <w:b/>
      <w:bCs/>
      <w:kern w:val="0"/>
      <w:sz w:val="36"/>
      <w:szCs w:val="36"/>
    </w:rPr>
  </w:style>
  <w:style w:type="paragraph" w:styleId="6">
    <w:name w:val="heading 3"/>
    <w:basedOn w:val="5"/>
    <w:next w:val="1"/>
    <w:qFormat/>
    <w:uiPriority w:val="0"/>
    <w:pPr>
      <w:outlineLvl w:val="2"/>
    </w:pPr>
    <w:rPr>
      <w:b w:val="0"/>
      <w:bCs w:val="0"/>
    </w:rPr>
  </w:style>
  <w:style w:type="paragraph" w:styleId="7">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0"/>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7"/>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4"/>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5"/>
    <w:semiHidden/>
    <w:unhideWhenUsed/>
    <w:qFormat/>
    <w:uiPriority w:val="99"/>
    <w:pPr>
      <w:spacing w:after="120"/>
    </w:pPr>
    <w:rPr>
      <w:sz w:val="16"/>
      <w:szCs w:val="16"/>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8"/>
    <w:unhideWhenUsed/>
    <w:qFormat/>
    <w:uiPriority w:val="99"/>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6"/>
    <w:qFormat/>
    <w:uiPriority w:val="99"/>
    <w:pPr>
      <w:ind w:left="100" w:leftChars="2500"/>
    </w:pPr>
    <w:rPr>
      <w:rFonts w:asciiTheme="minorHAnsi" w:hAnsiTheme="minorHAnsi" w:eastAsiaTheme="minorEastAsia" w:cstheme="minorBidi"/>
    </w:rPr>
  </w:style>
  <w:style w:type="paragraph" w:styleId="19">
    <w:name w:val="Body Text Indent 2"/>
    <w:basedOn w:val="1"/>
    <w:link w:val="156"/>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3"/>
    <w:semiHidden/>
    <w:qFormat/>
    <w:uiPriority w:val="0"/>
    <w:pPr>
      <w:snapToGrid w:val="0"/>
    </w:pPr>
    <w:rPr>
      <w:rFonts w:asciiTheme="minorHAnsi" w:hAnsiTheme="minorHAnsi" w:eastAsiaTheme="minorEastAsia" w:cstheme="minorBidi"/>
    </w:rPr>
  </w:style>
  <w:style w:type="paragraph" w:styleId="21">
    <w:name w:val="Balloon Text"/>
    <w:basedOn w:val="1"/>
    <w:link w:val="142"/>
    <w:qFormat/>
    <w:uiPriority w:val="99"/>
    <w:rPr>
      <w:rFonts w:asciiTheme="minorHAnsi" w:hAnsiTheme="minorHAnsi" w:eastAsiaTheme="minorEastAsia" w:cstheme="minorBidi"/>
      <w:sz w:val="18"/>
      <w:szCs w:val="18"/>
    </w:rPr>
  </w:style>
  <w:style w:type="paragraph" w:styleId="22">
    <w:name w:val="footer"/>
    <w:basedOn w:val="1"/>
    <w:link w:val="163"/>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5"/>
    <w:qFormat/>
    <w:uiPriority w:val="99"/>
    <w:pPr>
      <w:snapToGrid w:val="0"/>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2"/>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50"/>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6"/>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2"/>
    <w:next w:val="12"/>
    <w:link w:val="172"/>
    <w:semiHidden/>
    <w:qFormat/>
    <w:uiPriority w:val="0"/>
    <w:rPr>
      <w:b/>
      <w:bCs/>
    </w:rPr>
  </w:style>
  <w:style w:type="paragraph" w:styleId="36">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99"/>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color w:val="CC0000"/>
    </w:rPr>
  </w:style>
  <w:style w:type="character" w:styleId="44">
    <w:name w:val="Hyperlink"/>
    <w:qFormat/>
    <w:uiPriority w:val="99"/>
    <w:rPr>
      <w:color w:val="0000FF"/>
      <w:spacing w:val="0"/>
      <w:w w:val="100"/>
      <w:szCs w:val="21"/>
      <w:u w:val="single"/>
      <w:lang w:val="en-US" w:eastAsia="zh-CN"/>
    </w:rPr>
  </w:style>
  <w:style w:type="character" w:styleId="45">
    <w:name w:val="footnote reference"/>
    <w:qFormat/>
    <w:uiPriority w:val="0"/>
    <w:rPr>
      <w:vertAlign w:val="superscript"/>
    </w:rPr>
  </w:style>
  <w:style w:type="character" w:customStyle="1" w:styleId="46">
    <w:name w:val="标题 1 字符"/>
    <w:basedOn w:val="39"/>
    <w:link w:val="4"/>
    <w:qFormat/>
    <w:uiPriority w:val="0"/>
    <w:rPr>
      <w:rFonts w:ascii="Times New Roman" w:hAnsi="Times New Roman" w:eastAsia="宋体" w:cs="Times New Roman"/>
      <w:b/>
      <w:bCs/>
      <w:kern w:val="44"/>
      <w:sz w:val="44"/>
      <w:szCs w:val="44"/>
    </w:rPr>
  </w:style>
  <w:style w:type="character" w:customStyle="1" w:styleId="47">
    <w:name w:val="标题 2 字符"/>
    <w:basedOn w:val="39"/>
    <w:link w:val="5"/>
    <w:qFormat/>
    <w:uiPriority w:val="0"/>
    <w:rPr>
      <w:rFonts w:ascii="宋体" w:hAnsi="宋体" w:eastAsia="宋体" w:cs="Times New Roman"/>
      <w:b/>
      <w:bCs/>
      <w:kern w:val="0"/>
      <w:sz w:val="36"/>
      <w:szCs w:val="36"/>
    </w:rPr>
  </w:style>
  <w:style w:type="character" w:customStyle="1" w:styleId="48">
    <w:name w:val="批注文字 Char"/>
    <w:semiHidden/>
    <w:qFormat/>
    <w:uiPriority w:val="0"/>
    <w:rPr>
      <w:szCs w:val="24"/>
    </w:rPr>
  </w:style>
  <w:style w:type="character" w:customStyle="1" w:styleId="49">
    <w:name w:val="批注主题 Char"/>
    <w:semiHidden/>
    <w:qFormat/>
    <w:uiPriority w:val="0"/>
    <w:rPr>
      <w:b/>
      <w:bCs/>
      <w:szCs w:val="24"/>
    </w:rPr>
  </w:style>
  <w:style w:type="character" w:customStyle="1" w:styleId="50">
    <w:name w:val="文档结构图 Char"/>
    <w:semiHidden/>
    <w:qFormat/>
    <w:uiPriority w:val="0"/>
    <w:rPr>
      <w:szCs w:val="24"/>
      <w:shd w:val="clear" w:color="auto" w:fill="000080"/>
    </w:rPr>
  </w:style>
  <w:style w:type="character" w:customStyle="1" w:styleId="51">
    <w:name w:val="脚注文本 Char"/>
    <w:qFormat/>
    <w:uiPriority w:val="0"/>
    <w:rPr>
      <w:rFonts w:ascii="宋体"/>
      <w:sz w:val="18"/>
      <w:szCs w:val="18"/>
    </w:rPr>
  </w:style>
  <w:style w:type="character" w:customStyle="1" w:styleId="52">
    <w:name w:val="con"/>
    <w:qFormat/>
    <w:uiPriority w:val="0"/>
  </w:style>
  <w:style w:type="character" w:customStyle="1" w:styleId="53">
    <w:name w:val="bar-label2"/>
    <w:qFormat/>
    <w:uiPriority w:val="99"/>
  </w:style>
  <w:style w:type="character" w:customStyle="1" w:styleId="54">
    <w:name w:val="正文文本缩进 2 Char"/>
    <w:qFormat/>
    <w:uiPriority w:val="99"/>
    <w:rPr>
      <w:szCs w:val="24"/>
    </w:rPr>
  </w:style>
  <w:style w:type="character" w:customStyle="1" w:styleId="55">
    <w:name w:val="日期 Char"/>
    <w:qFormat/>
    <w:uiPriority w:val="99"/>
    <w:rPr>
      <w:szCs w:val="24"/>
    </w:rPr>
  </w:style>
  <w:style w:type="character" w:customStyle="1" w:styleId="56">
    <w:name w:val="页脚 Char"/>
    <w:qFormat/>
    <w:locked/>
    <w:uiPriority w:val="99"/>
    <w:rPr>
      <w:sz w:val="18"/>
      <w:szCs w:val="18"/>
    </w:rPr>
  </w:style>
  <w:style w:type="character" w:customStyle="1" w:styleId="57">
    <w:name w:val="apple-converted-space"/>
    <w:basedOn w:val="39"/>
    <w:qFormat/>
    <w:uiPriority w:val="0"/>
  </w:style>
  <w:style w:type="character" w:customStyle="1" w:styleId="58">
    <w:name w:val="批注框文本 Char"/>
    <w:qFormat/>
    <w:uiPriority w:val="99"/>
    <w:rPr>
      <w:sz w:val="18"/>
      <w:szCs w:val="18"/>
    </w:rPr>
  </w:style>
  <w:style w:type="character" w:customStyle="1" w:styleId="59">
    <w:name w:val="页眉 Char"/>
    <w:qFormat/>
    <w:locked/>
    <w:uiPriority w:val="99"/>
    <w:rPr>
      <w:sz w:val="18"/>
      <w:szCs w:val="18"/>
    </w:rPr>
  </w:style>
  <w:style w:type="character" w:customStyle="1" w:styleId="60">
    <w:name w:val="首示例 Char"/>
    <w:link w:val="61"/>
    <w:qFormat/>
    <w:uiPriority w:val="0"/>
    <w:rPr>
      <w:rFonts w:ascii="宋体" w:hAnsi="宋体"/>
      <w:sz w:val="18"/>
      <w:szCs w:val="18"/>
    </w:rPr>
  </w:style>
  <w:style w:type="paragraph" w:customStyle="1" w:styleId="61">
    <w:name w:val="首示例"/>
    <w:next w:val="62"/>
    <w:link w:val="60"/>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2">
    <w:name w:val="段"/>
    <w:link w:val="63"/>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3">
    <w:name w:val="段 Char"/>
    <w:link w:val="62"/>
    <w:qFormat/>
    <w:uiPriority w:val="0"/>
    <w:rPr>
      <w:rFonts w:ascii="宋体"/>
    </w:rPr>
  </w:style>
  <w:style w:type="character" w:customStyle="1" w:styleId="64">
    <w:name w:val="附录公式 Char"/>
    <w:basedOn w:val="63"/>
    <w:link w:val="65"/>
    <w:qFormat/>
    <w:uiPriority w:val="0"/>
    <w:rPr>
      <w:rFonts w:ascii="宋体"/>
    </w:rPr>
  </w:style>
  <w:style w:type="paragraph" w:customStyle="1" w:styleId="65">
    <w:name w:val="附录公式"/>
    <w:basedOn w:val="62"/>
    <w:next w:val="62"/>
    <w:link w:val="64"/>
    <w:qFormat/>
    <w:uiPriority w:val="0"/>
  </w:style>
  <w:style w:type="character" w:customStyle="1" w:styleId="66">
    <w:name w:val="发布"/>
    <w:qFormat/>
    <w:uiPriority w:val="0"/>
    <w:rPr>
      <w:rFonts w:ascii="黑体" w:eastAsia="黑体"/>
      <w:spacing w:val="85"/>
      <w:w w:val="100"/>
      <w:position w:val="3"/>
      <w:sz w:val="28"/>
      <w:szCs w:val="28"/>
    </w:rPr>
  </w:style>
  <w:style w:type="character" w:customStyle="1" w:styleId="67">
    <w:name w:val="一级条标题 Char"/>
    <w:link w:val="68"/>
    <w:qFormat/>
    <w:uiPriority w:val="0"/>
    <w:rPr>
      <w:rFonts w:ascii="黑体" w:eastAsia="黑体"/>
      <w:szCs w:val="21"/>
    </w:rPr>
  </w:style>
  <w:style w:type="paragraph" w:customStyle="1" w:styleId="68">
    <w:name w:val="一级条标题"/>
    <w:next w:val="62"/>
    <w:link w:val="67"/>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9">
    <w:name w:val="HTML 预设格式 Char"/>
    <w:qFormat/>
    <w:uiPriority w:val="0"/>
    <w:rPr>
      <w:rFonts w:ascii="Courier New" w:hAnsi="Courier New" w:cs="Courier New"/>
    </w:rPr>
  </w:style>
  <w:style w:type="character" w:customStyle="1" w:styleId="70">
    <w:name w:val="尾注文本 Char"/>
    <w:semiHidden/>
    <w:qFormat/>
    <w:uiPriority w:val="0"/>
    <w:rPr>
      <w:szCs w:val="24"/>
    </w:rPr>
  </w:style>
  <w:style w:type="paragraph" w:customStyle="1" w:styleId="71">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2">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3">
    <w:name w:val="List Paragraph"/>
    <w:basedOn w:val="1"/>
    <w:qFormat/>
    <w:uiPriority w:val="34"/>
    <w:pPr>
      <w:ind w:firstLine="420" w:firstLineChars="200"/>
    </w:pPr>
    <w:rPr>
      <w:rFonts w:ascii="宋体" w:hAnsi="宋体" w:cs="宋体"/>
      <w:kern w:val="0"/>
      <w:sz w:val="24"/>
    </w:rPr>
  </w:style>
  <w:style w:type="paragraph" w:customStyle="1" w:styleId="74">
    <w:name w:val="封面一致性程度标识2"/>
    <w:basedOn w:val="75"/>
    <w:qFormat/>
    <w:uiPriority w:val="0"/>
    <w:pPr>
      <w:framePr w:y="4469"/>
    </w:pPr>
  </w:style>
  <w:style w:type="paragraph" w:customStyle="1" w:styleId="75">
    <w:name w:val="封面一致性程度标识"/>
    <w:basedOn w:val="76"/>
    <w:qFormat/>
    <w:uiPriority w:val="0"/>
    <w:pPr>
      <w:spacing w:before="440"/>
    </w:pPr>
    <w:rPr>
      <w:rFonts w:ascii="宋体" w:eastAsia="宋体"/>
    </w:rPr>
  </w:style>
  <w:style w:type="paragraph" w:customStyle="1" w:styleId="76">
    <w:name w:val="封面标准英文名称"/>
    <w:basedOn w:val="77"/>
    <w:qFormat/>
    <w:uiPriority w:val="0"/>
    <w:pPr>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2"/>
    <w:basedOn w:val="76"/>
    <w:qFormat/>
    <w:uiPriority w:val="0"/>
    <w:pPr>
      <w:framePr w:y="4469"/>
    </w:pPr>
  </w:style>
  <w:style w:type="paragraph" w:customStyle="1" w:styleId="79">
    <w:name w:val="其他发布日期"/>
    <w:basedOn w:val="80"/>
    <w:qFormat/>
    <w:uiPriority w:val="0"/>
    <w:pPr>
      <w:framePr w:vAnchor="page" w:hAnchor="text" w:x="1419"/>
    </w:pPr>
  </w:style>
  <w:style w:type="paragraph" w:customStyle="1" w:styleId="80">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1">
    <w:name w:val="正文公式编号制表符"/>
    <w:basedOn w:val="62"/>
    <w:next w:val="62"/>
    <w:qFormat/>
    <w:uiPriority w:val="0"/>
    <w:pPr>
      <w:ind w:firstLine="0" w:firstLineChars="0"/>
    </w:pPr>
  </w:style>
  <w:style w:type="paragraph" w:customStyle="1" w:styleId="82">
    <w:name w:val="正文表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3">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4">
    <w:name w:val="一级无"/>
    <w:basedOn w:val="68"/>
    <w:qFormat/>
    <w:uiPriority w:val="0"/>
  </w:style>
  <w:style w:type="paragraph" w:customStyle="1" w:styleId="85">
    <w:name w:val="图的脚注"/>
    <w:next w:val="62"/>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6">
    <w:name w:val="图标脚注说明"/>
    <w:basedOn w:val="62"/>
    <w:qFormat/>
    <w:uiPriority w:val="0"/>
    <w:pPr>
      <w:ind w:left="840" w:hanging="420" w:firstLineChars="0"/>
    </w:pPr>
    <w:rPr>
      <w:sz w:val="18"/>
      <w:szCs w:val="18"/>
    </w:rPr>
  </w:style>
  <w:style w:type="paragraph" w:customStyle="1" w:styleId="87">
    <w:name w:val="示例后文字"/>
    <w:basedOn w:val="62"/>
    <w:next w:val="62"/>
    <w:qFormat/>
    <w:uiPriority w:val="0"/>
    <w:pPr>
      <w:ind w:firstLine="360"/>
    </w:pPr>
    <w:rPr>
      <w:sz w:val="18"/>
    </w:rPr>
  </w:style>
  <w:style w:type="paragraph" w:customStyle="1" w:styleId="88">
    <w:name w:val="实施日期"/>
    <w:basedOn w:val="80"/>
    <w:qFormat/>
    <w:uiPriority w:val="0"/>
    <w:pPr>
      <w:framePr w:vAnchor="page" w:hAnchor="text"/>
      <w:jc w:val="right"/>
    </w:pPr>
  </w:style>
  <w:style w:type="paragraph" w:customStyle="1" w:styleId="89">
    <w:name w:val="前言、引言标题"/>
    <w:next w:val="62"/>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3">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4">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5">
    <w:name w:val="条文脚注"/>
    <w:basedOn w:val="27"/>
    <w:qFormat/>
    <w:uiPriority w:val="0"/>
    <w:pPr>
      <w:ind w:left="0" w:firstLine="0"/>
      <w:jc w:val="both"/>
    </w:p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62"/>
    <w:qFormat/>
    <w:uiPriority w:val="0"/>
    <w:pPr>
      <w:tabs>
        <w:tab w:val="left" w:pos="360"/>
      </w:tabs>
      <w:autoSpaceDN w:val="0"/>
      <w:spacing w:beforeLines="50" w:afterLines="50"/>
      <w:outlineLvl w:val="2"/>
    </w:pPr>
  </w:style>
  <w:style w:type="paragraph" w:customStyle="1" w:styleId="98">
    <w:name w:val="附录章标题"/>
    <w:next w:val="62"/>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五级无"/>
    <w:basedOn w:val="100"/>
    <w:qFormat/>
    <w:uiPriority w:val="0"/>
    <w:pPr>
      <w:tabs>
        <w:tab w:val="left" w:pos="360"/>
      </w:tabs>
      <w:spacing w:beforeLines="0" w:afterLines="0"/>
    </w:pPr>
    <w:rPr>
      <w:rFonts w:ascii="宋体" w:eastAsia="宋体"/>
      <w:szCs w:val="21"/>
    </w:rPr>
  </w:style>
  <w:style w:type="paragraph" w:customStyle="1" w:styleId="100">
    <w:name w:val="附录五级条标题"/>
    <w:basedOn w:val="101"/>
    <w:next w:val="62"/>
    <w:qFormat/>
    <w:uiPriority w:val="0"/>
    <w:pPr>
      <w:tabs>
        <w:tab w:val="left" w:pos="360"/>
      </w:tabs>
      <w:outlineLvl w:val="6"/>
    </w:pPr>
  </w:style>
  <w:style w:type="paragraph" w:customStyle="1" w:styleId="101">
    <w:name w:val="附录四级条标题"/>
    <w:basedOn w:val="102"/>
    <w:next w:val="62"/>
    <w:qFormat/>
    <w:uiPriority w:val="0"/>
    <w:pPr>
      <w:tabs>
        <w:tab w:val="left" w:pos="360"/>
      </w:tabs>
    </w:pPr>
  </w:style>
  <w:style w:type="paragraph" w:customStyle="1" w:styleId="102">
    <w:name w:val="附录三级条标题"/>
    <w:basedOn w:val="103"/>
    <w:next w:val="62"/>
    <w:qFormat/>
    <w:uiPriority w:val="0"/>
    <w:pPr>
      <w:tabs>
        <w:tab w:val="left" w:pos="360"/>
      </w:tabs>
    </w:pPr>
  </w:style>
  <w:style w:type="paragraph" w:customStyle="1" w:styleId="103">
    <w:name w:val="附录二级条标题"/>
    <w:basedOn w:val="1"/>
    <w:next w:val="62"/>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附录图标题"/>
    <w:basedOn w:val="1"/>
    <w:next w:val="62"/>
    <w:qFormat/>
    <w:uiPriority w:val="0"/>
    <w:pPr>
      <w:tabs>
        <w:tab w:val="left" w:pos="363"/>
      </w:tabs>
      <w:spacing w:beforeLines="50" w:afterLines="50"/>
      <w:jc w:val="center"/>
    </w:pPr>
    <w:rPr>
      <w:rFonts w:ascii="黑体" w:eastAsia="黑体"/>
      <w:szCs w:val="21"/>
    </w:rPr>
  </w:style>
  <w:style w:type="paragraph" w:customStyle="1" w:styleId="105">
    <w:name w:val="附录图标号"/>
    <w:basedOn w:val="1"/>
    <w:qFormat/>
    <w:uiPriority w:val="0"/>
    <w:pPr>
      <w:keepNext/>
      <w:pageBreakBefore/>
      <w:spacing w:line="14" w:lineRule="exact"/>
      <w:ind w:firstLine="363"/>
      <w:jc w:val="center"/>
      <w:outlineLvl w:val="0"/>
    </w:pPr>
    <w:rPr>
      <w:color w:val="FFFFFF"/>
    </w:rPr>
  </w:style>
  <w:style w:type="paragraph" w:customStyle="1" w:styleId="106">
    <w:name w:val="附录四级无"/>
    <w:basedOn w:val="101"/>
    <w:qFormat/>
    <w:uiPriority w:val="0"/>
    <w:pPr>
      <w:tabs>
        <w:tab w:val="clear" w:pos="360"/>
      </w:tabs>
      <w:spacing w:beforeLines="0" w:afterLines="0"/>
      <w:outlineLvl w:val="5"/>
    </w:pPr>
    <w:rPr>
      <w:rFonts w:ascii="宋体" w:eastAsia="宋体"/>
      <w:szCs w:val="21"/>
    </w:rPr>
  </w:style>
  <w:style w:type="paragraph" w:customStyle="1" w:styleId="107">
    <w:name w:val="附录三级无"/>
    <w:basedOn w:val="102"/>
    <w:qFormat/>
    <w:uiPriority w:val="0"/>
  </w:style>
  <w:style w:type="paragraph" w:customStyle="1" w:styleId="108">
    <w:name w:val="注："/>
    <w:next w:val="62"/>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9">
    <w:name w:val="附录公式编号制表符"/>
    <w:basedOn w:val="1"/>
    <w:next w:val="62"/>
    <w:qFormat/>
    <w:uiPriority w:val="0"/>
    <w:pPr>
      <w:tabs>
        <w:tab w:val="center" w:pos="4201"/>
        <w:tab w:val="right" w:leader="dot" w:pos="9298"/>
      </w:tabs>
      <w:autoSpaceDE w:val="0"/>
      <w:autoSpaceDN w:val="0"/>
    </w:pPr>
    <w:rPr>
      <w:rFonts w:ascii="宋体"/>
      <w:kern w:val="0"/>
      <w:szCs w:val="20"/>
    </w:rPr>
  </w:style>
  <w:style w:type="paragraph" w:customStyle="1" w:styleId="110">
    <w:name w:val="附录二级无"/>
    <w:basedOn w:val="103"/>
    <w:qFormat/>
    <w:uiPriority w:val="0"/>
  </w:style>
  <w:style w:type="paragraph" w:customStyle="1" w:styleId="111">
    <w:name w:val="附录标题"/>
    <w:basedOn w:val="62"/>
    <w:next w:val="62"/>
    <w:qFormat/>
    <w:uiPriority w:val="0"/>
    <w:pPr>
      <w:ind w:firstLine="0" w:firstLineChars="0"/>
      <w:jc w:val="center"/>
    </w:pPr>
    <w:rPr>
      <w:rFonts w:ascii="黑体" w:eastAsia="黑体"/>
    </w:rPr>
  </w:style>
  <w:style w:type="paragraph" w:customStyle="1" w:styleId="112">
    <w:name w:val="参考文献"/>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3">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4">
    <w:name w:val="封面标准文稿类别"/>
    <w:basedOn w:val="75"/>
    <w:qFormat/>
    <w:uiPriority w:val="0"/>
    <w:pPr>
      <w:spacing w:after="160" w:line="240" w:lineRule="auto"/>
    </w:pPr>
    <w:rPr>
      <w:sz w:val="24"/>
    </w:rPr>
  </w:style>
  <w:style w:type="paragraph" w:customStyle="1" w:styleId="115">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6">
    <w:name w:val="其他实施日期"/>
    <w:basedOn w:val="88"/>
    <w:qFormat/>
    <w:uiPriority w:val="0"/>
    <w:pPr>
      <w:framePr w:vAnchor="margin" w:hAnchor="page"/>
    </w:p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发布部门"/>
    <w:next w:val="62"/>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9">
    <w:name w:val="注：（正文）"/>
    <w:basedOn w:val="108"/>
    <w:next w:val="62"/>
    <w:qFormat/>
    <w:uiPriority w:val="0"/>
  </w:style>
  <w:style w:type="paragraph" w:customStyle="1" w:styleId="120">
    <w:name w:val="参考文献、索引标题"/>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3">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4">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5">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6">
    <w:name w:val="示例×："/>
    <w:basedOn w:val="127"/>
    <w:qFormat/>
    <w:uiPriority w:val="0"/>
    <w:pPr>
      <w:spacing w:beforeLines="0" w:afterLines="0"/>
      <w:ind w:firstLine="363"/>
      <w:outlineLvl w:val="9"/>
    </w:pPr>
    <w:rPr>
      <w:rFonts w:ascii="宋体" w:eastAsia="宋体"/>
      <w:sz w:val="18"/>
      <w:szCs w:val="18"/>
    </w:rPr>
  </w:style>
  <w:style w:type="paragraph" w:customStyle="1" w:styleId="127">
    <w:name w:val="章标题"/>
    <w:next w:val="62"/>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8">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9">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1">
    <w:name w:val="五级无"/>
    <w:basedOn w:val="132"/>
    <w:qFormat/>
    <w:uiPriority w:val="0"/>
    <w:pPr>
      <w:spacing w:beforeLines="0" w:afterLines="0"/>
      <w:outlineLvl w:val="6"/>
    </w:pPr>
    <w:rPr>
      <w:rFonts w:ascii="宋体" w:eastAsia="宋体"/>
    </w:rPr>
  </w:style>
  <w:style w:type="paragraph" w:customStyle="1" w:styleId="132">
    <w:name w:val="五级条标题"/>
    <w:basedOn w:val="133"/>
    <w:next w:val="62"/>
    <w:qFormat/>
    <w:uiPriority w:val="0"/>
  </w:style>
  <w:style w:type="paragraph" w:customStyle="1" w:styleId="133">
    <w:name w:val="四级条标题"/>
    <w:basedOn w:val="134"/>
    <w:next w:val="62"/>
    <w:qFormat/>
    <w:uiPriority w:val="0"/>
  </w:style>
  <w:style w:type="paragraph" w:customStyle="1" w:styleId="134">
    <w:name w:val="三级条标题"/>
    <w:basedOn w:val="135"/>
    <w:next w:val="62"/>
    <w:qFormat/>
    <w:uiPriority w:val="0"/>
  </w:style>
  <w:style w:type="paragraph" w:customStyle="1" w:styleId="135">
    <w:name w:val="二级条标题"/>
    <w:basedOn w:val="68"/>
    <w:next w:val="62"/>
    <w:qFormat/>
    <w:uiPriority w:val="0"/>
  </w:style>
  <w:style w:type="paragraph" w:customStyle="1" w:styleId="136">
    <w:name w:val="四级无"/>
    <w:basedOn w:val="133"/>
    <w:qFormat/>
    <w:uiPriority w:val="0"/>
  </w:style>
  <w:style w:type="paragraph" w:customStyle="1" w:styleId="137">
    <w:name w:val="三级无"/>
    <w:basedOn w:val="134"/>
    <w:qFormat/>
    <w:uiPriority w:val="0"/>
  </w:style>
  <w:style w:type="paragraph" w:customStyle="1" w:styleId="138">
    <w:name w:val="其他标准标志"/>
    <w:basedOn w:val="122"/>
    <w:qFormat/>
    <w:uiPriority w:val="0"/>
    <w:pPr>
      <w:framePr w:w="6101" w:vAnchor="page" w:hAnchor="page" w:x="4673" w:y="942"/>
    </w:pPr>
    <w:rPr>
      <w:w w:val="130"/>
    </w:rPr>
  </w:style>
  <w:style w:type="paragraph" w:customStyle="1" w:styleId="139">
    <w:name w:val="目次、标准名称标题"/>
    <w:basedOn w:val="1"/>
    <w:next w:val="62"/>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2">
    <w:name w:val="批注框文本 字符"/>
    <w:basedOn w:val="39"/>
    <w:link w:val="21"/>
    <w:semiHidden/>
    <w:qFormat/>
    <w:uiPriority w:val="99"/>
    <w:rPr>
      <w:rFonts w:ascii="Times New Roman" w:hAnsi="Times New Roman" w:eastAsia="宋体" w:cs="Times New Roman"/>
      <w:sz w:val="18"/>
      <w:szCs w:val="18"/>
    </w:rPr>
  </w:style>
  <w:style w:type="paragraph" w:customStyle="1" w:styleId="143">
    <w:name w:val="列项◆（三级）"/>
    <w:basedOn w:val="1"/>
    <w:qFormat/>
    <w:uiPriority w:val="99"/>
    <w:pPr>
      <w:tabs>
        <w:tab w:val="left" w:pos="969"/>
      </w:tabs>
      <w:ind w:left="969" w:hanging="414"/>
    </w:pPr>
    <w:rPr>
      <w:rFonts w:ascii="宋体"/>
      <w:szCs w:val="21"/>
    </w:rPr>
  </w:style>
  <w:style w:type="paragraph" w:customStyle="1" w:styleId="144">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5">
    <w:name w:val="页眉 字符"/>
    <w:basedOn w:val="39"/>
    <w:link w:val="23"/>
    <w:semiHidden/>
    <w:qFormat/>
    <w:uiPriority w:val="99"/>
    <w:rPr>
      <w:rFonts w:ascii="Times New Roman" w:hAnsi="Times New Roman" w:eastAsia="宋体" w:cs="Times New Roman"/>
      <w:sz w:val="18"/>
      <w:szCs w:val="18"/>
    </w:rPr>
  </w:style>
  <w:style w:type="paragraph" w:customStyle="1" w:styleId="146">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7">
    <w:name w:val="其他发布部门"/>
    <w:basedOn w:val="118"/>
    <w:qFormat/>
    <w:uiPriority w:val="0"/>
    <w:pPr>
      <w:framePr w:y="15310"/>
      <w:spacing w:line="0" w:lineRule="atLeast"/>
    </w:pPr>
    <w:rPr>
      <w:rFonts w:ascii="黑体" w:eastAsia="黑体"/>
      <w:b w:val="0"/>
    </w:rPr>
  </w:style>
  <w:style w:type="paragraph" w:customStyle="1" w:styleId="148">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9">
    <w:name w:val="正文图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0">
    <w:name w:val="HTML 预设格式 字符"/>
    <w:basedOn w:val="39"/>
    <w:link w:val="31"/>
    <w:semiHidden/>
    <w:qFormat/>
    <w:uiPriority w:val="99"/>
    <w:rPr>
      <w:rFonts w:ascii="Courier New" w:hAnsi="Courier New" w:eastAsia="宋体" w:cs="Courier New"/>
      <w:sz w:val="20"/>
      <w:szCs w:val="20"/>
    </w:rPr>
  </w:style>
  <w:style w:type="paragraph" w:customStyle="1" w:styleId="151">
    <w:name w:val="附录标识"/>
    <w:basedOn w:val="1"/>
    <w:next w:val="62"/>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2">
    <w:name w:val="脚注文本 字符"/>
    <w:basedOn w:val="39"/>
    <w:link w:val="27"/>
    <w:semiHidden/>
    <w:qFormat/>
    <w:uiPriority w:val="99"/>
    <w:rPr>
      <w:rFonts w:ascii="Times New Roman" w:hAnsi="Times New Roman" w:eastAsia="宋体" w:cs="Times New Roman"/>
      <w:sz w:val="18"/>
      <w:szCs w:val="18"/>
    </w:rPr>
  </w:style>
  <w:style w:type="paragraph" w:customStyle="1" w:styleId="153">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4">
    <w:name w:val="二级无"/>
    <w:basedOn w:val="135"/>
    <w:qFormat/>
    <w:uiPriority w:val="0"/>
  </w:style>
  <w:style w:type="paragraph" w:customStyle="1" w:styleId="155">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6">
    <w:name w:val="正文文本缩进 2 字符"/>
    <w:basedOn w:val="39"/>
    <w:link w:val="19"/>
    <w:semiHidden/>
    <w:qFormat/>
    <w:uiPriority w:val="99"/>
    <w:rPr>
      <w:rFonts w:ascii="Times New Roman" w:hAnsi="Times New Roman" w:eastAsia="宋体" w:cs="Times New Roman"/>
      <w:szCs w:val="24"/>
    </w:rPr>
  </w:style>
  <w:style w:type="paragraph" w:customStyle="1" w:styleId="157">
    <w:name w:val="封面标准文稿编辑信息2"/>
    <w:basedOn w:val="158"/>
    <w:qFormat/>
    <w:uiPriority w:val="0"/>
    <w:pPr>
      <w:framePr w:y="4469"/>
    </w:pPr>
  </w:style>
  <w:style w:type="paragraph" w:customStyle="1" w:styleId="158">
    <w:name w:val="封面标准文稿编辑信息"/>
    <w:basedOn w:val="114"/>
    <w:qFormat/>
    <w:uiPriority w:val="0"/>
    <w:pPr>
      <w:spacing w:before="180" w:line="180" w:lineRule="exact"/>
    </w:pPr>
    <w:rPr>
      <w:sz w:val="21"/>
    </w:rPr>
  </w:style>
  <w:style w:type="paragraph" w:customStyle="1" w:styleId="159">
    <w:name w:val="附录表标题"/>
    <w:basedOn w:val="1"/>
    <w:next w:val="62"/>
    <w:qFormat/>
    <w:uiPriority w:val="0"/>
    <w:pPr>
      <w:tabs>
        <w:tab w:val="left" w:pos="180"/>
      </w:tabs>
      <w:spacing w:beforeLines="50" w:afterLines="50"/>
      <w:jc w:val="center"/>
    </w:pPr>
    <w:rPr>
      <w:rFonts w:ascii="黑体" w:eastAsia="黑体"/>
      <w:szCs w:val="21"/>
    </w:rPr>
  </w:style>
  <w:style w:type="paragraph" w:customStyle="1" w:styleId="160">
    <w:name w:val="标准书眉_偶数页"/>
    <w:basedOn w:val="144"/>
    <w:next w:val="1"/>
    <w:qFormat/>
    <w:uiPriority w:val="0"/>
    <w:pPr>
      <w:jc w:val="left"/>
    </w:pPr>
  </w:style>
  <w:style w:type="paragraph" w:customStyle="1" w:styleId="161">
    <w:name w:val="附录表标号"/>
    <w:basedOn w:val="1"/>
    <w:next w:val="62"/>
    <w:qFormat/>
    <w:uiPriority w:val="0"/>
    <w:pPr>
      <w:spacing w:line="14" w:lineRule="exact"/>
      <w:ind w:left="811" w:hanging="448"/>
      <w:jc w:val="center"/>
      <w:outlineLvl w:val="0"/>
    </w:pPr>
    <w:rPr>
      <w:color w:val="FFFFFF"/>
    </w:rPr>
  </w:style>
  <w:style w:type="paragraph" w:customStyle="1" w:styleId="162">
    <w:name w:val="图表脚注说明"/>
    <w:basedOn w:val="1"/>
    <w:qFormat/>
    <w:uiPriority w:val="0"/>
    <w:pPr>
      <w:ind w:left="544" w:hanging="181"/>
    </w:pPr>
    <w:rPr>
      <w:rFonts w:ascii="宋体"/>
      <w:sz w:val="18"/>
      <w:szCs w:val="18"/>
    </w:rPr>
  </w:style>
  <w:style w:type="character" w:customStyle="1" w:styleId="163">
    <w:name w:val="页脚 字符"/>
    <w:basedOn w:val="39"/>
    <w:link w:val="22"/>
    <w:semiHidden/>
    <w:qFormat/>
    <w:uiPriority w:val="99"/>
    <w:rPr>
      <w:rFonts w:ascii="Times New Roman" w:hAnsi="Times New Roman" w:eastAsia="宋体" w:cs="Times New Roman"/>
      <w:sz w:val="18"/>
      <w:szCs w:val="18"/>
    </w:rPr>
  </w:style>
  <w:style w:type="character" w:customStyle="1" w:styleId="164">
    <w:name w:val="批注文字 字符"/>
    <w:basedOn w:val="39"/>
    <w:link w:val="12"/>
    <w:semiHidden/>
    <w:qFormat/>
    <w:uiPriority w:val="99"/>
    <w:rPr>
      <w:rFonts w:ascii="Times New Roman" w:hAnsi="Times New Roman" w:eastAsia="宋体" w:cs="Times New Roman"/>
      <w:szCs w:val="24"/>
    </w:rPr>
  </w:style>
  <w:style w:type="paragraph" w:customStyle="1" w:styleId="165">
    <w:name w:val="封面标准名称2"/>
    <w:basedOn w:val="77"/>
    <w:qFormat/>
    <w:uiPriority w:val="0"/>
    <w:pPr>
      <w:framePr w:y="4469"/>
      <w:spacing w:beforeLines="630"/>
    </w:pPr>
  </w:style>
  <w:style w:type="character" w:customStyle="1" w:styleId="166">
    <w:name w:val="日期 字符"/>
    <w:basedOn w:val="39"/>
    <w:link w:val="18"/>
    <w:semiHidden/>
    <w:qFormat/>
    <w:uiPriority w:val="99"/>
    <w:rPr>
      <w:rFonts w:ascii="Times New Roman" w:hAnsi="Times New Roman" w:eastAsia="宋体" w:cs="Times New Roman"/>
      <w:szCs w:val="24"/>
    </w:rPr>
  </w:style>
  <w:style w:type="character" w:customStyle="1" w:styleId="167">
    <w:name w:val="文档结构图 字符"/>
    <w:basedOn w:val="39"/>
    <w:link w:val="11"/>
    <w:semiHidden/>
    <w:qFormat/>
    <w:uiPriority w:val="99"/>
    <w:rPr>
      <w:rFonts w:ascii="宋体" w:hAnsi="Times New Roman" w:eastAsia="宋体" w:cs="Times New Roman"/>
      <w:sz w:val="18"/>
      <w:szCs w:val="18"/>
    </w:rPr>
  </w:style>
  <w:style w:type="paragraph" w:customStyle="1" w:styleId="168">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9">
    <w:name w:val="封面标准文稿类别2"/>
    <w:basedOn w:val="114"/>
    <w:qFormat/>
    <w:uiPriority w:val="0"/>
    <w:pPr>
      <w:framePr w:y="4469"/>
    </w:pPr>
  </w:style>
  <w:style w:type="paragraph" w:customStyle="1" w:styleId="170">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1">
    <w:name w:val="终结线"/>
    <w:basedOn w:val="1"/>
    <w:qFormat/>
    <w:uiPriority w:val="0"/>
    <w:pPr>
      <w:framePr w:hSpace="181" w:vSpace="181" w:wrap="around" w:vAnchor="text" w:hAnchor="margin" w:xAlign="center" w:y="285"/>
    </w:pPr>
  </w:style>
  <w:style w:type="character" w:customStyle="1" w:styleId="172">
    <w:name w:val="批注主题 字符"/>
    <w:basedOn w:val="164"/>
    <w:link w:val="35"/>
    <w:semiHidden/>
    <w:qFormat/>
    <w:uiPriority w:val="99"/>
    <w:rPr>
      <w:rFonts w:ascii="Times New Roman" w:hAnsi="Times New Roman" w:eastAsia="宋体" w:cs="Times New Roman"/>
      <w:b/>
      <w:bCs/>
      <w:szCs w:val="24"/>
    </w:rPr>
  </w:style>
  <w:style w:type="character" w:customStyle="1" w:styleId="173">
    <w:name w:val="尾注文本 字符"/>
    <w:basedOn w:val="39"/>
    <w:link w:val="20"/>
    <w:semiHidden/>
    <w:qFormat/>
    <w:uiPriority w:val="99"/>
    <w:rPr>
      <w:rFonts w:ascii="Times New Roman" w:hAnsi="Times New Roman" w:eastAsia="宋体" w:cs="Times New Roman"/>
      <w:szCs w:val="24"/>
    </w:rPr>
  </w:style>
  <w:style w:type="paragraph" w:customStyle="1" w:styleId="174">
    <w:name w:val="示例"/>
    <w:next w:val="125"/>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5">
    <w:name w:val="正文文本 3 字符"/>
    <w:basedOn w:val="39"/>
    <w:link w:val="14"/>
    <w:semiHidden/>
    <w:qFormat/>
    <w:uiPriority w:val="99"/>
    <w:rPr>
      <w:rFonts w:ascii="Times New Roman" w:hAnsi="Times New Roman" w:eastAsia="宋体" w:cs="Times New Roman"/>
      <w:sz w:val="16"/>
      <w:szCs w:val="16"/>
    </w:rPr>
  </w:style>
  <w:style w:type="character" w:customStyle="1" w:styleId="176">
    <w:name w:val="标题 字符"/>
    <w:basedOn w:val="39"/>
    <w:link w:val="34"/>
    <w:qFormat/>
    <w:uiPriority w:val="0"/>
    <w:rPr>
      <w:rFonts w:ascii="Arial" w:hAnsi="Arial" w:eastAsia="宋体" w:cs="Times New Roman"/>
      <w:b/>
      <w:kern w:val="0"/>
      <w:sz w:val="32"/>
      <w:szCs w:val="20"/>
    </w:rPr>
  </w:style>
  <w:style w:type="paragraph" w:customStyle="1" w:styleId="177">
    <w:name w:val="p0"/>
    <w:basedOn w:val="1"/>
    <w:qFormat/>
    <w:uiPriority w:val="0"/>
    <w:pPr>
      <w:spacing w:line="240" w:lineRule="auto"/>
      <w:jc w:val="both"/>
    </w:pPr>
    <w:rPr>
      <w:kern w:val="0"/>
      <w:szCs w:val="21"/>
    </w:rPr>
  </w:style>
  <w:style w:type="character" w:customStyle="1" w:styleId="178">
    <w:name w:val="纯文本 字符"/>
    <w:basedOn w:val="39"/>
    <w:link w:val="16"/>
    <w:qFormat/>
    <w:uiPriority w:val="99"/>
    <w:rPr>
      <w:rFonts w:ascii="宋体" w:hAnsi="Courier New" w:eastAsia="宋体" w:cs="Courier New"/>
      <w:szCs w:val="21"/>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9"/>
    <w:link w:val="2"/>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9"/>
    <w:link w:val="7"/>
    <w:semiHidden/>
    <w:qFormat/>
    <w:uiPriority w:val="9"/>
    <w:rPr>
      <w:rFonts w:asciiTheme="majorHAnsi" w:hAnsiTheme="majorHAnsi" w:eastAsiaTheme="majorEastAsia" w:cstheme="majorBidi"/>
      <w:b/>
      <w:bCs/>
      <w:kern w:val="2"/>
      <w:sz w:val="28"/>
      <w:szCs w:val="28"/>
    </w:rPr>
  </w:style>
  <w:style w:type="paragraph" w:customStyle="1" w:styleId="183">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4">
    <w:name w:val="WPSOffice手动目录 1"/>
    <w:qFormat/>
    <w:uiPriority w:val="0"/>
    <w:pPr>
      <w:ind w:leftChars="0"/>
    </w:pPr>
    <w:rPr>
      <w:rFonts w:ascii="Times New Roman" w:hAnsi="Times New Roman" w:eastAsia="宋体" w:cs="Times New Roman"/>
      <w:sz w:val="20"/>
      <w:szCs w:val="20"/>
    </w:rPr>
  </w:style>
  <w:style w:type="character" w:customStyle="1" w:styleId="185">
    <w:name w:val="font21"/>
    <w:basedOn w:val="39"/>
    <w:qFormat/>
    <w:uiPriority w:val="0"/>
    <w:rPr>
      <w:rFonts w:hint="default" w:ascii="Times New Roman" w:hAnsi="Times New Roman" w:cs="Times New Roman"/>
      <w:color w:val="000000"/>
      <w:sz w:val="21"/>
      <w:szCs w:val="21"/>
      <w:u w:val="none"/>
    </w:rPr>
  </w:style>
  <w:style w:type="character" w:customStyle="1" w:styleId="186">
    <w:name w:val="font31"/>
    <w:basedOn w:val="39"/>
    <w:qFormat/>
    <w:uiPriority w:val="0"/>
    <w:rPr>
      <w:rFonts w:hint="eastAsia" w:ascii="宋体" w:hAnsi="宋体" w:eastAsia="宋体" w:cs="宋体"/>
      <w:color w:val="000000"/>
      <w:sz w:val="21"/>
      <w:szCs w:val="21"/>
      <w:u w:val="none"/>
    </w:rPr>
  </w:style>
  <w:style w:type="character" w:customStyle="1" w:styleId="187">
    <w:name w:val="font41"/>
    <w:basedOn w:val="39"/>
    <w:qFormat/>
    <w:uiPriority w:val="0"/>
    <w:rPr>
      <w:rFonts w:hint="default" w:ascii="Times New Roman" w:hAnsi="Times New Roman" w:cs="Times New Roman"/>
      <w:color w:val="000000"/>
      <w:sz w:val="21"/>
      <w:szCs w:val="21"/>
      <w:u w:val="none"/>
    </w:rPr>
  </w:style>
  <w:style w:type="paragraph" w:styleId="188">
    <w:name w:val="No Spacing"/>
    <w:qFormat/>
    <w:uiPriority w:val="0"/>
    <w:pPr>
      <w:adjustRightInd w:val="0"/>
      <w:snapToGrid w:val="0"/>
    </w:pPr>
    <w:rPr>
      <w:rFonts w:ascii="Calibri" w:hAnsi="Calibri" w:eastAsia="宋体" w:cs="Times New Roman"/>
      <w:sz w:val="22"/>
      <w:szCs w:val="22"/>
      <w:lang w:val="en-US" w:eastAsia="zh-CN" w:bidi="ar-SA"/>
    </w:rPr>
  </w:style>
  <w:style w:type="character" w:customStyle="1" w:styleId="189">
    <w:name w:val="font11"/>
    <w:qFormat/>
    <w:uiPriority w:val="0"/>
    <w:rPr>
      <w:rFonts w:hint="eastAsia" w:ascii="宋体" w:hAnsi="宋体" w:eastAsia="宋体" w:cs="宋体"/>
      <w:b/>
      <w:color w:val="000000"/>
      <w:sz w:val="24"/>
      <w:szCs w:val="24"/>
      <w:u w:val="none"/>
    </w:rPr>
  </w:style>
  <w:style w:type="character" w:customStyle="1" w:styleId="190">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65fe60-d311-468f-bbb5-1656111f27fd}"/>
        <w:style w:val=""/>
        <w:category>
          <w:name w:val="常规"/>
          <w:gallery w:val="placeholder"/>
        </w:category>
        <w:types>
          <w:type w:val="bbPlcHdr"/>
        </w:types>
        <w:behaviors>
          <w:behavior w:val="content"/>
        </w:behaviors>
        <w:description w:val=""/>
        <w:guid w:val="{4065fe60-d311-468f-bbb5-1656111f27fd}"/>
      </w:docPartPr>
      <w:docPartBody>
        <w:p>
          <w:r>
            <w:rPr>
              <w:color w:val="808080"/>
            </w:rPr>
            <w:t>单击此处输入文字。</w:t>
          </w:r>
        </w:p>
      </w:docPartBody>
    </w:docPart>
    <w:docPart>
      <w:docPartPr>
        <w:name w:val="{1c62fed6-822f-4dbe-ba84-9a10f68dbc31}"/>
        <w:style w:val=""/>
        <w:category>
          <w:name w:val="常规"/>
          <w:gallery w:val="placeholder"/>
        </w:category>
        <w:types>
          <w:type w:val="bbPlcHdr"/>
        </w:types>
        <w:behaviors>
          <w:behavior w:val="content"/>
        </w:behaviors>
        <w:description w:val=""/>
        <w:guid w:val="{1c62fed6-822f-4dbe-ba84-9a10f68dbc31}"/>
      </w:docPartPr>
      <w:docPartBody>
        <w:p>
          <w:r>
            <w:rPr>
              <w:color w:val="808080"/>
            </w:rPr>
            <w:t>单击此处输入文字。</w:t>
          </w:r>
        </w:p>
      </w:docPartBody>
    </w:docPart>
    <w:docPart>
      <w:docPartPr>
        <w:name w:val="{c8bd3f71-4027-4615-91bb-242995ca7cf2}"/>
        <w:style w:val=""/>
        <w:category>
          <w:name w:val="常规"/>
          <w:gallery w:val="placeholder"/>
        </w:category>
        <w:types>
          <w:type w:val="bbPlcHdr"/>
        </w:types>
        <w:behaviors>
          <w:behavior w:val="content"/>
        </w:behaviors>
        <w:description w:val=""/>
        <w:guid w:val="{c8bd3f71-4027-4615-91bb-242995ca7cf2}"/>
      </w:docPartPr>
      <w:docPartBody>
        <w:p>
          <w:r>
            <w:rPr>
              <w:color w:val="808080"/>
            </w:rPr>
            <w:t>单击此处输入文字。</w:t>
          </w:r>
        </w:p>
      </w:docPartBody>
    </w:docPart>
    <w:docPart>
      <w:docPartPr>
        <w:name w:val="{ad56d047-41ff-487e-b01b-50fa01973a82}"/>
        <w:style w:val=""/>
        <w:category>
          <w:name w:val="常规"/>
          <w:gallery w:val="placeholder"/>
        </w:category>
        <w:types>
          <w:type w:val="bbPlcHdr"/>
        </w:types>
        <w:behaviors>
          <w:behavior w:val="content"/>
        </w:behaviors>
        <w:description w:val=""/>
        <w:guid w:val="{ad56d047-41ff-487e-b01b-50fa01973a82}"/>
      </w:docPartPr>
      <w:docPartBody>
        <w:p>
          <w:r>
            <w:rPr>
              <w:color w:val="808080"/>
            </w:rPr>
            <w:t>单击此处输入文字。</w:t>
          </w:r>
        </w:p>
      </w:docPartBody>
    </w:docPart>
    <w:docPart>
      <w:docPartPr>
        <w:name w:val="{62b5260a-b161-4cd5-8128-4d9189238ad6}"/>
        <w:style w:val=""/>
        <w:category>
          <w:name w:val="常规"/>
          <w:gallery w:val="placeholder"/>
        </w:category>
        <w:types>
          <w:type w:val="bbPlcHdr"/>
        </w:types>
        <w:behaviors>
          <w:behavior w:val="content"/>
        </w:behaviors>
        <w:description w:val=""/>
        <w:guid w:val="{62b5260a-b161-4cd5-8128-4d9189238ad6}"/>
      </w:docPartPr>
      <w:docPartBody>
        <w:p>
          <w:r>
            <w:rPr>
              <w:color w:val="808080"/>
            </w:rPr>
            <w:t>单击此处输入文字。</w:t>
          </w:r>
        </w:p>
      </w:docPartBody>
    </w:docPart>
    <w:docPart>
      <w:docPartPr>
        <w:name w:val="{f68791e4-4306-4f9d-879e-88af48ba6b76}"/>
        <w:style w:val=""/>
        <w:category>
          <w:name w:val="常规"/>
          <w:gallery w:val="placeholder"/>
        </w:category>
        <w:types>
          <w:type w:val="bbPlcHdr"/>
        </w:types>
        <w:behaviors>
          <w:behavior w:val="content"/>
        </w:behaviors>
        <w:description w:val=""/>
        <w:guid w:val="{f68791e4-4306-4f9d-879e-88af48ba6b76}"/>
      </w:docPartPr>
      <w:docPartBody>
        <w:p>
          <w:r>
            <w:rPr>
              <w:color w:val="808080"/>
            </w:rPr>
            <w:t>单击此处输入文字。</w:t>
          </w:r>
        </w:p>
      </w:docPartBody>
    </w:docPart>
    <w:docPart>
      <w:docPartPr>
        <w:name w:val="{84767b86-8274-4f15-bc83-2d7f4fcbd560}"/>
        <w:style w:val=""/>
        <w:category>
          <w:name w:val="常规"/>
          <w:gallery w:val="placeholder"/>
        </w:category>
        <w:types>
          <w:type w:val="bbPlcHdr"/>
        </w:types>
        <w:behaviors>
          <w:behavior w:val="content"/>
        </w:behaviors>
        <w:description w:val=""/>
        <w:guid w:val="{84767b86-8274-4f15-bc83-2d7f4fcbd560}"/>
      </w:docPartPr>
      <w:docPartBody>
        <w:p>
          <w:r>
            <w:rPr>
              <w:color w:val="808080"/>
            </w:rPr>
            <w:t>单击此处输入文字。</w:t>
          </w:r>
        </w:p>
      </w:docPartBody>
    </w:docPart>
    <w:docPart>
      <w:docPartPr>
        <w:name w:val="{6fd9db60-4a89-4000-9648-80c7aaa178b5}"/>
        <w:style w:val=""/>
        <w:category>
          <w:name w:val="常规"/>
          <w:gallery w:val="placeholder"/>
        </w:category>
        <w:types>
          <w:type w:val="bbPlcHdr"/>
        </w:types>
        <w:behaviors>
          <w:behavior w:val="content"/>
        </w:behaviors>
        <w:description w:val=""/>
        <w:guid w:val="{6fd9db60-4a89-4000-9648-80c7aaa178b5}"/>
      </w:docPartPr>
      <w:docPartBody>
        <w:p>
          <w:r>
            <w:rPr>
              <w:color w:val="808080"/>
            </w:rPr>
            <w:t>单击此处输入文字。</w:t>
          </w:r>
        </w:p>
      </w:docPartBody>
    </w:docPart>
    <w:docPart>
      <w:docPartPr>
        <w:name w:val="{9a92f949-bdeb-40b9-a59f-48b3ff3fb8a3}"/>
        <w:style w:val=""/>
        <w:category>
          <w:name w:val="常规"/>
          <w:gallery w:val="placeholder"/>
        </w:category>
        <w:types>
          <w:type w:val="bbPlcHdr"/>
        </w:types>
        <w:behaviors>
          <w:behavior w:val="content"/>
        </w:behaviors>
        <w:description w:val=""/>
        <w:guid w:val="{9a92f949-bdeb-40b9-a59f-48b3ff3fb8a3}"/>
      </w:docPartPr>
      <w:docPartBody>
        <w:p>
          <w:r>
            <w:rPr>
              <w:color w:val="808080"/>
            </w:rPr>
            <w:t>单击此处输入文字。</w:t>
          </w:r>
        </w:p>
      </w:docPartBody>
    </w:docPart>
    <w:docPart>
      <w:docPartPr>
        <w:name w:val="{73f8cc18-272a-49bb-8e79-7ad22c7222f2}"/>
        <w:style w:val=""/>
        <w:category>
          <w:name w:val="常规"/>
          <w:gallery w:val="placeholder"/>
        </w:category>
        <w:types>
          <w:type w:val="bbPlcHdr"/>
        </w:types>
        <w:behaviors>
          <w:behavior w:val="content"/>
        </w:behaviors>
        <w:description w:val=""/>
        <w:guid w:val="{73f8cc18-272a-49bb-8e79-7ad22c7222f2}"/>
      </w:docPartPr>
      <w:docPartBody>
        <w:p>
          <w:r>
            <w:rPr>
              <w:color w:val="808080"/>
            </w:rPr>
            <w:t>单击此处输入文字。</w:t>
          </w:r>
        </w:p>
      </w:docPartBody>
    </w:docPart>
    <w:docPart>
      <w:docPartPr>
        <w:name w:val="{f97f2e82-5595-46a3-bee6-9afc5c6cc013}"/>
        <w:style w:val=""/>
        <w:category>
          <w:name w:val="常规"/>
          <w:gallery w:val="placeholder"/>
        </w:category>
        <w:types>
          <w:type w:val="bbPlcHdr"/>
        </w:types>
        <w:behaviors>
          <w:behavior w:val="content"/>
        </w:behaviors>
        <w:description w:val=""/>
        <w:guid w:val="{f97f2e82-5595-46a3-bee6-9afc5c6cc013}"/>
      </w:docPartPr>
      <w:docPartBody>
        <w:p>
          <w:r>
            <w:rPr>
              <w:color w:val="808080"/>
            </w:rPr>
            <w:t>单击此处输入文字。</w:t>
          </w:r>
        </w:p>
      </w:docPartBody>
    </w:docPart>
    <w:docPart>
      <w:docPartPr>
        <w:name w:val="{22cce72e-c41e-4f02-baf5-50d44c229616}"/>
        <w:style w:val=""/>
        <w:category>
          <w:name w:val="常规"/>
          <w:gallery w:val="placeholder"/>
        </w:category>
        <w:types>
          <w:type w:val="bbPlcHdr"/>
        </w:types>
        <w:behaviors>
          <w:behavior w:val="content"/>
        </w:behaviors>
        <w:description w:val=""/>
        <w:guid w:val="{22cce72e-c41e-4f02-baf5-50d44c229616}"/>
      </w:docPartPr>
      <w:docPartBody>
        <w:p>
          <w:r>
            <w:rPr>
              <w:color w:val="808080"/>
            </w:rPr>
            <w:t>单击此处输入文字。</w:t>
          </w:r>
        </w:p>
      </w:docPartBody>
    </w:docPart>
    <w:docPart>
      <w:docPartPr>
        <w:name w:val="{79225ccb-0629-4243-bd35-37fea5420e23}"/>
        <w:style w:val=""/>
        <w:category>
          <w:name w:val="常规"/>
          <w:gallery w:val="placeholder"/>
        </w:category>
        <w:types>
          <w:type w:val="bbPlcHdr"/>
        </w:types>
        <w:behaviors>
          <w:behavior w:val="content"/>
        </w:behaviors>
        <w:description w:val=""/>
        <w:guid w:val="{79225ccb-0629-4243-bd35-37fea5420e23}"/>
      </w:docPartPr>
      <w:docPartBody>
        <w:p>
          <w:r>
            <w:rPr>
              <w:color w:val="808080"/>
            </w:rPr>
            <w:t>单击此处输入文字。</w:t>
          </w:r>
        </w:p>
      </w:docPartBody>
    </w:docPart>
    <w:docPart>
      <w:docPartPr>
        <w:name w:val="{a38515ce-1a86-4eae-9ce4-001bfe882996}"/>
        <w:style w:val=""/>
        <w:category>
          <w:name w:val="常规"/>
          <w:gallery w:val="placeholder"/>
        </w:category>
        <w:types>
          <w:type w:val="bbPlcHdr"/>
        </w:types>
        <w:behaviors>
          <w:behavior w:val="content"/>
        </w:behaviors>
        <w:description w:val=""/>
        <w:guid w:val="{a38515ce-1a86-4eae-9ce4-001bfe88299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7</TotalTime>
  <ScaleCrop>false</ScaleCrop>
  <LinksUpToDate>false</LinksUpToDate>
  <CharactersWithSpaces>31315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2021-10-27T06:00:00Z</cp:lastPrinted>
  <dcterms:modified xsi:type="dcterms:W3CDTF">2022-02-10T04:23:05Z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20187E4216284010B8E0511CEEBBDBFD</vt:lpwstr>
  </property>
</Properties>
</file>