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b/>
          <w:bCs/>
          <w:color w:val="auto"/>
          <w:sz w:val="48"/>
          <w:szCs w:val="48"/>
          <w:lang w:val="en-US" w:eastAsia="zh-CN"/>
        </w:rPr>
      </w:pPr>
    </w:p>
    <w:p>
      <w:pPr>
        <w:snapToGrid w:val="0"/>
        <w:spacing w:line="900" w:lineRule="exact"/>
        <w:jc w:val="center"/>
        <w:rPr>
          <w:rFonts w:hint="eastAsia" w:ascii="黑体" w:hAnsi="黑体" w:eastAsia="黑体"/>
          <w:b/>
          <w:bCs/>
          <w:color w:val="auto"/>
          <w:sz w:val="48"/>
          <w:szCs w:val="48"/>
        </w:rPr>
      </w:pPr>
      <w:r>
        <w:rPr>
          <w:rFonts w:hint="eastAsia" w:ascii="黑体" w:hAnsi="黑体" w:eastAsia="黑体"/>
          <w:b/>
          <w:bCs/>
          <w:color w:val="auto"/>
          <w:sz w:val="48"/>
          <w:szCs w:val="48"/>
          <w:lang w:val="en-US" w:eastAsia="zh-CN"/>
        </w:rPr>
        <w:t>长沙集星集装箱码头</w:t>
      </w:r>
      <w:r>
        <w:rPr>
          <w:rFonts w:hint="eastAsia" w:ascii="黑体" w:hAnsi="黑体" w:eastAsia="黑体"/>
          <w:b/>
          <w:bCs/>
          <w:color w:val="auto"/>
          <w:sz w:val="48"/>
          <w:szCs w:val="48"/>
        </w:rPr>
        <w:t>有限公司</w:t>
      </w:r>
    </w:p>
    <w:p>
      <w:pPr>
        <w:spacing w:line="360" w:lineRule="auto"/>
        <w:jc w:val="center"/>
        <w:rPr>
          <w:rFonts w:hint="eastAsia" w:ascii="黑体" w:hAnsi="黑体" w:eastAsia="黑体"/>
          <w:b/>
          <w:bCs/>
          <w:color w:val="auto"/>
          <w:sz w:val="48"/>
          <w:szCs w:val="48"/>
          <w:lang w:val="en-US" w:eastAsia="zh-CN"/>
        </w:rPr>
      </w:pPr>
      <w:r>
        <w:rPr>
          <w:rFonts w:hint="eastAsia" w:ascii="黑体" w:hAnsi="黑体" w:eastAsia="黑体"/>
          <w:b/>
          <w:bCs/>
          <w:color w:val="auto"/>
          <w:sz w:val="48"/>
          <w:szCs w:val="48"/>
          <w:lang w:val="en-US" w:eastAsia="zh-CN"/>
        </w:rPr>
        <w:t>2022年度员工员工补充医疗保险项目</w:t>
      </w:r>
    </w:p>
    <w:p>
      <w:pPr>
        <w:spacing w:line="360" w:lineRule="auto"/>
        <w:jc w:val="center"/>
        <w:rPr>
          <w:rFonts w:hint="eastAsia" w:ascii="黑体" w:hAnsi="黑体" w:eastAsia="黑体"/>
          <w:b/>
          <w:bCs/>
          <w:color w:val="auto"/>
          <w:sz w:val="48"/>
          <w:szCs w:val="48"/>
          <w:lang w:val="en-US" w:eastAsia="zh-CN"/>
        </w:rPr>
      </w:pPr>
      <w:r>
        <w:rPr>
          <w:rFonts w:hint="eastAsia" w:ascii="黑体" w:hAnsi="黑体" w:eastAsia="黑体"/>
          <w:b/>
          <w:bCs/>
          <w:color w:val="auto"/>
          <w:sz w:val="48"/>
          <w:szCs w:val="48"/>
          <w:lang w:val="en-US" w:eastAsia="zh-CN"/>
        </w:rPr>
        <w:t>第二次询价文件</w:t>
      </w:r>
    </w:p>
    <w:p>
      <w:pPr>
        <w:spacing w:line="480" w:lineRule="auto"/>
        <w:jc w:val="center"/>
        <w:rPr>
          <w:rFonts w:ascii="宋体" w:hAnsi="宋体" w:cs="宋体"/>
          <w:b/>
          <w:color w:val="auto"/>
          <w:kern w:val="0"/>
          <w:sz w:val="48"/>
          <w:szCs w:val="48"/>
        </w:rPr>
      </w:pPr>
    </w:p>
    <w:p>
      <w:pPr>
        <w:snapToGrid w:val="0"/>
        <w:spacing w:line="480" w:lineRule="auto"/>
        <w:jc w:val="center"/>
        <w:rPr>
          <w:b/>
          <w:bCs/>
          <w:color w:val="auto"/>
          <w:sz w:val="48"/>
          <w:szCs w:val="48"/>
        </w:rPr>
      </w:pPr>
      <w:r>
        <w:rPr>
          <w:rFonts w:hint="eastAsia" w:ascii="黑体" w:hAnsi="黑体" w:eastAsia="黑体" w:cs="黑体"/>
          <w:b w:val="0"/>
          <w:bCs w:val="0"/>
          <w:color w:val="auto"/>
          <w:sz w:val="28"/>
          <w:szCs w:val="28"/>
          <w:lang w:val="en-US" w:eastAsia="zh-CN"/>
        </w:rPr>
        <w:t>采购编号：省港服（2022）年询第1号【集星】</w:t>
      </w:r>
    </w:p>
    <w:p>
      <w:pPr>
        <w:spacing w:line="600" w:lineRule="exact"/>
        <w:rPr>
          <w:color w:val="auto"/>
        </w:rPr>
      </w:pPr>
    </w:p>
    <w:p>
      <w:pPr>
        <w:spacing w:line="600" w:lineRule="exact"/>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4"/>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spacing w:line="600" w:lineRule="exact"/>
        <w:rPr>
          <w:color w:val="auto"/>
        </w:rPr>
      </w:pPr>
    </w:p>
    <w:p>
      <w:pPr>
        <w:spacing w:line="600" w:lineRule="exact"/>
        <w:rPr>
          <w:color w:val="auto"/>
        </w:rPr>
      </w:pPr>
    </w:p>
    <w:p>
      <w:pPr>
        <w:tabs>
          <w:tab w:val="left" w:pos="0"/>
          <w:tab w:val="left" w:pos="4185"/>
        </w:tabs>
        <w:spacing w:line="288" w:lineRule="auto"/>
        <w:ind w:right="-6"/>
        <w:jc w:val="center"/>
        <w:rPr>
          <w:rFonts w:hint="eastAsia" w:ascii="黑体" w:hAnsi="黑体" w:eastAsia="黑体"/>
          <w:bCs/>
          <w:color w:val="auto"/>
          <w:sz w:val="44"/>
          <w:szCs w:val="44"/>
        </w:rPr>
      </w:pPr>
      <w:r>
        <w:rPr>
          <w:rFonts w:hint="eastAsia" w:ascii="黑体" w:hAnsi="黑体" w:eastAsia="黑体"/>
          <w:bCs/>
          <w:color w:val="auto"/>
          <w:sz w:val="44"/>
          <w:szCs w:val="44"/>
        </w:rPr>
        <w:t>二О二</w:t>
      </w:r>
      <w:r>
        <w:rPr>
          <w:rFonts w:hint="eastAsia" w:ascii="黑体" w:hAnsi="黑体" w:eastAsia="黑体"/>
          <w:bCs/>
          <w:color w:val="auto"/>
          <w:sz w:val="44"/>
          <w:szCs w:val="44"/>
          <w:lang w:val="en-US" w:eastAsia="zh-CN"/>
        </w:rPr>
        <w:t>二</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一</w:t>
      </w:r>
      <w:r>
        <w:rPr>
          <w:rFonts w:hint="eastAsia" w:ascii="黑体" w:hAnsi="黑体" w:eastAsia="黑体"/>
          <w:bCs/>
          <w:color w:val="auto"/>
          <w:sz w:val="44"/>
          <w:szCs w:val="44"/>
        </w:rPr>
        <w:t>月</w:t>
      </w:r>
    </w:p>
    <w:p>
      <w:pPr>
        <w:rPr>
          <w:color w:val="auto"/>
        </w:rPr>
        <w:sectPr>
          <w:pgSz w:w="11906" w:h="16838"/>
          <w:pgMar w:top="1440" w:right="1800" w:bottom="1440" w:left="1800" w:header="851" w:footer="992" w:gutter="0"/>
          <w:cols w:space="425" w:num="1"/>
          <w:docGrid w:type="lines" w:linePitch="312" w:charSpace="0"/>
        </w:sectPr>
      </w:pPr>
    </w:p>
    <w:p>
      <w:pPr>
        <w:pStyle w:val="2"/>
        <w:numPr>
          <w:ilvl w:val="0"/>
          <w:numId w:val="0"/>
        </w:numPr>
        <w:ind w:leftChars="0"/>
        <w:rPr>
          <w:color w:val="auto"/>
        </w:rPr>
      </w:pPr>
    </w:p>
    <w:sdt>
      <w:sdtPr>
        <w:rPr>
          <w:rFonts w:ascii="宋体" w:hAnsi="宋体" w:eastAsia="宋体" w:cs="Times New Roman"/>
          <w:kern w:val="2"/>
          <w:sz w:val="21"/>
          <w:szCs w:val="24"/>
          <w:lang w:val="en-US" w:eastAsia="zh-CN" w:bidi="ar-SA"/>
        </w:rPr>
        <w:id w:val="14748092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pPr>
            <w:pStyle w:val="26"/>
            <w:tabs>
              <w:tab w:val="right" w:leader="dot" w:pos="8306"/>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_Toc17400 </w:instrText>
          </w:r>
          <w:r>
            <w:rPr>
              <w:sz w:val="28"/>
              <w:szCs w:val="28"/>
            </w:rPr>
            <w:fldChar w:fldCharType="separate"/>
          </w:r>
          <w:r>
            <w:rPr>
              <w:rFonts w:hint="eastAsia" w:ascii="黑体" w:hAnsi="黑体" w:eastAsia="黑体" w:cs="仿宋"/>
              <w:sz w:val="28"/>
              <w:szCs w:val="28"/>
              <w:lang w:val="en-US" w:eastAsia="zh-CN"/>
            </w:rPr>
            <w:t>第一章 询价公告</w:t>
          </w:r>
          <w:r>
            <w:rPr>
              <w:sz w:val="28"/>
              <w:szCs w:val="28"/>
            </w:rPr>
            <w:tab/>
          </w:r>
          <w:r>
            <w:rPr>
              <w:sz w:val="28"/>
              <w:szCs w:val="28"/>
            </w:rPr>
            <w:fldChar w:fldCharType="begin"/>
          </w:r>
          <w:r>
            <w:rPr>
              <w:sz w:val="28"/>
              <w:szCs w:val="28"/>
            </w:rPr>
            <w:instrText xml:space="preserve"> PAGEREF _Toc17400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_Toc5362 </w:instrText>
          </w:r>
          <w:r>
            <w:rPr>
              <w:sz w:val="28"/>
              <w:szCs w:val="28"/>
            </w:rPr>
            <w:fldChar w:fldCharType="separate"/>
          </w:r>
          <w:r>
            <w:rPr>
              <w:rFonts w:hint="eastAsia" w:ascii="黑体" w:hAnsi="黑体" w:eastAsia="黑体" w:cs="仿宋"/>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_Toc5362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_Toc15960 </w:instrText>
          </w:r>
          <w:r>
            <w:rPr>
              <w:sz w:val="28"/>
              <w:szCs w:val="28"/>
            </w:rPr>
            <w:fldChar w:fldCharType="separate"/>
          </w:r>
          <w:r>
            <w:rPr>
              <w:rFonts w:hint="eastAsia" w:ascii="黑体" w:hAnsi="黑体" w:eastAsia="黑体" w:cs="仿宋"/>
              <w:sz w:val="28"/>
              <w:szCs w:val="28"/>
              <w:lang w:val="en-US" w:eastAsia="zh-CN"/>
            </w:rPr>
            <w:t>第三章 评审办法</w:t>
          </w:r>
          <w:r>
            <w:rPr>
              <w:sz w:val="28"/>
              <w:szCs w:val="28"/>
            </w:rPr>
            <w:tab/>
          </w:r>
          <w:r>
            <w:rPr>
              <w:sz w:val="28"/>
              <w:szCs w:val="28"/>
            </w:rPr>
            <w:fldChar w:fldCharType="begin"/>
          </w:r>
          <w:r>
            <w:rPr>
              <w:sz w:val="28"/>
              <w:szCs w:val="28"/>
            </w:rPr>
            <w:instrText xml:space="preserve"> PAGEREF _Toc15960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_Toc7584 </w:instrText>
          </w:r>
          <w:r>
            <w:rPr>
              <w:sz w:val="28"/>
              <w:szCs w:val="28"/>
            </w:rPr>
            <w:fldChar w:fldCharType="separate"/>
          </w:r>
          <w:r>
            <w:rPr>
              <w:rFonts w:hint="eastAsia" w:ascii="黑体" w:hAnsi="黑体" w:eastAsia="黑体" w:cs="仿宋"/>
              <w:kern w:val="2"/>
              <w:sz w:val="28"/>
              <w:szCs w:val="28"/>
              <w:lang w:val="en-US" w:eastAsia="zh-CN" w:bidi="ar-SA"/>
            </w:rPr>
            <w:t>第四章 合同条款及格式</w:t>
          </w:r>
          <w:r>
            <w:rPr>
              <w:sz w:val="28"/>
              <w:szCs w:val="28"/>
            </w:rPr>
            <w:tab/>
          </w:r>
          <w:r>
            <w:rPr>
              <w:sz w:val="28"/>
              <w:szCs w:val="28"/>
            </w:rPr>
            <w:fldChar w:fldCharType="begin"/>
          </w:r>
          <w:r>
            <w:rPr>
              <w:sz w:val="28"/>
              <w:szCs w:val="28"/>
            </w:rPr>
            <w:instrText xml:space="preserve"> PAGEREF _Toc7584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_Toc28834 </w:instrText>
          </w:r>
          <w:r>
            <w:rPr>
              <w:sz w:val="28"/>
              <w:szCs w:val="28"/>
            </w:rPr>
            <w:fldChar w:fldCharType="separate"/>
          </w:r>
          <w:r>
            <w:rPr>
              <w:rFonts w:hint="eastAsia" w:ascii="黑体" w:hAnsi="黑体" w:eastAsia="黑体" w:cs="仿宋"/>
              <w:sz w:val="28"/>
              <w:szCs w:val="28"/>
              <w:lang w:val="en-US" w:eastAsia="zh-CN"/>
            </w:rPr>
            <w:t>第五章 采购需求</w:t>
          </w:r>
          <w:r>
            <w:rPr>
              <w:sz w:val="28"/>
              <w:szCs w:val="28"/>
            </w:rPr>
            <w:tab/>
          </w:r>
          <w:r>
            <w:rPr>
              <w:sz w:val="28"/>
              <w:szCs w:val="28"/>
            </w:rPr>
            <w:fldChar w:fldCharType="begin"/>
          </w:r>
          <w:r>
            <w:rPr>
              <w:sz w:val="28"/>
              <w:szCs w:val="28"/>
            </w:rPr>
            <w:instrText xml:space="preserve"> PAGEREF _Toc28834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_Toc32122 </w:instrText>
          </w:r>
          <w:r>
            <w:rPr>
              <w:sz w:val="28"/>
              <w:szCs w:val="28"/>
            </w:rPr>
            <w:fldChar w:fldCharType="separate"/>
          </w:r>
          <w:r>
            <w:rPr>
              <w:rFonts w:hint="eastAsia" w:ascii="黑体" w:hAnsi="黑体" w:eastAsia="黑体" w:cs="仿宋"/>
              <w:sz w:val="28"/>
              <w:szCs w:val="28"/>
            </w:rPr>
            <w:t>第六章 响应文件格式</w:t>
          </w:r>
          <w:r>
            <w:rPr>
              <w:sz w:val="28"/>
              <w:szCs w:val="28"/>
            </w:rPr>
            <w:tab/>
          </w:r>
          <w:r>
            <w:rPr>
              <w:sz w:val="28"/>
              <w:szCs w:val="28"/>
            </w:rPr>
            <w:fldChar w:fldCharType="begin"/>
          </w:r>
          <w:r>
            <w:rPr>
              <w:sz w:val="28"/>
              <w:szCs w:val="28"/>
            </w:rPr>
            <w:instrText xml:space="preserve"> PAGEREF _Toc32122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_Toc17707 </w:instrText>
          </w:r>
          <w:r>
            <w:rPr>
              <w:sz w:val="28"/>
              <w:szCs w:val="28"/>
            </w:rPr>
            <w:fldChar w:fldCharType="separate"/>
          </w:r>
          <w:r>
            <w:rPr>
              <w:rFonts w:hint="eastAsia" w:ascii="黑体" w:hAnsi="黑体" w:eastAsia="黑体" w:cs="仿宋"/>
              <w:sz w:val="28"/>
              <w:szCs w:val="28"/>
            </w:rPr>
            <w:t xml:space="preserve">目 </w:t>
          </w:r>
          <w:r>
            <w:rPr>
              <w:rFonts w:ascii="黑体" w:hAnsi="黑体" w:eastAsia="黑体" w:cs="仿宋"/>
              <w:sz w:val="28"/>
              <w:szCs w:val="28"/>
            </w:rPr>
            <w:t xml:space="preserve"> </w:t>
          </w:r>
          <w:r>
            <w:rPr>
              <w:rFonts w:hint="eastAsia" w:ascii="黑体" w:hAnsi="黑体" w:eastAsia="黑体" w:cs="仿宋"/>
              <w:sz w:val="28"/>
              <w:szCs w:val="28"/>
            </w:rPr>
            <w:t>录</w:t>
          </w:r>
          <w:r>
            <w:rPr>
              <w:sz w:val="28"/>
              <w:szCs w:val="28"/>
            </w:rPr>
            <w:tab/>
          </w:r>
          <w:r>
            <w:rPr>
              <w:sz w:val="28"/>
              <w:szCs w:val="28"/>
            </w:rPr>
            <w:fldChar w:fldCharType="begin"/>
          </w:r>
          <w:r>
            <w:rPr>
              <w:sz w:val="28"/>
              <w:szCs w:val="28"/>
            </w:rPr>
            <w:instrText xml:space="preserve"> PAGEREF _Toc17707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_Toc12688 </w:instrText>
          </w:r>
          <w:r>
            <w:rPr>
              <w:sz w:val="28"/>
              <w:szCs w:val="28"/>
            </w:rPr>
            <w:fldChar w:fldCharType="separate"/>
          </w:r>
          <w:r>
            <w:rPr>
              <w:rFonts w:hint="eastAsia" w:ascii="黑体" w:hAnsi="黑体" w:eastAsia="黑体" w:cs="仿宋"/>
              <w:sz w:val="28"/>
              <w:szCs w:val="28"/>
            </w:rPr>
            <w:t>一、响应函</w:t>
          </w:r>
          <w:r>
            <w:rPr>
              <w:sz w:val="28"/>
              <w:szCs w:val="28"/>
            </w:rPr>
            <w:tab/>
          </w:r>
          <w:r>
            <w:rPr>
              <w:sz w:val="28"/>
              <w:szCs w:val="28"/>
            </w:rPr>
            <w:fldChar w:fldCharType="begin"/>
          </w:r>
          <w:r>
            <w:rPr>
              <w:sz w:val="28"/>
              <w:szCs w:val="28"/>
            </w:rPr>
            <w:instrText xml:space="preserve"> PAGEREF _Toc12688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_Toc15487 </w:instrText>
          </w:r>
          <w:r>
            <w:rPr>
              <w:sz w:val="28"/>
              <w:szCs w:val="28"/>
            </w:rPr>
            <w:fldChar w:fldCharType="separate"/>
          </w:r>
          <w:r>
            <w:rPr>
              <w:rFonts w:hint="eastAsia" w:ascii="黑体" w:hAnsi="黑体" w:eastAsia="黑体" w:cs="仿宋"/>
              <w:sz w:val="28"/>
              <w:szCs w:val="28"/>
            </w:rPr>
            <w:t>二、授权委托书</w:t>
          </w:r>
          <w:r>
            <w:rPr>
              <w:sz w:val="28"/>
              <w:szCs w:val="28"/>
            </w:rPr>
            <w:tab/>
          </w:r>
          <w:r>
            <w:rPr>
              <w:sz w:val="28"/>
              <w:szCs w:val="28"/>
            </w:rPr>
            <w:fldChar w:fldCharType="begin"/>
          </w:r>
          <w:r>
            <w:rPr>
              <w:sz w:val="28"/>
              <w:szCs w:val="28"/>
            </w:rPr>
            <w:instrText xml:space="preserve"> PAGEREF _Toc15487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_Toc16393 </w:instrText>
          </w:r>
          <w:r>
            <w:rPr>
              <w:sz w:val="28"/>
              <w:szCs w:val="28"/>
            </w:rPr>
            <w:fldChar w:fldCharType="separate"/>
          </w:r>
          <w:r>
            <w:rPr>
              <w:rFonts w:hint="eastAsia" w:ascii="黑体" w:hAnsi="黑体" w:eastAsia="黑体" w:cs="仿宋"/>
              <w:sz w:val="28"/>
              <w:szCs w:val="28"/>
              <w:lang w:eastAsia="zh-CN"/>
            </w:rPr>
            <w:t>三、</w:t>
          </w:r>
          <w:r>
            <w:rPr>
              <w:rFonts w:hint="eastAsia" w:ascii="黑体" w:hAnsi="黑体" w:eastAsia="黑体" w:cs="仿宋"/>
              <w:sz w:val="28"/>
              <w:szCs w:val="28"/>
            </w:rPr>
            <w:t>商务和技术偏差表</w:t>
          </w:r>
          <w:r>
            <w:rPr>
              <w:sz w:val="28"/>
              <w:szCs w:val="28"/>
            </w:rPr>
            <w:tab/>
          </w:r>
          <w:r>
            <w:rPr>
              <w:sz w:val="28"/>
              <w:szCs w:val="28"/>
            </w:rPr>
            <w:fldChar w:fldCharType="begin"/>
          </w:r>
          <w:r>
            <w:rPr>
              <w:sz w:val="28"/>
              <w:szCs w:val="28"/>
            </w:rPr>
            <w:instrText xml:space="preserve"> PAGEREF _Toc16393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_Toc19029 </w:instrText>
          </w:r>
          <w:r>
            <w:rPr>
              <w:sz w:val="28"/>
              <w:szCs w:val="28"/>
            </w:rPr>
            <w:fldChar w:fldCharType="separate"/>
          </w:r>
          <w:r>
            <w:rPr>
              <w:rFonts w:hint="eastAsia" w:ascii="黑体" w:hAnsi="黑体" w:eastAsia="黑体" w:cs="仿宋"/>
              <w:sz w:val="28"/>
              <w:szCs w:val="28"/>
              <w:lang w:eastAsia="zh-CN"/>
            </w:rPr>
            <w:t>四、报价</w:t>
          </w:r>
          <w:r>
            <w:rPr>
              <w:rFonts w:hint="eastAsia" w:ascii="黑体" w:hAnsi="黑体" w:eastAsia="黑体" w:cs="仿宋"/>
              <w:sz w:val="28"/>
              <w:szCs w:val="28"/>
            </w:rPr>
            <w:t>表</w:t>
          </w:r>
          <w:r>
            <w:rPr>
              <w:sz w:val="28"/>
              <w:szCs w:val="28"/>
            </w:rPr>
            <w:tab/>
          </w:r>
          <w:r>
            <w:rPr>
              <w:sz w:val="28"/>
              <w:szCs w:val="28"/>
            </w:rPr>
            <w:fldChar w:fldCharType="begin"/>
          </w:r>
          <w:r>
            <w:rPr>
              <w:sz w:val="28"/>
              <w:szCs w:val="28"/>
            </w:rPr>
            <w:instrText xml:space="preserve"> PAGEREF _Toc19029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_Toc9959 </w:instrText>
          </w:r>
          <w:r>
            <w:rPr>
              <w:sz w:val="28"/>
              <w:szCs w:val="28"/>
            </w:rPr>
            <w:fldChar w:fldCharType="separate"/>
          </w:r>
          <w:r>
            <w:rPr>
              <w:rFonts w:hint="eastAsia" w:ascii="黑体" w:hAnsi="黑体" w:eastAsia="黑体" w:cs="仿宋"/>
              <w:sz w:val="28"/>
              <w:szCs w:val="28"/>
              <w:lang w:eastAsia="zh-CN"/>
            </w:rPr>
            <w:t>五、</w:t>
          </w:r>
          <w:r>
            <w:rPr>
              <w:rFonts w:hint="eastAsia" w:ascii="黑体" w:hAnsi="黑体" w:eastAsia="黑体" w:cs="仿宋"/>
              <w:sz w:val="28"/>
              <w:szCs w:val="28"/>
            </w:rPr>
            <w:t>资格审查资料</w:t>
          </w:r>
          <w:r>
            <w:rPr>
              <w:sz w:val="28"/>
              <w:szCs w:val="28"/>
            </w:rPr>
            <w:tab/>
          </w:r>
          <w:r>
            <w:rPr>
              <w:sz w:val="28"/>
              <w:szCs w:val="28"/>
            </w:rPr>
            <w:fldChar w:fldCharType="begin"/>
          </w:r>
          <w:r>
            <w:rPr>
              <w:sz w:val="28"/>
              <w:szCs w:val="28"/>
            </w:rPr>
            <w:instrText xml:space="preserve"> PAGEREF _Toc9959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_Toc12352 </w:instrText>
          </w:r>
          <w:r>
            <w:rPr>
              <w:sz w:val="28"/>
              <w:szCs w:val="28"/>
            </w:rPr>
            <w:fldChar w:fldCharType="separate"/>
          </w:r>
          <w:r>
            <w:rPr>
              <w:rFonts w:hint="eastAsia" w:ascii="黑体" w:hAnsi="黑体" w:eastAsia="黑体" w:cs="仿宋"/>
              <w:sz w:val="28"/>
              <w:szCs w:val="28"/>
              <w:lang w:val="zh-CN"/>
            </w:rPr>
            <w:t>六、</w:t>
          </w:r>
          <w:r>
            <w:rPr>
              <w:rFonts w:hint="eastAsia" w:ascii="黑体" w:hAnsi="黑体" w:eastAsia="黑体" w:cs="仿宋"/>
              <w:sz w:val="28"/>
              <w:szCs w:val="28"/>
            </w:rPr>
            <w:t>响应方案</w:t>
          </w:r>
          <w:r>
            <w:rPr>
              <w:sz w:val="28"/>
              <w:szCs w:val="28"/>
            </w:rPr>
            <w:tab/>
          </w:r>
          <w:r>
            <w:rPr>
              <w:sz w:val="28"/>
              <w:szCs w:val="28"/>
            </w:rPr>
            <w:fldChar w:fldCharType="begin"/>
          </w:r>
          <w:r>
            <w:rPr>
              <w:sz w:val="28"/>
              <w:szCs w:val="28"/>
            </w:rPr>
            <w:instrText xml:space="preserve"> PAGEREF _Toc12352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26"/>
            <w:tabs>
              <w:tab w:val="right" w:leader="dot" w:pos="8306"/>
            </w:tabs>
            <w:rPr>
              <w:sz w:val="28"/>
              <w:szCs w:val="28"/>
            </w:rPr>
          </w:pPr>
          <w:r>
            <w:rPr>
              <w:sz w:val="28"/>
              <w:szCs w:val="28"/>
            </w:rPr>
            <w:fldChar w:fldCharType="begin"/>
          </w:r>
          <w:r>
            <w:rPr>
              <w:sz w:val="28"/>
              <w:szCs w:val="28"/>
            </w:rPr>
            <w:instrText xml:space="preserve"> HYPERLINK \l _Toc17081 </w:instrText>
          </w:r>
          <w:r>
            <w:rPr>
              <w:sz w:val="28"/>
              <w:szCs w:val="28"/>
            </w:rPr>
            <w:fldChar w:fldCharType="separate"/>
          </w:r>
          <w:r>
            <w:rPr>
              <w:rFonts w:hint="eastAsia" w:ascii="黑体" w:hAnsi="黑体" w:eastAsia="黑体" w:cs="黑体"/>
              <w:bCs w:val="0"/>
              <w:sz w:val="28"/>
              <w:szCs w:val="28"/>
              <w:lang w:eastAsia="zh-CN"/>
            </w:rPr>
            <w:t>七、其他资料</w:t>
          </w:r>
          <w:r>
            <w:rPr>
              <w:sz w:val="28"/>
              <w:szCs w:val="28"/>
            </w:rPr>
            <w:tab/>
          </w:r>
          <w:r>
            <w:rPr>
              <w:sz w:val="28"/>
              <w:szCs w:val="28"/>
            </w:rPr>
            <w:fldChar w:fldCharType="begin"/>
          </w:r>
          <w:r>
            <w:rPr>
              <w:sz w:val="28"/>
              <w:szCs w:val="28"/>
            </w:rPr>
            <w:instrText xml:space="preserve"> PAGEREF _Toc17081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26"/>
            <w:tabs>
              <w:tab w:val="right" w:leader="dot" w:pos="8306"/>
            </w:tabs>
            <w:rPr>
              <w:sz w:val="28"/>
              <w:szCs w:val="28"/>
            </w:rPr>
          </w:pPr>
        </w:p>
        <w:p>
          <w:pPr>
            <w:pStyle w:val="26"/>
            <w:tabs>
              <w:tab w:val="right" w:leader="dot" w:pos="8306"/>
            </w:tabs>
            <w:rPr>
              <w:sz w:val="28"/>
              <w:szCs w:val="28"/>
            </w:rPr>
          </w:pPr>
        </w:p>
        <w:p>
          <w:pPr>
            <w:pStyle w:val="26"/>
            <w:tabs>
              <w:tab w:val="right" w:leader="dot" w:pos="8306"/>
            </w:tabs>
            <w:rPr>
              <w:sz w:val="28"/>
              <w:szCs w:val="28"/>
            </w:rPr>
          </w:pPr>
        </w:p>
        <w:p>
          <w:pPr>
            <w:pStyle w:val="26"/>
            <w:tabs>
              <w:tab w:val="right" w:leader="dot" w:pos="8306"/>
            </w:tabs>
            <w:rPr>
              <w:sz w:val="28"/>
              <w:szCs w:val="28"/>
            </w:rPr>
          </w:pPr>
        </w:p>
        <w:p>
          <w:pPr>
            <w:pStyle w:val="26"/>
            <w:tabs>
              <w:tab w:val="right" w:leader="dot" w:pos="8306"/>
            </w:tabs>
            <w:rPr>
              <w:sz w:val="28"/>
              <w:szCs w:val="28"/>
            </w:rPr>
          </w:pPr>
        </w:p>
        <w:p>
          <w:pPr>
            <w:pStyle w:val="26"/>
            <w:tabs>
              <w:tab w:val="right" w:leader="dot" w:pos="8306"/>
            </w:tabs>
            <w:rPr>
              <w:sz w:val="28"/>
              <w:szCs w:val="28"/>
            </w:rPr>
          </w:pPr>
        </w:p>
        <w:p>
          <w:r>
            <w:rPr>
              <w:sz w:val="28"/>
              <w:szCs w:val="28"/>
            </w:rPr>
            <w:fldChar w:fldCharType="end"/>
          </w:r>
        </w:p>
      </w:sdtContent>
    </w:sdt>
    <w:p>
      <w:pPr>
        <w:numPr>
          <w:ilvl w:val="0"/>
          <w:numId w:val="2"/>
        </w:numPr>
        <w:spacing w:line="312" w:lineRule="auto"/>
        <w:jc w:val="center"/>
        <w:outlineLvl w:val="0"/>
        <w:rPr>
          <w:rFonts w:hint="eastAsia" w:ascii="黑体" w:hAnsi="黑体" w:eastAsia="黑体" w:cs="仿宋"/>
          <w:b/>
          <w:color w:val="auto"/>
          <w:sz w:val="36"/>
          <w:szCs w:val="36"/>
          <w:lang w:val="en-US" w:eastAsia="zh-CN"/>
        </w:rPr>
      </w:pPr>
      <w:bookmarkStart w:id="0" w:name="_Toc17400"/>
      <w:r>
        <w:rPr>
          <w:rFonts w:hint="eastAsia" w:ascii="黑体" w:hAnsi="黑体" w:eastAsia="黑体" w:cs="仿宋"/>
          <w:b/>
          <w:color w:val="auto"/>
          <w:sz w:val="36"/>
          <w:szCs w:val="36"/>
          <w:lang w:val="en-US" w:eastAsia="zh-CN"/>
        </w:rPr>
        <w:t>询价公告</w:t>
      </w:r>
      <w:bookmarkEnd w:id="0"/>
    </w:p>
    <w:p>
      <w:pPr>
        <w:spacing w:line="360" w:lineRule="auto"/>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长沙集星集装箱码头有限公司</w:t>
      </w:r>
    </w:p>
    <w:p>
      <w:pPr>
        <w:spacing w:line="360" w:lineRule="auto"/>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2022年度员工补充医疗保险项目</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lang w:val="en-US" w:eastAsia="zh-CN"/>
        </w:rPr>
        <w:t>第二次询价</w:t>
      </w:r>
      <w:r>
        <w:rPr>
          <w:rFonts w:hint="eastAsia" w:ascii="黑体" w:hAnsi="黑体" w:eastAsia="黑体"/>
          <w:color w:val="auto"/>
          <w:sz w:val="32"/>
          <w:szCs w:val="32"/>
        </w:rPr>
        <w:t>公告</w:t>
      </w:r>
    </w:p>
    <w:p>
      <w:pPr>
        <w:pStyle w:val="13"/>
        <w:spacing w:before="0" w:beforeAutospacing="0" w:after="0" w:afterAutospacing="0"/>
        <w:ind w:firstLine="2880" w:firstLineChars="1200"/>
        <w:jc w:val="both"/>
        <w:rPr>
          <w:color w:val="auto"/>
        </w:rPr>
      </w:pPr>
      <w:r>
        <w:rPr>
          <w:rFonts w:hint="eastAsia"/>
          <w:color w:val="auto"/>
        </w:rPr>
        <w:t xml:space="preserve"> </w:t>
      </w:r>
    </w:p>
    <w:p>
      <w:pPr>
        <w:autoSpaceDE w:val="0"/>
        <w:spacing w:line="400" w:lineRule="exact"/>
        <w:ind w:firstLine="240" w:firstLineChars="100"/>
        <w:jc w:val="both"/>
        <w:rPr>
          <w:rFonts w:hint="eastAsia" w:ascii="宋体" w:hAnsi="宋体"/>
          <w:color w:val="auto"/>
          <w:sz w:val="24"/>
        </w:rPr>
      </w:pPr>
      <w:r>
        <w:rPr>
          <w:rFonts w:hint="eastAsia" w:ascii="宋体" w:hAnsi="宋体" w:eastAsia="宋体" w:cs="宋体"/>
          <w:color w:val="auto"/>
          <w:sz w:val="24"/>
          <w:szCs w:val="24"/>
        </w:rPr>
        <w:t xml:space="preserve">   </w:t>
      </w:r>
      <w:r>
        <w:rPr>
          <w:rFonts w:hint="eastAsia" w:ascii="宋体" w:hAnsi="宋体"/>
          <w:color w:val="auto"/>
          <w:sz w:val="24"/>
          <w:lang w:val="en-US" w:eastAsia="zh-CN"/>
        </w:rPr>
        <w:t>长沙集星集装箱码头有限公司2021年度员工补充医疗保险项目第二次询价</w:t>
      </w:r>
      <w:r>
        <w:rPr>
          <w:rFonts w:hint="eastAsia" w:ascii="宋体" w:hAnsi="宋体"/>
          <w:color w:val="auto"/>
          <w:sz w:val="24"/>
        </w:rPr>
        <w:t>已具备采购条件</w:t>
      </w:r>
      <w:r>
        <w:rPr>
          <w:rFonts w:hint="eastAsia" w:ascii="宋体" w:hAnsi="宋体"/>
          <w:color w:val="auto"/>
          <w:sz w:val="24"/>
          <w:lang w:eastAsia="zh-CN"/>
        </w:rPr>
        <w:t>，</w:t>
      </w:r>
      <w:r>
        <w:rPr>
          <w:rFonts w:hint="eastAsia" w:ascii="宋体" w:hAnsi="宋体"/>
          <w:color w:val="auto"/>
          <w:sz w:val="24"/>
        </w:rPr>
        <w:t>现</w:t>
      </w:r>
      <w:r>
        <w:rPr>
          <w:rFonts w:hint="eastAsia" w:ascii="宋体" w:hAnsi="宋体"/>
          <w:color w:val="auto"/>
          <w:sz w:val="24"/>
          <w:lang w:val="en-US" w:eastAsia="zh-CN"/>
        </w:rPr>
        <w:t>公开</w:t>
      </w:r>
      <w:r>
        <w:rPr>
          <w:rFonts w:hint="eastAsia" w:ascii="宋体" w:hAnsi="宋体"/>
          <w:color w:val="auto"/>
          <w:sz w:val="24"/>
        </w:rPr>
        <w:t xml:space="preserve">邀请供应商参加采购活动。 </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一、</w:t>
      </w:r>
      <w:r>
        <w:rPr>
          <w:rFonts w:hint="eastAsia" w:ascii="宋体" w:hAnsi="宋体"/>
          <w:b/>
          <w:bCs/>
          <w:color w:val="auto"/>
          <w:sz w:val="24"/>
        </w:rPr>
        <w:t xml:space="preserve"> 采购项目简介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采购项目名称:</w:t>
      </w:r>
      <w:r>
        <w:rPr>
          <w:rFonts w:hint="eastAsia" w:ascii="宋体" w:hAnsi="宋体"/>
          <w:color w:val="auto"/>
          <w:sz w:val="24"/>
          <w:lang w:val="en-US" w:eastAsia="zh-CN"/>
        </w:rPr>
        <w:t>长沙集星集装箱码头有限公司员工补充医疗保险</w:t>
      </w:r>
      <w:r>
        <w:rPr>
          <w:rFonts w:hint="eastAsia" w:ascii="宋体" w:hAnsi="宋体"/>
          <w:color w:val="auto"/>
          <w:sz w:val="24"/>
          <w:lang w:val="zh-CN"/>
        </w:rPr>
        <w:t>项目。</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 xml:space="preserve">采购人: </w:t>
      </w:r>
      <w:r>
        <w:rPr>
          <w:rFonts w:hint="eastAsia" w:ascii="宋体" w:hAnsi="宋体"/>
          <w:color w:val="auto"/>
          <w:sz w:val="24"/>
          <w:lang w:val="en-US" w:eastAsia="zh-CN"/>
        </w:rPr>
        <w:t>长沙集星集装箱码头</w:t>
      </w:r>
      <w:r>
        <w:rPr>
          <w:rFonts w:hint="eastAsia" w:ascii="宋体" w:hAnsi="宋体"/>
          <w:color w:val="auto"/>
          <w:sz w:val="24"/>
        </w:rPr>
        <w:t>有限公司</w:t>
      </w:r>
      <w:r>
        <w:rPr>
          <w:rFonts w:hint="eastAsia" w:ascii="宋体" w:hAnsi="宋体"/>
          <w:color w:val="auto"/>
          <w:sz w:val="24"/>
          <w:lang w:eastAsia="zh-CN"/>
        </w:rPr>
        <w:t>。</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采购代理机构:</w:t>
      </w:r>
      <w:r>
        <w:rPr>
          <w:rFonts w:hint="eastAsia" w:ascii="宋体" w:hAnsi="宋体"/>
          <w:color w:val="auto"/>
          <w:sz w:val="24"/>
          <w:lang w:eastAsia="zh-CN"/>
        </w:rPr>
        <w:t>无</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采购项目资金落实情况:</w:t>
      </w:r>
      <w:r>
        <w:rPr>
          <w:rFonts w:hint="eastAsia" w:ascii="宋体" w:hAnsi="宋体"/>
          <w:color w:val="auto"/>
          <w:sz w:val="24"/>
          <w:lang w:eastAsia="zh-CN"/>
        </w:rPr>
        <w:t>企业自筹，已落实。</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五</w:t>
      </w:r>
      <w:r>
        <w:rPr>
          <w:rFonts w:hint="eastAsia" w:ascii="宋体" w:hAnsi="宋体"/>
          <w:color w:val="auto"/>
          <w:sz w:val="24"/>
          <w:lang w:eastAsia="zh-CN"/>
        </w:rPr>
        <w:t>）</w:t>
      </w:r>
      <w:r>
        <w:rPr>
          <w:rFonts w:hint="eastAsia" w:ascii="宋体" w:hAnsi="宋体"/>
          <w:color w:val="auto"/>
          <w:sz w:val="24"/>
        </w:rPr>
        <w:t xml:space="preserve">采购项目概况: </w:t>
      </w:r>
      <w:r>
        <w:rPr>
          <w:rFonts w:hint="eastAsia" w:ascii="宋体" w:hAnsi="宋体"/>
          <w:color w:val="auto"/>
          <w:sz w:val="24"/>
          <w:lang w:val="en-US" w:eastAsia="zh-CN"/>
        </w:rPr>
        <w:t>长沙集星公司员工员工补充医疗保险即将到期</w:t>
      </w:r>
      <w:r>
        <w:rPr>
          <w:rFonts w:hint="eastAsia" w:ascii="宋体" w:hAnsi="宋体"/>
          <w:color w:val="auto"/>
          <w:sz w:val="24"/>
        </w:rPr>
        <w:t>，</w:t>
      </w:r>
      <w:r>
        <w:rPr>
          <w:rFonts w:hint="eastAsia" w:ascii="宋体" w:hAnsi="宋体"/>
          <w:color w:val="auto"/>
          <w:sz w:val="24"/>
          <w:lang w:eastAsia="zh-CN"/>
        </w:rPr>
        <w:t>现采用</w:t>
      </w:r>
      <w:r>
        <w:rPr>
          <w:rFonts w:hint="eastAsia" w:ascii="宋体" w:hAnsi="宋体"/>
          <w:color w:val="auto"/>
          <w:sz w:val="24"/>
          <w:lang w:val="en-US" w:eastAsia="zh-CN"/>
        </w:rPr>
        <w:t>询价的</w:t>
      </w:r>
      <w:r>
        <w:rPr>
          <w:rFonts w:hint="eastAsia" w:ascii="宋体" w:hAnsi="宋体"/>
          <w:color w:val="auto"/>
          <w:sz w:val="24"/>
          <w:lang w:eastAsia="zh-CN"/>
        </w:rPr>
        <w:t>方式</w:t>
      </w:r>
      <w:r>
        <w:rPr>
          <w:rFonts w:hint="eastAsia" w:ascii="宋体" w:hAnsi="宋体"/>
          <w:color w:val="auto"/>
          <w:sz w:val="24"/>
          <w:lang w:val="en-US" w:eastAsia="zh-CN"/>
        </w:rPr>
        <w:t>进行采购</w:t>
      </w:r>
      <w:r>
        <w:rPr>
          <w:rFonts w:hint="eastAsia" w:ascii="宋体" w:hAnsi="宋体"/>
          <w:color w:val="auto"/>
          <w:sz w:val="24"/>
          <w:lang w:eastAsia="zh-CN"/>
        </w:rPr>
        <w:t>。</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二、</w:t>
      </w:r>
      <w:r>
        <w:rPr>
          <w:rFonts w:hint="eastAsia" w:ascii="宋体" w:hAnsi="宋体"/>
          <w:b/>
          <w:bCs/>
          <w:color w:val="auto"/>
          <w:sz w:val="24"/>
        </w:rPr>
        <w:t xml:space="preserve">采购范围及相关要求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 xml:space="preserve">采购范围: </w:t>
      </w:r>
      <w:r>
        <w:rPr>
          <w:rFonts w:hint="eastAsia" w:ascii="宋体" w:hAnsi="宋体"/>
          <w:color w:val="auto"/>
          <w:sz w:val="24"/>
          <w:lang w:val="en-US" w:eastAsia="zh-CN"/>
        </w:rPr>
        <w:t>集星公司在职员工146人</w:t>
      </w:r>
      <w:r>
        <w:rPr>
          <w:rFonts w:hint="eastAsia" w:ascii="宋体" w:hAnsi="宋体"/>
          <w:color w:val="auto"/>
          <w:sz w:val="24"/>
        </w:rPr>
        <w:t xml:space="preserve">。 </w:t>
      </w:r>
    </w:p>
    <w:p>
      <w:pPr>
        <w:autoSpaceDE w:val="0"/>
        <w:spacing w:line="400" w:lineRule="exact"/>
        <w:jc w:val="both"/>
        <w:rPr>
          <w:rFonts w:hint="default" w:ascii="宋体" w:hAnsi="宋体"/>
          <w:color w:val="auto"/>
          <w:sz w:val="24"/>
          <w:lang w:val="en-US"/>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服务期限:</w:t>
      </w:r>
      <w:r>
        <w:rPr>
          <w:rFonts w:hint="eastAsia" w:ascii="宋体" w:hAnsi="宋体"/>
          <w:color w:val="auto"/>
          <w:sz w:val="24"/>
          <w:lang w:val="en-US" w:eastAsia="zh-CN"/>
        </w:rPr>
        <w:t>合同签订日至2022年12月31日</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 xml:space="preserve">服务地点: </w:t>
      </w:r>
      <w:r>
        <w:rPr>
          <w:rFonts w:hint="eastAsia" w:ascii="宋体" w:hAnsi="宋体"/>
          <w:color w:val="auto"/>
          <w:sz w:val="24"/>
          <w:lang w:val="en-US" w:eastAsia="zh-CN"/>
        </w:rPr>
        <w:t>长沙集星集装箱码头</w:t>
      </w:r>
      <w:r>
        <w:rPr>
          <w:rFonts w:hint="eastAsia" w:ascii="宋体" w:hAnsi="宋体"/>
          <w:color w:val="auto"/>
          <w:sz w:val="24"/>
        </w:rPr>
        <w:t>有限公司</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 xml:space="preserve">质量要求或服务标准: </w:t>
      </w:r>
    </w:p>
    <w:p>
      <w:pPr>
        <w:autoSpaceDE w:val="0"/>
        <w:spacing w:line="400" w:lineRule="exact"/>
        <w:ind w:firstLine="240" w:firstLineChars="100"/>
        <w:jc w:val="both"/>
        <w:rPr>
          <w:rFonts w:hint="eastAsia" w:ascii="宋体" w:hAnsi="宋体"/>
          <w:color w:val="auto"/>
          <w:sz w:val="24"/>
          <w:lang w:val="en-US" w:eastAsia="zh-CN"/>
        </w:rPr>
      </w:pPr>
      <w:r>
        <w:rPr>
          <w:rFonts w:hint="eastAsia" w:ascii="宋体" w:hAnsi="宋体"/>
          <w:color w:val="auto"/>
          <w:sz w:val="24"/>
          <w:lang w:val="en-US" w:eastAsia="zh-CN"/>
        </w:rPr>
        <w:t>详见询价文件第三章“采购需求”</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三、</w:t>
      </w:r>
      <w:r>
        <w:rPr>
          <w:rFonts w:hint="eastAsia" w:ascii="宋体" w:hAnsi="宋体"/>
          <w:b/>
          <w:bCs/>
          <w:color w:val="auto"/>
          <w:sz w:val="24"/>
        </w:rPr>
        <w:t>供应商资格要求</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供应商不得存在下列情形之一:</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进入清算程序，或被宣告破产，或其他丧失履约能力的情形;</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被采购人或采购人上级单位纳入黑名单</w:t>
      </w:r>
      <w:r>
        <w:rPr>
          <w:rFonts w:hint="eastAsia" w:ascii="宋体" w:hAnsi="宋体"/>
          <w:color w:val="auto"/>
          <w:sz w:val="24"/>
          <w:lang w:eastAsia="zh-CN"/>
        </w:rPr>
        <w:t>；</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为投资参股本项目的法人单位；</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lang w:val="en-US" w:eastAsia="zh-CN"/>
        </w:rPr>
        <w:t>5.</w:t>
      </w:r>
      <w:r>
        <w:rPr>
          <w:rFonts w:hint="eastAsia" w:ascii="宋体" w:hAnsi="宋体"/>
          <w:color w:val="auto"/>
          <w:sz w:val="24"/>
        </w:rPr>
        <w:t>被省级及以上交通主管部门取消项目所在地的投标资格或禁止进入该区域水运建设市场且处于有效期内；</w:t>
      </w:r>
    </w:p>
    <w:p>
      <w:pPr>
        <w:autoSpaceDE w:val="0"/>
        <w:spacing w:line="400" w:lineRule="exact"/>
        <w:jc w:val="both"/>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供应商应满足如下要求:</w:t>
      </w:r>
    </w:p>
    <w:tbl>
      <w:tblPr>
        <w:tblStyle w:val="1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72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color w:val="auto"/>
                <w:sz w:val="24"/>
              </w:rPr>
            </w:pPr>
            <w:r>
              <w:rPr>
                <w:rFonts w:hint="eastAsia" w:ascii="宋体" w:hAnsi="宋体"/>
                <w:color w:val="auto"/>
                <w:sz w:val="24"/>
              </w:rPr>
              <w:t>资格条件</w:t>
            </w:r>
          </w:p>
        </w:tc>
        <w:tc>
          <w:tcPr>
            <w:tcW w:w="1729" w:type="dxa"/>
          </w:tcPr>
          <w:p>
            <w:pPr>
              <w:widowControl w:val="0"/>
              <w:spacing w:line="320" w:lineRule="exact"/>
              <w:jc w:val="center"/>
              <w:rPr>
                <w:rFonts w:ascii="宋体" w:hAnsi="宋体"/>
                <w:color w:val="auto"/>
                <w:sz w:val="24"/>
              </w:rPr>
            </w:pPr>
            <w:r>
              <w:rPr>
                <w:rFonts w:hint="eastAsia" w:ascii="宋体" w:hAnsi="宋体"/>
                <w:color w:val="auto"/>
                <w:sz w:val="24"/>
              </w:rPr>
              <w:t>对供应商要求</w:t>
            </w:r>
          </w:p>
        </w:tc>
        <w:tc>
          <w:tcPr>
            <w:tcW w:w="4907" w:type="dxa"/>
          </w:tcPr>
          <w:p>
            <w:pPr>
              <w:widowControl w:val="0"/>
              <w:spacing w:line="320" w:lineRule="exact"/>
              <w:jc w:val="center"/>
              <w:rPr>
                <w:rFonts w:ascii="宋体" w:hAnsi="宋体"/>
                <w:color w:val="auto"/>
                <w:sz w:val="24"/>
              </w:rPr>
            </w:pPr>
            <w:r>
              <w:rPr>
                <w:rFonts w:hint="eastAsia" w:ascii="宋体" w:hAnsi="宋体"/>
                <w:color w:val="auto"/>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（1）依法设立</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Style w:val="18"/>
                <w:rFonts w:hint="eastAsia"/>
                <w:b w:val="0"/>
                <w:bCs w:val="0"/>
                <w:color w:val="auto"/>
                <w:u w:val="none"/>
              </w:rPr>
            </w:pPr>
            <w:r>
              <w:rPr>
                <w:rStyle w:val="18"/>
                <w:rFonts w:hint="eastAsia"/>
                <w:b w:val="0"/>
                <w:bCs w:val="0"/>
                <w:color w:val="auto"/>
                <w:u w:val="none"/>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（2）资质要求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lang w:eastAsia="zh-CN"/>
              </w:rPr>
              <w:t>☑</w:t>
            </w:r>
            <w:r>
              <w:rPr>
                <w:rStyle w:val="18"/>
                <w:rFonts w:hint="eastAsia"/>
                <w:b w:val="0"/>
                <w:bCs w:val="0"/>
                <w:color w:val="auto"/>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（3）财务要求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Style w:val="18"/>
                <w:rFonts w:hint="eastAsia"/>
                <w:b w:val="0"/>
                <w:bCs w:val="0"/>
                <w:color w:val="auto"/>
                <w:u w:val="none"/>
              </w:rPr>
            </w:pPr>
            <w:r>
              <w:rPr>
                <w:rStyle w:val="18"/>
                <w:rFonts w:hint="eastAsia"/>
                <w:b w:val="0"/>
                <w:bCs w:val="0"/>
                <w:color w:val="auto"/>
                <w:u w:val="single"/>
                <w:lang w:eastAsia="zh-CN"/>
              </w:rPr>
              <w:t>□</w:t>
            </w:r>
            <w:r>
              <w:rPr>
                <w:rStyle w:val="18"/>
                <w:rFonts w:hint="eastAsia"/>
                <w:b w:val="0"/>
                <w:bCs w:val="0"/>
                <w:color w:val="auto"/>
                <w:u w:val="single"/>
              </w:rPr>
              <w:t>不</w:t>
            </w:r>
            <w:r>
              <w:rPr>
                <w:rStyle w:val="18"/>
                <w:rFonts w:hint="eastAsia"/>
                <w:b w:val="0"/>
                <w:bCs w:val="0"/>
                <w:color w:val="auto"/>
                <w:u w:val="none"/>
              </w:rPr>
              <w:t xml:space="preserve">适用  </w:t>
            </w:r>
          </w:p>
          <w:p>
            <w:pPr>
              <w:widowControl w:val="0"/>
              <w:spacing w:line="320" w:lineRule="exact"/>
              <w:jc w:val="both"/>
              <w:rPr>
                <w:rFonts w:ascii="宋体" w:hAnsi="宋体"/>
                <w:b w:val="0"/>
                <w:bCs w:val="0"/>
                <w:color w:val="auto"/>
                <w:sz w:val="24"/>
                <w:u w:val="single"/>
              </w:rPr>
            </w:pPr>
            <w:r>
              <w:rPr>
                <w:rStyle w:val="18"/>
                <w:rFonts w:hint="eastAsia"/>
                <w:b w:val="0"/>
                <w:bCs w:val="0"/>
                <w:color w:val="auto"/>
                <w:u w:val="single"/>
                <w:lang w:eastAsia="zh-CN"/>
              </w:rPr>
              <w:t>☑</w:t>
            </w:r>
            <w:r>
              <w:rPr>
                <w:rStyle w:val="18"/>
                <w:rFonts w:hint="eastAsia"/>
                <w:b w:val="0"/>
                <w:bCs w:val="0"/>
                <w:color w:val="auto"/>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（4）业绩要求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Fonts w:ascii="宋体" w:hAnsi="宋体"/>
                <w:b w:val="0"/>
                <w:bCs w:val="0"/>
                <w:color w:val="auto"/>
                <w:sz w:val="24"/>
                <w:u w:val="none"/>
              </w:rPr>
            </w:pPr>
            <w:r>
              <w:rPr>
                <w:rStyle w:val="18"/>
                <w:rFonts w:hint="eastAsia"/>
                <w:b w:val="0"/>
                <w:bCs w:val="0"/>
                <w:color w:val="auto"/>
                <w:u w:val="none"/>
              </w:rPr>
              <w:t>提供近</w:t>
            </w:r>
            <w:r>
              <w:rPr>
                <w:rStyle w:val="18"/>
                <w:rFonts w:hint="eastAsia"/>
                <w:b w:val="0"/>
                <w:bCs w:val="0"/>
                <w:color w:val="auto"/>
                <w:u w:val="none"/>
                <w:lang w:val="en-US" w:eastAsia="zh-CN"/>
              </w:rPr>
              <w:t>2</w:t>
            </w:r>
            <w:r>
              <w:rPr>
                <w:rStyle w:val="18"/>
                <w:rFonts w:hint="eastAsia"/>
                <w:b w:val="0"/>
                <w:bCs w:val="0"/>
                <w:color w:val="auto"/>
                <w:u w:val="none"/>
              </w:rPr>
              <w:t>年的类似项目情况表</w:t>
            </w:r>
            <w:r>
              <w:rPr>
                <w:rStyle w:val="18"/>
                <w:rFonts w:hint="eastAsia"/>
                <w:b w:val="0"/>
                <w:bCs w:val="0"/>
                <w:color w:val="auto"/>
                <w:u w:val="none"/>
                <w:lang w:eastAsia="zh-CN"/>
              </w:rPr>
              <w:t>，提供</w:t>
            </w:r>
            <w:r>
              <w:rPr>
                <w:rStyle w:val="18"/>
                <w:rFonts w:hint="eastAsia"/>
                <w:b w:val="0"/>
                <w:bCs w:val="0"/>
                <w:color w:val="auto"/>
                <w:u w:val="none"/>
                <w:lang w:val="en-US" w:eastAsia="zh-CN"/>
              </w:rPr>
              <w:t>1个项目的合同</w:t>
            </w:r>
            <w:r>
              <w:rPr>
                <w:rStyle w:val="18"/>
                <w:rFonts w:hint="eastAsia"/>
                <w:b w:val="0"/>
                <w:bCs w:val="0"/>
                <w:color w:val="auto"/>
                <w:u w:val="none"/>
                <w:lang w:eastAsia="zh-CN"/>
              </w:rPr>
              <w:t>复印件加盖单位公章</w:t>
            </w:r>
            <w:r>
              <w:rPr>
                <w:rStyle w:val="18"/>
                <w:rFonts w:hint="eastAsia"/>
                <w:b w:val="0"/>
                <w:bCs w:val="0"/>
                <w:color w:val="auto"/>
                <w:u w:val="none"/>
              </w:rPr>
              <w:t xml:space="preserve">      </w:t>
            </w:r>
            <w:r>
              <w:rPr>
                <w:rFonts w:hint="eastAsia" w:cs="宋体" w:asciiTheme="minorEastAsia" w:hAnsiTheme="minorEastAsia" w:eastAsiaTheme="minorEastAsia"/>
                <w:color w:val="auto"/>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（5）信誉要求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lang w:eastAsia="zh-CN"/>
              </w:rPr>
              <w:t>☑</w:t>
            </w:r>
            <w:r>
              <w:rPr>
                <w:rStyle w:val="18"/>
                <w:rFonts w:hint="eastAsia"/>
                <w:b w:val="0"/>
                <w:bCs w:val="0"/>
                <w:color w:val="auto"/>
                <w:u w:val="non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（6）承担本项目的主要人员要求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rPr>
              <w:t>□适用</w:t>
            </w:r>
          </w:p>
        </w:tc>
        <w:tc>
          <w:tcPr>
            <w:tcW w:w="4907" w:type="dxa"/>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（7）其他要求</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rPr>
              <w:t>□适用</w:t>
            </w:r>
          </w:p>
        </w:tc>
        <w:tc>
          <w:tcPr>
            <w:tcW w:w="4907" w:type="dxa"/>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（8）供应商不存在第一章3.1款情形的证明材料</w:t>
            </w:r>
          </w:p>
        </w:tc>
        <w:tc>
          <w:tcPr>
            <w:tcW w:w="1729" w:type="dxa"/>
          </w:tcPr>
          <w:p>
            <w:pPr>
              <w:widowControl w:val="0"/>
              <w:spacing w:line="320" w:lineRule="exact"/>
              <w:jc w:val="both"/>
              <w:rPr>
                <w:rStyle w:val="18"/>
                <w:b w:val="0"/>
                <w:bCs w:val="0"/>
                <w:color w:val="auto"/>
                <w:u w:val="single"/>
              </w:rPr>
            </w:pPr>
            <w:r>
              <w:rPr>
                <w:rStyle w:val="18"/>
                <w:rFonts w:hint="eastAsia"/>
                <w:b w:val="0"/>
                <w:bCs w:val="0"/>
                <w:color w:val="auto"/>
                <w:u w:val="single"/>
                <w:lang w:eastAsia="zh-CN"/>
              </w:rPr>
              <w:t>□</w:t>
            </w:r>
            <w:r>
              <w:rPr>
                <w:rStyle w:val="18"/>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8"/>
                <w:rFonts w:hint="eastAsia"/>
                <w:b w:val="0"/>
                <w:bCs w:val="0"/>
                <w:color w:val="auto"/>
                <w:u w:val="single"/>
                <w:lang w:eastAsia="zh-CN"/>
              </w:rPr>
              <w:t>☑</w:t>
            </w:r>
            <w:r>
              <w:rPr>
                <w:rStyle w:val="18"/>
                <w:rFonts w:hint="eastAsia"/>
                <w:b w:val="0"/>
                <w:bCs w:val="0"/>
                <w:color w:val="auto"/>
                <w:u w:val="single"/>
              </w:rPr>
              <w:t>适用</w:t>
            </w:r>
          </w:p>
        </w:tc>
        <w:tc>
          <w:tcPr>
            <w:tcW w:w="4907" w:type="dxa"/>
          </w:tcPr>
          <w:p>
            <w:pPr>
              <w:widowControl w:val="0"/>
              <w:spacing w:line="320" w:lineRule="exact"/>
              <w:jc w:val="both"/>
              <w:rPr>
                <w:rStyle w:val="18"/>
                <w:b w:val="0"/>
                <w:bCs w:val="0"/>
                <w:color w:val="auto"/>
                <w:u w:val="none"/>
              </w:rPr>
            </w:pPr>
            <w:r>
              <w:rPr>
                <w:rStyle w:val="18"/>
                <w:rFonts w:hint="eastAsia"/>
                <w:b w:val="0"/>
                <w:bCs w:val="0"/>
                <w:color w:val="auto"/>
                <w:u w:val="none"/>
                <w:lang w:eastAsia="zh-CN"/>
              </w:rPr>
              <w:t>□</w:t>
            </w:r>
            <w:r>
              <w:rPr>
                <w:rStyle w:val="18"/>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8"/>
                <w:rFonts w:hint="eastAsia"/>
                <w:b w:val="0"/>
                <w:bCs w:val="0"/>
                <w:color w:val="auto"/>
                <w:u w:val="none"/>
                <w:lang w:eastAsia="zh-CN"/>
              </w:rPr>
              <w:t>☑</w:t>
            </w:r>
            <w:r>
              <w:rPr>
                <w:rStyle w:val="18"/>
                <w:rFonts w:hint="eastAsia"/>
                <w:b w:val="0"/>
                <w:bCs w:val="0"/>
                <w:color w:val="auto"/>
                <w:u w:val="none"/>
              </w:rPr>
              <w:t>适用,见采购文件供应商须知前附表3.5（8）。</w:t>
            </w: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 xml:space="preserve"> 响应保证金</w:t>
      </w:r>
    </w:p>
    <w:tbl>
      <w:tblPr>
        <w:tblStyle w:val="16"/>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335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68" w:type="dxa"/>
          </w:tcPr>
          <w:p>
            <w:pPr>
              <w:widowControl w:val="0"/>
              <w:autoSpaceDE w:val="0"/>
              <w:spacing w:line="400" w:lineRule="exact"/>
              <w:jc w:val="both"/>
              <w:rPr>
                <w:rFonts w:ascii="黑体" w:hAnsi="黑体"/>
                <w:color w:val="auto"/>
              </w:rPr>
            </w:pPr>
            <w:r>
              <w:rPr>
                <w:rFonts w:hint="eastAsia" w:ascii="黑体" w:hAnsi="黑体"/>
                <w:color w:val="auto"/>
              </w:rPr>
              <w:t>响应</w:t>
            </w:r>
            <w:r>
              <w:rPr>
                <w:rFonts w:hint="eastAsia" w:ascii="宋体" w:hAnsi="宋体"/>
                <w:color w:val="auto"/>
                <w:sz w:val="24"/>
              </w:rPr>
              <w:t>保证金的递交</w:t>
            </w:r>
          </w:p>
        </w:tc>
        <w:tc>
          <w:tcPr>
            <w:tcW w:w="3351" w:type="dxa"/>
          </w:tcPr>
          <w:p>
            <w:pPr>
              <w:widowControl w:val="0"/>
              <w:autoSpaceDE w:val="0"/>
              <w:spacing w:line="400" w:lineRule="exact"/>
              <w:jc w:val="both"/>
              <w:rPr>
                <w:rFonts w:ascii="黑体" w:hAnsi="黑体"/>
                <w:color w:val="auto"/>
              </w:rPr>
            </w:pPr>
            <w:r>
              <w:rPr>
                <w:rFonts w:hint="eastAsia" w:ascii="宋体" w:hAnsi="宋体"/>
                <w:color w:val="auto"/>
                <w:sz w:val="24"/>
              </w:rPr>
              <w:t>不退还响应保证金的其他情形</w:t>
            </w:r>
          </w:p>
        </w:tc>
        <w:tc>
          <w:tcPr>
            <w:tcW w:w="2950" w:type="dxa"/>
          </w:tcPr>
          <w:p>
            <w:pPr>
              <w:widowControl w:val="0"/>
              <w:autoSpaceDE w:val="0"/>
              <w:spacing w:line="400" w:lineRule="exact"/>
              <w:jc w:val="both"/>
              <w:rPr>
                <w:rFonts w:ascii="黑体" w:hAnsi="黑体"/>
                <w:color w:val="auto"/>
              </w:rPr>
            </w:pPr>
            <w:r>
              <w:rPr>
                <w:rFonts w:hint="eastAsia" w:ascii="宋体" w:hAnsi="宋体"/>
                <w:color w:val="auto"/>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768" w:type="dxa"/>
          </w:tcPr>
          <w:p>
            <w:pPr>
              <w:widowControl w:val="0"/>
              <w:autoSpaceDE w:val="0"/>
              <w:spacing w:line="400" w:lineRule="exact"/>
              <w:jc w:val="both"/>
              <w:rPr>
                <w:rFonts w:ascii="宋体" w:hAnsi="宋体"/>
                <w:color w:val="auto"/>
                <w:sz w:val="24"/>
              </w:rPr>
            </w:pPr>
            <w:r>
              <w:rPr>
                <w:rStyle w:val="18"/>
                <w:rFonts w:hint="eastAsia"/>
                <w:color w:val="auto"/>
                <w:lang w:eastAsia="zh-CN"/>
              </w:rPr>
              <w:t>☑</w:t>
            </w:r>
            <w:r>
              <w:rPr>
                <w:rFonts w:hint="eastAsia" w:ascii="宋体" w:hAnsi="宋体"/>
                <w:color w:val="auto"/>
                <w:sz w:val="24"/>
              </w:rPr>
              <w:t>不要求递交</w:t>
            </w:r>
          </w:p>
          <w:p>
            <w:pPr>
              <w:widowControl w:val="0"/>
              <w:autoSpaceDE w:val="0"/>
              <w:spacing w:line="400" w:lineRule="exact"/>
              <w:jc w:val="both"/>
              <w:rPr>
                <w:rFonts w:ascii="宋体" w:hAnsi="宋体"/>
                <w:color w:val="auto"/>
                <w:sz w:val="24"/>
              </w:rPr>
            </w:pPr>
            <w:r>
              <w:rPr>
                <w:rStyle w:val="18"/>
                <w:rFonts w:hint="eastAsia"/>
                <w:color w:val="auto"/>
              </w:rPr>
              <w:t>□</w:t>
            </w:r>
            <w:r>
              <w:rPr>
                <w:rFonts w:hint="eastAsia" w:ascii="宋体" w:hAnsi="宋体"/>
                <w:color w:val="auto"/>
                <w:sz w:val="24"/>
              </w:rPr>
              <w:t>要求递交</w:t>
            </w:r>
          </w:p>
          <w:p>
            <w:pPr>
              <w:widowControl w:val="0"/>
              <w:autoSpaceDE w:val="0"/>
              <w:spacing w:line="400" w:lineRule="exact"/>
              <w:jc w:val="both"/>
              <w:rPr>
                <w:rFonts w:ascii="宋体" w:hAnsi="宋体"/>
                <w:color w:val="auto"/>
                <w:sz w:val="24"/>
              </w:rPr>
            </w:pPr>
            <w:r>
              <w:rPr>
                <w:rFonts w:hint="eastAsia" w:ascii="宋体" w:hAnsi="宋体"/>
                <w:color w:val="auto"/>
                <w:sz w:val="24"/>
              </w:rPr>
              <w:t>保证金金额：_________；</w:t>
            </w:r>
          </w:p>
          <w:p>
            <w:pPr>
              <w:widowControl w:val="0"/>
              <w:autoSpaceDE w:val="0"/>
              <w:spacing w:line="400" w:lineRule="exact"/>
              <w:jc w:val="both"/>
              <w:rPr>
                <w:rFonts w:ascii="宋体" w:hAnsi="宋体"/>
                <w:color w:val="auto"/>
                <w:sz w:val="24"/>
              </w:rPr>
            </w:pPr>
            <w:r>
              <w:rPr>
                <w:rFonts w:hint="eastAsia" w:ascii="宋体" w:hAnsi="宋体"/>
                <w:color w:val="auto"/>
                <w:sz w:val="24"/>
              </w:rPr>
              <w:t>保证金形式：________；</w:t>
            </w:r>
          </w:p>
        </w:tc>
        <w:tc>
          <w:tcPr>
            <w:tcW w:w="3351" w:type="dxa"/>
          </w:tcPr>
          <w:p>
            <w:pPr>
              <w:widowControl w:val="0"/>
              <w:autoSpaceDE w:val="0"/>
              <w:spacing w:line="400" w:lineRule="exact"/>
              <w:jc w:val="both"/>
              <w:rPr>
                <w:rFonts w:ascii="宋体" w:hAnsi="宋体"/>
                <w:color w:val="auto"/>
                <w:sz w:val="24"/>
              </w:rPr>
            </w:pPr>
            <w:r>
              <w:rPr>
                <w:rStyle w:val="18"/>
                <w:rFonts w:hint="eastAsia"/>
                <w:color w:val="auto"/>
                <w:lang w:eastAsia="zh-CN"/>
              </w:rPr>
              <w:t>☑</w:t>
            </w:r>
            <w:r>
              <w:rPr>
                <w:rStyle w:val="18"/>
                <w:rFonts w:hint="eastAsia"/>
                <w:color w:val="auto"/>
              </w:rPr>
              <w:t>不</w:t>
            </w:r>
            <w:r>
              <w:rPr>
                <w:rFonts w:hint="eastAsia" w:ascii="宋体" w:hAnsi="宋体"/>
                <w:color w:val="auto"/>
                <w:sz w:val="24"/>
              </w:rPr>
              <w:t>适用</w:t>
            </w:r>
          </w:p>
          <w:p>
            <w:pPr>
              <w:widowControl w:val="0"/>
              <w:autoSpaceDE w:val="0"/>
              <w:spacing w:line="400" w:lineRule="exact"/>
              <w:jc w:val="both"/>
              <w:rPr>
                <w:rFonts w:ascii="宋体" w:hAnsi="宋体"/>
                <w:color w:val="auto"/>
                <w:sz w:val="24"/>
              </w:rPr>
            </w:pPr>
            <w:r>
              <w:rPr>
                <w:rStyle w:val="18"/>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c>
          <w:tcPr>
            <w:tcW w:w="2950" w:type="dxa"/>
          </w:tcPr>
          <w:p>
            <w:pPr>
              <w:widowControl w:val="0"/>
              <w:autoSpaceDE w:val="0"/>
              <w:spacing w:line="400" w:lineRule="exact"/>
              <w:jc w:val="both"/>
              <w:rPr>
                <w:rFonts w:ascii="宋体" w:hAnsi="宋体"/>
                <w:color w:val="auto"/>
                <w:sz w:val="24"/>
              </w:rPr>
            </w:pPr>
            <w:r>
              <w:rPr>
                <w:rStyle w:val="18"/>
                <w:rFonts w:hint="eastAsia"/>
                <w:color w:val="auto"/>
                <w:lang w:eastAsia="zh-CN"/>
              </w:rPr>
              <w:t>☑</w:t>
            </w:r>
            <w:r>
              <w:rPr>
                <w:rFonts w:hint="eastAsia" w:ascii="宋体" w:hAnsi="宋体"/>
                <w:color w:val="auto"/>
                <w:sz w:val="24"/>
              </w:rPr>
              <w:t>不适用</w:t>
            </w:r>
          </w:p>
          <w:p>
            <w:pPr>
              <w:widowControl w:val="0"/>
              <w:autoSpaceDE w:val="0"/>
              <w:spacing w:line="400" w:lineRule="exact"/>
              <w:jc w:val="both"/>
              <w:rPr>
                <w:rFonts w:ascii="宋体" w:hAnsi="宋体"/>
                <w:color w:val="auto"/>
                <w:sz w:val="24"/>
              </w:rPr>
            </w:pPr>
            <w:r>
              <w:rPr>
                <w:rStyle w:val="18"/>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确定成交供应商的方法</w:t>
      </w:r>
    </w:p>
    <w:p>
      <w:pPr>
        <w:autoSpaceDE w:val="0"/>
        <w:spacing w:line="400" w:lineRule="exact"/>
        <w:jc w:val="both"/>
        <w:rPr>
          <w:rFonts w:hint="eastAsia" w:ascii="宋体" w:hAnsi="宋体"/>
          <w:b w:val="0"/>
          <w:bCs w:val="0"/>
          <w:color w:val="auto"/>
          <w:sz w:val="24"/>
          <w:lang w:eastAsia="zh-CN"/>
        </w:rPr>
      </w:pP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最低价法</w:t>
      </w:r>
    </w:p>
    <w:p>
      <w:pPr>
        <w:autoSpaceDE w:val="0"/>
        <w:spacing w:line="400" w:lineRule="exact"/>
        <w:jc w:val="both"/>
        <w:rPr>
          <w:rFonts w:hint="eastAsia" w:ascii="宋体" w:hAnsi="宋体"/>
          <w:b w:val="0"/>
          <w:bCs w:val="0"/>
          <w:color w:val="auto"/>
          <w:sz w:val="24"/>
          <w:lang w:val="en-US" w:eastAsia="zh-CN"/>
        </w:rPr>
      </w:pPr>
      <w:r>
        <w:rPr>
          <w:rFonts w:hint="eastAsia" w:ascii="宋体" w:hAnsi="宋体"/>
          <w:b w:val="0"/>
          <w:bCs w:val="0"/>
          <w:color w:val="auto"/>
          <w:sz w:val="24"/>
          <w:lang w:val="en-US" w:eastAsia="zh-CN"/>
        </w:rPr>
        <w:t>（二）</w:t>
      </w:r>
      <w:r>
        <w:rPr>
          <w:rFonts w:hint="eastAsia" w:ascii="宋体" w:hAnsi="宋体"/>
          <w:b w:val="0"/>
          <w:bCs w:val="0"/>
          <w:color w:val="auto"/>
          <w:sz w:val="24"/>
        </w:rPr>
        <w:t>采购人应当确定排名第一的成交候选供应商为成交供应商。若排名第一的</w:t>
      </w:r>
      <w:r>
        <w:rPr>
          <w:rFonts w:hint="eastAsia" w:ascii="宋体" w:hAnsi="宋体"/>
          <w:b w:val="0"/>
          <w:bCs w:val="0"/>
          <w:color w:val="auto"/>
          <w:sz w:val="24"/>
          <w:lang w:val="en-US" w:eastAsia="zh-CN"/>
        </w:rPr>
        <w:t xml:space="preserve">成交候选供应商未通过履约能力和报价核查，采购人应按推荐的名单排序依次确定其他成交候选供应商为成交供应商。 </w:t>
      </w:r>
    </w:p>
    <w:p>
      <w:pPr>
        <w:autoSpaceDE w:val="0"/>
        <w:spacing w:line="400" w:lineRule="exact"/>
        <w:ind w:firstLine="241" w:firstLineChars="100"/>
        <w:jc w:val="both"/>
        <w:rPr>
          <w:rFonts w:hint="eastAsia" w:ascii="宋体" w:hAnsi="宋体"/>
          <w:b/>
          <w:bCs/>
          <w:color w:val="auto"/>
          <w:sz w:val="24"/>
          <w:lang w:val="en-US" w:eastAsia="zh-CN"/>
        </w:rPr>
      </w:pPr>
      <w:r>
        <w:rPr>
          <w:rFonts w:hint="eastAsia" w:ascii="宋体" w:hAnsi="宋体"/>
          <w:b/>
          <w:bCs/>
          <w:color w:val="auto"/>
          <w:sz w:val="24"/>
          <w:lang w:val="en-US" w:eastAsia="zh-CN"/>
        </w:rPr>
        <w:t>六、询价文件获取</w:t>
      </w:r>
    </w:p>
    <w:p>
      <w:pPr>
        <w:autoSpaceDE w:val="0"/>
        <w:spacing w:line="400" w:lineRule="exact"/>
        <w:jc w:val="both"/>
        <w:rPr>
          <w:rFonts w:hint="eastAsia" w:ascii="宋体" w:hAnsi="宋体" w:eastAsia="宋体" w:cs="宋体"/>
          <w:color w:val="auto"/>
          <w:sz w:val="24"/>
          <w:szCs w:val="24"/>
          <w:lang w:eastAsia="zh-CN"/>
        </w:rPr>
      </w:pPr>
      <w:r>
        <w:rPr>
          <w:rFonts w:hint="eastAsia" w:ascii="宋体" w:hAnsi="宋体"/>
          <w:b w:val="0"/>
          <w:bCs w:val="0"/>
          <w:color w:val="auto"/>
          <w:sz w:val="24"/>
          <w:lang w:val="en-US" w:eastAsia="zh-CN"/>
        </w:rPr>
        <w:t>（一）供应商应当于2022年1月19日8时00分至2022年1月 24 日12时00分，在</w:t>
      </w:r>
      <w:r>
        <w:rPr>
          <w:rFonts w:hint="eastAsia" w:ascii="宋体" w:hAnsi="宋体" w:eastAsia="宋体" w:cs="宋体"/>
          <w:color w:val="auto"/>
          <w:sz w:val="24"/>
          <w:szCs w:val="24"/>
          <w:lang w:val="en-US" w:eastAsia="zh-CN"/>
        </w:rPr>
        <w:t>网站上</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p>
    <w:p>
      <w:pPr>
        <w:autoSpaceDE w:val="0"/>
        <w:spacing w:line="400" w:lineRule="exact"/>
        <w:jc w:val="both"/>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供应商若对本项目采购需求、资格要求等有疑问的，应当于</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24</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分前向采购人提出澄清要求。</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发布公告的媒介</w:t>
      </w:r>
    </w:p>
    <w:p>
      <w:pPr>
        <w:autoSpaceDE w:val="0"/>
        <w:spacing w:line="40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本次采购公告发布的媒介: </w:t>
      </w:r>
      <w:r>
        <w:rPr>
          <w:rFonts w:hint="eastAsia" w:ascii="宋体" w:hAnsi="宋体" w:cs="宋体"/>
          <w:color w:val="auto"/>
          <w:sz w:val="24"/>
        </w:rPr>
        <w:t>中国招标投标公共服务平台（http：//www.cebpubservice.com</w:t>
      </w: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湖南省湘水集团有限公司网站（http：//www.hnsxsjt.com）</w:t>
      </w:r>
      <w:r>
        <w:rPr>
          <w:rFonts w:hint="eastAsia" w:ascii="宋体" w:hAnsi="宋体" w:cs="宋体"/>
          <w:color w:val="auto"/>
          <w:sz w:val="24"/>
          <w:szCs w:val="24"/>
          <w:lang w:val="en-US" w:eastAsia="zh-CN"/>
        </w:rPr>
        <w:t>；</w:t>
      </w:r>
      <w:r>
        <w:rPr>
          <w:rFonts w:hint="eastAsia" w:ascii="宋体" w:hAnsi="宋体" w:eastAsia="宋体"/>
          <w:color w:val="auto"/>
          <w:sz w:val="24"/>
          <w:szCs w:val="24"/>
        </w:rPr>
        <w:t>湖南省港务集团公司网站（http://www.hnsgwjt.com/）上发布</w:t>
      </w:r>
      <w:r>
        <w:rPr>
          <w:rFonts w:hint="eastAsia" w:ascii="宋体" w:hAnsi="宋体" w:eastAsia="宋体" w:cs="宋体"/>
          <w:color w:val="auto"/>
          <w:sz w:val="24"/>
          <w:szCs w:val="24"/>
          <w:lang w:val="en-US" w:eastAsia="zh-CN"/>
        </w:rPr>
        <w:t>。</w:t>
      </w:r>
    </w:p>
    <w:p>
      <w:pPr>
        <w:autoSpaceDE w:val="0"/>
        <w:spacing w:line="400" w:lineRule="exact"/>
        <w:ind w:firstLine="241" w:firstLineChars="100"/>
        <w:jc w:val="both"/>
        <w:rPr>
          <w:rFonts w:hint="eastAsia" w:ascii="宋体" w:hAnsi="宋体" w:eastAsia="宋体" w:cs="宋体"/>
          <w:b/>
          <w:bCs/>
          <w:color w:val="auto"/>
          <w:sz w:val="24"/>
          <w:szCs w:val="24"/>
        </w:rPr>
      </w:pPr>
      <w:bookmarkStart w:id="1" w:name="_Toc77254104"/>
      <w:bookmarkStart w:id="2" w:name="_Toc76635692"/>
      <w:bookmarkStart w:id="3" w:name="_Toc512257471"/>
      <w:bookmarkStart w:id="4" w:name="_Toc79596547"/>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监督</w:t>
      </w:r>
      <w:bookmarkEnd w:id="1"/>
      <w:bookmarkEnd w:id="2"/>
      <w:bookmarkEnd w:id="3"/>
      <w:r>
        <w:rPr>
          <w:rFonts w:hint="eastAsia" w:ascii="宋体" w:hAnsi="宋体" w:eastAsia="宋体" w:cs="宋体"/>
          <w:b/>
          <w:bCs/>
          <w:color w:val="auto"/>
          <w:sz w:val="24"/>
          <w:szCs w:val="24"/>
        </w:rPr>
        <w:t>部门</w:t>
      </w:r>
      <w:bookmarkEnd w:id="4"/>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本次采购监督部门为</w:t>
      </w:r>
      <w:r>
        <w:rPr>
          <w:rFonts w:hint="eastAsia" w:ascii="宋体" w:hAnsi="宋体" w:eastAsia="宋体" w:cs="宋体"/>
          <w:color w:val="auto"/>
          <w:sz w:val="24"/>
          <w:szCs w:val="24"/>
          <w:lang w:val="en-US" w:eastAsia="zh-CN"/>
        </w:rPr>
        <w:t>长沙集星集装箱码头有限公司党群工作部</w:t>
      </w:r>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13507318311</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联系方式</w:t>
      </w:r>
    </w:p>
    <w:p>
      <w:pPr>
        <w:autoSpaceDE w:val="0"/>
        <w:spacing w:line="400" w:lineRule="exact"/>
        <w:jc w:val="both"/>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询价人：</w:t>
      </w:r>
      <w:r>
        <w:rPr>
          <w:rFonts w:hint="eastAsia" w:ascii="宋体" w:hAnsi="宋体" w:eastAsia="宋体" w:cs="宋体"/>
          <w:color w:val="auto"/>
          <w:sz w:val="24"/>
          <w:szCs w:val="24"/>
          <w:lang w:val="en-US" w:eastAsia="zh-CN"/>
        </w:rPr>
        <w:t>长沙集星集装箱码头有限公司</w:t>
      </w:r>
    </w:p>
    <w:p>
      <w:pPr>
        <w:autoSpaceDE w:val="0"/>
        <w:spacing w:line="400" w:lineRule="exact"/>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址：湖南省</w:t>
      </w:r>
      <w:r>
        <w:rPr>
          <w:rFonts w:hint="eastAsia" w:ascii="宋体" w:hAnsi="宋体" w:eastAsia="宋体" w:cs="宋体"/>
          <w:color w:val="auto"/>
          <w:sz w:val="24"/>
          <w:szCs w:val="24"/>
          <w:lang w:val="en-US" w:eastAsia="zh-CN"/>
        </w:rPr>
        <w:t>长沙市开福区新港镇新港路80号</w:t>
      </w:r>
    </w:p>
    <w:p>
      <w:pPr>
        <w:autoSpaceDE w:val="0"/>
        <w:spacing w:line="400" w:lineRule="exact"/>
        <w:jc w:val="both"/>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收件人：</w:t>
      </w:r>
      <w:r>
        <w:rPr>
          <w:rFonts w:hint="eastAsia" w:ascii="宋体" w:hAnsi="宋体" w:eastAsia="宋体" w:cs="宋体"/>
          <w:color w:val="auto"/>
          <w:sz w:val="24"/>
          <w:szCs w:val="24"/>
          <w:lang w:val="en-US" w:eastAsia="zh-CN"/>
        </w:rPr>
        <w:t>易虎</w:t>
      </w:r>
    </w:p>
    <w:p>
      <w:pPr>
        <w:autoSpaceDE w:val="0"/>
        <w:spacing w:line="400" w:lineRule="exact"/>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15211085855</w:t>
      </w:r>
    </w:p>
    <w:p>
      <w:pPr>
        <w:autoSpaceDE w:val="0"/>
        <w:spacing w:line="400" w:lineRule="exact"/>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5" w:name="_Toc7630"/>
      <w:bookmarkStart w:id="6" w:name="_Toc5362"/>
      <w:r>
        <w:rPr>
          <w:rFonts w:hint="eastAsia" w:ascii="黑体" w:hAnsi="黑体" w:eastAsia="黑体" w:cs="仿宋"/>
          <w:b/>
          <w:color w:val="auto"/>
          <w:sz w:val="36"/>
          <w:szCs w:val="36"/>
          <w:lang w:val="en-US" w:eastAsia="zh-CN"/>
        </w:rPr>
        <w:t>第二章  供应商须知</w:t>
      </w:r>
      <w:bookmarkEnd w:id="5"/>
      <w:bookmarkEnd w:id="6"/>
    </w:p>
    <w:p>
      <w:pPr>
        <w:spacing w:line="240" w:lineRule="auto"/>
        <w:jc w:val="center"/>
        <w:outlineLvl w:val="0"/>
        <w:rPr>
          <w:rFonts w:hint="eastAsia" w:ascii="华文中宋" w:hAnsi="华文中宋" w:eastAsia="华文中宋" w:cs="仿宋"/>
          <w:b/>
          <w:bCs/>
          <w:color w:val="auto"/>
          <w:sz w:val="30"/>
          <w:szCs w:val="30"/>
        </w:rPr>
      </w:pPr>
      <w:bookmarkStart w:id="7" w:name="_Toc24271"/>
      <w:bookmarkStart w:id="8" w:name="_Toc517787495"/>
      <w:bookmarkStart w:id="9" w:name="_Toc11135"/>
      <w:bookmarkStart w:id="10" w:name="_Toc234832862"/>
      <w:r>
        <w:rPr>
          <w:rFonts w:hint="eastAsia" w:ascii="华文中宋" w:hAnsi="华文中宋" w:eastAsia="华文中宋" w:cs="仿宋"/>
          <w:b/>
          <w:bCs/>
          <w:color w:val="auto"/>
          <w:sz w:val="30"/>
          <w:szCs w:val="30"/>
        </w:rPr>
        <w:t>第</w:t>
      </w:r>
      <w:r>
        <w:rPr>
          <w:rFonts w:hint="eastAsia" w:ascii="华文中宋" w:hAnsi="华文中宋" w:eastAsia="华文中宋" w:cs="仿宋"/>
          <w:b/>
          <w:bCs/>
          <w:color w:val="auto"/>
          <w:sz w:val="30"/>
          <w:szCs w:val="30"/>
          <w:lang w:val="en-US" w:eastAsia="zh-CN"/>
        </w:rPr>
        <w:t>一节</w:t>
      </w:r>
      <w:r>
        <w:rPr>
          <w:rFonts w:hint="eastAsia" w:ascii="华文中宋" w:hAnsi="华文中宋" w:eastAsia="华文中宋" w:cs="仿宋"/>
          <w:b/>
          <w:bCs/>
          <w:color w:val="auto"/>
          <w:sz w:val="30"/>
          <w:szCs w:val="30"/>
        </w:rPr>
        <w:t xml:space="preserve"> </w:t>
      </w:r>
      <w:r>
        <w:rPr>
          <w:rFonts w:hint="eastAsia" w:ascii="华文中宋" w:hAnsi="华文中宋" w:eastAsia="华文中宋" w:cs="仿宋"/>
          <w:b/>
          <w:bCs/>
          <w:color w:val="auto"/>
          <w:sz w:val="30"/>
          <w:szCs w:val="30"/>
          <w:lang w:val="en-US" w:eastAsia="zh-CN"/>
        </w:rPr>
        <w:t>供应商须知前附表</w:t>
      </w:r>
      <w:bookmarkEnd w:id="7"/>
    </w:p>
    <w:bookmarkEnd w:id="8"/>
    <w:bookmarkEnd w:id="9"/>
    <w:bookmarkEnd w:id="10"/>
    <w:tbl>
      <w:tblPr>
        <w:tblStyle w:val="15"/>
        <w:tblW w:w="8779" w:type="dxa"/>
        <w:tblInd w:w="0" w:type="dxa"/>
        <w:tblLayout w:type="fixed"/>
        <w:tblCellMar>
          <w:top w:w="0" w:type="dxa"/>
          <w:left w:w="108" w:type="dxa"/>
          <w:bottom w:w="0" w:type="dxa"/>
          <w:right w:w="108" w:type="dxa"/>
        </w:tblCellMar>
      </w:tblPr>
      <w:tblGrid>
        <w:gridCol w:w="1260"/>
        <w:gridCol w:w="2753"/>
        <w:gridCol w:w="4766"/>
      </w:tblGrid>
      <w:tr>
        <w:tblPrEx>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条款号</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  款  名  称</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编  列  内  容</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询价</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竞争性谈判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□单一来源</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□直接采购</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评审办法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最低价法</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□综合评分法</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1.7.1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踏勘现场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不组织</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□组织，踏勘时间：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踏勘集中地点：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采购预备会</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不召开</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□召开，召开时间：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召开地点：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1.9</w:t>
            </w:r>
          </w:p>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分包</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不得分包的内容：</w:t>
            </w:r>
            <w:r>
              <w:rPr>
                <w:rFonts w:hint="eastAsia" w:cs="仿宋" w:asciiTheme="minorEastAsia" w:hAnsiTheme="minorEastAsia" w:eastAsiaTheme="minorEastAsia"/>
                <w:color w:val="auto"/>
                <w:sz w:val="24"/>
                <w:lang w:eastAsia="zh-CN"/>
              </w:rPr>
              <w:t>不允许分包</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对分包供应商的要求：</w:t>
            </w:r>
            <w:r>
              <w:rPr>
                <w:rFonts w:hint="eastAsia" w:cs="仿宋" w:asciiTheme="minorEastAsia" w:hAnsiTheme="minorEastAsia" w:eastAsiaTheme="minorEastAsia"/>
                <w:color w:val="auto"/>
                <w:sz w:val="24"/>
                <w:lang w:eastAsia="zh-CN"/>
              </w:rPr>
              <w:t>不允许分包</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226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1.10.2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对非关键条款的偏差</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允许偏差的范围：</w:t>
            </w:r>
            <w:r>
              <w:rPr>
                <w:rFonts w:hint="eastAsia" w:ascii="宋体" w:hAnsi="宋体" w:eastAsia="宋体" w:cs="宋体"/>
                <w:color w:val="auto"/>
                <w:sz w:val="24"/>
                <w:szCs w:val="24"/>
              </w:rPr>
              <w:t>投标文件在实质上响应招标文件要求，但存在含义不明确的内容、明显文字或计算错误等情况</w:t>
            </w:r>
            <w:r>
              <w:rPr>
                <w:rFonts w:hint="eastAsia" w:ascii="宋体" w:hAnsi="宋体" w:cs="宋体"/>
                <w:color w:val="auto"/>
                <w:sz w:val="24"/>
                <w:szCs w:val="24"/>
                <w:lang w:eastAsia="zh-CN"/>
              </w:rPr>
              <w:t>，此条件下允许供应商进行澄清解释。</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允许偏差的项数：</w:t>
            </w:r>
            <w:r>
              <w:rPr>
                <w:rFonts w:hint="eastAsia" w:cs="仿宋" w:asciiTheme="minorEastAsia" w:hAnsiTheme="minorEastAsia" w:eastAsiaTheme="minorEastAsia"/>
                <w:color w:val="auto"/>
                <w:sz w:val="24"/>
                <w:lang w:val="en-US" w:eastAsia="zh-CN"/>
              </w:rPr>
              <w:t>3项</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2.1(7)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构成采购文件的其他资料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highlight w:val="none"/>
              </w:rPr>
              <w:t>截止时间：</w:t>
            </w:r>
            <w:r>
              <w:rPr>
                <w:rFonts w:hint="eastAsia" w:cs="仿宋" w:asciiTheme="minorEastAsia" w:hAnsiTheme="minorEastAsia" w:eastAsiaTheme="minorEastAsia"/>
                <w:color w:val="auto"/>
                <w:sz w:val="24"/>
                <w:highlight w:val="none"/>
                <w:lang w:val="en-US" w:eastAsia="zh-CN"/>
              </w:rPr>
              <w:t>2022年1月24</w:t>
            </w:r>
            <w:r>
              <w:rPr>
                <w:rFonts w:hint="eastAsia" w:cs="仿宋" w:asciiTheme="minorEastAsia" w:hAnsiTheme="minorEastAsia" w:eastAsiaTheme="minorEastAsia"/>
                <w:color w:val="auto"/>
                <w:sz w:val="24"/>
                <w:highlight w:val="none"/>
                <w:lang w:eastAsia="zh-CN"/>
              </w:rPr>
              <w:t>日</w:t>
            </w:r>
            <w:r>
              <w:rPr>
                <w:rFonts w:hint="eastAsia" w:cs="仿宋" w:asciiTheme="minorEastAsia" w:hAnsiTheme="minorEastAsia" w:eastAsiaTheme="minorEastAsia"/>
                <w:color w:val="auto"/>
                <w:sz w:val="24"/>
                <w:highlight w:val="none"/>
                <w:lang w:val="en-US" w:eastAsia="zh-CN"/>
              </w:rPr>
              <w:t>14时00分</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供应商确认收到采购文件补充文件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rPr>
              <w:t>确认的最晚时间：</w:t>
            </w:r>
            <w:r>
              <w:rPr>
                <w:rFonts w:hint="eastAsia" w:cs="仿宋" w:asciiTheme="minorEastAsia" w:hAnsiTheme="minorEastAsia" w:eastAsiaTheme="minorEastAsia"/>
                <w:color w:val="auto"/>
                <w:sz w:val="24"/>
                <w:lang w:val="en-US" w:eastAsia="zh-CN"/>
              </w:rPr>
              <w:t>收到采购文件补充文件后24小时</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确定的方式：</w:t>
            </w:r>
            <w:r>
              <w:rPr>
                <w:rFonts w:hint="eastAsia" w:cs="仿宋" w:asciiTheme="minorEastAsia" w:hAnsiTheme="minorEastAsia" w:eastAsiaTheme="minorEastAsia"/>
                <w:color w:val="auto"/>
                <w:sz w:val="24"/>
                <w:lang w:val="en-US" w:eastAsia="zh-CN"/>
              </w:rPr>
              <w:t>供应商盖章后的确认函</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无</w:t>
            </w:r>
          </w:p>
          <w:p>
            <w:pPr>
              <w:spacing w:line="288" w:lineRule="auto"/>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有，最高限价或其计算方法：</w:t>
            </w:r>
          </w:p>
          <w:p>
            <w:pPr>
              <w:spacing w:line="288" w:lineRule="auto"/>
              <w:jc w:val="both"/>
              <w:rPr>
                <w:rFonts w:cs="仿宋" w:asciiTheme="minorEastAsia" w:hAnsiTheme="minorEastAsia" w:eastAsiaTheme="minorEastAsia"/>
                <w:color w:val="auto"/>
                <w:sz w:val="24"/>
              </w:rPr>
            </w:pPr>
            <w:r>
              <w:rPr>
                <w:rFonts w:ascii="Times New Roman" w:hAnsi="Times New Roman" w:cs="Times New Roman"/>
                <w:color w:val="auto"/>
                <w:sz w:val="24"/>
                <w:szCs w:val="24"/>
              </w:rPr>
              <w:t>本项目最高限价为：人民币¥</w:t>
            </w:r>
            <w:r>
              <w:rPr>
                <w:rFonts w:hint="eastAsia" w:ascii="Times New Roman" w:hAnsi="Times New Roman" w:cs="Times New Roman"/>
                <w:color w:val="auto"/>
                <w:sz w:val="24"/>
                <w:szCs w:val="24"/>
                <w:lang w:val="en-US" w:eastAsia="zh-CN"/>
              </w:rPr>
              <w:t>12</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45</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eastAsia="zh-CN"/>
              </w:rPr>
              <w:t>元（</w:t>
            </w:r>
            <w:r>
              <w:rPr>
                <w:rFonts w:hint="eastAsia" w:ascii="Times New Roman" w:hAnsi="Times New Roman" w:cs="Times New Roman"/>
                <w:color w:val="auto"/>
                <w:sz w:val="24"/>
                <w:szCs w:val="24"/>
                <w:lang w:val="en-US" w:eastAsia="zh-CN"/>
              </w:rPr>
              <w:t>含6%增值税率，需提供增值税专用发票）。</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报价的其他要求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ascii="宋体" w:hAnsi="宋体" w:cs="仿宋"/>
                <w:color w:val="auto"/>
                <w:sz w:val="24"/>
                <w:lang w:val="en-US" w:eastAsia="zh-CN"/>
              </w:rPr>
              <w:t>本项目最高限价为6%增值税含税价，</w:t>
            </w:r>
            <w:r>
              <w:rPr>
                <w:rFonts w:hint="eastAsia" w:ascii="宋体" w:hAnsi="宋体" w:eastAsia="宋体" w:cs="仿宋"/>
                <w:color w:val="auto"/>
                <w:sz w:val="24"/>
                <w:lang w:val="en-US" w:eastAsia="zh-CN"/>
              </w:rPr>
              <w:t>报价</w:t>
            </w:r>
            <w:r>
              <w:rPr>
                <w:rFonts w:hint="eastAsia" w:ascii="宋体" w:hAnsi="宋体" w:cs="仿宋"/>
                <w:color w:val="auto"/>
                <w:sz w:val="24"/>
                <w:lang w:val="en-US" w:eastAsia="zh-CN"/>
              </w:rPr>
              <w:t>人可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其他税率的报价，但评审时统一按6%含税价调整后由低到高排序</w:t>
            </w:r>
            <w:r>
              <w:rPr>
                <w:rFonts w:hint="eastAsia" w:ascii="宋体" w:hAnsi="宋体" w:eastAsia="宋体" w:cs="仿宋"/>
                <w:color w:val="auto"/>
                <w:sz w:val="24"/>
                <w:lang w:val="en-US" w:eastAsia="zh-CN"/>
              </w:rPr>
              <w:t>。</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响应文件有效期</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递交响应文件截止之日起90日                                        </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不要求递交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□要求递交，</w:t>
            </w:r>
          </w:p>
          <w:p>
            <w:pPr>
              <w:spacing w:line="288" w:lineRule="auto"/>
              <w:ind w:firstLine="360" w:firstLineChars="15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保证金的金额：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保证金的形式：                                        </w:t>
            </w:r>
          </w:p>
        </w:tc>
      </w:tr>
      <w:tr>
        <w:tblPrEx>
          <w:tblCellMar>
            <w:top w:w="0" w:type="dxa"/>
            <w:left w:w="108" w:type="dxa"/>
            <w:bottom w:w="0" w:type="dxa"/>
            <w:right w:w="108" w:type="dxa"/>
          </w:tblCellMar>
        </w:tblPrEx>
        <w:trPr>
          <w:trHeight w:val="16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8"/>
                <w:rFonts w:asciiTheme="minorEastAsia" w:hAnsiTheme="minorEastAsia" w:eastAsiaTheme="minorEastAsia"/>
                <w:b w:val="0"/>
                <w:color w:val="auto"/>
                <w:sz w:val="24"/>
              </w:rPr>
            </w:pPr>
            <w:r>
              <w:rPr>
                <w:rStyle w:val="18"/>
                <w:rFonts w:hint="eastAsia" w:asciiTheme="minorEastAsia" w:hAnsiTheme="minorEastAsia" w:eastAsiaTheme="minorEastAsia"/>
                <w:b w:val="0"/>
                <w:color w:val="auto"/>
                <w:sz w:val="24"/>
              </w:rPr>
              <w:t>依法设立的证明材料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□不适用。</w:t>
            </w:r>
          </w:p>
          <w:p>
            <w:pPr>
              <w:spacing w:line="288" w:lineRule="auto"/>
              <w:jc w:val="both"/>
              <w:rPr>
                <w:rFonts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适用。</w:t>
            </w:r>
            <w:r>
              <w:rPr>
                <w:rFonts w:hint="eastAsia" w:asciiTheme="minorEastAsia" w:hAnsiTheme="minorEastAsia" w:eastAsiaTheme="minorEastAsia"/>
                <w:color w:val="auto"/>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152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Style w:val="18"/>
                <w:rFonts w:hint="eastAsia" w:asciiTheme="minorEastAsia" w:hAnsiTheme="minorEastAsia" w:eastAsiaTheme="minorEastAsia"/>
                <w:b w:val="0"/>
                <w:color w:val="auto"/>
                <w:sz w:val="24"/>
              </w:rPr>
              <w:t>资质要求证明材料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适用。供应商应提供相关资质证书副本的复印件，以证明供应商具有承担本项目要求的资质。</w:t>
            </w:r>
          </w:p>
        </w:tc>
      </w:tr>
      <w:tr>
        <w:tblPrEx>
          <w:tblCellMar>
            <w:top w:w="0" w:type="dxa"/>
            <w:left w:w="108" w:type="dxa"/>
            <w:bottom w:w="0" w:type="dxa"/>
            <w:right w:w="108" w:type="dxa"/>
          </w:tblCellMar>
        </w:tblPrEx>
        <w:trPr>
          <w:trHeight w:val="630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8"/>
                <w:rFonts w:asciiTheme="minorEastAsia" w:hAnsiTheme="minorEastAsia" w:eastAsiaTheme="minorEastAsia"/>
                <w:b w:val="0"/>
                <w:color w:val="auto"/>
                <w:sz w:val="24"/>
              </w:rPr>
            </w:pPr>
            <w:r>
              <w:rPr>
                <w:rStyle w:val="18"/>
                <w:rFonts w:hint="eastAsia" w:asciiTheme="minorEastAsia" w:hAnsiTheme="minorEastAsia" w:eastAsiaTheme="minorEastAsia"/>
                <w:b w:val="0"/>
                <w:color w:val="auto"/>
                <w:sz w:val="24"/>
              </w:rPr>
              <w:t>财务要求证明材料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2019</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lang w:val="en-US" w:eastAsia="zh-CN"/>
              </w:rPr>
              <w:t>2020</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（注：有财务要求的，应选择两种财务会计报表中的一种作为财务证明资料。）</w:t>
            </w:r>
          </w:p>
        </w:tc>
      </w:tr>
      <w:tr>
        <w:tblPrEx>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both"/>
              <w:rPr>
                <w:rFonts w:hint="default" w:cs="宋体" w:asciiTheme="minorEastAsia" w:hAnsiTheme="minorEastAsia" w:eastAsiaTheme="minorEastAsia"/>
                <w:color w:val="auto"/>
                <w:sz w:val="24"/>
                <w:u w:val="single"/>
                <w:lang w:val="en-US"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年的类似项目情况表），以证明供应商具有承担本项目要求的业绩。近年是指</w:t>
            </w:r>
            <w:r>
              <w:rPr>
                <w:rFonts w:hint="eastAsia" w:cs="宋体" w:asciiTheme="minorEastAsia" w:hAnsiTheme="minorEastAsia" w:eastAsiaTheme="minorEastAsia"/>
                <w:color w:val="auto"/>
                <w:sz w:val="24"/>
                <w:u w:val="single"/>
                <w:lang w:val="en-US" w:eastAsia="zh-CN"/>
              </w:rPr>
              <w:t>2020年1月25日</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lang w:val="en-US" w:eastAsia="zh-CN"/>
              </w:rPr>
              <w:t>2022</w:t>
            </w:r>
            <w:r>
              <w:rPr>
                <w:rFonts w:hint="eastAsia" w:cs="宋体" w:asciiTheme="minorEastAsia" w:hAnsiTheme="minorEastAsia" w:eastAsiaTheme="minorEastAsia"/>
                <w:color w:val="auto"/>
                <w:sz w:val="24"/>
                <w:u w:val="single"/>
              </w:rPr>
              <w:t>年</w:t>
            </w:r>
            <w:r>
              <w:rPr>
                <w:rFonts w:hint="eastAsia" w:cs="宋体" w:asciiTheme="minorEastAsia" w:hAnsiTheme="minorEastAsia" w:eastAsiaTheme="minorEastAsia"/>
                <w:color w:val="auto"/>
                <w:sz w:val="24"/>
                <w:u w:val="single"/>
                <w:lang w:val="en-US" w:eastAsia="zh-CN"/>
              </w:rPr>
              <w:t>1月25日</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□中标通知书/成交通知书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□竣工 验收报告/验收证明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□业主证明</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业绩证明材料种类要求：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□需同时提供上述勾选的所有证明材料</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提供</w:t>
            </w:r>
            <w:r>
              <w:rPr>
                <w:rFonts w:hint="eastAsia" w:cs="宋体" w:asciiTheme="minorEastAsia" w:hAnsiTheme="minorEastAsia" w:eastAsiaTheme="minorEastAsia"/>
                <w:color w:val="auto"/>
                <w:sz w:val="24"/>
                <w:u w:val="single"/>
                <w:lang w:val="en-US" w:eastAsia="zh-CN"/>
              </w:rPr>
              <w:t>1个项目的</w:t>
            </w:r>
            <w:r>
              <w:rPr>
                <w:rFonts w:hint="eastAsia" w:cs="宋体" w:asciiTheme="minorEastAsia" w:hAnsiTheme="minorEastAsia" w:eastAsiaTheme="minorEastAsia"/>
                <w:color w:val="auto"/>
                <w:sz w:val="24"/>
                <w:u w:val="single"/>
                <w:lang w:eastAsia="zh-CN"/>
              </w:rPr>
              <w:t>复印件加盖单位公章</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信誉要求证明材料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适用。供应商应提供相关信誉情况的证明材料，包括：</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承担本项目的主要人员要求证明材料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□适用。供应商应提供拟委任的主要人员汇总表和主要人员简历表（格式见第六章“响应文件格式”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3.5（8）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供应商不存在第一章3.1款情形的证明材料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不需要提供证明材料</w:t>
            </w:r>
          </w:p>
          <w:p>
            <w:pPr>
              <w:pStyle w:val="7"/>
              <w:spacing w:after="0" w:line="312" w:lineRule="auto"/>
              <w:ind w:left="0" w:leftChars="0"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需要提供证明材料，包括：</w:t>
            </w:r>
          </w:p>
          <w:p>
            <w:pPr>
              <w:pStyle w:val="7"/>
              <w:spacing w:after="0" w:line="312" w:lineRule="auto"/>
              <w:ind w:left="0" w:leftChars="0" w:firstLine="0" w:firstLineChars="0"/>
              <w:rPr>
                <w:rFonts w:hint="eastAsia" w:ascii="宋体" w:hAnsi="宋体" w:cs="宋体"/>
                <w:color w:val="auto"/>
                <w:sz w:val="24"/>
              </w:rPr>
            </w:pPr>
            <w:r>
              <w:rPr>
                <w:rFonts w:hint="eastAsia" w:cs="宋体" w:asciiTheme="minorEastAsia" w:hAnsiTheme="minorEastAsia" w:eastAsiaTheme="minorEastAsia"/>
                <w:color w:val="auto"/>
                <w:sz w:val="24"/>
                <w:lang w:val="en-US" w:eastAsia="zh-CN"/>
              </w:rPr>
              <w:t>1.</w:t>
            </w:r>
            <w:r>
              <w:rPr>
                <w:rFonts w:hint="eastAsia" w:ascii="宋体" w:hAnsi="宋体" w:cs="宋体"/>
                <w:color w:val="auto"/>
                <w:sz w:val="24"/>
              </w:rPr>
              <w:t>全国企业信用信息公示系统中未列入严重违法失信企业名单的网页截图</w:t>
            </w:r>
          </w:p>
          <w:p>
            <w:pPr>
              <w:pStyle w:val="7"/>
              <w:spacing w:after="0" w:line="312" w:lineRule="auto"/>
              <w:ind w:left="0" w:leftChars="0" w:firstLine="0" w:firstLineChars="0"/>
              <w:rPr>
                <w:rFonts w:hint="eastAsia" w:cs="宋体" w:asciiTheme="minorEastAsia" w:hAnsiTheme="minorEastAsia" w:eastAsiaTheme="minorEastAsia"/>
                <w:color w:val="auto"/>
                <w:kern w:val="2"/>
                <w:sz w:val="24"/>
                <w:szCs w:val="24"/>
                <w:lang w:val="en-US" w:eastAsia="zh-CN" w:bidi="ar-SA"/>
              </w:rPr>
            </w:pPr>
            <w:r>
              <w:rPr>
                <w:rFonts w:hint="eastAsia" w:ascii="宋体" w:hAnsi="宋体" w:cs="宋体"/>
                <w:color w:val="auto"/>
                <w:sz w:val="24"/>
              </w:rPr>
              <w:t>2．被最高人民法院在“信用中国”网站（www.creditchina.gov.cn）中未列入失信被执行人名单的网页截图</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对关键条款进行响应的证据或证明材料要求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响应方案数量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供应商只能提出唯一响应方案</w:t>
            </w:r>
          </w:p>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供应商可提出多个响应方案</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响应文件及电子版要求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是否要求提供电子版响应文件：</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□要求，提供电子版响应文件的形式</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响应文件的密封</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响应文件须密封包装，并在封套的封口处加盖供应商单位章。</w:t>
            </w:r>
          </w:p>
        </w:tc>
      </w:tr>
      <w:tr>
        <w:tblPrEx>
          <w:tblCellMar>
            <w:top w:w="0" w:type="dxa"/>
            <w:left w:w="108" w:type="dxa"/>
            <w:bottom w:w="0" w:type="dxa"/>
            <w:right w:w="108" w:type="dxa"/>
          </w:tblCellMar>
        </w:tblPrEx>
        <w:trPr>
          <w:trHeight w:val="134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封套上应载明的信息</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适用，供应商名称：</w:t>
            </w:r>
            <w:r>
              <w:rPr>
                <w:rFonts w:hint="eastAsia" w:ascii="宋体" w:hAnsi="宋体" w:cs="宋体"/>
                <w:color w:val="auto"/>
                <w:sz w:val="24"/>
                <w:szCs w:val="24"/>
                <w:u w:val="single"/>
                <w:lang w:val="en-US" w:eastAsia="zh-CN"/>
              </w:rPr>
              <w:t>长沙集星集装箱码头有限公司员工补充医疗项目</w:t>
            </w:r>
            <w:r>
              <w:rPr>
                <w:rFonts w:hint="eastAsia" w:cs="宋体" w:asciiTheme="minorEastAsia" w:hAnsiTheme="minorEastAsia" w:eastAsiaTheme="minorEastAsia"/>
                <w:color w:val="auto"/>
                <w:sz w:val="24"/>
                <w:u w:val="single"/>
              </w:rPr>
              <w:t>响应文件</w:t>
            </w:r>
          </w:p>
        </w:tc>
      </w:tr>
      <w:tr>
        <w:tblPrEx>
          <w:tblCellMar>
            <w:top w:w="0" w:type="dxa"/>
            <w:left w:w="108" w:type="dxa"/>
            <w:bottom w:w="0" w:type="dxa"/>
            <w:right w:w="108" w:type="dxa"/>
          </w:tblCellMar>
        </w:tblPrEx>
        <w:trPr>
          <w:trHeight w:val="153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2022年1月 24 日14时00分</w:t>
            </w:r>
            <w:r>
              <w:rPr>
                <w:rFonts w:hint="eastAsia" w:cs="宋体" w:asciiTheme="minorEastAsia" w:hAnsiTheme="minorEastAsia" w:eastAsiaTheme="minorEastAsia"/>
                <w:color w:val="auto"/>
                <w:sz w:val="24"/>
                <w:highlight w:val="none"/>
                <w:u w:val="single"/>
              </w:rPr>
              <w:t xml:space="preserve"> </w:t>
            </w:r>
          </w:p>
          <w:p>
            <w:pPr>
              <w:spacing w:line="44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w:t>
            </w:r>
            <w:r>
              <w:rPr>
                <w:rFonts w:hint="eastAsia" w:eastAsiaTheme="minorEastAsia"/>
                <w:color w:val="auto"/>
                <w:sz w:val="24"/>
                <w:szCs w:val="24"/>
                <w:u w:val="single"/>
                <w:lang w:val="en-US" w:eastAsia="zh-CN"/>
              </w:rPr>
              <w:t>长沙集星集装箱码头有限公司310室</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4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是否退还响应文件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□是，退还时间：</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供应商撤回响应文件情况下退还响应保证金的时间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asciiTheme="minorHAnsi" w:hAnsiTheme="minorHAnsi" w:eastAsiaTheme="minorEastAsia" w:cstheme="minorBidi"/>
                <w:color w:val="auto"/>
                <w:sz w:val="24"/>
                <w:szCs w:val="24"/>
                <w:lang w:val="en-US" w:eastAsia="zh-CN"/>
              </w:rPr>
              <w:t>湖南省港务集团有限公司六楼602开标室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开启程序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开启顺序：</w:t>
            </w:r>
            <w:r>
              <w:rPr>
                <w:rFonts w:hint="eastAsia" w:cs="宋体" w:asciiTheme="minorEastAsia" w:hAnsiTheme="minorEastAsia" w:eastAsiaTheme="minorEastAsia"/>
                <w:color w:val="auto"/>
                <w:sz w:val="24"/>
                <w:u w:val="single"/>
              </w:rPr>
              <w:t xml:space="preserve">   随机 </w:t>
            </w:r>
            <w:r>
              <w:rPr>
                <w:rFonts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其他应公布的信息：</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无</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小组的组建</w:t>
            </w:r>
            <w:r>
              <w:rPr>
                <w:rStyle w:val="20"/>
                <w:rFonts w:cs="宋体" w:asciiTheme="minorEastAsia" w:hAnsiTheme="minorEastAsia" w:eastAsiaTheme="minorEastAsia"/>
                <w:color w:val="auto"/>
                <w:sz w:val="24"/>
              </w:rPr>
              <w:footnoteReference w:id="0"/>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小组构成：</w:t>
            </w:r>
            <w:r>
              <w:rPr>
                <w:rFonts w:hint="eastAsia" w:cs="宋体" w:asciiTheme="minorEastAsia" w:hAnsiTheme="minorEastAsia" w:eastAsiaTheme="minorEastAsia"/>
                <w:color w:val="auto"/>
                <w:sz w:val="24"/>
                <w:u w:val="single"/>
                <w:lang w:val="en-US" w:eastAsia="zh-CN"/>
              </w:rPr>
              <w:t>3</w:t>
            </w:r>
            <w:r>
              <w:rPr>
                <w:rFonts w:hint="eastAsia" w:cs="宋体" w:asciiTheme="minorEastAsia" w:hAnsiTheme="minorEastAsia" w:eastAsiaTheme="minorEastAsia"/>
                <w:color w:val="auto"/>
                <w:sz w:val="24"/>
              </w:rPr>
              <w:t>人。</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专家确定方式：在湖南省湘水集团有限公司综合评标专家库中随机抽取。</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是否公开开启最终报价</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推荐成交候选供应商的排序及数量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数量：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1-3名</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成交候选供应商公示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公示媒介：</w:t>
            </w:r>
            <w:bookmarkStart w:id="11" w:name="_Toc20487"/>
            <w:bookmarkStart w:id="12" w:name="_Toc9276"/>
            <w:r>
              <w:rPr>
                <w:rFonts w:hint="eastAsia" w:cs="宋体" w:asciiTheme="minorEastAsia" w:hAnsiTheme="minorEastAsia" w:eastAsiaTheme="minorEastAsia"/>
                <w:color w:val="auto"/>
                <w:sz w:val="24"/>
              </w:rPr>
              <w:t>本次招标公告同时在中国招标投标公共服务平台（</w:t>
            </w:r>
            <w:r>
              <w:rPr>
                <w:rFonts w:hint="eastAsia" w:cs="宋体" w:asciiTheme="minorEastAsia" w:hAnsiTheme="minorEastAsia" w:eastAsiaTheme="minorEastAsia"/>
                <w:color w:val="auto"/>
                <w:sz w:val="24"/>
              </w:rPr>
              <w:fldChar w:fldCharType="begin"/>
            </w:r>
            <w:r>
              <w:rPr>
                <w:rFonts w:hint="eastAsia" w:cs="宋体" w:asciiTheme="minorEastAsia" w:hAnsiTheme="minorEastAsia" w:eastAsiaTheme="minorEastAsia"/>
                <w:color w:val="auto"/>
                <w:sz w:val="24"/>
              </w:rPr>
              <w:instrText xml:space="preserve"> HYPERLINK "http://www.chinabidding.com.cn" </w:instrText>
            </w:r>
            <w:r>
              <w:rPr>
                <w:rFonts w:hint="eastAsia" w:cs="宋体" w:asciiTheme="minorEastAsia" w:hAnsiTheme="minorEastAsia" w:eastAsiaTheme="minorEastAsia"/>
                <w:color w:val="auto"/>
                <w:sz w:val="24"/>
              </w:rPr>
              <w:fldChar w:fldCharType="separate"/>
            </w:r>
            <w:r>
              <w:rPr>
                <w:rFonts w:hint="eastAsia" w:cs="宋体" w:asciiTheme="minorEastAsia" w:hAnsiTheme="minorEastAsia" w:eastAsiaTheme="minorEastAsia"/>
                <w:color w:val="auto"/>
                <w:sz w:val="24"/>
              </w:rPr>
              <w:t>www.cebpubservice.com</w:t>
            </w:r>
            <w:r>
              <w:rPr>
                <w:rFonts w:hint="eastAsia" w:cs="宋体" w:asciiTheme="minorEastAsia" w:hAnsiTheme="minorEastAsia" w:eastAsiaTheme="minorEastAsia"/>
                <w:color w:val="auto"/>
                <w:sz w:val="24"/>
              </w:rPr>
              <w:fldChar w:fldCharType="end"/>
            </w:r>
            <w:r>
              <w:rPr>
                <w:rFonts w:hint="eastAsia" w:cs="宋体" w:asciiTheme="minorEastAsia" w:hAnsiTheme="minorEastAsia" w:eastAsiaTheme="minorEastAsia"/>
                <w:color w:val="auto"/>
                <w:sz w:val="24"/>
              </w:rPr>
              <w:t>）、湖南省湘水集团有限公司（http://www.hnsxsjt.com）、湖南省港务集团公司网站（http://www.hnsgwjt.com/）上发布。</w:t>
            </w:r>
            <w:bookmarkEnd w:id="11"/>
            <w:bookmarkEnd w:id="12"/>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公示期限：  </w:t>
            </w:r>
            <w:r>
              <w:rPr>
                <w:rFonts w:hint="eastAsia" w:cs="宋体" w:asciiTheme="minorEastAsia" w:hAnsiTheme="minorEastAsia" w:eastAsiaTheme="minorEastAsia"/>
                <w:color w:val="auto"/>
                <w:sz w:val="24"/>
                <w:lang w:val="en-US" w:eastAsia="zh-CN"/>
              </w:rPr>
              <w:t>3个工作日</w:t>
            </w:r>
            <w:r>
              <w:rPr>
                <w:rFonts w:hint="eastAsia" w:cs="宋体" w:asciiTheme="minorEastAsia" w:hAnsiTheme="minorEastAsia" w:eastAsiaTheme="minorEastAsia"/>
                <w:color w:val="auto"/>
                <w:sz w:val="24"/>
              </w:rPr>
              <w:t xml:space="preserve">   </w:t>
            </w:r>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其他应公示的内容：  </w:t>
            </w:r>
            <w:r>
              <w:rPr>
                <w:rFonts w:hint="eastAsia" w:cs="宋体" w:asciiTheme="minorEastAsia" w:hAnsiTheme="minorEastAsia" w:eastAsiaTheme="minorEastAsia"/>
                <w:color w:val="auto"/>
                <w:sz w:val="24"/>
                <w:lang w:val="en-US" w:eastAsia="zh-CN"/>
              </w:rPr>
              <w:t>无</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16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不要求提交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□要求递交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履约保证金金额：</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履约保证金形式：</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履约保证金有效期限：</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递交时间：</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83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异议渠道</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杨曼</w:t>
            </w:r>
            <w:r>
              <w:rPr>
                <w:rFonts w:hint="eastAsia" w:ascii="宋体" w:hAnsi="宋体" w:eastAsia="宋体" w:cs="宋体"/>
                <w:color w:val="auto"/>
                <w:sz w:val="24"/>
                <w:szCs w:val="24"/>
                <w:u w:val="single"/>
              </w:rPr>
              <w:t xml:space="preserve">  </w:t>
            </w:r>
          </w:p>
          <w:p>
            <w:pPr>
              <w:pStyle w:val="14"/>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color w:val="auto"/>
                <w:sz w:val="24"/>
                <w:szCs w:val="24"/>
                <w:u w:val="single"/>
                <w:lang w:val="en-US" w:eastAsia="zh-CN"/>
              </w:rPr>
              <w:t>13507318311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Cs/>
                <w:i w:val="0"/>
                <w:caps w:val="0"/>
                <w:color w:val="auto"/>
                <w:spacing w:val="0"/>
                <w:kern w:val="0"/>
                <w:sz w:val="24"/>
                <w:szCs w:val="24"/>
                <w:u w:val="single"/>
                <w:lang w:val="en-US" w:eastAsia="zh-CN" w:bidi="ar"/>
              </w:rPr>
              <w:t>长沙集星集装箱码头有限公司303室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bl>
    <w:p>
      <w:pPr>
        <w:rPr>
          <w:rFonts w:hint="eastAsia" w:ascii="华文中宋" w:hAnsi="华文中宋" w:eastAsia="华文中宋" w:cs="仿宋"/>
          <w:b/>
          <w:bCs/>
          <w:color w:val="auto"/>
          <w:sz w:val="30"/>
          <w:szCs w:val="30"/>
        </w:rPr>
      </w:pPr>
      <w:r>
        <w:rPr>
          <w:rFonts w:hint="eastAsia" w:ascii="华文中宋" w:hAnsi="华文中宋" w:eastAsia="华文中宋" w:cs="仿宋"/>
          <w:b/>
          <w:bCs/>
          <w:color w:val="auto"/>
          <w:sz w:val="30"/>
          <w:szCs w:val="30"/>
        </w:rPr>
        <w:br w:type="page"/>
      </w:r>
    </w:p>
    <w:p>
      <w:pPr>
        <w:spacing w:line="240" w:lineRule="auto"/>
        <w:jc w:val="center"/>
        <w:outlineLvl w:val="0"/>
        <w:rPr>
          <w:rFonts w:ascii="仿宋" w:hAnsi="仿宋" w:eastAsia="仿宋" w:cs="仿宋"/>
          <w:color w:val="auto"/>
          <w:sz w:val="30"/>
          <w:szCs w:val="30"/>
        </w:rPr>
      </w:pPr>
      <w:bookmarkStart w:id="13" w:name="_Toc272"/>
      <w:bookmarkStart w:id="14" w:name="_Toc28746"/>
      <w:r>
        <w:rPr>
          <w:rFonts w:hint="eastAsia" w:ascii="华文中宋" w:hAnsi="华文中宋" w:eastAsia="华文中宋" w:cs="仿宋"/>
          <w:b/>
          <w:bCs/>
          <w:color w:val="auto"/>
          <w:sz w:val="30"/>
          <w:szCs w:val="30"/>
        </w:rPr>
        <w:t>第二</w:t>
      </w:r>
      <w:r>
        <w:rPr>
          <w:rFonts w:hint="eastAsia" w:ascii="华文中宋" w:hAnsi="华文中宋" w:eastAsia="华文中宋" w:cs="仿宋"/>
          <w:b/>
          <w:bCs/>
          <w:color w:val="auto"/>
          <w:sz w:val="30"/>
          <w:szCs w:val="30"/>
          <w:lang w:val="en-US" w:eastAsia="zh-CN"/>
        </w:rPr>
        <w:t>节</w:t>
      </w:r>
      <w:r>
        <w:rPr>
          <w:rFonts w:hint="eastAsia" w:ascii="华文中宋" w:hAnsi="华文中宋" w:eastAsia="华文中宋" w:cs="仿宋"/>
          <w:b/>
          <w:bCs/>
          <w:color w:val="auto"/>
          <w:sz w:val="30"/>
          <w:szCs w:val="30"/>
        </w:rPr>
        <w:t xml:space="preserve"> 供应商须知正文</w:t>
      </w:r>
      <w:bookmarkEnd w:id="13"/>
      <w:bookmarkEnd w:id="14"/>
    </w:p>
    <w:p>
      <w:pPr>
        <w:adjustRightInd w:val="0"/>
        <w:snapToGrid w:val="0"/>
        <w:spacing w:before="120" w:beforeLines="50" w:after="120" w:afterLines="50" w:line="312" w:lineRule="auto"/>
        <w:jc w:val="both"/>
        <w:rPr>
          <w:rFonts w:ascii="宋体" w:hAnsi="宋体" w:cs="仿宋"/>
          <w:b/>
          <w:bCs/>
          <w:color w:val="auto"/>
          <w:sz w:val="24"/>
        </w:rPr>
      </w:pPr>
      <w:r>
        <w:rPr>
          <w:rFonts w:hint="eastAsia" w:ascii="宋体" w:hAnsi="宋体" w:cs="仿宋"/>
          <w:b/>
          <w:bCs/>
          <w:color w:val="auto"/>
          <w:sz w:val="24"/>
        </w:rPr>
        <w:t>1 总则</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1.1采购方法和评审办法</w:t>
      </w:r>
    </w:p>
    <w:p>
      <w:pPr>
        <w:pStyle w:val="23"/>
        <w:spacing w:before="120" w:after="120" w:line="312" w:lineRule="auto"/>
        <w:ind w:left="426" w:firstLine="48" w:firstLineChars="20"/>
        <w:jc w:val="both"/>
        <w:rPr>
          <w:rFonts w:ascii="宋体" w:hAnsi="宋体" w:eastAsia="宋体" w:cs="仿宋"/>
          <w:color w:val="auto"/>
          <w:sz w:val="24"/>
          <w:szCs w:val="24"/>
        </w:rPr>
      </w:pPr>
      <w:r>
        <w:rPr>
          <w:rFonts w:hint="eastAsia" w:ascii="宋体" w:hAnsi="宋体" w:eastAsia="宋体" w:cs="仿宋"/>
          <w:color w:val="auto"/>
          <w:sz w:val="24"/>
          <w:szCs w:val="24"/>
        </w:rPr>
        <w:t>本项目采用供应商须知前附表规定的采购方式和评审办法。</w:t>
      </w:r>
    </w:p>
    <w:p>
      <w:pPr>
        <w:pStyle w:val="24"/>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1.1.1采购方法</w:t>
      </w:r>
    </w:p>
    <w:p>
      <w:pPr>
        <w:pStyle w:val="24"/>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竞争性谈判采购，是指按照规定程序通过与符合资格要求的供应商谈判确定成交供应商的采购方式。</w:t>
      </w:r>
    </w:p>
    <w:p>
      <w:pPr>
        <w:pStyle w:val="24"/>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24"/>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1.2采购项目概况和供应商资格要求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采购项目概况和供应商资格要求见第一章“</w:t>
      </w:r>
      <w:r>
        <w:rPr>
          <w:rFonts w:hint="eastAsia" w:ascii="宋体" w:hAnsi="宋体" w:cs="仿宋"/>
          <w:color w:val="auto"/>
          <w:sz w:val="24"/>
          <w:lang w:val="en-US" w:eastAsia="zh-CN"/>
        </w:rPr>
        <w:t>询价</w:t>
      </w:r>
      <w:r>
        <w:rPr>
          <w:rFonts w:hint="eastAsia" w:ascii="宋体" w:hAnsi="宋体" w:cs="仿宋"/>
          <w:color w:val="auto"/>
          <w:sz w:val="24"/>
        </w:rPr>
        <w:t>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1.3 费用承担</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供应商准备和参加采购活动所发生的各种费用由供应商自行承担。</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1.4保密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1.5语言文字</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1.6计量单位</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所有计量均采用中华人民共和国法定计量单位。</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1.7踏勘现场(</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1.8采购预备会(</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1.9分包(</w:t>
      </w:r>
      <w:r>
        <w:rPr>
          <w:rFonts w:hint="eastAsia" w:ascii="宋体" w:hAnsi="宋体" w:cs="仿宋"/>
          <w:b/>
          <w:bCs/>
          <w:color w:val="auto"/>
          <w:sz w:val="24"/>
          <w:lang w:eastAsia="zh-CN"/>
        </w:rPr>
        <w:t>不允许</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1.10响应和偏差</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2采购文件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2.1采购文件的组成</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本采购文件包括:</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(1)采购公告:</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(2)供应商须知;</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(3)评审办法;</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(4)合同条款及格式;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(5)采购需求;</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(6)响应文件格式;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2.2采购文件的澄清和修改</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3响应文件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3.1响应文件的组成</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keepNext w:val="0"/>
        <w:keepLines w:val="0"/>
        <w:pageBreakBefore w:val="0"/>
        <w:widowControl/>
        <w:kinsoku/>
        <w:wordWrap/>
        <w:overflowPunct/>
        <w:topLinePunct w:val="0"/>
        <w:autoSpaceDE/>
        <w:autoSpaceDN/>
        <w:bidi w:val="0"/>
        <w:adjustRightInd w:val="0"/>
        <w:snapToGrid w:val="0"/>
        <w:spacing w:line="312" w:lineRule="auto"/>
        <w:ind w:leftChars="100" w:firstLine="360" w:firstLineChars="150"/>
        <w:jc w:val="both"/>
        <w:textAlignment w:val="auto"/>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)报价表;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3.1.2供应商的法定代表人(单位负责人)亲自签署响应文件、亲自参加采购的，响应文件不包括第3.1.1(2)目所指的授权委托书。第一章“</w:t>
      </w:r>
      <w:r>
        <w:rPr>
          <w:rFonts w:hint="eastAsia" w:ascii="宋体" w:hAnsi="宋体" w:cs="仿宋"/>
          <w:color w:val="auto"/>
          <w:sz w:val="24"/>
          <w:lang w:eastAsia="zh-CN"/>
        </w:rPr>
        <w:t>邀请</w:t>
      </w:r>
      <w:r>
        <w:rPr>
          <w:rFonts w:hint="eastAsia" w:ascii="宋体" w:hAnsi="宋体" w:cs="仿宋"/>
          <w:color w:val="auto"/>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3.2.4报价的其他要求见供应商须知前附表。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3.3响应文件有效期</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lang w:eastAsia="zh-CN"/>
        </w:rPr>
      </w:pPr>
      <w:r>
        <w:rPr>
          <w:rFonts w:hint="eastAsia" w:ascii="宋体" w:hAnsi="宋体" w:cs="仿宋"/>
          <w:b/>
          <w:bCs/>
          <w:color w:val="auto"/>
          <w:sz w:val="24"/>
        </w:rPr>
        <w:t>3.4响应保证金</w:t>
      </w:r>
      <w:r>
        <w:rPr>
          <w:rFonts w:hint="eastAsia" w:ascii="宋体" w:hAnsi="宋体" w:cs="仿宋"/>
          <w:b/>
          <w:bCs/>
          <w:color w:val="auto"/>
          <w:sz w:val="24"/>
          <w:lang w:eastAsia="zh-CN"/>
        </w:rPr>
        <w:t>（不递交）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rPr>
      </w:pPr>
      <w:r>
        <w:rPr>
          <w:rFonts w:hint="eastAsia" w:ascii="宋体" w:hAnsi="宋体" w:cs="仿宋"/>
          <w:b/>
          <w:bCs/>
          <w:color w:val="auto"/>
          <w:sz w:val="24"/>
        </w:rPr>
        <w:t>3.5资格审查资料</w:t>
      </w:r>
    </w:p>
    <w:p>
      <w:pPr>
        <w:adjustRightInd w:val="0"/>
        <w:snapToGrid w:val="0"/>
        <w:spacing w:line="312" w:lineRule="auto"/>
        <w:ind w:left="149" w:leftChars="71" w:firstLine="360" w:firstLineChars="150"/>
        <w:jc w:val="both"/>
        <w:rPr>
          <w:rFonts w:ascii="宋体" w:hAnsi="宋体" w:cs="仿宋"/>
          <w:color w:val="auto"/>
          <w:sz w:val="24"/>
        </w:rPr>
      </w:pPr>
      <w:r>
        <w:rPr>
          <w:rFonts w:hint="eastAsia" w:ascii="宋体" w:hAnsi="宋体" w:cs="仿宋"/>
          <w:color w:val="auto"/>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3.6响应方案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3.7响应文件的编制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ascii="宋体" w:hAnsi="宋体" w:cs="仿宋"/>
          <w:color w:val="auto"/>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rPr>
      </w:pPr>
      <w:r>
        <w:rPr>
          <w:rFonts w:ascii="宋体" w:hAnsi="宋体" w:cs="仿宋"/>
          <w:color w:val="auto"/>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4响应文件的递交</w:t>
      </w:r>
    </w:p>
    <w:p>
      <w:pPr>
        <w:adjustRightInd w:val="0"/>
        <w:snapToGrid w:val="0"/>
        <w:spacing w:line="312" w:lineRule="auto"/>
        <w:jc w:val="both"/>
        <w:rPr>
          <w:rFonts w:ascii="宋体" w:hAnsi="宋体" w:cs="仿宋"/>
          <w:b/>
          <w:bCs/>
          <w:color w:val="auto"/>
          <w:sz w:val="24"/>
        </w:rPr>
      </w:pPr>
      <w:r>
        <w:rPr>
          <w:rFonts w:ascii="宋体" w:hAnsi="宋体" w:cs="仿宋"/>
          <w:b/>
          <w:bCs/>
          <w:color w:val="auto"/>
          <w:sz w:val="24"/>
        </w:rPr>
        <w:t>4.1响应文件的包装与标记</w:t>
      </w:r>
    </w:p>
    <w:p>
      <w:pPr>
        <w:adjustRightInd w:val="0"/>
        <w:snapToGrid w:val="0"/>
        <w:spacing w:line="312" w:lineRule="auto"/>
        <w:jc w:val="both"/>
        <w:rPr>
          <w:rFonts w:ascii="宋体" w:hAnsi="宋体" w:cs="仿宋"/>
          <w:color w:val="auto"/>
          <w:sz w:val="24"/>
        </w:rPr>
      </w:pPr>
      <w:r>
        <w:rPr>
          <w:rFonts w:ascii="宋体" w:hAnsi="宋体" w:cs="仿宋"/>
          <w:color w:val="auto"/>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rPr>
      </w:pPr>
      <w:r>
        <w:rPr>
          <w:rFonts w:ascii="宋体" w:hAnsi="宋体" w:cs="仿宋"/>
          <w:color w:val="auto"/>
          <w:sz w:val="24"/>
        </w:rPr>
        <w:t>4.1.2响应文件封套上应载明的内容见供应商须知前附表。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4.2响应文件的递交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4.3响应文件的修改与撤回</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4.3.2</w:t>
      </w:r>
      <w:r>
        <w:rPr>
          <w:rFonts w:ascii="宋体" w:hAnsi="宋体" w:cs="仿宋"/>
          <w:color w:val="auto"/>
          <w:sz w:val="24"/>
        </w:rPr>
        <w:t>响应文件的修改文件或供应商</w:t>
      </w:r>
      <w:r>
        <w:rPr>
          <w:rFonts w:hint="eastAsia" w:ascii="宋体" w:hAnsi="宋体" w:cs="仿宋"/>
          <w:color w:val="auto"/>
          <w:sz w:val="24"/>
        </w:rPr>
        <w:t>撤</w:t>
      </w:r>
      <w:r>
        <w:rPr>
          <w:rFonts w:ascii="宋体" w:hAnsi="宋体" w:cs="仿宋"/>
          <w:color w:val="auto"/>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color w:val="auto"/>
          <w:sz w:val="24"/>
        </w:rPr>
        <w:t>采购人一般不公开开启响应文件。如</w:t>
      </w:r>
      <w:r>
        <w:rPr>
          <w:rFonts w:hint="eastAsia" w:ascii="宋体" w:hAnsi="宋体" w:cs="仿宋"/>
          <w:color w:val="auto"/>
          <w:sz w:val="24"/>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主持人按下列程序公开开启响应文件: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(2)开启会议结束。</w:t>
      </w:r>
      <w:r>
        <w:rPr>
          <w:rFonts w:hint="eastAsia" w:ascii="宋体" w:hAnsi="宋体" w:cs="仿宋"/>
          <w:color w:val="auto"/>
          <w:sz w:val="24"/>
        </w:rPr>
        <w:br w:type="textWrapping"/>
      </w:r>
      <w:r>
        <w:rPr>
          <w:rFonts w:hint="eastAsia" w:ascii="宋体" w:hAnsi="宋体" w:cs="仿宋"/>
          <w:b/>
          <w:bCs/>
          <w:color w:val="auto"/>
          <w:sz w:val="24"/>
        </w:rPr>
        <w:t>5.3递交响应文件的供应商不足的情形</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递交响应文件的供应商数量不足</w:t>
      </w:r>
      <w:r>
        <w:rPr>
          <w:rFonts w:hint="eastAsia" w:ascii="宋体" w:hAnsi="宋体" w:cs="仿宋"/>
          <w:color w:val="auto"/>
          <w:sz w:val="24"/>
          <w:lang w:eastAsia="zh-CN"/>
        </w:rPr>
        <w:t>两</w:t>
      </w:r>
      <w:r>
        <w:rPr>
          <w:rFonts w:hint="eastAsia" w:ascii="宋体" w:hAnsi="宋体" w:cs="仿宋"/>
          <w:color w:val="auto"/>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6.1评审小组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6.1.1评审由采购人组建的评审小组负责。</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color w:val="auto"/>
          <w:sz w:val="24"/>
        </w:rPr>
      </w:pPr>
      <w:r>
        <w:rPr>
          <w:rFonts w:hint="eastAsia" w:ascii="宋体" w:hAnsi="宋体" w:cs="仿宋"/>
          <w:color w:val="auto"/>
          <w:sz w:val="24"/>
        </w:rPr>
        <w:t>（1）供应商主要负责人或供应商主要负责人的近亲属;</w:t>
      </w:r>
      <w:r>
        <w:rPr>
          <w:rFonts w:hint="eastAsia" w:ascii="宋体" w:hAnsi="宋体" w:cs="仿宋"/>
          <w:color w:val="auto"/>
          <w:sz w:val="24"/>
        </w:rPr>
        <w:br w:type="textWrapping"/>
      </w:r>
      <w:r>
        <w:rPr>
          <w:rFonts w:hint="eastAsia" w:ascii="宋体" w:hAnsi="宋体" w:cs="仿宋"/>
          <w:color w:val="auto"/>
          <w:sz w:val="24"/>
        </w:rPr>
        <w:t>(2)与供应商有经济利益关系或其他利害关系，可能影响公正评审的。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color w:val="auto"/>
          <w:sz w:val="24"/>
        </w:rPr>
      </w:pPr>
      <w:r>
        <w:rPr>
          <w:rFonts w:hint="eastAsia" w:ascii="宋体" w:hAnsi="宋体" w:cs="仿宋"/>
          <w:color w:val="auto"/>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6.2评审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color w:val="auto"/>
          <w:sz w:val="24"/>
          <w:lang w:val="en-US" w:eastAsia="zh-CN"/>
        </w:rPr>
      </w:pPr>
      <w:r>
        <w:rPr>
          <w:rFonts w:hint="eastAsia" w:ascii="宋体" w:hAnsi="宋体" w:cs="仿宋"/>
          <w:color w:val="auto"/>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color w:val="auto"/>
          <w:sz w:val="24"/>
          <w:lang w:val="en-US" w:eastAsia="zh-CN"/>
        </w:rPr>
        <w:t xml:space="preserve">  </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7合同授予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7.1成交候选供应商报价核查</w:t>
      </w:r>
    </w:p>
    <w:p>
      <w:pPr>
        <w:widowControl w:val="0"/>
        <w:adjustRightInd w:val="0"/>
        <w:snapToGrid w:val="0"/>
        <w:spacing w:line="312" w:lineRule="auto"/>
        <w:ind w:firstLine="475" w:firstLineChars="198"/>
        <w:jc w:val="both"/>
        <w:rPr>
          <w:rFonts w:ascii="宋体" w:hAnsi="宋体" w:cs="仿宋"/>
          <w:color w:val="auto"/>
          <w:sz w:val="24"/>
        </w:rPr>
      </w:pPr>
      <w:r>
        <w:rPr>
          <w:rFonts w:hint="eastAsia" w:ascii="宋体" w:hAnsi="宋体" w:cs="仿宋"/>
          <w:color w:val="auto"/>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rPr>
      </w:pPr>
      <w:r>
        <w:rPr>
          <w:rFonts w:hint="eastAsia" w:ascii="宋体" w:hAnsi="宋体" w:cs="仿宋"/>
          <w:b/>
          <w:bCs/>
          <w:color w:val="auto"/>
          <w:sz w:val="24"/>
        </w:rPr>
        <w:t>7.2</w:t>
      </w:r>
      <w:r>
        <w:rPr>
          <w:rFonts w:hint="eastAsia" w:ascii="宋体" w:hAnsi="宋体" w:cs="宋体"/>
          <w:b/>
          <w:bCs/>
          <w:color w:val="auto"/>
          <w:sz w:val="24"/>
        </w:rPr>
        <w:t>成交候选</w:t>
      </w:r>
      <w:r>
        <w:rPr>
          <w:rFonts w:hint="eastAsia" w:ascii="宋体" w:hAnsi="宋体" w:cs="仿宋"/>
          <w:b/>
          <w:bCs/>
          <w:color w:val="auto"/>
          <w:sz w:val="24"/>
        </w:rPr>
        <w:t>供应商</w:t>
      </w:r>
      <w:r>
        <w:rPr>
          <w:rFonts w:hint="eastAsia" w:ascii="宋体" w:hAnsi="宋体" w:cs="宋体"/>
          <w:b/>
          <w:bCs/>
          <w:color w:val="auto"/>
          <w:sz w:val="24"/>
        </w:rPr>
        <w:t>公示</w:t>
      </w:r>
      <w:r>
        <w:rPr>
          <w:rFonts w:hint="eastAsia" w:ascii="宋体" w:hAnsi="宋体" w:cs="宋体"/>
          <w:b/>
          <w:bCs/>
          <w:color w:val="auto"/>
          <w:sz w:val="24"/>
          <w:lang w:eastAsia="zh-CN"/>
        </w:rPr>
        <w:t>（本项目不进行公示）</w:t>
      </w:r>
      <w:r>
        <w:rPr>
          <w:rFonts w:hint="eastAsia" w:ascii="宋体" w:hAnsi="宋体" w:cs="宋体"/>
          <w:b/>
          <w:bCs/>
          <w:color w:val="auto"/>
          <w:sz w:val="24"/>
        </w:rPr>
        <w:t xml:space="preserve"> </w:t>
      </w:r>
    </w:p>
    <w:p>
      <w:pPr>
        <w:widowControl w:val="0"/>
        <w:adjustRightInd w:val="0"/>
        <w:snapToGrid w:val="0"/>
        <w:spacing w:line="312" w:lineRule="auto"/>
        <w:ind w:firstLine="480" w:firstLineChars="200"/>
        <w:jc w:val="both"/>
        <w:rPr>
          <w:rFonts w:ascii="宋体" w:hAnsi="宋体" w:cs="宋体"/>
          <w:color w:val="auto"/>
          <w:sz w:val="24"/>
        </w:rPr>
      </w:pPr>
      <w:r>
        <w:rPr>
          <w:rFonts w:hint="eastAsia" w:ascii="宋体" w:hAnsi="宋体" w:cs="宋体"/>
          <w:color w:val="auto"/>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rPr>
      </w:pPr>
      <w:bookmarkStart w:id="15" w:name="_Toc24135"/>
      <w:r>
        <w:rPr>
          <w:rFonts w:hint="eastAsia" w:ascii="宋体" w:hAnsi="宋体" w:cs="宋体"/>
          <w:b/>
          <w:bCs/>
          <w:color w:val="auto"/>
          <w:sz w:val="24"/>
        </w:rPr>
        <w:t>7.3成交结果异议</w:t>
      </w:r>
      <w:bookmarkEnd w:id="15"/>
      <w:r>
        <w:rPr>
          <w:rFonts w:hint="eastAsia" w:ascii="宋体" w:hAnsi="宋体" w:cs="宋体"/>
          <w:b/>
          <w:bCs/>
          <w:color w:val="auto"/>
          <w:sz w:val="24"/>
        </w:rPr>
        <w:t xml:space="preserve"> </w:t>
      </w:r>
    </w:p>
    <w:p>
      <w:pPr>
        <w:adjustRightInd w:val="0"/>
        <w:snapToGrid w:val="0"/>
        <w:spacing w:line="312" w:lineRule="auto"/>
        <w:ind w:firstLine="424" w:firstLineChars="177"/>
        <w:jc w:val="both"/>
        <w:rPr>
          <w:rFonts w:ascii="宋体" w:hAnsi="宋体" w:cs="宋体"/>
          <w:color w:val="auto"/>
          <w:sz w:val="24"/>
        </w:rPr>
      </w:pPr>
      <w:r>
        <w:rPr>
          <w:rFonts w:hint="eastAsia" w:ascii="宋体" w:hAnsi="宋体" w:cs="宋体"/>
          <w:color w:val="auto"/>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7.4成交候选供应商履约能力核查</w:t>
      </w:r>
    </w:p>
    <w:p>
      <w:pPr>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7.5发出成交通知书</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7.6履约保证金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rPr>
        <w:t>10</w:t>
      </w:r>
      <w:r>
        <w:rPr>
          <w:rFonts w:hint="eastAsia" w:ascii="宋体" w:hAnsi="宋体" w:cs="仿宋"/>
          <w:color w:val="auto"/>
          <w:sz w:val="24"/>
        </w:rPr>
        <w:t>%。</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7.7签订合同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8异议</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8.1提出异议</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8.2异议处理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9纪律要求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9.1对采购人的纪律要求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9.2对供应商的纪律要求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9.3对评审小组成员的纪律要求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w:t>
      </w:r>
      <w:r>
        <w:rPr>
          <w:rFonts w:ascii="宋体" w:hAnsi="宋体" w:cs="仿宋"/>
          <w:b/>
          <w:bCs/>
          <w:color w:val="auto"/>
          <w:sz w:val="24"/>
        </w:rPr>
        <w:t xml:space="preserve"> </w:t>
      </w:r>
      <w:r>
        <w:rPr>
          <w:rFonts w:hint="eastAsia" w:ascii="宋体" w:hAnsi="宋体" w:cs="仿宋"/>
          <w:b/>
          <w:bCs/>
          <w:color w:val="auto"/>
          <w:sz w:val="24"/>
        </w:rPr>
        <w:t>需要补充的其他内容</w:t>
      </w:r>
    </w:p>
    <w:p>
      <w:pPr>
        <w:adjustRightInd w:val="0"/>
        <w:snapToGrid w:val="0"/>
        <w:spacing w:line="312" w:lineRule="auto"/>
        <w:jc w:val="both"/>
        <w:rPr>
          <w:rFonts w:ascii="宋体" w:hAnsi="宋体" w:cs="仿宋"/>
          <w:color w:val="auto"/>
          <w:sz w:val="24"/>
        </w:rPr>
      </w:pPr>
      <w:r>
        <w:rPr>
          <w:rFonts w:hint="eastAsia" w:ascii="宋体" w:hAnsi="宋体" w:cs="仿宋"/>
          <w:b/>
          <w:bCs/>
          <w:color w:val="auto"/>
          <w:sz w:val="24"/>
        </w:rPr>
        <w:t>10.1</w:t>
      </w:r>
      <w:r>
        <w:rPr>
          <w:rFonts w:hint="eastAsia" w:ascii="宋体" w:hAnsi="宋体" w:cs="仿宋"/>
          <w:color w:val="auto"/>
          <w:sz w:val="24"/>
        </w:rPr>
        <w:t>需更补充的其他内容:见供应商须知前附表。</w:t>
      </w:r>
    </w:p>
    <w:p>
      <w:pPr>
        <w:rPr>
          <w:color w:val="auto"/>
          <w:lang w:val="zh-CN"/>
        </w:rPr>
      </w:pPr>
      <w:r>
        <w:rPr>
          <w:color w:val="auto"/>
          <w:lang w:val="zh-CN"/>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color w:val="auto"/>
          <w:sz w:val="36"/>
          <w:szCs w:val="36"/>
        </w:rPr>
      </w:pPr>
    </w:p>
    <w:p>
      <w:pPr>
        <w:adjustRightInd w:val="0"/>
        <w:snapToGrid w:val="0"/>
        <w:spacing w:line="600" w:lineRule="exact"/>
        <w:ind w:firstLine="721"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开启记录表</w:t>
      </w:r>
    </w:p>
    <w:p>
      <w:pPr>
        <w:adjustRightInd w:val="0"/>
        <w:snapToGrid w:val="0"/>
        <w:spacing w:line="600" w:lineRule="exact"/>
        <w:ind w:firstLine="721" w:firstLineChars="200"/>
        <w:jc w:val="center"/>
        <w:rPr>
          <w:rFonts w:ascii="华文中宋" w:hAnsi="华文中宋" w:eastAsia="华文中宋" w:cs="仿宋"/>
          <w:b/>
          <w:bCs/>
          <w:color w:val="auto"/>
          <w:sz w:val="36"/>
          <w:szCs w:val="36"/>
        </w:rPr>
      </w:pPr>
    </w:p>
    <w:p>
      <w:pPr>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开启时间：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日</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时</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分</w:t>
      </w:r>
    </w:p>
    <w:tbl>
      <w:tblPr>
        <w:tblStyle w:val="16"/>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bl>
    <w:p>
      <w:pPr>
        <w:spacing w:line="240" w:lineRule="auto"/>
        <w:jc w:val="both"/>
        <w:rPr>
          <w:rFonts w:cs="仿宋" w:asciiTheme="minorEastAsia" w:hAnsiTheme="minorEastAsia" w:eastAsiaTheme="minorEastAsia"/>
          <w:color w:val="auto"/>
          <w:sz w:val="24"/>
        </w:rPr>
      </w:pPr>
    </w:p>
    <w:p>
      <w:pPr>
        <w:spacing w:line="240" w:lineRule="auto"/>
        <w:ind w:firstLine="1200" w:firstLineChars="500"/>
        <w:jc w:val="both"/>
        <w:rPr>
          <w:rFonts w:cs="仿宋" w:asciiTheme="minorEastAsia" w:hAnsiTheme="minorEastAsia" w:eastAsiaTheme="minorEastAsia"/>
          <w:color w:val="auto"/>
          <w:sz w:val="24"/>
          <w:u w:val="single"/>
        </w:rPr>
      </w:pPr>
      <w:r>
        <w:rPr>
          <w:rFonts w:hint="eastAsia" w:cs="仿宋" w:asciiTheme="minorEastAsia" w:hAnsiTheme="minorEastAsia" w:eastAsiaTheme="minorEastAsia"/>
          <w:color w:val="auto"/>
          <w:sz w:val="24"/>
        </w:rPr>
        <w:t>采购人代表：</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 xml:space="preserve">      记录人：</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监督人：</w:t>
      </w:r>
      <w:r>
        <w:rPr>
          <w:rFonts w:hint="eastAsia" w:cs="仿宋" w:asciiTheme="minorEastAsia" w:hAnsiTheme="minorEastAsia" w:eastAsiaTheme="minorEastAsia"/>
          <w:color w:val="auto"/>
          <w:sz w:val="24"/>
          <w:u w:val="single"/>
        </w:rPr>
        <w:t xml:space="preserve">        </w:t>
      </w:r>
    </w:p>
    <w:p>
      <w:pPr>
        <w:spacing w:line="240" w:lineRule="auto"/>
        <w:jc w:val="both"/>
        <w:rPr>
          <w:rFonts w:cs="仿宋" w:asciiTheme="minorEastAsia" w:hAnsiTheme="minorEastAsia" w:eastAsiaTheme="minorEastAsia"/>
          <w:color w:val="auto"/>
          <w:sz w:val="24"/>
        </w:rPr>
      </w:pPr>
    </w:p>
    <w:p>
      <w:pPr>
        <w:spacing w:line="240" w:lineRule="auto"/>
        <w:jc w:val="both"/>
        <w:rPr>
          <w:rFonts w:ascii="仿宋" w:hAnsi="仿宋" w:eastAsia="仿宋" w:cs="仿宋"/>
          <w:color w:val="auto"/>
          <w:sz w:val="30"/>
          <w:szCs w:val="30"/>
        </w:rPr>
      </w:pPr>
    </w:p>
    <w:p>
      <w:pPr>
        <w:spacing w:line="240" w:lineRule="auto"/>
        <w:jc w:val="both"/>
        <w:rPr>
          <w:rFonts w:ascii="仿宋" w:hAnsi="仿宋" w:eastAsia="仿宋" w:cs="仿宋"/>
          <w:color w:val="auto"/>
          <w:sz w:val="30"/>
          <w:szCs w:val="30"/>
        </w:rPr>
      </w:pPr>
      <w:r>
        <w:rPr>
          <w:rFonts w:ascii="仿宋" w:hAnsi="仿宋" w:eastAsia="仿宋" w:cs="仿宋"/>
          <w:color w:val="auto"/>
          <w:sz w:val="30"/>
          <w:szCs w:val="30"/>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2</w:t>
      </w:r>
      <w:r>
        <w:rPr>
          <w:rFonts w:hint="eastAsia" w:ascii="宋体" w:hAnsi="宋体" w:cs="仿宋"/>
          <w:color w:val="auto"/>
          <w:sz w:val="30"/>
          <w:szCs w:val="30"/>
        </w:rPr>
        <w:t xml:space="preserve">  问题的澄清</w:t>
      </w:r>
    </w:p>
    <w:p>
      <w:pPr>
        <w:adjustRightInd w:val="0"/>
        <w:snapToGrid w:val="0"/>
        <w:spacing w:line="600" w:lineRule="exact"/>
        <w:jc w:val="center"/>
        <w:rPr>
          <w:rFonts w:ascii="华文中宋" w:hAnsi="华文中宋" w:eastAsia="华文中宋" w:cs="仿宋"/>
          <w:b/>
          <w:bCs/>
          <w:color w:val="auto"/>
          <w:sz w:val="36"/>
          <w:szCs w:val="36"/>
        </w:rPr>
      </w:pPr>
    </w:p>
    <w:p>
      <w:pPr>
        <w:adjustRightInd w:val="0"/>
        <w:snapToGrid w:val="0"/>
        <w:spacing w:line="600" w:lineRule="exact"/>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问题的澄清</w:t>
      </w:r>
    </w:p>
    <w:p>
      <w:pPr>
        <w:adjustRightInd w:val="0"/>
        <w:snapToGrid w:val="0"/>
        <w:spacing w:line="600" w:lineRule="exact"/>
        <w:ind w:firstLine="480" w:firstLineChars="200"/>
        <w:jc w:val="center"/>
        <w:rPr>
          <w:rFonts w:ascii="宋体" w:hAnsi="宋体" w:cs="仿宋"/>
          <w:color w:val="auto"/>
          <w:sz w:val="24"/>
        </w:rPr>
      </w:pPr>
      <w:r>
        <w:rPr>
          <w:rFonts w:hint="eastAsia" w:ascii="宋体" w:hAnsi="宋体" w:cs="仿宋"/>
          <w:color w:val="auto"/>
          <w:sz w:val="24"/>
        </w:rPr>
        <w:t>(编号:</w:t>
      </w:r>
      <w:r>
        <w:rPr>
          <w:rFonts w:hint="eastAsia" w:ascii="宋体" w:hAnsi="宋体" w:cs="仿宋"/>
          <w:color w:val="auto"/>
          <w:sz w:val="24"/>
          <w:u w:val="single"/>
        </w:rPr>
        <w:t xml:space="preserve">                 </w:t>
      </w:r>
      <w:r>
        <w:rPr>
          <w:rFonts w:hint="eastAsia" w:ascii="宋体" w:hAnsi="宋体" w:cs="仿宋"/>
          <w:color w:val="auto"/>
          <w:sz w:val="24"/>
        </w:rPr>
        <w:t>)</w:t>
      </w: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评审小组:</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问题澄清通知(编号:</w:t>
      </w:r>
      <w:r>
        <w:rPr>
          <w:rFonts w:hint="eastAsia" w:ascii="宋体" w:hAnsi="宋体" w:cs="仿宋"/>
          <w:color w:val="auto"/>
          <w:sz w:val="24"/>
          <w:u w:val="single"/>
        </w:rPr>
        <w:t xml:space="preserve">                </w:t>
      </w:r>
      <w:r>
        <w:rPr>
          <w:rFonts w:hint="eastAsia" w:ascii="宋体" w:hAnsi="宋体" w:cs="仿宋"/>
          <w:color w:val="auto"/>
          <w:sz w:val="24"/>
        </w:rPr>
        <w:t>)已收悉，现澄清、说明和补正如下：</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1.</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2.</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adjustRightInd w:val="0"/>
        <w:snapToGrid w:val="0"/>
        <w:spacing w:line="600" w:lineRule="exact"/>
        <w:jc w:val="right"/>
        <w:rPr>
          <w:rFonts w:ascii="宋体" w:hAnsi="宋体" w:cs="仿宋"/>
          <w:color w:val="auto"/>
          <w:sz w:val="24"/>
          <w:u w:val="single"/>
        </w:rPr>
      </w:pPr>
      <w:r>
        <w:rPr>
          <w:rFonts w:hint="eastAsia" w:ascii="宋体" w:hAnsi="宋体" w:cs="仿宋"/>
          <w:color w:val="auto"/>
          <w:sz w:val="24"/>
        </w:rPr>
        <w:t>法定代表人(单位负责人)或其授权的代理人:</w:t>
      </w:r>
      <w:r>
        <w:rPr>
          <w:rFonts w:ascii="宋体" w:hAnsi="宋体" w:cs="仿宋"/>
          <w:color w:val="auto"/>
          <w:sz w:val="24"/>
          <w:u w:val="single"/>
        </w:rPr>
        <w:t xml:space="preserve">  </w:t>
      </w:r>
      <w:r>
        <w:rPr>
          <w:rFonts w:hint="eastAsia" w:ascii="宋体" w:hAnsi="宋体" w:cs="仿宋"/>
          <w:color w:val="auto"/>
          <w:sz w:val="24"/>
          <w:u w:val="single"/>
        </w:rPr>
        <w:t>(签字)</w:t>
      </w:r>
      <w:r>
        <w:rPr>
          <w:rFonts w:ascii="宋体" w:hAnsi="宋体" w:cs="仿宋"/>
          <w:color w:val="auto"/>
          <w:sz w:val="24"/>
          <w:u w:val="single"/>
        </w:rPr>
        <w:t xml:space="preserve">  </w:t>
      </w:r>
    </w:p>
    <w:p>
      <w:pPr>
        <w:spacing w:line="600" w:lineRule="exact"/>
        <w:jc w:val="right"/>
        <w:rPr>
          <w:rFonts w:ascii="宋体" w:hAnsi="宋体" w:cs="仿宋"/>
          <w:color w:val="auto"/>
          <w:sz w:val="24"/>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日</w:t>
      </w:r>
      <w:r>
        <w:rPr>
          <w:rFonts w:hint="eastAsia" w:ascii="宋体" w:hAnsi="宋体" w:cs="仿宋"/>
          <w:color w:val="auto"/>
          <w:sz w:val="24"/>
        </w:rPr>
        <w:br w:type="page"/>
      </w:r>
    </w:p>
    <w:p>
      <w:pPr>
        <w:adjustRightInd w:val="0"/>
        <w:snapToGrid w:val="0"/>
        <w:spacing w:line="600" w:lineRule="exact"/>
        <w:jc w:val="right"/>
        <w:rPr>
          <w:rFonts w:ascii="仿宋" w:hAnsi="仿宋" w:eastAsia="仿宋" w:cs="仿宋"/>
          <w:color w:val="auto"/>
          <w:sz w:val="30"/>
          <w:szCs w:val="30"/>
        </w:rPr>
      </w:pP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3</w:t>
      </w:r>
      <w:r>
        <w:rPr>
          <w:rFonts w:hint="eastAsia" w:ascii="宋体" w:hAnsi="宋体" w:cs="仿宋"/>
          <w:color w:val="auto"/>
          <w:sz w:val="30"/>
          <w:szCs w:val="30"/>
        </w:rPr>
        <w:t xml:space="preserve">  确认通知</w:t>
      </w:r>
    </w:p>
    <w:p>
      <w:pPr>
        <w:adjustRightInd w:val="0"/>
        <w:snapToGrid w:val="0"/>
        <w:spacing w:line="600" w:lineRule="exact"/>
        <w:ind w:firstLine="721" w:firstLineChars="200"/>
        <w:jc w:val="both"/>
        <w:rPr>
          <w:rFonts w:ascii="华文中宋" w:hAnsi="华文中宋" w:eastAsia="华文中宋" w:cs="仿宋"/>
          <w:b/>
          <w:bCs/>
          <w:color w:val="auto"/>
          <w:sz w:val="36"/>
          <w:szCs w:val="36"/>
        </w:rPr>
      </w:pPr>
    </w:p>
    <w:p>
      <w:pPr>
        <w:adjustRightInd w:val="0"/>
        <w:snapToGrid w:val="0"/>
        <w:spacing w:line="600" w:lineRule="exact"/>
        <w:ind w:firstLine="721"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确认通知</w:t>
      </w:r>
    </w:p>
    <w:p>
      <w:pPr>
        <w:adjustRightInd w:val="0"/>
        <w:snapToGrid w:val="0"/>
        <w:spacing w:line="600" w:lineRule="exact"/>
        <w:ind w:firstLine="721" w:firstLineChars="200"/>
        <w:jc w:val="both"/>
        <w:rPr>
          <w:rFonts w:ascii="华文中宋" w:hAnsi="华文中宋" w:eastAsia="华文中宋" w:cs="仿宋"/>
          <w:b/>
          <w:bCs/>
          <w:color w:val="auto"/>
          <w:sz w:val="36"/>
          <w:szCs w:val="36"/>
        </w:rPr>
      </w:pPr>
    </w:p>
    <w:p>
      <w:pPr>
        <w:adjustRightInd w:val="0"/>
        <w:snapToGrid w:val="0"/>
        <w:spacing w:line="600" w:lineRule="exact"/>
        <w:ind w:firstLine="480" w:firstLineChars="200"/>
        <w:jc w:val="both"/>
        <w:rPr>
          <w:rFonts w:ascii="宋体" w:hAnsi="宋体" w:cs="仿宋"/>
          <w:b/>
          <w:bCs/>
          <w:color w:val="auto"/>
          <w:sz w:val="24"/>
        </w:rPr>
      </w:pPr>
      <w:r>
        <w:rPr>
          <w:rFonts w:hint="eastAsia" w:ascii="宋体" w:hAnsi="宋体" w:cs="仿宋"/>
          <w:color w:val="auto"/>
          <w:sz w:val="24"/>
          <w:u w:val="single"/>
        </w:rPr>
        <w:t xml:space="preserve">           （采购人或采购代理机构名称)</w:t>
      </w:r>
      <w:r>
        <w:rPr>
          <w:rFonts w:hint="eastAsia" w:ascii="宋体" w:hAnsi="宋体" w:cs="仿宋"/>
          <w:color w:val="auto"/>
          <w:sz w:val="24"/>
        </w:rPr>
        <w:t>:</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你方于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日发出的的</w:t>
      </w:r>
      <w:r>
        <w:rPr>
          <w:rFonts w:hint="eastAsia" w:ascii="宋体" w:hAnsi="宋体" w:cs="仿宋"/>
          <w:color w:val="auto"/>
          <w:sz w:val="24"/>
          <w:u w:val="single"/>
        </w:rPr>
        <w:t>(项目名称)</w:t>
      </w:r>
      <w:r>
        <w:rPr>
          <w:rFonts w:hint="eastAsia" w:ascii="宋体" w:hAnsi="宋体" w:cs="仿宋"/>
          <w:color w:val="auto"/>
          <w:sz w:val="24"/>
        </w:rPr>
        <w:t>采购文件的澄清/修改的通知，我方已于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日收到。</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特此确认。</w:t>
      </w: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pStyle w:val="22"/>
        <w:spacing w:line="600" w:lineRule="exact"/>
        <w:jc w:val="right"/>
        <w:rPr>
          <w:rFonts w:cs="仿宋"/>
          <w:b/>
          <w:color w:val="auto"/>
        </w:rPr>
      </w:pP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年</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月</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日</w:t>
      </w:r>
    </w:p>
    <w:p>
      <w:pPr>
        <w:rPr>
          <w:color w:val="auto"/>
          <w:lang w:val="zh-CN"/>
        </w:rPr>
      </w:pPr>
      <w:r>
        <w:rPr>
          <w:color w:val="auto"/>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16" w:name="_Toc15960"/>
      <w:bookmarkStart w:id="17" w:name="_Toc8604"/>
      <w:r>
        <w:rPr>
          <w:rFonts w:hint="eastAsia" w:ascii="黑体" w:hAnsi="黑体" w:eastAsia="黑体" w:cs="仿宋"/>
          <w:b/>
          <w:color w:val="auto"/>
          <w:sz w:val="36"/>
          <w:szCs w:val="36"/>
          <w:lang w:val="en-US" w:eastAsia="zh-CN"/>
        </w:rPr>
        <w:t>第三章 评审办法</w:t>
      </w:r>
      <w:bookmarkEnd w:id="16"/>
      <w:bookmarkEnd w:id="17"/>
    </w:p>
    <w:p>
      <w:pPr>
        <w:adjustRightInd w:val="0"/>
        <w:snapToGrid w:val="0"/>
        <w:spacing w:before="120" w:beforeLines="50" w:after="120" w:afterLines="50" w:line="312" w:lineRule="auto"/>
        <w:jc w:val="center"/>
        <w:rPr>
          <w:rFonts w:ascii="黑体" w:hAnsi="黑体" w:eastAsia="黑体" w:cs="仿宋"/>
          <w:bCs/>
          <w:color w:val="auto"/>
          <w:sz w:val="32"/>
          <w:szCs w:val="32"/>
        </w:rPr>
      </w:pPr>
      <w:r>
        <w:rPr>
          <w:rFonts w:hint="eastAsia" w:ascii="黑体" w:hAnsi="黑体" w:eastAsia="黑体" w:cs="仿宋"/>
          <w:bCs/>
          <w:color w:val="auto"/>
          <w:sz w:val="32"/>
          <w:szCs w:val="32"/>
        </w:rPr>
        <w:t>评审办法前附表</w:t>
      </w:r>
    </w:p>
    <w:tbl>
      <w:tblPr>
        <w:tblStyle w:val="16"/>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18"/>
        <w:gridCol w:w="1754"/>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2250" w:type="dxa"/>
            <w:gridSpan w:val="2"/>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条款号及名称</w:t>
            </w:r>
          </w:p>
        </w:tc>
        <w:tc>
          <w:tcPr>
            <w:tcW w:w="1754"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评审因素</w:t>
            </w:r>
          </w:p>
        </w:tc>
        <w:tc>
          <w:tcPr>
            <w:tcW w:w="4715"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2.1.1</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形式评审标准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供应商名称</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响应文件签字盖章</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联合体协议书</w:t>
            </w:r>
          </w:p>
        </w:tc>
        <w:tc>
          <w:tcPr>
            <w:tcW w:w="4715" w:type="dxa"/>
            <w:vAlign w:val="center"/>
          </w:tcPr>
          <w:p>
            <w:pPr>
              <w:widowControl/>
              <w:adjustRightInd w:val="0"/>
              <w:snapToGrid w:val="0"/>
              <w:spacing w:line="240" w:lineRule="auto"/>
              <w:jc w:val="both"/>
              <w:rPr>
                <w:rFonts w:hint="eastAsia" w:cs="仿宋" w:asciiTheme="minorEastAsia" w:hAnsiTheme="minorEastAsia" w:eastAsiaTheme="minorEastAsia"/>
                <w:color w:val="auto"/>
                <w:szCs w:val="21"/>
                <w:lang w:eastAsia="zh-CN"/>
              </w:rPr>
            </w:pPr>
            <w:r>
              <w:rPr>
                <w:rFonts w:hint="eastAsia" w:cs="仿宋" w:asciiTheme="minorEastAsia" w:hAnsiTheme="minorEastAsia" w:eastAsiaTheme="minorEastAsia"/>
                <w:color w:val="auto"/>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2.1.2</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资格评审标准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依法设立</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资质要求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财务要求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业绩要求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信誉要求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人员要求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其他要求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不存在第一章第3.2款情形</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联合体供应商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2.1.3</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响应性评审标准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报价</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响应文件有效期</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响应保证金</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响应方案</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质量标准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完成期限</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合同条款</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对非关键条款的偏差</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2.2.2</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评审价格</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19" w:type="dxa"/>
            <w:gridSpan w:val="4"/>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 详细评审标准和程序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条款内容</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w:t>
            </w:r>
          </w:p>
        </w:tc>
        <w:tc>
          <w:tcPr>
            <w:tcW w:w="1754" w:type="dxa"/>
            <w:vAlign w:val="center"/>
          </w:tcPr>
          <w:p>
            <w:pPr>
              <w:widowControl w:val="0"/>
              <w:spacing w:line="240" w:lineRule="auto"/>
              <w:jc w:val="both"/>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w:t>
            </w:r>
          </w:p>
        </w:tc>
        <w:tc>
          <w:tcPr>
            <w:tcW w:w="4715" w:type="dxa"/>
            <w:vAlign w:val="center"/>
          </w:tcPr>
          <w:p>
            <w:pPr>
              <w:pStyle w:val="2"/>
              <w:widowControl w:val="0"/>
              <w:numPr>
                <w:ilvl w:val="0"/>
                <w:numId w:val="0"/>
              </w:numPr>
              <w:ind w:leftChars="0"/>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kern w:val="2"/>
                <w:sz w:val="21"/>
                <w:szCs w:val="21"/>
                <w:lang w:val="en-US" w:eastAsia="zh-CN" w:bidi="ar-SA"/>
              </w:rPr>
              <w:t>根据2.2.2条规定，本项目最高限价为6%增值税含税价，报价人可提供其他税率的报价，但评审时统一按6%含税价调整后由低到高排序，推荐成交候选供应商。</w:t>
            </w:r>
          </w:p>
        </w:tc>
      </w:tr>
    </w:tbl>
    <w:p>
      <w:pPr>
        <w:rPr>
          <w:color w:val="auto"/>
          <w:lang w:val="zh-CN"/>
        </w:rPr>
      </w:pPr>
      <w:r>
        <w:rPr>
          <w:color w:val="auto"/>
          <w:lang w:val="zh-CN"/>
        </w:rPr>
        <w:br w:type="page"/>
      </w:r>
    </w:p>
    <w:p>
      <w:pPr>
        <w:adjustRightInd w:val="0"/>
        <w:snapToGrid w:val="0"/>
        <w:spacing w:line="312" w:lineRule="auto"/>
        <w:jc w:val="center"/>
        <w:rPr>
          <w:rFonts w:ascii="宋体" w:hAnsi="宋体" w:cs="仿宋"/>
          <w:b/>
          <w:bCs/>
          <w:color w:val="auto"/>
          <w:sz w:val="36"/>
          <w:szCs w:val="36"/>
        </w:rPr>
      </w:pPr>
      <w:r>
        <w:rPr>
          <w:rFonts w:hint="eastAsia" w:ascii="宋体" w:hAnsi="宋体" w:cs="仿宋"/>
          <w:b/>
          <w:bCs/>
          <w:color w:val="auto"/>
          <w:sz w:val="36"/>
          <w:szCs w:val="36"/>
        </w:rPr>
        <w:t>评审办法正文</w:t>
      </w:r>
    </w:p>
    <w:p>
      <w:pPr>
        <w:adjustRightInd w:val="0"/>
        <w:snapToGrid w:val="0"/>
        <w:spacing w:line="312" w:lineRule="auto"/>
        <w:jc w:val="both"/>
        <w:rPr>
          <w:rFonts w:ascii="宋体" w:hAnsi="宋体" w:cs="仿宋"/>
          <w:b/>
          <w:bCs/>
          <w:color w:val="auto"/>
          <w:sz w:val="36"/>
          <w:szCs w:val="36"/>
        </w:rPr>
      </w:pP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1评审方法(最低价法)</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2初步评审标准和程序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2.1初步评审标准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2.1.1形式评审标准:见评审办法前附表。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2.1.2资格评审标准:见评审办法前附表。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2.1.3响应性评审标准:见评审办法前附表。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2.2初步评审程序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pStyle w:val="2"/>
        <w:numPr>
          <w:ilvl w:val="0"/>
          <w:numId w:val="0"/>
        </w:numPr>
        <w:ind w:leftChars="0"/>
        <w:rPr>
          <w:rFonts w:hint="default" w:eastAsiaTheme="minorEastAsia"/>
          <w:lang w:val="en-US" w:eastAsia="zh-CN"/>
        </w:rPr>
      </w:pPr>
      <w:r>
        <w:rPr>
          <w:rFonts w:hint="eastAsia" w:ascii="宋体" w:hAnsi="宋体" w:cs="仿宋"/>
          <w:color w:val="auto"/>
          <w:sz w:val="24"/>
        </w:rPr>
        <w:t>2.2.2除评审办法前附表另有规定外，评审价格为供应商在响应函中填报的大写含税价格</w:t>
      </w:r>
      <w:r>
        <w:rPr>
          <w:rFonts w:hint="eastAsia" w:ascii="宋体" w:hAnsi="宋体" w:cs="仿宋"/>
          <w:color w:val="auto"/>
          <w:sz w:val="24"/>
          <w:lang w:eastAsia="zh-CN"/>
        </w:rPr>
        <w:t>，</w:t>
      </w:r>
      <w:r>
        <w:rPr>
          <w:rFonts w:hint="eastAsia" w:ascii="宋体" w:hAnsi="宋体" w:cs="仿宋"/>
          <w:color w:val="auto"/>
          <w:sz w:val="24"/>
          <w:lang w:val="en-US" w:eastAsia="zh-CN"/>
        </w:rPr>
        <w:t>本项目最高限价为6%增值税含税价，</w:t>
      </w:r>
      <w:r>
        <w:rPr>
          <w:rFonts w:hint="eastAsia" w:ascii="宋体" w:hAnsi="宋体" w:eastAsia="宋体" w:cs="仿宋"/>
          <w:color w:val="auto"/>
          <w:sz w:val="24"/>
          <w:lang w:val="en-US" w:eastAsia="zh-CN"/>
        </w:rPr>
        <w:t>报价</w:t>
      </w:r>
      <w:r>
        <w:rPr>
          <w:rFonts w:hint="eastAsia" w:ascii="宋体" w:hAnsi="宋体" w:cs="仿宋"/>
          <w:color w:val="auto"/>
          <w:sz w:val="24"/>
          <w:lang w:val="en-US" w:eastAsia="zh-CN"/>
        </w:rPr>
        <w:t>人可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其他税率的报价，但评审时统一按6%含税价调整后由低到高排序</w:t>
      </w:r>
      <w:r>
        <w:rPr>
          <w:rFonts w:hint="eastAsia" w:ascii="宋体" w:hAnsi="宋体" w:eastAsia="宋体" w:cs="仿宋"/>
          <w:color w:val="auto"/>
          <w:sz w:val="24"/>
          <w:lang w:val="en-US" w:eastAsia="zh-CN"/>
        </w:rPr>
        <w:t>。</w:t>
      </w:r>
      <w:r>
        <w:rPr>
          <w:rFonts w:hint="eastAsia" w:cs="仿宋" w:asciiTheme="minorEastAsia" w:hAnsiTheme="minorEastAsia" w:eastAsiaTheme="minorEastAsia"/>
          <w:color w:val="auto"/>
          <w:sz w:val="24"/>
        </w:rPr>
        <w:t xml:space="preserve">      </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2.2.4供应商有串通，弄虚作假、行贿等违法行为的，其响应文件将被视为无效。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3详细评审标准和程序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4评审结果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4.1提交书面评审报告</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评审小组完成评审后，应当向采购人提交书面评审报告。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4.2推荐成交候选供应商排序要求及数量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评审小组应在书面评审报告中按照供应商排列的优先顺序向采购人推荐成交候选供应商(排序或不排序)。成交候选供应商的排序要求及数量见第二章“供应商须知”。</w:t>
      </w:r>
    </w:p>
    <w:p>
      <w:pPr>
        <w:pStyle w:val="22"/>
        <w:spacing w:line="600" w:lineRule="exact"/>
        <w:ind w:left="420" w:firstLine="0" w:firstLineChars="0"/>
        <w:jc w:val="center"/>
        <w:outlineLvl w:val="0"/>
        <w:rPr>
          <w:rFonts w:hint="eastAsia" w:ascii="黑体" w:hAnsi="黑体" w:eastAsia="黑体" w:cs="仿宋"/>
          <w:bCs/>
          <w:color w:val="auto"/>
          <w:kern w:val="2"/>
          <w:sz w:val="36"/>
          <w:szCs w:val="36"/>
          <w:lang w:val="en-US" w:eastAsia="zh-CN" w:bidi="ar-SA"/>
        </w:rPr>
      </w:pPr>
      <w:r>
        <w:rPr>
          <w:color w:val="auto"/>
          <w:lang w:val="zh-CN"/>
        </w:rPr>
        <w:br w:type="page"/>
      </w:r>
      <w:bookmarkStart w:id="18" w:name="_Toc7584"/>
      <w:bookmarkStart w:id="19" w:name="_Toc17579"/>
      <w:r>
        <w:rPr>
          <w:rFonts w:hint="eastAsia" w:ascii="黑体" w:hAnsi="黑体" w:eastAsia="黑体" w:cs="仿宋"/>
          <w:b/>
          <w:color w:val="auto"/>
          <w:kern w:val="2"/>
          <w:sz w:val="36"/>
          <w:szCs w:val="36"/>
          <w:lang w:val="en-US" w:eastAsia="zh-CN" w:bidi="ar-SA"/>
        </w:rPr>
        <w:t>第四章  合同条款及格式</w:t>
      </w:r>
      <w:bookmarkEnd w:id="18"/>
      <w:bookmarkEnd w:id="19"/>
    </w:p>
    <w:p>
      <w:pPr>
        <w:jc w:val="center"/>
        <w:rPr>
          <w:color w:val="auto"/>
          <w:lang w:val="zh-CN"/>
        </w:rPr>
      </w:pPr>
    </w:p>
    <w:p>
      <w:pPr>
        <w:jc w:val="center"/>
        <w:rPr>
          <w:rFonts w:hint="eastAsia"/>
          <w:b/>
          <w:bCs/>
          <w:sz w:val="32"/>
          <w:szCs w:val="40"/>
          <w:lang w:val="en-US" w:eastAsia="zh-CN"/>
        </w:rPr>
      </w:pPr>
      <w:bookmarkStart w:id="20" w:name="_Toc21529"/>
      <w:r>
        <w:rPr>
          <w:rFonts w:hint="eastAsia"/>
          <w:b/>
          <w:bCs/>
          <w:sz w:val="32"/>
          <w:szCs w:val="40"/>
          <w:lang w:val="en-US" w:eastAsia="zh-CN"/>
        </w:rPr>
        <w:t>保险合同</w:t>
      </w:r>
    </w:p>
    <w:p>
      <w:pPr>
        <w:rPr>
          <w:rFonts w:hint="eastAsia"/>
          <w:b/>
          <w:bCs/>
          <w:sz w:val="22"/>
          <w:szCs w:val="28"/>
          <w:lang w:val="en-US" w:eastAsia="zh-CN"/>
        </w:rPr>
      </w:pPr>
    </w:p>
    <w:p>
      <w:pPr>
        <w:rPr>
          <w:rFonts w:hint="eastAsia"/>
          <w:lang w:val="en-US" w:eastAsia="zh-CN"/>
        </w:rPr>
      </w:pPr>
      <w:r>
        <w:rPr>
          <w:rFonts w:hint="eastAsia"/>
          <w:lang w:val="en-US" w:eastAsia="zh-CN"/>
        </w:rPr>
        <w:t>第一条 保险合同成立、生效和保险责任开始</w:t>
      </w:r>
    </w:p>
    <w:p>
      <w:pPr>
        <w:ind w:firstLine="420" w:firstLineChars="200"/>
        <w:rPr>
          <w:rFonts w:hint="eastAsia"/>
          <w:lang w:val="en-US" w:eastAsia="zh-CN"/>
        </w:rPr>
      </w:pPr>
      <w:r>
        <w:rPr>
          <w:rFonts w:hint="eastAsia"/>
          <w:lang w:val="en-US" w:eastAsia="zh-CN"/>
        </w:rPr>
        <w:t>投保人提出保险申请、本公司同意承保，本合同成立。</w:t>
      </w:r>
    </w:p>
    <w:p>
      <w:pPr>
        <w:ind w:firstLine="420" w:firstLineChars="200"/>
        <w:rPr>
          <w:rFonts w:hint="eastAsia"/>
          <w:lang w:val="en-US" w:eastAsia="zh-CN"/>
        </w:rPr>
      </w:pPr>
      <w:r>
        <w:rPr>
          <w:rFonts w:hint="eastAsia"/>
          <w:lang w:val="en-US" w:eastAsia="zh-CN"/>
        </w:rPr>
        <w:t>自本合同成立、本公司收取保险费并答发保险单的次日零时起本合同生效，合同生效日期在保险单上载明。</w:t>
      </w:r>
    </w:p>
    <w:p>
      <w:pPr>
        <w:ind w:firstLine="420" w:firstLineChars="200"/>
        <w:rPr>
          <w:rFonts w:hint="eastAsia"/>
          <w:lang w:val="en-US" w:eastAsia="zh-CN"/>
        </w:rPr>
      </w:pPr>
      <w:r>
        <w:rPr>
          <w:rFonts w:hint="eastAsia"/>
          <w:lang w:val="en-US" w:eastAsia="zh-CN"/>
        </w:rPr>
        <w:t>除另有约定外，本合同生效的日期为本公司开始承担保险责任的日期。</w:t>
      </w:r>
    </w:p>
    <w:p>
      <w:pPr>
        <w:rPr>
          <w:rFonts w:hint="eastAsia"/>
          <w:lang w:val="en-US" w:eastAsia="zh-CN"/>
        </w:rPr>
      </w:pPr>
    </w:p>
    <w:p>
      <w:pPr>
        <w:rPr>
          <w:rFonts w:hint="eastAsia"/>
          <w:lang w:val="en-US" w:eastAsia="zh-CN"/>
        </w:rPr>
      </w:pPr>
      <w:r>
        <w:rPr>
          <w:rFonts w:hint="eastAsia"/>
          <w:lang w:val="en-US" w:eastAsia="zh-CN"/>
        </w:rPr>
        <w:t>第二条 明确说明与如实告知</w:t>
      </w:r>
    </w:p>
    <w:p>
      <w:pPr>
        <w:ind w:firstLine="420" w:firstLineChars="200"/>
        <w:rPr>
          <w:rFonts w:hint="eastAsia"/>
          <w:lang w:val="en-US" w:eastAsia="zh-CN"/>
        </w:rPr>
      </w:pPr>
      <w:r>
        <w:rPr>
          <w:rFonts w:hint="eastAsia"/>
          <w:lang w:val="en-US" w:eastAsia="zh-CN"/>
        </w:rPr>
        <w:t>订立本合同时、本公司应向投保人明确说明本合同的内容。对保险条款中免除本公司责任的条款，本公司在订立合同时应当在投保单、保险单或者其他保险凭证上作出足以引起投保人注意的提示，并对该条款的内容以书面或者口头形式向投保人作出明确说明。</w:t>
      </w:r>
    </w:p>
    <w:p>
      <w:pPr>
        <w:ind w:firstLine="420" w:firstLineChars="200"/>
        <w:rPr>
          <w:rFonts w:hint="eastAsia"/>
          <w:lang w:val="en-US" w:eastAsia="zh-CN"/>
        </w:rPr>
      </w:pPr>
      <w:r>
        <w:rPr>
          <w:rFonts w:hint="eastAsia"/>
          <w:lang w:val="en-US" w:eastAsia="zh-CN"/>
        </w:rPr>
        <w:t>本公司可以就投保人、被保险人的有关情况提出询问，投保人应当如实告知。</w:t>
      </w:r>
    </w:p>
    <w:p>
      <w:pPr>
        <w:ind w:firstLine="420" w:firstLineChars="200"/>
        <w:rPr>
          <w:rFonts w:hint="eastAsia"/>
          <w:lang w:val="en-US" w:eastAsia="zh-CN"/>
        </w:rPr>
      </w:pPr>
      <w:r>
        <w:rPr>
          <w:rFonts w:hint="eastAsia"/>
          <w:lang w:val="en-US" w:eastAsia="zh-CN"/>
        </w:rPr>
        <w:t>投保人故意或者因重大过失未履行前款规定的如实告知义务，足以影响本公司决定是否同意承保或者提高保险费率的，本公司有权解除合同。</w:t>
      </w:r>
    </w:p>
    <w:p>
      <w:pPr>
        <w:ind w:firstLine="420" w:firstLineChars="200"/>
        <w:rPr>
          <w:rFonts w:hint="eastAsia"/>
          <w:lang w:val="en-US" w:eastAsia="zh-CN"/>
        </w:rPr>
      </w:pPr>
      <w:r>
        <w:rPr>
          <w:rFonts w:hint="eastAsia"/>
          <w:lang w:val="en-US" w:eastAsia="zh-CN"/>
        </w:rPr>
        <w:t>前款规定的合同解除权。自本公司知道有解除事由之口起，是过三十日不行使而消灭。</w:t>
      </w:r>
    </w:p>
    <w:p>
      <w:pPr>
        <w:ind w:firstLine="420" w:firstLineChars="200"/>
        <w:rPr>
          <w:rFonts w:hint="eastAsia"/>
          <w:lang w:val="en-US" w:eastAsia="zh-CN"/>
        </w:rPr>
      </w:pPr>
      <w:r>
        <w:rPr>
          <w:rFonts w:hint="eastAsia"/>
          <w:lang w:val="en-US" w:eastAsia="zh-CN"/>
        </w:rPr>
        <w:t>投保入故意不履行如实告知义务的、本公司对于合同解除前发生的保险事故，不承担给付保险金的责任，并不退还保险费，</w:t>
      </w:r>
    </w:p>
    <w:p>
      <w:pPr>
        <w:ind w:firstLine="420" w:firstLineChars="200"/>
        <w:rPr>
          <w:rFonts w:hint="eastAsia"/>
          <w:lang w:val="en-US" w:eastAsia="zh-CN"/>
        </w:rPr>
      </w:pPr>
      <w:r>
        <w:rPr>
          <w:rFonts w:hint="eastAsia"/>
          <w:lang w:val="en-US" w:eastAsia="zh-CN"/>
        </w:rPr>
        <w:t>投保人因重大过失未履行如实告知义务。对保险事放的发生有严重影响的，本公司对于合同解除前发生的保险事故，不承担给付保险金的责任，但遇还保险费。</w:t>
      </w:r>
    </w:p>
    <w:p>
      <w:pPr>
        <w:ind w:firstLine="420" w:firstLineChars="200"/>
        <w:rPr>
          <w:rFonts w:hint="eastAsia"/>
          <w:lang w:val="en-US" w:eastAsia="zh-CN"/>
        </w:rPr>
      </w:pPr>
      <w:r>
        <w:rPr>
          <w:rFonts w:hint="eastAsia"/>
          <w:lang w:val="en-US" w:eastAsia="zh-CN"/>
        </w:rPr>
        <w:t>本公司在本合同订立时已经知道投保人未如实告知的情况的，本公司不得解除合同;发生保险事故的、本公司承担给付保险金的责任。</w:t>
      </w:r>
    </w:p>
    <w:p>
      <w:pPr>
        <w:rPr>
          <w:rFonts w:hint="eastAsia"/>
          <w:lang w:val="en-US" w:eastAsia="zh-CN"/>
        </w:rPr>
      </w:pPr>
    </w:p>
    <w:p>
      <w:pPr>
        <w:rPr>
          <w:rFonts w:hint="eastAsia"/>
          <w:lang w:val="en-US" w:eastAsia="zh-CN"/>
        </w:rPr>
      </w:pPr>
      <w:r>
        <w:rPr>
          <w:rFonts w:hint="eastAsia"/>
          <w:lang w:val="en-US" w:eastAsia="zh-CN"/>
        </w:rPr>
        <w:t>第三条 受益人</w:t>
      </w:r>
    </w:p>
    <w:p>
      <w:pPr>
        <w:ind w:firstLine="420" w:firstLineChars="200"/>
        <w:rPr>
          <w:rFonts w:hint="eastAsia"/>
          <w:lang w:val="en-US" w:eastAsia="zh-CN"/>
        </w:rPr>
      </w:pPr>
      <w:r>
        <w:rPr>
          <w:rFonts w:hint="eastAsia"/>
          <w:lang w:val="en-US" w:eastAsia="zh-CN"/>
        </w:rPr>
        <w:t>本合同包含身故保险责任的。被保险人或投保人可指定一人或数人为身故保险金受益人。</w:t>
      </w:r>
    </w:p>
    <w:p>
      <w:pPr>
        <w:rPr>
          <w:rFonts w:hint="eastAsia"/>
          <w:lang w:val="en-US" w:eastAsia="zh-CN"/>
        </w:rPr>
      </w:pPr>
      <w:r>
        <w:rPr>
          <w:rFonts w:hint="eastAsia"/>
          <w:lang w:val="en-US" w:eastAsia="zh-CN"/>
        </w:rPr>
        <w:t>除本合同另有指定外。本合同约定的除身故保险金外的其他保险金的受益人为被保险人本人。受益人为数人的，可以确定受益顺序和受益份额;未确定受益台照的，受益人按照相等份额享有受益权。</w:t>
      </w:r>
    </w:p>
    <w:p>
      <w:pPr>
        <w:ind w:firstLine="420" w:firstLineChars="200"/>
        <w:rPr>
          <w:rFonts w:hint="eastAsia"/>
          <w:lang w:val="en-US" w:eastAsia="zh-CN"/>
        </w:rPr>
      </w:pPr>
      <w:r>
        <w:rPr>
          <w:rFonts w:hint="eastAsia"/>
          <w:lang w:val="en-US" w:eastAsia="zh-CN"/>
        </w:rPr>
        <w:t>被保险人为无民事行为晚力人或限制民事行为能力人的，可以由其监护人指定受益人。</w:t>
      </w:r>
    </w:p>
    <w:p>
      <w:pPr>
        <w:ind w:firstLine="420" w:firstLineChars="200"/>
        <w:rPr>
          <w:rFonts w:hint="eastAsia"/>
          <w:lang w:val="en-US" w:eastAsia="zh-CN"/>
        </w:rPr>
      </w:pPr>
      <w:r>
        <w:rPr>
          <w:rFonts w:hint="eastAsia"/>
          <w:lang w:val="en-US" w:eastAsia="zh-CN"/>
        </w:rPr>
        <w:t>被保险人或投保人可以变更身故保险金受益人。但需书面通知本公司。由本公司在保险单或其他保险凭证上批注或者附贴批单。</w:t>
      </w:r>
    </w:p>
    <w:p>
      <w:pPr>
        <w:ind w:firstLine="420" w:firstLineChars="200"/>
        <w:rPr>
          <w:rFonts w:hint="eastAsia"/>
          <w:lang w:val="en-US" w:eastAsia="zh-CN"/>
        </w:rPr>
      </w:pPr>
      <w:r>
        <w:rPr>
          <w:rFonts w:hint="eastAsia"/>
          <w:lang w:val="en-US" w:eastAsia="zh-CN"/>
        </w:rPr>
        <w:t>投保人指定或变更身故保险会受益人时须经被保险人同意。</w:t>
      </w:r>
    </w:p>
    <w:p>
      <w:pPr>
        <w:ind w:firstLine="420" w:firstLineChars="200"/>
        <w:rPr>
          <w:rFonts w:hint="eastAsia"/>
          <w:lang w:val="en-US" w:eastAsia="zh-CN"/>
        </w:rPr>
      </w:pPr>
      <w:r>
        <w:rPr>
          <w:rFonts w:hint="eastAsia"/>
          <w:lang w:val="en-US" w:eastAsia="zh-CN"/>
        </w:rPr>
        <w:t>被保险人身故后。有下列情形之一的。保险金作为被保险人的遗产。由本公司依照《中华人民共和国继承法》的规定履行给付保险金的义务:</w:t>
      </w:r>
    </w:p>
    <w:p>
      <w:pPr>
        <w:numPr>
          <w:ilvl w:val="0"/>
          <w:numId w:val="3"/>
        </w:numPr>
        <w:rPr>
          <w:rFonts w:hint="eastAsia"/>
          <w:lang w:val="en-US" w:eastAsia="zh-CN"/>
        </w:rPr>
      </w:pPr>
      <w:r>
        <w:rPr>
          <w:rFonts w:hint="eastAsia"/>
          <w:lang w:val="en-US" w:eastAsia="zh-CN"/>
        </w:rPr>
        <w:t>没有指定受益人。或者受益人指定不明无法确定的:</w:t>
      </w:r>
    </w:p>
    <w:p>
      <w:pPr>
        <w:numPr>
          <w:ilvl w:val="0"/>
          <w:numId w:val="3"/>
        </w:numPr>
        <w:ind w:left="0" w:leftChars="0" w:firstLine="0" w:firstLineChars="0"/>
        <w:rPr>
          <w:rFonts w:hint="eastAsia"/>
          <w:lang w:val="en-US" w:eastAsia="zh-CN"/>
        </w:rPr>
      </w:pPr>
      <w:r>
        <w:rPr>
          <w:rFonts w:hint="eastAsia"/>
          <w:lang w:val="en-US" w:eastAsia="zh-CN"/>
        </w:rPr>
        <w:t>受益人先于被保险人育故，没有其他受益人的:</w:t>
      </w:r>
    </w:p>
    <w:p>
      <w:pPr>
        <w:numPr>
          <w:ilvl w:val="0"/>
          <w:numId w:val="3"/>
        </w:numPr>
        <w:ind w:left="0" w:leftChars="0" w:firstLine="0" w:firstLineChars="0"/>
        <w:rPr>
          <w:rFonts w:hint="eastAsia"/>
          <w:lang w:val="en-US" w:eastAsia="zh-CN"/>
        </w:rPr>
      </w:pPr>
      <w:r>
        <w:rPr>
          <w:rFonts w:hint="eastAsia"/>
          <w:lang w:val="en-US" w:eastAsia="zh-CN"/>
        </w:rPr>
        <w:t>受益人依法丧失受益权或者放弃受益权。没有其他受益人的。</w:t>
      </w:r>
    </w:p>
    <w:p>
      <w:pPr>
        <w:ind w:firstLine="210" w:firstLineChars="100"/>
        <w:rPr>
          <w:rFonts w:hint="eastAsia"/>
          <w:lang w:val="en-US" w:eastAsia="zh-CN"/>
        </w:rPr>
      </w:pPr>
      <w:r>
        <w:rPr>
          <w:rFonts w:hint="eastAsia"/>
          <w:lang w:val="en-US" w:eastAsia="zh-CN"/>
        </w:rPr>
        <w:t>专益人与被保险人在同一事件中身故，且不能确定身放先后顺序的。推定受益人身故在先。</w:t>
      </w:r>
    </w:p>
    <w:p>
      <w:pPr>
        <w:ind w:firstLine="210" w:firstLineChars="100"/>
        <w:rPr>
          <w:rFonts w:hint="eastAsia"/>
          <w:lang w:val="en-US" w:eastAsia="zh-CN"/>
        </w:rPr>
      </w:pPr>
      <w:r>
        <w:rPr>
          <w:rFonts w:hint="eastAsia"/>
          <w:lang w:val="en-US" w:eastAsia="zh-CN"/>
        </w:rPr>
        <w:t>受益人故意造成被保险人死亡，伤残，疾病的，或者故意杀害被保险人未遂的，该受益人丧失受益权。</w:t>
      </w:r>
    </w:p>
    <w:p>
      <w:pPr>
        <w:ind w:firstLine="210" w:firstLineChars="100"/>
        <w:rPr>
          <w:rFonts w:hint="eastAsia"/>
          <w:lang w:val="en-US" w:eastAsia="zh-CN"/>
        </w:rPr>
      </w:pPr>
    </w:p>
    <w:p>
      <w:pPr>
        <w:rPr>
          <w:rFonts w:hint="eastAsia"/>
          <w:lang w:val="en-US" w:eastAsia="zh-CN"/>
        </w:rPr>
      </w:pPr>
      <w:r>
        <w:rPr>
          <w:rFonts w:hint="eastAsia"/>
          <w:lang w:val="en-US" w:eastAsia="zh-CN"/>
        </w:rPr>
        <w:t>第四条保险事故的通知</w:t>
      </w:r>
    </w:p>
    <w:p>
      <w:pPr>
        <w:ind w:firstLine="420" w:firstLineChars="200"/>
        <w:rPr>
          <w:rFonts w:hint="eastAsia"/>
          <w:lang w:val="en-US" w:eastAsia="zh-CN"/>
        </w:rPr>
      </w:pPr>
      <w:r>
        <w:rPr>
          <w:rFonts w:hint="eastAsia"/>
          <w:lang w:val="en-US" w:eastAsia="zh-CN"/>
        </w:rPr>
        <w:t>投保人，保险人或受益人知道保险事故发生后，应及时通知本公司，若因故意或者因重大过失未及时通知。致使保险事故的性质、原因、损失程度等难以确定的。本公司对无法确定的部分，不承担给付保险金的责任。但本公司通过其他途径已经及时知道或者应当及时知道保险事故发生的除外。</w:t>
      </w:r>
    </w:p>
    <w:p>
      <w:pPr>
        <w:ind w:firstLine="420" w:firstLineChars="200"/>
        <w:rPr>
          <w:rFonts w:hint="eastAsia"/>
          <w:lang w:val="en-US" w:eastAsia="zh-CN"/>
        </w:rPr>
      </w:pPr>
    </w:p>
    <w:p>
      <w:pPr>
        <w:rPr>
          <w:rFonts w:hint="eastAsia"/>
          <w:lang w:val="en-US" w:eastAsia="zh-CN"/>
        </w:rPr>
      </w:pPr>
      <w:r>
        <w:rPr>
          <w:rFonts w:hint="eastAsia"/>
          <w:lang w:val="en-US" w:eastAsia="zh-CN"/>
        </w:rPr>
        <w:t xml:space="preserve">第五条 保险金的申请与给付 </w:t>
      </w:r>
    </w:p>
    <w:p>
      <w:pPr>
        <w:rPr>
          <w:rFonts w:hint="eastAsia"/>
          <w:lang w:val="en-US" w:eastAsia="zh-CN"/>
        </w:rPr>
      </w:pPr>
      <w:r>
        <w:rPr>
          <w:rFonts w:hint="eastAsia"/>
          <w:lang w:val="en-US" w:eastAsia="zh-CN"/>
        </w:rPr>
        <w:t>一、保险金申请时，由受益人作为申请人，填写保险合给付申请书，并提供本合同利益条款所列的保险金申请所需证明和资料。</w:t>
      </w:r>
    </w:p>
    <w:p>
      <w:pPr>
        <w:rPr>
          <w:rFonts w:hint="default"/>
          <w:lang w:val="en-US" w:eastAsia="zh-CN"/>
        </w:rPr>
      </w:pPr>
      <w:r>
        <w:rPr>
          <w:rFonts w:hint="default"/>
          <w:lang w:val="en-US" w:eastAsia="zh-CN"/>
        </w:rPr>
        <w:t>上述证明和资料不完整的。本公司将及时一次性通知申请人补充提供有关证明和资料。</w:t>
      </w:r>
    </w:p>
    <w:p>
      <w:pPr>
        <w:rPr>
          <w:rFonts w:hint="default"/>
          <w:lang w:val="en-US" w:eastAsia="zh-CN"/>
        </w:rPr>
      </w:pPr>
      <w:r>
        <w:rPr>
          <w:rFonts w:hint="default"/>
          <w:lang w:val="en-US" w:eastAsia="zh-CN"/>
        </w:rPr>
        <w:t>二、本公司收到申请人的保险金给付申请书及上述证明和资料后，将及时作出核定;情形复杂的。将在三十日内作出核定。但本合同另有约定的除外。经核定后确定属于保险责任的，本公司在与申请人达成给付保险金的协议后十日内，履行给付保险金的义务;不属于保险责任的，本公司将自作出核定之日起三日内向申请人发出拒绝给付保险金</w:t>
      </w:r>
      <w:r>
        <w:rPr>
          <w:rFonts w:hint="eastAsia"/>
          <w:lang w:val="en-US" w:eastAsia="zh-CN"/>
        </w:rPr>
        <w:t>通</w:t>
      </w:r>
      <w:r>
        <w:rPr>
          <w:rFonts w:hint="default"/>
          <w:lang w:val="en-US" w:eastAsia="zh-CN"/>
        </w:rPr>
        <w:t>知书，并说明理由。</w:t>
      </w:r>
    </w:p>
    <w:p>
      <w:pPr>
        <w:ind w:firstLine="420" w:firstLineChars="200"/>
        <w:rPr>
          <w:rFonts w:hint="default"/>
          <w:lang w:val="en-US" w:eastAsia="zh-CN"/>
        </w:rPr>
      </w:pPr>
      <w:r>
        <w:rPr>
          <w:rFonts w:hint="default"/>
          <w:lang w:val="en-US" w:eastAsia="zh-CN"/>
        </w:rPr>
        <w:t>本公司自收到申请人的保险合给付申请书及上述证明和资料之日起六十日内，对属于保险责任而给付保险金的数额不能确定的。根据已有证明和资料。按可以确定的数额先予支付，本公司最终确定给付保险金的数额后，支付相应的差额。</w:t>
      </w:r>
    </w:p>
    <w:p>
      <w:pPr>
        <w:rPr>
          <w:rFonts w:hint="default"/>
          <w:lang w:val="en-US" w:eastAsia="zh-CN"/>
        </w:rPr>
      </w:pPr>
      <w:r>
        <w:rPr>
          <w:rFonts w:hint="default"/>
          <w:lang w:val="en-US" w:eastAsia="zh-CN"/>
        </w:rPr>
        <w:t>三、人寿保险以外的其他保险的申请人，向本公司请求给付保险金的诉讼时效期间为二年，自其知道或者应当知道保险事故发生之日起计算。人寿保险的申请人向本公司请求给付保险金的诉讼时效期同为五年，自其知道或者应当知道保险事故发生之日起计算。</w:t>
      </w:r>
    </w:p>
    <w:p>
      <w:pPr>
        <w:rPr>
          <w:rFonts w:hint="default"/>
          <w:lang w:val="en-US" w:eastAsia="zh-CN"/>
        </w:rPr>
      </w:pPr>
    </w:p>
    <w:p>
      <w:pPr>
        <w:rPr>
          <w:rFonts w:hint="default"/>
          <w:lang w:val="en-US" w:eastAsia="zh-CN"/>
        </w:rPr>
      </w:pPr>
      <w:r>
        <w:rPr>
          <w:rFonts w:hint="default"/>
          <w:lang w:val="en-US" w:eastAsia="zh-CN"/>
        </w:rPr>
        <w:t>第六条合同内容变更</w:t>
      </w:r>
    </w:p>
    <w:p>
      <w:pPr>
        <w:ind w:firstLine="420" w:firstLineChars="200"/>
        <w:rPr>
          <w:rFonts w:hint="default"/>
          <w:lang w:val="en-US" w:eastAsia="zh-CN"/>
        </w:rPr>
      </w:pPr>
      <w:r>
        <w:rPr>
          <w:rFonts w:hint="default"/>
          <w:lang w:val="en-US" w:eastAsia="zh-CN"/>
        </w:rPr>
        <w:t>投保人和本公司可以协商变更本合同的内容、变更本合同时，投保人应填写变更合同申请书，经本公司审核同意后，由本公司在保险单或者其他保险凭证上批注或者附贴批单，或者由投保人和本公司订立变更的书面协议。</w:t>
      </w:r>
    </w:p>
    <w:p>
      <w:pPr>
        <w:rPr>
          <w:rFonts w:hint="default"/>
          <w:lang w:val="en-US" w:eastAsia="zh-CN"/>
        </w:rPr>
      </w:pPr>
    </w:p>
    <w:p>
      <w:pPr>
        <w:rPr>
          <w:rFonts w:hint="default"/>
          <w:lang w:val="en-US" w:eastAsia="zh-CN"/>
        </w:rPr>
      </w:pPr>
      <w:r>
        <w:rPr>
          <w:rFonts w:hint="default"/>
          <w:lang w:val="en-US" w:eastAsia="zh-CN"/>
        </w:rPr>
        <w:t>第七条住所或通讯地址</w:t>
      </w:r>
      <w:r>
        <w:rPr>
          <w:rFonts w:hint="eastAsia"/>
          <w:lang w:val="en-US" w:eastAsia="zh-CN"/>
        </w:rPr>
        <w:t>变</w:t>
      </w:r>
      <w:r>
        <w:rPr>
          <w:rFonts w:hint="default"/>
          <w:lang w:val="en-US" w:eastAsia="zh-CN"/>
        </w:rPr>
        <w:t>更</w:t>
      </w:r>
    </w:p>
    <w:p>
      <w:pPr>
        <w:ind w:firstLine="420" w:firstLineChars="200"/>
        <w:rPr>
          <w:rFonts w:hint="default"/>
          <w:lang w:val="en-US" w:eastAsia="zh-CN"/>
        </w:rPr>
      </w:pPr>
      <w:r>
        <w:rPr>
          <w:rFonts w:hint="default"/>
          <w:lang w:val="en-US" w:eastAsia="zh-CN"/>
        </w:rPr>
        <w:t>投保人的住所或通讯地址变更时，应及时以书面形式通知本公司。投保人未以书面形式通知的，本公司按所知最后的投保人住所或通讯地址发送有关通知。</w:t>
      </w:r>
    </w:p>
    <w:p>
      <w:pPr>
        <w:rPr>
          <w:rFonts w:hint="default"/>
          <w:lang w:val="en-US" w:eastAsia="zh-CN"/>
        </w:rPr>
      </w:pPr>
    </w:p>
    <w:p>
      <w:pPr>
        <w:rPr>
          <w:rFonts w:hint="default"/>
          <w:lang w:val="en-US" w:eastAsia="zh-CN"/>
        </w:rPr>
      </w:pPr>
      <w:r>
        <w:rPr>
          <w:rFonts w:hint="default"/>
          <w:lang w:val="en-US" w:eastAsia="zh-CN"/>
        </w:rPr>
        <w:t>第八条年龄计算及错误处理</w:t>
      </w:r>
    </w:p>
    <w:p>
      <w:pPr>
        <w:ind w:firstLine="420" w:firstLineChars="200"/>
        <w:rPr>
          <w:rFonts w:hint="default"/>
          <w:lang w:val="en-US" w:eastAsia="zh-CN"/>
        </w:rPr>
      </w:pPr>
      <w:r>
        <w:rPr>
          <w:rFonts w:hint="default"/>
          <w:lang w:val="en-US" w:eastAsia="zh-CN"/>
        </w:rPr>
        <w:t>被保险人的投保年龄按周岁计算。投保人应在投保本保险时将被保险人的真实年龄在投保单上填明，如果发生错误，除本合同另有约定外，本公司按照下列规定办理:</w:t>
      </w:r>
    </w:p>
    <w:p>
      <w:pPr>
        <w:ind w:firstLine="420" w:firstLineChars="200"/>
        <w:rPr>
          <w:rFonts w:hint="default"/>
          <w:lang w:val="en-US" w:eastAsia="zh-CN"/>
        </w:rPr>
      </w:pPr>
      <w:r>
        <w:rPr>
          <w:rFonts w:hint="default"/>
          <w:lang w:val="en-US" w:eastAsia="zh-CN"/>
        </w:rPr>
        <w:t>一、投保人申报的被保险人年龄不真实，并且其真实年龄不符合合同约定的年龄限制的，本公司有权在知道有解除事由之日起三十日内解除本合同，并向投保人退还本合同的现金价值。</w:t>
      </w:r>
    </w:p>
    <w:p>
      <w:pPr>
        <w:ind w:firstLine="420" w:firstLineChars="200"/>
        <w:rPr>
          <w:rFonts w:hint="default"/>
          <w:lang w:val="en-US" w:eastAsia="zh-CN"/>
        </w:rPr>
      </w:pPr>
      <w:r>
        <w:rPr>
          <w:rFonts w:hint="default"/>
          <w:lang w:val="en-US" w:eastAsia="zh-CN"/>
        </w:rPr>
        <w:t>二、投保人申报的被保险人年龄不真实，致使投保人支付的保险费少于应付保险费的，本公司有权更正并要求投保人补交保险费，或在给付保险金时按</w:t>
      </w:r>
      <w:r>
        <w:rPr>
          <w:rFonts w:hint="eastAsia"/>
          <w:lang w:val="en-US" w:eastAsia="zh-CN"/>
        </w:rPr>
        <w:t>照</w:t>
      </w:r>
      <w:r>
        <w:rPr>
          <w:rFonts w:hint="default"/>
          <w:lang w:val="en-US" w:eastAsia="zh-CN"/>
        </w:rPr>
        <w:t>实付保险费与应付保险费的比例支付。</w:t>
      </w:r>
    </w:p>
    <w:p>
      <w:pPr>
        <w:ind w:firstLine="420" w:firstLineChars="200"/>
        <w:rPr>
          <w:rFonts w:hint="default"/>
          <w:lang w:val="en-US" w:eastAsia="zh-CN"/>
        </w:rPr>
      </w:pPr>
      <w:r>
        <w:rPr>
          <w:rFonts w:hint="default"/>
          <w:lang w:val="en-US" w:eastAsia="zh-CN"/>
        </w:rPr>
        <w:t>三、投保人审报的被保险人年龄不真实，致使投保人支付的保险费多于应付保险费的，本公司应将多收的保险费无息退还投保人。</w:t>
      </w:r>
    </w:p>
    <w:p>
      <w:pPr>
        <w:rPr>
          <w:rFonts w:hint="default"/>
          <w:lang w:val="en-US" w:eastAsia="zh-CN"/>
        </w:rPr>
      </w:pPr>
    </w:p>
    <w:p>
      <w:pPr>
        <w:rPr>
          <w:rFonts w:hint="default"/>
          <w:lang w:val="en-US" w:eastAsia="zh-CN"/>
        </w:rPr>
      </w:pPr>
      <w:r>
        <w:rPr>
          <w:rFonts w:hint="default"/>
          <w:lang w:val="en-US" w:eastAsia="zh-CN"/>
        </w:rPr>
        <w:t>第九条未成年人身故保险金限制</w:t>
      </w:r>
    </w:p>
    <w:p>
      <w:pPr>
        <w:ind w:firstLine="420" w:firstLineChars="200"/>
        <w:rPr>
          <w:rFonts w:hint="default"/>
          <w:lang w:val="en-US" w:eastAsia="zh-CN"/>
        </w:rPr>
      </w:pPr>
      <w:r>
        <w:rPr>
          <w:rFonts w:hint="default"/>
          <w:lang w:val="en-US" w:eastAsia="zh-CN"/>
        </w:rPr>
        <w:t>为未成年子女投保的人身保险。因被保险人身故给付的保险金总和不得超过国务院保险监督管理机构规定的限额。</w:t>
      </w:r>
    </w:p>
    <w:p>
      <w:pPr>
        <w:rPr>
          <w:rFonts w:hint="default"/>
          <w:lang w:val="en-US" w:eastAsia="zh-CN"/>
        </w:rPr>
      </w:pPr>
      <w:r>
        <w:rPr>
          <w:rFonts w:hint="default"/>
          <w:lang w:val="en-US" w:eastAsia="zh-CN"/>
        </w:rPr>
        <w:t>第十条 投保人解除合同的处理</w:t>
      </w:r>
    </w:p>
    <w:p>
      <w:pPr>
        <w:ind w:firstLine="420" w:firstLineChars="200"/>
        <w:rPr>
          <w:rFonts w:hint="default"/>
          <w:lang w:val="en-US" w:eastAsia="zh-CN"/>
        </w:rPr>
      </w:pPr>
      <w:r>
        <w:rPr>
          <w:rFonts w:hint="default"/>
          <w:lang w:val="en-US" w:eastAsia="zh-CN"/>
        </w:rPr>
        <w:t>本合同成立后。除本合同另有约定外，投保人可以要求解除本合同。但已发生任何保险全给付或已发生本合同约定的保险事故但尚未给付保险金的，投保人不得要求解除本合同。投保人要求解除本合同时，应填写解除合同申请书，并提交保险合同和投保人法定身份证明。</w:t>
      </w:r>
    </w:p>
    <w:p>
      <w:pPr>
        <w:ind w:firstLine="420" w:firstLineChars="200"/>
        <w:rPr>
          <w:rFonts w:hint="default"/>
          <w:lang w:val="en-US" w:eastAsia="zh-CN"/>
        </w:rPr>
      </w:pPr>
      <w:r>
        <w:rPr>
          <w:rFonts w:hint="default"/>
          <w:lang w:val="en-US" w:eastAsia="zh-CN"/>
        </w:rPr>
        <w:t>本合同自本公司接到解除合同申请书时终止。本公司于接到解除合同申请书之日起三十日内向投保人</w:t>
      </w:r>
      <w:r>
        <w:rPr>
          <w:rFonts w:hint="eastAsia"/>
          <w:lang w:val="en-US" w:eastAsia="zh-CN"/>
        </w:rPr>
        <w:t>退</w:t>
      </w:r>
      <w:r>
        <w:rPr>
          <w:rFonts w:hint="default"/>
          <w:lang w:val="en-US" w:eastAsia="zh-CN"/>
        </w:rPr>
        <w:t>还本合同的现金价值。</w:t>
      </w:r>
    </w:p>
    <w:p>
      <w:pPr>
        <w:rPr>
          <w:rFonts w:hint="default"/>
          <w:lang w:val="en-US" w:eastAsia="zh-CN"/>
        </w:rPr>
      </w:pPr>
    </w:p>
    <w:p>
      <w:pPr>
        <w:rPr>
          <w:rFonts w:hint="default"/>
          <w:lang w:val="en-US" w:eastAsia="zh-CN"/>
        </w:rPr>
      </w:pPr>
      <w:r>
        <w:rPr>
          <w:rFonts w:hint="default"/>
          <w:lang w:val="en-US" w:eastAsia="zh-CN"/>
        </w:rPr>
        <w:t>第十一条 争议处理</w:t>
      </w:r>
    </w:p>
    <w:p>
      <w:pPr>
        <w:ind w:firstLine="420" w:firstLineChars="200"/>
        <w:rPr>
          <w:rFonts w:hint="default"/>
          <w:lang w:val="en-US" w:eastAsia="zh-CN"/>
        </w:rPr>
      </w:pPr>
      <w:r>
        <w:rPr>
          <w:rFonts w:hint="default"/>
          <w:lang w:val="en-US" w:eastAsia="zh-CN"/>
        </w:rPr>
        <w:t>本合同争议的解决方式，由当事人在合同中约定从下列两种方式中选择一种:</w:t>
      </w:r>
    </w:p>
    <w:p>
      <w:pPr>
        <w:ind w:firstLine="420" w:firstLineChars="200"/>
        <w:rPr>
          <w:rFonts w:hint="default"/>
          <w:lang w:val="en-US" w:eastAsia="zh-CN"/>
        </w:rPr>
      </w:pPr>
      <w:r>
        <w:rPr>
          <w:rFonts w:hint="eastAsia"/>
          <w:lang w:val="en-US" w:eastAsia="zh-CN"/>
        </w:rPr>
        <w:t>一</w:t>
      </w:r>
      <w:r>
        <w:rPr>
          <w:rFonts w:hint="default"/>
          <w:lang w:val="en-US" w:eastAsia="zh-CN"/>
        </w:rPr>
        <w:t>、因履行本合同发生的争议，由当事人协商解决。协商不成的，提交仲</w:t>
      </w:r>
      <w:r>
        <w:rPr>
          <w:rFonts w:hint="eastAsia"/>
          <w:lang w:val="en-US" w:eastAsia="zh-CN"/>
        </w:rPr>
        <w:t>裁</w:t>
      </w:r>
      <w:r>
        <w:rPr>
          <w:rFonts w:hint="default"/>
          <w:lang w:val="en-US" w:eastAsia="zh-CN"/>
        </w:rPr>
        <w:t>委员</w:t>
      </w:r>
      <w:r>
        <w:rPr>
          <w:rFonts w:hint="eastAsia"/>
          <w:lang w:val="en-US" w:eastAsia="zh-CN"/>
        </w:rPr>
        <w:t>仲裁</w:t>
      </w:r>
      <w:r>
        <w:rPr>
          <w:rFonts w:hint="default"/>
          <w:lang w:val="en-US" w:eastAsia="zh-CN"/>
        </w:rPr>
        <w:t>;</w:t>
      </w:r>
    </w:p>
    <w:p>
      <w:pPr>
        <w:ind w:firstLine="420" w:firstLineChars="200"/>
        <w:rPr>
          <w:rFonts w:hint="default"/>
          <w:lang w:val="en-US" w:eastAsia="zh-CN"/>
        </w:rPr>
      </w:pPr>
      <w:r>
        <w:rPr>
          <w:rFonts w:hint="default"/>
          <w:lang w:val="en-US" w:eastAsia="zh-CN"/>
        </w:rPr>
        <w:t>二、因履行本合同发生的争议，由当事人协商解决，协商不成的。依法向人民法院提起诉讼。</w:t>
      </w:r>
    </w:p>
    <w:p>
      <w:pPr>
        <w:rPr>
          <w:rFonts w:hint="default"/>
          <w:lang w:val="en-US" w:eastAsia="zh-CN"/>
        </w:rPr>
      </w:pPr>
    </w:p>
    <w:p>
      <w:pPr>
        <w:rPr>
          <w:rFonts w:hint="default"/>
          <w:lang w:val="en-US" w:eastAsia="zh-CN"/>
        </w:rPr>
      </w:pPr>
      <w:r>
        <w:rPr>
          <w:rFonts w:hint="default"/>
          <w:lang w:val="en-US" w:eastAsia="zh-CN"/>
        </w:rPr>
        <w:t>第十二条 释义</w:t>
      </w:r>
    </w:p>
    <w:p>
      <w:pPr>
        <w:ind w:firstLine="420" w:firstLineChars="200"/>
        <w:rPr>
          <w:rFonts w:hint="default"/>
          <w:lang w:val="en-US" w:eastAsia="zh-CN"/>
        </w:rPr>
      </w:pPr>
      <w:r>
        <w:rPr>
          <w:rFonts w:hint="default"/>
          <w:u w:val="single"/>
          <w:lang w:val="en-US" w:eastAsia="zh-CN"/>
        </w:rPr>
        <w:t>周</w:t>
      </w:r>
      <w:r>
        <w:rPr>
          <w:rFonts w:hint="eastAsia"/>
          <w:u w:val="single"/>
          <w:lang w:val="en-US" w:eastAsia="zh-CN"/>
        </w:rPr>
        <w:t xml:space="preserve"> </w:t>
      </w:r>
      <w:r>
        <w:rPr>
          <w:rFonts w:hint="default"/>
          <w:u w:val="single"/>
          <w:lang w:val="en-US" w:eastAsia="zh-CN"/>
        </w:rPr>
        <w:t>岁</w:t>
      </w:r>
      <w:r>
        <w:rPr>
          <w:rFonts w:hint="default"/>
          <w:lang w:val="en-US" w:eastAsia="zh-CN"/>
        </w:rPr>
        <w:t>:指按法定身份证明文件中记载的出生日期计算的年龄。自出生之日起为零周岁，每经过年增加一岁，不足一年的不计。</w:t>
      </w:r>
    </w:p>
    <w:p>
      <w:pPr>
        <w:ind w:firstLine="420" w:firstLineChars="200"/>
        <w:rPr>
          <w:rFonts w:hint="default"/>
          <w:lang w:val="en-US" w:eastAsia="zh-CN"/>
        </w:rPr>
      </w:pPr>
      <w:r>
        <w:rPr>
          <w:rFonts w:hint="default"/>
          <w:u w:val="single"/>
          <w:lang w:val="en-US" w:eastAsia="zh-CN"/>
        </w:rPr>
        <w:t>法定身份证明:</w:t>
      </w:r>
      <w:r>
        <w:rPr>
          <w:rFonts w:hint="eastAsia"/>
          <w:u w:val="single"/>
          <w:lang w:val="en-US" w:eastAsia="zh-CN"/>
        </w:rPr>
        <w:t xml:space="preserve"> </w:t>
      </w:r>
      <w:r>
        <w:rPr>
          <w:rFonts w:hint="default"/>
          <w:lang w:val="en-US" w:eastAsia="zh-CN"/>
        </w:rPr>
        <w:t>指依据法律规定，由有权机构制作颁发的证明身份的证件、文件等，如:居民身份证、户口簿、护照、军人证等。</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仿宋"/>
          <w:bCs/>
          <w:color w:val="auto"/>
          <w:sz w:val="36"/>
          <w:szCs w:val="36"/>
          <w:lang w:val="en-US" w:eastAsia="zh-CN"/>
        </w:rPr>
      </w:pPr>
    </w:p>
    <w:p>
      <w:pPr>
        <w:adjustRightInd w:val="0"/>
        <w:snapToGrid w:val="0"/>
        <w:spacing w:line="600" w:lineRule="exact"/>
        <w:jc w:val="center"/>
        <w:outlineLvl w:val="9"/>
        <w:rPr>
          <w:rFonts w:hint="eastAsia" w:ascii="黑体" w:hAnsi="黑体" w:eastAsia="黑体" w:cs="仿宋"/>
          <w:bCs/>
          <w:color w:val="auto"/>
          <w:sz w:val="36"/>
          <w:szCs w:val="36"/>
          <w:lang w:val="en-US" w:eastAsia="zh-CN"/>
        </w:rPr>
      </w:pPr>
    </w:p>
    <w:p>
      <w:pPr>
        <w:adjustRightInd w:val="0"/>
        <w:snapToGrid w:val="0"/>
        <w:spacing w:line="600" w:lineRule="exact"/>
        <w:jc w:val="center"/>
        <w:outlineLvl w:val="9"/>
        <w:rPr>
          <w:rFonts w:hint="eastAsia" w:ascii="黑体" w:hAnsi="黑体" w:eastAsia="黑体" w:cs="仿宋"/>
          <w:bCs/>
          <w:color w:val="auto"/>
          <w:sz w:val="36"/>
          <w:szCs w:val="36"/>
          <w:lang w:val="en-US" w:eastAsia="zh-CN"/>
        </w:rPr>
      </w:pPr>
    </w:p>
    <w:p>
      <w:pPr>
        <w:adjustRightInd w:val="0"/>
        <w:snapToGrid w:val="0"/>
        <w:spacing w:line="600" w:lineRule="exact"/>
        <w:jc w:val="both"/>
        <w:outlineLvl w:val="9"/>
        <w:rPr>
          <w:rFonts w:hint="eastAsia" w:ascii="黑体" w:hAnsi="黑体" w:eastAsia="黑体" w:cs="仿宋"/>
          <w:bCs/>
          <w:color w:val="auto"/>
          <w:sz w:val="36"/>
          <w:szCs w:val="36"/>
          <w:lang w:val="en-US" w:eastAsia="zh-CN"/>
        </w:rPr>
      </w:pPr>
    </w:p>
    <w:p>
      <w:pPr>
        <w:adjustRightInd w:val="0"/>
        <w:snapToGrid w:val="0"/>
        <w:spacing w:line="600" w:lineRule="exact"/>
        <w:jc w:val="center"/>
        <w:outlineLvl w:val="9"/>
        <w:rPr>
          <w:rFonts w:hint="eastAsia" w:ascii="黑体" w:hAnsi="黑体" w:eastAsia="黑体" w:cs="仿宋"/>
          <w:bCs/>
          <w:color w:val="auto"/>
          <w:sz w:val="36"/>
          <w:szCs w:val="36"/>
          <w:lang w:val="en-US" w:eastAsia="zh-CN"/>
        </w:rPr>
      </w:pPr>
    </w:p>
    <w:p>
      <w:pPr>
        <w:spacing w:line="312" w:lineRule="auto"/>
        <w:jc w:val="center"/>
        <w:outlineLvl w:val="0"/>
        <w:rPr>
          <w:rFonts w:hint="eastAsia" w:ascii="黑体" w:hAnsi="黑体" w:eastAsia="黑体" w:cs="仿宋"/>
          <w:b/>
          <w:color w:val="auto"/>
          <w:sz w:val="36"/>
          <w:szCs w:val="36"/>
          <w:lang w:val="en-US" w:eastAsia="zh-CN"/>
        </w:rPr>
      </w:pPr>
      <w:bookmarkStart w:id="21" w:name="_Toc28834"/>
      <w:r>
        <w:rPr>
          <w:rFonts w:hint="eastAsia" w:ascii="黑体" w:hAnsi="黑体" w:eastAsia="黑体" w:cs="仿宋"/>
          <w:b/>
          <w:color w:val="auto"/>
          <w:sz w:val="36"/>
          <w:szCs w:val="36"/>
          <w:lang w:val="en-US" w:eastAsia="zh-CN"/>
        </w:rPr>
        <w:t>第五章  采购需求</w:t>
      </w:r>
      <w:bookmarkEnd w:id="20"/>
      <w:bookmarkEnd w:id="21"/>
    </w:p>
    <w:p>
      <w:pPr>
        <w:autoSpaceDE w:val="0"/>
        <w:spacing w:line="400" w:lineRule="exact"/>
        <w:jc w:val="left"/>
        <w:rPr>
          <w:rFonts w:hint="eastAsia" w:ascii="宋体" w:hAnsi="宋体"/>
          <w:color w:val="auto"/>
          <w:sz w:val="24"/>
          <w:lang w:eastAsia="zh-CN"/>
        </w:rPr>
      </w:pPr>
    </w:p>
    <w:p>
      <w:pPr>
        <w:autoSpaceDE w:val="0"/>
        <w:spacing w:line="400" w:lineRule="exact"/>
        <w:jc w:val="left"/>
        <w:rPr>
          <w:rFonts w:ascii="宋体" w:hAnsi="宋体"/>
          <w:color w:val="auto"/>
          <w:sz w:val="24"/>
        </w:rPr>
      </w:pPr>
      <w:r>
        <w:rPr>
          <w:rFonts w:hint="eastAsia" w:ascii="宋体" w:hAnsi="宋体"/>
          <w:color w:val="auto"/>
          <w:sz w:val="24"/>
          <w:lang w:eastAsia="zh-CN"/>
        </w:rPr>
        <w:t>（一）</w:t>
      </w:r>
      <w:r>
        <w:rPr>
          <w:rFonts w:hint="eastAsia" w:ascii="宋体" w:hAnsi="宋体"/>
          <w:color w:val="auto"/>
          <w:sz w:val="24"/>
        </w:rPr>
        <w:t>采购范围:</w:t>
      </w:r>
      <w:r>
        <w:rPr>
          <w:rFonts w:hint="eastAsia" w:ascii="宋体" w:hAnsi="宋体"/>
          <w:color w:val="auto"/>
          <w:sz w:val="24"/>
          <w:u w:val="single"/>
          <w:lang w:val="en-US" w:eastAsia="zh-CN"/>
        </w:rPr>
        <w:t xml:space="preserve">集星公司在职员工146人   </w:t>
      </w:r>
      <w:r>
        <w:rPr>
          <w:rFonts w:hint="eastAsia" w:ascii="Times New Roman" w:hAnsi="Times New Roman" w:cs="Times New Roman"/>
          <w:color w:val="auto"/>
          <w:sz w:val="24"/>
          <w:szCs w:val="24"/>
          <w:u w:val="single"/>
        </w:rPr>
        <w:t>。</w:t>
      </w:r>
      <w:r>
        <w:rPr>
          <w:rFonts w:hint="eastAsia" w:ascii="宋体" w:hAnsi="宋体"/>
          <w:color w:val="auto"/>
          <w:sz w:val="24"/>
        </w:rPr>
        <w:t xml:space="preserve"> </w:t>
      </w:r>
    </w:p>
    <w:p>
      <w:pPr>
        <w:autoSpaceDE w:val="0"/>
        <w:spacing w:line="400" w:lineRule="exact"/>
        <w:jc w:val="left"/>
        <w:rPr>
          <w:rFonts w:hint="default" w:ascii="宋体" w:hAnsi="宋体"/>
          <w:color w:val="auto"/>
          <w:sz w:val="24"/>
          <w:lang w:val="en-US"/>
        </w:rPr>
      </w:pPr>
      <w:r>
        <w:rPr>
          <w:rFonts w:hint="eastAsia" w:ascii="宋体" w:hAnsi="宋体"/>
          <w:color w:val="auto"/>
          <w:sz w:val="24"/>
          <w:lang w:eastAsia="zh-CN"/>
        </w:rPr>
        <w:t>（二）</w:t>
      </w:r>
      <w:r>
        <w:rPr>
          <w:rFonts w:hint="eastAsia" w:ascii="宋体" w:hAnsi="宋体"/>
          <w:color w:val="auto"/>
          <w:sz w:val="24"/>
        </w:rPr>
        <w:t xml:space="preserve">服务期限: </w:t>
      </w:r>
      <w:r>
        <w:rPr>
          <w:rFonts w:hint="eastAsia" w:ascii="宋体" w:hAnsi="宋体"/>
          <w:color w:val="auto"/>
          <w:sz w:val="24"/>
          <w:u w:val="single"/>
          <w:lang w:val="en-US" w:eastAsia="zh-CN"/>
        </w:rPr>
        <w:t>合同签订日至2022年12月31日</w:t>
      </w:r>
    </w:p>
    <w:p>
      <w:pPr>
        <w:autoSpaceDE w:val="0"/>
        <w:spacing w:line="400" w:lineRule="exact"/>
        <w:jc w:val="left"/>
        <w:rPr>
          <w:rFonts w:hint="eastAsia" w:ascii="Times New Roman" w:hAnsi="Times New Roman" w:cs="Times New Roman"/>
          <w:color w:val="auto"/>
          <w:sz w:val="24"/>
          <w:szCs w:val="24"/>
        </w:rPr>
      </w:pPr>
      <w:r>
        <w:rPr>
          <w:rFonts w:hint="eastAsia" w:ascii="宋体" w:hAnsi="宋体"/>
          <w:color w:val="auto"/>
          <w:sz w:val="24"/>
          <w:lang w:eastAsia="zh-CN"/>
        </w:rPr>
        <w:t>（三）</w:t>
      </w:r>
      <w:r>
        <w:rPr>
          <w:rFonts w:hint="eastAsia" w:ascii="宋体" w:hAnsi="宋体"/>
          <w:color w:val="auto"/>
          <w:sz w:val="24"/>
        </w:rPr>
        <w:t xml:space="preserve">服务地点: </w:t>
      </w:r>
      <w:r>
        <w:rPr>
          <w:rFonts w:hint="eastAsia"/>
          <w:color w:val="auto"/>
          <w:sz w:val="24"/>
          <w:szCs w:val="24"/>
          <w:lang w:eastAsia="zh-CN"/>
        </w:rPr>
        <w:t>长沙集星集装箱码头</w:t>
      </w:r>
      <w:r>
        <w:rPr>
          <w:rFonts w:hint="eastAsia" w:ascii="Times New Roman" w:hAnsi="Times New Roman" w:cs="Times New Roman"/>
          <w:color w:val="auto"/>
          <w:sz w:val="24"/>
          <w:szCs w:val="24"/>
        </w:rPr>
        <w:t>有限公司</w:t>
      </w:r>
    </w:p>
    <w:p>
      <w:pPr>
        <w:spacing w:line="440" w:lineRule="exact"/>
        <w:rPr>
          <w:rFonts w:hint="eastAsia" w:ascii="宋体" w:hAnsi="宋体"/>
          <w:color w:val="auto"/>
          <w:sz w:val="24"/>
        </w:rPr>
      </w:pPr>
      <w:r>
        <w:rPr>
          <w:rFonts w:hint="eastAsia" w:ascii="宋体" w:hAnsi="宋体"/>
          <w:color w:val="auto"/>
          <w:sz w:val="24"/>
          <w:lang w:eastAsia="zh-CN"/>
        </w:rPr>
        <w:t>（四）</w:t>
      </w:r>
      <w:r>
        <w:rPr>
          <w:rFonts w:hint="eastAsia" w:ascii="宋体" w:hAnsi="宋体"/>
          <w:color w:val="auto"/>
          <w:sz w:val="24"/>
          <w:lang w:val="en-US" w:eastAsia="zh-CN"/>
        </w:rPr>
        <w:t>报价方案</w:t>
      </w:r>
      <w:r>
        <w:rPr>
          <w:rFonts w:hint="eastAsia" w:ascii="宋体" w:hAnsi="宋体"/>
          <w:color w:val="auto"/>
          <w:sz w:val="24"/>
        </w:rPr>
        <w:t xml:space="preserve">: </w:t>
      </w:r>
    </w:p>
    <w:p>
      <w:pPr>
        <w:rPr>
          <w:color w:val="auto"/>
          <w:lang w:val="zh-CN"/>
        </w:rPr>
      </w:pPr>
    </w:p>
    <w:tbl>
      <w:tblPr>
        <w:tblStyle w:val="15"/>
        <w:tblpPr w:leftFromText="180" w:rightFromText="180" w:vertAnchor="page" w:horzAnchor="page" w:tblpX="1170" w:tblpY="4209"/>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3"/>
        <w:gridCol w:w="1025"/>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256" w:type="dxa"/>
            <w:gridSpan w:val="4"/>
            <w:noWrap w:val="0"/>
            <w:vAlign w:val="center"/>
          </w:tcPr>
          <w:p>
            <w:pPr>
              <w:jc w:val="center"/>
              <w:rPr>
                <w:rFonts w:ascii="仿宋" w:hAnsi="仿宋" w:eastAsia="仿宋"/>
                <w:b/>
                <w:bCs/>
                <w:sz w:val="22"/>
              </w:rPr>
            </w:pPr>
            <w:bookmarkStart w:id="22" w:name="_Toc246997085"/>
            <w:bookmarkStart w:id="23" w:name="_Toc247085857"/>
            <w:bookmarkStart w:id="24" w:name="_Toc179632791"/>
            <w:bookmarkStart w:id="25" w:name="_Toc152045774"/>
            <w:bookmarkStart w:id="26" w:name="_Toc144974836"/>
            <w:bookmarkStart w:id="27" w:name="_Toc296602589"/>
            <w:bookmarkStart w:id="28" w:name="_Toc246996342"/>
            <w:bookmarkStart w:id="29" w:name="_Toc152042556"/>
            <w:bookmarkStart w:id="30" w:name="_Toc26607"/>
            <w:r>
              <w:rPr>
                <w:rFonts w:hint="eastAsia" w:ascii="宋体" w:hAnsi="宋体" w:cs="宋体"/>
                <w:b/>
                <w:bCs/>
                <w:color w:val="000000"/>
                <w:kern w:val="0"/>
                <w:sz w:val="28"/>
                <w:szCs w:val="28"/>
              </w:rPr>
              <w:t>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保险项目</w:t>
            </w:r>
          </w:p>
        </w:tc>
        <w:tc>
          <w:tcPr>
            <w:tcW w:w="1243" w:type="dxa"/>
            <w:noWrap w:val="0"/>
            <w:vAlign w:val="center"/>
          </w:tcPr>
          <w:p>
            <w:pPr>
              <w:jc w:val="center"/>
              <w:rPr>
                <w:rFonts w:ascii="仿宋" w:hAnsi="仿宋" w:eastAsia="仿宋"/>
                <w:b/>
                <w:bCs/>
                <w:sz w:val="22"/>
              </w:rPr>
            </w:pPr>
            <w:r>
              <w:rPr>
                <w:rFonts w:hint="eastAsia" w:ascii="仿宋" w:hAnsi="仿宋" w:eastAsia="仿宋"/>
                <w:b/>
                <w:bCs/>
                <w:sz w:val="22"/>
                <w:lang w:val="en-US" w:eastAsia="zh-CN"/>
              </w:rPr>
              <w:t>最低</w:t>
            </w:r>
            <w:r>
              <w:rPr>
                <w:rFonts w:hint="eastAsia" w:ascii="仿宋" w:hAnsi="仿宋" w:eastAsia="仿宋"/>
                <w:b/>
                <w:bCs/>
                <w:sz w:val="22"/>
              </w:rPr>
              <w:t>保险金额</w:t>
            </w:r>
          </w:p>
        </w:tc>
        <w:tc>
          <w:tcPr>
            <w:tcW w:w="1025" w:type="dxa"/>
            <w:noWrap w:val="0"/>
            <w:vAlign w:val="center"/>
          </w:tcPr>
          <w:p>
            <w:pPr>
              <w:jc w:val="center"/>
              <w:rPr>
                <w:rFonts w:hint="eastAsia" w:ascii="仿宋" w:hAnsi="仿宋" w:eastAsia="仿宋"/>
                <w:b/>
                <w:bCs/>
                <w:sz w:val="22"/>
              </w:rPr>
            </w:pPr>
            <w:r>
              <w:rPr>
                <w:rFonts w:hint="eastAsia" w:ascii="仿宋" w:hAnsi="仿宋" w:eastAsia="仿宋"/>
                <w:b/>
                <w:bCs/>
                <w:sz w:val="22"/>
              </w:rPr>
              <w:t>保险</w:t>
            </w:r>
          </w:p>
          <w:p>
            <w:pPr>
              <w:jc w:val="center"/>
              <w:rPr>
                <w:rFonts w:ascii="仿宋" w:hAnsi="仿宋" w:eastAsia="仿宋"/>
                <w:b/>
                <w:bCs/>
                <w:sz w:val="22"/>
              </w:rPr>
            </w:pPr>
            <w:r>
              <w:rPr>
                <w:rFonts w:hint="eastAsia" w:ascii="仿宋" w:hAnsi="仿宋" w:eastAsia="仿宋"/>
                <w:b/>
                <w:bCs/>
                <w:sz w:val="22"/>
              </w:rPr>
              <w:t>期限</w:t>
            </w:r>
          </w:p>
        </w:tc>
        <w:tc>
          <w:tcPr>
            <w:tcW w:w="6746" w:type="dxa"/>
            <w:noWrap w:val="0"/>
            <w:vAlign w:val="center"/>
          </w:tcPr>
          <w:p>
            <w:pPr>
              <w:jc w:val="center"/>
              <w:rPr>
                <w:rFonts w:ascii="仿宋" w:hAnsi="仿宋" w:eastAsia="仿宋"/>
                <w:b/>
                <w:bCs/>
                <w:sz w:val="22"/>
              </w:rPr>
            </w:pPr>
            <w:r>
              <w:rPr>
                <w:rFonts w:hint="eastAsia" w:ascii="仿宋" w:hAnsi="仿宋" w:eastAsia="仿宋"/>
                <w:b/>
                <w:bCs/>
                <w:sz w:val="22"/>
              </w:rPr>
              <w:t>给</w:t>
            </w:r>
            <w:r>
              <w:rPr>
                <w:rFonts w:hint="eastAsia" w:ascii="仿宋" w:hAnsi="仿宋" w:eastAsia="仿宋"/>
                <w:b/>
                <w:sz w:val="22"/>
              </w:rPr>
              <w:t>付</w:t>
            </w:r>
            <w:r>
              <w:rPr>
                <w:rFonts w:hint="eastAsia" w:ascii="仿宋" w:hAnsi="仿宋" w:eastAsia="仿宋"/>
                <w:b/>
                <w:bCs/>
                <w:sz w:val="22"/>
              </w:rPr>
              <w:t>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航空意外身故保险</w:t>
            </w:r>
          </w:p>
        </w:tc>
        <w:tc>
          <w:tcPr>
            <w:tcW w:w="1243" w:type="dxa"/>
            <w:noWrap w:val="0"/>
            <w:vAlign w:val="center"/>
          </w:tcPr>
          <w:p>
            <w:pPr>
              <w:jc w:val="center"/>
              <w:rPr>
                <w:rFonts w:ascii="仿宋" w:hAnsi="仿宋" w:eastAsia="仿宋"/>
                <w:bCs/>
                <w:sz w:val="22"/>
              </w:rPr>
            </w:pPr>
            <w:r>
              <w:rPr>
                <w:rFonts w:ascii="仿宋" w:hAnsi="仿宋" w:eastAsia="仿宋"/>
                <w:bCs/>
                <w:sz w:val="22"/>
              </w:rPr>
              <w:t>50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参保职工凭票乘坐国内飞机，因航空意外致身故，按保险金额给付身故安慰金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火车意外伤害保险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20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参保职工凭票乘坐国内火车，因火车发生意外致身故，按保险金额给付身故安慰金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42" w:type="dxa"/>
            <w:noWrap w:val="0"/>
            <w:vAlign w:val="center"/>
          </w:tcPr>
          <w:p>
            <w:pPr>
              <w:jc w:val="center"/>
              <w:rPr>
                <w:rFonts w:ascii="仿宋" w:hAnsi="仿宋" w:eastAsia="仿宋"/>
                <w:b/>
                <w:bCs/>
                <w:spacing w:val="-12"/>
                <w:sz w:val="22"/>
              </w:rPr>
            </w:pPr>
            <w:r>
              <w:rPr>
                <w:rFonts w:hint="eastAsia" w:ascii="仿宋" w:hAnsi="仿宋" w:eastAsia="仿宋"/>
                <w:b/>
                <w:bCs/>
                <w:sz w:val="22"/>
              </w:rPr>
              <w:t>轮船意外伤害保险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20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参保职工凭票乘坐国内轮船，因轮船发生意外致身故，按保险金额给付身故安慰金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汽车意外伤害保险</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参保职工驾驶或凭票乘坐汽车所致身故，按保险金额给付身故安慰金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疾病住院医疗费用报销</w:t>
            </w:r>
          </w:p>
        </w:tc>
        <w:tc>
          <w:tcPr>
            <w:tcW w:w="1243" w:type="dxa"/>
            <w:noWrap w:val="0"/>
            <w:vAlign w:val="center"/>
          </w:tcPr>
          <w:p>
            <w:pPr>
              <w:jc w:val="center"/>
              <w:rPr>
                <w:rFonts w:ascii="仿宋" w:hAnsi="仿宋" w:eastAsia="仿宋"/>
                <w:bCs/>
                <w:sz w:val="22"/>
              </w:rPr>
            </w:pPr>
            <w:r>
              <w:rPr>
                <w:rFonts w:ascii="仿宋" w:hAnsi="仿宋" w:eastAsia="仿宋"/>
                <w:bCs/>
                <w:sz w:val="22"/>
              </w:rPr>
              <w:t>1.5</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参保职工在第一个保险年度因疾病住院，医保中心基本医疗保险封顶线以下，由个人承担的“起付线自付”“比例自付”“共付段自付”的医疗费用，</w:t>
            </w:r>
            <w:r>
              <w:rPr>
                <w:rFonts w:ascii="仿宋" w:hAnsi="仿宋" w:eastAsia="仿宋"/>
                <w:sz w:val="22"/>
              </w:rPr>
              <w:t>100</w:t>
            </w:r>
            <w:r>
              <w:rPr>
                <w:rFonts w:hint="eastAsia" w:ascii="仿宋" w:hAnsi="仿宋" w:eastAsia="仿宋"/>
                <w:sz w:val="22"/>
              </w:rPr>
              <w:t>元以上的部分</w:t>
            </w:r>
            <w:r>
              <w:rPr>
                <w:rFonts w:hint="eastAsia" w:ascii="仿宋" w:hAnsi="仿宋" w:eastAsia="仿宋"/>
                <w:b/>
                <w:bCs/>
                <w:sz w:val="22"/>
              </w:rPr>
              <w:t>按</w:t>
            </w:r>
            <w:r>
              <w:rPr>
                <w:rFonts w:ascii="仿宋" w:hAnsi="仿宋" w:eastAsia="仿宋"/>
                <w:b/>
                <w:bCs/>
                <w:sz w:val="22"/>
              </w:rPr>
              <w:t>90%</w:t>
            </w:r>
            <w:r>
              <w:rPr>
                <w:rFonts w:hint="eastAsia" w:ascii="仿宋" w:hAnsi="仿宋" w:eastAsia="仿宋"/>
                <w:b/>
                <w:bCs/>
                <w:sz w:val="22"/>
              </w:rPr>
              <w:t>的比例</w:t>
            </w:r>
            <w:r>
              <w:rPr>
                <w:rFonts w:hint="eastAsia" w:ascii="仿宋" w:hAnsi="仿宋" w:eastAsia="仿宋"/>
                <w:sz w:val="22"/>
              </w:rPr>
              <w:t>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意外伤害伤残金</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vMerge w:val="restart"/>
            <w:noWrap w:val="0"/>
            <w:vAlign w:val="center"/>
          </w:tcPr>
          <w:p>
            <w:pPr>
              <w:jc w:val="left"/>
              <w:rPr>
                <w:rFonts w:ascii="仿宋" w:hAnsi="仿宋" w:eastAsia="仿宋"/>
                <w:sz w:val="22"/>
              </w:rPr>
            </w:pPr>
            <w:r>
              <w:rPr>
                <w:rFonts w:hint="eastAsia" w:ascii="仿宋" w:hAnsi="仿宋" w:eastAsia="仿宋"/>
                <w:sz w:val="22"/>
              </w:rPr>
              <w:t>参保职工因意外伤害事故致残疾的，按残疾等级对照比例表给付残疾保障金。因意外伤害致身故，给付身故安慰金。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意外伤害身故金</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vMerge w:val="continue"/>
            <w:noWrap w:val="0"/>
            <w:vAlign w:val="center"/>
          </w:tcPr>
          <w:p>
            <w:pPr>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意外伤害或疾病住院补贴</w:t>
            </w:r>
          </w:p>
        </w:tc>
        <w:tc>
          <w:tcPr>
            <w:tcW w:w="1243" w:type="dxa"/>
            <w:noWrap w:val="0"/>
            <w:vAlign w:val="center"/>
          </w:tcPr>
          <w:p>
            <w:pPr>
              <w:jc w:val="center"/>
              <w:rPr>
                <w:rFonts w:ascii="仿宋" w:hAnsi="仿宋" w:eastAsia="仿宋"/>
                <w:bCs/>
                <w:sz w:val="22"/>
              </w:rPr>
            </w:pPr>
            <w:r>
              <w:rPr>
                <w:rFonts w:hint="eastAsia" w:ascii="仿宋" w:hAnsi="仿宋" w:eastAsia="仿宋"/>
                <w:bCs/>
                <w:sz w:val="22"/>
                <w:lang w:val="en-US" w:eastAsia="zh-CN"/>
              </w:rPr>
              <w:t>1.8</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参保职工在第一个保险住院治疗，每日补贴</w:t>
            </w:r>
            <w:r>
              <w:rPr>
                <w:rFonts w:hint="eastAsia" w:ascii="仿宋" w:hAnsi="仿宋" w:eastAsia="仿宋"/>
                <w:b/>
                <w:bCs/>
                <w:sz w:val="22"/>
              </w:rPr>
              <w:t>住院津贴</w:t>
            </w:r>
            <w:r>
              <w:rPr>
                <w:rFonts w:hint="eastAsia" w:ascii="仿宋" w:hAnsi="仿宋" w:eastAsia="仿宋"/>
                <w:b/>
                <w:bCs/>
                <w:sz w:val="22"/>
                <w:lang w:val="en-US" w:eastAsia="zh-CN"/>
              </w:rPr>
              <w:t>1</w:t>
            </w:r>
            <w:r>
              <w:rPr>
                <w:rFonts w:ascii="仿宋" w:hAnsi="仿宋" w:eastAsia="仿宋"/>
                <w:b/>
                <w:bCs/>
                <w:sz w:val="22"/>
              </w:rPr>
              <w:t>00</w:t>
            </w:r>
            <w:r>
              <w:rPr>
                <w:rFonts w:hint="eastAsia" w:ascii="仿宋" w:hAnsi="仿宋" w:eastAsia="仿宋"/>
                <w:b/>
                <w:bCs/>
                <w:sz w:val="22"/>
              </w:rPr>
              <w:t>元</w:t>
            </w:r>
            <w:r>
              <w:rPr>
                <w:rFonts w:hint="eastAsia" w:ascii="仿宋" w:hAnsi="仿宋" w:eastAsia="仿宋"/>
                <w:sz w:val="22"/>
              </w:rPr>
              <w:t>，累计最高补贴</w:t>
            </w:r>
            <w:r>
              <w:rPr>
                <w:rFonts w:ascii="仿宋" w:hAnsi="仿宋" w:eastAsia="仿宋"/>
                <w:sz w:val="22"/>
              </w:rPr>
              <w:t>180</w:t>
            </w:r>
            <w:r>
              <w:rPr>
                <w:rFonts w:hint="eastAsia" w:ascii="仿宋" w:hAnsi="仿宋" w:eastAsia="仿宋"/>
                <w:sz w:val="22"/>
              </w:rPr>
              <w:t>天，以保险期满日为止。同一种在</w:t>
            </w:r>
            <w:r>
              <w:rPr>
                <w:rFonts w:ascii="仿宋" w:hAnsi="仿宋" w:eastAsia="仿宋"/>
                <w:sz w:val="22"/>
              </w:rPr>
              <w:t>1</w:t>
            </w:r>
            <w:r>
              <w:rPr>
                <w:rFonts w:hint="eastAsia" w:ascii="仿宋" w:hAnsi="仿宋" w:eastAsia="仿宋"/>
                <w:sz w:val="22"/>
              </w:rPr>
              <w:t>个月内多次住院，只按一次给付住院津贴；</w:t>
            </w:r>
            <w:r>
              <w:rPr>
                <w:rFonts w:hint="eastAsia" w:ascii="仿宋" w:hAnsi="仿宋" w:eastAsia="仿宋"/>
                <w:b/>
                <w:sz w:val="22"/>
              </w:rPr>
              <w:t>意外无等待期、无免赔，每日住院津贴200元。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意外伤害医疗费用报销</w:t>
            </w:r>
          </w:p>
        </w:tc>
        <w:tc>
          <w:tcPr>
            <w:tcW w:w="1243" w:type="dxa"/>
            <w:noWrap w:val="0"/>
            <w:vAlign w:val="center"/>
          </w:tcPr>
          <w:p>
            <w:pPr>
              <w:jc w:val="center"/>
              <w:rPr>
                <w:rFonts w:ascii="仿宋" w:hAnsi="仿宋" w:eastAsia="仿宋"/>
                <w:bCs/>
                <w:sz w:val="22"/>
              </w:rPr>
            </w:pPr>
            <w:r>
              <w:rPr>
                <w:rFonts w:ascii="仿宋" w:hAnsi="仿宋" w:eastAsia="仿宋"/>
                <w:bCs/>
                <w:sz w:val="22"/>
              </w:rPr>
              <w:t>1</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参保职工因意外伤害进行门诊治疗或住院治疗，符合医保中心报销范围所支出的医疗费用</w:t>
            </w:r>
            <w:r>
              <w:rPr>
                <w:rFonts w:ascii="仿宋" w:hAnsi="仿宋" w:eastAsia="仿宋"/>
                <w:sz w:val="22"/>
              </w:rPr>
              <w:t>100</w:t>
            </w:r>
            <w:r>
              <w:rPr>
                <w:rFonts w:hint="eastAsia" w:ascii="仿宋" w:hAnsi="仿宋" w:eastAsia="仿宋"/>
                <w:sz w:val="22"/>
              </w:rPr>
              <w:t>元以上部分按</w:t>
            </w:r>
            <w:r>
              <w:rPr>
                <w:rFonts w:ascii="仿宋" w:hAnsi="仿宋" w:eastAsia="仿宋"/>
                <w:sz w:val="22"/>
              </w:rPr>
              <w:t>100%</w:t>
            </w:r>
            <w:r>
              <w:rPr>
                <w:rFonts w:hint="eastAsia" w:ascii="仿宋" w:hAnsi="仿宋" w:eastAsia="仿宋"/>
                <w:sz w:val="22"/>
              </w:rPr>
              <w:t>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大病、重病医疗补充报销</w:t>
            </w:r>
          </w:p>
        </w:tc>
        <w:tc>
          <w:tcPr>
            <w:tcW w:w="1243" w:type="dxa"/>
            <w:noWrap w:val="0"/>
            <w:vAlign w:val="center"/>
          </w:tcPr>
          <w:p>
            <w:pPr>
              <w:jc w:val="center"/>
              <w:rPr>
                <w:rFonts w:ascii="仿宋" w:hAnsi="仿宋" w:eastAsia="仿宋"/>
                <w:bCs/>
                <w:sz w:val="22"/>
              </w:rPr>
            </w:pPr>
            <w:r>
              <w:rPr>
                <w:rFonts w:ascii="仿宋" w:hAnsi="仿宋" w:eastAsia="仿宋"/>
                <w:bCs/>
                <w:sz w:val="22"/>
              </w:rPr>
              <w:t>15</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参保职工住院医疗费用支出超过封顶线最高限额，进入医保中心的大病互助保险后的符合医保政策费用，职工自付部分按</w:t>
            </w:r>
            <w:r>
              <w:rPr>
                <w:rFonts w:ascii="仿宋" w:hAnsi="仿宋" w:eastAsia="仿宋"/>
                <w:sz w:val="22"/>
              </w:rPr>
              <w:t>90%</w:t>
            </w:r>
            <w:r>
              <w:rPr>
                <w:rFonts w:hint="eastAsia" w:ascii="仿宋" w:hAnsi="仿宋" w:eastAsia="仿宋"/>
                <w:sz w:val="22"/>
              </w:rPr>
              <w:t>比例报销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意外烧伤给付</w:t>
            </w:r>
          </w:p>
        </w:tc>
        <w:tc>
          <w:tcPr>
            <w:tcW w:w="1243" w:type="dxa"/>
            <w:noWrap w:val="0"/>
            <w:vAlign w:val="center"/>
          </w:tcPr>
          <w:p>
            <w:pPr>
              <w:jc w:val="center"/>
              <w:rPr>
                <w:rFonts w:ascii="仿宋" w:hAnsi="仿宋" w:eastAsia="仿宋"/>
                <w:bCs/>
                <w:sz w:val="22"/>
              </w:rPr>
            </w:pPr>
            <w:r>
              <w:rPr>
                <w:rFonts w:ascii="仿宋" w:hAnsi="仿宋" w:eastAsia="仿宋"/>
                <w:bCs/>
                <w:sz w:val="22"/>
              </w:rPr>
              <w:t>10</w:t>
            </w:r>
            <w:r>
              <w:rPr>
                <w:rFonts w:hint="eastAsia" w:ascii="仿宋" w:hAnsi="仿宋" w:eastAsia="仿宋"/>
                <w:bCs/>
                <w:sz w:val="22"/>
              </w:rPr>
              <w:t>万元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r>
              <w:rPr>
                <w:rFonts w:hint="eastAsia" w:ascii="仿宋" w:hAnsi="仿宋" w:eastAsia="仿宋"/>
                <w:sz w:val="22"/>
              </w:rPr>
              <w:t>参保职工因意外烧伤治愈后，根据烧伤致残等级按“残疾等级对照比例表”对应给付相应比例保险金；不到残疾标准的给付医疗保险金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特定疾病</w:t>
            </w:r>
          </w:p>
        </w:tc>
        <w:tc>
          <w:tcPr>
            <w:tcW w:w="1243" w:type="dxa"/>
            <w:noWrap w:val="0"/>
            <w:vAlign w:val="center"/>
          </w:tcPr>
          <w:p>
            <w:pPr>
              <w:jc w:val="center"/>
              <w:rPr>
                <w:rFonts w:ascii="仿宋" w:hAnsi="仿宋" w:eastAsia="仿宋"/>
                <w:bCs/>
                <w:sz w:val="22"/>
              </w:rPr>
            </w:pPr>
            <w:r>
              <w:rPr>
                <w:rFonts w:hint="eastAsia" w:ascii="仿宋" w:hAnsi="仿宋" w:eastAsia="仿宋"/>
                <w:bCs/>
                <w:sz w:val="22"/>
              </w:rPr>
              <w:t>4万</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hint="default" w:ascii="仿宋" w:hAnsi="仿宋" w:eastAsia="仿宋"/>
                <w:sz w:val="22"/>
                <w:lang w:val="en-US" w:eastAsia="zh-CN"/>
              </w:rPr>
            </w:pPr>
            <w:r>
              <w:rPr>
                <w:rFonts w:hint="eastAsia" w:ascii="仿宋" w:hAnsi="仿宋" w:eastAsia="仿宋"/>
                <w:sz w:val="22"/>
                <w:lang w:val="en-US" w:eastAsia="zh-CN"/>
              </w:rPr>
              <w:t>投标人应列明特定疾病所包含种类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ascii="仿宋" w:hAnsi="仿宋" w:eastAsia="仿宋"/>
                <w:b/>
                <w:bCs/>
                <w:sz w:val="22"/>
              </w:rPr>
            </w:pPr>
            <w:r>
              <w:rPr>
                <w:rFonts w:hint="eastAsia" w:ascii="仿宋" w:hAnsi="仿宋" w:eastAsia="仿宋"/>
                <w:b/>
                <w:bCs/>
                <w:sz w:val="22"/>
              </w:rPr>
              <w:t>人均单价</w:t>
            </w:r>
          </w:p>
        </w:tc>
        <w:tc>
          <w:tcPr>
            <w:tcW w:w="1243" w:type="dxa"/>
            <w:noWrap w:val="0"/>
            <w:vAlign w:val="center"/>
          </w:tcPr>
          <w:p>
            <w:pPr>
              <w:jc w:val="center"/>
              <w:rPr>
                <w:rFonts w:hint="default" w:ascii="仿宋" w:hAnsi="仿宋" w:eastAsia="仿宋"/>
                <w:bCs/>
                <w:sz w:val="22"/>
                <w:lang w:val="en-US" w:eastAsia="zh-CN"/>
              </w:rPr>
            </w:pPr>
            <w:r>
              <w:rPr>
                <w:rFonts w:hint="eastAsia" w:ascii="仿宋" w:hAnsi="仿宋" w:eastAsia="仿宋"/>
                <w:bCs/>
                <w:sz w:val="22"/>
                <w:u w:val="single"/>
                <w:lang w:val="en-US" w:eastAsia="zh-CN"/>
              </w:rPr>
              <w:t xml:space="preserve">       </w:t>
            </w:r>
            <w:r>
              <w:rPr>
                <w:rFonts w:hint="eastAsia" w:ascii="仿宋" w:hAnsi="仿宋" w:eastAsia="仿宋"/>
                <w:bCs/>
                <w:sz w:val="22"/>
                <w:lang w:val="en-US" w:eastAsia="zh-CN"/>
              </w:rPr>
              <w:t>元</w:t>
            </w:r>
          </w:p>
        </w:tc>
        <w:tc>
          <w:tcPr>
            <w:tcW w:w="1025"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1年</w:t>
            </w:r>
          </w:p>
        </w:tc>
        <w:tc>
          <w:tcPr>
            <w:tcW w:w="6746" w:type="dxa"/>
            <w:noWrap w:val="0"/>
            <w:vAlign w:val="center"/>
          </w:tcPr>
          <w:p>
            <w:pPr>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242" w:type="dxa"/>
            <w:noWrap w:val="0"/>
            <w:vAlign w:val="center"/>
          </w:tcPr>
          <w:p>
            <w:pPr>
              <w:jc w:val="center"/>
              <w:rPr>
                <w:rFonts w:hint="eastAsia" w:ascii="仿宋" w:hAnsi="仿宋" w:eastAsia="仿宋"/>
                <w:b/>
                <w:bCs/>
                <w:sz w:val="22"/>
                <w:lang w:val="en-US" w:eastAsia="zh-CN"/>
              </w:rPr>
            </w:pPr>
            <w:r>
              <w:rPr>
                <w:rFonts w:hint="eastAsia" w:ascii="仿宋" w:hAnsi="仿宋" w:eastAsia="仿宋"/>
                <w:b/>
                <w:bCs/>
                <w:sz w:val="22"/>
                <w:lang w:val="en-US" w:eastAsia="zh-CN"/>
              </w:rPr>
              <w:t>总价</w:t>
            </w:r>
          </w:p>
        </w:tc>
        <w:tc>
          <w:tcPr>
            <w:tcW w:w="1243" w:type="dxa"/>
            <w:noWrap w:val="0"/>
            <w:vAlign w:val="center"/>
          </w:tcPr>
          <w:p>
            <w:pPr>
              <w:jc w:val="center"/>
              <w:rPr>
                <w:rFonts w:hint="default" w:ascii="仿宋" w:hAnsi="仿宋" w:eastAsia="仿宋"/>
                <w:bCs/>
                <w:sz w:val="22"/>
                <w:lang w:val="en-US" w:eastAsia="zh-CN"/>
              </w:rPr>
            </w:pPr>
            <w:r>
              <w:rPr>
                <w:rFonts w:hint="eastAsia" w:ascii="仿宋" w:hAnsi="仿宋" w:eastAsia="仿宋"/>
                <w:bCs/>
                <w:sz w:val="22"/>
                <w:lang w:val="en-US" w:eastAsia="zh-CN"/>
              </w:rPr>
              <w:t>146人</w:t>
            </w:r>
          </w:p>
        </w:tc>
        <w:tc>
          <w:tcPr>
            <w:tcW w:w="1025" w:type="dxa"/>
            <w:noWrap w:val="0"/>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1年</w:t>
            </w:r>
          </w:p>
        </w:tc>
        <w:tc>
          <w:tcPr>
            <w:tcW w:w="6746" w:type="dxa"/>
            <w:noWrap w:val="0"/>
            <w:vAlign w:val="center"/>
          </w:tcPr>
          <w:p>
            <w:pPr>
              <w:jc w:val="left"/>
              <w:rPr>
                <w:rFonts w:hint="default" w:ascii="仿宋" w:hAnsi="仿宋" w:eastAsia="仿宋"/>
                <w:sz w:val="22"/>
                <w:lang w:val="en-US" w:eastAsia="zh-CN"/>
              </w:rPr>
            </w:pPr>
            <w:r>
              <w:rPr>
                <w:rFonts w:hint="eastAsia" w:ascii="仿宋" w:hAnsi="仿宋" w:eastAsia="仿宋"/>
                <w:sz w:val="22"/>
                <w:u w:val="single"/>
                <w:lang w:val="en-US" w:eastAsia="zh-CN"/>
              </w:rPr>
              <w:t xml:space="preserve">            </w:t>
            </w:r>
            <w:r>
              <w:rPr>
                <w:rFonts w:hint="eastAsia" w:ascii="仿宋" w:hAnsi="仿宋" w:eastAsia="仿宋"/>
                <w:sz w:val="22"/>
                <w:lang w:val="en-US" w:eastAsia="zh-CN"/>
              </w:rPr>
              <w:t>元（大写：</w:t>
            </w:r>
            <w:r>
              <w:rPr>
                <w:rFonts w:hint="eastAsia" w:ascii="仿宋" w:hAnsi="仿宋" w:eastAsia="仿宋"/>
                <w:sz w:val="22"/>
                <w:u w:val="single"/>
                <w:lang w:val="en-US" w:eastAsia="zh-CN"/>
              </w:rPr>
              <w:t xml:space="preserve">                 </w:t>
            </w:r>
            <w:r>
              <w:rPr>
                <w:rFonts w:hint="eastAsia" w:ascii="仿宋" w:hAnsi="仿宋" w:eastAsia="仿宋"/>
                <w:sz w:val="22"/>
                <w:lang w:val="en-US" w:eastAsia="zh-CN"/>
              </w:rPr>
              <w:t xml:space="preserve"> ）</w:t>
            </w:r>
          </w:p>
        </w:tc>
      </w:tr>
      <w:bookmarkEnd w:id="22"/>
      <w:bookmarkEnd w:id="23"/>
      <w:bookmarkEnd w:id="24"/>
      <w:bookmarkEnd w:id="25"/>
      <w:bookmarkEnd w:id="26"/>
      <w:bookmarkEnd w:id="27"/>
      <w:bookmarkEnd w:id="28"/>
      <w:bookmarkEnd w:id="29"/>
    </w:tbl>
    <w:p>
      <w:pPr>
        <w:rPr>
          <w:rFonts w:hint="eastAsia" w:ascii="黑体" w:hAnsi="黑体" w:eastAsia="黑体" w:cs="仿宋"/>
          <w:b/>
          <w:color w:val="auto"/>
          <w:sz w:val="36"/>
          <w:szCs w:val="36"/>
        </w:rPr>
      </w:pPr>
      <w:r>
        <w:br w:type="page"/>
      </w:r>
    </w:p>
    <w:p>
      <w:pPr>
        <w:spacing w:line="312" w:lineRule="auto"/>
        <w:jc w:val="center"/>
        <w:outlineLvl w:val="0"/>
        <w:rPr>
          <w:rFonts w:ascii="黑体" w:hAnsi="黑体" w:eastAsia="黑体" w:cs="仿宋"/>
          <w:b/>
          <w:color w:val="auto"/>
          <w:sz w:val="36"/>
          <w:szCs w:val="36"/>
        </w:rPr>
      </w:pPr>
      <w:bookmarkStart w:id="31" w:name="_Toc32122"/>
      <w:r>
        <w:rPr>
          <w:rFonts w:hint="eastAsia" w:ascii="黑体" w:hAnsi="黑体" w:eastAsia="黑体" w:cs="仿宋"/>
          <w:b/>
          <w:color w:val="auto"/>
          <w:sz w:val="36"/>
          <w:szCs w:val="36"/>
        </w:rPr>
        <w:t>第六章  响应文件格式</w:t>
      </w:r>
      <w:bookmarkEnd w:id="30"/>
      <w:bookmarkEnd w:id="31"/>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outlineLvl w:val="0"/>
        <w:rPr>
          <w:rFonts w:eastAsia="方正小标宋_GBK"/>
          <w:b/>
          <w:bCs/>
          <w:color w:val="auto"/>
          <w:sz w:val="40"/>
          <w:szCs w:val="36"/>
        </w:rPr>
      </w:pPr>
      <w:r>
        <w:rPr>
          <w:rFonts w:hint="eastAsia" w:eastAsia="方正小标宋_GBK"/>
          <w:bCs/>
          <w:color w:val="auto"/>
          <w:sz w:val="48"/>
          <w:szCs w:val="44"/>
          <w:u w:val="single"/>
        </w:rPr>
        <w:t xml:space="preserve">       </w:t>
      </w:r>
      <w:r>
        <w:rPr>
          <w:rFonts w:eastAsia="方正小标宋_GBK"/>
          <w:bCs/>
          <w:color w:val="auto"/>
          <w:sz w:val="48"/>
          <w:szCs w:val="44"/>
          <w:u w:val="single"/>
        </w:rPr>
        <w:t xml:space="preserve">            </w:t>
      </w:r>
      <w:bookmarkStart w:id="32" w:name="_Toc31753"/>
      <w:bookmarkStart w:id="33" w:name="_Toc8763"/>
      <w:r>
        <w:rPr>
          <w:rFonts w:hint="eastAsia" w:eastAsia="方正小标宋_GBK"/>
          <w:b/>
          <w:bCs/>
          <w:color w:val="auto"/>
          <w:sz w:val="40"/>
          <w:szCs w:val="36"/>
        </w:rPr>
        <w:t>项目</w:t>
      </w:r>
      <w:bookmarkEnd w:id="32"/>
      <w:bookmarkEnd w:id="33"/>
    </w:p>
    <w:p>
      <w:pPr>
        <w:widowControl w:val="0"/>
        <w:spacing w:before="240" w:beforeLines="100" w:after="240" w:afterLines="100" w:line="240" w:lineRule="auto"/>
        <w:jc w:val="center"/>
        <w:outlineLvl w:val="0"/>
        <w:rPr>
          <w:rFonts w:eastAsia="楷体_GB2312"/>
          <w:b/>
          <w:bCs/>
          <w:color w:val="auto"/>
          <w:sz w:val="28"/>
          <w:szCs w:val="28"/>
        </w:rPr>
      </w:pPr>
      <w:bookmarkStart w:id="34" w:name="_Toc7523"/>
      <w:bookmarkStart w:id="35" w:name="_Toc11527"/>
      <w:r>
        <w:rPr>
          <w:rFonts w:eastAsia="楷体_GB2312"/>
          <w:b/>
          <w:bCs/>
          <w:color w:val="auto"/>
          <w:sz w:val="28"/>
          <w:szCs w:val="28"/>
        </w:rPr>
        <w:t>（项目</w:t>
      </w:r>
      <w:r>
        <w:rPr>
          <w:rFonts w:hint="eastAsia" w:eastAsia="楷体_GB2312"/>
          <w:b/>
          <w:bCs/>
          <w:color w:val="auto"/>
          <w:sz w:val="28"/>
          <w:szCs w:val="28"/>
        </w:rPr>
        <w:t>采购</w:t>
      </w:r>
      <w:r>
        <w:rPr>
          <w:rFonts w:eastAsia="楷体_GB2312"/>
          <w:b/>
          <w:bCs/>
          <w:color w:val="auto"/>
          <w:sz w:val="28"/>
          <w:szCs w:val="28"/>
        </w:rPr>
        <w:t>编号：</w:t>
      </w:r>
      <w:r>
        <w:rPr>
          <w:rFonts w:eastAsia="楷体_GB2312"/>
          <w:b/>
          <w:bCs/>
          <w:color w:val="auto"/>
          <w:sz w:val="28"/>
          <w:szCs w:val="28"/>
          <w:u w:val="single"/>
        </w:rPr>
        <w:t xml:space="preserve">   </w:t>
      </w:r>
      <w:r>
        <w:rPr>
          <w:rFonts w:hint="eastAsia" w:eastAsia="楷体_GB2312"/>
          <w:b/>
          <w:bCs/>
          <w:color w:val="auto"/>
          <w:sz w:val="28"/>
          <w:szCs w:val="28"/>
          <w:u w:val="single"/>
        </w:rPr>
        <w:t>填入项目采购编号</w:t>
      </w:r>
      <w:r>
        <w:rPr>
          <w:rFonts w:eastAsia="楷体_GB2312"/>
          <w:b/>
          <w:bCs/>
          <w:color w:val="auto"/>
          <w:sz w:val="28"/>
          <w:szCs w:val="28"/>
          <w:u w:val="single"/>
        </w:rPr>
        <w:t xml:space="preserve">     </w:t>
      </w:r>
      <w:r>
        <w:rPr>
          <w:rFonts w:eastAsia="楷体_GB2312"/>
          <w:b/>
          <w:bCs/>
          <w:color w:val="auto"/>
          <w:sz w:val="28"/>
          <w:szCs w:val="28"/>
        </w:rPr>
        <w:t>）</w:t>
      </w:r>
      <w:bookmarkEnd w:id="34"/>
      <w:bookmarkEnd w:id="35"/>
    </w:p>
    <w:p>
      <w:pPr>
        <w:widowControl w:val="0"/>
        <w:adjustRightInd w:val="0"/>
        <w:snapToGrid w:val="0"/>
        <w:rPr>
          <w:b/>
          <w:color w:val="auto"/>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outlineLvl w:val="0"/>
        <w:rPr>
          <w:rFonts w:eastAsia="方正小标宋_GBK"/>
          <w:b/>
          <w:bCs/>
          <w:color w:val="auto"/>
          <w:spacing w:val="160"/>
          <w:sz w:val="72"/>
          <w:szCs w:val="72"/>
        </w:rPr>
      </w:pPr>
      <w:bookmarkStart w:id="36" w:name="_Toc54"/>
      <w:bookmarkStart w:id="37" w:name="_Toc19319"/>
      <w:r>
        <w:rPr>
          <w:rFonts w:hint="eastAsia" w:eastAsia="方正小标宋_GBK"/>
          <w:b/>
          <w:bCs/>
          <w:color w:val="auto"/>
          <w:spacing w:val="160"/>
          <w:sz w:val="72"/>
          <w:szCs w:val="72"/>
        </w:rPr>
        <w:t>响应</w:t>
      </w:r>
      <w:r>
        <w:rPr>
          <w:rFonts w:eastAsia="方正小标宋_GBK"/>
          <w:b/>
          <w:bCs/>
          <w:color w:val="auto"/>
          <w:spacing w:val="160"/>
          <w:sz w:val="72"/>
          <w:szCs w:val="72"/>
        </w:rPr>
        <w:t>文件</w:t>
      </w:r>
      <w:bookmarkEnd w:id="36"/>
      <w:bookmarkEnd w:id="37"/>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900" w:lineRule="exact"/>
        <w:jc w:val="center"/>
        <w:outlineLvl w:val="0"/>
        <w:rPr>
          <w:rFonts w:eastAsia="黑体"/>
          <w:bCs/>
          <w:color w:val="auto"/>
          <w:sz w:val="30"/>
          <w:szCs w:val="30"/>
        </w:rPr>
      </w:pPr>
      <w:bookmarkStart w:id="38" w:name="_Toc20386"/>
      <w:bookmarkStart w:id="39" w:name="_Toc18819"/>
      <w:r>
        <w:rPr>
          <w:rFonts w:hint="eastAsia" w:eastAsia="黑体"/>
          <w:bCs/>
          <w:color w:val="auto"/>
          <w:sz w:val="30"/>
          <w:szCs w:val="30"/>
        </w:rPr>
        <w:t>供 应 商</w:t>
      </w:r>
      <w:r>
        <w:rPr>
          <w:rFonts w:eastAsia="黑体"/>
          <w:bCs/>
          <w:color w:val="auto"/>
          <w:sz w:val="30"/>
          <w:szCs w:val="30"/>
        </w:rPr>
        <w:t>：</w:t>
      </w:r>
      <w:r>
        <w:rPr>
          <w:rFonts w:eastAsia="黑体"/>
          <w:bCs/>
          <w:color w:val="auto"/>
          <w:sz w:val="30"/>
          <w:szCs w:val="30"/>
          <w:u w:val="single"/>
        </w:rPr>
        <w:t xml:space="preserve">  </w:t>
      </w:r>
      <w:r>
        <w:rPr>
          <w:rFonts w:hint="eastAsia" w:eastAsia="黑体"/>
          <w:bCs/>
          <w:color w:val="auto"/>
          <w:sz w:val="30"/>
          <w:szCs w:val="30"/>
          <w:u w:val="single"/>
        </w:rPr>
        <w:t>供应商</w:t>
      </w:r>
      <w:r>
        <w:rPr>
          <w:rFonts w:eastAsia="黑体"/>
          <w:bCs/>
          <w:color w:val="auto"/>
          <w:sz w:val="30"/>
          <w:szCs w:val="30"/>
          <w:u w:val="single"/>
        </w:rPr>
        <w:t>全称并盖单位公章</w:t>
      </w:r>
      <w:bookmarkEnd w:id="38"/>
      <w:bookmarkEnd w:id="39"/>
      <w:r>
        <w:rPr>
          <w:rFonts w:eastAsia="黑体"/>
          <w:bCs/>
          <w:color w:val="auto"/>
          <w:sz w:val="30"/>
          <w:szCs w:val="30"/>
          <w:u w:val="single"/>
        </w:rPr>
        <w:t xml:space="preserve"> </w:t>
      </w:r>
    </w:p>
    <w:p>
      <w:pPr>
        <w:spacing w:line="900" w:lineRule="exact"/>
        <w:jc w:val="center"/>
        <w:outlineLvl w:val="0"/>
        <w:rPr>
          <w:rFonts w:eastAsia="黑体"/>
          <w:color w:val="auto"/>
          <w:sz w:val="30"/>
          <w:szCs w:val="30"/>
        </w:rPr>
      </w:pPr>
      <w:bookmarkStart w:id="40" w:name="_Toc16821"/>
      <w:bookmarkStart w:id="41" w:name="_Toc21543"/>
      <w:r>
        <w:rPr>
          <w:rFonts w:eastAsia="黑体"/>
          <w:color w:val="auto"/>
          <w:sz w:val="30"/>
          <w:szCs w:val="30"/>
        </w:rPr>
        <w:t>日</w:t>
      </w:r>
      <w:r>
        <w:rPr>
          <w:rFonts w:hint="eastAsia" w:eastAsia="黑体"/>
          <w:color w:val="auto"/>
          <w:sz w:val="30"/>
          <w:szCs w:val="30"/>
        </w:rPr>
        <w:t xml:space="preserve">   </w:t>
      </w:r>
      <w:r>
        <w:rPr>
          <w:rFonts w:eastAsia="黑体"/>
          <w:color w:val="auto"/>
          <w:sz w:val="30"/>
          <w:szCs w:val="30"/>
        </w:rPr>
        <w:t>期：</w:t>
      </w:r>
      <w:r>
        <w:rPr>
          <w:rFonts w:eastAsia="黑体"/>
          <w:color w:val="auto"/>
          <w:sz w:val="30"/>
          <w:szCs w:val="30"/>
          <w:u w:val="single"/>
        </w:rPr>
        <w:t xml:space="preserve">      </w:t>
      </w:r>
      <w:r>
        <w:rPr>
          <w:rFonts w:eastAsia="黑体"/>
          <w:color w:val="auto"/>
          <w:sz w:val="30"/>
          <w:szCs w:val="30"/>
        </w:rPr>
        <w:t>年</w:t>
      </w:r>
      <w:r>
        <w:rPr>
          <w:rFonts w:eastAsia="黑体"/>
          <w:color w:val="auto"/>
          <w:sz w:val="30"/>
          <w:szCs w:val="30"/>
          <w:u w:val="single"/>
        </w:rPr>
        <w:t xml:space="preserve">    </w:t>
      </w:r>
      <w:r>
        <w:rPr>
          <w:rFonts w:eastAsia="黑体"/>
          <w:color w:val="auto"/>
          <w:sz w:val="30"/>
          <w:szCs w:val="30"/>
        </w:rPr>
        <w:t>月</w:t>
      </w:r>
      <w:r>
        <w:rPr>
          <w:rFonts w:eastAsia="黑体"/>
          <w:color w:val="auto"/>
          <w:sz w:val="30"/>
          <w:szCs w:val="30"/>
          <w:u w:val="single"/>
        </w:rPr>
        <w:t xml:space="preserve">    </w:t>
      </w:r>
      <w:r>
        <w:rPr>
          <w:rFonts w:eastAsia="黑体"/>
          <w:color w:val="auto"/>
          <w:sz w:val="30"/>
          <w:szCs w:val="30"/>
        </w:rPr>
        <w:t>日</w:t>
      </w:r>
      <w:bookmarkEnd w:id="40"/>
      <w:bookmarkEnd w:id="41"/>
    </w:p>
    <w:p>
      <w:pPr>
        <w:rPr>
          <w:color w:val="auto"/>
          <w:lang w:val="zh-CN"/>
        </w:rPr>
      </w:pPr>
      <w:r>
        <w:rPr>
          <w:color w:val="auto"/>
          <w:lang w:val="zh-CN"/>
        </w:rPr>
        <w:br w:type="page"/>
      </w:r>
    </w:p>
    <w:p>
      <w:pPr>
        <w:adjustRightInd w:val="0"/>
        <w:snapToGrid w:val="0"/>
        <w:spacing w:line="600" w:lineRule="exact"/>
        <w:jc w:val="center"/>
        <w:outlineLvl w:val="0"/>
        <w:rPr>
          <w:rFonts w:ascii="黑体" w:hAnsi="黑体" w:eastAsia="黑体" w:cs="仿宋"/>
          <w:color w:val="auto"/>
          <w:sz w:val="36"/>
          <w:szCs w:val="36"/>
        </w:rPr>
      </w:pPr>
      <w:bookmarkStart w:id="42" w:name="_Toc17707"/>
      <w:bookmarkStart w:id="43" w:name="_Toc8335"/>
      <w:r>
        <w:rPr>
          <w:rFonts w:hint="eastAsia" w:ascii="黑体" w:hAnsi="黑体" w:eastAsia="黑体" w:cs="仿宋"/>
          <w:color w:val="auto"/>
          <w:sz w:val="36"/>
          <w:szCs w:val="36"/>
        </w:rPr>
        <w:t xml:space="preserve">目 </w:t>
      </w:r>
      <w:r>
        <w:rPr>
          <w:rFonts w:ascii="黑体" w:hAnsi="黑体" w:eastAsia="黑体" w:cs="仿宋"/>
          <w:color w:val="auto"/>
          <w:sz w:val="36"/>
          <w:szCs w:val="36"/>
        </w:rPr>
        <w:t xml:space="preserve"> </w:t>
      </w:r>
      <w:r>
        <w:rPr>
          <w:rFonts w:hint="eastAsia" w:ascii="黑体" w:hAnsi="黑体" w:eastAsia="黑体" w:cs="仿宋"/>
          <w:color w:val="auto"/>
          <w:sz w:val="36"/>
          <w:szCs w:val="36"/>
        </w:rPr>
        <w:t>录</w:t>
      </w:r>
      <w:bookmarkEnd w:id="42"/>
      <w:bookmarkEnd w:id="43"/>
    </w:p>
    <w:p>
      <w:pPr>
        <w:adjustRightInd w:val="0"/>
        <w:snapToGrid w:val="0"/>
        <w:spacing w:line="600" w:lineRule="exact"/>
        <w:jc w:val="both"/>
        <w:rPr>
          <w:rFonts w:ascii="宋体" w:hAnsi="宋体" w:cs="仿宋"/>
          <w:color w:val="auto"/>
          <w:sz w:val="36"/>
          <w:szCs w:val="36"/>
        </w:rPr>
      </w:pP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一、响应函</w:t>
      </w:r>
      <w:r>
        <w:rPr>
          <w:rFonts w:hint="eastAsia" w:ascii="宋体" w:hAnsi="宋体" w:cs="仿宋"/>
          <w:color w:val="auto"/>
          <w:sz w:val="24"/>
        </w:rPr>
        <w:br w:type="textWrapping"/>
      </w:r>
      <w:r>
        <w:rPr>
          <w:rFonts w:hint="eastAsia" w:ascii="宋体" w:hAnsi="宋体" w:cs="仿宋"/>
          <w:color w:val="auto"/>
          <w:sz w:val="24"/>
        </w:rPr>
        <w:t>二、授权委托书(适用于有委托代理人的情况)</w:t>
      </w:r>
      <w:r>
        <w:rPr>
          <w:rFonts w:hint="eastAsia" w:ascii="宋体" w:hAnsi="宋体" w:cs="仿宋"/>
          <w:color w:val="auto"/>
          <w:sz w:val="24"/>
        </w:rPr>
        <w:br w:type="textWrapping"/>
      </w:r>
      <w:r>
        <w:rPr>
          <w:rFonts w:hint="eastAsia" w:ascii="宋体" w:hAnsi="宋体" w:cs="仿宋"/>
          <w:color w:val="auto"/>
          <w:sz w:val="24"/>
        </w:rPr>
        <w:t>三、商务和技术偏差表</w:t>
      </w:r>
      <w:r>
        <w:rPr>
          <w:rFonts w:hint="eastAsia" w:ascii="宋体" w:hAnsi="宋体" w:cs="仿宋"/>
          <w:color w:val="auto"/>
          <w:sz w:val="24"/>
        </w:rPr>
        <w:br w:type="textWrapping"/>
      </w:r>
      <w:r>
        <w:rPr>
          <w:rFonts w:hint="eastAsia" w:ascii="宋体" w:hAnsi="宋体" w:cs="仿宋"/>
          <w:color w:val="auto"/>
          <w:sz w:val="24"/>
          <w:lang w:eastAsia="zh-CN"/>
        </w:rPr>
        <w:t>四</w:t>
      </w:r>
      <w:r>
        <w:rPr>
          <w:rFonts w:hint="eastAsia" w:ascii="宋体" w:hAnsi="宋体" w:cs="仿宋"/>
          <w:color w:val="auto"/>
          <w:sz w:val="24"/>
        </w:rPr>
        <w:t>、报价表</w:t>
      </w:r>
      <w:r>
        <w:rPr>
          <w:rFonts w:hint="eastAsia" w:ascii="宋体" w:hAnsi="宋体" w:cs="仿宋"/>
          <w:color w:val="auto"/>
          <w:sz w:val="24"/>
        </w:rPr>
        <w:br w:type="textWrapping"/>
      </w:r>
      <w:r>
        <w:rPr>
          <w:rFonts w:hint="eastAsia" w:ascii="宋体" w:hAnsi="宋体" w:cs="仿宋"/>
          <w:color w:val="auto"/>
          <w:sz w:val="24"/>
          <w:lang w:eastAsia="zh-CN"/>
        </w:rPr>
        <w:t>五</w:t>
      </w:r>
      <w:r>
        <w:rPr>
          <w:rFonts w:hint="eastAsia" w:ascii="宋体" w:hAnsi="宋体" w:cs="仿宋"/>
          <w:color w:val="auto"/>
          <w:sz w:val="24"/>
        </w:rPr>
        <w:t>、资格审查资料</w:t>
      </w:r>
      <w:r>
        <w:rPr>
          <w:rFonts w:hint="eastAsia" w:ascii="宋体" w:hAnsi="宋体" w:cs="仿宋"/>
          <w:color w:val="auto"/>
          <w:sz w:val="24"/>
        </w:rPr>
        <w:br w:type="textWrapping"/>
      </w:r>
      <w:r>
        <w:rPr>
          <w:rFonts w:hint="eastAsia" w:ascii="宋体" w:hAnsi="宋体" w:cs="仿宋"/>
          <w:color w:val="auto"/>
          <w:sz w:val="24"/>
          <w:lang w:eastAsia="zh-CN"/>
        </w:rPr>
        <w:t>六</w:t>
      </w:r>
      <w:r>
        <w:rPr>
          <w:rFonts w:hint="eastAsia" w:ascii="宋体" w:hAnsi="宋体" w:cs="仿宋"/>
          <w:color w:val="auto"/>
          <w:sz w:val="24"/>
        </w:rPr>
        <w:t>、响应方案</w:t>
      </w:r>
      <w:r>
        <w:rPr>
          <w:rFonts w:hint="eastAsia" w:ascii="宋体" w:hAnsi="宋体" w:cs="仿宋"/>
          <w:color w:val="auto"/>
          <w:sz w:val="24"/>
        </w:rPr>
        <w:br w:type="textWrapping"/>
      </w:r>
      <w:r>
        <w:rPr>
          <w:rFonts w:hint="eastAsia" w:ascii="宋体" w:hAnsi="宋体" w:cs="仿宋"/>
          <w:color w:val="auto"/>
          <w:sz w:val="24"/>
          <w:lang w:eastAsia="zh-CN"/>
        </w:rPr>
        <w:t>七</w:t>
      </w:r>
      <w:r>
        <w:rPr>
          <w:rFonts w:hint="eastAsia" w:ascii="宋体" w:hAnsi="宋体" w:cs="仿宋"/>
          <w:color w:val="auto"/>
          <w:sz w:val="24"/>
        </w:rPr>
        <w:t>、其他资料</w:t>
      </w:r>
    </w:p>
    <w:p>
      <w:pPr>
        <w:rPr>
          <w:color w:val="auto"/>
          <w:lang w:val="zh-CN"/>
        </w:rPr>
      </w:pPr>
      <w:r>
        <w:rPr>
          <w:color w:val="auto"/>
          <w:lang w:val="zh-CN"/>
        </w:rPr>
        <w:br w:type="page"/>
      </w:r>
    </w:p>
    <w:p>
      <w:pPr>
        <w:numPr>
          <w:ilvl w:val="0"/>
          <w:numId w:val="4"/>
        </w:numPr>
        <w:adjustRightInd w:val="0"/>
        <w:snapToGrid w:val="0"/>
        <w:spacing w:line="600" w:lineRule="exact"/>
        <w:jc w:val="center"/>
        <w:outlineLvl w:val="0"/>
        <w:rPr>
          <w:rFonts w:ascii="黑体" w:hAnsi="黑体" w:eastAsia="黑体" w:cs="仿宋"/>
          <w:color w:val="auto"/>
          <w:sz w:val="36"/>
          <w:szCs w:val="36"/>
        </w:rPr>
      </w:pPr>
      <w:bookmarkStart w:id="44" w:name="_Toc12688"/>
      <w:bookmarkStart w:id="45" w:name="_Toc4701"/>
      <w:r>
        <w:rPr>
          <w:rFonts w:hint="eastAsia" w:ascii="黑体" w:hAnsi="黑体" w:eastAsia="黑体" w:cs="仿宋"/>
          <w:color w:val="auto"/>
          <w:sz w:val="36"/>
          <w:szCs w:val="36"/>
        </w:rPr>
        <w:t>响应函</w:t>
      </w:r>
      <w:bookmarkEnd w:id="44"/>
      <w:bookmarkEnd w:id="45"/>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(采购人名称):</w:t>
      </w:r>
    </w:p>
    <w:p>
      <w:pPr>
        <w:numPr>
          <w:ilvl w:val="0"/>
          <w:numId w:val="5"/>
        </w:numPr>
        <w:adjustRightInd w:val="0"/>
        <w:snapToGrid w:val="0"/>
        <w:spacing w:line="600" w:lineRule="exact"/>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我方已仔细研究了__(项目名称)采购文件的全部内容，愿意以含税价人民币(大写)(￥</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)的报价（其中：不含税价为: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;增值税税</w:t>
      </w:r>
      <w:r>
        <w:rPr>
          <w:rFonts w:hint="eastAsia" w:cs="仿宋" w:asciiTheme="minorEastAsia" w:hAnsiTheme="minorEastAsia" w:eastAsiaTheme="minorEastAsia"/>
          <w:color w:val="auto"/>
          <w:sz w:val="24"/>
          <w:lang w:val="en-US" w:eastAsia="zh-CN"/>
        </w:rPr>
        <w:t>率</w:t>
      </w:r>
      <w:r>
        <w:rPr>
          <w:rFonts w:hint="eastAsia" w:cs="仿宋" w:asciiTheme="minorEastAsia" w:hAnsiTheme="minorEastAsia" w:eastAsiaTheme="minorEastAsia"/>
          <w:color w:val="auto"/>
          <w:sz w:val="24"/>
        </w:rPr>
        <w:t>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)完成提供本项目服务，并按合同约定履行义务。</w:t>
      </w:r>
    </w:p>
    <w:p>
      <w:pPr>
        <w:pStyle w:val="2"/>
        <w:numPr>
          <w:ilvl w:val="0"/>
          <w:numId w:val="0"/>
        </w:numPr>
        <w:ind w:leftChars="0"/>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服务期限：合同签订日至2022年12月31日</w:t>
      </w:r>
    </w:p>
    <w:p>
      <w:pPr>
        <w:pStyle w:val="3"/>
        <w:rPr>
          <w:rFonts w:hint="default"/>
          <w:lang w:val="en-US" w:eastAsia="zh-CN"/>
        </w:rPr>
      </w:pPr>
      <w:r>
        <w:rPr>
          <w:rFonts w:hint="eastAsia" w:cs="仿宋" w:asciiTheme="minorEastAsia" w:hAnsiTheme="minorEastAsia" w:eastAsiaTheme="minorEastAsia"/>
          <w:color w:val="auto"/>
          <w:kern w:val="2"/>
          <w:sz w:val="24"/>
          <w:szCs w:val="24"/>
          <w:lang w:val="en-US" w:eastAsia="zh-CN" w:bidi="ar-SA"/>
        </w:rPr>
        <w:t>响应文件有效期：响应文件递交截止日后90天内</w:t>
      </w:r>
      <w:bookmarkStart w:id="60" w:name="_GoBack"/>
      <w:bookmarkEnd w:id="60"/>
    </w:p>
    <w:p>
      <w:pPr>
        <w:adjustRightInd w:val="0"/>
        <w:snapToGrid w:val="0"/>
        <w:spacing w:line="600" w:lineRule="exact"/>
        <w:jc w:val="both"/>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(1)响应函;</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(2)授权委托书(</w:t>
      </w:r>
      <w:r>
        <w:rPr>
          <w:rFonts w:hint="eastAsia" w:ascii="宋体" w:hAnsi="宋体" w:cs="仿宋"/>
          <w:color w:val="auto"/>
          <w:sz w:val="24"/>
        </w:rPr>
        <w:t>适用于有委托代理人的情况</w:t>
      </w:r>
      <w:r>
        <w:rPr>
          <w:rFonts w:hint="eastAsia" w:cs="仿宋" w:asciiTheme="minorEastAsia" w:hAnsiTheme="minorEastAsia" w:eastAsiaTheme="minorEastAsia"/>
          <w:color w:val="auto"/>
          <w:sz w:val="24"/>
        </w:rPr>
        <w:t>);</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)商务和技术偏差表;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)报价表;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)资格审查资料;</w:t>
      </w:r>
    </w:p>
    <w:p>
      <w:pPr>
        <w:adjustRightInd w:val="0"/>
        <w:snapToGrid w:val="0"/>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)响应方案;</w:t>
      </w:r>
    </w:p>
    <w:p>
      <w:pPr>
        <w:adjustRightInd w:val="0"/>
        <w:snapToGrid w:val="0"/>
        <w:spacing w:line="600" w:lineRule="exact"/>
        <w:ind w:left="0" w:leftChars="0"/>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其他资料</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3.我方承诺除商务和技术偏差表列出的偏差外，我方响应采购文件的全部要求。</w:t>
      </w:r>
    </w:p>
    <w:p>
      <w:pPr>
        <w:numPr>
          <w:ilvl w:val="0"/>
          <w:numId w:val="6"/>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我方承诺在采购文件规定的响应文件有效期内不撤销响应文件。</w:t>
      </w:r>
    </w:p>
    <w:p>
      <w:pPr>
        <w:numPr>
          <w:ilvl w:val="0"/>
          <w:numId w:val="6"/>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6.我方在此声明，所递交的响应文件及有关资料内容完整、真实和准确，且不开在第一章“</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7.(其他补充说明)。</w:t>
      </w:r>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法定代表人(单位负责人)或其授权的代理人:(签字) </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地址:____________________________________________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电子邮箱：_______________________________________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电话：____________________________________________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传真：____________________________________________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邮政编码：_______________________________________</w:t>
      </w:r>
    </w:p>
    <w:p>
      <w:pPr>
        <w:spacing w:line="600" w:lineRule="exact"/>
        <w:jc w:val="both"/>
        <w:rPr>
          <w:rFonts w:cs="仿宋" w:asciiTheme="minorEastAsia" w:hAnsiTheme="minorEastAsia" w:eastAsiaTheme="minorEastAsia"/>
          <w:color w:val="auto"/>
          <w:sz w:val="24"/>
        </w:rPr>
      </w:pPr>
    </w:p>
    <w:p>
      <w:pPr>
        <w:spacing w:line="600" w:lineRule="exact"/>
        <w:jc w:val="righ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年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 xml:space="preserve">月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400" w:lineRule="exact"/>
        <w:jc w:val="center"/>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36"/>
          <w:szCs w:val="36"/>
        </w:rPr>
        <w:t>附：守法诚信承诺书</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××公司：</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1、我司已仔细阅读《××单位××文件》</w:t>
      </w:r>
      <w:r>
        <w:rPr>
          <w:rFonts w:cs="仿宋" w:asciiTheme="minorEastAsia" w:hAnsiTheme="minorEastAsia" w:eastAsiaTheme="minorEastAsia"/>
          <w:color w:val="auto"/>
          <w:sz w:val="24"/>
        </w:rPr>
        <w:t>（编号</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（以下</w:t>
      </w:r>
      <w:r>
        <w:rPr>
          <w:rFonts w:cs="仿宋" w:asciiTheme="minorEastAsia" w:hAnsiTheme="minorEastAsia" w:eastAsiaTheme="minorEastAsia"/>
          <w:color w:val="auto"/>
          <w:sz w:val="24"/>
        </w:rPr>
        <w:t>简称</w:t>
      </w:r>
      <w:r>
        <w:rPr>
          <w:rFonts w:hint="eastAsia" w:cs="仿宋" w:asciiTheme="minorEastAsia" w:hAnsiTheme="minorEastAsia" w:eastAsiaTheme="minorEastAsia"/>
          <w:color w:val="auto"/>
          <w:sz w:val="24"/>
        </w:rPr>
        <w:t>采购</w:t>
      </w:r>
      <w:r>
        <w:rPr>
          <w:rFonts w:cs="仿宋" w:asciiTheme="minorEastAsia" w:hAnsiTheme="minorEastAsia" w:eastAsiaTheme="minorEastAsia"/>
          <w:color w:val="auto"/>
          <w:sz w:val="24"/>
        </w:rPr>
        <w:t>文件）</w:t>
      </w:r>
      <w:r>
        <w:rPr>
          <w:rFonts w:hint="eastAsia" w:cs="仿宋" w:asciiTheme="minorEastAsia" w:hAnsiTheme="minorEastAsia" w:eastAsiaTheme="minorEastAsia"/>
          <w:color w:val="auto"/>
          <w:sz w:val="24"/>
        </w:rPr>
        <w:t>，包括采</w:t>
      </w:r>
      <w:r>
        <w:rPr>
          <w:rFonts w:cs="仿宋" w:asciiTheme="minorEastAsia" w:hAnsiTheme="minorEastAsia" w:eastAsiaTheme="minorEastAsia"/>
          <w:color w:val="auto"/>
          <w:sz w:val="24"/>
        </w:rPr>
        <w:t>购</w:t>
      </w:r>
      <w:r>
        <w:rPr>
          <w:rFonts w:hint="eastAsia" w:cs="仿宋" w:asciiTheme="minorEastAsia" w:hAnsiTheme="minorEastAsia" w:eastAsiaTheme="minorEastAsia"/>
          <w:color w:val="auto"/>
          <w:sz w:val="24"/>
        </w:rPr>
        <w:t>文件的澄清或修改说明</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2、遵纪守法，不触底线，公平公正参与竞争。我司提供的《响应文件》及其资料真实合法有效。</w:t>
      </w:r>
      <w:r>
        <w:rPr>
          <w:rFonts w:cs="仿宋" w:asciiTheme="minorEastAsia" w:hAnsiTheme="minorEastAsia" w:eastAsiaTheme="minorEastAsia"/>
          <w:color w:val="auto"/>
          <w:sz w:val="24"/>
        </w:rPr>
        <w:t xml:space="preserve"> </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3、响应期间没有因质量或</w:t>
      </w:r>
      <w:r>
        <w:rPr>
          <w:rFonts w:cs="仿宋" w:asciiTheme="minorEastAsia" w:hAnsiTheme="minorEastAsia" w:eastAsiaTheme="minorEastAsia"/>
          <w:color w:val="auto"/>
          <w:sz w:val="24"/>
        </w:rPr>
        <w:t>服务</w:t>
      </w:r>
      <w:r>
        <w:rPr>
          <w:rFonts w:hint="eastAsia" w:cs="仿宋" w:asciiTheme="minorEastAsia" w:hAnsiTheme="minorEastAsia" w:eastAsiaTheme="minorEastAsia"/>
          <w:color w:val="auto"/>
          <w:sz w:val="24"/>
        </w:rPr>
        <w:t>问题被采购人或采购人上级</w:t>
      </w:r>
      <w:r>
        <w:rPr>
          <w:rFonts w:cs="仿宋" w:asciiTheme="minorEastAsia" w:hAnsiTheme="minorEastAsia" w:eastAsiaTheme="minorEastAsia"/>
          <w:color w:val="auto"/>
          <w:sz w:val="24"/>
        </w:rPr>
        <w:t>机构</w:t>
      </w:r>
      <w:r>
        <w:rPr>
          <w:rFonts w:hint="eastAsia" w:cs="仿宋" w:asciiTheme="minorEastAsia" w:hAnsiTheme="minorEastAsia" w:eastAsiaTheme="minorEastAsia"/>
          <w:color w:val="auto"/>
          <w:sz w:val="24"/>
        </w:rPr>
        <w:t>通报且在整改期内。</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5、无联合体另外报价。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7</w:t>
      </w:r>
      <w:r>
        <w:rPr>
          <w:rFonts w:hint="eastAsia" w:cs="仿宋" w:asciiTheme="minorEastAsia" w:hAnsiTheme="minorEastAsia" w:eastAsiaTheme="minorEastAsia"/>
          <w:color w:val="auto"/>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9</w:t>
      </w:r>
      <w:r>
        <w:rPr>
          <w:rFonts w:hint="eastAsia" w:cs="仿宋" w:asciiTheme="minorEastAsia" w:hAnsiTheme="minorEastAsia" w:eastAsiaTheme="minorEastAsia"/>
          <w:color w:val="auto"/>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专此承诺。</w:t>
      </w:r>
    </w:p>
    <w:p>
      <w:pPr>
        <w:spacing w:line="360" w:lineRule="auto"/>
        <w:ind w:firstLine="480" w:firstLineChars="200"/>
        <w:jc w:val="both"/>
        <w:rPr>
          <w:rFonts w:cs="仿宋" w:asciiTheme="minorEastAsia" w:hAnsiTheme="minorEastAsia" w:eastAsiaTheme="minorEastAsia"/>
          <w:color w:val="auto"/>
          <w:sz w:val="24"/>
        </w:rPr>
      </w:pPr>
    </w:p>
    <w:p>
      <w:pPr>
        <w:spacing w:line="360" w:lineRule="auto"/>
        <w:ind w:firstLine="4320" w:firstLineChars="18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印刷体全称</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单位公章</w:t>
      </w:r>
      <w:r>
        <w:rPr>
          <w:rFonts w:cs="仿宋" w:asciiTheme="minorEastAsia" w:hAnsiTheme="minorEastAsia" w:eastAsiaTheme="minorEastAsia"/>
          <w:color w:val="auto"/>
          <w:sz w:val="24"/>
        </w:rPr>
        <w:t>）：</w:t>
      </w:r>
    </w:p>
    <w:p>
      <w:pPr>
        <w:spacing w:line="360" w:lineRule="auto"/>
        <w:ind w:firstLine="3600" w:firstLineChars="15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承诺单位法定代表人或其委托代理人（印刷体+</w:t>
      </w:r>
      <w:r>
        <w:rPr>
          <w:rFonts w:cs="仿宋" w:asciiTheme="minorEastAsia" w:hAnsiTheme="minorEastAsia" w:eastAsiaTheme="minorEastAsia"/>
          <w:color w:val="auto"/>
          <w:sz w:val="24"/>
        </w:rPr>
        <w:t>签字）：</w:t>
      </w:r>
    </w:p>
    <w:p>
      <w:pPr>
        <w:ind w:firstLine="480" w:firstLineChars="200"/>
        <w:jc w:val="both"/>
        <w:rPr>
          <w:rFonts w:hint="eastAsia" w:cs="仿宋" w:asciiTheme="minorEastAsia" w:hAnsiTheme="minorEastAsia" w:eastAsiaTheme="minorEastAsia"/>
          <w:color w:val="auto"/>
          <w:sz w:val="24"/>
        </w:rPr>
      </w:pP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cs="仿宋" w:asciiTheme="minorEastAsia" w:hAnsiTheme="minorEastAsia" w:eastAsiaTheme="minorEastAsia"/>
          <w:color w:val="auto"/>
          <w:sz w:val="24"/>
        </w:rPr>
      </w:pPr>
      <w:bookmarkStart w:id="46" w:name="_Toc15487"/>
      <w:bookmarkStart w:id="47" w:name="_Toc9169"/>
      <w:r>
        <w:rPr>
          <w:rFonts w:hint="eastAsia" w:ascii="黑体" w:hAnsi="黑体" w:eastAsia="黑体" w:cs="仿宋"/>
          <w:color w:val="auto"/>
          <w:sz w:val="36"/>
          <w:szCs w:val="36"/>
        </w:rPr>
        <w:t>二、授权委托书</w:t>
      </w:r>
      <w:bookmarkEnd w:id="46"/>
      <w:bookmarkEnd w:id="47"/>
    </w:p>
    <w:p>
      <w:pPr>
        <w:adjustRightInd w:val="0"/>
        <w:snapToGrid w:val="0"/>
        <w:spacing w:line="600" w:lineRule="exact"/>
        <w:ind w:left="420" w:leftChars="200"/>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委托期限:自本委托书签署之日起至</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_月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48" w:name="_Toc16393"/>
      <w:bookmarkStart w:id="49" w:name="_Toc17678"/>
      <w:r>
        <w:rPr>
          <w:rFonts w:hint="eastAsia" w:ascii="黑体" w:hAnsi="黑体" w:eastAsia="黑体" w:cs="仿宋"/>
          <w:color w:val="auto"/>
          <w:sz w:val="36"/>
          <w:szCs w:val="36"/>
          <w:lang w:eastAsia="zh-CN"/>
        </w:rPr>
        <w:t>三、</w:t>
      </w:r>
      <w:r>
        <w:rPr>
          <w:rFonts w:hint="eastAsia" w:ascii="黑体" w:hAnsi="黑体" w:eastAsia="黑体" w:cs="仿宋"/>
          <w:color w:val="auto"/>
          <w:sz w:val="36"/>
          <w:szCs w:val="36"/>
        </w:rPr>
        <w:t>商务和技术偏差表</w:t>
      </w:r>
      <w:bookmarkEnd w:id="48"/>
      <w:bookmarkEnd w:id="49"/>
    </w:p>
    <w:p>
      <w:pPr>
        <w:spacing w:line="600" w:lineRule="exact"/>
        <w:jc w:val="center"/>
        <w:rPr>
          <w:rFonts w:cs="仿宋" w:asciiTheme="minorEastAsia" w:hAnsiTheme="minorEastAsia" w:eastAsiaTheme="minorEastAsia"/>
          <w:color w:val="auto"/>
          <w:sz w:val="24"/>
        </w:rPr>
      </w:pPr>
    </w:p>
    <w:tbl>
      <w:tblPr>
        <w:tblStyle w:val="16"/>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288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采购文件章节及条款号</w:t>
            </w:r>
          </w:p>
        </w:tc>
        <w:tc>
          <w:tcPr>
            <w:tcW w:w="2723"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响应文件章节及条款号</w:t>
            </w:r>
          </w:p>
        </w:tc>
        <w:tc>
          <w:tcPr>
            <w:tcW w:w="223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bl>
    <w:p>
      <w:pPr>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供应商保证：除商务和技术偏差表列出的偏差外，供应商响应采购文件的全部要求。</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50" w:name="_Toc19029"/>
      <w:bookmarkStart w:id="51" w:name="_Toc505"/>
      <w:r>
        <w:rPr>
          <w:rFonts w:hint="eastAsia" w:ascii="黑体" w:hAnsi="黑体" w:eastAsia="黑体" w:cs="仿宋"/>
          <w:color w:val="auto"/>
          <w:sz w:val="36"/>
          <w:szCs w:val="36"/>
          <w:lang w:eastAsia="zh-CN"/>
        </w:rPr>
        <w:t>四、报价</w:t>
      </w:r>
      <w:r>
        <w:rPr>
          <w:rFonts w:hint="eastAsia" w:ascii="黑体" w:hAnsi="黑体" w:eastAsia="黑体" w:cs="仿宋"/>
          <w:color w:val="auto"/>
          <w:sz w:val="36"/>
          <w:szCs w:val="36"/>
        </w:rPr>
        <w:t>表</w:t>
      </w:r>
      <w:bookmarkEnd w:id="50"/>
      <w:bookmarkEnd w:id="51"/>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16"/>
        <w:tblpPr w:leftFromText="180" w:rightFromText="180" w:vertAnchor="text" w:horzAnchor="page" w:tblpX="1080" w:tblpY="25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数量</w:t>
            </w:r>
          </w:p>
        </w:tc>
        <w:tc>
          <w:tcPr>
            <w:tcW w:w="2438" w:type="dxa"/>
            <w:gridSpan w:val="3"/>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1706"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sz w:val="24"/>
              </w:rPr>
            </w:pPr>
          </w:p>
        </w:tc>
        <w:tc>
          <w:tcPr>
            <w:tcW w:w="1295" w:type="dxa"/>
            <w:vMerge w:val="continue"/>
            <w:vAlign w:val="center"/>
          </w:tcPr>
          <w:p>
            <w:pPr>
              <w:widowControl/>
              <w:spacing w:line="312" w:lineRule="auto"/>
              <w:jc w:val="center"/>
              <w:rPr>
                <w:rFonts w:cs="仿宋" w:asciiTheme="minorEastAsia" w:hAnsiTheme="minorEastAsia" w:eastAsiaTheme="minorEastAsia"/>
                <w:sz w:val="24"/>
              </w:rPr>
            </w:pPr>
          </w:p>
        </w:tc>
        <w:tc>
          <w:tcPr>
            <w:tcW w:w="627" w:type="dxa"/>
            <w:vMerge w:val="continue"/>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850" w:type="dxa"/>
            <w:vAlign w:val="center"/>
          </w:tcPr>
          <w:p>
            <w:pPr>
              <w:widowControl/>
              <w:spacing w:line="312" w:lineRule="auto"/>
              <w:jc w:val="center"/>
              <w:rPr>
                <w:rFonts w:cs="仿宋" w:asciiTheme="minorEastAsia" w:hAnsiTheme="minorEastAsia" w:eastAsiaTheme="minorEastAsia"/>
                <w:sz w:val="24"/>
              </w:rPr>
            </w:pPr>
          </w:p>
        </w:tc>
        <w:tc>
          <w:tcPr>
            <w:tcW w:w="1706" w:type="dxa"/>
            <w:vAlign w:val="center"/>
          </w:tcPr>
          <w:p>
            <w:pPr>
              <w:widowControl/>
              <w:spacing w:line="312" w:lineRule="auto"/>
              <w:jc w:val="center"/>
              <w:rPr>
                <w:rFonts w:cs="仿宋" w:asciiTheme="minorEastAsia" w:hAnsiTheme="minorEastAsia" w:eastAsiaTheme="minorEastAsia"/>
                <w:sz w:val="24"/>
              </w:rPr>
            </w:pPr>
          </w:p>
        </w:tc>
        <w:tc>
          <w:tcPr>
            <w:tcW w:w="961"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c>
          <w:tcPr>
            <w:tcW w:w="850" w:type="dxa"/>
            <w:vAlign w:val="center"/>
          </w:tcPr>
          <w:p>
            <w:pPr>
              <w:widowControl/>
              <w:spacing w:line="312" w:lineRule="auto"/>
              <w:jc w:val="center"/>
              <w:rPr>
                <w:rFonts w:cs="仿宋" w:asciiTheme="minorEastAsia" w:hAnsiTheme="minorEastAsia" w:eastAsiaTheme="minorEastAsia"/>
                <w:sz w:val="24"/>
              </w:rPr>
            </w:pPr>
          </w:p>
        </w:tc>
        <w:tc>
          <w:tcPr>
            <w:tcW w:w="627" w:type="dxa"/>
            <w:vAlign w:val="center"/>
          </w:tcPr>
          <w:p>
            <w:pPr>
              <w:widowControl/>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1706" w:type="dxa"/>
            <w:vAlign w:val="center"/>
          </w:tcPr>
          <w:p>
            <w:pPr>
              <w:widowControl/>
              <w:spacing w:line="600" w:lineRule="exact"/>
              <w:jc w:val="center"/>
              <w:rPr>
                <w:rFonts w:cs="仿宋" w:asciiTheme="minorEastAsia" w:hAnsiTheme="minorEastAsia" w:eastAsiaTheme="minorEastAsia"/>
                <w:sz w:val="24"/>
              </w:rPr>
            </w:pPr>
          </w:p>
        </w:tc>
        <w:tc>
          <w:tcPr>
            <w:tcW w:w="961"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c>
          <w:tcPr>
            <w:tcW w:w="850" w:type="dxa"/>
            <w:vAlign w:val="center"/>
          </w:tcPr>
          <w:p>
            <w:pPr>
              <w:widowControl/>
              <w:spacing w:line="600" w:lineRule="exact"/>
              <w:jc w:val="center"/>
              <w:rPr>
                <w:rFonts w:cs="仿宋" w:asciiTheme="minorEastAsia" w:hAnsiTheme="minorEastAsia" w:eastAsiaTheme="minorEastAsia"/>
                <w:sz w:val="24"/>
              </w:rPr>
            </w:pPr>
          </w:p>
        </w:tc>
        <w:tc>
          <w:tcPr>
            <w:tcW w:w="627" w:type="dxa"/>
            <w:vAlign w:val="center"/>
          </w:tcPr>
          <w:p>
            <w:pPr>
              <w:widowControl/>
              <w:spacing w:line="600" w:lineRule="exact"/>
              <w:jc w:val="center"/>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w:t>
      </w:r>
    </w:p>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若分项费用的计算依据、过程和公式不便在表中表述，可单独另附表格或描述进行说明。</w:t>
      </w:r>
    </w:p>
    <w:p>
      <w:pPr>
        <w:pStyle w:val="2"/>
        <w:numPr>
          <w:ilvl w:val="0"/>
          <w:numId w:val="0"/>
        </w:numPr>
        <w:ind w:leftChars="0"/>
        <w:rPr>
          <w:rFonts w:hint="default" w:eastAsiaTheme="minorEastAsia"/>
          <w:lang w:val="en-US" w:eastAsia="zh-CN"/>
        </w:rPr>
      </w:pPr>
      <w:r>
        <w:rPr>
          <w:rFonts w:hint="eastAsia" w:cs="仿宋" w:asciiTheme="minorEastAsia" w:hAnsiTheme="minorEastAsia" w:eastAsiaTheme="minorEastAsia"/>
          <w:sz w:val="24"/>
          <w:lang w:val="en-US" w:eastAsia="zh-CN"/>
        </w:rPr>
        <w:t>2.</w:t>
      </w:r>
      <w:r>
        <w:rPr>
          <w:rFonts w:hint="eastAsia" w:ascii="宋体" w:hAnsi="宋体" w:cs="仿宋"/>
          <w:color w:val="auto"/>
          <w:sz w:val="24"/>
          <w:lang w:val="en-US" w:eastAsia="zh-CN"/>
        </w:rPr>
        <w:t>本项目最高限价为6%增值税含税价，</w:t>
      </w:r>
      <w:r>
        <w:rPr>
          <w:rFonts w:hint="eastAsia" w:ascii="宋体" w:hAnsi="宋体" w:eastAsia="宋体" w:cs="仿宋"/>
          <w:color w:val="auto"/>
          <w:sz w:val="24"/>
          <w:lang w:val="en-US" w:eastAsia="zh-CN"/>
        </w:rPr>
        <w:t>报价</w:t>
      </w:r>
      <w:r>
        <w:rPr>
          <w:rFonts w:hint="eastAsia" w:ascii="宋体" w:hAnsi="宋体" w:cs="仿宋"/>
          <w:color w:val="auto"/>
          <w:sz w:val="24"/>
          <w:lang w:val="en-US" w:eastAsia="zh-CN"/>
        </w:rPr>
        <w:t>人可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其他税率的报价，但评审时统一按6%含税价调整后由低到高排序</w:t>
      </w:r>
      <w:r>
        <w:rPr>
          <w:rFonts w:hint="eastAsia" w:ascii="宋体" w:hAnsi="宋体" w:eastAsia="宋体" w:cs="仿宋"/>
          <w:color w:val="auto"/>
          <w:sz w:val="24"/>
          <w:lang w:val="en-US" w:eastAsia="zh-CN"/>
        </w:rPr>
        <w:t>。</w:t>
      </w:r>
      <w:r>
        <w:rPr>
          <w:rFonts w:hint="eastAsia" w:cs="仿宋" w:asciiTheme="minorEastAsia" w:hAnsiTheme="minorEastAsia" w:eastAsiaTheme="minorEastAsia"/>
          <w:color w:val="auto"/>
          <w:sz w:val="24"/>
        </w:rPr>
        <w:t xml:space="preserve">      </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ascii="黑体" w:hAnsi="黑体" w:eastAsia="黑体" w:cs="仿宋"/>
          <w:color w:val="auto"/>
          <w:sz w:val="36"/>
          <w:szCs w:val="36"/>
        </w:rPr>
      </w:pPr>
      <w:bookmarkStart w:id="52" w:name="_Toc17664"/>
      <w:bookmarkStart w:id="53" w:name="_Toc9959"/>
      <w:r>
        <w:rPr>
          <w:rFonts w:hint="eastAsia" w:ascii="黑体" w:hAnsi="黑体" w:eastAsia="黑体" w:cs="仿宋"/>
          <w:color w:val="auto"/>
          <w:sz w:val="36"/>
          <w:szCs w:val="36"/>
          <w:lang w:eastAsia="zh-CN"/>
        </w:rPr>
        <w:t>五、</w:t>
      </w:r>
      <w:r>
        <w:rPr>
          <w:rFonts w:hint="eastAsia" w:ascii="黑体" w:hAnsi="黑体" w:eastAsia="黑体" w:cs="仿宋"/>
          <w:color w:val="auto"/>
          <w:sz w:val="36"/>
          <w:szCs w:val="36"/>
        </w:rPr>
        <w:t>资格审查资料</w:t>
      </w:r>
      <w:bookmarkEnd w:id="52"/>
      <w:bookmarkEnd w:id="53"/>
    </w:p>
    <w:p>
      <w:pPr>
        <w:spacing w:line="600" w:lineRule="exact"/>
        <w:jc w:val="both"/>
        <w:rPr>
          <w:rFonts w:ascii="黑体" w:hAnsi="黑体" w:eastAsia="黑体" w:cs="仿宋"/>
          <w:color w:val="auto"/>
          <w:sz w:val="36"/>
          <w:szCs w:val="36"/>
        </w:rPr>
      </w:pP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（一）基本情况</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供应商还应根据供应商须知前地表第3.5（5）项、第3.5（7）项和第3.5（8）项的要求提供其他相关证明材料。</w:t>
      </w:r>
    </w:p>
    <w:p>
      <w:pPr>
        <w:spacing w:line="600" w:lineRule="exact"/>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（二）近年的类似项目情况表</w:t>
      </w:r>
      <w:r>
        <w:rPr>
          <w:rFonts w:hint="eastAsia" w:cs="仿宋" w:asciiTheme="minorEastAsia" w:hAnsiTheme="minorEastAsia" w:eastAsiaTheme="minorEastAsia"/>
          <w:color w:val="auto"/>
          <w:sz w:val="24"/>
          <w:lang w:eastAsia="zh-CN"/>
        </w:rPr>
        <w:t>（提供</w:t>
      </w:r>
      <w:r>
        <w:rPr>
          <w:rFonts w:hint="eastAsia" w:cs="仿宋" w:asciiTheme="minorEastAsia" w:hAnsiTheme="minorEastAsia" w:eastAsiaTheme="minorEastAsia"/>
          <w:color w:val="auto"/>
          <w:sz w:val="24"/>
          <w:lang w:val="en-US" w:eastAsia="zh-CN"/>
        </w:rPr>
        <w:t>1个</w:t>
      </w:r>
      <w:r>
        <w:rPr>
          <w:rFonts w:hint="eastAsia" w:cs="仿宋" w:asciiTheme="minorEastAsia" w:hAnsiTheme="minorEastAsia" w:eastAsiaTheme="minorEastAsia"/>
          <w:color w:val="auto"/>
          <w:sz w:val="24"/>
          <w:lang w:eastAsia="zh-CN"/>
        </w:rPr>
        <w:t>）</w:t>
      </w:r>
    </w:p>
    <w:tbl>
      <w:tblPr>
        <w:tblStyle w:val="16"/>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服务内容</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委托人联系人及电话</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合同价格</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服务是否完成</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项目负责人（如有）</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项目概况及供应商履约情况</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bl>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注：供应商应根据供应商须知前附表第3.5（4）项的要求在本表后附相关证明材料。</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三</w:t>
      </w:r>
      <w:r>
        <w:rPr>
          <w:rFonts w:hint="eastAsia" w:cs="仿宋" w:asciiTheme="minorEastAsia" w:hAnsiTheme="minorEastAsia" w:eastAsiaTheme="minorEastAsia"/>
          <w:color w:val="auto"/>
          <w:sz w:val="24"/>
        </w:rPr>
        <w:t>）拟委任的主要人员汇总表</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本项目任职</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姓名</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职称</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专业</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bl>
    <w:p>
      <w:pPr>
        <w:jc w:val="both"/>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pStyle w:val="14"/>
        <w:numPr>
          <w:ilvl w:val="0"/>
          <w:numId w:val="0"/>
        </w:numPr>
        <w:ind w:left="420" w:leftChars="0"/>
        <w:rPr>
          <w:color w:val="auto"/>
        </w:rPr>
      </w:pPr>
    </w:p>
    <w:p>
      <w:pPr>
        <w:pStyle w:val="14"/>
        <w:numPr>
          <w:ilvl w:val="0"/>
          <w:numId w:val="7"/>
        </w:numPr>
        <w:ind w:left="420" w:leftChars="0"/>
        <w:jc w:val="center"/>
        <w:outlineLvl w:val="0"/>
        <w:rPr>
          <w:rFonts w:hint="eastAsia" w:ascii="黑体" w:hAnsi="黑体" w:eastAsia="黑体" w:cs="仿宋"/>
          <w:color w:val="auto"/>
          <w:sz w:val="36"/>
          <w:szCs w:val="36"/>
          <w:lang w:val="zh-CN"/>
        </w:rPr>
      </w:pPr>
      <w:bookmarkStart w:id="54" w:name="_Toc15239"/>
      <w:bookmarkStart w:id="55" w:name="_Toc12352"/>
      <w:r>
        <w:rPr>
          <w:rFonts w:hint="eastAsia" w:ascii="黑体" w:hAnsi="黑体" w:eastAsia="黑体" w:cs="仿宋"/>
          <w:color w:val="auto"/>
          <w:sz w:val="36"/>
          <w:szCs w:val="36"/>
        </w:rPr>
        <w:t>响应方案</w:t>
      </w:r>
      <w:bookmarkEnd w:id="54"/>
      <w:bookmarkEnd w:id="55"/>
    </w:p>
    <w:p>
      <w:pPr>
        <w:pStyle w:val="14"/>
        <w:numPr>
          <w:ilvl w:val="0"/>
          <w:numId w:val="0"/>
        </w:numPr>
        <w:jc w:val="both"/>
        <w:rPr>
          <w:rFonts w:hint="eastAsia" w:ascii="黑体" w:hAnsi="黑体" w:eastAsia="黑体" w:cs="仿宋"/>
          <w:color w:val="auto"/>
          <w:sz w:val="36"/>
          <w:szCs w:val="36"/>
          <w:lang w:val="zh-CN"/>
        </w:rPr>
      </w:pP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响应方案一般包括(但不限于)下列内容: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(1)服务范围及内容；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(2)拟投入本项目的服务人员；</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)对本项目的合理化建议。</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pStyle w:val="14"/>
        <w:numPr>
          <w:ilvl w:val="0"/>
          <w:numId w:val="7"/>
        </w:numPr>
        <w:ind w:left="420" w:leftChars="0" w:firstLine="420" w:firstLineChars="0"/>
        <w:jc w:val="center"/>
        <w:outlineLvl w:val="0"/>
        <w:rPr>
          <w:rFonts w:hint="eastAsia" w:ascii="黑体" w:hAnsi="黑体" w:eastAsia="黑体" w:cs="黑体"/>
          <w:b w:val="0"/>
          <w:bCs w:val="0"/>
          <w:color w:val="auto"/>
          <w:sz w:val="36"/>
          <w:szCs w:val="36"/>
          <w:lang w:eastAsia="zh-CN"/>
        </w:rPr>
      </w:pPr>
      <w:bookmarkStart w:id="56" w:name="_Toc17081"/>
      <w:bookmarkStart w:id="57" w:name="_Toc21069"/>
      <w:r>
        <w:rPr>
          <w:rFonts w:hint="eastAsia" w:ascii="黑体" w:hAnsi="黑体" w:eastAsia="黑体" w:cs="黑体"/>
          <w:b w:val="0"/>
          <w:bCs w:val="0"/>
          <w:color w:val="auto"/>
          <w:sz w:val="36"/>
          <w:szCs w:val="36"/>
          <w:lang w:eastAsia="zh-CN"/>
        </w:rPr>
        <w:t>其他资料</w:t>
      </w:r>
      <w:bookmarkEnd w:id="56"/>
      <w:bookmarkEnd w:id="57"/>
    </w:p>
    <w:p>
      <w:pPr>
        <w:pStyle w:val="14"/>
        <w:numPr>
          <w:ilvl w:val="0"/>
          <w:numId w:val="0"/>
        </w:numPr>
        <w:ind w:left="840" w:leftChars="0"/>
        <w:jc w:val="both"/>
        <w:rPr>
          <w:rFonts w:hint="eastAsia" w:ascii="黑体" w:hAnsi="黑体" w:eastAsia="黑体" w:cs="黑体"/>
          <w:b w:val="0"/>
          <w:bCs w:val="0"/>
          <w:color w:val="auto"/>
          <w:sz w:val="36"/>
          <w:szCs w:val="36"/>
          <w:lang w:eastAsia="zh-CN"/>
        </w:rPr>
      </w:pPr>
    </w:p>
    <w:p>
      <w:pPr>
        <w:pStyle w:val="14"/>
        <w:numPr>
          <w:ilvl w:val="0"/>
          <w:numId w:val="0"/>
        </w:numPr>
        <w:ind w:left="840" w:leftChars="0"/>
        <w:jc w:val="both"/>
        <w:rPr>
          <w:rFonts w:hint="eastAsia" w:ascii="黑体" w:hAnsi="黑体" w:eastAsia="黑体" w:cs="黑体"/>
          <w:b w:val="0"/>
          <w:bCs w:val="0"/>
          <w:color w:val="auto"/>
          <w:sz w:val="36"/>
          <w:szCs w:val="36"/>
          <w:lang w:eastAsia="zh-CN"/>
        </w:rPr>
      </w:pPr>
    </w:p>
    <w:p>
      <w:pPr>
        <w:pStyle w:val="14"/>
        <w:numPr>
          <w:ilvl w:val="0"/>
          <w:numId w:val="0"/>
        </w:numPr>
        <w:jc w:val="center"/>
        <w:outlineLvl w:val="0"/>
        <w:rPr>
          <w:rFonts w:hint="eastAsia" w:ascii="宋体" w:hAnsi="宋体" w:eastAsia="宋体" w:cs="宋体"/>
          <w:b w:val="0"/>
          <w:bCs w:val="0"/>
          <w:color w:val="auto"/>
          <w:sz w:val="28"/>
          <w:szCs w:val="28"/>
          <w:lang w:eastAsia="zh-CN"/>
        </w:rPr>
      </w:pPr>
      <w:bookmarkStart w:id="58" w:name="_Toc13147"/>
      <w:bookmarkStart w:id="59" w:name="_Toc7350"/>
      <w:r>
        <w:rPr>
          <w:rFonts w:hint="eastAsia" w:ascii="宋体" w:hAnsi="宋体" w:eastAsia="宋体" w:cs="宋体"/>
          <w:b w:val="0"/>
          <w:bCs w:val="0"/>
          <w:color w:val="auto"/>
          <w:sz w:val="28"/>
          <w:szCs w:val="28"/>
          <w:lang w:eastAsia="zh-CN"/>
        </w:rPr>
        <w:t>（供应商结合企业实际情况提供）</w:t>
      </w:r>
      <w:bookmarkEnd w:id="58"/>
      <w:bookmarkEnd w:id="59"/>
    </w:p>
    <w:p>
      <w:pPr>
        <w:pStyle w:val="14"/>
        <w:numPr>
          <w:ilvl w:val="0"/>
          <w:numId w:val="0"/>
        </w:numPr>
        <w:ind w:left="840" w:leftChars="0"/>
        <w:jc w:val="both"/>
        <w:rPr>
          <w:rFonts w:hint="eastAsia" w:ascii="黑体" w:hAnsi="黑体" w:eastAsia="黑体" w:cs="仿宋"/>
          <w:color w:val="auto"/>
          <w:sz w:val="36"/>
          <w:szCs w:val="36"/>
          <w:lang w:val="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1"/>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9AF1"/>
    <w:multiLevelType w:val="singleLevel"/>
    <w:tmpl w:val="94559AF1"/>
    <w:lvl w:ilvl="0" w:tentative="0">
      <w:start w:val="1"/>
      <w:numFmt w:val="decimal"/>
      <w:lvlText w:val="(%1)"/>
      <w:lvlJc w:val="left"/>
      <w:pPr>
        <w:tabs>
          <w:tab w:val="left" w:pos="312"/>
        </w:tabs>
      </w:pPr>
    </w:lvl>
  </w:abstractNum>
  <w:abstractNum w:abstractNumId="1">
    <w:nsid w:val="FBF15B1B"/>
    <w:multiLevelType w:val="singleLevel"/>
    <w:tmpl w:val="FBF15B1B"/>
    <w:lvl w:ilvl="0" w:tentative="0">
      <w:start w:val="1"/>
      <w:numFmt w:val="decimal"/>
      <w:lvlText w:val="%1."/>
      <w:lvlJc w:val="left"/>
      <w:pPr>
        <w:tabs>
          <w:tab w:val="left" w:pos="312"/>
        </w:tabs>
      </w:pPr>
    </w:lvl>
  </w:abstractNum>
  <w:abstractNum w:abstractNumId="2">
    <w:nsid w:val="00000011"/>
    <w:multiLevelType w:val="multilevel"/>
    <w:tmpl w:val="00000011"/>
    <w:lvl w:ilvl="0" w:tentative="0">
      <w:start w:val="1"/>
      <w:numFmt w:val="decimal"/>
      <w:pStyle w:val="2"/>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ECED67"/>
    <w:multiLevelType w:val="singleLevel"/>
    <w:tmpl w:val="03ECED67"/>
    <w:lvl w:ilvl="0" w:tentative="0">
      <w:start w:val="4"/>
      <w:numFmt w:val="decimal"/>
      <w:lvlText w:val="%1."/>
      <w:lvlJc w:val="left"/>
      <w:pPr>
        <w:tabs>
          <w:tab w:val="left" w:pos="312"/>
        </w:tabs>
      </w:pPr>
    </w:lvl>
  </w:abstractNum>
  <w:abstractNum w:abstractNumId="4">
    <w:nsid w:val="1230694F"/>
    <w:multiLevelType w:val="singleLevel"/>
    <w:tmpl w:val="1230694F"/>
    <w:lvl w:ilvl="0" w:tentative="0">
      <w:start w:val="1"/>
      <w:numFmt w:val="chineseCounting"/>
      <w:suff w:val="space"/>
      <w:lvlText w:val="第%1章"/>
      <w:lvlJc w:val="left"/>
      <w:rPr>
        <w:rFonts w:hint="eastAsia"/>
      </w:rPr>
    </w:lvl>
  </w:abstractNum>
  <w:abstractNum w:abstractNumId="5">
    <w:nsid w:val="300A89A2"/>
    <w:multiLevelType w:val="singleLevel"/>
    <w:tmpl w:val="300A89A2"/>
    <w:lvl w:ilvl="0" w:tentative="0">
      <w:start w:val="6"/>
      <w:numFmt w:val="chineseCounting"/>
      <w:suff w:val="nothing"/>
      <w:lvlText w:val="%1、"/>
      <w:lvlJc w:val="left"/>
      <w:rPr>
        <w:rFonts w:hint="eastAsia"/>
      </w:rPr>
    </w:lvl>
  </w:abstractNum>
  <w:abstractNum w:abstractNumId="6">
    <w:nsid w:val="3601A173"/>
    <w:multiLevelType w:val="singleLevel"/>
    <w:tmpl w:val="3601A173"/>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BFC"/>
    <w:rsid w:val="00504045"/>
    <w:rsid w:val="0073317D"/>
    <w:rsid w:val="00831C1C"/>
    <w:rsid w:val="05146D75"/>
    <w:rsid w:val="0559143D"/>
    <w:rsid w:val="05EE474C"/>
    <w:rsid w:val="0817059F"/>
    <w:rsid w:val="09263EF3"/>
    <w:rsid w:val="0A596B5B"/>
    <w:rsid w:val="0D40255D"/>
    <w:rsid w:val="0D5046F7"/>
    <w:rsid w:val="0DA23B5C"/>
    <w:rsid w:val="0EA813EF"/>
    <w:rsid w:val="101E71B8"/>
    <w:rsid w:val="104007F8"/>
    <w:rsid w:val="105877A0"/>
    <w:rsid w:val="12D927D1"/>
    <w:rsid w:val="12EC7207"/>
    <w:rsid w:val="13365C72"/>
    <w:rsid w:val="147E0DA7"/>
    <w:rsid w:val="19FD11F2"/>
    <w:rsid w:val="1B466D93"/>
    <w:rsid w:val="1B7D4040"/>
    <w:rsid w:val="1CDA5F8A"/>
    <w:rsid w:val="1D676E30"/>
    <w:rsid w:val="1E9C7A55"/>
    <w:rsid w:val="1F8A13FF"/>
    <w:rsid w:val="1FA03001"/>
    <w:rsid w:val="20FC2B5E"/>
    <w:rsid w:val="21551AAA"/>
    <w:rsid w:val="21B14A12"/>
    <w:rsid w:val="23311B9A"/>
    <w:rsid w:val="23BF0F9F"/>
    <w:rsid w:val="23C9146A"/>
    <w:rsid w:val="25E753BB"/>
    <w:rsid w:val="270900D9"/>
    <w:rsid w:val="2AB47A28"/>
    <w:rsid w:val="2CA8442E"/>
    <w:rsid w:val="2D5D35C4"/>
    <w:rsid w:val="2E3C3753"/>
    <w:rsid w:val="2F411A82"/>
    <w:rsid w:val="300813F3"/>
    <w:rsid w:val="30FE1004"/>
    <w:rsid w:val="3107065A"/>
    <w:rsid w:val="31083C03"/>
    <w:rsid w:val="34914DA6"/>
    <w:rsid w:val="34FE0AEE"/>
    <w:rsid w:val="35D64A66"/>
    <w:rsid w:val="37811BEE"/>
    <w:rsid w:val="378510A5"/>
    <w:rsid w:val="37B20639"/>
    <w:rsid w:val="385801FE"/>
    <w:rsid w:val="38665021"/>
    <w:rsid w:val="38CC7D23"/>
    <w:rsid w:val="3A073842"/>
    <w:rsid w:val="3BF633D1"/>
    <w:rsid w:val="3C8A369E"/>
    <w:rsid w:val="3D5546D1"/>
    <w:rsid w:val="3EA36A1B"/>
    <w:rsid w:val="40215770"/>
    <w:rsid w:val="40F328B0"/>
    <w:rsid w:val="41033D52"/>
    <w:rsid w:val="41567BB7"/>
    <w:rsid w:val="42FC5917"/>
    <w:rsid w:val="43A01B1B"/>
    <w:rsid w:val="44462187"/>
    <w:rsid w:val="454F4524"/>
    <w:rsid w:val="464722B0"/>
    <w:rsid w:val="481072F7"/>
    <w:rsid w:val="4A1314DA"/>
    <w:rsid w:val="4A1A5E18"/>
    <w:rsid w:val="4B727641"/>
    <w:rsid w:val="4B8452C9"/>
    <w:rsid w:val="4CC255DD"/>
    <w:rsid w:val="4D013014"/>
    <w:rsid w:val="4D064117"/>
    <w:rsid w:val="4E0D3669"/>
    <w:rsid w:val="4E253644"/>
    <w:rsid w:val="4FB05930"/>
    <w:rsid w:val="500F671C"/>
    <w:rsid w:val="52984B42"/>
    <w:rsid w:val="54631631"/>
    <w:rsid w:val="55C80A7A"/>
    <w:rsid w:val="5A4E66C9"/>
    <w:rsid w:val="5A805ADD"/>
    <w:rsid w:val="5AA53FED"/>
    <w:rsid w:val="5B294816"/>
    <w:rsid w:val="5B573449"/>
    <w:rsid w:val="5BA423C0"/>
    <w:rsid w:val="5CBB6EEA"/>
    <w:rsid w:val="5D725853"/>
    <w:rsid w:val="5E14397E"/>
    <w:rsid w:val="5E502386"/>
    <w:rsid w:val="5E5932A6"/>
    <w:rsid w:val="5EAD43BF"/>
    <w:rsid w:val="5F73593B"/>
    <w:rsid w:val="5F9A0EB1"/>
    <w:rsid w:val="5FA70B09"/>
    <w:rsid w:val="5FEA694B"/>
    <w:rsid w:val="60785A18"/>
    <w:rsid w:val="61400757"/>
    <w:rsid w:val="61E873BF"/>
    <w:rsid w:val="621D4B74"/>
    <w:rsid w:val="623B7BE4"/>
    <w:rsid w:val="63201FCA"/>
    <w:rsid w:val="63AC50A3"/>
    <w:rsid w:val="651D5826"/>
    <w:rsid w:val="67287FDF"/>
    <w:rsid w:val="676B7FCA"/>
    <w:rsid w:val="697769D4"/>
    <w:rsid w:val="6A8B1010"/>
    <w:rsid w:val="6A8F36A3"/>
    <w:rsid w:val="6B1F3BFC"/>
    <w:rsid w:val="6C9A54AD"/>
    <w:rsid w:val="6DA00A50"/>
    <w:rsid w:val="6DC54D99"/>
    <w:rsid w:val="702F1D93"/>
    <w:rsid w:val="709C5869"/>
    <w:rsid w:val="70C6205C"/>
    <w:rsid w:val="72976EE5"/>
    <w:rsid w:val="771A66ED"/>
    <w:rsid w:val="78D4504A"/>
    <w:rsid w:val="793D50B0"/>
    <w:rsid w:val="7A4A4B2B"/>
    <w:rsid w:val="7AE901D9"/>
    <w:rsid w:val="7B793E4D"/>
    <w:rsid w:val="7CA1074A"/>
    <w:rsid w:val="7EDE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spacing w:after="120"/>
      <w:ind w:left="0" w:firstLine="0"/>
    </w:pPr>
    <w:rPr>
      <w:rFonts w:ascii="Times New Roman" w:hAnsi="Times New Roman"/>
      <w:szCs w:val="24"/>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242"/>
      </w:tabs>
      <w:spacing w:beforeLines="25" w:afterLines="25"/>
    </w:pPr>
    <w:rPr>
      <w:rFonts w:ascii="宋体"/>
      <w:szCs w:val="21"/>
    </w:rPr>
  </w:style>
  <w:style w:type="paragraph" w:styleId="11">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3">
    <w:name w:val="Normal (Web)"/>
    <w:basedOn w:val="1"/>
    <w:unhideWhenUsed/>
    <w:qFormat/>
    <w:uiPriority w:val="99"/>
    <w:pPr>
      <w:spacing w:before="100" w:beforeAutospacing="1" w:after="100" w:afterAutospacing="1"/>
    </w:pPr>
    <w:rPr>
      <w:rFonts w:ascii="宋体" w:hAnsi="宋体" w:cs="宋体"/>
      <w:kern w:val="0"/>
      <w:sz w:val="24"/>
    </w:rPr>
  </w:style>
  <w:style w:type="paragraph" w:styleId="14">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qFormat/>
    <w:uiPriority w:val="99"/>
    <w:rPr>
      <w:color w:val="0000FF"/>
      <w:spacing w:val="0"/>
      <w:w w:val="100"/>
      <w:szCs w:val="21"/>
      <w:u w:val="single"/>
      <w:lang w:val="en-US" w:eastAsia="zh-CN"/>
    </w:rPr>
  </w:style>
  <w:style w:type="character" w:styleId="20">
    <w:name w:val="footnote reference"/>
    <w:qFormat/>
    <w:uiPriority w:val="0"/>
    <w:rPr>
      <w:vertAlign w:val="superscript"/>
    </w:rPr>
  </w:style>
  <w:style w:type="paragraph" w:customStyle="1" w:styleId="21">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2">
    <w:name w:val="List Paragraph"/>
    <w:basedOn w:val="1"/>
    <w:qFormat/>
    <w:uiPriority w:val="34"/>
    <w:pPr>
      <w:ind w:firstLine="420" w:firstLineChars="200"/>
    </w:pPr>
    <w:rPr>
      <w:rFonts w:ascii="宋体" w:hAnsi="宋体" w:cs="宋体"/>
      <w:kern w:val="0"/>
      <w:sz w:val="24"/>
    </w:rPr>
  </w:style>
  <w:style w:type="paragraph" w:customStyle="1" w:styleId="23">
    <w:name w:val="一级条标题"/>
    <w:next w:val="24"/>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4">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LILY</cp:lastModifiedBy>
  <cp:lastPrinted>2021-10-20T09:04:00Z</cp:lastPrinted>
  <dcterms:modified xsi:type="dcterms:W3CDTF">2022-01-18T09:56:13Z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3B5D5AEE324D4C90BF7E0EADEA32F0B5</vt:lpwstr>
  </property>
</Properties>
</file>