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hint="eastAsia" w:ascii="黑体" w:hAnsi="黑体" w:eastAsia="黑体"/>
          <w:b/>
          <w:bCs/>
          <w:color w:val="auto"/>
          <w:sz w:val="48"/>
          <w:szCs w:val="48"/>
          <w:lang w:val="en-US" w:eastAsia="zh-CN"/>
        </w:rPr>
      </w:pPr>
      <w:bookmarkStart w:id="0" w:name="_Toc27848"/>
    </w:p>
    <w:p>
      <w:pPr>
        <w:snapToGrid w:val="0"/>
        <w:spacing w:line="900" w:lineRule="exact"/>
        <w:jc w:val="center"/>
        <w:rPr>
          <w:rFonts w:hint="eastAsia" w:ascii="黑体" w:hAnsi="黑体" w:eastAsia="黑体"/>
          <w:b/>
          <w:bCs/>
          <w:color w:val="auto"/>
          <w:sz w:val="48"/>
          <w:szCs w:val="48"/>
        </w:rPr>
      </w:pPr>
      <w:r>
        <w:rPr>
          <w:rFonts w:hint="eastAsia" w:ascii="黑体" w:hAnsi="黑体" w:eastAsia="黑体"/>
          <w:b/>
          <w:bCs/>
          <w:color w:val="auto"/>
          <w:sz w:val="48"/>
          <w:szCs w:val="48"/>
          <w:lang w:val="en-US" w:eastAsia="zh-CN"/>
        </w:rPr>
        <w:t>长沙集星集装箱码头</w:t>
      </w:r>
      <w:r>
        <w:rPr>
          <w:rFonts w:hint="eastAsia" w:ascii="黑体" w:hAnsi="黑体" w:eastAsia="黑体"/>
          <w:b/>
          <w:bCs/>
          <w:color w:val="auto"/>
          <w:sz w:val="48"/>
          <w:szCs w:val="48"/>
        </w:rPr>
        <w:t>有限公司</w:t>
      </w:r>
    </w:p>
    <w:p>
      <w:pPr>
        <w:spacing w:line="360" w:lineRule="auto"/>
        <w:jc w:val="center"/>
        <w:rPr>
          <w:rFonts w:hint="eastAsia" w:ascii="黑体" w:hAnsi="黑体" w:eastAsia="黑体"/>
          <w:b/>
          <w:bCs/>
          <w:color w:val="auto"/>
          <w:sz w:val="48"/>
          <w:szCs w:val="48"/>
          <w:lang w:val="en-US" w:eastAsia="zh-CN"/>
        </w:rPr>
      </w:pPr>
      <w:r>
        <w:rPr>
          <w:rFonts w:hint="eastAsia" w:ascii="黑体" w:hAnsi="黑体" w:eastAsia="黑体"/>
          <w:b/>
          <w:bCs/>
          <w:color w:val="auto"/>
          <w:sz w:val="48"/>
          <w:szCs w:val="48"/>
          <w:lang w:val="en-US" w:eastAsia="zh-CN"/>
        </w:rPr>
        <w:t>2022年度补充医疗保险项目询价文件</w:t>
      </w:r>
    </w:p>
    <w:p>
      <w:pPr>
        <w:spacing w:line="480" w:lineRule="auto"/>
        <w:jc w:val="center"/>
        <w:rPr>
          <w:rFonts w:ascii="宋体" w:hAnsi="宋体" w:cs="宋体"/>
          <w:b/>
          <w:color w:val="auto"/>
          <w:kern w:val="0"/>
          <w:sz w:val="48"/>
          <w:szCs w:val="48"/>
        </w:rPr>
      </w:pPr>
    </w:p>
    <w:p>
      <w:pPr>
        <w:snapToGrid w:val="0"/>
        <w:spacing w:line="480" w:lineRule="auto"/>
        <w:jc w:val="center"/>
        <w:rPr>
          <w:b/>
          <w:bCs/>
          <w:color w:val="auto"/>
          <w:sz w:val="48"/>
          <w:szCs w:val="48"/>
        </w:rPr>
      </w:pPr>
      <w:r>
        <w:rPr>
          <w:rFonts w:hint="eastAsia" w:ascii="黑体" w:hAnsi="黑体" w:eastAsia="黑体" w:cs="黑体"/>
          <w:b w:val="0"/>
          <w:bCs w:val="0"/>
          <w:color w:val="auto"/>
          <w:sz w:val="28"/>
          <w:szCs w:val="28"/>
          <w:lang w:val="en-US" w:eastAsia="zh-CN"/>
        </w:rPr>
        <w:t>采购编号：省港服（2021）年询第21号【集星】</w:t>
      </w:r>
    </w:p>
    <w:p>
      <w:pPr>
        <w:spacing w:line="600" w:lineRule="exact"/>
        <w:rPr>
          <w:color w:val="auto"/>
        </w:rPr>
      </w:pPr>
    </w:p>
    <w:p>
      <w:pPr>
        <w:spacing w:line="600" w:lineRule="exact"/>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5"/>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spacing w:line="600" w:lineRule="exact"/>
        <w:rPr>
          <w:color w:val="auto"/>
        </w:rPr>
      </w:pPr>
    </w:p>
    <w:p>
      <w:pPr>
        <w:spacing w:line="600" w:lineRule="exact"/>
        <w:rPr>
          <w:color w:val="auto"/>
        </w:rPr>
      </w:pPr>
    </w:p>
    <w:p>
      <w:pPr>
        <w:tabs>
          <w:tab w:val="left" w:pos="0"/>
          <w:tab w:val="left" w:pos="4185"/>
        </w:tabs>
        <w:spacing w:line="288" w:lineRule="auto"/>
        <w:ind w:right="-6"/>
        <w:jc w:val="center"/>
        <w:rPr>
          <w:rFonts w:hint="eastAsia" w:ascii="黑体" w:hAnsi="黑体" w:eastAsia="黑体"/>
          <w:bCs/>
          <w:color w:val="auto"/>
          <w:sz w:val="44"/>
          <w:szCs w:val="44"/>
        </w:rPr>
      </w:pPr>
      <w:r>
        <w:rPr>
          <w:rFonts w:hint="eastAsia" w:ascii="黑体" w:hAnsi="黑体" w:eastAsia="黑体"/>
          <w:bCs/>
          <w:color w:val="auto"/>
          <w:sz w:val="44"/>
          <w:szCs w:val="44"/>
        </w:rPr>
        <w:t>二О二一年</w:t>
      </w:r>
      <w:r>
        <w:rPr>
          <w:rFonts w:hint="eastAsia" w:ascii="黑体" w:hAnsi="黑体" w:eastAsia="黑体"/>
          <w:bCs/>
          <w:color w:val="auto"/>
          <w:sz w:val="44"/>
          <w:szCs w:val="44"/>
          <w:lang w:val="en-US" w:eastAsia="zh-CN"/>
        </w:rPr>
        <w:t>十二</w:t>
      </w:r>
      <w:r>
        <w:rPr>
          <w:rFonts w:hint="eastAsia" w:ascii="黑体" w:hAnsi="黑体" w:eastAsia="黑体"/>
          <w:bCs/>
          <w:color w:val="auto"/>
          <w:sz w:val="44"/>
          <w:szCs w:val="44"/>
        </w:rPr>
        <w:t>月</w:t>
      </w:r>
    </w:p>
    <w:p>
      <w:pPr>
        <w:rPr>
          <w:color w:val="auto"/>
        </w:rPr>
        <w:sectPr>
          <w:pgSz w:w="11906" w:h="16838"/>
          <w:pgMar w:top="1440" w:right="1800" w:bottom="1440" w:left="1800" w:header="851" w:footer="992" w:gutter="0"/>
          <w:cols w:space="425" w:num="1"/>
          <w:docGrid w:type="lines" w:linePitch="312" w:charSpace="0"/>
        </w:sectPr>
      </w:pPr>
    </w:p>
    <w:p>
      <w:pPr>
        <w:pStyle w:val="2"/>
        <w:numPr>
          <w:ilvl w:val="0"/>
          <w:numId w:val="0"/>
        </w:numPr>
        <w:ind w:leftChars="0"/>
        <w:rPr>
          <w:color w:val="auto"/>
        </w:rPr>
      </w:pPr>
    </w:p>
    <w:sdt>
      <w:sdtPr>
        <w:rPr>
          <w:rFonts w:ascii="宋体" w:hAnsi="宋体" w:eastAsia="宋体" w:cs="Times New Roman"/>
          <w:color w:val="auto"/>
          <w:kern w:val="2"/>
          <w:sz w:val="21"/>
          <w:szCs w:val="24"/>
          <w:lang w:val="en-US" w:eastAsia="zh-CN" w:bidi="ar-SA"/>
        </w:rPr>
        <w:id w:val="147462166"/>
        <w15:color w:val="DBDBDB"/>
        <w:docPartObj>
          <w:docPartGallery w:val="Table of Contents"/>
          <w:docPartUnique/>
        </w:docPartObj>
      </w:sdtPr>
      <w:sdtEndPr>
        <w:rPr>
          <w:rFonts w:hint="eastAsia" w:ascii="宋体" w:hAnsi="宋体" w:eastAsia="宋体" w:cs="宋体"/>
          <w:color w:val="auto"/>
          <w:kern w:val="2"/>
          <w:sz w:val="24"/>
          <w:szCs w:val="24"/>
          <w:lang w:val="zh-CN" w:eastAsia="zh-CN" w:bidi="ar-SA"/>
        </w:rPr>
      </w:sdtEndPr>
      <w:sdtContent>
        <w:p>
          <w:pPr>
            <w:spacing w:before="0" w:beforeLines="0" w:after="0" w:afterLines="0" w:line="24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pPr>
            <w:pStyle w:val="27"/>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TOC \o "1-1" \h \u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_Toc27848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 xml:space="preserve">第一章 </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_Toc7630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_Toc7630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_Toc8604 </w:instrText>
          </w:r>
          <w:r>
            <w:rPr>
              <w:rFonts w:hint="eastAsia" w:ascii="宋体" w:hAnsi="宋体" w:eastAsia="宋体" w:cs="宋体"/>
              <w:color w:val="auto"/>
              <w:sz w:val="24"/>
              <w:szCs w:val="24"/>
              <w:lang w:val="zh-CN"/>
            </w:rPr>
            <w:fldChar w:fldCharType="separate"/>
          </w:r>
          <w:r>
            <w:rPr>
              <w:rFonts w:hint="eastAsia" w:ascii="宋体" w:hAnsi="宋体" w:eastAsia="宋体" w:cs="宋体"/>
              <w:bCs/>
              <w:color w:val="auto"/>
              <w:sz w:val="24"/>
              <w:szCs w:val="24"/>
            </w:rPr>
            <w:t>第三章 评审办法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_Toc8604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_Toc17579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第四章 合同条款及格式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_Toc17579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_Toc21529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第五章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_Toc21529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_Toc26607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第六章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_Toc26607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_Toc4701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一、 响应函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_Toc4701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_Toc9169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_Toc9169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_Toc17678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商务和技术偏差表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_Toc505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_Toc505 \h </w:instrText>
          </w:r>
          <w:r>
            <w:rPr>
              <w:rFonts w:hint="eastAsia" w:ascii="宋体" w:hAnsi="宋体" w:eastAsia="宋体" w:cs="宋体"/>
              <w:color w:val="auto"/>
              <w:sz w:val="24"/>
              <w:szCs w:val="24"/>
            </w:rPr>
            <w:fldChar w:fldCharType="separate"/>
          </w:r>
          <w:r>
            <w:rPr>
              <w:rFonts w:hint="eastAsia" w:ascii="宋体" w:hAnsi="宋体" w:cs="宋体"/>
              <w:color w:val="auto"/>
              <w:sz w:val="24"/>
              <w:szCs w:val="24"/>
              <w:lang w:val="en-US" w:eastAsia="zh-CN"/>
            </w:rPr>
            <w:t>38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_Toc17664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资格审查资料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_Toc17664 \h </w:instrText>
          </w:r>
          <w:r>
            <w:rPr>
              <w:rFonts w:hint="eastAsia" w:ascii="宋体" w:hAnsi="宋体" w:eastAsia="宋体" w:cs="宋体"/>
              <w:color w:val="auto"/>
              <w:sz w:val="24"/>
              <w:szCs w:val="24"/>
            </w:rPr>
            <w:fldChar w:fldCharType="separate"/>
          </w: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_Toc15239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val="zh-CN"/>
            </w:rPr>
            <w:t xml:space="preserve">六、 </w:t>
          </w:r>
          <w:r>
            <w:rPr>
              <w:rFonts w:hint="eastAsia" w:ascii="宋体" w:hAnsi="宋体" w:eastAsia="宋体" w:cs="宋体"/>
              <w:color w:val="auto"/>
              <w:sz w:val="24"/>
              <w:szCs w:val="24"/>
            </w:rPr>
            <w:t>响应方案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_Toc15239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7"/>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_Toc21069 </w:instrText>
          </w:r>
          <w:r>
            <w:rPr>
              <w:rFonts w:hint="eastAsia" w:ascii="宋体" w:hAnsi="宋体" w:eastAsia="宋体" w:cs="宋体"/>
              <w:color w:val="auto"/>
              <w:sz w:val="24"/>
              <w:szCs w:val="24"/>
              <w:lang w:val="zh-CN"/>
            </w:rPr>
            <w:fldChar w:fldCharType="separate"/>
          </w:r>
          <w:r>
            <w:rPr>
              <w:rFonts w:hint="eastAsia" w:ascii="宋体" w:hAnsi="宋体" w:eastAsia="宋体" w:cs="宋体"/>
              <w:bCs w:val="0"/>
              <w:color w:val="auto"/>
              <w:sz w:val="24"/>
              <w:szCs w:val="24"/>
              <w:lang w:eastAsia="zh-CN"/>
            </w:rPr>
            <w:t>七、 其他资料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_Toc21069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fldChar w:fldCharType="end"/>
          </w:r>
        </w:p>
      </w:sdtContent>
    </w:sdt>
    <w:p>
      <w:pPr>
        <w:pStyle w:val="23"/>
        <w:numPr>
          <w:ilvl w:val="0"/>
          <w:numId w:val="2"/>
        </w:numPr>
        <w:spacing w:line="600" w:lineRule="exact"/>
        <w:ind w:firstLineChars="0"/>
        <w:jc w:val="center"/>
        <w:rPr>
          <w:rFonts w:hint="eastAsia" w:ascii="宋体" w:hAnsi="宋体" w:eastAsia="宋体" w:cs="宋体"/>
          <w:b/>
          <w:color w:val="auto"/>
          <w:sz w:val="24"/>
          <w:szCs w:val="24"/>
        </w:rPr>
        <w:sectPr>
          <w:footerReference r:id="rId5" w:type="default"/>
          <w:pgSz w:w="11906" w:h="16838"/>
          <w:pgMar w:top="1440" w:right="1800" w:bottom="1440" w:left="1800" w:header="851" w:footer="992" w:gutter="0"/>
          <w:pgNumType w:start="1"/>
          <w:cols w:space="425" w:num="1"/>
          <w:docGrid w:type="lines" w:linePitch="312" w:charSpace="0"/>
        </w:sectPr>
      </w:pPr>
    </w:p>
    <w:p>
      <w:pPr>
        <w:numPr>
          <w:ilvl w:val="0"/>
          <w:numId w:val="0"/>
        </w:numPr>
        <w:spacing w:line="312" w:lineRule="auto"/>
        <w:jc w:val="both"/>
        <w:outlineLvl w:val="0"/>
        <w:rPr>
          <w:rFonts w:hint="eastAsia" w:ascii="黑体" w:hAnsi="黑体" w:eastAsia="黑体" w:cs="仿宋"/>
          <w:b/>
          <w:color w:val="auto"/>
          <w:sz w:val="36"/>
          <w:szCs w:val="36"/>
          <w:lang w:val="en-US" w:eastAsia="zh-CN"/>
        </w:rPr>
      </w:pPr>
    </w:p>
    <w:p>
      <w:pPr>
        <w:numPr>
          <w:ilvl w:val="0"/>
          <w:numId w:val="3"/>
        </w:numPr>
        <w:spacing w:line="312" w:lineRule="auto"/>
        <w:jc w:val="center"/>
        <w:outlineLvl w:val="0"/>
        <w:rPr>
          <w:rFonts w:hint="eastAsia" w:ascii="黑体" w:hAnsi="黑体" w:eastAsia="黑体" w:cs="仿宋"/>
          <w:b/>
          <w:color w:val="auto"/>
          <w:sz w:val="36"/>
          <w:szCs w:val="36"/>
          <w:lang w:val="en-US" w:eastAsia="zh-CN"/>
        </w:rPr>
      </w:pPr>
      <w:r>
        <w:rPr>
          <w:rFonts w:hint="eastAsia" w:ascii="黑体" w:hAnsi="黑体" w:eastAsia="黑体" w:cs="仿宋"/>
          <w:b/>
          <w:color w:val="auto"/>
          <w:sz w:val="36"/>
          <w:szCs w:val="36"/>
          <w:lang w:val="en-US" w:eastAsia="zh-CN"/>
        </w:rPr>
        <w:t>询价公告</w:t>
      </w:r>
      <w:bookmarkEnd w:id="0"/>
    </w:p>
    <w:p>
      <w:pPr>
        <w:spacing w:line="360" w:lineRule="auto"/>
        <w:jc w:val="cente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长沙集星集装箱码头有限公司</w:t>
      </w:r>
    </w:p>
    <w:p>
      <w:pPr>
        <w:spacing w:line="360" w:lineRule="auto"/>
        <w:jc w:val="center"/>
        <w:rPr>
          <w:rFonts w:ascii="黑体" w:hAnsi="黑体" w:eastAsia="黑体"/>
          <w:color w:val="auto"/>
          <w:sz w:val="32"/>
          <w:szCs w:val="32"/>
        </w:rPr>
      </w:pPr>
      <w:r>
        <w:rPr>
          <w:rFonts w:hint="eastAsia" w:ascii="黑体" w:hAnsi="黑体" w:eastAsia="黑体"/>
          <w:color w:val="auto"/>
          <w:sz w:val="32"/>
          <w:szCs w:val="32"/>
          <w:lang w:val="en-US" w:eastAsia="zh-CN"/>
        </w:rPr>
        <w:t>2022年度补充医疗保险项目询价</w:t>
      </w:r>
      <w:r>
        <w:rPr>
          <w:rFonts w:hint="eastAsia" w:ascii="黑体" w:hAnsi="黑体" w:eastAsia="黑体"/>
          <w:color w:val="auto"/>
          <w:sz w:val="32"/>
          <w:szCs w:val="32"/>
        </w:rPr>
        <w:t>公告</w:t>
      </w:r>
    </w:p>
    <w:p>
      <w:pPr>
        <w:pStyle w:val="14"/>
        <w:spacing w:before="0" w:beforeAutospacing="0" w:after="0" w:afterAutospacing="0"/>
        <w:ind w:firstLine="2880" w:firstLineChars="1200"/>
        <w:jc w:val="both"/>
        <w:rPr>
          <w:color w:val="auto"/>
        </w:rPr>
      </w:pPr>
      <w:r>
        <w:rPr>
          <w:rFonts w:hint="eastAsia"/>
          <w:color w:val="auto"/>
        </w:rPr>
        <w:t xml:space="preserve"> </w:t>
      </w:r>
    </w:p>
    <w:p>
      <w:pPr>
        <w:autoSpaceDE w:val="0"/>
        <w:spacing w:line="400" w:lineRule="exact"/>
        <w:ind w:firstLine="240" w:firstLineChars="100"/>
        <w:jc w:val="both"/>
        <w:rPr>
          <w:rFonts w:hint="eastAsia" w:ascii="宋体" w:hAnsi="宋体"/>
          <w:color w:val="auto"/>
          <w:sz w:val="24"/>
        </w:rPr>
      </w:pPr>
      <w:r>
        <w:rPr>
          <w:rFonts w:hint="eastAsia" w:ascii="宋体" w:hAnsi="宋体" w:eastAsia="宋体" w:cs="宋体"/>
          <w:color w:val="auto"/>
          <w:sz w:val="24"/>
          <w:szCs w:val="24"/>
        </w:rPr>
        <w:t xml:space="preserve">   </w:t>
      </w:r>
      <w:r>
        <w:rPr>
          <w:rFonts w:hint="eastAsia" w:ascii="宋体" w:hAnsi="宋体"/>
          <w:color w:val="auto"/>
          <w:sz w:val="24"/>
          <w:lang w:val="en-US" w:eastAsia="zh-CN"/>
        </w:rPr>
        <w:t>长沙集星集装箱码头有限公司2022年度补充医疗保险项目</w:t>
      </w:r>
      <w:r>
        <w:rPr>
          <w:rFonts w:hint="eastAsia" w:ascii="宋体" w:hAnsi="宋体"/>
          <w:color w:val="auto"/>
          <w:sz w:val="24"/>
        </w:rPr>
        <w:t>已具备采购条件</w:t>
      </w:r>
      <w:r>
        <w:rPr>
          <w:rFonts w:hint="eastAsia" w:ascii="宋体" w:hAnsi="宋体"/>
          <w:color w:val="auto"/>
          <w:sz w:val="24"/>
          <w:lang w:eastAsia="zh-CN"/>
        </w:rPr>
        <w:t>，</w:t>
      </w:r>
      <w:r>
        <w:rPr>
          <w:rFonts w:hint="eastAsia" w:ascii="宋体" w:hAnsi="宋体"/>
          <w:color w:val="auto"/>
          <w:sz w:val="24"/>
        </w:rPr>
        <w:t>现</w:t>
      </w:r>
      <w:r>
        <w:rPr>
          <w:rFonts w:hint="eastAsia" w:ascii="宋体" w:hAnsi="宋体"/>
          <w:color w:val="auto"/>
          <w:sz w:val="24"/>
          <w:lang w:val="en-US" w:eastAsia="zh-CN"/>
        </w:rPr>
        <w:t>公开</w:t>
      </w:r>
      <w:r>
        <w:rPr>
          <w:rFonts w:hint="eastAsia" w:ascii="宋体" w:hAnsi="宋体"/>
          <w:color w:val="auto"/>
          <w:sz w:val="24"/>
        </w:rPr>
        <w:t xml:space="preserve">邀请供应商参加采购活动。 </w:t>
      </w:r>
    </w:p>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一、</w:t>
      </w:r>
      <w:r>
        <w:rPr>
          <w:rFonts w:hint="eastAsia" w:ascii="宋体" w:hAnsi="宋体"/>
          <w:b/>
          <w:bCs/>
          <w:color w:val="auto"/>
          <w:sz w:val="24"/>
        </w:rPr>
        <w:t xml:space="preserve"> 采购项目简介 </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采购项目名称:</w:t>
      </w:r>
      <w:r>
        <w:rPr>
          <w:rFonts w:hint="eastAsia" w:ascii="宋体" w:hAnsi="宋体"/>
          <w:color w:val="auto"/>
          <w:sz w:val="24"/>
          <w:lang w:val="en-US" w:eastAsia="zh-CN"/>
        </w:rPr>
        <w:t>长沙集星集装箱码头有限公司补充医疗保险</w:t>
      </w:r>
      <w:r>
        <w:rPr>
          <w:rFonts w:hint="eastAsia" w:ascii="宋体" w:hAnsi="宋体"/>
          <w:color w:val="auto"/>
          <w:sz w:val="24"/>
          <w:lang w:val="zh-CN"/>
        </w:rPr>
        <w:t>项目。</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 xml:space="preserve">采购人: </w:t>
      </w:r>
      <w:r>
        <w:rPr>
          <w:rFonts w:hint="eastAsia" w:ascii="宋体" w:hAnsi="宋体"/>
          <w:color w:val="auto"/>
          <w:sz w:val="24"/>
          <w:lang w:val="en-US" w:eastAsia="zh-CN"/>
        </w:rPr>
        <w:t>长沙集星集装箱码头</w:t>
      </w:r>
      <w:r>
        <w:rPr>
          <w:rFonts w:hint="eastAsia" w:ascii="宋体" w:hAnsi="宋体"/>
          <w:color w:val="auto"/>
          <w:sz w:val="24"/>
        </w:rPr>
        <w:t>有限公司</w:t>
      </w:r>
      <w:r>
        <w:rPr>
          <w:rFonts w:hint="eastAsia" w:ascii="宋体" w:hAnsi="宋体"/>
          <w:color w:val="auto"/>
          <w:sz w:val="24"/>
          <w:lang w:eastAsia="zh-CN"/>
        </w:rPr>
        <w:t>。</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三</w:t>
      </w:r>
      <w:r>
        <w:rPr>
          <w:rFonts w:hint="eastAsia" w:ascii="宋体" w:hAnsi="宋体"/>
          <w:color w:val="auto"/>
          <w:sz w:val="24"/>
          <w:lang w:eastAsia="zh-CN"/>
        </w:rPr>
        <w:t>）</w:t>
      </w:r>
      <w:r>
        <w:rPr>
          <w:rFonts w:hint="eastAsia" w:ascii="宋体" w:hAnsi="宋体"/>
          <w:color w:val="auto"/>
          <w:sz w:val="24"/>
        </w:rPr>
        <w:t>采购代理机构:</w:t>
      </w:r>
      <w:r>
        <w:rPr>
          <w:rFonts w:hint="eastAsia" w:ascii="宋体" w:hAnsi="宋体"/>
          <w:color w:val="auto"/>
          <w:sz w:val="24"/>
          <w:lang w:eastAsia="zh-CN"/>
        </w:rPr>
        <w:t>无</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四</w:t>
      </w:r>
      <w:r>
        <w:rPr>
          <w:rFonts w:hint="eastAsia" w:ascii="宋体" w:hAnsi="宋体"/>
          <w:color w:val="auto"/>
          <w:sz w:val="24"/>
          <w:lang w:eastAsia="zh-CN"/>
        </w:rPr>
        <w:t>）</w:t>
      </w:r>
      <w:r>
        <w:rPr>
          <w:rFonts w:hint="eastAsia" w:ascii="宋体" w:hAnsi="宋体"/>
          <w:color w:val="auto"/>
          <w:sz w:val="24"/>
        </w:rPr>
        <w:t>采购项目资金落实情况:</w:t>
      </w:r>
      <w:r>
        <w:rPr>
          <w:rFonts w:hint="eastAsia" w:ascii="宋体" w:hAnsi="宋体"/>
          <w:color w:val="auto"/>
          <w:sz w:val="24"/>
          <w:lang w:eastAsia="zh-CN"/>
        </w:rPr>
        <w:t>企业自筹，已落实。</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五</w:t>
      </w:r>
      <w:r>
        <w:rPr>
          <w:rFonts w:hint="eastAsia" w:ascii="宋体" w:hAnsi="宋体"/>
          <w:color w:val="auto"/>
          <w:sz w:val="24"/>
          <w:lang w:eastAsia="zh-CN"/>
        </w:rPr>
        <w:t>）</w:t>
      </w:r>
      <w:r>
        <w:rPr>
          <w:rFonts w:hint="eastAsia" w:ascii="宋体" w:hAnsi="宋体"/>
          <w:color w:val="auto"/>
          <w:sz w:val="24"/>
        </w:rPr>
        <w:t xml:space="preserve">采购项目概况: </w:t>
      </w:r>
      <w:r>
        <w:rPr>
          <w:rFonts w:hint="eastAsia" w:ascii="宋体" w:hAnsi="宋体"/>
          <w:color w:val="auto"/>
          <w:sz w:val="24"/>
          <w:lang w:val="en-US" w:eastAsia="zh-CN"/>
        </w:rPr>
        <w:t>长沙集星公司员工补充医疗保险即将到期</w:t>
      </w:r>
      <w:r>
        <w:rPr>
          <w:rFonts w:hint="eastAsia" w:ascii="宋体" w:hAnsi="宋体"/>
          <w:color w:val="auto"/>
          <w:sz w:val="24"/>
        </w:rPr>
        <w:t>，</w:t>
      </w:r>
      <w:r>
        <w:rPr>
          <w:rFonts w:hint="eastAsia" w:ascii="宋体" w:hAnsi="宋体"/>
          <w:color w:val="auto"/>
          <w:sz w:val="24"/>
          <w:lang w:eastAsia="zh-CN"/>
        </w:rPr>
        <w:t>现采用</w:t>
      </w:r>
      <w:r>
        <w:rPr>
          <w:rFonts w:hint="eastAsia" w:ascii="宋体" w:hAnsi="宋体"/>
          <w:color w:val="auto"/>
          <w:sz w:val="24"/>
          <w:lang w:val="en-US" w:eastAsia="zh-CN"/>
        </w:rPr>
        <w:t>询价的</w:t>
      </w:r>
      <w:r>
        <w:rPr>
          <w:rFonts w:hint="eastAsia" w:ascii="宋体" w:hAnsi="宋体"/>
          <w:color w:val="auto"/>
          <w:sz w:val="24"/>
          <w:lang w:eastAsia="zh-CN"/>
        </w:rPr>
        <w:t>方式</w:t>
      </w:r>
      <w:r>
        <w:rPr>
          <w:rFonts w:hint="eastAsia" w:ascii="宋体" w:hAnsi="宋体"/>
          <w:color w:val="auto"/>
          <w:sz w:val="24"/>
          <w:lang w:val="en-US" w:eastAsia="zh-CN"/>
        </w:rPr>
        <w:t>进行采购</w:t>
      </w:r>
      <w:r>
        <w:rPr>
          <w:rFonts w:hint="eastAsia" w:ascii="宋体" w:hAnsi="宋体"/>
          <w:color w:val="auto"/>
          <w:sz w:val="24"/>
          <w:lang w:eastAsia="zh-CN"/>
        </w:rPr>
        <w:t>。</w:t>
      </w:r>
    </w:p>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二、</w:t>
      </w:r>
      <w:r>
        <w:rPr>
          <w:rFonts w:hint="eastAsia" w:ascii="宋体" w:hAnsi="宋体"/>
          <w:b/>
          <w:bCs/>
          <w:color w:val="auto"/>
          <w:sz w:val="24"/>
        </w:rPr>
        <w:t xml:space="preserve">采购范围及相关要求 </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 xml:space="preserve">采购范围: </w:t>
      </w:r>
      <w:r>
        <w:rPr>
          <w:rFonts w:hint="eastAsia" w:ascii="宋体" w:hAnsi="宋体"/>
          <w:color w:val="auto"/>
          <w:sz w:val="24"/>
          <w:lang w:val="en-US" w:eastAsia="zh-CN"/>
        </w:rPr>
        <w:t>集星公司在职员工146人</w:t>
      </w:r>
      <w:r>
        <w:rPr>
          <w:rFonts w:hint="eastAsia" w:ascii="宋体" w:hAnsi="宋体"/>
          <w:color w:val="auto"/>
          <w:sz w:val="24"/>
        </w:rPr>
        <w:t xml:space="preserve">。 </w:t>
      </w:r>
    </w:p>
    <w:p>
      <w:pPr>
        <w:autoSpaceDE w:val="0"/>
        <w:spacing w:line="400" w:lineRule="exact"/>
        <w:jc w:val="both"/>
        <w:rPr>
          <w:rFonts w:hint="default" w:ascii="宋体" w:hAnsi="宋体"/>
          <w:color w:val="auto"/>
          <w:sz w:val="24"/>
          <w:lang w:val="en-US"/>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 xml:space="preserve">服务期限: </w:t>
      </w:r>
      <w:r>
        <w:rPr>
          <w:rFonts w:hint="eastAsia" w:ascii="宋体" w:hAnsi="宋体"/>
          <w:color w:val="auto"/>
          <w:sz w:val="24"/>
          <w:lang w:val="en-US" w:eastAsia="zh-CN"/>
        </w:rPr>
        <w:t>2022年1月1日至2022年12月31日</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三</w:t>
      </w:r>
      <w:r>
        <w:rPr>
          <w:rFonts w:hint="eastAsia" w:ascii="宋体" w:hAnsi="宋体"/>
          <w:color w:val="auto"/>
          <w:sz w:val="24"/>
          <w:lang w:eastAsia="zh-CN"/>
        </w:rPr>
        <w:t>）</w:t>
      </w:r>
      <w:r>
        <w:rPr>
          <w:rFonts w:hint="eastAsia" w:ascii="宋体" w:hAnsi="宋体"/>
          <w:color w:val="auto"/>
          <w:sz w:val="24"/>
        </w:rPr>
        <w:t xml:space="preserve">服务地点: </w:t>
      </w:r>
      <w:r>
        <w:rPr>
          <w:rFonts w:hint="eastAsia" w:ascii="宋体" w:hAnsi="宋体"/>
          <w:color w:val="auto"/>
          <w:sz w:val="24"/>
          <w:lang w:val="en-US" w:eastAsia="zh-CN"/>
        </w:rPr>
        <w:t>长沙集星集装箱码头</w:t>
      </w:r>
      <w:r>
        <w:rPr>
          <w:rFonts w:hint="eastAsia" w:ascii="宋体" w:hAnsi="宋体"/>
          <w:color w:val="auto"/>
          <w:sz w:val="24"/>
        </w:rPr>
        <w:t>有限公司</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四</w:t>
      </w:r>
      <w:r>
        <w:rPr>
          <w:rFonts w:hint="eastAsia" w:ascii="宋体" w:hAnsi="宋体"/>
          <w:color w:val="auto"/>
          <w:sz w:val="24"/>
          <w:lang w:eastAsia="zh-CN"/>
        </w:rPr>
        <w:t>）</w:t>
      </w:r>
      <w:r>
        <w:rPr>
          <w:rFonts w:hint="eastAsia" w:ascii="宋体" w:hAnsi="宋体"/>
          <w:color w:val="auto"/>
          <w:sz w:val="24"/>
        </w:rPr>
        <w:t xml:space="preserve">质量要求或服务标准: </w:t>
      </w:r>
    </w:p>
    <w:p>
      <w:pPr>
        <w:autoSpaceDE w:val="0"/>
        <w:spacing w:line="400" w:lineRule="exact"/>
        <w:ind w:firstLine="240" w:firstLineChars="100"/>
        <w:jc w:val="both"/>
        <w:rPr>
          <w:rFonts w:hint="eastAsia" w:ascii="宋体" w:hAnsi="宋体"/>
          <w:color w:val="auto"/>
          <w:sz w:val="24"/>
          <w:lang w:val="en-US" w:eastAsia="zh-CN"/>
        </w:rPr>
      </w:pPr>
      <w:r>
        <w:rPr>
          <w:rFonts w:hint="eastAsia" w:ascii="宋体" w:hAnsi="宋体"/>
          <w:color w:val="auto"/>
          <w:sz w:val="24"/>
          <w:lang w:val="en-US" w:eastAsia="zh-CN"/>
        </w:rPr>
        <w:t>详见询价文件第三章“采购需求”</w:t>
      </w:r>
    </w:p>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三、</w:t>
      </w:r>
      <w:r>
        <w:rPr>
          <w:rFonts w:hint="eastAsia" w:ascii="宋体" w:hAnsi="宋体"/>
          <w:b/>
          <w:bCs/>
          <w:color w:val="auto"/>
          <w:sz w:val="24"/>
        </w:rPr>
        <w:t>供应商资格要求</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供应商不得存在下列情形之一:</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处于被责令停产停业、暂扣或者吊销执照、暂扣或者吊销许可证、吊销资质证书状态;</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进入清算程序，或被宣告破产，或其他丧失履约能力的情形;</w:t>
      </w:r>
    </w:p>
    <w:p>
      <w:pPr>
        <w:autoSpaceDE w:val="0"/>
        <w:spacing w:line="400" w:lineRule="exact"/>
        <w:ind w:firstLine="240" w:firstLineChars="100"/>
        <w:jc w:val="both"/>
        <w:rPr>
          <w:rFonts w:hint="eastAsia" w:ascii="宋体" w:hAnsi="宋体"/>
          <w:color w:val="auto"/>
          <w:sz w:val="24"/>
          <w:lang w:eastAsia="zh-CN"/>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被采购人或采购人上级单位纳入黑名单</w:t>
      </w:r>
      <w:r>
        <w:rPr>
          <w:rFonts w:hint="eastAsia" w:ascii="宋体" w:hAnsi="宋体"/>
          <w:color w:val="auto"/>
          <w:sz w:val="24"/>
          <w:lang w:eastAsia="zh-CN"/>
        </w:rPr>
        <w:t>；</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为投资参股本项目的法人单位；</w:t>
      </w:r>
    </w:p>
    <w:p>
      <w:pPr>
        <w:autoSpaceDE w:val="0"/>
        <w:spacing w:line="400" w:lineRule="exact"/>
        <w:ind w:firstLine="240" w:firstLineChars="100"/>
        <w:jc w:val="both"/>
        <w:rPr>
          <w:rFonts w:hint="eastAsia" w:ascii="宋体" w:hAnsi="宋体"/>
          <w:color w:val="auto"/>
          <w:sz w:val="24"/>
          <w:lang w:eastAsia="zh-CN"/>
        </w:rPr>
      </w:pPr>
      <w:r>
        <w:rPr>
          <w:rFonts w:hint="eastAsia" w:ascii="宋体" w:hAnsi="宋体"/>
          <w:color w:val="auto"/>
          <w:sz w:val="24"/>
          <w:lang w:val="en-US" w:eastAsia="zh-CN"/>
        </w:rPr>
        <w:t>5.</w:t>
      </w:r>
      <w:r>
        <w:rPr>
          <w:rFonts w:hint="eastAsia" w:ascii="宋体" w:hAnsi="宋体"/>
          <w:color w:val="auto"/>
          <w:sz w:val="24"/>
        </w:rPr>
        <w:t>被省级及以上交通主管部门取消项目所在地的投标资格或禁止进入该区域水运建设市场且处于有效期内；</w:t>
      </w:r>
    </w:p>
    <w:p>
      <w:pPr>
        <w:autoSpaceDE w:val="0"/>
        <w:spacing w:line="400" w:lineRule="exact"/>
        <w:jc w:val="both"/>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供应商应满足如下要求:</w:t>
      </w:r>
    </w:p>
    <w:tbl>
      <w:tblPr>
        <w:tblStyle w:val="17"/>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729"/>
        <w:gridCol w:w="4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42" w:type="dxa"/>
          </w:tcPr>
          <w:p>
            <w:pPr>
              <w:widowControl w:val="0"/>
              <w:spacing w:line="320" w:lineRule="exact"/>
              <w:jc w:val="center"/>
              <w:rPr>
                <w:rFonts w:ascii="宋体" w:hAnsi="宋体"/>
                <w:color w:val="auto"/>
                <w:sz w:val="24"/>
              </w:rPr>
            </w:pPr>
            <w:r>
              <w:rPr>
                <w:rFonts w:hint="eastAsia" w:ascii="宋体" w:hAnsi="宋体"/>
                <w:color w:val="auto"/>
                <w:sz w:val="24"/>
              </w:rPr>
              <w:t>资格条件</w:t>
            </w:r>
          </w:p>
        </w:tc>
        <w:tc>
          <w:tcPr>
            <w:tcW w:w="1729" w:type="dxa"/>
          </w:tcPr>
          <w:p>
            <w:pPr>
              <w:widowControl w:val="0"/>
              <w:spacing w:line="320" w:lineRule="exact"/>
              <w:jc w:val="center"/>
              <w:rPr>
                <w:rFonts w:ascii="宋体" w:hAnsi="宋体"/>
                <w:color w:val="auto"/>
                <w:sz w:val="24"/>
              </w:rPr>
            </w:pPr>
            <w:r>
              <w:rPr>
                <w:rFonts w:hint="eastAsia" w:ascii="宋体" w:hAnsi="宋体"/>
                <w:color w:val="auto"/>
                <w:sz w:val="24"/>
              </w:rPr>
              <w:t>对供应商要求</w:t>
            </w:r>
          </w:p>
        </w:tc>
        <w:tc>
          <w:tcPr>
            <w:tcW w:w="4907" w:type="dxa"/>
          </w:tcPr>
          <w:p>
            <w:pPr>
              <w:widowControl w:val="0"/>
              <w:spacing w:line="320" w:lineRule="exact"/>
              <w:jc w:val="center"/>
              <w:rPr>
                <w:rFonts w:ascii="宋体" w:hAnsi="宋体"/>
                <w:color w:val="auto"/>
                <w:sz w:val="24"/>
              </w:rPr>
            </w:pPr>
            <w:r>
              <w:rPr>
                <w:rFonts w:hint="eastAsia" w:ascii="宋体" w:hAnsi="宋体"/>
                <w:color w:val="auto"/>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（1）依法设立</w:t>
            </w:r>
          </w:p>
        </w:tc>
        <w:tc>
          <w:tcPr>
            <w:tcW w:w="1729" w:type="dxa"/>
          </w:tcPr>
          <w:p>
            <w:pPr>
              <w:widowControl w:val="0"/>
              <w:spacing w:line="320" w:lineRule="exact"/>
              <w:jc w:val="both"/>
              <w:rPr>
                <w:rStyle w:val="19"/>
                <w:b w:val="0"/>
                <w:bCs w:val="0"/>
                <w:color w:val="auto"/>
                <w:u w:val="single"/>
              </w:rPr>
            </w:pPr>
            <w:r>
              <w:rPr>
                <w:rStyle w:val="19"/>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9"/>
                <w:rFonts w:hint="eastAsia"/>
                <w:b w:val="0"/>
                <w:bCs w:val="0"/>
                <w:color w:val="auto"/>
                <w:u w:val="single"/>
                <w:lang w:eastAsia="zh-CN"/>
              </w:rPr>
              <w:t>☑</w:t>
            </w:r>
            <w:r>
              <w:rPr>
                <w:rStyle w:val="19"/>
                <w:rFonts w:hint="eastAsia"/>
                <w:b w:val="0"/>
                <w:bCs w:val="0"/>
                <w:color w:val="auto"/>
                <w:u w:val="single"/>
              </w:rPr>
              <w:t>适用</w:t>
            </w:r>
          </w:p>
        </w:tc>
        <w:tc>
          <w:tcPr>
            <w:tcW w:w="4907" w:type="dxa"/>
          </w:tcPr>
          <w:p>
            <w:pPr>
              <w:widowControl w:val="0"/>
              <w:spacing w:line="320" w:lineRule="exact"/>
              <w:jc w:val="both"/>
              <w:rPr>
                <w:rStyle w:val="19"/>
                <w:b w:val="0"/>
                <w:bCs w:val="0"/>
                <w:u w:val="single"/>
              </w:rPr>
            </w:pPr>
            <w:r>
              <w:rPr>
                <w:rStyle w:val="19"/>
                <w:rFonts w:hint="eastAsia"/>
                <w:b w:val="0"/>
                <w:bCs w:val="0"/>
                <w:u w:val="single"/>
              </w:rPr>
              <w:t xml:space="preserve">□不适用  </w:t>
            </w:r>
          </w:p>
          <w:p>
            <w:pPr>
              <w:widowControl w:val="0"/>
              <w:spacing w:line="320" w:lineRule="exact"/>
              <w:jc w:val="both"/>
              <w:rPr>
                <w:rStyle w:val="19"/>
                <w:rFonts w:hint="eastAsia"/>
                <w:b w:val="0"/>
                <w:bCs w:val="0"/>
                <w:color w:val="auto"/>
                <w:u w:val="none"/>
              </w:rPr>
            </w:pPr>
            <w:r>
              <w:rPr>
                <w:rStyle w:val="19"/>
                <w:rFonts w:hint="eastAsia"/>
                <w:b w:val="0"/>
                <w:bCs w:val="0"/>
                <w:u w:val="single"/>
                <w:lang w:eastAsia="zh-CN"/>
              </w:rPr>
              <w:t>☑</w:t>
            </w:r>
            <w:r>
              <w:rPr>
                <w:rStyle w:val="19"/>
                <w:rFonts w:hint="eastAsia"/>
                <w:b w:val="0"/>
                <w:bCs w:val="0"/>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（2）资质要求</w:t>
            </w:r>
          </w:p>
        </w:tc>
        <w:tc>
          <w:tcPr>
            <w:tcW w:w="1729" w:type="dxa"/>
          </w:tcPr>
          <w:p>
            <w:pPr>
              <w:widowControl w:val="0"/>
              <w:spacing w:line="320" w:lineRule="exact"/>
              <w:jc w:val="both"/>
              <w:rPr>
                <w:rStyle w:val="19"/>
                <w:b w:val="0"/>
                <w:bCs w:val="0"/>
                <w:color w:val="auto"/>
                <w:u w:val="single"/>
              </w:rPr>
            </w:pPr>
            <w:r>
              <w:rPr>
                <w:rStyle w:val="19"/>
                <w:rFonts w:hint="eastAsia"/>
                <w:b w:val="0"/>
                <w:bCs w:val="0"/>
                <w:color w:val="auto"/>
                <w:u w:val="single"/>
                <w:lang w:eastAsia="zh-CN"/>
              </w:rPr>
              <w:t>□</w:t>
            </w:r>
            <w:r>
              <w:rPr>
                <w:rStyle w:val="19"/>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9"/>
                <w:rFonts w:hint="eastAsia"/>
                <w:b w:val="0"/>
                <w:bCs w:val="0"/>
                <w:color w:val="auto"/>
                <w:u w:val="single"/>
                <w:lang w:eastAsia="zh-CN"/>
              </w:rPr>
              <w:t>☑</w:t>
            </w:r>
            <w:r>
              <w:rPr>
                <w:rStyle w:val="19"/>
                <w:rFonts w:hint="eastAsia"/>
                <w:b w:val="0"/>
                <w:bCs w:val="0"/>
                <w:color w:val="auto"/>
                <w:u w:val="single"/>
              </w:rPr>
              <w:t>适用</w:t>
            </w:r>
          </w:p>
        </w:tc>
        <w:tc>
          <w:tcPr>
            <w:tcW w:w="4907" w:type="dxa"/>
          </w:tcPr>
          <w:p>
            <w:pPr>
              <w:widowControl w:val="0"/>
              <w:spacing w:line="320" w:lineRule="exact"/>
              <w:jc w:val="both"/>
              <w:rPr>
                <w:rStyle w:val="19"/>
                <w:b w:val="0"/>
                <w:bCs w:val="0"/>
                <w:color w:val="auto"/>
                <w:u w:val="none"/>
              </w:rPr>
            </w:pPr>
            <w:r>
              <w:rPr>
                <w:rStyle w:val="19"/>
                <w:rFonts w:hint="eastAsia"/>
                <w:b w:val="0"/>
                <w:bCs w:val="0"/>
                <w:color w:val="auto"/>
                <w:u w:val="none"/>
                <w:lang w:eastAsia="zh-CN"/>
              </w:rPr>
              <w:t>□</w:t>
            </w:r>
            <w:r>
              <w:rPr>
                <w:rStyle w:val="19"/>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9"/>
                <w:rFonts w:hint="eastAsia"/>
                <w:b w:val="0"/>
                <w:bCs w:val="0"/>
                <w:color w:val="auto"/>
                <w:u w:val="none"/>
                <w:lang w:eastAsia="zh-CN"/>
              </w:rPr>
              <w:t>☑</w:t>
            </w:r>
            <w:r>
              <w:rPr>
                <w:rStyle w:val="19"/>
                <w:rFonts w:hint="eastAsia"/>
                <w:b w:val="0"/>
                <w:bCs w:val="0"/>
                <w:color w:val="auto"/>
                <w:u w:val="non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（3）财务要求</w:t>
            </w:r>
          </w:p>
        </w:tc>
        <w:tc>
          <w:tcPr>
            <w:tcW w:w="1729" w:type="dxa"/>
          </w:tcPr>
          <w:p>
            <w:pPr>
              <w:widowControl w:val="0"/>
              <w:spacing w:line="320" w:lineRule="exact"/>
              <w:jc w:val="both"/>
              <w:rPr>
                <w:rStyle w:val="19"/>
                <w:b w:val="0"/>
                <w:bCs w:val="0"/>
                <w:color w:val="auto"/>
                <w:u w:val="single"/>
              </w:rPr>
            </w:pPr>
            <w:r>
              <w:rPr>
                <w:rStyle w:val="19"/>
                <w:rFonts w:hint="eastAsia"/>
                <w:b w:val="0"/>
                <w:bCs w:val="0"/>
                <w:color w:val="auto"/>
                <w:u w:val="single"/>
                <w:lang w:eastAsia="zh-CN"/>
              </w:rPr>
              <w:t>□</w:t>
            </w:r>
            <w:r>
              <w:rPr>
                <w:rStyle w:val="19"/>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9"/>
                <w:rFonts w:hint="eastAsia"/>
                <w:b w:val="0"/>
                <w:bCs w:val="0"/>
                <w:color w:val="auto"/>
                <w:u w:val="single"/>
                <w:lang w:eastAsia="zh-CN"/>
              </w:rPr>
              <w:t>☑</w:t>
            </w:r>
            <w:r>
              <w:rPr>
                <w:rStyle w:val="19"/>
                <w:rFonts w:hint="eastAsia"/>
                <w:b w:val="0"/>
                <w:bCs w:val="0"/>
                <w:color w:val="auto"/>
                <w:u w:val="single"/>
              </w:rPr>
              <w:t>适用</w:t>
            </w:r>
          </w:p>
        </w:tc>
        <w:tc>
          <w:tcPr>
            <w:tcW w:w="4907" w:type="dxa"/>
          </w:tcPr>
          <w:p>
            <w:pPr>
              <w:widowControl w:val="0"/>
              <w:spacing w:line="320" w:lineRule="exact"/>
              <w:jc w:val="both"/>
              <w:rPr>
                <w:rStyle w:val="19"/>
                <w:rFonts w:hint="eastAsia"/>
                <w:b w:val="0"/>
                <w:bCs w:val="0"/>
                <w:color w:val="auto"/>
                <w:u w:val="none"/>
              </w:rPr>
            </w:pPr>
            <w:r>
              <w:rPr>
                <w:rStyle w:val="19"/>
                <w:rFonts w:hint="eastAsia"/>
                <w:b w:val="0"/>
                <w:bCs w:val="0"/>
                <w:color w:val="auto"/>
                <w:u w:val="single"/>
                <w:lang w:eastAsia="zh-CN"/>
              </w:rPr>
              <w:t>□</w:t>
            </w:r>
            <w:r>
              <w:rPr>
                <w:rStyle w:val="19"/>
                <w:rFonts w:hint="eastAsia"/>
                <w:b w:val="0"/>
                <w:bCs w:val="0"/>
                <w:color w:val="auto"/>
                <w:u w:val="single"/>
              </w:rPr>
              <w:t>不</w:t>
            </w:r>
            <w:r>
              <w:rPr>
                <w:rStyle w:val="19"/>
                <w:rFonts w:hint="eastAsia"/>
                <w:b w:val="0"/>
                <w:bCs w:val="0"/>
                <w:color w:val="auto"/>
                <w:u w:val="none"/>
              </w:rPr>
              <w:t xml:space="preserve">适用  </w:t>
            </w:r>
          </w:p>
          <w:p>
            <w:pPr>
              <w:widowControl w:val="0"/>
              <w:spacing w:line="320" w:lineRule="exact"/>
              <w:jc w:val="both"/>
              <w:rPr>
                <w:rFonts w:ascii="宋体" w:hAnsi="宋体"/>
                <w:b w:val="0"/>
                <w:bCs w:val="0"/>
                <w:color w:val="auto"/>
                <w:sz w:val="24"/>
                <w:u w:val="single"/>
              </w:rPr>
            </w:pPr>
            <w:r>
              <w:rPr>
                <w:rStyle w:val="19"/>
                <w:rFonts w:hint="eastAsia"/>
                <w:b w:val="0"/>
                <w:bCs w:val="0"/>
                <w:color w:val="auto"/>
                <w:u w:val="single"/>
                <w:lang w:eastAsia="zh-CN"/>
              </w:rPr>
              <w:t>☑</w:t>
            </w:r>
            <w:r>
              <w:rPr>
                <w:rStyle w:val="19"/>
                <w:rFonts w:hint="eastAsia"/>
                <w:b w:val="0"/>
                <w:bCs w:val="0"/>
                <w:color w:val="auto"/>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（4）业绩要求</w:t>
            </w:r>
          </w:p>
        </w:tc>
        <w:tc>
          <w:tcPr>
            <w:tcW w:w="1729" w:type="dxa"/>
          </w:tcPr>
          <w:p>
            <w:pPr>
              <w:widowControl w:val="0"/>
              <w:spacing w:line="320" w:lineRule="exact"/>
              <w:jc w:val="both"/>
              <w:rPr>
                <w:rStyle w:val="19"/>
                <w:b w:val="0"/>
                <w:bCs w:val="0"/>
                <w:color w:val="auto"/>
                <w:u w:val="single"/>
              </w:rPr>
            </w:pPr>
            <w:r>
              <w:rPr>
                <w:rStyle w:val="19"/>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9"/>
                <w:rFonts w:hint="eastAsia"/>
                <w:b w:val="0"/>
                <w:bCs w:val="0"/>
                <w:color w:val="auto"/>
                <w:u w:val="single"/>
                <w:lang w:eastAsia="zh-CN"/>
              </w:rPr>
              <w:t>☑</w:t>
            </w:r>
            <w:r>
              <w:rPr>
                <w:rStyle w:val="19"/>
                <w:rFonts w:hint="eastAsia"/>
                <w:b w:val="0"/>
                <w:bCs w:val="0"/>
                <w:color w:val="auto"/>
                <w:u w:val="single"/>
              </w:rPr>
              <w:t>适用</w:t>
            </w:r>
          </w:p>
        </w:tc>
        <w:tc>
          <w:tcPr>
            <w:tcW w:w="4907" w:type="dxa"/>
          </w:tcPr>
          <w:p>
            <w:pPr>
              <w:widowControl w:val="0"/>
              <w:spacing w:line="320" w:lineRule="exact"/>
              <w:jc w:val="both"/>
              <w:rPr>
                <w:rStyle w:val="19"/>
                <w:rFonts w:hint="eastAsia"/>
                <w:b w:val="0"/>
                <w:bCs w:val="0"/>
                <w:color w:val="auto"/>
                <w:u w:val="single"/>
              </w:rPr>
            </w:pPr>
            <w:r>
              <w:rPr>
                <w:rStyle w:val="19"/>
                <w:rFonts w:hint="eastAsia"/>
                <w:b w:val="0"/>
                <w:bCs w:val="0"/>
                <w:color w:val="auto"/>
                <w:u w:val="single"/>
              </w:rPr>
              <w:t xml:space="preserve">□不适用  </w:t>
            </w:r>
          </w:p>
          <w:p>
            <w:pPr>
              <w:widowControl w:val="0"/>
              <w:spacing w:line="320" w:lineRule="exact"/>
              <w:jc w:val="both"/>
              <w:rPr>
                <w:rFonts w:ascii="宋体" w:hAnsi="宋体"/>
                <w:b w:val="0"/>
                <w:bCs w:val="0"/>
                <w:color w:val="auto"/>
                <w:sz w:val="24"/>
                <w:u w:val="none"/>
              </w:rPr>
            </w:pPr>
            <w:r>
              <w:rPr>
                <w:rStyle w:val="19"/>
                <w:rFonts w:hint="eastAsia"/>
                <w:b w:val="0"/>
                <w:bCs w:val="0"/>
                <w:color w:val="auto"/>
                <w:u w:val="single"/>
                <w:lang w:eastAsia="zh-CN"/>
              </w:rPr>
              <w:t>☑</w:t>
            </w:r>
            <w:r>
              <w:rPr>
                <w:rStyle w:val="19"/>
                <w:rFonts w:hint="eastAsia"/>
                <w:b w:val="0"/>
                <w:bCs w:val="0"/>
                <w:color w:val="auto"/>
                <w:u w:val="single"/>
              </w:rPr>
              <w:t>适用,见采购文件供应商须知前附表3.5（4）。</w:t>
            </w:r>
            <w:r>
              <w:rPr>
                <w:rStyle w:val="19"/>
                <w:rFonts w:hint="eastAsia"/>
                <w:b w:val="0"/>
                <w:bCs w:val="0"/>
                <w:color w:val="auto"/>
                <w:u w:val="none"/>
              </w:rPr>
              <w:t xml:space="preserve">  </w:t>
            </w:r>
            <w:r>
              <w:rPr>
                <w:rFonts w:hint="eastAsia" w:cs="宋体" w:asciiTheme="minorEastAsia" w:hAnsiTheme="minorEastAsia" w:eastAsiaTheme="minorEastAsia"/>
                <w:color w:val="auto"/>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（5）信誉要求</w:t>
            </w:r>
          </w:p>
        </w:tc>
        <w:tc>
          <w:tcPr>
            <w:tcW w:w="1729" w:type="dxa"/>
          </w:tcPr>
          <w:p>
            <w:pPr>
              <w:widowControl w:val="0"/>
              <w:spacing w:line="320" w:lineRule="exact"/>
              <w:jc w:val="both"/>
              <w:rPr>
                <w:rStyle w:val="19"/>
                <w:b w:val="0"/>
                <w:bCs w:val="0"/>
                <w:color w:val="auto"/>
                <w:u w:val="single"/>
              </w:rPr>
            </w:pPr>
            <w:r>
              <w:rPr>
                <w:rStyle w:val="19"/>
                <w:rFonts w:hint="eastAsia"/>
                <w:b w:val="0"/>
                <w:bCs w:val="0"/>
                <w:color w:val="auto"/>
                <w:u w:val="single"/>
                <w:lang w:eastAsia="zh-CN"/>
              </w:rPr>
              <w:t>☑</w:t>
            </w:r>
            <w:r>
              <w:rPr>
                <w:rStyle w:val="19"/>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9"/>
                <w:rFonts w:hint="eastAsia"/>
                <w:b w:val="0"/>
                <w:bCs w:val="0"/>
                <w:color w:val="auto"/>
                <w:u w:val="single"/>
                <w:lang w:eastAsia="zh-CN"/>
              </w:rPr>
              <w:t>□</w:t>
            </w:r>
            <w:r>
              <w:rPr>
                <w:rStyle w:val="19"/>
                <w:rFonts w:hint="eastAsia"/>
                <w:b w:val="0"/>
                <w:bCs w:val="0"/>
                <w:color w:val="auto"/>
                <w:u w:val="single"/>
              </w:rPr>
              <w:t>适用</w:t>
            </w:r>
          </w:p>
        </w:tc>
        <w:tc>
          <w:tcPr>
            <w:tcW w:w="4907" w:type="dxa"/>
          </w:tcPr>
          <w:p>
            <w:pPr>
              <w:widowControl w:val="0"/>
              <w:spacing w:line="320" w:lineRule="exact"/>
              <w:jc w:val="both"/>
              <w:rPr>
                <w:rStyle w:val="19"/>
                <w:b w:val="0"/>
                <w:bCs w:val="0"/>
                <w:color w:val="auto"/>
                <w:u w:val="none"/>
              </w:rPr>
            </w:pPr>
            <w:r>
              <w:rPr>
                <w:rStyle w:val="19"/>
                <w:rFonts w:hint="eastAsia"/>
                <w:b w:val="0"/>
                <w:bCs w:val="0"/>
                <w:color w:val="auto"/>
                <w:u w:val="none"/>
                <w:lang w:eastAsia="zh-CN"/>
              </w:rPr>
              <w:t>☑</w:t>
            </w:r>
            <w:r>
              <w:rPr>
                <w:rStyle w:val="19"/>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9"/>
                <w:rFonts w:hint="eastAsia"/>
                <w:b w:val="0"/>
                <w:bCs w:val="0"/>
                <w:color w:val="auto"/>
                <w:u w:val="none"/>
                <w:lang w:eastAsia="zh-CN"/>
              </w:rPr>
              <w:t>□</w:t>
            </w:r>
            <w:r>
              <w:rPr>
                <w:rStyle w:val="19"/>
                <w:rFonts w:hint="eastAsia"/>
                <w:b w:val="0"/>
                <w:bCs w:val="0"/>
                <w:color w:val="auto"/>
                <w:u w:val="non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42" w:type="dxa"/>
          </w:tcPr>
          <w:p>
            <w:pPr>
              <w:widowControl w:val="0"/>
              <w:spacing w:line="288" w:lineRule="auto"/>
              <w:jc w:val="both"/>
              <w:rPr>
                <w:rFonts w:ascii="宋体" w:hAnsi="宋体"/>
                <w:b w:val="0"/>
                <w:bCs w:val="0"/>
                <w:color w:val="auto"/>
                <w:sz w:val="24"/>
              </w:rPr>
            </w:pPr>
            <w:r>
              <w:rPr>
                <w:rFonts w:hint="eastAsia" w:ascii="宋体" w:hAnsi="宋体"/>
                <w:b w:val="0"/>
                <w:bCs w:val="0"/>
                <w:color w:val="auto"/>
                <w:sz w:val="24"/>
              </w:rPr>
              <w:t>（6）承担本项目的主要人员要求</w:t>
            </w:r>
          </w:p>
        </w:tc>
        <w:tc>
          <w:tcPr>
            <w:tcW w:w="1729" w:type="dxa"/>
          </w:tcPr>
          <w:p>
            <w:pPr>
              <w:widowControl w:val="0"/>
              <w:spacing w:line="320" w:lineRule="exact"/>
              <w:jc w:val="both"/>
              <w:rPr>
                <w:rStyle w:val="19"/>
                <w:b w:val="0"/>
                <w:bCs w:val="0"/>
                <w:color w:val="auto"/>
                <w:u w:val="single"/>
              </w:rPr>
            </w:pPr>
            <w:r>
              <w:rPr>
                <w:rStyle w:val="19"/>
                <w:rFonts w:hint="eastAsia"/>
                <w:b w:val="0"/>
                <w:bCs w:val="0"/>
                <w:color w:val="auto"/>
                <w:u w:val="single"/>
                <w:lang w:eastAsia="zh-CN"/>
              </w:rPr>
              <w:t>☑</w:t>
            </w:r>
            <w:r>
              <w:rPr>
                <w:rStyle w:val="19"/>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9"/>
                <w:rFonts w:hint="eastAsia"/>
                <w:b w:val="0"/>
                <w:bCs w:val="0"/>
                <w:color w:val="auto"/>
                <w:u w:val="single"/>
              </w:rPr>
              <w:t>□适用</w:t>
            </w:r>
          </w:p>
        </w:tc>
        <w:tc>
          <w:tcPr>
            <w:tcW w:w="4907" w:type="dxa"/>
          </w:tcPr>
          <w:p>
            <w:pPr>
              <w:widowControl w:val="0"/>
              <w:spacing w:line="320" w:lineRule="exact"/>
              <w:jc w:val="both"/>
              <w:rPr>
                <w:rStyle w:val="19"/>
                <w:b w:val="0"/>
                <w:bCs w:val="0"/>
                <w:color w:val="auto"/>
                <w:u w:val="none"/>
              </w:rPr>
            </w:pPr>
            <w:r>
              <w:rPr>
                <w:rStyle w:val="19"/>
                <w:rFonts w:hint="eastAsia"/>
                <w:b w:val="0"/>
                <w:bCs w:val="0"/>
                <w:color w:val="auto"/>
                <w:u w:val="none"/>
                <w:lang w:eastAsia="zh-CN"/>
              </w:rPr>
              <w:t>☑</w:t>
            </w:r>
            <w:r>
              <w:rPr>
                <w:rStyle w:val="19"/>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9"/>
                <w:rFonts w:hint="eastAsia"/>
                <w:b w:val="0"/>
                <w:bCs w:val="0"/>
                <w:color w:val="auto"/>
                <w:u w:val="non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（7）其他要求</w:t>
            </w:r>
          </w:p>
        </w:tc>
        <w:tc>
          <w:tcPr>
            <w:tcW w:w="1729" w:type="dxa"/>
          </w:tcPr>
          <w:p>
            <w:pPr>
              <w:widowControl w:val="0"/>
              <w:spacing w:line="320" w:lineRule="exact"/>
              <w:jc w:val="both"/>
              <w:rPr>
                <w:rStyle w:val="19"/>
                <w:b w:val="0"/>
                <w:bCs w:val="0"/>
                <w:color w:val="auto"/>
                <w:u w:val="single"/>
              </w:rPr>
            </w:pPr>
            <w:r>
              <w:rPr>
                <w:rStyle w:val="19"/>
                <w:rFonts w:hint="eastAsia"/>
                <w:b w:val="0"/>
                <w:bCs w:val="0"/>
                <w:color w:val="auto"/>
                <w:u w:val="single"/>
                <w:lang w:eastAsia="zh-CN"/>
              </w:rPr>
              <w:t>☑</w:t>
            </w:r>
            <w:r>
              <w:rPr>
                <w:rStyle w:val="19"/>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9"/>
                <w:rFonts w:hint="eastAsia"/>
                <w:b w:val="0"/>
                <w:bCs w:val="0"/>
                <w:color w:val="auto"/>
                <w:u w:val="single"/>
              </w:rPr>
              <w:t>□适用</w:t>
            </w:r>
          </w:p>
        </w:tc>
        <w:tc>
          <w:tcPr>
            <w:tcW w:w="4907" w:type="dxa"/>
          </w:tcPr>
          <w:p>
            <w:pPr>
              <w:widowControl w:val="0"/>
              <w:spacing w:line="320" w:lineRule="exact"/>
              <w:jc w:val="both"/>
              <w:rPr>
                <w:rStyle w:val="19"/>
                <w:b w:val="0"/>
                <w:bCs w:val="0"/>
                <w:color w:val="auto"/>
                <w:u w:val="none"/>
              </w:rPr>
            </w:pPr>
            <w:r>
              <w:rPr>
                <w:rStyle w:val="19"/>
                <w:rFonts w:hint="eastAsia"/>
                <w:b w:val="0"/>
                <w:bCs w:val="0"/>
                <w:color w:val="auto"/>
                <w:u w:val="none"/>
                <w:lang w:eastAsia="zh-CN"/>
              </w:rPr>
              <w:t>☑</w:t>
            </w:r>
            <w:r>
              <w:rPr>
                <w:rStyle w:val="19"/>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9"/>
                <w:rFonts w:hint="eastAsia"/>
                <w:b w:val="0"/>
                <w:bCs w:val="0"/>
                <w:color w:val="auto"/>
                <w:u w:val="non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442" w:type="dxa"/>
            <w:vAlign w:val="center"/>
          </w:tcPr>
          <w:p>
            <w:pPr>
              <w:widowControl w:val="0"/>
              <w:spacing w:line="288" w:lineRule="auto"/>
              <w:jc w:val="both"/>
              <w:rPr>
                <w:rFonts w:ascii="宋体" w:hAnsi="宋体"/>
                <w:b w:val="0"/>
                <w:bCs w:val="0"/>
                <w:color w:val="auto"/>
                <w:sz w:val="24"/>
              </w:rPr>
            </w:pPr>
            <w:r>
              <w:rPr>
                <w:rFonts w:hint="eastAsia" w:ascii="宋体" w:hAnsi="宋体"/>
                <w:b w:val="0"/>
                <w:bCs w:val="0"/>
                <w:color w:val="auto"/>
                <w:sz w:val="24"/>
              </w:rPr>
              <w:t>（8）供应商不存在第一章3.1款情形的证明材料</w:t>
            </w:r>
          </w:p>
        </w:tc>
        <w:tc>
          <w:tcPr>
            <w:tcW w:w="1729" w:type="dxa"/>
          </w:tcPr>
          <w:p>
            <w:pPr>
              <w:widowControl w:val="0"/>
              <w:spacing w:line="320" w:lineRule="exact"/>
              <w:jc w:val="both"/>
              <w:rPr>
                <w:rStyle w:val="19"/>
                <w:b w:val="0"/>
                <w:bCs w:val="0"/>
                <w:color w:val="auto"/>
                <w:u w:val="single"/>
              </w:rPr>
            </w:pPr>
            <w:r>
              <w:rPr>
                <w:rStyle w:val="19"/>
                <w:rFonts w:hint="eastAsia"/>
                <w:b w:val="0"/>
                <w:bCs w:val="0"/>
                <w:color w:val="auto"/>
                <w:u w:val="single"/>
                <w:lang w:eastAsia="zh-CN"/>
              </w:rPr>
              <w:t>□</w:t>
            </w:r>
            <w:r>
              <w:rPr>
                <w:rStyle w:val="19"/>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9"/>
                <w:rFonts w:hint="eastAsia"/>
                <w:b w:val="0"/>
                <w:bCs w:val="0"/>
                <w:color w:val="auto"/>
                <w:u w:val="single"/>
                <w:lang w:eastAsia="zh-CN"/>
              </w:rPr>
              <w:t>☑</w:t>
            </w:r>
            <w:r>
              <w:rPr>
                <w:rStyle w:val="19"/>
                <w:rFonts w:hint="eastAsia"/>
                <w:b w:val="0"/>
                <w:bCs w:val="0"/>
                <w:color w:val="auto"/>
                <w:u w:val="single"/>
              </w:rPr>
              <w:t>适用</w:t>
            </w:r>
          </w:p>
        </w:tc>
        <w:tc>
          <w:tcPr>
            <w:tcW w:w="4907" w:type="dxa"/>
          </w:tcPr>
          <w:p>
            <w:pPr>
              <w:widowControl w:val="0"/>
              <w:spacing w:line="320" w:lineRule="exact"/>
              <w:jc w:val="both"/>
              <w:rPr>
                <w:rStyle w:val="19"/>
                <w:b w:val="0"/>
                <w:bCs w:val="0"/>
                <w:color w:val="auto"/>
                <w:u w:val="none"/>
              </w:rPr>
            </w:pPr>
            <w:r>
              <w:rPr>
                <w:rStyle w:val="19"/>
                <w:rFonts w:hint="eastAsia"/>
                <w:b w:val="0"/>
                <w:bCs w:val="0"/>
                <w:color w:val="auto"/>
                <w:u w:val="none"/>
                <w:lang w:eastAsia="zh-CN"/>
              </w:rPr>
              <w:t>□</w:t>
            </w:r>
            <w:r>
              <w:rPr>
                <w:rStyle w:val="19"/>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9"/>
                <w:rFonts w:hint="eastAsia"/>
                <w:b w:val="0"/>
                <w:bCs w:val="0"/>
                <w:color w:val="auto"/>
                <w:u w:val="none"/>
                <w:lang w:eastAsia="zh-CN"/>
              </w:rPr>
              <w:t>☑</w:t>
            </w:r>
            <w:r>
              <w:rPr>
                <w:rStyle w:val="19"/>
                <w:rFonts w:hint="eastAsia"/>
                <w:b w:val="0"/>
                <w:bCs w:val="0"/>
                <w:color w:val="auto"/>
                <w:u w:val="none"/>
              </w:rPr>
              <w:t>适用,见采购文件供应商须知前附表3.5（8）。</w:t>
            </w:r>
          </w:p>
        </w:tc>
      </w:tr>
    </w:tbl>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四、</w:t>
      </w:r>
      <w:r>
        <w:rPr>
          <w:rFonts w:hint="eastAsia" w:ascii="宋体" w:hAnsi="宋体"/>
          <w:b/>
          <w:bCs/>
          <w:color w:val="auto"/>
          <w:sz w:val="24"/>
        </w:rPr>
        <w:t xml:space="preserve"> 响应保证金</w:t>
      </w:r>
    </w:p>
    <w:tbl>
      <w:tblPr>
        <w:tblStyle w:val="17"/>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3351"/>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68" w:type="dxa"/>
          </w:tcPr>
          <w:p>
            <w:pPr>
              <w:widowControl w:val="0"/>
              <w:autoSpaceDE w:val="0"/>
              <w:spacing w:line="400" w:lineRule="exact"/>
              <w:jc w:val="both"/>
              <w:rPr>
                <w:rFonts w:ascii="黑体" w:hAnsi="黑体"/>
                <w:color w:val="auto"/>
              </w:rPr>
            </w:pPr>
            <w:r>
              <w:rPr>
                <w:rFonts w:hint="eastAsia" w:ascii="黑体" w:hAnsi="黑体"/>
                <w:color w:val="auto"/>
              </w:rPr>
              <w:t>响应</w:t>
            </w:r>
            <w:r>
              <w:rPr>
                <w:rFonts w:hint="eastAsia" w:ascii="宋体" w:hAnsi="宋体"/>
                <w:color w:val="auto"/>
                <w:sz w:val="24"/>
              </w:rPr>
              <w:t>保证金的递交</w:t>
            </w:r>
          </w:p>
        </w:tc>
        <w:tc>
          <w:tcPr>
            <w:tcW w:w="3351" w:type="dxa"/>
          </w:tcPr>
          <w:p>
            <w:pPr>
              <w:widowControl w:val="0"/>
              <w:autoSpaceDE w:val="0"/>
              <w:spacing w:line="400" w:lineRule="exact"/>
              <w:jc w:val="both"/>
              <w:rPr>
                <w:rFonts w:ascii="黑体" w:hAnsi="黑体"/>
                <w:color w:val="auto"/>
              </w:rPr>
            </w:pPr>
            <w:r>
              <w:rPr>
                <w:rFonts w:hint="eastAsia" w:ascii="宋体" w:hAnsi="宋体"/>
                <w:color w:val="auto"/>
                <w:sz w:val="24"/>
              </w:rPr>
              <w:t>不退还响应保证金的其他情形</w:t>
            </w:r>
          </w:p>
        </w:tc>
        <w:tc>
          <w:tcPr>
            <w:tcW w:w="2950" w:type="dxa"/>
          </w:tcPr>
          <w:p>
            <w:pPr>
              <w:widowControl w:val="0"/>
              <w:autoSpaceDE w:val="0"/>
              <w:spacing w:line="400" w:lineRule="exact"/>
              <w:jc w:val="both"/>
              <w:rPr>
                <w:rFonts w:ascii="黑体" w:hAnsi="黑体"/>
                <w:color w:val="auto"/>
              </w:rPr>
            </w:pPr>
            <w:r>
              <w:rPr>
                <w:rFonts w:hint="eastAsia" w:ascii="宋体" w:hAnsi="宋体"/>
                <w:color w:val="auto"/>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2768" w:type="dxa"/>
          </w:tcPr>
          <w:p>
            <w:pPr>
              <w:widowControl w:val="0"/>
              <w:autoSpaceDE w:val="0"/>
              <w:spacing w:line="400" w:lineRule="exact"/>
              <w:jc w:val="both"/>
              <w:rPr>
                <w:rFonts w:ascii="宋体" w:hAnsi="宋体"/>
                <w:color w:val="auto"/>
                <w:sz w:val="24"/>
              </w:rPr>
            </w:pPr>
            <w:r>
              <w:rPr>
                <w:rStyle w:val="19"/>
                <w:rFonts w:hint="eastAsia"/>
                <w:color w:val="auto"/>
                <w:lang w:eastAsia="zh-CN"/>
              </w:rPr>
              <w:t>☑</w:t>
            </w:r>
            <w:r>
              <w:rPr>
                <w:rFonts w:hint="eastAsia" w:ascii="宋体" w:hAnsi="宋体"/>
                <w:color w:val="auto"/>
                <w:sz w:val="24"/>
              </w:rPr>
              <w:t>不要求递交</w:t>
            </w:r>
          </w:p>
          <w:p>
            <w:pPr>
              <w:widowControl w:val="0"/>
              <w:autoSpaceDE w:val="0"/>
              <w:spacing w:line="400" w:lineRule="exact"/>
              <w:jc w:val="both"/>
              <w:rPr>
                <w:rFonts w:ascii="宋体" w:hAnsi="宋体"/>
                <w:color w:val="auto"/>
                <w:sz w:val="24"/>
              </w:rPr>
            </w:pPr>
            <w:r>
              <w:rPr>
                <w:rStyle w:val="19"/>
                <w:rFonts w:hint="eastAsia"/>
                <w:color w:val="auto"/>
              </w:rPr>
              <w:t>□</w:t>
            </w:r>
            <w:r>
              <w:rPr>
                <w:rFonts w:hint="eastAsia" w:ascii="宋体" w:hAnsi="宋体"/>
                <w:color w:val="auto"/>
                <w:sz w:val="24"/>
              </w:rPr>
              <w:t>要求递交</w:t>
            </w:r>
          </w:p>
          <w:p>
            <w:pPr>
              <w:widowControl w:val="0"/>
              <w:autoSpaceDE w:val="0"/>
              <w:spacing w:line="400" w:lineRule="exact"/>
              <w:jc w:val="both"/>
              <w:rPr>
                <w:rFonts w:ascii="宋体" w:hAnsi="宋体"/>
                <w:color w:val="auto"/>
                <w:sz w:val="24"/>
              </w:rPr>
            </w:pPr>
            <w:r>
              <w:rPr>
                <w:rFonts w:hint="eastAsia" w:ascii="宋体" w:hAnsi="宋体"/>
                <w:color w:val="auto"/>
                <w:sz w:val="24"/>
              </w:rPr>
              <w:t>保证金金额：_________；</w:t>
            </w:r>
          </w:p>
          <w:p>
            <w:pPr>
              <w:widowControl w:val="0"/>
              <w:autoSpaceDE w:val="0"/>
              <w:spacing w:line="400" w:lineRule="exact"/>
              <w:jc w:val="both"/>
              <w:rPr>
                <w:rFonts w:ascii="宋体" w:hAnsi="宋体"/>
                <w:color w:val="auto"/>
                <w:sz w:val="24"/>
              </w:rPr>
            </w:pPr>
            <w:r>
              <w:rPr>
                <w:rFonts w:hint="eastAsia" w:ascii="宋体" w:hAnsi="宋体"/>
                <w:color w:val="auto"/>
                <w:sz w:val="24"/>
              </w:rPr>
              <w:t>保证金形式：________；</w:t>
            </w:r>
          </w:p>
        </w:tc>
        <w:tc>
          <w:tcPr>
            <w:tcW w:w="3351" w:type="dxa"/>
          </w:tcPr>
          <w:p>
            <w:pPr>
              <w:widowControl w:val="0"/>
              <w:autoSpaceDE w:val="0"/>
              <w:spacing w:line="400" w:lineRule="exact"/>
              <w:jc w:val="both"/>
              <w:rPr>
                <w:rFonts w:ascii="宋体" w:hAnsi="宋体"/>
                <w:color w:val="auto"/>
                <w:sz w:val="24"/>
              </w:rPr>
            </w:pPr>
            <w:r>
              <w:rPr>
                <w:rStyle w:val="19"/>
                <w:rFonts w:hint="eastAsia"/>
                <w:color w:val="auto"/>
                <w:lang w:eastAsia="zh-CN"/>
              </w:rPr>
              <w:t>☑</w:t>
            </w:r>
            <w:r>
              <w:rPr>
                <w:rStyle w:val="19"/>
                <w:rFonts w:hint="eastAsia"/>
                <w:color w:val="auto"/>
              </w:rPr>
              <w:t>不</w:t>
            </w:r>
            <w:r>
              <w:rPr>
                <w:rFonts w:hint="eastAsia" w:ascii="宋体" w:hAnsi="宋体"/>
                <w:color w:val="auto"/>
                <w:sz w:val="24"/>
              </w:rPr>
              <w:t>适用</w:t>
            </w:r>
          </w:p>
          <w:p>
            <w:pPr>
              <w:widowControl w:val="0"/>
              <w:autoSpaceDE w:val="0"/>
              <w:spacing w:line="400" w:lineRule="exact"/>
              <w:jc w:val="both"/>
              <w:rPr>
                <w:rFonts w:ascii="宋体" w:hAnsi="宋体"/>
                <w:color w:val="auto"/>
                <w:sz w:val="24"/>
              </w:rPr>
            </w:pPr>
            <w:r>
              <w:rPr>
                <w:rStyle w:val="19"/>
                <w:rFonts w:hint="eastAsia"/>
                <w:color w:val="auto"/>
              </w:rPr>
              <w:t>□</w:t>
            </w:r>
            <w:r>
              <w:rPr>
                <w:rFonts w:hint="eastAsia" w:ascii="宋体" w:hAnsi="宋体"/>
                <w:color w:val="auto"/>
                <w:sz w:val="24"/>
              </w:rPr>
              <w:t>适用，具体如下：</w:t>
            </w:r>
          </w:p>
          <w:p>
            <w:pPr>
              <w:widowControl w:val="0"/>
              <w:autoSpaceDE w:val="0"/>
              <w:spacing w:line="400" w:lineRule="exact"/>
              <w:jc w:val="both"/>
              <w:rPr>
                <w:rFonts w:ascii="宋体" w:hAnsi="宋体"/>
                <w:color w:val="auto"/>
                <w:sz w:val="24"/>
              </w:rPr>
            </w:pPr>
          </w:p>
          <w:p>
            <w:pPr>
              <w:widowControl w:val="0"/>
              <w:autoSpaceDE w:val="0"/>
              <w:spacing w:line="400" w:lineRule="exact"/>
              <w:jc w:val="both"/>
              <w:rPr>
                <w:rFonts w:ascii="黑体" w:hAnsi="黑体"/>
                <w:color w:val="auto"/>
              </w:rPr>
            </w:pPr>
          </w:p>
        </w:tc>
        <w:tc>
          <w:tcPr>
            <w:tcW w:w="2950" w:type="dxa"/>
          </w:tcPr>
          <w:p>
            <w:pPr>
              <w:widowControl w:val="0"/>
              <w:autoSpaceDE w:val="0"/>
              <w:spacing w:line="400" w:lineRule="exact"/>
              <w:jc w:val="both"/>
              <w:rPr>
                <w:rFonts w:ascii="宋体" w:hAnsi="宋体"/>
                <w:color w:val="auto"/>
                <w:sz w:val="24"/>
              </w:rPr>
            </w:pPr>
            <w:r>
              <w:rPr>
                <w:rStyle w:val="19"/>
                <w:rFonts w:hint="eastAsia"/>
                <w:color w:val="auto"/>
                <w:lang w:eastAsia="zh-CN"/>
              </w:rPr>
              <w:t>☑</w:t>
            </w:r>
            <w:r>
              <w:rPr>
                <w:rFonts w:hint="eastAsia" w:ascii="宋体" w:hAnsi="宋体"/>
                <w:color w:val="auto"/>
                <w:sz w:val="24"/>
              </w:rPr>
              <w:t>不适用</w:t>
            </w:r>
          </w:p>
          <w:p>
            <w:pPr>
              <w:widowControl w:val="0"/>
              <w:autoSpaceDE w:val="0"/>
              <w:spacing w:line="400" w:lineRule="exact"/>
              <w:jc w:val="both"/>
              <w:rPr>
                <w:rFonts w:ascii="宋体" w:hAnsi="宋体"/>
                <w:color w:val="auto"/>
                <w:sz w:val="24"/>
              </w:rPr>
            </w:pPr>
            <w:r>
              <w:rPr>
                <w:rStyle w:val="19"/>
                <w:rFonts w:hint="eastAsia"/>
                <w:color w:val="auto"/>
              </w:rPr>
              <w:t>□</w:t>
            </w:r>
            <w:r>
              <w:rPr>
                <w:rFonts w:hint="eastAsia" w:ascii="宋体" w:hAnsi="宋体"/>
                <w:color w:val="auto"/>
                <w:sz w:val="24"/>
              </w:rPr>
              <w:t>适用，具体如下：</w:t>
            </w:r>
          </w:p>
          <w:p>
            <w:pPr>
              <w:widowControl w:val="0"/>
              <w:autoSpaceDE w:val="0"/>
              <w:spacing w:line="400" w:lineRule="exact"/>
              <w:jc w:val="both"/>
              <w:rPr>
                <w:rFonts w:ascii="宋体" w:hAnsi="宋体"/>
                <w:color w:val="auto"/>
                <w:sz w:val="24"/>
              </w:rPr>
            </w:pPr>
          </w:p>
          <w:p>
            <w:pPr>
              <w:widowControl w:val="0"/>
              <w:autoSpaceDE w:val="0"/>
              <w:spacing w:line="400" w:lineRule="exact"/>
              <w:jc w:val="both"/>
              <w:rPr>
                <w:rFonts w:ascii="黑体" w:hAnsi="黑体"/>
                <w:color w:val="auto"/>
              </w:rPr>
            </w:pPr>
          </w:p>
        </w:tc>
      </w:tr>
    </w:tbl>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五、</w:t>
      </w:r>
      <w:r>
        <w:rPr>
          <w:rFonts w:hint="eastAsia" w:ascii="宋体" w:hAnsi="宋体"/>
          <w:b/>
          <w:bCs/>
          <w:color w:val="auto"/>
          <w:sz w:val="24"/>
        </w:rPr>
        <w:t>确定成交供应商的方法</w:t>
      </w:r>
    </w:p>
    <w:p>
      <w:pPr>
        <w:autoSpaceDE w:val="0"/>
        <w:spacing w:line="400" w:lineRule="exact"/>
        <w:jc w:val="both"/>
        <w:rPr>
          <w:rFonts w:hint="eastAsia" w:ascii="宋体" w:hAnsi="宋体"/>
          <w:b w:val="0"/>
          <w:bCs w:val="0"/>
          <w:color w:val="auto"/>
          <w:sz w:val="24"/>
          <w:lang w:eastAsia="zh-CN"/>
        </w:rPr>
      </w:pPr>
      <w:r>
        <w:rPr>
          <w:rFonts w:hint="eastAsia" w:ascii="宋体" w:hAnsi="宋体"/>
          <w:b w:val="0"/>
          <w:bCs w:val="0"/>
          <w:color w:val="auto"/>
          <w:sz w:val="24"/>
          <w:lang w:val="en-US" w:eastAsia="zh-CN"/>
        </w:rPr>
        <w:t>（一）</w:t>
      </w:r>
      <w:r>
        <w:rPr>
          <w:rFonts w:hint="eastAsia" w:ascii="宋体" w:hAnsi="宋体"/>
          <w:b w:val="0"/>
          <w:bCs w:val="0"/>
          <w:color w:val="auto"/>
          <w:sz w:val="24"/>
          <w:lang w:eastAsia="zh-CN"/>
        </w:rPr>
        <w:t>最低价法</w:t>
      </w:r>
    </w:p>
    <w:p>
      <w:pPr>
        <w:autoSpaceDE w:val="0"/>
        <w:spacing w:line="400" w:lineRule="exact"/>
        <w:jc w:val="both"/>
        <w:rPr>
          <w:rFonts w:hint="eastAsia" w:ascii="宋体" w:hAnsi="宋体"/>
          <w:b w:val="0"/>
          <w:bCs w:val="0"/>
          <w:color w:val="auto"/>
          <w:sz w:val="24"/>
          <w:lang w:val="en-US" w:eastAsia="zh-CN"/>
        </w:rPr>
      </w:pPr>
      <w:r>
        <w:rPr>
          <w:rFonts w:hint="eastAsia" w:ascii="宋体" w:hAnsi="宋体"/>
          <w:b w:val="0"/>
          <w:bCs w:val="0"/>
          <w:color w:val="auto"/>
          <w:sz w:val="24"/>
          <w:lang w:val="en-US" w:eastAsia="zh-CN"/>
        </w:rPr>
        <w:t>（二）</w:t>
      </w:r>
      <w:r>
        <w:rPr>
          <w:rFonts w:hint="eastAsia" w:ascii="宋体" w:hAnsi="宋体"/>
          <w:b w:val="0"/>
          <w:bCs w:val="0"/>
          <w:color w:val="auto"/>
          <w:sz w:val="24"/>
        </w:rPr>
        <w:t>采购人应当确定排名第一的成交候选供应商为成交供应商。若排名第一的</w:t>
      </w:r>
      <w:r>
        <w:rPr>
          <w:rFonts w:hint="eastAsia" w:ascii="宋体" w:hAnsi="宋体"/>
          <w:b w:val="0"/>
          <w:bCs w:val="0"/>
          <w:color w:val="auto"/>
          <w:sz w:val="24"/>
          <w:lang w:val="en-US" w:eastAsia="zh-CN"/>
        </w:rPr>
        <w:t xml:space="preserve">成交候选供应商未通过履约能力和报价核查，采购人应按推荐的名单排序依次确定其他成交候选供应商为成交供应商。 </w:t>
      </w:r>
    </w:p>
    <w:p>
      <w:pPr>
        <w:autoSpaceDE w:val="0"/>
        <w:spacing w:line="400" w:lineRule="exact"/>
        <w:ind w:firstLine="241" w:firstLineChars="100"/>
        <w:jc w:val="both"/>
        <w:rPr>
          <w:rFonts w:hint="eastAsia" w:ascii="宋体" w:hAnsi="宋体"/>
          <w:b/>
          <w:bCs/>
          <w:color w:val="auto"/>
          <w:sz w:val="24"/>
          <w:lang w:val="en-US" w:eastAsia="zh-CN"/>
        </w:rPr>
      </w:pPr>
      <w:r>
        <w:rPr>
          <w:rFonts w:hint="eastAsia" w:ascii="宋体" w:hAnsi="宋体"/>
          <w:b/>
          <w:bCs/>
          <w:color w:val="auto"/>
          <w:sz w:val="24"/>
          <w:lang w:val="en-US" w:eastAsia="zh-CN"/>
        </w:rPr>
        <w:t>六、询价文件获取</w:t>
      </w:r>
    </w:p>
    <w:p>
      <w:pPr>
        <w:autoSpaceDE w:val="0"/>
        <w:spacing w:line="400" w:lineRule="exact"/>
        <w:jc w:val="both"/>
        <w:rPr>
          <w:rFonts w:hint="eastAsia" w:ascii="宋体" w:hAnsi="宋体" w:eastAsia="宋体" w:cs="宋体"/>
          <w:color w:val="auto"/>
          <w:sz w:val="24"/>
          <w:szCs w:val="24"/>
          <w:lang w:eastAsia="zh-CN"/>
        </w:rPr>
      </w:pPr>
      <w:r>
        <w:rPr>
          <w:rFonts w:hint="eastAsia" w:ascii="宋体" w:hAnsi="宋体"/>
          <w:b w:val="0"/>
          <w:bCs w:val="0"/>
          <w:color w:val="auto"/>
          <w:sz w:val="24"/>
          <w:lang w:val="en-US" w:eastAsia="zh-CN"/>
        </w:rPr>
        <w:t>（一）供应商应当于2021年12月28日10时00分至2022年1月4日10时00分，在</w:t>
      </w:r>
      <w:r>
        <w:rPr>
          <w:rFonts w:hint="eastAsia" w:ascii="宋体" w:hAnsi="宋体" w:eastAsia="宋体" w:cs="宋体"/>
          <w:color w:val="auto"/>
          <w:sz w:val="24"/>
          <w:szCs w:val="24"/>
          <w:lang w:val="en-US" w:eastAsia="zh-CN"/>
        </w:rPr>
        <w:t>网站上</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w:t>
      </w:r>
    </w:p>
    <w:p>
      <w:pPr>
        <w:autoSpaceDE w:val="0"/>
        <w:spacing w:line="400" w:lineRule="exact"/>
        <w:jc w:val="both"/>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供应商若对本项目采购需求、资格要求等有疑问的，应当于</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4 </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分前向采购人提出澄清要求。</w:t>
      </w:r>
    </w:p>
    <w:p>
      <w:pPr>
        <w:autoSpaceDE w:val="0"/>
        <w:spacing w:line="400" w:lineRule="exact"/>
        <w:ind w:firstLine="241" w:firstLineChars="100"/>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发布公告的媒介</w:t>
      </w:r>
    </w:p>
    <w:p>
      <w:pPr>
        <w:autoSpaceDE w:val="0"/>
        <w:spacing w:line="40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本次采购公告发布的媒介:</w:t>
      </w:r>
      <w:bookmarkStart w:id="39" w:name="_GoBack"/>
      <w:bookmarkEnd w:id="39"/>
      <w:r>
        <w:rPr>
          <w:rFonts w:hint="eastAsia" w:ascii="宋体" w:hAnsi="宋体" w:cs="宋体"/>
          <w:color w:val="auto"/>
          <w:sz w:val="24"/>
        </w:rPr>
        <w:t>中国招标投标公共服务平台（http：//www.cebpubservice.com</w:t>
      </w:r>
      <w:r>
        <w:rPr>
          <w:rFonts w:hint="eastAsia" w:ascii="宋体" w:hAnsi="宋体" w:cs="宋体"/>
          <w:color w:val="auto"/>
          <w:sz w:val="24"/>
          <w:lang w:eastAsia="zh-CN"/>
        </w:rPr>
        <w:t>；</w:t>
      </w:r>
      <w:r>
        <w:rPr>
          <w:rFonts w:hint="eastAsia" w:ascii="宋体" w:hAnsi="宋体" w:eastAsia="宋体" w:cs="宋体"/>
          <w:color w:val="auto"/>
          <w:sz w:val="24"/>
          <w:szCs w:val="24"/>
          <w:lang w:val="en-US" w:eastAsia="zh-CN"/>
        </w:rPr>
        <w:t>湖南省湘水集团有限公司网站（http：//www.hnsxsjt.com）</w:t>
      </w:r>
      <w:r>
        <w:rPr>
          <w:rFonts w:hint="eastAsia" w:ascii="宋体" w:hAnsi="宋体" w:cs="宋体"/>
          <w:color w:val="auto"/>
          <w:sz w:val="24"/>
          <w:szCs w:val="24"/>
          <w:lang w:val="en-US" w:eastAsia="zh-CN"/>
        </w:rPr>
        <w:t>；</w:t>
      </w:r>
      <w:r>
        <w:rPr>
          <w:rFonts w:hint="eastAsia" w:ascii="宋体" w:hAnsi="宋体" w:eastAsia="宋体"/>
          <w:color w:val="auto"/>
          <w:sz w:val="24"/>
          <w:szCs w:val="24"/>
        </w:rPr>
        <w:t>湖南省港务集团公司网站（http://www.hnsgwjt.com/）上发布</w:t>
      </w:r>
      <w:r>
        <w:rPr>
          <w:rFonts w:hint="eastAsia" w:ascii="宋体" w:hAnsi="宋体" w:eastAsia="宋体" w:cs="宋体"/>
          <w:color w:val="auto"/>
          <w:sz w:val="24"/>
          <w:szCs w:val="24"/>
          <w:lang w:val="en-US" w:eastAsia="zh-CN"/>
        </w:rPr>
        <w:t>。</w:t>
      </w:r>
    </w:p>
    <w:p>
      <w:pPr>
        <w:autoSpaceDE w:val="0"/>
        <w:spacing w:line="400" w:lineRule="exact"/>
        <w:ind w:firstLine="241" w:firstLineChars="100"/>
        <w:jc w:val="both"/>
        <w:rPr>
          <w:rFonts w:hint="eastAsia" w:ascii="宋体" w:hAnsi="宋体" w:eastAsia="宋体" w:cs="宋体"/>
          <w:b/>
          <w:bCs/>
          <w:color w:val="auto"/>
          <w:sz w:val="24"/>
          <w:szCs w:val="24"/>
        </w:rPr>
      </w:pPr>
      <w:bookmarkStart w:id="1" w:name="_Toc77254104"/>
      <w:bookmarkStart w:id="2" w:name="_Toc512257471"/>
      <w:bookmarkStart w:id="3" w:name="_Toc76635692"/>
      <w:bookmarkStart w:id="4" w:name="_Toc79596547"/>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rPr>
        <w:t>监督</w:t>
      </w:r>
      <w:bookmarkEnd w:id="1"/>
      <w:bookmarkEnd w:id="2"/>
      <w:bookmarkEnd w:id="3"/>
      <w:r>
        <w:rPr>
          <w:rFonts w:hint="eastAsia" w:ascii="宋体" w:hAnsi="宋体" w:eastAsia="宋体" w:cs="宋体"/>
          <w:b/>
          <w:bCs/>
          <w:color w:val="auto"/>
          <w:sz w:val="24"/>
          <w:szCs w:val="24"/>
        </w:rPr>
        <w:t>部门</w:t>
      </w:r>
      <w:bookmarkEnd w:id="4"/>
    </w:p>
    <w:p>
      <w:pPr>
        <w:autoSpaceDE w:val="0"/>
        <w:spacing w:line="40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本次采购监督部门为</w:t>
      </w:r>
      <w:r>
        <w:rPr>
          <w:rFonts w:hint="eastAsia" w:ascii="宋体" w:hAnsi="宋体" w:eastAsia="宋体" w:cs="宋体"/>
          <w:color w:val="auto"/>
          <w:sz w:val="24"/>
          <w:szCs w:val="24"/>
          <w:lang w:val="en-US" w:eastAsia="zh-CN"/>
        </w:rPr>
        <w:t>长沙集星集装箱码头有限公司党群工作部</w:t>
      </w:r>
    </w:p>
    <w:p>
      <w:pPr>
        <w:autoSpaceDE w:val="0"/>
        <w:spacing w:line="40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13507318311</w:t>
      </w:r>
    </w:p>
    <w:p>
      <w:pPr>
        <w:autoSpaceDE w:val="0"/>
        <w:spacing w:line="400" w:lineRule="exact"/>
        <w:ind w:firstLine="241" w:firstLineChars="100"/>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rPr>
        <w:t>联系方式</w:t>
      </w:r>
    </w:p>
    <w:p>
      <w:pPr>
        <w:autoSpaceDE w:val="0"/>
        <w:spacing w:line="400" w:lineRule="exact"/>
        <w:ind w:firstLine="240" w:firstLineChars="100"/>
        <w:jc w:val="both"/>
        <w:rPr>
          <w:rFonts w:hint="default" w:ascii="宋体" w:hAnsi="宋体" w:eastAsia="宋体" w:cs="宋体"/>
          <w:color w:val="auto"/>
          <w:sz w:val="24"/>
          <w:szCs w:val="24"/>
          <w:lang w:val="en-US"/>
        </w:rPr>
      </w:pPr>
      <w:r>
        <w:rPr>
          <w:rFonts w:hint="eastAsia" w:ascii="宋体" w:hAnsi="宋体" w:eastAsia="宋体" w:cs="宋体"/>
          <w:color w:val="auto"/>
          <w:sz w:val="24"/>
          <w:szCs w:val="24"/>
        </w:rPr>
        <w:t>询价人：</w:t>
      </w:r>
      <w:r>
        <w:rPr>
          <w:rFonts w:hint="eastAsia" w:ascii="宋体" w:hAnsi="宋体" w:eastAsia="宋体" w:cs="宋体"/>
          <w:color w:val="auto"/>
          <w:sz w:val="24"/>
          <w:szCs w:val="24"/>
          <w:lang w:val="en-US" w:eastAsia="zh-CN"/>
        </w:rPr>
        <w:t>长沙集星集装箱码头有限公司</w:t>
      </w:r>
    </w:p>
    <w:p>
      <w:pPr>
        <w:autoSpaceDE w:val="0"/>
        <w:spacing w:line="40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址：湖南省</w:t>
      </w:r>
      <w:r>
        <w:rPr>
          <w:rFonts w:hint="eastAsia" w:ascii="宋体" w:hAnsi="宋体" w:eastAsia="宋体" w:cs="宋体"/>
          <w:color w:val="auto"/>
          <w:sz w:val="24"/>
          <w:szCs w:val="24"/>
          <w:lang w:val="en-US" w:eastAsia="zh-CN"/>
        </w:rPr>
        <w:t>长沙市开福区新港镇新港路80号</w:t>
      </w:r>
    </w:p>
    <w:p>
      <w:pPr>
        <w:autoSpaceDE w:val="0"/>
        <w:spacing w:line="400" w:lineRule="exact"/>
        <w:ind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收件人：</w:t>
      </w:r>
      <w:r>
        <w:rPr>
          <w:rFonts w:hint="eastAsia" w:ascii="宋体" w:hAnsi="宋体" w:eastAsia="宋体" w:cs="宋体"/>
          <w:color w:val="auto"/>
          <w:sz w:val="24"/>
          <w:szCs w:val="24"/>
          <w:lang w:val="en-US" w:eastAsia="zh-CN"/>
        </w:rPr>
        <w:t>易虎</w:t>
      </w:r>
    </w:p>
    <w:p>
      <w:pPr>
        <w:autoSpaceDE w:val="0"/>
        <w:spacing w:line="400" w:lineRule="exact"/>
        <w:ind w:firstLine="240" w:firstLineChars="10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15211085855</w:t>
      </w:r>
    </w:p>
    <w:p>
      <w:pPr>
        <w:autoSpaceDE w:val="0"/>
        <w:spacing w:line="400" w:lineRule="exact"/>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pPr>
        <w:spacing w:line="312" w:lineRule="auto"/>
        <w:jc w:val="center"/>
        <w:outlineLvl w:val="0"/>
        <w:rPr>
          <w:rFonts w:hint="eastAsia" w:ascii="黑体" w:hAnsi="黑体" w:eastAsia="黑体" w:cs="仿宋"/>
          <w:b/>
          <w:color w:val="auto"/>
          <w:sz w:val="36"/>
          <w:szCs w:val="36"/>
          <w:lang w:val="en-US" w:eastAsia="zh-CN"/>
        </w:rPr>
      </w:pPr>
      <w:bookmarkStart w:id="5" w:name="_Toc7630"/>
      <w:r>
        <w:rPr>
          <w:rFonts w:hint="eastAsia" w:ascii="黑体" w:hAnsi="黑体" w:eastAsia="黑体" w:cs="仿宋"/>
          <w:b/>
          <w:color w:val="auto"/>
          <w:sz w:val="36"/>
          <w:szCs w:val="36"/>
          <w:lang w:val="en-US" w:eastAsia="zh-CN"/>
        </w:rPr>
        <w:t>第二章  供应商须知</w:t>
      </w:r>
      <w:bookmarkEnd w:id="5"/>
    </w:p>
    <w:p>
      <w:pPr>
        <w:spacing w:line="240" w:lineRule="auto"/>
        <w:jc w:val="center"/>
        <w:outlineLvl w:val="0"/>
        <w:rPr>
          <w:rFonts w:hint="eastAsia" w:ascii="华文中宋" w:hAnsi="华文中宋" w:eastAsia="华文中宋" w:cs="仿宋"/>
          <w:b/>
          <w:bCs/>
          <w:color w:val="auto"/>
          <w:sz w:val="30"/>
          <w:szCs w:val="30"/>
        </w:rPr>
      </w:pPr>
      <w:bookmarkStart w:id="6" w:name="_Toc11135"/>
      <w:bookmarkStart w:id="7" w:name="_Toc517787495"/>
      <w:bookmarkStart w:id="8" w:name="_Toc234832862"/>
      <w:r>
        <w:rPr>
          <w:rFonts w:hint="eastAsia" w:ascii="华文中宋" w:hAnsi="华文中宋" w:eastAsia="华文中宋" w:cs="仿宋"/>
          <w:b/>
          <w:bCs/>
          <w:color w:val="auto"/>
          <w:sz w:val="30"/>
          <w:szCs w:val="30"/>
        </w:rPr>
        <w:t>第</w:t>
      </w:r>
      <w:r>
        <w:rPr>
          <w:rFonts w:hint="eastAsia" w:ascii="华文中宋" w:hAnsi="华文中宋" w:eastAsia="华文中宋" w:cs="仿宋"/>
          <w:b/>
          <w:bCs/>
          <w:color w:val="auto"/>
          <w:sz w:val="30"/>
          <w:szCs w:val="30"/>
          <w:lang w:val="en-US" w:eastAsia="zh-CN"/>
        </w:rPr>
        <w:t>一节</w:t>
      </w:r>
      <w:r>
        <w:rPr>
          <w:rFonts w:hint="eastAsia" w:ascii="华文中宋" w:hAnsi="华文中宋" w:eastAsia="华文中宋" w:cs="仿宋"/>
          <w:b/>
          <w:bCs/>
          <w:color w:val="auto"/>
          <w:sz w:val="30"/>
          <w:szCs w:val="30"/>
        </w:rPr>
        <w:t xml:space="preserve"> </w:t>
      </w:r>
      <w:r>
        <w:rPr>
          <w:rFonts w:hint="eastAsia" w:ascii="华文中宋" w:hAnsi="华文中宋" w:eastAsia="华文中宋" w:cs="仿宋"/>
          <w:b/>
          <w:bCs/>
          <w:color w:val="auto"/>
          <w:sz w:val="30"/>
          <w:szCs w:val="30"/>
          <w:lang w:val="en-US" w:eastAsia="zh-CN"/>
        </w:rPr>
        <w:t>供应商须知前附表</w:t>
      </w:r>
    </w:p>
    <w:bookmarkEnd w:id="6"/>
    <w:bookmarkEnd w:id="7"/>
    <w:bookmarkEnd w:id="8"/>
    <w:tbl>
      <w:tblPr>
        <w:tblStyle w:val="16"/>
        <w:tblW w:w="8779" w:type="dxa"/>
        <w:tblInd w:w="0" w:type="dxa"/>
        <w:tblLayout w:type="fixed"/>
        <w:tblCellMar>
          <w:top w:w="0" w:type="dxa"/>
          <w:left w:w="108" w:type="dxa"/>
          <w:bottom w:w="0" w:type="dxa"/>
          <w:right w:w="108" w:type="dxa"/>
        </w:tblCellMar>
      </w:tblPr>
      <w:tblGrid>
        <w:gridCol w:w="1260"/>
        <w:gridCol w:w="2753"/>
        <w:gridCol w:w="4766"/>
      </w:tblGrid>
      <w:tr>
        <w:tblPrEx>
          <w:tblCellMar>
            <w:top w:w="0" w:type="dxa"/>
            <w:left w:w="108" w:type="dxa"/>
            <w:bottom w:w="0" w:type="dxa"/>
            <w:right w:w="108" w:type="dxa"/>
          </w:tblCellMar>
        </w:tblPrEx>
        <w:trPr>
          <w:trHeight w:val="469"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条款号</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  款  名  称</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编  列  内  容</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询价</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竞争性谈判</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□单一来源</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□直接采购</w:t>
            </w:r>
          </w:p>
        </w:tc>
      </w:tr>
      <w:tr>
        <w:tblPrEx>
          <w:tblCellMar>
            <w:top w:w="0" w:type="dxa"/>
            <w:left w:w="108" w:type="dxa"/>
            <w:bottom w:w="0" w:type="dxa"/>
            <w:right w:w="108" w:type="dxa"/>
          </w:tblCellMar>
        </w:tblPrEx>
        <w:trPr>
          <w:trHeight w:val="714"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评审办法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最低价法</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□综合评分法</w:t>
            </w:r>
          </w:p>
        </w:tc>
      </w:tr>
      <w:tr>
        <w:tblPrEx>
          <w:tblCellMar>
            <w:top w:w="0" w:type="dxa"/>
            <w:left w:w="108" w:type="dxa"/>
            <w:bottom w:w="0" w:type="dxa"/>
            <w:right w:w="108" w:type="dxa"/>
          </w:tblCellMar>
        </w:tblPrEx>
        <w:trPr>
          <w:trHeight w:val="1142"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1.7.1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踏勘现场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不组织</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□组织，踏勘时间：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踏勘集中地点：                                          </w:t>
            </w:r>
          </w:p>
        </w:tc>
      </w:tr>
      <w:tr>
        <w:tblPrEx>
          <w:tblCellMar>
            <w:top w:w="0" w:type="dxa"/>
            <w:left w:w="108" w:type="dxa"/>
            <w:bottom w:w="0" w:type="dxa"/>
            <w:right w:w="108" w:type="dxa"/>
          </w:tblCellMar>
        </w:tblPrEx>
        <w:trPr>
          <w:trHeight w:val="92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采购预备会</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不召开</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□召开，召开时间：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召开地点：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1.9</w:t>
            </w:r>
          </w:p>
          <w:p>
            <w:pPr>
              <w:spacing w:line="288" w:lineRule="auto"/>
              <w:jc w:val="both"/>
              <w:rPr>
                <w:rFonts w:cs="仿宋" w:asciiTheme="minorEastAsia" w:hAnsiTheme="minorEastAsia" w:eastAsiaTheme="minorEastAsia"/>
                <w:color w:val="auto"/>
                <w:sz w:val="24"/>
              </w:rPr>
            </w:pP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分包</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lang w:eastAsia="zh-CN"/>
              </w:rPr>
            </w:pPr>
            <w:r>
              <w:rPr>
                <w:rFonts w:hint="eastAsia" w:cs="仿宋" w:asciiTheme="minorEastAsia" w:hAnsiTheme="minorEastAsia" w:eastAsiaTheme="minorEastAsia"/>
                <w:color w:val="auto"/>
                <w:sz w:val="24"/>
              </w:rPr>
              <w:t>不得分包的内容：</w:t>
            </w:r>
            <w:r>
              <w:rPr>
                <w:rFonts w:hint="eastAsia" w:cs="仿宋" w:asciiTheme="minorEastAsia" w:hAnsiTheme="minorEastAsia" w:eastAsiaTheme="minorEastAsia"/>
                <w:color w:val="auto"/>
                <w:sz w:val="24"/>
                <w:lang w:eastAsia="zh-CN"/>
              </w:rPr>
              <w:t>不允许分包</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对分包供应商的要求：</w:t>
            </w:r>
            <w:r>
              <w:rPr>
                <w:rFonts w:hint="eastAsia" w:cs="仿宋" w:asciiTheme="minorEastAsia" w:hAnsiTheme="minorEastAsia" w:eastAsiaTheme="minorEastAsia"/>
                <w:color w:val="auto"/>
                <w:sz w:val="24"/>
                <w:lang w:eastAsia="zh-CN"/>
              </w:rPr>
              <w:t>不允许分包</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9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1.10.2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对非关键条款的偏差</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允许偏差的范围：</w:t>
            </w:r>
            <w:r>
              <w:rPr>
                <w:rFonts w:hint="eastAsia" w:ascii="宋体" w:hAnsi="宋体" w:eastAsia="宋体" w:cs="宋体"/>
                <w:color w:val="auto"/>
                <w:sz w:val="24"/>
                <w:szCs w:val="24"/>
              </w:rPr>
              <w:t>投标文件在实质上响应招标文件要求，但存在含义不明确的内容、明显文字或计算错误等情况</w:t>
            </w:r>
            <w:r>
              <w:rPr>
                <w:rFonts w:hint="eastAsia" w:ascii="宋体" w:hAnsi="宋体" w:cs="宋体"/>
                <w:color w:val="auto"/>
                <w:sz w:val="24"/>
                <w:szCs w:val="24"/>
                <w:lang w:eastAsia="zh-CN"/>
              </w:rPr>
              <w:t>，此条件下允许供应商进行澄清解释。</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允许偏差的项数：</w:t>
            </w:r>
            <w:r>
              <w:rPr>
                <w:rFonts w:hint="eastAsia" w:cs="仿宋" w:asciiTheme="minorEastAsia" w:hAnsiTheme="minorEastAsia" w:eastAsiaTheme="minorEastAsia"/>
                <w:color w:val="auto"/>
                <w:sz w:val="24"/>
                <w:lang w:val="en-US" w:eastAsia="zh-CN"/>
              </w:rPr>
              <w:t>3项</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2.1(7)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构成采购文件的其他资料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供应商要求澄清采购文件的时间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highlight w:val="none"/>
              </w:rPr>
              <w:t>截止时间：</w:t>
            </w:r>
            <w:r>
              <w:rPr>
                <w:rFonts w:hint="eastAsia" w:cs="仿宋" w:asciiTheme="minorEastAsia" w:hAnsiTheme="minorEastAsia" w:eastAsiaTheme="minorEastAsia"/>
                <w:color w:val="auto"/>
                <w:sz w:val="24"/>
                <w:highlight w:val="none"/>
                <w:lang w:val="en-US" w:eastAsia="zh-CN"/>
              </w:rPr>
              <w:t xml:space="preserve">2022年1月4 </w:t>
            </w:r>
            <w:r>
              <w:rPr>
                <w:rFonts w:hint="eastAsia" w:cs="仿宋" w:asciiTheme="minorEastAsia" w:hAnsiTheme="minorEastAsia" w:eastAsiaTheme="minorEastAsia"/>
                <w:color w:val="auto"/>
                <w:sz w:val="24"/>
                <w:highlight w:val="none"/>
                <w:lang w:eastAsia="zh-CN"/>
              </w:rPr>
              <w:t>日</w:t>
            </w:r>
            <w:r>
              <w:rPr>
                <w:rFonts w:hint="eastAsia" w:cs="仿宋" w:asciiTheme="minorEastAsia" w:hAnsiTheme="minorEastAsia" w:eastAsiaTheme="minorEastAsia"/>
                <w:color w:val="auto"/>
                <w:sz w:val="24"/>
                <w:highlight w:val="none"/>
                <w:lang w:val="en-US" w:eastAsia="zh-CN"/>
              </w:rPr>
              <w:t>10时00分</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供应商确认收到采购文件补充文件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color w:val="auto"/>
                <w:sz w:val="24"/>
                <w:lang w:val="en-US" w:eastAsia="zh-CN"/>
              </w:rPr>
            </w:pPr>
            <w:r>
              <w:rPr>
                <w:rFonts w:hint="eastAsia" w:cs="仿宋" w:asciiTheme="minorEastAsia" w:hAnsiTheme="minorEastAsia" w:eastAsiaTheme="minorEastAsia"/>
                <w:color w:val="auto"/>
                <w:sz w:val="24"/>
              </w:rPr>
              <w:t>确认的最晚时间：</w:t>
            </w:r>
            <w:r>
              <w:rPr>
                <w:rFonts w:hint="eastAsia" w:cs="仿宋" w:asciiTheme="minorEastAsia" w:hAnsiTheme="minorEastAsia" w:eastAsiaTheme="minorEastAsia"/>
                <w:color w:val="auto"/>
                <w:sz w:val="24"/>
                <w:lang w:val="en-US" w:eastAsia="zh-CN"/>
              </w:rPr>
              <w:t>收到采购文件补充文件后24小时</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确定的方式：</w:t>
            </w:r>
            <w:r>
              <w:rPr>
                <w:rFonts w:hint="eastAsia" w:cs="仿宋" w:asciiTheme="minorEastAsia" w:hAnsiTheme="minorEastAsia" w:eastAsiaTheme="minorEastAsia"/>
                <w:color w:val="auto"/>
                <w:sz w:val="24"/>
                <w:lang w:val="en-US" w:eastAsia="zh-CN"/>
              </w:rPr>
              <w:t>供应商盖章后的确认函</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3.1.1（9）</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构成响应文件的其他资料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最高限价或其计算方法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无</w:t>
            </w:r>
          </w:p>
          <w:p>
            <w:pPr>
              <w:spacing w:line="288" w:lineRule="auto"/>
              <w:jc w:val="both"/>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rPr>
              <w:t>有，最高限价或其计算方法：</w:t>
            </w:r>
          </w:p>
          <w:p>
            <w:pPr>
              <w:spacing w:line="288" w:lineRule="auto"/>
              <w:jc w:val="both"/>
              <w:rPr>
                <w:rFonts w:cs="仿宋" w:asciiTheme="minorEastAsia" w:hAnsiTheme="minorEastAsia" w:eastAsiaTheme="minorEastAsia"/>
                <w:color w:val="auto"/>
                <w:sz w:val="24"/>
                <w:highlight w:val="none"/>
              </w:rPr>
            </w:pPr>
            <w:r>
              <w:rPr>
                <w:rFonts w:ascii="Times New Roman" w:hAnsi="Times New Roman" w:cs="Times New Roman"/>
                <w:color w:val="auto"/>
                <w:sz w:val="24"/>
                <w:szCs w:val="24"/>
                <w:highlight w:val="none"/>
              </w:rPr>
              <w:t>本项目最高限价为：人民币¥</w:t>
            </w:r>
            <w:r>
              <w:rPr>
                <w:rFonts w:hint="eastAsia" w:cs="Times New Roman"/>
                <w:color w:val="auto"/>
                <w:sz w:val="24"/>
                <w:szCs w:val="24"/>
                <w:highlight w:val="none"/>
                <w:u w:val="single"/>
                <w:lang w:val="en-US" w:eastAsia="zh-CN"/>
              </w:rPr>
              <w:t>10</w:t>
            </w:r>
            <w:r>
              <w:rPr>
                <w:rFonts w:hint="eastAsia" w:ascii="Times New Roman" w:hAnsi="Times New Roman" w:cs="Times New Roman"/>
                <w:color w:val="auto"/>
                <w:sz w:val="24"/>
                <w:szCs w:val="24"/>
                <w:highlight w:val="none"/>
                <w:u w:val="single"/>
              </w:rPr>
              <w:t>0，000</w:t>
            </w:r>
            <w:r>
              <w:rPr>
                <w:rFonts w:hint="eastAsia" w:ascii="Times New Roman" w:hAnsi="Times New Roman" w:cs="Times New Roman"/>
                <w:color w:val="auto"/>
                <w:sz w:val="24"/>
                <w:szCs w:val="24"/>
                <w:highlight w:val="none"/>
                <w:lang w:eastAsia="zh-CN"/>
              </w:rPr>
              <w:t>元</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含6%增值税率，需提供增值税专用发票）。</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报价的其他要求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ascii="宋体" w:hAnsi="宋体" w:cs="仿宋"/>
                <w:color w:val="auto"/>
                <w:sz w:val="24"/>
                <w:highlight w:val="none"/>
                <w:lang w:val="en-US" w:eastAsia="zh-CN"/>
              </w:rPr>
              <w:t>本项目最高限价为6%增值税含税价，</w:t>
            </w:r>
            <w:r>
              <w:rPr>
                <w:rFonts w:hint="eastAsia" w:ascii="宋体" w:hAnsi="宋体" w:eastAsia="宋体" w:cs="仿宋"/>
                <w:color w:val="auto"/>
                <w:sz w:val="24"/>
                <w:highlight w:val="none"/>
                <w:lang w:val="en-US" w:eastAsia="zh-CN"/>
              </w:rPr>
              <w:t>报价</w:t>
            </w:r>
            <w:r>
              <w:rPr>
                <w:rFonts w:hint="eastAsia" w:ascii="宋体" w:hAnsi="宋体" w:cs="仿宋"/>
                <w:color w:val="auto"/>
                <w:sz w:val="24"/>
                <w:highlight w:val="none"/>
                <w:lang w:val="en-US" w:eastAsia="zh-CN"/>
              </w:rPr>
              <w:t>人可</w:t>
            </w:r>
            <w:r>
              <w:rPr>
                <w:rFonts w:hint="eastAsia" w:ascii="宋体" w:hAnsi="宋体" w:eastAsia="宋体" w:cs="仿宋"/>
                <w:color w:val="auto"/>
                <w:sz w:val="24"/>
                <w:highlight w:val="none"/>
                <w:lang w:val="en-US" w:eastAsia="zh-CN"/>
              </w:rPr>
              <w:t>提供</w:t>
            </w:r>
            <w:r>
              <w:rPr>
                <w:rFonts w:hint="eastAsia" w:ascii="宋体" w:hAnsi="宋体" w:cs="仿宋"/>
                <w:color w:val="auto"/>
                <w:sz w:val="24"/>
                <w:highlight w:val="none"/>
                <w:lang w:val="en-US" w:eastAsia="zh-CN"/>
              </w:rPr>
              <w:t>其他税率的报价，但评审时统一按6%含税价调整后由低到高排序</w:t>
            </w:r>
            <w:r>
              <w:rPr>
                <w:rFonts w:hint="eastAsia" w:ascii="宋体" w:hAnsi="宋体" w:eastAsia="宋体" w:cs="仿宋"/>
                <w:color w:val="auto"/>
                <w:sz w:val="24"/>
                <w:highlight w:val="none"/>
                <w:lang w:val="en-US" w:eastAsia="zh-CN"/>
              </w:rPr>
              <w:t>。</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响应文件有效期</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递交响应文件截止之日起90日                                        </w:t>
            </w:r>
          </w:p>
        </w:tc>
      </w:tr>
      <w:tr>
        <w:tblPrEx>
          <w:tblCellMar>
            <w:top w:w="0" w:type="dxa"/>
            <w:left w:w="108" w:type="dxa"/>
            <w:bottom w:w="0" w:type="dxa"/>
            <w:right w:w="108" w:type="dxa"/>
          </w:tblCellMar>
        </w:tblPrEx>
        <w:trPr>
          <w:trHeight w:val="1362"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3.4.1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不要求递交</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□要求递交，</w:t>
            </w:r>
          </w:p>
          <w:p>
            <w:pPr>
              <w:spacing w:line="288" w:lineRule="auto"/>
              <w:ind w:firstLine="360" w:firstLineChars="15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保证金的金额：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保证金的形式：                                        </w:t>
            </w:r>
          </w:p>
        </w:tc>
      </w:tr>
      <w:tr>
        <w:tblPrEx>
          <w:tblCellMar>
            <w:top w:w="0" w:type="dxa"/>
            <w:left w:w="108" w:type="dxa"/>
            <w:bottom w:w="0" w:type="dxa"/>
            <w:right w:w="108" w:type="dxa"/>
          </w:tblCellMar>
        </w:tblPrEx>
        <w:trPr>
          <w:trHeight w:val="137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9"/>
                <w:rFonts w:asciiTheme="minorEastAsia" w:hAnsiTheme="minorEastAsia" w:eastAsiaTheme="minorEastAsia"/>
                <w:b w:val="0"/>
                <w:color w:val="auto"/>
                <w:sz w:val="24"/>
              </w:rPr>
            </w:pPr>
            <w:r>
              <w:rPr>
                <w:rStyle w:val="19"/>
                <w:rFonts w:hint="eastAsia" w:asciiTheme="minorEastAsia" w:hAnsiTheme="minorEastAsia" w:eastAsiaTheme="minorEastAsia"/>
                <w:b w:val="0"/>
                <w:color w:val="auto"/>
                <w:sz w:val="24"/>
              </w:rPr>
              <w:t>依法设立的证明材料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□不适用。</w:t>
            </w:r>
          </w:p>
          <w:p>
            <w:pPr>
              <w:spacing w:line="288" w:lineRule="auto"/>
              <w:jc w:val="both"/>
              <w:rPr>
                <w:rFonts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适用。</w:t>
            </w:r>
            <w:r>
              <w:rPr>
                <w:rFonts w:hint="eastAsia" w:asciiTheme="minorEastAsia" w:hAnsiTheme="minorEastAsia" w:eastAsiaTheme="minorEastAsia"/>
                <w:color w:val="auto"/>
                <w:sz w:val="24"/>
              </w:rPr>
              <w:t>供应商应提供市场监管部门或其他行政机关颁发的可以合法开展</w:t>
            </w:r>
            <w:r>
              <w:rPr>
                <w:rFonts w:hint="eastAsia" w:asciiTheme="minorEastAsia" w:hAnsiTheme="minorEastAsia" w:eastAsiaTheme="minorEastAsia"/>
                <w:color w:val="auto"/>
                <w:sz w:val="24"/>
                <w:lang w:val="en-US" w:eastAsia="zh-CN"/>
              </w:rPr>
              <w:t>保险</w:t>
            </w:r>
            <w:r>
              <w:rPr>
                <w:rFonts w:hint="eastAsia" w:asciiTheme="minorEastAsia" w:hAnsiTheme="minorEastAsia" w:eastAsiaTheme="minorEastAsia"/>
                <w:color w:val="auto"/>
                <w:sz w:val="24"/>
              </w:rPr>
              <w:t>业务的执照或证书。</w:t>
            </w:r>
          </w:p>
        </w:tc>
      </w:tr>
      <w:tr>
        <w:tblPrEx>
          <w:tblCellMar>
            <w:top w:w="0" w:type="dxa"/>
            <w:left w:w="108" w:type="dxa"/>
            <w:bottom w:w="0" w:type="dxa"/>
            <w:right w:w="108" w:type="dxa"/>
          </w:tblCellMar>
        </w:tblPrEx>
        <w:trPr>
          <w:trHeight w:val="1067"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Style w:val="19"/>
                <w:rFonts w:hint="eastAsia" w:asciiTheme="minorEastAsia" w:hAnsiTheme="minorEastAsia" w:eastAsiaTheme="minorEastAsia"/>
                <w:b w:val="0"/>
                <w:color w:val="auto"/>
                <w:sz w:val="24"/>
                <w:highlight w:val="none"/>
              </w:rPr>
              <w:t>资质要求证明材料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不适用</w:t>
            </w:r>
          </w:p>
          <w:p>
            <w:pPr>
              <w:spacing w:line="288" w:lineRule="auto"/>
              <w:jc w:val="both"/>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适用。</w:t>
            </w:r>
            <w:r>
              <w:rPr>
                <w:rFonts w:hint="eastAsia" w:cs="宋体" w:asciiTheme="minorEastAsia" w:hAnsiTheme="minorEastAsia" w:eastAsiaTheme="minorEastAsia"/>
                <w:color w:val="auto"/>
                <w:sz w:val="24"/>
                <w:highlight w:val="none"/>
                <w:lang w:val="en-US" w:eastAsia="zh-CN"/>
              </w:rPr>
              <w:t>银监局颁发的经营保险业务许可证提供复印件盖公章</w:t>
            </w:r>
          </w:p>
        </w:tc>
      </w:tr>
      <w:tr>
        <w:tblPrEx>
          <w:tblCellMar>
            <w:top w:w="0" w:type="dxa"/>
            <w:left w:w="108" w:type="dxa"/>
            <w:bottom w:w="0" w:type="dxa"/>
            <w:right w:w="108" w:type="dxa"/>
          </w:tblCellMar>
        </w:tblPrEx>
        <w:trPr>
          <w:trHeight w:val="5384"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9"/>
                <w:rFonts w:asciiTheme="minorEastAsia" w:hAnsiTheme="minorEastAsia" w:eastAsiaTheme="minorEastAsia"/>
                <w:b w:val="0"/>
                <w:color w:val="auto"/>
                <w:sz w:val="24"/>
              </w:rPr>
            </w:pPr>
            <w:r>
              <w:rPr>
                <w:rStyle w:val="19"/>
                <w:rFonts w:hint="eastAsia" w:asciiTheme="minorEastAsia" w:hAnsiTheme="minorEastAsia" w:eastAsiaTheme="minorEastAsia"/>
                <w:b w:val="0"/>
                <w:color w:val="auto"/>
                <w:sz w:val="24"/>
              </w:rPr>
              <w:t>财务要求证明材料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年（供应商的成立时间少于该规定年份的，应提供成立以来的财务会计报表）</w:t>
            </w:r>
          </w:p>
          <w:p>
            <w:pPr>
              <w:spacing w:line="288" w:lineRule="auto"/>
              <w:jc w:val="both"/>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（注：有财务要求的，应选择两种财务会计报表中的一种作为财务证明资料。）</w:t>
            </w:r>
          </w:p>
        </w:tc>
      </w:tr>
      <w:tr>
        <w:tblPrEx>
          <w:tblCellMar>
            <w:top w:w="0" w:type="dxa"/>
            <w:left w:w="108" w:type="dxa"/>
            <w:bottom w:w="0" w:type="dxa"/>
            <w:right w:w="108" w:type="dxa"/>
          </w:tblCellMar>
        </w:tblPrEx>
        <w:trPr>
          <w:trHeight w:val="6437"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spacing w:line="288" w:lineRule="auto"/>
              <w:jc w:val="both"/>
              <w:rPr>
                <w:rFonts w:hint="default" w:cs="宋体" w:asciiTheme="minorEastAsia" w:hAnsiTheme="minorEastAsia" w:eastAsiaTheme="minorEastAsia"/>
                <w:color w:val="auto"/>
                <w:sz w:val="24"/>
                <w:u w:val="single"/>
                <w:lang w:val="en-US"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适用。供应商应提供近</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年的类似项目情况表（格式见第六章“响应文件格式”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、资格审查资料（</w:t>
            </w:r>
            <w:r>
              <w:rPr>
                <w:rFonts w:hint="eastAsia" w:cs="宋体" w:asciiTheme="minorEastAsia" w:hAnsiTheme="minorEastAsia" w:eastAsiaTheme="minorEastAsia"/>
                <w:color w:val="auto"/>
                <w:sz w:val="24"/>
                <w:lang w:val="en-US" w:eastAsia="zh-CN"/>
              </w:rPr>
              <w:t>二</w:t>
            </w:r>
            <w:r>
              <w:rPr>
                <w:rFonts w:hint="eastAsia" w:cs="宋体" w:asciiTheme="minorEastAsia" w:hAnsiTheme="minorEastAsia" w:eastAsiaTheme="minorEastAsia"/>
                <w:color w:val="auto"/>
                <w:sz w:val="24"/>
              </w:rPr>
              <w:t>）近</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年的类似项目情况表），以证明供应商具有承担本项目要求的业绩。近年是指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2019年12月</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lang w:val="en-US" w:eastAsia="zh-CN"/>
              </w:rPr>
              <w:t>2021</w:t>
            </w:r>
            <w:r>
              <w:rPr>
                <w:rFonts w:hint="eastAsia" w:cs="宋体" w:asciiTheme="minorEastAsia" w:hAnsiTheme="minorEastAsia" w:eastAsiaTheme="minorEastAsia"/>
                <w:color w:val="auto"/>
                <w:sz w:val="24"/>
                <w:u w:val="single"/>
              </w:rPr>
              <w:t>年</w:t>
            </w:r>
            <w:r>
              <w:rPr>
                <w:rFonts w:hint="eastAsia" w:cs="宋体" w:asciiTheme="minorEastAsia" w:hAnsiTheme="minorEastAsia" w:eastAsiaTheme="minorEastAsia"/>
                <w:color w:val="auto"/>
                <w:sz w:val="24"/>
                <w:u w:val="single"/>
                <w:lang w:val="en-US" w:eastAsia="zh-CN"/>
              </w:rPr>
              <w:t>12月以合同签署时间为准</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合同/订单</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□中标通知书/成交通知书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□竣工 验收报告/验收证明</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□业主证明</w:t>
            </w:r>
          </w:p>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□其他材料：</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业绩证明材料种类要求：</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□需同时提供上述勾选的所有证明材料</w:t>
            </w:r>
          </w:p>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其他要求：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eastAsia="zh-CN"/>
              </w:rPr>
              <w:t>提供</w:t>
            </w:r>
            <w:r>
              <w:rPr>
                <w:rFonts w:hint="eastAsia" w:cs="宋体" w:asciiTheme="minorEastAsia" w:hAnsiTheme="minorEastAsia" w:eastAsiaTheme="minorEastAsia"/>
                <w:color w:val="auto"/>
                <w:sz w:val="24"/>
                <w:u w:val="single"/>
                <w:lang w:val="en-US" w:eastAsia="zh-CN"/>
              </w:rPr>
              <w:t>2个项目的</w:t>
            </w:r>
            <w:r>
              <w:rPr>
                <w:rFonts w:hint="eastAsia" w:cs="宋体" w:asciiTheme="minorEastAsia" w:hAnsiTheme="minorEastAsia" w:eastAsiaTheme="minorEastAsia"/>
                <w:color w:val="auto"/>
                <w:sz w:val="24"/>
                <w:u w:val="single"/>
                <w:lang w:eastAsia="zh-CN"/>
              </w:rPr>
              <w:t>复印件加盖单位公章</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信誉要求证明材料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适用。供应商应提供相关信誉情况的证明材料，包括：</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361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3.5（6）</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承担本项目的主要人员要求证明材料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□适用。供应商应提供拟委任的主要人员汇总表和主要人员简历表（格式见第六章“响应文件格式”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、资格审查资料（四）拟委任的主要人员汇总表和（五）主要人员简历表）。供应商应填报满足第一章“采购公告”规定的项目负责人和其他主要人员的相关信息，并按如下要求提供相关证明文件：</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rPr>
              <w:t>3.5（8）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rPr>
              <w:t>供应商不存在第一章3.1款情形的证明材料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不需要提供证明材料</w:t>
            </w:r>
          </w:p>
          <w:p>
            <w:pPr>
              <w:pStyle w:val="8"/>
              <w:spacing w:after="0" w:line="312" w:lineRule="auto"/>
              <w:ind w:left="0" w:leftChars="0" w:firstLine="0" w:firstLineChars="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需要提供证明材料，包括：</w:t>
            </w:r>
          </w:p>
          <w:p>
            <w:pPr>
              <w:pStyle w:val="8"/>
              <w:spacing w:after="0" w:line="312" w:lineRule="auto"/>
              <w:ind w:left="0" w:leftChars="0" w:firstLine="0" w:firstLineChars="0"/>
              <w:rPr>
                <w:rFonts w:hint="eastAsia" w:ascii="宋体" w:hAnsi="宋体" w:cs="宋体"/>
                <w:color w:val="auto"/>
                <w:sz w:val="24"/>
              </w:rPr>
            </w:pPr>
            <w:r>
              <w:rPr>
                <w:rFonts w:hint="eastAsia" w:cs="宋体" w:asciiTheme="minorEastAsia" w:hAnsiTheme="minorEastAsia" w:eastAsiaTheme="minorEastAsia"/>
                <w:color w:val="auto"/>
                <w:sz w:val="24"/>
                <w:lang w:val="en-US" w:eastAsia="zh-CN"/>
              </w:rPr>
              <w:t>1.</w:t>
            </w:r>
            <w:r>
              <w:rPr>
                <w:rFonts w:hint="eastAsia" w:ascii="宋体" w:hAnsi="宋体" w:cs="宋体"/>
                <w:color w:val="auto"/>
                <w:sz w:val="24"/>
              </w:rPr>
              <w:t>全国企业信用信息公示系统中未列入严重违法失信企业名单的网页截图</w:t>
            </w:r>
          </w:p>
          <w:p>
            <w:pPr>
              <w:pStyle w:val="8"/>
              <w:spacing w:after="0" w:line="312" w:lineRule="auto"/>
              <w:ind w:left="0" w:leftChars="0" w:firstLine="0" w:firstLineChars="0"/>
              <w:rPr>
                <w:rFonts w:hint="eastAsia" w:ascii="宋体" w:hAnsi="宋体" w:cs="宋体"/>
                <w:color w:val="auto"/>
                <w:sz w:val="24"/>
              </w:rPr>
            </w:pPr>
            <w:r>
              <w:rPr>
                <w:rFonts w:hint="eastAsia" w:ascii="宋体" w:hAnsi="宋体" w:cs="宋体"/>
                <w:color w:val="auto"/>
                <w:sz w:val="24"/>
              </w:rPr>
              <w:t>2．被最高人民法院在“信用中国”网站（www.creditchina.gov.cn）中未列入失信被执行人名单的网页截图</w:t>
            </w:r>
          </w:p>
          <w:p>
            <w:pPr>
              <w:autoSpaceDE w:val="0"/>
              <w:spacing w:line="400" w:lineRule="exact"/>
              <w:ind w:firstLine="240" w:firstLineChars="100"/>
              <w:jc w:val="both"/>
              <w:rPr>
                <w:rFonts w:hint="eastAsia" w:ascii="宋体" w:hAnsi="宋体" w:cs="宋体"/>
                <w:color w:val="auto"/>
                <w:sz w:val="24"/>
                <w:lang w:val="en-US" w:eastAsia="zh-CN"/>
              </w:rPr>
            </w:pPr>
            <w:r>
              <w:rPr>
                <w:rFonts w:hint="eastAsia" w:ascii="宋体" w:hAnsi="宋体" w:cs="宋体"/>
                <w:color w:val="auto"/>
                <w:sz w:val="24"/>
                <w:lang w:val="en-US" w:eastAsia="zh-CN"/>
              </w:rPr>
              <w:t>3.提供不存在以下情形之一的承诺函</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处于被责令停产停业、暂扣或者吊销执照、暂扣或者吊销许可证、吊销资质证书状态;</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进入清算程序，或被宣告破产，或其他丧失履约能力的情形;</w:t>
            </w:r>
          </w:p>
          <w:p>
            <w:pPr>
              <w:autoSpaceDE w:val="0"/>
              <w:spacing w:line="400" w:lineRule="exact"/>
              <w:ind w:firstLine="240" w:firstLineChars="100"/>
              <w:jc w:val="both"/>
              <w:rPr>
                <w:rFonts w:hint="eastAsia" w:ascii="宋体" w:hAnsi="宋体"/>
                <w:color w:val="auto"/>
                <w:sz w:val="24"/>
                <w:lang w:eastAsia="zh-CN"/>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被采购人或采购人上级单位纳入黑名单</w:t>
            </w:r>
            <w:r>
              <w:rPr>
                <w:rFonts w:hint="eastAsia" w:ascii="宋体" w:hAnsi="宋体"/>
                <w:color w:val="auto"/>
                <w:sz w:val="24"/>
                <w:lang w:eastAsia="zh-CN"/>
              </w:rPr>
              <w:t>；</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为投资参股本项目的法人单位；</w:t>
            </w:r>
          </w:p>
          <w:p>
            <w:pPr>
              <w:autoSpaceDE w:val="0"/>
              <w:spacing w:line="400" w:lineRule="exact"/>
              <w:ind w:firstLine="240" w:firstLineChars="100"/>
              <w:jc w:val="both"/>
              <w:rPr>
                <w:rFonts w:hint="eastAsia" w:ascii="宋体" w:hAnsi="宋体"/>
                <w:color w:val="auto"/>
                <w:sz w:val="24"/>
                <w:lang w:eastAsia="zh-CN"/>
              </w:rPr>
            </w:pPr>
            <w:r>
              <w:rPr>
                <w:rFonts w:hint="eastAsia" w:ascii="宋体" w:hAnsi="宋体"/>
                <w:color w:val="auto"/>
                <w:sz w:val="24"/>
                <w:lang w:val="en-US" w:eastAsia="zh-CN"/>
              </w:rPr>
              <w:t>5.</w:t>
            </w:r>
            <w:r>
              <w:rPr>
                <w:rFonts w:hint="eastAsia" w:ascii="宋体" w:hAnsi="宋体"/>
                <w:color w:val="auto"/>
                <w:sz w:val="24"/>
              </w:rPr>
              <w:t>被省级及以上交通主管部门取消项目所在地的投标资格或禁止进入该区域水运建设市场且处于有效期内；</w:t>
            </w:r>
          </w:p>
          <w:p>
            <w:pPr>
              <w:pStyle w:val="8"/>
              <w:spacing w:after="0" w:line="312" w:lineRule="auto"/>
              <w:ind w:left="0" w:leftChars="0" w:firstLine="0" w:firstLineChars="0"/>
              <w:rPr>
                <w:rFonts w:hint="default" w:ascii="宋体" w:hAnsi="宋体" w:eastAsia="宋体" w:cs="宋体"/>
                <w:color w:val="auto"/>
                <w:sz w:val="24"/>
                <w:lang w:val="en-US" w:eastAsia="zh-CN"/>
              </w:rPr>
            </w:pP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对关键条款进行响应的证据或证明材料要求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响应方案数量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供应商只能提出唯一响应方案</w:t>
            </w:r>
          </w:p>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供应商可提出多个响应方案</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响应文件及电子版要求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是否要求提供电子版响应文件：</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不要求</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□要求，提供电子版响应文件的形式</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响应文件的</w:t>
            </w:r>
            <w:r>
              <w:rPr>
                <w:rFonts w:hint="eastAsia" w:cs="宋体" w:asciiTheme="minorEastAsia" w:hAnsiTheme="minorEastAsia" w:eastAsiaTheme="minorEastAsia"/>
                <w:color w:val="auto"/>
                <w:sz w:val="24"/>
                <w:lang w:val="en-US" w:eastAsia="zh-CN"/>
              </w:rPr>
              <w:t>份数、</w:t>
            </w:r>
            <w:r>
              <w:rPr>
                <w:rFonts w:hint="eastAsia" w:cs="宋体" w:asciiTheme="minorEastAsia" w:hAnsiTheme="minorEastAsia" w:eastAsiaTheme="minorEastAsia"/>
                <w:color w:val="auto"/>
                <w:sz w:val="24"/>
              </w:rPr>
              <w:t>密封</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响应文件正本</w:t>
            </w:r>
            <w:r>
              <w:rPr>
                <w:rFonts w:hint="eastAsia" w:cs="宋体" w:asciiTheme="minorEastAsia" w:hAnsiTheme="minorEastAsia" w:eastAsiaTheme="minorEastAsia"/>
                <w:color w:val="auto"/>
                <w:sz w:val="24"/>
                <w:lang w:val="en-US" w:eastAsia="zh-CN"/>
              </w:rPr>
              <w:t>壹</w:t>
            </w:r>
            <w:r>
              <w:rPr>
                <w:rFonts w:hint="eastAsia" w:cs="宋体" w:asciiTheme="minorEastAsia" w:hAnsiTheme="minorEastAsia" w:eastAsiaTheme="minorEastAsia"/>
                <w:color w:val="auto"/>
                <w:sz w:val="24"/>
              </w:rPr>
              <w:t>份</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副本</w:t>
            </w:r>
            <w:r>
              <w:rPr>
                <w:rFonts w:hint="eastAsia" w:cs="宋体" w:asciiTheme="minorEastAsia" w:hAnsiTheme="minorEastAsia" w:eastAsiaTheme="minorEastAsia"/>
                <w:color w:val="auto"/>
                <w:sz w:val="24"/>
                <w:lang w:val="en-US" w:eastAsia="zh-CN"/>
              </w:rPr>
              <w:t>肆</w:t>
            </w:r>
            <w:r>
              <w:rPr>
                <w:rFonts w:hint="eastAsia" w:cs="宋体" w:asciiTheme="minorEastAsia" w:hAnsiTheme="minorEastAsia" w:eastAsiaTheme="minorEastAsia"/>
                <w:color w:val="auto"/>
                <w:sz w:val="24"/>
              </w:rPr>
              <w:t>份</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须密封包装，并在封套的封口处加盖供应商单位章。</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封套上应载明的信息</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spacing w:line="288" w:lineRule="auto"/>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适用，供应商名称：</w:t>
            </w:r>
            <w:r>
              <w:rPr>
                <w:rFonts w:hint="eastAsia" w:ascii="宋体" w:hAnsi="宋体" w:cs="宋体"/>
                <w:color w:val="auto"/>
                <w:sz w:val="24"/>
                <w:szCs w:val="24"/>
                <w:u w:val="single"/>
                <w:lang w:val="en-US" w:eastAsia="zh-CN"/>
              </w:rPr>
              <w:t>长沙集星集装箱码头有限公司补充医疗项目</w:t>
            </w:r>
            <w:r>
              <w:rPr>
                <w:rFonts w:hint="eastAsia" w:cs="宋体" w:asciiTheme="minorEastAsia" w:hAnsiTheme="minorEastAsia" w:eastAsiaTheme="minorEastAsia"/>
                <w:color w:val="auto"/>
                <w:sz w:val="24"/>
                <w:u w:val="single"/>
              </w:rPr>
              <w:t>响应文件</w:t>
            </w:r>
          </w:p>
        </w:tc>
      </w:tr>
      <w:tr>
        <w:tblPrEx>
          <w:tblCellMar>
            <w:top w:w="0" w:type="dxa"/>
            <w:left w:w="108" w:type="dxa"/>
            <w:bottom w:w="0" w:type="dxa"/>
            <w:right w:w="108" w:type="dxa"/>
          </w:tblCellMar>
        </w:tblPrEx>
        <w:trPr>
          <w:trHeight w:val="182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递交响应文件截止时间和地点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rPr>
              <w:t>截止时间</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2022年1月4日10时00分</w:t>
            </w:r>
            <w:r>
              <w:rPr>
                <w:rFonts w:hint="eastAsia" w:cs="宋体" w:asciiTheme="minorEastAsia" w:hAnsiTheme="minorEastAsia" w:eastAsiaTheme="minorEastAsia"/>
                <w:color w:val="auto"/>
                <w:sz w:val="24"/>
                <w:highlight w:val="none"/>
                <w:u w:val="single"/>
              </w:rPr>
              <w:t xml:space="preserve"> </w:t>
            </w:r>
          </w:p>
          <w:p>
            <w:pPr>
              <w:spacing w:line="44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递交响应文件的地点：</w:t>
            </w:r>
            <w:r>
              <w:rPr>
                <w:rFonts w:hint="eastAsia" w:eastAsiaTheme="minorEastAsia"/>
                <w:color w:val="auto"/>
                <w:sz w:val="24"/>
                <w:szCs w:val="24"/>
                <w:u w:val="single"/>
                <w:lang w:val="en-US" w:eastAsia="zh-CN"/>
              </w:rPr>
              <w:t>长沙集星集装箱码头有限公司310室</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是否退还响应文件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□是，退还时间：</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1215"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4.3.3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供应商撤回响应文件情况下退还响应保证金的时间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是否公开开启响应文件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是</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asciiTheme="minorHAnsi" w:hAnsiTheme="minorHAnsi" w:eastAsiaTheme="minorEastAsia" w:cstheme="minorBidi"/>
                <w:color w:val="auto"/>
                <w:sz w:val="24"/>
                <w:szCs w:val="24"/>
                <w:lang w:val="en-US" w:eastAsia="zh-CN"/>
              </w:rPr>
              <w:t>湖南省港务集团有限公司六楼602开标室</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开启程序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开启顺序：</w:t>
            </w:r>
            <w:r>
              <w:rPr>
                <w:rFonts w:hint="eastAsia" w:cs="宋体" w:asciiTheme="minorEastAsia" w:hAnsiTheme="minorEastAsia" w:eastAsiaTheme="minorEastAsia"/>
                <w:color w:val="auto"/>
                <w:sz w:val="24"/>
                <w:u w:val="single"/>
              </w:rPr>
              <w:t xml:space="preserve">   随机 </w:t>
            </w:r>
            <w:r>
              <w:rPr>
                <w:rFonts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其他应公布的信息：</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eastAsia="zh-CN"/>
              </w:rPr>
              <w:t>无</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38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评审</w:t>
            </w:r>
            <w:r>
              <w:rPr>
                <w:rFonts w:hint="eastAsia" w:cs="宋体" w:asciiTheme="minorEastAsia" w:hAnsiTheme="minorEastAsia" w:eastAsiaTheme="minorEastAsia"/>
                <w:color w:val="auto"/>
                <w:sz w:val="24"/>
              </w:rPr>
              <w:t>小组的组建</w:t>
            </w:r>
            <w:r>
              <w:rPr>
                <w:rStyle w:val="21"/>
                <w:rFonts w:cs="宋体" w:asciiTheme="minorEastAsia" w:hAnsiTheme="minorEastAsia" w:eastAsiaTheme="minorEastAsia"/>
                <w:color w:val="auto"/>
                <w:sz w:val="24"/>
              </w:rPr>
              <w:footnoteReference w:id="0"/>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评审</w:t>
            </w:r>
            <w:r>
              <w:rPr>
                <w:rFonts w:hint="eastAsia" w:cs="宋体" w:asciiTheme="minorEastAsia" w:hAnsiTheme="minorEastAsia" w:eastAsiaTheme="minorEastAsia"/>
                <w:color w:val="auto"/>
                <w:sz w:val="24"/>
              </w:rPr>
              <w:t>小组构成：</w:t>
            </w:r>
            <w:r>
              <w:rPr>
                <w:rFonts w:hint="eastAsia" w:cs="宋体" w:asciiTheme="minorEastAsia" w:hAnsiTheme="minorEastAsia" w:eastAsiaTheme="minorEastAsia"/>
                <w:color w:val="auto"/>
                <w:sz w:val="24"/>
                <w:u w:val="single"/>
                <w:lang w:val="en-US" w:eastAsia="zh-CN"/>
              </w:rPr>
              <w:t>3</w:t>
            </w:r>
            <w:r>
              <w:rPr>
                <w:rFonts w:hint="eastAsia" w:cs="宋体" w:asciiTheme="minorEastAsia" w:hAnsiTheme="minorEastAsia" w:eastAsiaTheme="minorEastAsia"/>
                <w:color w:val="auto"/>
                <w:sz w:val="24"/>
              </w:rPr>
              <w:t>人。</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评审</w:t>
            </w:r>
            <w:r>
              <w:rPr>
                <w:rFonts w:hint="eastAsia" w:cs="宋体" w:asciiTheme="minorEastAsia" w:hAnsiTheme="minorEastAsia" w:eastAsiaTheme="minorEastAsia"/>
                <w:color w:val="auto"/>
                <w:sz w:val="24"/>
              </w:rPr>
              <w:t>专家确定方式：在湖南省湘水集团有限公司综合评标专家库中随机抽取</w:t>
            </w:r>
            <w:r>
              <w:rPr>
                <w:rFonts w:hint="eastAsia" w:cs="宋体" w:asciiTheme="minorEastAsia" w:hAnsiTheme="minorEastAsia" w:eastAsiaTheme="minorEastAsia"/>
                <w:color w:val="auto"/>
                <w:sz w:val="24"/>
                <w:lang w:val="en-US" w:eastAsia="zh-CN"/>
              </w:rPr>
              <w:t>2人，业主评委1人</w:t>
            </w:r>
            <w:r>
              <w:rPr>
                <w:rFonts w:hint="eastAsia" w:cs="宋体" w:asciiTheme="minorEastAsia" w:hAnsiTheme="minorEastAsia" w:eastAsiaTheme="minorEastAsia"/>
                <w:color w:val="auto"/>
                <w:sz w:val="24"/>
              </w:rPr>
              <w:t>。</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6.6</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是否公开开启最终报价</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w:t>
            </w:r>
          </w:p>
        </w:tc>
      </w:tr>
      <w:tr>
        <w:tblPrEx>
          <w:tblCellMar>
            <w:top w:w="0" w:type="dxa"/>
            <w:left w:w="108" w:type="dxa"/>
            <w:bottom w:w="0" w:type="dxa"/>
            <w:right w:w="108" w:type="dxa"/>
          </w:tblCellMar>
        </w:tblPrEx>
        <w:trPr>
          <w:trHeight w:val="1535"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推荐成交候选供应商的排序及数量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数量：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1-3名</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9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成交候选供应商公示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公示媒介：</w:t>
            </w:r>
            <w:bookmarkStart w:id="9" w:name="_Toc9276"/>
            <w:bookmarkStart w:id="10" w:name="_Toc20487"/>
            <w:r>
              <w:rPr>
                <w:rFonts w:hint="eastAsia" w:cs="宋体" w:asciiTheme="minorEastAsia" w:hAnsiTheme="minorEastAsia" w:eastAsiaTheme="minorEastAsia"/>
                <w:color w:val="auto"/>
                <w:sz w:val="24"/>
              </w:rPr>
              <w:t>本次招标公告同时在中国招标投标公共服务平台（</w:t>
            </w:r>
            <w:r>
              <w:rPr>
                <w:rFonts w:hint="eastAsia" w:cs="宋体" w:asciiTheme="minorEastAsia" w:hAnsiTheme="minorEastAsia" w:eastAsiaTheme="minorEastAsia"/>
                <w:color w:val="auto"/>
                <w:sz w:val="24"/>
              </w:rPr>
              <w:fldChar w:fldCharType="begin"/>
            </w:r>
            <w:r>
              <w:rPr>
                <w:rFonts w:hint="eastAsia" w:cs="宋体" w:asciiTheme="minorEastAsia" w:hAnsiTheme="minorEastAsia" w:eastAsiaTheme="minorEastAsia"/>
                <w:color w:val="auto"/>
                <w:sz w:val="24"/>
              </w:rPr>
              <w:instrText xml:space="preserve"> HYPERLINK "http://www.chinabidding.com.cn" </w:instrText>
            </w:r>
            <w:r>
              <w:rPr>
                <w:rFonts w:hint="eastAsia" w:cs="宋体" w:asciiTheme="minorEastAsia" w:hAnsiTheme="minorEastAsia" w:eastAsiaTheme="minorEastAsia"/>
                <w:color w:val="auto"/>
                <w:sz w:val="24"/>
              </w:rPr>
              <w:fldChar w:fldCharType="separate"/>
            </w:r>
            <w:r>
              <w:rPr>
                <w:rFonts w:hint="eastAsia" w:cs="宋体" w:asciiTheme="minorEastAsia" w:hAnsiTheme="minorEastAsia" w:eastAsiaTheme="minorEastAsia"/>
                <w:color w:val="auto"/>
                <w:sz w:val="24"/>
              </w:rPr>
              <w:t>www.cebpubservice.com</w:t>
            </w:r>
            <w:r>
              <w:rPr>
                <w:rFonts w:hint="eastAsia" w:cs="宋体" w:asciiTheme="minorEastAsia" w:hAnsiTheme="minorEastAsia" w:eastAsiaTheme="minorEastAsia"/>
                <w:color w:val="auto"/>
                <w:sz w:val="24"/>
              </w:rPr>
              <w:fldChar w:fldCharType="end"/>
            </w:r>
            <w:r>
              <w:rPr>
                <w:rFonts w:hint="eastAsia" w:cs="宋体" w:asciiTheme="minorEastAsia" w:hAnsiTheme="minorEastAsia" w:eastAsiaTheme="minorEastAsia"/>
                <w:color w:val="auto"/>
                <w:sz w:val="24"/>
              </w:rPr>
              <w:t>）、湖南省湘水集团有限公司（http://www.hnsxsjt.com）、湖南省港务集团公司网站（http://www.hnsgwjt.com/）上发布。</w:t>
            </w:r>
            <w:bookmarkEnd w:id="9"/>
            <w:bookmarkEnd w:id="10"/>
          </w:p>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公示期限：  </w:t>
            </w:r>
            <w:r>
              <w:rPr>
                <w:rFonts w:hint="eastAsia" w:cs="宋体" w:asciiTheme="minorEastAsia" w:hAnsiTheme="minorEastAsia" w:eastAsiaTheme="minorEastAsia"/>
                <w:color w:val="auto"/>
                <w:sz w:val="24"/>
                <w:lang w:val="en-US" w:eastAsia="zh-CN"/>
              </w:rPr>
              <w:t>3个工作日</w:t>
            </w:r>
            <w:r>
              <w:rPr>
                <w:rFonts w:hint="eastAsia" w:cs="宋体" w:asciiTheme="minorEastAsia" w:hAnsiTheme="minorEastAsia" w:eastAsiaTheme="minorEastAsia"/>
                <w:color w:val="auto"/>
                <w:sz w:val="24"/>
              </w:rPr>
              <w:t xml:space="preserve">   </w:t>
            </w:r>
          </w:p>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其他应公示的内容：  </w:t>
            </w:r>
            <w:r>
              <w:rPr>
                <w:rFonts w:hint="eastAsia" w:cs="宋体" w:asciiTheme="minorEastAsia" w:hAnsiTheme="minorEastAsia" w:eastAsiaTheme="minorEastAsia"/>
                <w:color w:val="auto"/>
                <w:sz w:val="24"/>
                <w:lang w:val="en-US" w:eastAsia="zh-CN"/>
              </w:rPr>
              <w:t>无</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2597"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不要求提交</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□要求递交</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履约保证金金额：</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履约保证金形式：</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履约保证金有效期限：</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递交时间：</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其他要求：</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160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异议渠道</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杨曼</w:t>
            </w:r>
            <w:r>
              <w:rPr>
                <w:rFonts w:hint="eastAsia" w:ascii="宋体" w:hAnsi="宋体" w:eastAsia="宋体" w:cs="宋体"/>
                <w:color w:val="auto"/>
                <w:sz w:val="24"/>
                <w:szCs w:val="24"/>
                <w:u w:val="single"/>
              </w:rPr>
              <w:t xml:space="preserve">  </w:t>
            </w:r>
          </w:p>
          <w:p>
            <w:pPr>
              <w:pStyle w:val="15"/>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color w:val="auto"/>
                <w:sz w:val="24"/>
                <w:szCs w:val="24"/>
                <w:u w:val="single"/>
                <w:lang w:val="en-US" w:eastAsia="zh-CN"/>
              </w:rPr>
              <w:t>13507318311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288"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Cs/>
                <w:i w:val="0"/>
                <w:caps w:val="0"/>
                <w:color w:val="auto"/>
                <w:spacing w:val="0"/>
                <w:kern w:val="0"/>
                <w:sz w:val="24"/>
                <w:szCs w:val="24"/>
                <w:u w:val="single"/>
                <w:lang w:val="en-US" w:eastAsia="zh-CN" w:bidi="ar"/>
              </w:rPr>
              <w:t>长沙集星集装箱码头有限公司303室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bl>
    <w:p>
      <w:pPr>
        <w:rPr>
          <w:rFonts w:hint="eastAsia" w:ascii="华文中宋" w:hAnsi="华文中宋" w:eastAsia="华文中宋" w:cs="仿宋"/>
          <w:b/>
          <w:bCs/>
          <w:color w:val="auto"/>
          <w:sz w:val="30"/>
          <w:szCs w:val="30"/>
        </w:rPr>
      </w:pPr>
      <w:r>
        <w:rPr>
          <w:rFonts w:hint="eastAsia" w:ascii="华文中宋" w:hAnsi="华文中宋" w:eastAsia="华文中宋" w:cs="仿宋"/>
          <w:b/>
          <w:bCs/>
          <w:color w:val="auto"/>
          <w:sz w:val="30"/>
          <w:szCs w:val="30"/>
        </w:rPr>
        <w:br w:type="page"/>
      </w:r>
    </w:p>
    <w:p>
      <w:pPr>
        <w:spacing w:line="240" w:lineRule="auto"/>
        <w:jc w:val="center"/>
        <w:outlineLvl w:val="0"/>
        <w:rPr>
          <w:rFonts w:ascii="仿宋" w:hAnsi="仿宋" w:eastAsia="仿宋" w:cs="仿宋"/>
          <w:color w:val="auto"/>
          <w:sz w:val="30"/>
          <w:szCs w:val="30"/>
        </w:rPr>
      </w:pPr>
      <w:bookmarkStart w:id="11" w:name="_Toc272"/>
      <w:r>
        <w:rPr>
          <w:rFonts w:hint="eastAsia" w:ascii="华文中宋" w:hAnsi="华文中宋" w:eastAsia="华文中宋" w:cs="仿宋"/>
          <w:b/>
          <w:bCs/>
          <w:color w:val="auto"/>
          <w:sz w:val="30"/>
          <w:szCs w:val="30"/>
        </w:rPr>
        <w:t>第二</w:t>
      </w:r>
      <w:r>
        <w:rPr>
          <w:rFonts w:hint="eastAsia" w:ascii="华文中宋" w:hAnsi="华文中宋" w:eastAsia="华文中宋" w:cs="仿宋"/>
          <w:b/>
          <w:bCs/>
          <w:color w:val="auto"/>
          <w:sz w:val="30"/>
          <w:szCs w:val="30"/>
          <w:lang w:val="en-US" w:eastAsia="zh-CN"/>
        </w:rPr>
        <w:t>节</w:t>
      </w:r>
      <w:r>
        <w:rPr>
          <w:rFonts w:hint="eastAsia" w:ascii="华文中宋" w:hAnsi="华文中宋" w:eastAsia="华文中宋" w:cs="仿宋"/>
          <w:b/>
          <w:bCs/>
          <w:color w:val="auto"/>
          <w:sz w:val="30"/>
          <w:szCs w:val="30"/>
        </w:rPr>
        <w:t xml:space="preserve"> 供应商须知正文</w:t>
      </w:r>
      <w:bookmarkEnd w:id="11"/>
    </w:p>
    <w:p>
      <w:pPr>
        <w:adjustRightInd w:val="0"/>
        <w:snapToGrid w:val="0"/>
        <w:spacing w:before="120" w:beforeLines="50" w:after="120" w:afterLines="50" w:line="312" w:lineRule="auto"/>
        <w:jc w:val="both"/>
        <w:rPr>
          <w:rFonts w:ascii="宋体" w:hAnsi="宋体" w:cs="仿宋"/>
          <w:b/>
          <w:bCs/>
          <w:color w:val="auto"/>
          <w:sz w:val="24"/>
        </w:rPr>
      </w:pPr>
      <w:r>
        <w:rPr>
          <w:rFonts w:hint="eastAsia" w:ascii="宋体" w:hAnsi="宋体" w:cs="仿宋"/>
          <w:b/>
          <w:bCs/>
          <w:color w:val="auto"/>
          <w:sz w:val="24"/>
        </w:rPr>
        <w:t>1 总则</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1.1采购方法和评审办法</w:t>
      </w:r>
    </w:p>
    <w:p>
      <w:pPr>
        <w:pStyle w:val="24"/>
        <w:spacing w:before="120" w:after="120" w:line="312" w:lineRule="auto"/>
        <w:ind w:left="426" w:firstLine="48" w:firstLineChars="20"/>
        <w:jc w:val="both"/>
        <w:rPr>
          <w:rFonts w:ascii="宋体" w:hAnsi="宋体" w:eastAsia="宋体" w:cs="仿宋"/>
          <w:color w:val="auto"/>
          <w:sz w:val="24"/>
          <w:szCs w:val="24"/>
        </w:rPr>
      </w:pPr>
      <w:r>
        <w:rPr>
          <w:rFonts w:hint="eastAsia" w:ascii="宋体" w:hAnsi="宋体" w:eastAsia="宋体" w:cs="仿宋"/>
          <w:color w:val="auto"/>
          <w:sz w:val="24"/>
          <w:szCs w:val="24"/>
        </w:rPr>
        <w:t>本项目采用供应商须知前附表规定的采购方式和评审办法。</w:t>
      </w:r>
    </w:p>
    <w:p>
      <w:pPr>
        <w:pStyle w:val="25"/>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1.1.1采购方法</w:t>
      </w:r>
    </w:p>
    <w:p>
      <w:pPr>
        <w:pStyle w:val="25"/>
        <w:spacing w:line="312" w:lineRule="auto"/>
        <w:ind w:firstLine="453" w:firstLineChars="189"/>
        <w:rPr>
          <w:rFonts w:hAnsi="宋体" w:eastAsia="宋体" w:cs="仿宋"/>
          <w:color w:val="auto"/>
          <w:sz w:val="24"/>
          <w:szCs w:val="24"/>
        </w:rPr>
      </w:pPr>
      <w:r>
        <w:rPr>
          <w:rFonts w:hint="eastAsia" w:hAnsi="宋体" w:eastAsia="宋体" w:cs="仿宋"/>
          <w:color w:val="auto"/>
          <w:sz w:val="24"/>
          <w:szCs w:val="24"/>
        </w:rPr>
        <w:t>竞争性谈判采购，是指按照规定程序通过与符合资格要求的供应商谈判确定成交供应商的采购方式。</w:t>
      </w:r>
    </w:p>
    <w:p>
      <w:pPr>
        <w:pStyle w:val="25"/>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1.1.2评审办法</w:t>
      </w:r>
    </w:p>
    <w:p>
      <w:pPr>
        <w:pStyle w:val="25"/>
        <w:spacing w:line="312" w:lineRule="auto"/>
        <w:ind w:firstLine="453" w:firstLineChars="189"/>
        <w:rPr>
          <w:rFonts w:hAnsi="宋体" w:eastAsia="宋体" w:cs="仿宋"/>
          <w:color w:val="auto"/>
          <w:sz w:val="24"/>
          <w:szCs w:val="24"/>
        </w:rPr>
      </w:pPr>
      <w:r>
        <w:rPr>
          <w:rFonts w:hint="eastAsia" w:hAnsi="宋体" w:eastAsia="宋体" w:cs="仿宋"/>
          <w:color w:val="auto"/>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1.2采购项目概况和供应商资格要求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采购项目概况和供应商资格要求见第一章“</w:t>
      </w:r>
      <w:r>
        <w:rPr>
          <w:rFonts w:hint="eastAsia" w:ascii="宋体" w:hAnsi="宋体" w:cs="仿宋"/>
          <w:color w:val="auto"/>
          <w:sz w:val="24"/>
          <w:lang w:val="en-US" w:eastAsia="zh-CN"/>
        </w:rPr>
        <w:t>询价</w:t>
      </w:r>
      <w:r>
        <w:rPr>
          <w:rFonts w:hint="eastAsia" w:ascii="宋体" w:hAnsi="宋体" w:cs="仿宋"/>
          <w:color w:val="auto"/>
          <w:sz w:val="24"/>
        </w:rPr>
        <w:t>公告”。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1.3 费用承担</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供应商准备和参加采购活动所发生的各种费用由供应商自行承担。</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1.4保密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1.5语言文字</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1.6计量单位</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所有计量均采用中华人民共和国法定计量单位。</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1.7踏勘现场(</w:t>
      </w:r>
      <w:r>
        <w:rPr>
          <w:rFonts w:hint="eastAsia" w:ascii="宋体" w:hAnsi="宋体" w:cs="仿宋"/>
          <w:b/>
          <w:bCs/>
          <w:color w:val="auto"/>
          <w:sz w:val="24"/>
          <w:lang w:eastAsia="zh-CN"/>
        </w:rPr>
        <w:t>不组织</w:t>
      </w:r>
      <w:r>
        <w:rPr>
          <w:rFonts w:hint="eastAsia" w:ascii="宋体" w:hAnsi="宋体" w:cs="仿宋"/>
          <w:b/>
          <w:bCs/>
          <w:color w:val="auto"/>
          <w:sz w:val="24"/>
        </w:rPr>
        <w:t>)</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1.8采购预备会(</w:t>
      </w:r>
      <w:r>
        <w:rPr>
          <w:rFonts w:hint="eastAsia" w:ascii="宋体" w:hAnsi="宋体" w:cs="仿宋"/>
          <w:b/>
          <w:bCs/>
          <w:color w:val="auto"/>
          <w:sz w:val="24"/>
          <w:lang w:eastAsia="zh-CN"/>
        </w:rPr>
        <w:t>不组织</w:t>
      </w:r>
      <w:r>
        <w:rPr>
          <w:rFonts w:hint="eastAsia" w:ascii="宋体" w:hAnsi="宋体" w:cs="仿宋"/>
          <w:b/>
          <w:bCs/>
          <w:color w:val="auto"/>
          <w:sz w:val="24"/>
        </w:rPr>
        <w:t>)</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1.9分包(</w:t>
      </w:r>
      <w:r>
        <w:rPr>
          <w:rFonts w:hint="eastAsia" w:ascii="宋体" w:hAnsi="宋体" w:cs="仿宋"/>
          <w:b/>
          <w:bCs/>
          <w:color w:val="auto"/>
          <w:sz w:val="24"/>
          <w:lang w:eastAsia="zh-CN"/>
        </w:rPr>
        <w:t>不允许</w:t>
      </w:r>
      <w:r>
        <w:rPr>
          <w:rFonts w:hint="eastAsia" w:ascii="宋体" w:hAnsi="宋体" w:cs="仿宋"/>
          <w:b/>
          <w:bCs/>
          <w:color w:val="auto"/>
          <w:sz w:val="24"/>
        </w:rPr>
        <w:t>)</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1.10响应和偏差</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2采购文件</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2.1采购文件的组成</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本采购文件包括:</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(1)采购公告:</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(2)供应商须知;</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(3)评审办法;</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(4)合同条款及格式;</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(5)采购需求;</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(6)响应文件格式;</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2.2采购文件的澄清和修改</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3响应文件</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3.1响应文件的组成</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3.1.1响应文件应包括下列内容: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(1)响应函;</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(2)授权委托书;</w:t>
      </w:r>
    </w:p>
    <w:p>
      <w:pPr>
        <w:adjustRightInd w:val="0"/>
        <w:snapToGrid w:val="0"/>
        <w:spacing w:line="312" w:lineRule="auto"/>
        <w:ind w:firstLine="453" w:firstLineChars="189"/>
        <w:jc w:val="both"/>
        <w:rPr>
          <w:rFonts w:hint="eastAsia"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3</w:t>
      </w:r>
      <w:r>
        <w:rPr>
          <w:rFonts w:hint="eastAsia" w:ascii="宋体" w:hAnsi="宋体" w:cs="仿宋"/>
          <w:color w:val="auto"/>
          <w:sz w:val="24"/>
        </w:rPr>
        <w:t>)商务和技术偏差表;</w:t>
      </w:r>
    </w:p>
    <w:p>
      <w:pPr>
        <w:keepNext w:val="0"/>
        <w:keepLines w:val="0"/>
        <w:pageBreakBefore w:val="0"/>
        <w:widowControl/>
        <w:kinsoku/>
        <w:wordWrap/>
        <w:overflowPunct/>
        <w:topLinePunct w:val="0"/>
        <w:autoSpaceDE/>
        <w:autoSpaceDN/>
        <w:bidi w:val="0"/>
        <w:adjustRightInd w:val="0"/>
        <w:snapToGrid w:val="0"/>
        <w:spacing w:line="312" w:lineRule="auto"/>
        <w:ind w:leftChars="100" w:firstLine="360" w:firstLineChars="150"/>
        <w:jc w:val="both"/>
        <w:textAlignment w:val="auto"/>
        <w:rPr>
          <w:rFonts w:ascii="宋体" w:hAnsi="宋体" w:cs="仿宋"/>
          <w:color w:val="auto"/>
          <w:sz w:val="24"/>
        </w:rPr>
      </w:pPr>
      <w:r>
        <w:rPr>
          <w:rFonts w:hint="eastAsia" w:ascii="宋体" w:hAnsi="宋体" w:cs="仿宋"/>
          <w:color w:val="auto"/>
          <w:sz w:val="24"/>
        </w:rPr>
        <w:t>(</w:t>
      </w:r>
      <w:r>
        <w:rPr>
          <w:rFonts w:hint="eastAsia" w:ascii="宋体" w:hAnsi="宋体" w:cs="仿宋"/>
          <w:color w:val="auto"/>
          <w:sz w:val="24"/>
          <w:lang w:val="en-US" w:eastAsia="zh-CN"/>
        </w:rPr>
        <w:t>4</w:t>
      </w:r>
      <w:r>
        <w:rPr>
          <w:rFonts w:hint="eastAsia" w:ascii="宋体" w:hAnsi="宋体" w:cs="仿宋"/>
          <w:color w:val="auto"/>
          <w:sz w:val="24"/>
        </w:rPr>
        <w:t>)报价表;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5</w:t>
      </w:r>
      <w:r>
        <w:rPr>
          <w:rFonts w:hint="eastAsia" w:ascii="宋体" w:hAnsi="宋体" w:cs="仿宋"/>
          <w:color w:val="auto"/>
          <w:sz w:val="24"/>
        </w:rPr>
        <w:t>)资格审查资料;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6</w:t>
      </w:r>
      <w:r>
        <w:rPr>
          <w:rFonts w:hint="eastAsia" w:ascii="宋体" w:hAnsi="宋体" w:cs="仿宋"/>
          <w:color w:val="auto"/>
          <w:sz w:val="24"/>
        </w:rPr>
        <w:t>)响应方案;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7</w:t>
      </w:r>
      <w:r>
        <w:rPr>
          <w:rFonts w:hint="eastAsia" w:ascii="宋体" w:hAnsi="宋体" w:cs="仿宋"/>
          <w:color w:val="auto"/>
          <w:sz w:val="24"/>
        </w:rPr>
        <w:t>)供应商须知前附表规定的其他资料。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3.1.2供应商的法定代表人(单位负责人)亲自签署响应文件、亲自参加采购的，响应文件不包括第3.1.1(2)目所指的授权委托书。第一章“</w:t>
      </w:r>
      <w:r>
        <w:rPr>
          <w:rFonts w:hint="eastAsia" w:ascii="宋体" w:hAnsi="宋体" w:cs="仿宋"/>
          <w:color w:val="auto"/>
          <w:sz w:val="24"/>
          <w:lang w:eastAsia="zh-CN"/>
        </w:rPr>
        <w:t>邀请</w:t>
      </w:r>
      <w:r>
        <w:rPr>
          <w:rFonts w:hint="eastAsia" w:ascii="宋体" w:hAnsi="宋体" w:cs="仿宋"/>
          <w:color w:val="auto"/>
          <w:sz w:val="24"/>
        </w:rPr>
        <w:t>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3.2报价</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3.2.4报价的其他要求见供应商须知前附表。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3.3响应文件有效期</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lang w:eastAsia="zh-CN"/>
        </w:rPr>
      </w:pPr>
      <w:r>
        <w:rPr>
          <w:rFonts w:hint="eastAsia" w:ascii="宋体" w:hAnsi="宋体" w:cs="仿宋"/>
          <w:b/>
          <w:bCs/>
          <w:color w:val="auto"/>
          <w:sz w:val="24"/>
        </w:rPr>
        <w:t>3.4响应保证金</w:t>
      </w:r>
      <w:r>
        <w:rPr>
          <w:rFonts w:hint="eastAsia" w:ascii="宋体" w:hAnsi="宋体" w:cs="仿宋"/>
          <w:b/>
          <w:bCs/>
          <w:color w:val="auto"/>
          <w:sz w:val="24"/>
          <w:lang w:eastAsia="zh-CN"/>
        </w:rPr>
        <w:t>（不递交）</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3.4.3有下列情形之一的，响应保证金将不予退还:</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color w:val="auto"/>
          <w:sz w:val="24"/>
        </w:rPr>
      </w:pPr>
      <w:r>
        <w:rPr>
          <w:rFonts w:hint="eastAsia" w:ascii="宋体" w:hAnsi="宋体" w:cs="仿宋"/>
          <w:b/>
          <w:bCs/>
          <w:color w:val="auto"/>
          <w:sz w:val="24"/>
        </w:rPr>
        <w:t>3.5资格审查资料</w:t>
      </w:r>
    </w:p>
    <w:p>
      <w:pPr>
        <w:adjustRightInd w:val="0"/>
        <w:snapToGrid w:val="0"/>
        <w:spacing w:line="312" w:lineRule="auto"/>
        <w:ind w:left="149" w:leftChars="71" w:firstLine="360" w:firstLineChars="150"/>
        <w:jc w:val="both"/>
        <w:rPr>
          <w:rFonts w:ascii="宋体" w:hAnsi="宋体" w:cs="仿宋"/>
          <w:color w:val="auto"/>
          <w:sz w:val="24"/>
        </w:rPr>
      </w:pPr>
      <w:r>
        <w:rPr>
          <w:rFonts w:hint="eastAsia" w:ascii="宋体" w:hAnsi="宋体" w:cs="仿宋"/>
          <w:color w:val="auto"/>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3.6响应方案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3.7响应文件的编制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rPr>
      </w:pPr>
      <w:r>
        <w:rPr>
          <w:rFonts w:ascii="宋体" w:hAnsi="宋体" w:cs="仿宋"/>
          <w:color w:val="auto"/>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rPr>
      </w:pPr>
      <w:r>
        <w:rPr>
          <w:rFonts w:ascii="宋体" w:hAnsi="宋体" w:cs="仿宋"/>
          <w:color w:val="auto"/>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4响应文件的递交</w:t>
      </w:r>
    </w:p>
    <w:p>
      <w:pPr>
        <w:adjustRightInd w:val="0"/>
        <w:snapToGrid w:val="0"/>
        <w:spacing w:line="312" w:lineRule="auto"/>
        <w:jc w:val="both"/>
        <w:rPr>
          <w:rFonts w:ascii="宋体" w:hAnsi="宋体" w:cs="仿宋"/>
          <w:b/>
          <w:bCs/>
          <w:color w:val="auto"/>
          <w:sz w:val="24"/>
        </w:rPr>
      </w:pPr>
      <w:r>
        <w:rPr>
          <w:rFonts w:ascii="宋体" w:hAnsi="宋体" w:cs="仿宋"/>
          <w:b/>
          <w:bCs/>
          <w:color w:val="auto"/>
          <w:sz w:val="24"/>
        </w:rPr>
        <w:t>4.1响应文件的包装与标记</w:t>
      </w:r>
    </w:p>
    <w:p>
      <w:pPr>
        <w:adjustRightInd w:val="0"/>
        <w:snapToGrid w:val="0"/>
        <w:spacing w:line="312" w:lineRule="auto"/>
        <w:jc w:val="both"/>
        <w:rPr>
          <w:rFonts w:ascii="宋体" w:hAnsi="宋体" w:cs="仿宋"/>
          <w:color w:val="auto"/>
          <w:sz w:val="24"/>
        </w:rPr>
      </w:pPr>
      <w:r>
        <w:rPr>
          <w:rFonts w:ascii="宋体" w:hAnsi="宋体" w:cs="仿宋"/>
          <w:color w:val="auto"/>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rPr>
      </w:pPr>
      <w:r>
        <w:rPr>
          <w:rFonts w:ascii="宋体" w:hAnsi="宋体" w:cs="仿宋"/>
          <w:color w:val="auto"/>
          <w:sz w:val="24"/>
        </w:rPr>
        <w:t>4.1.2响应文件封套上应载明的内容见供应商须知前附表。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4.2响应文件的递交</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4.2.2除供应商须知前附表另有规定外，供应商所提交的响应文件不于退还。</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4.3响应文件的修改与撤回</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4.3.2</w:t>
      </w:r>
      <w:r>
        <w:rPr>
          <w:rFonts w:ascii="宋体" w:hAnsi="宋体" w:cs="仿宋"/>
          <w:color w:val="auto"/>
          <w:sz w:val="24"/>
        </w:rPr>
        <w:t>响应文件的修改文件或供应商</w:t>
      </w:r>
      <w:r>
        <w:rPr>
          <w:rFonts w:hint="eastAsia" w:ascii="宋体" w:hAnsi="宋体" w:cs="仿宋"/>
          <w:color w:val="auto"/>
          <w:sz w:val="24"/>
        </w:rPr>
        <w:t>撤</w:t>
      </w:r>
      <w:r>
        <w:rPr>
          <w:rFonts w:ascii="宋体" w:hAnsi="宋体" w:cs="仿宋"/>
          <w:color w:val="auto"/>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5开启响应文件</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color w:val="auto"/>
          <w:sz w:val="24"/>
        </w:rPr>
        <w:t>采购人一般不公开开启响应文件。如</w:t>
      </w:r>
      <w:r>
        <w:rPr>
          <w:rFonts w:hint="eastAsia" w:ascii="宋体" w:hAnsi="宋体" w:cs="仿宋"/>
          <w:color w:val="auto"/>
          <w:sz w:val="24"/>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主持人按下列程序公开开启响应文件:</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(2)开启会议结束。</w:t>
      </w:r>
      <w:r>
        <w:rPr>
          <w:rFonts w:hint="eastAsia" w:ascii="宋体" w:hAnsi="宋体" w:cs="仿宋"/>
          <w:color w:val="auto"/>
          <w:sz w:val="24"/>
        </w:rPr>
        <w:br w:type="textWrapping"/>
      </w:r>
      <w:r>
        <w:rPr>
          <w:rFonts w:hint="eastAsia" w:ascii="宋体" w:hAnsi="宋体" w:cs="仿宋"/>
          <w:b/>
          <w:bCs/>
          <w:color w:val="auto"/>
          <w:sz w:val="24"/>
        </w:rPr>
        <w:t>5.3递交响应文件的供应商不足的情形</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递交响应文件的供应商数量不足</w:t>
      </w:r>
      <w:r>
        <w:rPr>
          <w:rFonts w:hint="eastAsia" w:ascii="宋体" w:hAnsi="宋体" w:cs="仿宋"/>
          <w:color w:val="auto"/>
          <w:sz w:val="24"/>
          <w:lang w:eastAsia="zh-CN"/>
        </w:rPr>
        <w:t>两</w:t>
      </w:r>
      <w:r>
        <w:rPr>
          <w:rFonts w:hint="eastAsia" w:ascii="宋体" w:hAnsi="宋体" w:cs="仿宋"/>
          <w:color w:val="auto"/>
          <w:sz w:val="24"/>
        </w:rPr>
        <w:t>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6.1评审小组</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6.1.1评审由采购人组建的评审小组负责。</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color w:val="auto"/>
          <w:sz w:val="24"/>
        </w:rPr>
      </w:pPr>
      <w:r>
        <w:rPr>
          <w:rFonts w:hint="eastAsia" w:ascii="宋体" w:hAnsi="宋体" w:cs="仿宋"/>
          <w:color w:val="auto"/>
          <w:sz w:val="24"/>
        </w:rPr>
        <w:t>（1）供应商主要负责人或供应商主要负责人的近亲属;</w:t>
      </w:r>
      <w:r>
        <w:rPr>
          <w:rFonts w:hint="eastAsia" w:ascii="宋体" w:hAnsi="宋体" w:cs="仿宋"/>
          <w:color w:val="auto"/>
          <w:sz w:val="24"/>
        </w:rPr>
        <w:br w:type="textWrapping"/>
      </w:r>
      <w:r>
        <w:rPr>
          <w:rFonts w:hint="eastAsia" w:ascii="宋体" w:hAnsi="宋体" w:cs="仿宋"/>
          <w:color w:val="auto"/>
          <w:sz w:val="24"/>
        </w:rPr>
        <w:t>(2)与供应商有经济利益关系或其他利害关系，可能影响公正评审的。</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6.1.3评审小组组建后，评审小组成员共同推选或或由采购人指定评审小组组长，评审小组组长负责组织评审工作。</w:t>
      </w:r>
    </w:p>
    <w:p>
      <w:pPr>
        <w:adjustRightInd w:val="0"/>
        <w:snapToGrid w:val="0"/>
        <w:spacing w:line="312" w:lineRule="auto"/>
        <w:jc w:val="both"/>
        <w:rPr>
          <w:rFonts w:hint="eastAsia" w:ascii="宋体" w:hAnsi="宋体" w:cs="仿宋"/>
          <w:color w:val="auto"/>
          <w:sz w:val="24"/>
        </w:rPr>
      </w:pPr>
      <w:r>
        <w:rPr>
          <w:rFonts w:hint="eastAsia" w:ascii="宋体" w:hAnsi="宋体" w:cs="仿宋"/>
          <w:color w:val="auto"/>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6.2评审</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6.2.1评审小组按照第三章“评审办法”规定的评审标准和程序对响应文件进行评审和比较。</w:t>
      </w:r>
    </w:p>
    <w:p>
      <w:pPr>
        <w:adjustRightInd w:val="0"/>
        <w:snapToGrid w:val="0"/>
        <w:spacing w:line="312" w:lineRule="auto"/>
        <w:jc w:val="both"/>
        <w:rPr>
          <w:rFonts w:hint="default" w:ascii="宋体" w:hAnsi="宋体" w:eastAsia="宋体" w:cs="仿宋"/>
          <w:color w:val="auto"/>
          <w:sz w:val="24"/>
          <w:lang w:val="en-US" w:eastAsia="zh-CN"/>
        </w:rPr>
      </w:pPr>
      <w:r>
        <w:rPr>
          <w:rFonts w:hint="eastAsia" w:ascii="宋体" w:hAnsi="宋体" w:cs="仿宋"/>
          <w:color w:val="auto"/>
          <w:sz w:val="24"/>
        </w:rPr>
        <w:t>6.2.2评审完成后，评审小组应当向采购人提交书面评审报告和成交候选供应商名单。评审小组推荐成交候选供应商的排序要求及数量见供应商须知前附表。</w:t>
      </w:r>
      <w:r>
        <w:rPr>
          <w:rFonts w:hint="eastAsia" w:ascii="宋体" w:hAnsi="宋体" w:cs="仿宋"/>
          <w:color w:val="auto"/>
          <w:sz w:val="24"/>
          <w:lang w:val="en-US" w:eastAsia="zh-CN"/>
        </w:rPr>
        <w:t xml:space="preserve">  </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7合同授予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7.1成交候选供应商报价核查</w:t>
      </w:r>
    </w:p>
    <w:p>
      <w:pPr>
        <w:widowControl w:val="0"/>
        <w:adjustRightInd w:val="0"/>
        <w:snapToGrid w:val="0"/>
        <w:spacing w:line="312" w:lineRule="auto"/>
        <w:ind w:firstLine="475" w:firstLineChars="198"/>
        <w:jc w:val="both"/>
        <w:rPr>
          <w:rFonts w:ascii="宋体" w:hAnsi="宋体" w:cs="仿宋"/>
          <w:color w:val="auto"/>
          <w:sz w:val="24"/>
        </w:rPr>
      </w:pPr>
      <w:r>
        <w:rPr>
          <w:rFonts w:hint="eastAsia" w:ascii="宋体" w:hAnsi="宋体" w:cs="仿宋"/>
          <w:color w:val="auto"/>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rPr>
      </w:pPr>
      <w:r>
        <w:rPr>
          <w:rFonts w:hint="eastAsia" w:ascii="宋体" w:hAnsi="宋体" w:cs="仿宋"/>
          <w:b/>
          <w:bCs/>
          <w:color w:val="auto"/>
          <w:sz w:val="24"/>
        </w:rPr>
        <w:t>7.2</w:t>
      </w:r>
      <w:r>
        <w:rPr>
          <w:rFonts w:hint="eastAsia" w:ascii="宋体" w:hAnsi="宋体" w:cs="宋体"/>
          <w:b/>
          <w:bCs/>
          <w:color w:val="auto"/>
          <w:sz w:val="24"/>
        </w:rPr>
        <w:t>成交候选</w:t>
      </w:r>
      <w:r>
        <w:rPr>
          <w:rFonts w:hint="eastAsia" w:ascii="宋体" w:hAnsi="宋体" w:cs="仿宋"/>
          <w:b/>
          <w:bCs/>
          <w:color w:val="auto"/>
          <w:sz w:val="24"/>
        </w:rPr>
        <w:t>供应商</w:t>
      </w:r>
      <w:r>
        <w:rPr>
          <w:rFonts w:hint="eastAsia" w:ascii="宋体" w:hAnsi="宋体" w:cs="宋体"/>
          <w:b/>
          <w:bCs/>
          <w:color w:val="auto"/>
          <w:sz w:val="24"/>
        </w:rPr>
        <w:t>公示</w:t>
      </w:r>
      <w:r>
        <w:rPr>
          <w:rFonts w:hint="eastAsia" w:ascii="宋体" w:hAnsi="宋体" w:cs="宋体"/>
          <w:b/>
          <w:bCs/>
          <w:color w:val="auto"/>
          <w:sz w:val="24"/>
          <w:lang w:eastAsia="zh-CN"/>
        </w:rPr>
        <w:t>（本项目不进行公示）</w:t>
      </w:r>
      <w:r>
        <w:rPr>
          <w:rFonts w:hint="eastAsia" w:ascii="宋体" w:hAnsi="宋体" w:cs="宋体"/>
          <w:b/>
          <w:bCs/>
          <w:color w:val="auto"/>
          <w:sz w:val="24"/>
        </w:rPr>
        <w:t xml:space="preserve"> </w:t>
      </w:r>
    </w:p>
    <w:p>
      <w:pPr>
        <w:widowControl w:val="0"/>
        <w:adjustRightInd w:val="0"/>
        <w:snapToGrid w:val="0"/>
        <w:spacing w:line="312" w:lineRule="auto"/>
        <w:ind w:firstLine="480" w:firstLineChars="200"/>
        <w:jc w:val="both"/>
        <w:rPr>
          <w:rFonts w:ascii="宋体" w:hAnsi="宋体" w:cs="宋体"/>
          <w:color w:val="auto"/>
          <w:sz w:val="24"/>
        </w:rPr>
      </w:pPr>
      <w:r>
        <w:rPr>
          <w:rFonts w:hint="eastAsia" w:ascii="宋体" w:hAnsi="宋体" w:cs="宋体"/>
          <w:color w:val="auto"/>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rPr>
      </w:pPr>
      <w:bookmarkStart w:id="12" w:name="_Toc24135"/>
      <w:r>
        <w:rPr>
          <w:rFonts w:hint="eastAsia" w:ascii="宋体" w:hAnsi="宋体" w:cs="宋体"/>
          <w:b/>
          <w:bCs/>
          <w:color w:val="auto"/>
          <w:sz w:val="24"/>
        </w:rPr>
        <w:t>7.3成交结果异议</w:t>
      </w:r>
      <w:bookmarkEnd w:id="12"/>
      <w:r>
        <w:rPr>
          <w:rFonts w:hint="eastAsia" w:ascii="宋体" w:hAnsi="宋体" w:cs="宋体"/>
          <w:b/>
          <w:bCs/>
          <w:color w:val="auto"/>
          <w:sz w:val="24"/>
        </w:rPr>
        <w:t xml:space="preserve"> </w:t>
      </w:r>
    </w:p>
    <w:p>
      <w:pPr>
        <w:adjustRightInd w:val="0"/>
        <w:snapToGrid w:val="0"/>
        <w:spacing w:line="312" w:lineRule="auto"/>
        <w:ind w:firstLine="424" w:firstLineChars="177"/>
        <w:jc w:val="both"/>
        <w:rPr>
          <w:rFonts w:ascii="宋体" w:hAnsi="宋体" w:cs="宋体"/>
          <w:color w:val="auto"/>
          <w:sz w:val="24"/>
        </w:rPr>
      </w:pPr>
      <w:r>
        <w:rPr>
          <w:rFonts w:hint="eastAsia" w:ascii="宋体" w:hAnsi="宋体" w:cs="宋体"/>
          <w:color w:val="auto"/>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7.4成交候选供应商履约能力核查</w:t>
      </w:r>
    </w:p>
    <w:p>
      <w:pPr>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7.5发出成交通知书</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7.6履约保证金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rPr>
        <w:t>10</w:t>
      </w:r>
      <w:r>
        <w:rPr>
          <w:rFonts w:hint="eastAsia" w:ascii="宋体" w:hAnsi="宋体" w:cs="仿宋"/>
          <w:color w:val="auto"/>
          <w:sz w:val="24"/>
        </w:rPr>
        <w:t>%。</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7.7签订合同</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w:t>
      </w:r>
      <w:r>
        <w:rPr>
          <w:rFonts w:ascii="宋体" w:hAnsi="宋体" w:cs="仿宋"/>
          <w:b/>
          <w:bCs/>
          <w:color w:val="auto"/>
          <w:sz w:val="24"/>
        </w:rPr>
        <w:t>8</w:t>
      </w:r>
      <w:r>
        <w:rPr>
          <w:rFonts w:hint="eastAsia" w:ascii="宋体" w:hAnsi="宋体" w:cs="仿宋"/>
          <w:b/>
          <w:bCs/>
          <w:color w:val="auto"/>
          <w:sz w:val="24"/>
        </w:rPr>
        <w:t>特殊情形处理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8异议</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8.1提出异议</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8.2异议处理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9纪律要求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9.1对采购人的纪律要求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9.2对供应商的纪律要求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9.3对评审小组成员的纪律要求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10</w:t>
      </w:r>
      <w:r>
        <w:rPr>
          <w:rFonts w:ascii="宋体" w:hAnsi="宋体" w:cs="仿宋"/>
          <w:b/>
          <w:bCs/>
          <w:color w:val="auto"/>
          <w:sz w:val="24"/>
        </w:rPr>
        <w:t xml:space="preserve"> </w:t>
      </w:r>
      <w:r>
        <w:rPr>
          <w:rFonts w:hint="eastAsia" w:ascii="宋体" w:hAnsi="宋体" w:cs="仿宋"/>
          <w:b/>
          <w:bCs/>
          <w:color w:val="auto"/>
          <w:sz w:val="24"/>
        </w:rPr>
        <w:t>需要补充的其他内容</w:t>
      </w:r>
    </w:p>
    <w:p>
      <w:pPr>
        <w:adjustRightInd w:val="0"/>
        <w:snapToGrid w:val="0"/>
        <w:spacing w:line="312" w:lineRule="auto"/>
        <w:jc w:val="both"/>
        <w:rPr>
          <w:rFonts w:ascii="宋体" w:hAnsi="宋体" w:cs="仿宋"/>
          <w:color w:val="auto"/>
          <w:sz w:val="24"/>
        </w:rPr>
      </w:pPr>
      <w:r>
        <w:rPr>
          <w:rFonts w:hint="eastAsia" w:ascii="宋体" w:hAnsi="宋体" w:cs="仿宋"/>
          <w:b/>
          <w:bCs/>
          <w:color w:val="auto"/>
          <w:sz w:val="24"/>
        </w:rPr>
        <w:t>10.1</w:t>
      </w:r>
      <w:r>
        <w:rPr>
          <w:rFonts w:hint="eastAsia" w:ascii="宋体" w:hAnsi="宋体" w:cs="仿宋"/>
          <w:color w:val="auto"/>
          <w:sz w:val="24"/>
        </w:rPr>
        <w:t>需更补充的其他内容:见供应商须知前附表。</w:t>
      </w:r>
    </w:p>
    <w:p>
      <w:pPr>
        <w:rPr>
          <w:color w:val="auto"/>
          <w:lang w:val="zh-CN"/>
        </w:rPr>
      </w:pPr>
      <w:r>
        <w:rPr>
          <w:color w:val="auto"/>
          <w:lang w:val="zh-CN"/>
        </w:rPr>
        <w:br w:type="page"/>
      </w:r>
    </w:p>
    <w:p>
      <w:pPr>
        <w:adjustRightInd w:val="0"/>
        <w:snapToGrid w:val="0"/>
        <w:spacing w:line="600" w:lineRule="exact"/>
        <w:rPr>
          <w:rFonts w:ascii="宋体" w:hAnsi="宋体" w:cs="仿宋"/>
          <w:color w:val="auto"/>
          <w:sz w:val="30"/>
          <w:szCs w:val="30"/>
        </w:rPr>
      </w:pPr>
      <w:r>
        <w:rPr>
          <w:rFonts w:hint="eastAsia" w:ascii="宋体" w:hAnsi="宋体" w:cs="仿宋"/>
          <w:color w:val="auto"/>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p>
    <w:p>
      <w:pPr>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开启时间：</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日</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时</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分</w:t>
      </w:r>
    </w:p>
    <w:tbl>
      <w:tblPr>
        <w:tblStyle w:val="17"/>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9"/>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 号</w:t>
            </w:r>
          </w:p>
        </w:tc>
        <w:tc>
          <w:tcPr>
            <w:tcW w:w="1238"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w:t>
            </w:r>
          </w:p>
        </w:tc>
        <w:tc>
          <w:tcPr>
            <w:tcW w:w="1029"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报价</w:t>
            </w:r>
          </w:p>
        </w:tc>
        <w:tc>
          <w:tcPr>
            <w:tcW w:w="1029"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bl>
    <w:p>
      <w:pPr>
        <w:spacing w:line="240" w:lineRule="auto"/>
        <w:jc w:val="both"/>
        <w:rPr>
          <w:rFonts w:cs="仿宋" w:asciiTheme="minorEastAsia" w:hAnsiTheme="minorEastAsia" w:eastAsiaTheme="minorEastAsia"/>
          <w:color w:val="auto"/>
          <w:sz w:val="24"/>
        </w:rPr>
      </w:pPr>
    </w:p>
    <w:p>
      <w:pPr>
        <w:spacing w:line="240" w:lineRule="auto"/>
        <w:ind w:firstLine="1200" w:firstLineChars="500"/>
        <w:jc w:val="both"/>
        <w:rPr>
          <w:rFonts w:cs="仿宋" w:asciiTheme="minorEastAsia" w:hAnsiTheme="minorEastAsia" w:eastAsiaTheme="minorEastAsia"/>
          <w:color w:val="auto"/>
          <w:sz w:val="24"/>
          <w:u w:val="single"/>
        </w:rPr>
      </w:pPr>
      <w:r>
        <w:rPr>
          <w:rFonts w:hint="eastAsia" w:cs="仿宋" w:asciiTheme="minorEastAsia" w:hAnsiTheme="minorEastAsia" w:eastAsiaTheme="minorEastAsia"/>
          <w:color w:val="auto"/>
          <w:sz w:val="24"/>
        </w:rPr>
        <w:t>采购人代表：</w:t>
      </w:r>
      <w:r>
        <w:rPr>
          <w:rFonts w:hint="eastAsia"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 xml:space="preserve">      记录人：</w:t>
      </w:r>
      <w:r>
        <w:rPr>
          <w:rFonts w:hint="eastAsia"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监督人：</w:t>
      </w:r>
      <w:r>
        <w:rPr>
          <w:rFonts w:hint="eastAsia" w:cs="仿宋" w:asciiTheme="minorEastAsia" w:hAnsiTheme="minorEastAsia" w:eastAsiaTheme="minorEastAsia"/>
          <w:color w:val="auto"/>
          <w:sz w:val="24"/>
          <w:u w:val="single"/>
        </w:rPr>
        <w:t xml:space="preserve">        </w:t>
      </w:r>
    </w:p>
    <w:p>
      <w:pPr>
        <w:spacing w:line="240" w:lineRule="auto"/>
        <w:jc w:val="both"/>
        <w:rPr>
          <w:rFonts w:cs="仿宋" w:asciiTheme="minorEastAsia" w:hAnsiTheme="minorEastAsia" w:eastAsiaTheme="minorEastAsia"/>
          <w:color w:val="auto"/>
          <w:sz w:val="24"/>
        </w:rPr>
      </w:pPr>
    </w:p>
    <w:p>
      <w:pPr>
        <w:spacing w:line="240" w:lineRule="auto"/>
        <w:jc w:val="both"/>
        <w:rPr>
          <w:rFonts w:ascii="仿宋" w:hAnsi="仿宋" w:eastAsia="仿宋" w:cs="仿宋"/>
          <w:color w:val="auto"/>
          <w:sz w:val="30"/>
          <w:szCs w:val="30"/>
        </w:rPr>
      </w:pPr>
    </w:p>
    <w:p>
      <w:pPr>
        <w:spacing w:line="240" w:lineRule="auto"/>
        <w:jc w:val="both"/>
        <w:rPr>
          <w:rFonts w:ascii="仿宋" w:hAnsi="仿宋" w:eastAsia="仿宋" w:cs="仿宋"/>
          <w:color w:val="auto"/>
          <w:sz w:val="30"/>
          <w:szCs w:val="30"/>
        </w:rPr>
      </w:pPr>
      <w:r>
        <w:rPr>
          <w:rFonts w:ascii="仿宋" w:hAnsi="仿宋" w:eastAsia="仿宋" w:cs="仿宋"/>
          <w:color w:val="auto"/>
          <w:sz w:val="30"/>
          <w:szCs w:val="30"/>
        </w:rPr>
        <w:br w:type="page"/>
      </w:r>
    </w:p>
    <w:p>
      <w:pPr>
        <w:adjustRightInd w:val="0"/>
        <w:snapToGrid w:val="0"/>
        <w:spacing w:line="600" w:lineRule="exact"/>
        <w:rPr>
          <w:rFonts w:ascii="宋体" w:hAnsi="宋体" w:cs="仿宋"/>
          <w:color w:val="auto"/>
          <w:sz w:val="30"/>
          <w:szCs w:val="30"/>
        </w:rPr>
      </w:pPr>
      <w:r>
        <w:rPr>
          <w:rFonts w:hint="eastAsia" w:ascii="宋体" w:hAnsi="宋体" w:cs="仿宋"/>
          <w:color w:val="auto"/>
          <w:sz w:val="30"/>
          <w:szCs w:val="30"/>
        </w:rPr>
        <w:t>附件</w:t>
      </w:r>
      <w:r>
        <w:rPr>
          <w:rFonts w:hint="eastAsia" w:ascii="宋体" w:hAnsi="宋体" w:cs="仿宋"/>
          <w:color w:val="auto"/>
          <w:sz w:val="30"/>
          <w:szCs w:val="30"/>
          <w:lang w:val="en-US" w:eastAsia="zh-CN"/>
        </w:rPr>
        <w:t>2</w:t>
      </w:r>
      <w:r>
        <w:rPr>
          <w:rFonts w:hint="eastAsia" w:ascii="宋体" w:hAnsi="宋体" w:cs="仿宋"/>
          <w:color w:val="auto"/>
          <w:sz w:val="30"/>
          <w:szCs w:val="30"/>
        </w:rPr>
        <w:t xml:space="preserve">  问题的澄清</w:t>
      </w:r>
    </w:p>
    <w:p>
      <w:pPr>
        <w:adjustRightInd w:val="0"/>
        <w:snapToGrid w:val="0"/>
        <w:spacing w:line="600" w:lineRule="exact"/>
        <w:jc w:val="center"/>
        <w:rPr>
          <w:rFonts w:ascii="华文中宋" w:hAnsi="华文中宋" w:eastAsia="华文中宋" w:cs="仿宋"/>
          <w:b/>
          <w:bCs/>
          <w:color w:val="auto"/>
          <w:sz w:val="36"/>
          <w:szCs w:val="36"/>
        </w:rPr>
      </w:pPr>
    </w:p>
    <w:p>
      <w:pPr>
        <w:adjustRightInd w:val="0"/>
        <w:snapToGrid w:val="0"/>
        <w:spacing w:line="600" w:lineRule="exact"/>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问题的澄清</w:t>
      </w:r>
    </w:p>
    <w:p>
      <w:pPr>
        <w:adjustRightInd w:val="0"/>
        <w:snapToGrid w:val="0"/>
        <w:spacing w:line="600" w:lineRule="exact"/>
        <w:ind w:firstLine="480" w:firstLineChars="200"/>
        <w:jc w:val="center"/>
        <w:rPr>
          <w:rFonts w:ascii="宋体" w:hAnsi="宋体" w:cs="仿宋"/>
          <w:color w:val="auto"/>
          <w:sz w:val="24"/>
        </w:rPr>
      </w:pPr>
      <w:r>
        <w:rPr>
          <w:rFonts w:hint="eastAsia" w:ascii="宋体" w:hAnsi="宋体" w:cs="仿宋"/>
          <w:color w:val="auto"/>
          <w:sz w:val="24"/>
        </w:rPr>
        <w:t>(编号:</w:t>
      </w:r>
      <w:r>
        <w:rPr>
          <w:rFonts w:hint="eastAsia" w:ascii="宋体" w:hAnsi="宋体" w:cs="仿宋"/>
          <w:color w:val="auto"/>
          <w:sz w:val="24"/>
          <w:u w:val="single"/>
        </w:rPr>
        <w:t xml:space="preserve">                 </w:t>
      </w:r>
      <w:r>
        <w:rPr>
          <w:rFonts w:hint="eastAsia" w:ascii="宋体" w:hAnsi="宋体" w:cs="仿宋"/>
          <w:color w:val="auto"/>
          <w:sz w:val="24"/>
        </w:rPr>
        <w:t>)</w:t>
      </w:r>
    </w:p>
    <w:p>
      <w:pPr>
        <w:adjustRightInd w:val="0"/>
        <w:snapToGrid w:val="0"/>
        <w:spacing w:line="600" w:lineRule="exact"/>
        <w:jc w:val="both"/>
        <w:rPr>
          <w:rFonts w:ascii="宋体" w:hAnsi="宋体" w:cs="仿宋"/>
          <w:color w:val="auto"/>
          <w:sz w:val="24"/>
        </w:rPr>
      </w:pPr>
      <w:r>
        <w:rPr>
          <w:rFonts w:hint="eastAsia" w:ascii="宋体" w:hAnsi="宋体" w:cs="仿宋"/>
          <w:color w:val="auto"/>
          <w:sz w:val="24"/>
        </w:rPr>
        <w:t>评审小组:</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问题澄清通知(编号:</w:t>
      </w:r>
      <w:r>
        <w:rPr>
          <w:rFonts w:hint="eastAsia" w:ascii="宋体" w:hAnsi="宋体" w:cs="仿宋"/>
          <w:color w:val="auto"/>
          <w:sz w:val="24"/>
          <w:u w:val="single"/>
        </w:rPr>
        <w:t xml:space="preserve">                </w:t>
      </w:r>
      <w:r>
        <w:rPr>
          <w:rFonts w:hint="eastAsia" w:ascii="宋体" w:hAnsi="宋体" w:cs="仿宋"/>
          <w:color w:val="auto"/>
          <w:sz w:val="24"/>
        </w:rPr>
        <w:t>)已收悉，现澄清、说明和补正如下：</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1.</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2.</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rPr>
      </w:pPr>
    </w:p>
    <w:p>
      <w:pPr>
        <w:adjustRightInd w:val="0"/>
        <w:snapToGrid w:val="0"/>
        <w:spacing w:line="600" w:lineRule="exact"/>
        <w:ind w:firstLine="5090" w:firstLineChars="2121"/>
        <w:jc w:val="both"/>
        <w:rPr>
          <w:rFonts w:ascii="宋体" w:hAnsi="宋体" w:cs="仿宋"/>
          <w:color w:val="auto"/>
          <w:sz w:val="24"/>
          <w:u w:val="single"/>
        </w:rPr>
      </w:pPr>
      <w:r>
        <w:rPr>
          <w:rFonts w:hint="eastAsia" w:ascii="宋体" w:hAnsi="宋体" w:cs="仿宋"/>
          <w:color w:val="auto"/>
          <w:sz w:val="24"/>
        </w:rPr>
        <w:t>供应商:</w:t>
      </w:r>
      <w:r>
        <w:rPr>
          <w:rFonts w:ascii="宋体" w:hAnsi="宋体" w:cs="仿宋"/>
          <w:color w:val="auto"/>
          <w:sz w:val="24"/>
        </w:rPr>
        <w:t xml:space="preserve"> </w:t>
      </w:r>
      <w:r>
        <w:rPr>
          <w:rFonts w:ascii="宋体" w:hAnsi="宋体" w:cs="仿宋"/>
          <w:color w:val="auto"/>
          <w:sz w:val="24"/>
          <w:u w:val="single"/>
        </w:rPr>
        <w:t xml:space="preserve">        </w:t>
      </w:r>
      <w:r>
        <w:rPr>
          <w:rFonts w:hint="eastAsia" w:ascii="宋体" w:hAnsi="宋体" w:cs="仿宋"/>
          <w:color w:val="auto"/>
          <w:sz w:val="24"/>
          <w:u w:val="single"/>
        </w:rPr>
        <w:t>(盖单位章)</w:t>
      </w:r>
      <w:r>
        <w:rPr>
          <w:rFonts w:ascii="宋体" w:hAnsi="宋体" w:cs="仿宋"/>
          <w:color w:val="auto"/>
          <w:sz w:val="24"/>
          <w:u w:val="single"/>
        </w:rPr>
        <w:t xml:space="preserve">      </w:t>
      </w:r>
    </w:p>
    <w:p>
      <w:pPr>
        <w:adjustRightInd w:val="0"/>
        <w:snapToGrid w:val="0"/>
        <w:spacing w:line="600" w:lineRule="exact"/>
        <w:jc w:val="right"/>
        <w:rPr>
          <w:rFonts w:ascii="宋体" w:hAnsi="宋体" w:cs="仿宋"/>
          <w:color w:val="auto"/>
          <w:sz w:val="24"/>
          <w:u w:val="single"/>
        </w:rPr>
      </w:pPr>
      <w:r>
        <w:rPr>
          <w:rFonts w:hint="eastAsia" w:ascii="宋体" w:hAnsi="宋体" w:cs="仿宋"/>
          <w:color w:val="auto"/>
          <w:sz w:val="24"/>
        </w:rPr>
        <w:t>法定代表人(单位负责人)或其授权的代理人:</w:t>
      </w:r>
      <w:r>
        <w:rPr>
          <w:rFonts w:ascii="宋体" w:hAnsi="宋体" w:cs="仿宋"/>
          <w:color w:val="auto"/>
          <w:sz w:val="24"/>
          <w:u w:val="single"/>
        </w:rPr>
        <w:t xml:space="preserve">  </w:t>
      </w:r>
      <w:r>
        <w:rPr>
          <w:rFonts w:hint="eastAsia" w:ascii="宋体" w:hAnsi="宋体" w:cs="仿宋"/>
          <w:color w:val="auto"/>
          <w:sz w:val="24"/>
          <w:u w:val="single"/>
        </w:rPr>
        <w:t>(签字)</w:t>
      </w:r>
      <w:r>
        <w:rPr>
          <w:rFonts w:ascii="宋体" w:hAnsi="宋体" w:cs="仿宋"/>
          <w:color w:val="auto"/>
          <w:sz w:val="24"/>
          <w:u w:val="single"/>
        </w:rPr>
        <w:t xml:space="preserve">  </w:t>
      </w:r>
    </w:p>
    <w:p>
      <w:pPr>
        <w:spacing w:line="600" w:lineRule="exact"/>
        <w:jc w:val="right"/>
        <w:rPr>
          <w:rFonts w:ascii="宋体" w:hAnsi="宋体" w:cs="仿宋"/>
          <w:color w:val="auto"/>
          <w:sz w:val="24"/>
        </w:rPr>
      </w:pP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rPr>
        <w:t>日</w:t>
      </w:r>
      <w:r>
        <w:rPr>
          <w:rFonts w:hint="eastAsia" w:ascii="宋体" w:hAnsi="宋体" w:cs="仿宋"/>
          <w:color w:val="auto"/>
          <w:sz w:val="24"/>
        </w:rPr>
        <w:br w:type="page"/>
      </w:r>
    </w:p>
    <w:p>
      <w:pPr>
        <w:adjustRightInd w:val="0"/>
        <w:snapToGrid w:val="0"/>
        <w:spacing w:line="600" w:lineRule="exact"/>
        <w:jc w:val="right"/>
        <w:rPr>
          <w:rFonts w:ascii="仿宋" w:hAnsi="仿宋" w:eastAsia="仿宋" w:cs="仿宋"/>
          <w:color w:val="auto"/>
          <w:sz w:val="30"/>
          <w:szCs w:val="30"/>
        </w:rPr>
      </w:pPr>
    </w:p>
    <w:p>
      <w:pPr>
        <w:adjustRightInd w:val="0"/>
        <w:snapToGrid w:val="0"/>
        <w:spacing w:line="600" w:lineRule="exact"/>
        <w:rPr>
          <w:rFonts w:ascii="宋体" w:hAnsi="宋体" w:cs="仿宋"/>
          <w:color w:val="auto"/>
          <w:sz w:val="30"/>
          <w:szCs w:val="30"/>
        </w:rPr>
      </w:pPr>
      <w:r>
        <w:rPr>
          <w:rFonts w:hint="eastAsia" w:ascii="宋体" w:hAnsi="宋体" w:cs="仿宋"/>
          <w:color w:val="auto"/>
          <w:sz w:val="30"/>
          <w:szCs w:val="30"/>
        </w:rPr>
        <w:t>附件</w:t>
      </w:r>
      <w:r>
        <w:rPr>
          <w:rFonts w:hint="eastAsia" w:ascii="宋体" w:hAnsi="宋体" w:cs="仿宋"/>
          <w:color w:val="auto"/>
          <w:sz w:val="30"/>
          <w:szCs w:val="30"/>
          <w:lang w:val="en-US" w:eastAsia="zh-CN"/>
        </w:rPr>
        <w:t>3</w:t>
      </w:r>
      <w:r>
        <w:rPr>
          <w:rFonts w:hint="eastAsia" w:ascii="宋体" w:hAnsi="宋体" w:cs="仿宋"/>
          <w:color w:val="auto"/>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rPr>
      </w:pPr>
    </w:p>
    <w:p>
      <w:pPr>
        <w:adjustRightInd w:val="0"/>
        <w:snapToGrid w:val="0"/>
        <w:spacing w:line="600" w:lineRule="exact"/>
        <w:ind w:firstLine="480" w:firstLineChars="200"/>
        <w:jc w:val="both"/>
        <w:rPr>
          <w:rFonts w:ascii="宋体" w:hAnsi="宋体" w:cs="仿宋"/>
          <w:b/>
          <w:bCs/>
          <w:color w:val="auto"/>
          <w:sz w:val="24"/>
        </w:rPr>
      </w:pPr>
      <w:r>
        <w:rPr>
          <w:rFonts w:hint="eastAsia" w:ascii="宋体" w:hAnsi="宋体" w:cs="仿宋"/>
          <w:color w:val="auto"/>
          <w:sz w:val="24"/>
          <w:u w:val="single"/>
        </w:rPr>
        <w:t xml:space="preserve">           （采购人或采购代理机构名称)</w:t>
      </w:r>
      <w:r>
        <w:rPr>
          <w:rFonts w:hint="eastAsia" w:ascii="宋体" w:hAnsi="宋体" w:cs="仿宋"/>
          <w:color w:val="auto"/>
          <w:sz w:val="24"/>
        </w:rPr>
        <w:t>:</w:t>
      </w:r>
    </w:p>
    <w:p>
      <w:pPr>
        <w:adjustRightInd w:val="0"/>
        <w:snapToGrid w:val="0"/>
        <w:spacing w:line="600" w:lineRule="exact"/>
        <w:ind w:firstLine="480" w:firstLineChars="200"/>
        <w:jc w:val="both"/>
        <w:rPr>
          <w:rFonts w:ascii="宋体" w:hAnsi="宋体" w:cs="仿宋"/>
          <w:color w:val="auto"/>
          <w:sz w:val="24"/>
        </w:rPr>
      </w:pPr>
      <w:r>
        <w:rPr>
          <w:rFonts w:hint="eastAsia" w:ascii="宋体" w:hAnsi="宋体" w:cs="仿宋"/>
          <w:color w:val="auto"/>
          <w:sz w:val="24"/>
        </w:rPr>
        <w:t>你方于</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日发出的的</w:t>
      </w:r>
      <w:r>
        <w:rPr>
          <w:rFonts w:hint="eastAsia" w:ascii="宋体" w:hAnsi="宋体" w:cs="仿宋"/>
          <w:color w:val="auto"/>
          <w:sz w:val="24"/>
          <w:u w:val="single"/>
        </w:rPr>
        <w:t>(项目名称)</w:t>
      </w:r>
      <w:r>
        <w:rPr>
          <w:rFonts w:hint="eastAsia" w:ascii="宋体" w:hAnsi="宋体" w:cs="仿宋"/>
          <w:color w:val="auto"/>
          <w:sz w:val="24"/>
        </w:rPr>
        <w:t>采购文件的澄清/修改的通知，我方已于</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日收到。</w:t>
      </w:r>
    </w:p>
    <w:p>
      <w:pPr>
        <w:adjustRightInd w:val="0"/>
        <w:snapToGrid w:val="0"/>
        <w:spacing w:line="600" w:lineRule="exact"/>
        <w:ind w:firstLine="480" w:firstLineChars="200"/>
        <w:jc w:val="both"/>
        <w:rPr>
          <w:rFonts w:ascii="宋体" w:hAnsi="宋体" w:cs="仿宋"/>
          <w:color w:val="auto"/>
          <w:sz w:val="24"/>
        </w:rPr>
      </w:pPr>
      <w:r>
        <w:rPr>
          <w:rFonts w:hint="eastAsia" w:ascii="宋体" w:hAnsi="宋体" w:cs="仿宋"/>
          <w:color w:val="auto"/>
          <w:sz w:val="24"/>
        </w:rPr>
        <w:t>特此确认。</w:t>
      </w:r>
    </w:p>
    <w:p>
      <w:pPr>
        <w:adjustRightInd w:val="0"/>
        <w:snapToGrid w:val="0"/>
        <w:spacing w:line="600" w:lineRule="exact"/>
        <w:ind w:firstLine="480" w:firstLineChars="200"/>
        <w:jc w:val="both"/>
        <w:rPr>
          <w:rFonts w:ascii="宋体" w:hAnsi="宋体" w:cs="仿宋"/>
          <w:color w:val="auto"/>
          <w:sz w:val="24"/>
        </w:rPr>
      </w:pPr>
    </w:p>
    <w:p>
      <w:pPr>
        <w:adjustRightInd w:val="0"/>
        <w:snapToGrid w:val="0"/>
        <w:spacing w:line="600" w:lineRule="exact"/>
        <w:ind w:firstLine="480" w:firstLineChars="200"/>
        <w:jc w:val="both"/>
        <w:rPr>
          <w:rFonts w:ascii="宋体" w:hAnsi="宋体" w:cs="仿宋"/>
          <w:color w:val="auto"/>
          <w:sz w:val="24"/>
        </w:rPr>
      </w:pPr>
    </w:p>
    <w:p>
      <w:pPr>
        <w:adjustRightInd w:val="0"/>
        <w:snapToGrid w:val="0"/>
        <w:spacing w:line="600" w:lineRule="exact"/>
        <w:ind w:firstLine="5090" w:firstLineChars="2121"/>
        <w:jc w:val="both"/>
        <w:rPr>
          <w:rFonts w:ascii="宋体" w:hAnsi="宋体" w:cs="仿宋"/>
          <w:color w:val="auto"/>
          <w:sz w:val="24"/>
          <w:u w:val="single"/>
        </w:rPr>
      </w:pPr>
      <w:r>
        <w:rPr>
          <w:rFonts w:hint="eastAsia" w:ascii="宋体" w:hAnsi="宋体" w:cs="仿宋"/>
          <w:color w:val="auto"/>
          <w:sz w:val="24"/>
        </w:rPr>
        <w:t>供应商:</w:t>
      </w:r>
      <w:r>
        <w:rPr>
          <w:rFonts w:ascii="宋体" w:hAnsi="宋体" w:cs="仿宋"/>
          <w:color w:val="auto"/>
          <w:sz w:val="24"/>
        </w:rPr>
        <w:t xml:space="preserve"> </w:t>
      </w:r>
      <w:r>
        <w:rPr>
          <w:rFonts w:ascii="宋体" w:hAnsi="宋体" w:cs="仿宋"/>
          <w:color w:val="auto"/>
          <w:sz w:val="24"/>
          <w:u w:val="single"/>
        </w:rPr>
        <w:t xml:space="preserve">     </w:t>
      </w:r>
      <w:r>
        <w:rPr>
          <w:rFonts w:hint="eastAsia" w:ascii="宋体" w:hAnsi="宋体" w:cs="仿宋"/>
          <w:color w:val="auto"/>
          <w:sz w:val="24"/>
          <w:u w:val="single"/>
        </w:rPr>
        <w:t>(盖单位章)</w:t>
      </w:r>
      <w:r>
        <w:rPr>
          <w:rFonts w:ascii="宋体" w:hAnsi="宋体" w:cs="仿宋"/>
          <w:color w:val="auto"/>
          <w:sz w:val="24"/>
          <w:u w:val="single"/>
        </w:rPr>
        <w:t xml:space="preserve">      </w:t>
      </w:r>
    </w:p>
    <w:p>
      <w:pPr>
        <w:pStyle w:val="23"/>
        <w:spacing w:line="600" w:lineRule="exact"/>
        <w:jc w:val="right"/>
        <w:rPr>
          <w:rFonts w:cs="仿宋"/>
          <w:b/>
          <w:color w:val="auto"/>
        </w:rPr>
      </w:pP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年</w:t>
      </w: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月</w:t>
      </w: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日</w:t>
      </w:r>
    </w:p>
    <w:p>
      <w:pPr>
        <w:rPr>
          <w:color w:val="auto"/>
          <w:lang w:val="zh-CN"/>
        </w:rPr>
      </w:pPr>
      <w:r>
        <w:rPr>
          <w:color w:val="auto"/>
          <w:lang w:val="zh-CN"/>
        </w:rPr>
        <w:br w:type="page"/>
      </w:r>
    </w:p>
    <w:p>
      <w:pPr>
        <w:spacing w:line="312" w:lineRule="auto"/>
        <w:jc w:val="center"/>
        <w:outlineLvl w:val="0"/>
        <w:rPr>
          <w:rFonts w:hint="eastAsia" w:ascii="黑体" w:hAnsi="黑体" w:eastAsia="黑体" w:cs="仿宋"/>
          <w:b/>
          <w:color w:val="auto"/>
          <w:sz w:val="36"/>
          <w:szCs w:val="36"/>
          <w:lang w:val="en-US" w:eastAsia="zh-CN"/>
        </w:rPr>
      </w:pPr>
      <w:bookmarkStart w:id="13" w:name="_Toc8604"/>
      <w:r>
        <w:rPr>
          <w:rFonts w:hint="eastAsia" w:ascii="黑体" w:hAnsi="黑体" w:eastAsia="黑体" w:cs="仿宋"/>
          <w:b/>
          <w:color w:val="auto"/>
          <w:sz w:val="36"/>
          <w:szCs w:val="36"/>
          <w:lang w:val="en-US" w:eastAsia="zh-CN"/>
        </w:rPr>
        <w:t>第三章 评审办法</w:t>
      </w:r>
      <w:bookmarkEnd w:id="13"/>
    </w:p>
    <w:p>
      <w:pPr>
        <w:adjustRightInd w:val="0"/>
        <w:snapToGrid w:val="0"/>
        <w:spacing w:before="120" w:beforeLines="50" w:after="120" w:afterLines="50" w:line="312" w:lineRule="auto"/>
        <w:jc w:val="center"/>
        <w:rPr>
          <w:rFonts w:ascii="黑体" w:hAnsi="黑体" w:eastAsia="黑体" w:cs="仿宋"/>
          <w:bCs/>
          <w:color w:val="auto"/>
          <w:sz w:val="32"/>
          <w:szCs w:val="32"/>
        </w:rPr>
      </w:pPr>
      <w:r>
        <w:rPr>
          <w:rFonts w:hint="eastAsia" w:ascii="黑体" w:hAnsi="黑体" w:eastAsia="黑体" w:cs="仿宋"/>
          <w:bCs/>
          <w:color w:val="auto"/>
          <w:sz w:val="32"/>
          <w:szCs w:val="32"/>
        </w:rPr>
        <w:t>评审办法前附表</w:t>
      </w:r>
    </w:p>
    <w:tbl>
      <w:tblPr>
        <w:tblStyle w:val="17"/>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18"/>
        <w:gridCol w:w="1754"/>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2250" w:type="dxa"/>
            <w:gridSpan w:val="2"/>
            <w:vAlign w:val="center"/>
          </w:tcPr>
          <w:p>
            <w:pPr>
              <w:widowControl/>
              <w:adjustRightInd w:val="0"/>
              <w:snapToGrid w:val="0"/>
              <w:spacing w:line="240"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条款号及名称</w:t>
            </w:r>
          </w:p>
        </w:tc>
        <w:tc>
          <w:tcPr>
            <w:tcW w:w="1754" w:type="dxa"/>
            <w:vAlign w:val="center"/>
          </w:tcPr>
          <w:p>
            <w:pPr>
              <w:widowControl/>
              <w:adjustRightInd w:val="0"/>
              <w:snapToGrid w:val="0"/>
              <w:spacing w:line="240"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评审因素</w:t>
            </w:r>
          </w:p>
        </w:tc>
        <w:tc>
          <w:tcPr>
            <w:tcW w:w="4715" w:type="dxa"/>
            <w:vAlign w:val="center"/>
          </w:tcPr>
          <w:p>
            <w:pPr>
              <w:widowControl/>
              <w:adjustRightInd w:val="0"/>
              <w:snapToGrid w:val="0"/>
              <w:spacing w:line="240"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w:t>
            </w:r>
          </w:p>
        </w:tc>
        <w:tc>
          <w:tcPr>
            <w:tcW w:w="1118"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评审方法</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评审方法</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2.1.1</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形式评审标准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供应商名称</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响应文件签字盖章</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联合体协议书</w:t>
            </w:r>
          </w:p>
        </w:tc>
        <w:tc>
          <w:tcPr>
            <w:tcW w:w="4715" w:type="dxa"/>
            <w:vAlign w:val="center"/>
          </w:tcPr>
          <w:p>
            <w:pPr>
              <w:widowControl/>
              <w:adjustRightInd w:val="0"/>
              <w:snapToGrid w:val="0"/>
              <w:spacing w:line="240" w:lineRule="auto"/>
              <w:jc w:val="both"/>
              <w:rPr>
                <w:rFonts w:hint="eastAsia" w:cs="仿宋" w:asciiTheme="minorEastAsia" w:hAnsiTheme="minorEastAsia" w:eastAsiaTheme="minorEastAsia"/>
                <w:color w:val="auto"/>
                <w:szCs w:val="21"/>
                <w:lang w:eastAsia="zh-CN"/>
              </w:rPr>
            </w:pPr>
            <w:r>
              <w:rPr>
                <w:rFonts w:hint="eastAsia" w:cs="仿宋" w:asciiTheme="minorEastAsia" w:hAnsiTheme="minorEastAsia" w:eastAsiaTheme="minorEastAsia"/>
                <w:color w:val="auto"/>
                <w:szCs w:val="21"/>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2.1.2</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资格评审标准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依法设立</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资质要求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财务要求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业绩要求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信誉要求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人员要求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其他要求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不存在第一章第3.2款情形</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联合体供应商</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2.1.3</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响应性评审标准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报价</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响应文件有效期</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响应保证金</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响应方案</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质量标准</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完成期限</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合同条款</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对非关键条款的偏差</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2.2.2</w:t>
            </w:r>
          </w:p>
        </w:tc>
        <w:tc>
          <w:tcPr>
            <w:tcW w:w="1118"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评审价格</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19" w:type="dxa"/>
            <w:gridSpan w:val="4"/>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 详细评审标准和程序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250" w:type="dxa"/>
            <w:gridSpan w:val="2"/>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条款号</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条款内容</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50" w:type="dxa"/>
            <w:gridSpan w:val="2"/>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w:t>
            </w:r>
          </w:p>
        </w:tc>
        <w:tc>
          <w:tcPr>
            <w:tcW w:w="1754" w:type="dxa"/>
            <w:vAlign w:val="center"/>
          </w:tcPr>
          <w:p>
            <w:pPr>
              <w:widowControl w:val="0"/>
              <w:spacing w:line="240" w:lineRule="auto"/>
              <w:jc w:val="both"/>
              <w:rPr>
                <w:rFonts w:asciiTheme="minorEastAsia" w:hAnsiTheme="minorEastAsia" w:eastAsiaTheme="minorEastAsia"/>
                <w:color w:val="auto"/>
                <w:szCs w:val="21"/>
              </w:rPr>
            </w:pPr>
            <w:r>
              <w:rPr>
                <w:rFonts w:hint="eastAsia" w:asciiTheme="minorEastAsia" w:hAnsiTheme="minorEastAsia" w:eastAsiaTheme="minorEastAsia"/>
                <w:color w:val="auto"/>
                <w:szCs w:val="21"/>
              </w:rPr>
              <w:t>报价</w:t>
            </w:r>
          </w:p>
        </w:tc>
        <w:tc>
          <w:tcPr>
            <w:tcW w:w="4715" w:type="dxa"/>
            <w:vAlign w:val="center"/>
          </w:tcPr>
          <w:p>
            <w:pPr>
              <w:widowControl w:val="0"/>
              <w:adjustRightInd w:val="0"/>
              <w:snapToGrid w:val="0"/>
              <w:spacing w:line="240" w:lineRule="auto"/>
              <w:jc w:val="both"/>
              <w:rPr>
                <w:rFonts w:cs="仿宋" w:asciiTheme="minorEastAsia" w:hAnsiTheme="minorEastAsia" w:eastAsiaTheme="minorEastAsia"/>
                <w:color w:val="auto"/>
                <w:szCs w:val="21"/>
              </w:rPr>
            </w:pPr>
            <w:r>
              <w:rPr>
                <w:rFonts w:hint="eastAsia" w:asciiTheme="minorEastAsia" w:hAnsiTheme="minorEastAsia" w:eastAsiaTheme="minorEastAsia"/>
                <w:color w:val="auto"/>
                <w:szCs w:val="21"/>
              </w:rPr>
              <w:t>根据</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条规定，</w:t>
            </w:r>
            <w:r>
              <w:rPr>
                <w:rFonts w:hint="eastAsia" w:cs="仿宋" w:asciiTheme="minorEastAsia" w:hAnsiTheme="minorEastAsia" w:eastAsiaTheme="minorEastAsia"/>
                <w:color w:val="auto"/>
                <w:szCs w:val="21"/>
              </w:rPr>
              <w:t>按照评审价格由低到高的顺序推荐成交候选供应商。</w:t>
            </w:r>
          </w:p>
        </w:tc>
      </w:tr>
    </w:tbl>
    <w:p>
      <w:pPr>
        <w:rPr>
          <w:color w:val="auto"/>
          <w:lang w:val="zh-CN"/>
        </w:rPr>
      </w:pPr>
      <w:r>
        <w:rPr>
          <w:color w:val="auto"/>
          <w:lang w:val="zh-CN"/>
        </w:rPr>
        <w:br w:type="page"/>
      </w:r>
    </w:p>
    <w:p>
      <w:pPr>
        <w:adjustRightInd w:val="0"/>
        <w:snapToGrid w:val="0"/>
        <w:spacing w:line="312" w:lineRule="auto"/>
        <w:jc w:val="center"/>
        <w:rPr>
          <w:rFonts w:ascii="宋体" w:hAnsi="宋体" w:cs="仿宋"/>
          <w:b/>
          <w:bCs/>
          <w:color w:val="auto"/>
          <w:sz w:val="36"/>
          <w:szCs w:val="36"/>
        </w:rPr>
      </w:pPr>
      <w:r>
        <w:rPr>
          <w:rFonts w:hint="eastAsia" w:ascii="宋体" w:hAnsi="宋体" w:cs="仿宋"/>
          <w:b/>
          <w:bCs/>
          <w:color w:val="auto"/>
          <w:sz w:val="36"/>
          <w:szCs w:val="36"/>
        </w:rPr>
        <w:t>评审办法正文</w:t>
      </w:r>
    </w:p>
    <w:p>
      <w:pPr>
        <w:adjustRightInd w:val="0"/>
        <w:snapToGrid w:val="0"/>
        <w:spacing w:line="312" w:lineRule="auto"/>
        <w:jc w:val="both"/>
        <w:rPr>
          <w:rFonts w:ascii="宋体" w:hAnsi="宋体" w:cs="仿宋"/>
          <w:b/>
          <w:bCs/>
          <w:color w:val="auto"/>
          <w:sz w:val="36"/>
          <w:szCs w:val="36"/>
        </w:rPr>
      </w:pP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1评审方法(最低价法)</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2初步评审标准和程序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2.1初步评审标准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2.1.1形式评审标准:见评审办法前附表。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2.1.2资格评审标准:见评审办法前附表。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2.1.3响应性评审标准:见评审办法前附表。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2.2初步评审程序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2.2.4供应商有串通，弄虚作假、行贿等违法行为的，其响应文件将被视为无效。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3详细评审标准和程序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4评审结果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4.1提交书面评审报告</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评审小组完成评审后，应当向采购人提交书面评审报告。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4.2推荐成交候选供应商排序要求及数量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评审小组应在书面评审报告中按照供应商排列的优先顺序向采购人推荐成交候选供应商(排序或不排序)。成交候选供应商的排序要求及数量见第二章“供应商须知”。</w:t>
      </w:r>
    </w:p>
    <w:p>
      <w:pPr>
        <w:pStyle w:val="23"/>
        <w:spacing w:line="600" w:lineRule="exact"/>
        <w:ind w:left="420" w:firstLine="0" w:firstLineChars="0"/>
        <w:jc w:val="center"/>
        <w:outlineLvl w:val="0"/>
        <w:rPr>
          <w:rFonts w:hint="eastAsia" w:ascii="黑体" w:hAnsi="黑体" w:eastAsia="黑体" w:cs="仿宋"/>
          <w:bCs/>
          <w:color w:val="auto"/>
          <w:kern w:val="2"/>
          <w:sz w:val="36"/>
          <w:szCs w:val="36"/>
          <w:lang w:val="en-US" w:eastAsia="zh-CN" w:bidi="ar-SA"/>
        </w:rPr>
      </w:pPr>
      <w:r>
        <w:rPr>
          <w:color w:val="auto"/>
          <w:lang w:val="zh-CN"/>
        </w:rPr>
        <w:br w:type="page"/>
      </w:r>
      <w:bookmarkStart w:id="14" w:name="_Toc17579"/>
      <w:r>
        <w:rPr>
          <w:rFonts w:hint="eastAsia" w:ascii="黑体" w:hAnsi="黑体" w:eastAsia="黑体" w:cs="仿宋"/>
          <w:b/>
          <w:color w:val="auto"/>
          <w:kern w:val="2"/>
          <w:sz w:val="36"/>
          <w:szCs w:val="36"/>
          <w:lang w:val="en-US" w:eastAsia="zh-CN" w:bidi="ar-SA"/>
        </w:rPr>
        <w:t>第四章  合同条款及格式</w:t>
      </w:r>
      <w:bookmarkEnd w:id="14"/>
    </w:p>
    <w:p>
      <w:pPr>
        <w:jc w:val="center"/>
        <w:rPr>
          <w:color w:val="auto"/>
          <w:lang w:val="zh-CN"/>
        </w:rPr>
      </w:pPr>
    </w:p>
    <w:p>
      <w:pPr>
        <w:jc w:val="center"/>
        <w:rPr>
          <w:rFonts w:hint="eastAsia"/>
          <w:b/>
          <w:bCs/>
          <w:sz w:val="32"/>
          <w:szCs w:val="40"/>
          <w:lang w:val="en-US" w:eastAsia="zh-CN"/>
        </w:rPr>
      </w:pPr>
      <w:bookmarkStart w:id="15" w:name="_Toc21529"/>
      <w:r>
        <w:rPr>
          <w:rFonts w:hint="eastAsia"/>
          <w:b/>
          <w:bCs/>
          <w:sz w:val="32"/>
          <w:szCs w:val="40"/>
          <w:lang w:val="en-US" w:eastAsia="zh-CN"/>
        </w:rPr>
        <w:t>保险合同</w:t>
      </w:r>
    </w:p>
    <w:p>
      <w:pPr>
        <w:rPr>
          <w:rFonts w:hint="eastAsia"/>
          <w:b/>
          <w:bCs/>
          <w:sz w:val="22"/>
          <w:szCs w:val="28"/>
          <w:lang w:val="en-US" w:eastAsia="zh-CN"/>
        </w:rPr>
      </w:pPr>
    </w:p>
    <w:p>
      <w:pPr>
        <w:rPr>
          <w:rFonts w:hint="eastAsia"/>
          <w:lang w:val="en-US" w:eastAsia="zh-CN"/>
        </w:rPr>
      </w:pPr>
      <w:r>
        <w:rPr>
          <w:rFonts w:hint="eastAsia"/>
          <w:lang w:val="en-US" w:eastAsia="zh-CN"/>
        </w:rPr>
        <w:t>第一条 保险合同成立、生效和保险责任开始</w:t>
      </w:r>
    </w:p>
    <w:p>
      <w:pPr>
        <w:ind w:firstLine="420" w:firstLineChars="200"/>
        <w:rPr>
          <w:rFonts w:hint="eastAsia"/>
          <w:lang w:val="en-US" w:eastAsia="zh-CN"/>
        </w:rPr>
      </w:pPr>
      <w:r>
        <w:rPr>
          <w:rFonts w:hint="eastAsia"/>
          <w:lang w:val="en-US" w:eastAsia="zh-CN"/>
        </w:rPr>
        <w:t>投保人提出保险申请、本公司同意承保，本合同成立。</w:t>
      </w:r>
    </w:p>
    <w:p>
      <w:pPr>
        <w:ind w:firstLine="420" w:firstLineChars="200"/>
        <w:rPr>
          <w:rFonts w:hint="eastAsia"/>
          <w:lang w:val="en-US" w:eastAsia="zh-CN"/>
        </w:rPr>
      </w:pPr>
      <w:r>
        <w:rPr>
          <w:rFonts w:hint="eastAsia"/>
          <w:lang w:val="en-US" w:eastAsia="zh-CN"/>
        </w:rPr>
        <w:t>自本合同成立、本公司收取保险费并答发保险单的次日零时起本合同生效，合同生效日期在保险单上载明。</w:t>
      </w:r>
    </w:p>
    <w:p>
      <w:pPr>
        <w:ind w:firstLine="420" w:firstLineChars="200"/>
        <w:rPr>
          <w:rFonts w:hint="eastAsia"/>
          <w:lang w:val="en-US" w:eastAsia="zh-CN"/>
        </w:rPr>
      </w:pPr>
      <w:r>
        <w:rPr>
          <w:rFonts w:hint="eastAsia"/>
          <w:lang w:val="en-US" w:eastAsia="zh-CN"/>
        </w:rPr>
        <w:t>除另有约定外，本合同生效的日期为本公司开始承担保险责任的日期。</w:t>
      </w:r>
    </w:p>
    <w:p>
      <w:pPr>
        <w:rPr>
          <w:rFonts w:hint="eastAsia"/>
          <w:lang w:val="en-US" w:eastAsia="zh-CN"/>
        </w:rPr>
      </w:pPr>
    </w:p>
    <w:p>
      <w:pPr>
        <w:rPr>
          <w:rFonts w:hint="eastAsia"/>
          <w:lang w:val="en-US" w:eastAsia="zh-CN"/>
        </w:rPr>
      </w:pPr>
      <w:r>
        <w:rPr>
          <w:rFonts w:hint="eastAsia"/>
          <w:lang w:val="en-US" w:eastAsia="zh-CN"/>
        </w:rPr>
        <w:t>第二条 明确说明与如实告知</w:t>
      </w:r>
    </w:p>
    <w:p>
      <w:pPr>
        <w:ind w:firstLine="420" w:firstLineChars="200"/>
        <w:rPr>
          <w:rFonts w:hint="eastAsia"/>
          <w:lang w:val="en-US" w:eastAsia="zh-CN"/>
        </w:rPr>
      </w:pPr>
      <w:r>
        <w:rPr>
          <w:rFonts w:hint="eastAsia"/>
          <w:lang w:val="en-US" w:eastAsia="zh-CN"/>
        </w:rPr>
        <w:t>订立本合同时、本公司应向投保人明确说明本合同的内容。对保险条款中免除本公司责任的条款，本公司在订立合同时应当在投保单、保险单或者其他保险凭证上作出足以引起投保人注意的提示，并对该条款的内容以书面或者口头形式向投保人作出明确说明。</w:t>
      </w:r>
    </w:p>
    <w:p>
      <w:pPr>
        <w:ind w:firstLine="420" w:firstLineChars="200"/>
        <w:rPr>
          <w:rFonts w:hint="eastAsia"/>
          <w:lang w:val="en-US" w:eastAsia="zh-CN"/>
        </w:rPr>
      </w:pPr>
      <w:r>
        <w:rPr>
          <w:rFonts w:hint="eastAsia"/>
          <w:lang w:val="en-US" w:eastAsia="zh-CN"/>
        </w:rPr>
        <w:t>本公司可以就投保人、被保险人的有关情况提出询问，投保人应当如实告知。</w:t>
      </w:r>
    </w:p>
    <w:p>
      <w:pPr>
        <w:ind w:firstLine="420" w:firstLineChars="200"/>
        <w:rPr>
          <w:rFonts w:hint="eastAsia"/>
          <w:lang w:val="en-US" w:eastAsia="zh-CN"/>
        </w:rPr>
      </w:pPr>
      <w:r>
        <w:rPr>
          <w:rFonts w:hint="eastAsia"/>
          <w:lang w:val="en-US" w:eastAsia="zh-CN"/>
        </w:rPr>
        <w:t>投保人故意或者因重大过失未履行前款规定的如实告知义务，足以影响本公司决定是否同意承保或者提高保险费率的，本公司有权解除合同。</w:t>
      </w:r>
    </w:p>
    <w:p>
      <w:pPr>
        <w:ind w:firstLine="420" w:firstLineChars="200"/>
        <w:rPr>
          <w:rFonts w:hint="eastAsia"/>
          <w:lang w:val="en-US" w:eastAsia="zh-CN"/>
        </w:rPr>
      </w:pPr>
      <w:r>
        <w:rPr>
          <w:rFonts w:hint="eastAsia"/>
          <w:lang w:val="en-US" w:eastAsia="zh-CN"/>
        </w:rPr>
        <w:t>前款规定的合同解除权。自本公司知道有解除事由之口起，是过三十日不行使而消灭。</w:t>
      </w:r>
    </w:p>
    <w:p>
      <w:pPr>
        <w:ind w:firstLine="420" w:firstLineChars="200"/>
        <w:rPr>
          <w:rFonts w:hint="eastAsia"/>
          <w:lang w:val="en-US" w:eastAsia="zh-CN"/>
        </w:rPr>
      </w:pPr>
      <w:r>
        <w:rPr>
          <w:rFonts w:hint="eastAsia"/>
          <w:lang w:val="en-US" w:eastAsia="zh-CN"/>
        </w:rPr>
        <w:t>投保入故意不履行如实告知义务的、本公司对于合同解除前发生的保险事故，不承担给付保险金的责任，并不退还保险费，</w:t>
      </w:r>
    </w:p>
    <w:p>
      <w:pPr>
        <w:ind w:firstLine="420" w:firstLineChars="200"/>
        <w:rPr>
          <w:rFonts w:hint="eastAsia"/>
          <w:lang w:val="en-US" w:eastAsia="zh-CN"/>
        </w:rPr>
      </w:pPr>
      <w:r>
        <w:rPr>
          <w:rFonts w:hint="eastAsia"/>
          <w:lang w:val="en-US" w:eastAsia="zh-CN"/>
        </w:rPr>
        <w:t>投保人因重大过失未履行如实告知义务。对保险事放的发生有严重影响的，本公司对于合同解除前发生的保险事故，不承担给付保险金的责任，但遇还保险费。</w:t>
      </w:r>
    </w:p>
    <w:p>
      <w:pPr>
        <w:ind w:firstLine="420" w:firstLineChars="200"/>
        <w:rPr>
          <w:rFonts w:hint="eastAsia"/>
          <w:lang w:val="en-US" w:eastAsia="zh-CN"/>
        </w:rPr>
      </w:pPr>
      <w:r>
        <w:rPr>
          <w:rFonts w:hint="eastAsia"/>
          <w:lang w:val="en-US" w:eastAsia="zh-CN"/>
        </w:rPr>
        <w:t>本公司在本合同订立时已经知道投保人未如实告知的情况的，本公司不得解除合同;发生保险事故的、本公司承担给付保险金的责任。</w:t>
      </w:r>
    </w:p>
    <w:p>
      <w:pPr>
        <w:rPr>
          <w:rFonts w:hint="eastAsia"/>
          <w:lang w:val="en-US" w:eastAsia="zh-CN"/>
        </w:rPr>
      </w:pPr>
    </w:p>
    <w:p>
      <w:pPr>
        <w:rPr>
          <w:rFonts w:hint="eastAsia"/>
          <w:lang w:val="en-US" w:eastAsia="zh-CN"/>
        </w:rPr>
      </w:pPr>
      <w:r>
        <w:rPr>
          <w:rFonts w:hint="eastAsia"/>
          <w:lang w:val="en-US" w:eastAsia="zh-CN"/>
        </w:rPr>
        <w:t>第三条 受益人</w:t>
      </w:r>
    </w:p>
    <w:p>
      <w:pPr>
        <w:ind w:firstLine="420" w:firstLineChars="200"/>
        <w:rPr>
          <w:rFonts w:hint="eastAsia"/>
          <w:lang w:val="en-US" w:eastAsia="zh-CN"/>
        </w:rPr>
      </w:pPr>
      <w:r>
        <w:rPr>
          <w:rFonts w:hint="eastAsia"/>
          <w:lang w:val="en-US" w:eastAsia="zh-CN"/>
        </w:rPr>
        <w:t>本合同包含身故保险责任的。被保险人或投保人可指定一人或数人为身故保险金受益人。</w:t>
      </w:r>
    </w:p>
    <w:p>
      <w:pPr>
        <w:rPr>
          <w:rFonts w:hint="eastAsia"/>
          <w:lang w:val="en-US" w:eastAsia="zh-CN"/>
        </w:rPr>
      </w:pPr>
      <w:r>
        <w:rPr>
          <w:rFonts w:hint="eastAsia"/>
          <w:lang w:val="en-US" w:eastAsia="zh-CN"/>
        </w:rPr>
        <w:t>除本合同另有指定外。本合同约定的除身故保险金外的其他保险金的受益人为被保险人本人。受益人为数人的，可以确定受益顺序和受益份额;未确定受益台照的，受益人按照相等份额享有受益权。</w:t>
      </w:r>
    </w:p>
    <w:p>
      <w:pPr>
        <w:ind w:firstLine="420" w:firstLineChars="200"/>
        <w:rPr>
          <w:rFonts w:hint="eastAsia"/>
          <w:lang w:val="en-US" w:eastAsia="zh-CN"/>
        </w:rPr>
      </w:pPr>
      <w:r>
        <w:rPr>
          <w:rFonts w:hint="eastAsia"/>
          <w:lang w:val="en-US" w:eastAsia="zh-CN"/>
        </w:rPr>
        <w:t>被保险人为无民事行为晚力人或限制民事行为能力人的，可以由其监护人指定受益人。</w:t>
      </w:r>
    </w:p>
    <w:p>
      <w:pPr>
        <w:ind w:firstLine="420" w:firstLineChars="200"/>
        <w:rPr>
          <w:rFonts w:hint="eastAsia"/>
          <w:lang w:val="en-US" w:eastAsia="zh-CN"/>
        </w:rPr>
      </w:pPr>
      <w:r>
        <w:rPr>
          <w:rFonts w:hint="eastAsia"/>
          <w:lang w:val="en-US" w:eastAsia="zh-CN"/>
        </w:rPr>
        <w:t>被保险人或投保人可以变更身故保险金受益人。但需书面通知本公司。由本公司在保险单或其他保险凭证上批注或者附贴批单。</w:t>
      </w:r>
    </w:p>
    <w:p>
      <w:pPr>
        <w:ind w:firstLine="420" w:firstLineChars="200"/>
        <w:rPr>
          <w:rFonts w:hint="eastAsia"/>
          <w:lang w:val="en-US" w:eastAsia="zh-CN"/>
        </w:rPr>
      </w:pPr>
      <w:r>
        <w:rPr>
          <w:rFonts w:hint="eastAsia"/>
          <w:lang w:val="en-US" w:eastAsia="zh-CN"/>
        </w:rPr>
        <w:t>投保人指定或变更身故保险会受益人时须经被保险人同意。</w:t>
      </w:r>
    </w:p>
    <w:p>
      <w:pPr>
        <w:ind w:firstLine="420" w:firstLineChars="200"/>
        <w:rPr>
          <w:rFonts w:hint="eastAsia"/>
          <w:lang w:val="en-US" w:eastAsia="zh-CN"/>
        </w:rPr>
      </w:pPr>
      <w:r>
        <w:rPr>
          <w:rFonts w:hint="eastAsia"/>
          <w:lang w:val="en-US" w:eastAsia="zh-CN"/>
        </w:rPr>
        <w:t>被保险人身故后。有下列情形之一的。保险金作为被保险人的遗产。由本公司依照《中华人民共和国继承法》的规定履行给付保险金的义务:</w:t>
      </w:r>
    </w:p>
    <w:p>
      <w:pPr>
        <w:numPr>
          <w:ilvl w:val="0"/>
          <w:numId w:val="4"/>
        </w:numPr>
        <w:rPr>
          <w:rFonts w:hint="eastAsia"/>
          <w:lang w:val="en-US" w:eastAsia="zh-CN"/>
        </w:rPr>
      </w:pPr>
      <w:r>
        <w:rPr>
          <w:rFonts w:hint="eastAsia"/>
          <w:lang w:val="en-US" w:eastAsia="zh-CN"/>
        </w:rPr>
        <w:t>没有指定受益人。或者受益人指定不明无法确定的:</w:t>
      </w:r>
    </w:p>
    <w:p>
      <w:pPr>
        <w:numPr>
          <w:ilvl w:val="0"/>
          <w:numId w:val="4"/>
        </w:numPr>
        <w:ind w:left="0" w:leftChars="0" w:firstLine="0" w:firstLineChars="0"/>
        <w:rPr>
          <w:rFonts w:hint="eastAsia"/>
          <w:lang w:val="en-US" w:eastAsia="zh-CN"/>
        </w:rPr>
      </w:pPr>
      <w:r>
        <w:rPr>
          <w:rFonts w:hint="eastAsia"/>
          <w:lang w:val="en-US" w:eastAsia="zh-CN"/>
        </w:rPr>
        <w:t>受益人先于被保险人育故，没有其他受益人的:</w:t>
      </w:r>
    </w:p>
    <w:p>
      <w:pPr>
        <w:numPr>
          <w:ilvl w:val="0"/>
          <w:numId w:val="4"/>
        </w:numPr>
        <w:ind w:left="0" w:leftChars="0" w:firstLine="0" w:firstLineChars="0"/>
        <w:rPr>
          <w:rFonts w:hint="eastAsia"/>
          <w:lang w:val="en-US" w:eastAsia="zh-CN"/>
        </w:rPr>
      </w:pPr>
      <w:r>
        <w:rPr>
          <w:rFonts w:hint="eastAsia"/>
          <w:lang w:val="en-US" w:eastAsia="zh-CN"/>
        </w:rPr>
        <w:t>受益人依法丧失受益权或者放弃受益权。没有其他受益人的。</w:t>
      </w:r>
    </w:p>
    <w:p>
      <w:pPr>
        <w:ind w:firstLine="210" w:firstLineChars="100"/>
        <w:rPr>
          <w:rFonts w:hint="eastAsia"/>
          <w:lang w:val="en-US" w:eastAsia="zh-CN"/>
        </w:rPr>
      </w:pPr>
      <w:r>
        <w:rPr>
          <w:rFonts w:hint="eastAsia"/>
          <w:lang w:val="en-US" w:eastAsia="zh-CN"/>
        </w:rPr>
        <w:t>专益人与被保险人在同一事件中身故，且不能确定身放先后顺序的。推定受益人身故在先。</w:t>
      </w:r>
    </w:p>
    <w:p>
      <w:pPr>
        <w:ind w:firstLine="210" w:firstLineChars="100"/>
        <w:rPr>
          <w:rFonts w:hint="eastAsia"/>
          <w:lang w:val="en-US" w:eastAsia="zh-CN"/>
        </w:rPr>
      </w:pPr>
      <w:r>
        <w:rPr>
          <w:rFonts w:hint="eastAsia"/>
          <w:lang w:val="en-US" w:eastAsia="zh-CN"/>
        </w:rPr>
        <w:t>受益人故意造成被保险人死亡，伤残，疾病的，或者故意杀害被保险人未遂的，该受益人丧失受益权。</w:t>
      </w:r>
    </w:p>
    <w:p>
      <w:pPr>
        <w:ind w:firstLine="210" w:firstLineChars="100"/>
        <w:rPr>
          <w:rFonts w:hint="eastAsia"/>
          <w:lang w:val="en-US" w:eastAsia="zh-CN"/>
        </w:rPr>
      </w:pPr>
    </w:p>
    <w:p>
      <w:pPr>
        <w:rPr>
          <w:rFonts w:hint="eastAsia"/>
          <w:lang w:val="en-US" w:eastAsia="zh-CN"/>
        </w:rPr>
      </w:pPr>
      <w:r>
        <w:rPr>
          <w:rFonts w:hint="eastAsia"/>
          <w:lang w:val="en-US" w:eastAsia="zh-CN"/>
        </w:rPr>
        <w:t>第四条保险事故的通知</w:t>
      </w:r>
    </w:p>
    <w:p>
      <w:pPr>
        <w:ind w:firstLine="420" w:firstLineChars="200"/>
        <w:rPr>
          <w:rFonts w:hint="eastAsia"/>
          <w:lang w:val="en-US" w:eastAsia="zh-CN"/>
        </w:rPr>
      </w:pPr>
      <w:r>
        <w:rPr>
          <w:rFonts w:hint="eastAsia"/>
          <w:lang w:val="en-US" w:eastAsia="zh-CN"/>
        </w:rPr>
        <w:t>投保人，保险人或受益人知道保险事故发生后，应及时通知本公司，若因故意或者因重大过失未及时通知。致使保险事故的性质、原因、损失程度等难以确定的。本公司对无法确定的部分，不承担给付保险金的责任。但本公司通过其他途径已经及时知道或者应当及时知道保险事故发生的除外。</w:t>
      </w:r>
    </w:p>
    <w:p>
      <w:pPr>
        <w:ind w:firstLine="420" w:firstLineChars="200"/>
        <w:rPr>
          <w:rFonts w:hint="eastAsia"/>
          <w:lang w:val="en-US" w:eastAsia="zh-CN"/>
        </w:rPr>
      </w:pPr>
    </w:p>
    <w:p>
      <w:pPr>
        <w:rPr>
          <w:rFonts w:hint="eastAsia"/>
          <w:lang w:val="en-US" w:eastAsia="zh-CN"/>
        </w:rPr>
      </w:pPr>
      <w:r>
        <w:rPr>
          <w:rFonts w:hint="eastAsia"/>
          <w:lang w:val="en-US" w:eastAsia="zh-CN"/>
        </w:rPr>
        <w:t xml:space="preserve">第五条 保险金的申请与给付 </w:t>
      </w:r>
    </w:p>
    <w:p>
      <w:pPr>
        <w:rPr>
          <w:rFonts w:hint="eastAsia"/>
          <w:lang w:val="en-US" w:eastAsia="zh-CN"/>
        </w:rPr>
      </w:pPr>
      <w:r>
        <w:rPr>
          <w:rFonts w:hint="eastAsia"/>
          <w:lang w:val="en-US" w:eastAsia="zh-CN"/>
        </w:rPr>
        <w:t>一、保险金申请时，由受益人作为申请人，填写保险合给付申请书，并提供本合同利益条款所列的保险金申请所需证明和资料。</w:t>
      </w:r>
    </w:p>
    <w:p>
      <w:pPr>
        <w:rPr>
          <w:rFonts w:hint="default"/>
          <w:lang w:val="en-US" w:eastAsia="zh-CN"/>
        </w:rPr>
      </w:pPr>
      <w:r>
        <w:rPr>
          <w:rFonts w:hint="default"/>
          <w:lang w:val="en-US" w:eastAsia="zh-CN"/>
        </w:rPr>
        <w:t>上述证明和资料不完整的。本公司将及时一次性通知申请人补充提供有关证明和资料。</w:t>
      </w:r>
    </w:p>
    <w:p>
      <w:pPr>
        <w:rPr>
          <w:rFonts w:hint="default"/>
          <w:lang w:val="en-US" w:eastAsia="zh-CN"/>
        </w:rPr>
      </w:pPr>
      <w:r>
        <w:rPr>
          <w:rFonts w:hint="default"/>
          <w:lang w:val="en-US" w:eastAsia="zh-CN"/>
        </w:rPr>
        <w:t>二、本公司收到申请人的保险金给付申请书及上述证明和资料后，将及时作出核定;情形复杂的。将在三十日内作出核定。但本合同另有约定的除外。经核定后确定属于保险责任的，本公司在与申请人达成给付保险金的协议后十日内，履行给付保险金的义务;不属于保险责任的，本公司将自作出核定之日起三日内向申请人发出拒绝给付保险金</w:t>
      </w:r>
      <w:r>
        <w:rPr>
          <w:rFonts w:hint="eastAsia"/>
          <w:lang w:val="en-US" w:eastAsia="zh-CN"/>
        </w:rPr>
        <w:t>通</w:t>
      </w:r>
      <w:r>
        <w:rPr>
          <w:rFonts w:hint="default"/>
          <w:lang w:val="en-US" w:eastAsia="zh-CN"/>
        </w:rPr>
        <w:t>知书，并说明理由。</w:t>
      </w:r>
    </w:p>
    <w:p>
      <w:pPr>
        <w:ind w:firstLine="420" w:firstLineChars="200"/>
        <w:rPr>
          <w:rFonts w:hint="default"/>
          <w:lang w:val="en-US" w:eastAsia="zh-CN"/>
        </w:rPr>
      </w:pPr>
      <w:r>
        <w:rPr>
          <w:rFonts w:hint="default"/>
          <w:lang w:val="en-US" w:eastAsia="zh-CN"/>
        </w:rPr>
        <w:t>本公司自收到申请人的保险合给付申请书及上述证明和资料之日起六十日内，对属于保险责任而给付保险金的数额不能确定的。根据已有证明和资料。按可以确定的数额先予支付，本公司最终确定给付保险金的数额后，支付相应的差额。</w:t>
      </w:r>
    </w:p>
    <w:p>
      <w:pPr>
        <w:rPr>
          <w:rFonts w:hint="default"/>
          <w:lang w:val="en-US" w:eastAsia="zh-CN"/>
        </w:rPr>
      </w:pPr>
      <w:r>
        <w:rPr>
          <w:rFonts w:hint="default"/>
          <w:lang w:val="en-US" w:eastAsia="zh-CN"/>
        </w:rPr>
        <w:t>三、人寿保险以外的其他保险的申请人，向本公司请求给付保险金的诉讼时效期间为二年，自其知道或者应当知道保险事故发生之日起计算。人寿保险的申请人向本公司请求给付保险金的诉讼时效期同为五年，自其知道或者应当知道保险事故发生之日起计算。</w:t>
      </w:r>
    </w:p>
    <w:p>
      <w:pPr>
        <w:rPr>
          <w:rFonts w:hint="default"/>
          <w:lang w:val="en-US" w:eastAsia="zh-CN"/>
        </w:rPr>
      </w:pPr>
    </w:p>
    <w:p>
      <w:pPr>
        <w:rPr>
          <w:rFonts w:hint="default"/>
          <w:lang w:val="en-US" w:eastAsia="zh-CN"/>
        </w:rPr>
      </w:pPr>
      <w:r>
        <w:rPr>
          <w:rFonts w:hint="default"/>
          <w:lang w:val="en-US" w:eastAsia="zh-CN"/>
        </w:rPr>
        <w:t>第六条合同内容变更</w:t>
      </w:r>
    </w:p>
    <w:p>
      <w:pPr>
        <w:ind w:firstLine="420" w:firstLineChars="200"/>
        <w:rPr>
          <w:rFonts w:hint="default"/>
          <w:lang w:val="en-US" w:eastAsia="zh-CN"/>
        </w:rPr>
      </w:pPr>
      <w:r>
        <w:rPr>
          <w:rFonts w:hint="default"/>
          <w:lang w:val="en-US" w:eastAsia="zh-CN"/>
        </w:rPr>
        <w:t>投保人和本公司可以协商变更本合同的内容、变更本合同时，投保人应填写变更合同申请书，经本公司审核同意后，由本公司在保险单或者其他保险凭证上批注或者附贴批单，或者由投保人和本公司订立变更的书面协议。</w:t>
      </w:r>
    </w:p>
    <w:p>
      <w:pPr>
        <w:rPr>
          <w:rFonts w:hint="default"/>
          <w:lang w:val="en-US" w:eastAsia="zh-CN"/>
        </w:rPr>
      </w:pPr>
    </w:p>
    <w:p>
      <w:pPr>
        <w:rPr>
          <w:rFonts w:hint="default"/>
          <w:lang w:val="en-US" w:eastAsia="zh-CN"/>
        </w:rPr>
      </w:pPr>
      <w:r>
        <w:rPr>
          <w:rFonts w:hint="default"/>
          <w:lang w:val="en-US" w:eastAsia="zh-CN"/>
        </w:rPr>
        <w:t>第七条住所或通讯地址</w:t>
      </w:r>
      <w:r>
        <w:rPr>
          <w:rFonts w:hint="eastAsia"/>
          <w:lang w:val="en-US" w:eastAsia="zh-CN"/>
        </w:rPr>
        <w:t>变</w:t>
      </w:r>
      <w:r>
        <w:rPr>
          <w:rFonts w:hint="default"/>
          <w:lang w:val="en-US" w:eastAsia="zh-CN"/>
        </w:rPr>
        <w:t>更</w:t>
      </w:r>
    </w:p>
    <w:p>
      <w:pPr>
        <w:ind w:firstLine="420" w:firstLineChars="200"/>
        <w:rPr>
          <w:rFonts w:hint="default"/>
          <w:lang w:val="en-US" w:eastAsia="zh-CN"/>
        </w:rPr>
      </w:pPr>
      <w:r>
        <w:rPr>
          <w:rFonts w:hint="default"/>
          <w:lang w:val="en-US" w:eastAsia="zh-CN"/>
        </w:rPr>
        <w:t>投保人的住所或通讯地址变更时，应及时以书面形式通知本公司。投保人未以书面形式通知的，本公司按所知最后的投保人住所或通讯地址发送有关通知。</w:t>
      </w:r>
    </w:p>
    <w:p>
      <w:pPr>
        <w:rPr>
          <w:rFonts w:hint="default"/>
          <w:lang w:val="en-US" w:eastAsia="zh-CN"/>
        </w:rPr>
      </w:pPr>
    </w:p>
    <w:p>
      <w:pPr>
        <w:rPr>
          <w:rFonts w:hint="default"/>
          <w:lang w:val="en-US" w:eastAsia="zh-CN"/>
        </w:rPr>
      </w:pPr>
      <w:r>
        <w:rPr>
          <w:rFonts w:hint="default"/>
          <w:lang w:val="en-US" w:eastAsia="zh-CN"/>
        </w:rPr>
        <w:t>第八条年龄计算及错误处理</w:t>
      </w:r>
    </w:p>
    <w:p>
      <w:pPr>
        <w:ind w:firstLine="420" w:firstLineChars="200"/>
        <w:rPr>
          <w:rFonts w:hint="default"/>
          <w:lang w:val="en-US" w:eastAsia="zh-CN"/>
        </w:rPr>
      </w:pPr>
      <w:r>
        <w:rPr>
          <w:rFonts w:hint="default"/>
          <w:lang w:val="en-US" w:eastAsia="zh-CN"/>
        </w:rPr>
        <w:t>被保险人的投保年龄按周岁计算。投保人应在投保本保险时将被保险人的真实年龄在投保单上填明，如果发生错误，除本合同另有约定外，本公司按照下列规定办理:</w:t>
      </w:r>
    </w:p>
    <w:p>
      <w:pPr>
        <w:ind w:firstLine="420" w:firstLineChars="200"/>
        <w:rPr>
          <w:rFonts w:hint="default"/>
          <w:lang w:val="en-US" w:eastAsia="zh-CN"/>
        </w:rPr>
      </w:pPr>
      <w:r>
        <w:rPr>
          <w:rFonts w:hint="default"/>
          <w:lang w:val="en-US" w:eastAsia="zh-CN"/>
        </w:rPr>
        <w:t>一、投保人申报的被保险人年龄不真实，并且其真实年龄不符合合同约定的年龄限制的，本公司有权在知道有解除事由之日起三十日内解除本合同，并向投保人退还本合同的现金价值。</w:t>
      </w:r>
    </w:p>
    <w:p>
      <w:pPr>
        <w:ind w:firstLine="420" w:firstLineChars="200"/>
        <w:rPr>
          <w:rFonts w:hint="default"/>
          <w:lang w:val="en-US" w:eastAsia="zh-CN"/>
        </w:rPr>
      </w:pPr>
      <w:r>
        <w:rPr>
          <w:rFonts w:hint="default"/>
          <w:lang w:val="en-US" w:eastAsia="zh-CN"/>
        </w:rPr>
        <w:t>二、投保人申报的被保险人年龄不真实，致使投保人支付的保险费少于应付保险费的，本公司有权更正并要求投保人补交保险费，或在给付保险金时按</w:t>
      </w:r>
      <w:r>
        <w:rPr>
          <w:rFonts w:hint="eastAsia"/>
          <w:lang w:val="en-US" w:eastAsia="zh-CN"/>
        </w:rPr>
        <w:t>照</w:t>
      </w:r>
      <w:r>
        <w:rPr>
          <w:rFonts w:hint="default"/>
          <w:lang w:val="en-US" w:eastAsia="zh-CN"/>
        </w:rPr>
        <w:t>实付保险费与应付保险费的比例支付。</w:t>
      </w:r>
    </w:p>
    <w:p>
      <w:pPr>
        <w:ind w:firstLine="420" w:firstLineChars="200"/>
        <w:rPr>
          <w:rFonts w:hint="default"/>
          <w:lang w:val="en-US" w:eastAsia="zh-CN"/>
        </w:rPr>
      </w:pPr>
      <w:r>
        <w:rPr>
          <w:rFonts w:hint="default"/>
          <w:lang w:val="en-US" w:eastAsia="zh-CN"/>
        </w:rPr>
        <w:t>三、投保人审报的被保险人年龄不真实，致使投保人支付的保险费多于应付保险费的，本公司应将多收的保险费无息退还投保人。</w:t>
      </w:r>
    </w:p>
    <w:p>
      <w:pPr>
        <w:rPr>
          <w:rFonts w:hint="default"/>
          <w:lang w:val="en-US" w:eastAsia="zh-CN"/>
        </w:rPr>
      </w:pPr>
    </w:p>
    <w:p>
      <w:pPr>
        <w:rPr>
          <w:rFonts w:hint="default"/>
          <w:lang w:val="en-US" w:eastAsia="zh-CN"/>
        </w:rPr>
      </w:pPr>
      <w:r>
        <w:rPr>
          <w:rFonts w:hint="default"/>
          <w:lang w:val="en-US" w:eastAsia="zh-CN"/>
        </w:rPr>
        <w:t>第九条未成年人身故保险金限制</w:t>
      </w:r>
    </w:p>
    <w:p>
      <w:pPr>
        <w:ind w:firstLine="420" w:firstLineChars="200"/>
        <w:rPr>
          <w:rFonts w:hint="default"/>
          <w:lang w:val="en-US" w:eastAsia="zh-CN"/>
        </w:rPr>
      </w:pPr>
      <w:r>
        <w:rPr>
          <w:rFonts w:hint="default"/>
          <w:lang w:val="en-US" w:eastAsia="zh-CN"/>
        </w:rPr>
        <w:t>为未成年子女投保的人身保险。因被保险人身故给付的保险金总和不得超过国务院保险监督管理机构规定的限额。</w:t>
      </w:r>
    </w:p>
    <w:p>
      <w:pPr>
        <w:rPr>
          <w:rFonts w:hint="default"/>
          <w:lang w:val="en-US" w:eastAsia="zh-CN"/>
        </w:rPr>
      </w:pPr>
      <w:r>
        <w:rPr>
          <w:rFonts w:hint="default"/>
          <w:lang w:val="en-US" w:eastAsia="zh-CN"/>
        </w:rPr>
        <w:t>第十条 投保人解除合同的处理</w:t>
      </w:r>
    </w:p>
    <w:p>
      <w:pPr>
        <w:ind w:firstLine="420" w:firstLineChars="200"/>
        <w:rPr>
          <w:rFonts w:hint="default"/>
          <w:lang w:val="en-US" w:eastAsia="zh-CN"/>
        </w:rPr>
      </w:pPr>
      <w:r>
        <w:rPr>
          <w:rFonts w:hint="default"/>
          <w:lang w:val="en-US" w:eastAsia="zh-CN"/>
        </w:rPr>
        <w:t>本合同成立后。除本合同另有约定外，投保人可以要求解除本合同。但已发生任何保险全给付或已发生本合同约定的保险事故但尚未给付保险金的，投保人不得要求解除本合同。投保人要求解除本合同时，应填写解除合同申请书，并提交保险合同和投保人法定身份证明。</w:t>
      </w:r>
    </w:p>
    <w:p>
      <w:pPr>
        <w:ind w:firstLine="420" w:firstLineChars="200"/>
        <w:rPr>
          <w:rFonts w:hint="default"/>
          <w:lang w:val="en-US" w:eastAsia="zh-CN"/>
        </w:rPr>
      </w:pPr>
      <w:r>
        <w:rPr>
          <w:rFonts w:hint="default"/>
          <w:lang w:val="en-US" w:eastAsia="zh-CN"/>
        </w:rPr>
        <w:t>本合同自本公司接到解除合同申请书时终止。本公司于接到解除合同申请书之日起三十日内向投保人</w:t>
      </w:r>
      <w:r>
        <w:rPr>
          <w:rFonts w:hint="eastAsia"/>
          <w:lang w:val="en-US" w:eastAsia="zh-CN"/>
        </w:rPr>
        <w:t>退</w:t>
      </w:r>
      <w:r>
        <w:rPr>
          <w:rFonts w:hint="default"/>
          <w:lang w:val="en-US" w:eastAsia="zh-CN"/>
        </w:rPr>
        <w:t>还本合同的现金价值。</w:t>
      </w:r>
    </w:p>
    <w:p>
      <w:pPr>
        <w:rPr>
          <w:rFonts w:hint="default"/>
          <w:lang w:val="en-US" w:eastAsia="zh-CN"/>
        </w:rPr>
      </w:pPr>
    </w:p>
    <w:p>
      <w:pPr>
        <w:rPr>
          <w:rFonts w:hint="default"/>
          <w:lang w:val="en-US" w:eastAsia="zh-CN"/>
        </w:rPr>
      </w:pPr>
      <w:r>
        <w:rPr>
          <w:rFonts w:hint="default"/>
          <w:lang w:val="en-US" w:eastAsia="zh-CN"/>
        </w:rPr>
        <w:t>第十一条 争议处理</w:t>
      </w:r>
    </w:p>
    <w:p>
      <w:pPr>
        <w:ind w:firstLine="420" w:firstLineChars="200"/>
        <w:rPr>
          <w:rFonts w:hint="default"/>
          <w:lang w:val="en-US" w:eastAsia="zh-CN"/>
        </w:rPr>
      </w:pPr>
      <w:r>
        <w:rPr>
          <w:rFonts w:hint="default"/>
          <w:lang w:val="en-US" w:eastAsia="zh-CN"/>
        </w:rPr>
        <w:t>本合同争议的解决方式，由当事人在合同中约定从下列两种方式中选择一种:</w:t>
      </w:r>
    </w:p>
    <w:p>
      <w:pPr>
        <w:ind w:firstLine="420" w:firstLineChars="200"/>
        <w:rPr>
          <w:rFonts w:hint="default"/>
          <w:lang w:val="en-US" w:eastAsia="zh-CN"/>
        </w:rPr>
      </w:pPr>
      <w:r>
        <w:rPr>
          <w:rFonts w:hint="eastAsia"/>
          <w:lang w:val="en-US" w:eastAsia="zh-CN"/>
        </w:rPr>
        <w:t>一</w:t>
      </w:r>
      <w:r>
        <w:rPr>
          <w:rFonts w:hint="default"/>
          <w:lang w:val="en-US" w:eastAsia="zh-CN"/>
        </w:rPr>
        <w:t>、因履行本合同发生的争议，由当事人协商解决。协商不成的，提交仲</w:t>
      </w:r>
      <w:r>
        <w:rPr>
          <w:rFonts w:hint="eastAsia"/>
          <w:lang w:val="en-US" w:eastAsia="zh-CN"/>
        </w:rPr>
        <w:t>裁</w:t>
      </w:r>
      <w:r>
        <w:rPr>
          <w:rFonts w:hint="default"/>
          <w:lang w:val="en-US" w:eastAsia="zh-CN"/>
        </w:rPr>
        <w:t>委员</w:t>
      </w:r>
      <w:r>
        <w:rPr>
          <w:rFonts w:hint="eastAsia"/>
          <w:lang w:val="en-US" w:eastAsia="zh-CN"/>
        </w:rPr>
        <w:t>仲裁</w:t>
      </w:r>
      <w:r>
        <w:rPr>
          <w:rFonts w:hint="default"/>
          <w:lang w:val="en-US" w:eastAsia="zh-CN"/>
        </w:rPr>
        <w:t>;</w:t>
      </w:r>
    </w:p>
    <w:p>
      <w:pPr>
        <w:ind w:firstLine="420" w:firstLineChars="200"/>
        <w:rPr>
          <w:rFonts w:hint="default"/>
          <w:lang w:val="en-US" w:eastAsia="zh-CN"/>
        </w:rPr>
      </w:pPr>
      <w:r>
        <w:rPr>
          <w:rFonts w:hint="default"/>
          <w:lang w:val="en-US" w:eastAsia="zh-CN"/>
        </w:rPr>
        <w:t>二、因履行本合同发生的争议，由当事人协商解决，协商不成的。依法向人民法院提起诉讼。</w:t>
      </w:r>
    </w:p>
    <w:p>
      <w:pPr>
        <w:rPr>
          <w:rFonts w:hint="default"/>
          <w:lang w:val="en-US" w:eastAsia="zh-CN"/>
        </w:rPr>
      </w:pPr>
    </w:p>
    <w:p>
      <w:pPr>
        <w:rPr>
          <w:rFonts w:hint="default"/>
          <w:lang w:val="en-US" w:eastAsia="zh-CN"/>
        </w:rPr>
      </w:pPr>
      <w:r>
        <w:rPr>
          <w:rFonts w:hint="default"/>
          <w:lang w:val="en-US" w:eastAsia="zh-CN"/>
        </w:rPr>
        <w:t>第十二条 释义</w:t>
      </w:r>
    </w:p>
    <w:p>
      <w:pPr>
        <w:ind w:firstLine="420" w:firstLineChars="200"/>
        <w:rPr>
          <w:rFonts w:hint="default"/>
          <w:lang w:val="en-US" w:eastAsia="zh-CN"/>
        </w:rPr>
      </w:pPr>
      <w:r>
        <w:rPr>
          <w:rFonts w:hint="default"/>
          <w:u w:val="single"/>
          <w:lang w:val="en-US" w:eastAsia="zh-CN"/>
        </w:rPr>
        <w:t>周</w:t>
      </w:r>
      <w:r>
        <w:rPr>
          <w:rFonts w:hint="eastAsia"/>
          <w:u w:val="single"/>
          <w:lang w:val="en-US" w:eastAsia="zh-CN"/>
        </w:rPr>
        <w:t xml:space="preserve"> </w:t>
      </w:r>
      <w:r>
        <w:rPr>
          <w:rFonts w:hint="default"/>
          <w:u w:val="single"/>
          <w:lang w:val="en-US" w:eastAsia="zh-CN"/>
        </w:rPr>
        <w:t>岁</w:t>
      </w:r>
      <w:r>
        <w:rPr>
          <w:rFonts w:hint="default"/>
          <w:lang w:val="en-US" w:eastAsia="zh-CN"/>
        </w:rPr>
        <w:t>:指按法定身份证明文件中记载的出生日期计算的年龄。自出生之日起为零周岁，每经过年增加一岁，不足一年的不计。</w:t>
      </w:r>
    </w:p>
    <w:p>
      <w:pPr>
        <w:ind w:firstLine="420" w:firstLineChars="200"/>
        <w:rPr>
          <w:rFonts w:hint="default"/>
          <w:lang w:val="en-US" w:eastAsia="zh-CN"/>
        </w:rPr>
      </w:pPr>
      <w:r>
        <w:rPr>
          <w:rFonts w:hint="default"/>
          <w:u w:val="single"/>
          <w:lang w:val="en-US" w:eastAsia="zh-CN"/>
        </w:rPr>
        <w:t>法定身份证明:</w:t>
      </w:r>
      <w:r>
        <w:rPr>
          <w:rFonts w:hint="eastAsia"/>
          <w:u w:val="single"/>
          <w:lang w:val="en-US" w:eastAsia="zh-CN"/>
        </w:rPr>
        <w:t xml:space="preserve"> </w:t>
      </w:r>
      <w:r>
        <w:rPr>
          <w:rFonts w:hint="default"/>
          <w:lang w:val="en-US" w:eastAsia="zh-CN"/>
        </w:rPr>
        <w:t>指依据法律规定，由有权机构制作颁发的证明身份的证件、文件等，如:居民身份证、户口簿、护照、军人证等。</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both"/>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spacing w:line="312" w:lineRule="auto"/>
        <w:jc w:val="center"/>
        <w:outlineLvl w:val="0"/>
        <w:rPr>
          <w:rFonts w:hint="eastAsia" w:ascii="黑体" w:hAnsi="黑体" w:eastAsia="黑体" w:cs="仿宋"/>
          <w:b/>
          <w:color w:val="auto"/>
          <w:sz w:val="36"/>
          <w:szCs w:val="36"/>
          <w:lang w:val="en-US" w:eastAsia="zh-CN"/>
        </w:rPr>
      </w:pPr>
      <w:r>
        <w:rPr>
          <w:rFonts w:hint="eastAsia" w:ascii="黑体" w:hAnsi="黑体" w:eastAsia="黑体" w:cs="仿宋"/>
          <w:b/>
          <w:color w:val="auto"/>
          <w:sz w:val="36"/>
          <w:szCs w:val="36"/>
          <w:lang w:val="en-US" w:eastAsia="zh-CN"/>
        </w:rPr>
        <w:t>第五章  采购需求</w:t>
      </w:r>
      <w:bookmarkEnd w:id="15"/>
    </w:p>
    <w:p>
      <w:pPr>
        <w:autoSpaceDE w:val="0"/>
        <w:spacing w:line="400" w:lineRule="exact"/>
        <w:jc w:val="left"/>
        <w:rPr>
          <w:rFonts w:hint="eastAsia" w:ascii="宋体" w:hAnsi="宋体"/>
          <w:color w:val="auto"/>
          <w:sz w:val="24"/>
          <w:lang w:eastAsia="zh-CN"/>
        </w:rPr>
      </w:pPr>
    </w:p>
    <w:p>
      <w:pPr>
        <w:autoSpaceDE w:val="0"/>
        <w:spacing w:line="400" w:lineRule="exact"/>
        <w:jc w:val="left"/>
        <w:rPr>
          <w:rFonts w:ascii="宋体" w:hAnsi="宋体"/>
          <w:color w:val="auto"/>
          <w:sz w:val="24"/>
        </w:rPr>
      </w:pPr>
      <w:r>
        <w:rPr>
          <w:rFonts w:hint="eastAsia" w:ascii="宋体" w:hAnsi="宋体"/>
          <w:color w:val="auto"/>
          <w:sz w:val="24"/>
          <w:lang w:eastAsia="zh-CN"/>
        </w:rPr>
        <w:t>（一）</w:t>
      </w:r>
      <w:r>
        <w:rPr>
          <w:rFonts w:hint="eastAsia" w:ascii="宋体" w:hAnsi="宋体"/>
          <w:color w:val="auto"/>
          <w:sz w:val="24"/>
        </w:rPr>
        <w:t>采购范围:</w:t>
      </w:r>
      <w:r>
        <w:rPr>
          <w:rFonts w:hint="eastAsia" w:ascii="宋体" w:hAnsi="宋体"/>
          <w:color w:val="auto"/>
          <w:sz w:val="24"/>
          <w:u w:val="single"/>
          <w:lang w:val="en-US" w:eastAsia="zh-CN"/>
        </w:rPr>
        <w:t xml:space="preserve">集星公司在职员工146人   </w:t>
      </w:r>
      <w:r>
        <w:rPr>
          <w:rFonts w:hint="eastAsia" w:ascii="Times New Roman" w:hAnsi="Times New Roman" w:cs="Times New Roman"/>
          <w:color w:val="auto"/>
          <w:sz w:val="24"/>
          <w:szCs w:val="24"/>
          <w:u w:val="single"/>
        </w:rPr>
        <w:t>。</w:t>
      </w:r>
      <w:r>
        <w:rPr>
          <w:rFonts w:hint="eastAsia" w:ascii="宋体" w:hAnsi="宋体"/>
          <w:color w:val="auto"/>
          <w:sz w:val="24"/>
        </w:rPr>
        <w:t xml:space="preserve"> </w:t>
      </w:r>
    </w:p>
    <w:p>
      <w:pPr>
        <w:autoSpaceDE w:val="0"/>
        <w:spacing w:line="400" w:lineRule="exact"/>
        <w:jc w:val="left"/>
        <w:rPr>
          <w:rFonts w:hint="default" w:ascii="宋体" w:hAnsi="宋体"/>
          <w:color w:val="auto"/>
          <w:sz w:val="24"/>
          <w:lang w:val="en-US"/>
        </w:rPr>
      </w:pPr>
      <w:r>
        <w:rPr>
          <w:rFonts w:hint="eastAsia" w:ascii="宋体" w:hAnsi="宋体"/>
          <w:color w:val="auto"/>
          <w:sz w:val="24"/>
          <w:lang w:eastAsia="zh-CN"/>
        </w:rPr>
        <w:t>（二）</w:t>
      </w:r>
      <w:r>
        <w:rPr>
          <w:rFonts w:hint="eastAsia" w:ascii="宋体" w:hAnsi="宋体"/>
          <w:color w:val="auto"/>
          <w:sz w:val="24"/>
        </w:rPr>
        <w:t xml:space="preserve">服务期限: </w:t>
      </w:r>
      <w:r>
        <w:rPr>
          <w:rFonts w:hint="eastAsia" w:ascii="宋体" w:hAnsi="宋体"/>
          <w:color w:val="auto"/>
          <w:sz w:val="24"/>
          <w:u w:val="single"/>
          <w:lang w:val="en-US" w:eastAsia="zh-CN"/>
        </w:rPr>
        <w:t>2022年1月1日至2022年12月31日</w:t>
      </w:r>
    </w:p>
    <w:p>
      <w:pPr>
        <w:autoSpaceDE w:val="0"/>
        <w:spacing w:line="400" w:lineRule="exact"/>
        <w:jc w:val="left"/>
        <w:rPr>
          <w:rFonts w:hint="eastAsia" w:ascii="Times New Roman" w:hAnsi="Times New Roman" w:cs="Times New Roman"/>
          <w:color w:val="auto"/>
          <w:sz w:val="24"/>
          <w:szCs w:val="24"/>
        </w:rPr>
      </w:pPr>
      <w:r>
        <w:rPr>
          <w:rFonts w:hint="eastAsia" w:ascii="宋体" w:hAnsi="宋体"/>
          <w:color w:val="auto"/>
          <w:sz w:val="24"/>
          <w:lang w:eastAsia="zh-CN"/>
        </w:rPr>
        <w:t>（三）</w:t>
      </w:r>
      <w:r>
        <w:rPr>
          <w:rFonts w:hint="eastAsia" w:ascii="宋体" w:hAnsi="宋体"/>
          <w:color w:val="auto"/>
          <w:sz w:val="24"/>
        </w:rPr>
        <w:t xml:space="preserve">服务地点: </w:t>
      </w:r>
      <w:r>
        <w:rPr>
          <w:rFonts w:hint="eastAsia"/>
          <w:color w:val="auto"/>
          <w:sz w:val="24"/>
          <w:szCs w:val="24"/>
          <w:lang w:eastAsia="zh-CN"/>
        </w:rPr>
        <w:t>长沙集星集装箱码头</w:t>
      </w:r>
      <w:r>
        <w:rPr>
          <w:rFonts w:hint="eastAsia" w:ascii="Times New Roman" w:hAnsi="Times New Roman" w:cs="Times New Roman"/>
          <w:color w:val="auto"/>
          <w:sz w:val="24"/>
          <w:szCs w:val="24"/>
        </w:rPr>
        <w:t>有限公司</w:t>
      </w:r>
    </w:p>
    <w:p>
      <w:pPr>
        <w:spacing w:line="440" w:lineRule="exact"/>
        <w:rPr>
          <w:rFonts w:hint="eastAsia" w:ascii="宋体" w:hAnsi="宋体"/>
          <w:color w:val="auto"/>
          <w:sz w:val="24"/>
        </w:rPr>
      </w:pPr>
      <w:r>
        <w:rPr>
          <w:rFonts w:hint="eastAsia" w:ascii="宋体" w:hAnsi="宋体"/>
          <w:color w:val="auto"/>
          <w:sz w:val="24"/>
          <w:lang w:eastAsia="zh-CN"/>
        </w:rPr>
        <w:t>（四）</w:t>
      </w:r>
      <w:r>
        <w:rPr>
          <w:rFonts w:hint="eastAsia" w:ascii="宋体" w:hAnsi="宋体"/>
          <w:color w:val="auto"/>
          <w:sz w:val="24"/>
          <w:lang w:val="en-US" w:eastAsia="zh-CN"/>
        </w:rPr>
        <w:t>报价方案</w:t>
      </w:r>
      <w:r>
        <w:rPr>
          <w:rFonts w:hint="eastAsia" w:ascii="宋体" w:hAnsi="宋体"/>
          <w:color w:val="auto"/>
          <w:sz w:val="24"/>
        </w:rPr>
        <w:t xml:space="preserve">: </w:t>
      </w:r>
    </w:p>
    <w:p>
      <w:pPr>
        <w:rPr>
          <w:color w:val="auto"/>
          <w:lang w:val="zh-CN"/>
        </w:rPr>
      </w:pPr>
    </w:p>
    <w:tbl>
      <w:tblPr>
        <w:tblStyle w:val="16"/>
        <w:tblpPr w:leftFromText="180" w:rightFromText="180" w:vertAnchor="page" w:horzAnchor="page" w:tblpX="1170" w:tblpY="4209"/>
        <w:tblW w:w="10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43"/>
        <w:gridCol w:w="1025"/>
        <w:gridCol w:w="6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0256" w:type="dxa"/>
            <w:gridSpan w:val="4"/>
            <w:noWrap w:val="0"/>
            <w:vAlign w:val="center"/>
          </w:tcPr>
          <w:p>
            <w:pPr>
              <w:jc w:val="center"/>
              <w:rPr>
                <w:rFonts w:ascii="仿宋" w:hAnsi="仿宋" w:eastAsia="仿宋"/>
                <w:b/>
                <w:bCs/>
                <w:sz w:val="22"/>
              </w:rPr>
            </w:pPr>
            <w:bookmarkStart w:id="16" w:name="_Toc152045774"/>
            <w:bookmarkStart w:id="17" w:name="_Toc246996342"/>
            <w:bookmarkStart w:id="18" w:name="_Toc144974836"/>
            <w:bookmarkStart w:id="19" w:name="_Toc179632791"/>
            <w:bookmarkStart w:id="20" w:name="_Toc247085857"/>
            <w:bookmarkStart w:id="21" w:name="_Toc296602589"/>
            <w:bookmarkStart w:id="22" w:name="_Toc152042556"/>
            <w:bookmarkStart w:id="23" w:name="_Toc246997085"/>
            <w:bookmarkStart w:id="24" w:name="_Toc26607"/>
            <w:r>
              <w:rPr>
                <w:rFonts w:hint="eastAsia" w:ascii="宋体" w:hAnsi="宋体" w:cs="宋体"/>
                <w:b/>
                <w:bCs/>
                <w:color w:val="000000"/>
                <w:kern w:val="0"/>
                <w:sz w:val="28"/>
                <w:szCs w:val="28"/>
              </w:rPr>
              <w:t>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保险项目</w:t>
            </w:r>
          </w:p>
        </w:tc>
        <w:tc>
          <w:tcPr>
            <w:tcW w:w="1243" w:type="dxa"/>
            <w:noWrap w:val="0"/>
            <w:vAlign w:val="center"/>
          </w:tcPr>
          <w:p>
            <w:pPr>
              <w:jc w:val="center"/>
              <w:rPr>
                <w:rFonts w:ascii="仿宋" w:hAnsi="仿宋" w:eastAsia="仿宋"/>
                <w:b/>
                <w:bCs/>
                <w:sz w:val="22"/>
              </w:rPr>
            </w:pPr>
            <w:r>
              <w:rPr>
                <w:rFonts w:hint="eastAsia" w:ascii="仿宋" w:hAnsi="仿宋" w:eastAsia="仿宋"/>
                <w:b/>
                <w:bCs/>
                <w:sz w:val="22"/>
                <w:lang w:val="en-US" w:eastAsia="zh-CN"/>
              </w:rPr>
              <w:t>最低</w:t>
            </w:r>
            <w:r>
              <w:rPr>
                <w:rFonts w:hint="eastAsia" w:ascii="仿宋" w:hAnsi="仿宋" w:eastAsia="仿宋"/>
                <w:b/>
                <w:bCs/>
                <w:sz w:val="22"/>
              </w:rPr>
              <w:t>保险金额</w:t>
            </w:r>
          </w:p>
        </w:tc>
        <w:tc>
          <w:tcPr>
            <w:tcW w:w="1025" w:type="dxa"/>
            <w:noWrap w:val="0"/>
            <w:vAlign w:val="center"/>
          </w:tcPr>
          <w:p>
            <w:pPr>
              <w:jc w:val="center"/>
              <w:rPr>
                <w:rFonts w:hint="eastAsia" w:ascii="仿宋" w:hAnsi="仿宋" w:eastAsia="仿宋"/>
                <w:b/>
                <w:bCs/>
                <w:sz w:val="22"/>
              </w:rPr>
            </w:pPr>
            <w:r>
              <w:rPr>
                <w:rFonts w:hint="eastAsia" w:ascii="仿宋" w:hAnsi="仿宋" w:eastAsia="仿宋"/>
                <w:b/>
                <w:bCs/>
                <w:sz w:val="22"/>
              </w:rPr>
              <w:t>保险</w:t>
            </w:r>
          </w:p>
          <w:p>
            <w:pPr>
              <w:jc w:val="center"/>
              <w:rPr>
                <w:rFonts w:ascii="仿宋" w:hAnsi="仿宋" w:eastAsia="仿宋"/>
                <w:b/>
                <w:bCs/>
                <w:sz w:val="22"/>
              </w:rPr>
            </w:pPr>
            <w:r>
              <w:rPr>
                <w:rFonts w:hint="eastAsia" w:ascii="仿宋" w:hAnsi="仿宋" w:eastAsia="仿宋"/>
                <w:b/>
                <w:bCs/>
                <w:sz w:val="22"/>
              </w:rPr>
              <w:t>期限</w:t>
            </w:r>
          </w:p>
        </w:tc>
        <w:tc>
          <w:tcPr>
            <w:tcW w:w="6746" w:type="dxa"/>
            <w:noWrap w:val="0"/>
            <w:vAlign w:val="center"/>
          </w:tcPr>
          <w:p>
            <w:pPr>
              <w:jc w:val="center"/>
              <w:rPr>
                <w:rFonts w:ascii="仿宋" w:hAnsi="仿宋" w:eastAsia="仿宋"/>
                <w:b/>
                <w:bCs/>
                <w:sz w:val="22"/>
              </w:rPr>
            </w:pPr>
            <w:r>
              <w:rPr>
                <w:rFonts w:hint="eastAsia" w:ascii="仿宋" w:hAnsi="仿宋" w:eastAsia="仿宋"/>
                <w:b/>
                <w:bCs/>
                <w:sz w:val="22"/>
              </w:rPr>
              <w:t>给</w:t>
            </w:r>
            <w:r>
              <w:rPr>
                <w:rFonts w:hint="eastAsia" w:ascii="仿宋" w:hAnsi="仿宋" w:eastAsia="仿宋"/>
                <w:b/>
                <w:sz w:val="22"/>
              </w:rPr>
              <w:t>付</w:t>
            </w:r>
            <w:r>
              <w:rPr>
                <w:rFonts w:hint="eastAsia" w:ascii="仿宋" w:hAnsi="仿宋" w:eastAsia="仿宋"/>
                <w:b/>
                <w:bCs/>
                <w:sz w:val="22"/>
              </w:rPr>
              <w:t>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航空意外身故保险</w:t>
            </w:r>
          </w:p>
        </w:tc>
        <w:tc>
          <w:tcPr>
            <w:tcW w:w="1243" w:type="dxa"/>
            <w:noWrap w:val="0"/>
            <w:vAlign w:val="center"/>
          </w:tcPr>
          <w:p>
            <w:pPr>
              <w:jc w:val="center"/>
              <w:rPr>
                <w:rFonts w:ascii="仿宋" w:hAnsi="仿宋" w:eastAsia="仿宋"/>
                <w:bCs/>
                <w:sz w:val="22"/>
              </w:rPr>
            </w:pPr>
            <w:r>
              <w:rPr>
                <w:rFonts w:ascii="仿宋" w:hAnsi="仿宋" w:eastAsia="仿宋"/>
                <w:bCs/>
                <w:sz w:val="22"/>
              </w:rPr>
              <w:t>50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参保职工凭票乘坐国内飞机，因航空意外致身故，按保险金额给付身故安慰金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火车意外伤害保险</w:t>
            </w:r>
          </w:p>
        </w:tc>
        <w:tc>
          <w:tcPr>
            <w:tcW w:w="1243" w:type="dxa"/>
            <w:noWrap w:val="0"/>
            <w:vAlign w:val="center"/>
          </w:tcPr>
          <w:p>
            <w:pPr>
              <w:jc w:val="center"/>
              <w:rPr>
                <w:rFonts w:ascii="仿宋" w:hAnsi="仿宋" w:eastAsia="仿宋"/>
                <w:bCs/>
                <w:sz w:val="22"/>
              </w:rPr>
            </w:pPr>
            <w:r>
              <w:rPr>
                <w:rFonts w:ascii="仿宋" w:hAnsi="仿宋" w:eastAsia="仿宋"/>
                <w:bCs/>
                <w:sz w:val="22"/>
              </w:rPr>
              <w:t>20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参保职工凭票乘坐国内火车，因火车发生意外致身故，按保险金额给付身故安慰金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242" w:type="dxa"/>
            <w:noWrap w:val="0"/>
            <w:vAlign w:val="center"/>
          </w:tcPr>
          <w:p>
            <w:pPr>
              <w:jc w:val="center"/>
              <w:rPr>
                <w:rFonts w:ascii="仿宋" w:hAnsi="仿宋" w:eastAsia="仿宋"/>
                <w:b/>
                <w:bCs/>
                <w:spacing w:val="-12"/>
                <w:sz w:val="22"/>
              </w:rPr>
            </w:pPr>
            <w:r>
              <w:rPr>
                <w:rFonts w:hint="eastAsia" w:ascii="仿宋" w:hAnsi="仿宋" w:eastAsia="仿宋"/>
                <w:b/>
                <w:bCs/>
                <w:sz w:val="22"/>
              </w:rPr>
              <w:t>轮船意外伤害保险</w:t>
            </w:r>
          </w:p>
        </w:tc>
        <w:tc>
          <w:tcPr>
            <w:tcW w:w="1243" w:type="dxa"/>
            <w:noWrap w:val="0"/>
            <w:vAlign w:val="center"/>
          </w:tcPr>
          <w:p>
            <w:pPr>
              <w:jc w:val="center"/>
              <w:rPr>
                <w:rFonts w:ascii="仿宋" w:hAnsi="仿宋" w:eastAsia="仿宋"/>
                <w:bCs/>
                <w:sz w:val="22"/>
              </w:rPr>
            </w:pPr>
            <w:r>
              <w:rPr>
                <w:rFonts w:ascii="仿宋" w:hAnsi="仿宋" w:eastAsia="仿宋"/>
                <w:bCs/>
                <w:sz w:val="22"/>
              </w:rPr>
              <w:t>20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参保职工凭票乘坐国内轮船，因轮船发生意外致身故，按保险金额给付身故安慰金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汽车意外伤害保险</w:t>
            </w:r>
          </w:p>
        </w:tc>
        <w:tc>
          <w:tcPr>
            <w:tcW w:w="1243" w:type="dxa"/>
            <w:noWrap w:val="0"/>
            <w:vAlign w:val="center"/>
          </w:tcPr>
          <w:p>
            <w:pPr>
              <w:jc w:val="center"/>
              <w:rPr>
                <w:rFonts w:ascii="仿宋" w:hAnsi="仿宋" w:eastAsia="仿宋"/>
                <w:bCs/>
                <w:sz w:val="22"/>
              </w:rPr>
            </w:pPr>
            <w:r>
              <w:rPr>
                <w:rFonts w:ascii="仿宋" w:hAnsi="仿宋" w:eastAsia="仿宋"/>
                <w:bCs/>
                <w:sz w:val="22"/>
              </w:rPr>
              <w:t>10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参保职工驾驶或凭票乘坐汽车所致身故，按保险金额给付身故安慰金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疾病住院医疗费用报销</w:t>
            </w:r>
          </w:p>
        </w:tc>
        <w:tc>
          <w:tcPr>
            <w:tcW w:w="1243" w:type="dxa"/>
            <w:noWrap w:val="0"/>
            <w:vAlign w:val="center"/>
          </w:tcPr>
          <w:p>
            <w:pPr>
              <w:jc w:val="center"/>
              <w:rPr>
                <w:rFonts w:ascii="仿宋" w:hAnsi="仿宋" w:eastAsia="仿宋"/>
                <w:bCs/>
                <w:sz w:val="22"/>
              </w:rPr>
            </w:pPr>
            <w:r>
              <w:rPr>
                <w:rFonts w:ascii="仿宋" w:hAnsi="仿宋" w:eastAsia="仿宋"/>
                <w:bCs/>
                <w:sz w:val="22"/>
              </w:rPr>
              <w:t>1.5</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参保职工在第一个保险年度因疾病住院，医保中心基本医疗保险封顶线以下，由个人承担的“起付线自付”“比例自付”“共付段自付”的医疗费用，</w:t>
            </w:r>
            <w:r>
              <w:rPr>
                <w:rFonts w:ascii="仿宋" w:hAnsi="仿宋" w:eastAsia="仿宋"/>
                <w:sz w:val="22"/>
              </w:rPr>
              <w:t>100</w:t>
            </w:r>
            <w:r>
              <w:rPr>
                <w:rFonts w:hint="eastAsia" w:ascii="仿宋" w:hAnsi="仿宋" w:eastAsia="仿宋"/>
                <w:sz w:val="22"/>
              </w:rPr>
              <w:t>元以上的部分</w:t>
            </w:r>
            <w:r>
              <w:rPr>
                <w:rFonts w:hint="eastAsia" w:ascii="仿宋" w:hAnsi="仿宋" w:eastAsia="仿宋"/>
                <w:b/>
                <w:bCs/>
                <w:sz w:val="22"/>
              </w:rPr>
              <w:t>按</w:t>
            </w:r>
            <w:r>
              <w:rPr>
                <w:rFonts w:ascii="仿宋" w:hAnsi="仿宋" w:eastAsia="仿宋"/>
                <w:b/>
                <w:bCs/>
                <w:sz w:val="22"/>
              </w:rPr>
              <w:t>90%</w:t>
            </w:r>
            <w:r>
              <w:rPr>
                <w:rFonts w:hint="eastAsia" w:ascii="仿宋" w:hAnsi="仿宋" w:eastAsia="仿宋"/>
                <w:b/>
                <w:bCs/>
                <w:sz w:val="22"/>
              </w:rPr>
              <w:t>的比例</w:t>
            </w:r>
            <w:r>
              <w:rPr>
                <w:rFonts w:hint="eastAsia" w:ascii="仿宋" w:hAnsi="仿宋" w:eastAsia="仿宋"/>
                <w:sz w:val="22"/>
              </w:rPr>
              <w:t>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意外伤害伤残金</w:t>
            </w:r>
          </w:p>
        </w:tc>
        <w:tc>
          <w:tcPr>
            <w:tcW w:w="1243" w:type="dxa"/>
            <w:noWrap w:val="0"/>
            <w:vAlign w:val="center"/>
          </w:tcPr>
          <w:p>
            <w:pPr>
              <w:jc w:val="center"/>
              <w:rPr>
                <w:rFonts w:ascii="仿宋" w:hAnsi="仿宋" w:eastAsia="仿宋"/>
                <w:bCs/>
                <w:sz w:val="22"/>
              </w:rPr>
            </w:pPr>
            <w:r>
              <w:rPr>
                <w:rFonts w:ascii="仿宋" w:hAnsi="仿宋" w:eastAsia="仿宋"/>
                <w:bCs/>
                <w:sz w:val="22"/>
              </w:rPr>
              <w:t>10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vMerge w:val="restart"/>
            <w:noWrap w:val="0"/>
            <w:vAlign w:val="center"/>
          </w:tcPr>
          <w:p>
            <w:pPr>
              <w:jc w:val="left"/>
              <w:rPr>
                <w:rFonts w:ascii="仿宋" w:hAnsi="仿宋" w:eastAsia="仿宋"/>
                <w:sz w:val="22"/>
              </w:rPr>
            </w:pPr>
            <w:r>
              <w:rPr>
                <w:rFonts w:hint="eastAsia" w:ascii="仿宋" w:hAnsi="仿宋" w:eastAsia="仿宋"/>
                <w:sz w:val="22"/>
              </w:rPr>
              <w:t>参保职工因意外伤害事故致残疾的，按残疾等级对照比例表给付残疾保障金。因意外伤害致身故，给付身故安慰金。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意外伤害身故金</w:t>
            </w:r>
          </w:p>
        </w:tc>
        <w:tc>
          <w:tcPr>
            <w:tcW w:w="1243" w:type="dxa"/>
            <w:noWrap w:val="0"/>
            <w:vAlign w:val="center"/>
          </w:tcPr>
          <w:p>
            <w:pPr>
              <w:jc w:val="center"/>
              <w:rPr>
                <w:rFonts w:ascii="仿宋" w:hAnsi="仿宋" w:eastAsia="仿宋"/>
                <w:bCs/>
                <w:sz w:val="22"/>
              </w:rPr>
            </w:pPr>
            <w:r>
              <w:rPr>
                <w:rFonts w:ascii="仿宋" w:hAnsi="仿宋" w:eastAsia="仿宋"/>
                <w:bCs/>
                <w:sz w:val="22"/>
              </w:rPr>
              <w:t>10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vMerge w:val="continue"/>
            <w:noWrap w:val="0"/>
            <w:vAlign w:val="center"/>
          </w:tcPr>
          <w:p>
            <w:pPr>
              <w:jc w:val="lef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意外伤害或疾病住院补贴</w:t>
            </w:r>
          </w:p>
        </w:tc>
        <w:tc>
          <w:tcPr>
            <w:tcW w:w="1243" w:type="dxa"/>
            <w:noWrap w:val="0"/>
            <w:vAlign w:val="center"/>
          </w:tcPr>
          <w:p>
            <w:pPr>
              <w:jc w:val="center"/>
              <w:rPr>
                <w:rFonts w:ascii="仿宋" w:hAnsi="仿宋" w:eastAsia="仿宋"/>
                <w:bCs/>
                <w:sz w:val="22"/>
              </w:rPr>
            </w:pPr>
            <w:r>
              <w:rPr>
                <w:rFonts w:hint="eastAsia" w:ascii="仿宋" w:hAnsi="仿宋" w:eastAsia="仿宋"/>
                <w:bCs/>
                <w:sz w:val="22"/>
                <w:lang w:val="en-US" w:eastAsia="zh-CN"/>
              </w:rPr>
              <w:t>1.8</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参保职工在第一个保险住院治疗，每日补贴</w:t>
            </w:r>
            <w:r>
              <w:rPr>
                <w:rFonts w:hint="eastAsia" w:ascii="仿宋" w:hAnsi="仿宋" w:eastAsia="仿宋"/>
                <w:b/>
                <w:bCs/>
                <w:sz w:val="22"/>
              </w:rPr>
              <w:t>住院津贴</w:t>
            </w:r>
            <w:r>
              <w:rPr>
                <w:rFonts w:hint="eastAsia" w:ascii="仿宋" w:hAnsi="仿宋" w:eastAsia="仿宋"/>
                <w:b/>
                <w:bCs/>
                <w:sz w:val="22"/>
                <w:lang w:val="en-US" w:eastAsia="zh-CN"/>
              </w:rPr>
              <w:t>1</w:t>
            </w:r>
            <w:r>
              <w:rPr>
                <w:rFonts w:ascii="仿宋" w:hAnsi="仿宋" w:eastAsia="仿宋"/>
                <w:b/>
                <w:bCs/>
                <w:sz w:val="22"/>
              </w:rPr>
              <w:t>00</w:t>
            </w:r>
            <w:r>
              <w:rPr>
                <w:rFonts w:hint="eastAsia" w:ascii="仿宋" w:hAnsi="仿宋" w:eastAsia="仿宋"/>
                <w:b/>
                <w:bCs/>
                <w:sz w:val="22"/>
              </w:rPr>
              <w:t>元</w:t>
            </w:r>
            <w:r>
              <w:rPr>
                <w:rFonts w:hint="eastAsia" w:ascii="仿宋" w:hAnsi="仿宋" w:eastAsia="仿宋"/>
                <w:sz w:val="22"/>
              </w:rPr>
              <w:t>，累计最高补贴</w:t>
            </w:r>
            <w:r>
              <w:rPr>
                <w:rFonts w:ascii="仿宋" w:hAnsi="仿宋" w:eastAsia="仿宋"/>
                <w:sz w:val="22"/>
              </w:rPr>
              <w:t>180</w:t>
            </w:r>
            <w:r>
              <w:rPr>
                <w:rFonts w:hint="eastAsia" w:ascii="仿宋" w:hAnsi="仿宋" w:eastAsia="仿宋"/>
                <w:sz w:val="22"/>
              </w:rPr>
              <w:t>天，以保险期满日为止。同一种在</w:t>
            </w:r>
            <w:r>
              <w:rPr>
                <w:rFonts w:ascii="仿宋" w:hAnsi="仿宋" w:eastAsia="仿宋"/>
                <w:sz w:val="22"/>
              </w:rPr>
              <w:t>1</w:t>
            </w:r>
            <w:r>
              <w:rPr>
                <w:rFonts w:hint="eastAsia" w:ascii="仿宋" w:hAnsi="仿宋" w:eastAsia="仿宋"/>
                <w:sz w:val="22"/>
              </w:rPr>
              <w:t>个月内多次住院，只按一次给付住院津贴；</w:t>
            </w:r>
            <w:r>
              <w:rPr>
                <w:rFonts w:hint="eastAsia" w:ascii="仿宋" w:hAnsi="仿宋" w:eastAsia="仿宋"/>
                <w:b/>
                <w:sz w:val="22"/>
              </w:rPr>
              <w:t>意外无等待期、无免赔，每日住院津贴200元。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意外伤害医疗费用报销</w:t>
            </w:r>
          </w:p>
        </w:tc>
        <w:tc>
          <w:tcPr>
            <w:tcW w:w="1243" w:type="dxa"/>
            <w:noWrap w:val="0"/>
            <w:vAlign w:val="center"/>
          </w:tcPr>
          <w:p>
            <w:pPr>
              <w:jc w:val="center"/>
              <w:rPr>
                <w:rFonts w:ascii="仿宋" w:hAnsi="仿宋" w:eastAsia="仿宋"/>
                <w:bCs/>
                <w:sz w:val="22"/>
              </w:rPr>
            </w:pPr>
            <w:r>
              <w:rPr>
                <w:rFonts w:ascii="仿宋" w:hAnsi="仿宋" w:eastAsia="仿宋"/>
                <w:bCs/>
                <w:sz w:val="22"/>
              </w:rPr>
              <w:t>1</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参保职工因意外伤害进行门诊治疗或住院治疗，符合医保中心报销范围所支出的医疗费用</w:t>
            </w:r>
            <w:r>
              <w:rPr>
                <w:rFonts w:ascii="仿宋" w:hAnsi="仿宋" w:eastAsia="仿宋"/>
                <w:sz w:val="22"/>
              </w:rPr>
              <w:t>100</w:t>
            </w:r>
            <w:r>
              <w:rPr>
                <w:rFonts w:hint="eastAsia" w:ascii="仿宋" w:hAnsi="仿宋" w:eastAsia="仿宋"/>
                <w:sz w:val="22"/>
              </w:rPr>
              <w:t>元以上部分按</w:t>
            </w:r>
            <w:r>
              <w:rPr>
                <w:rFonts w:ascii="仿宋" w:hAnsi="仿宋" w:eastAsia="仿宋"/>
                <w:sz w:val="22"/>
              </w:rPr>
              <w:t>100%</w:t>
            </w:r>
            <w:r>
              <w:rPr>
                <w:rFonts w:hint="eastAsia" w:ascii="仿宋" w:hAnsi="仿宋" w:eastAsia="仿宋"/>
                <w:sz w:val="22"/>
              </w:rPr>
              <w:t>比例报销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大病、重病医疗补充报销</w:t>
            </w:r>
          </w:p>
        </w:tc>
        <w:tc>
          <w:tcPr>
            <w:tcW w:w="1243" w:type="dxa"/>
            <w:noWrap w:val="0"/>
            <w:vAlign w:val="center"/>
          </w:tcPr>
          <w:p>
            <w:pPr>
              <w:jc w:val="center"/>
              <w:rPr>
                <w:rFonts w:ascii="仿宋" w:hAnsi="仿宋" w:eastAsia="仿宋"/>
                <w:bCs/>
                <w:sz w:val="22"/>
              </w:rPr>
            </w:pPr>
            <w:r>
              <w:rPr>
                <w:rFonts w:ascii="仿宋" w:hAnsi="仿宋" w:eastAsia="仿宋"/>
                <w:bCs/>
                <w:sz w:val="22"/>
              </w:rPr>
              <w:t>15</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参保职工住院医疗费用支出超过封顶线最高限额，进入医保中心的大病互助保险后的符合医保政策费用，职工自付部分按</w:t>
            </w:r>
            <w:r>
              <w:rPr>
                <w:rFonts w:ascii="仿宋" w:hAnsi="仿宋" w:eastAsia="仿宋"/>
                <w:sz w:val="22"/>
              </w:rPr>
              <w:t>90%</w:t>
            </w:r>
            <w:r>
              <w:rPr>
                <w:rFonts w:hint="eastAsia" w:ascii="仿宋" w:hAnsi="仿宋" w:eastAsia="仿宋"/>
                <w:sz w:val="22"/>
              </w:rPr>
              <w:t>比例报销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意外烧伤给付</w:t>
            </w:r>
          </w:p>
        </w:tc>
        <w:tc>
          <w:tcPr>
            <w:tcW w:w="1243" w:type="dxa"/>
            <w:noWrap w:val="0"/>
            <w:vAlign w:val="center"/>
          </w:tcPr>
          <w:p>
            <w:pPr>
              <w:jc w:val="center"/>
              <w:rPr>
                <w:rFonts w:ascii="仿宋" w:hAnsi="仿宋" w:eastAsia="仿宋"/>
                <w:bCs/>
                <w:sz w:val="22"/>
              </w:rPr>
            </w:pPr>
            <w:r>
              <w:rPr>
                <w:rFonts w:ascii="仿宋" w:hAnsi="仿宋" w:eastAsia="仿宋"/>
                <w:bCs/>
                <w:sz w:val="22"/>
              </w:rPr>
              <w:t>10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参保职工因意外烧伤治愈后，根据烧伤致残等级按“残疾等级对照比例表”对应给付相应比例保险金；不到残疾标准的给付医疗保险金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特定疾病</w:t>
            </w:r>
          </w:p>
        </w:tc>
        <w:tc>
          <w:tcPr>
            <w:tcW w:w="1243" w:type="dxa"/>
            <w:noWrap w:val="0"/>
            <w:vAlign w:val="center"/>
          </w:tcPr>
          <w:p>
            <w:pPr>
              <w:jc w:val="center"/>
              <w:rPr>
                <w:rFonts w:ascii="仿宋" w:hAnsi="仿宋" w:eastAsia="仿宋"/>
                <w:bCs/>
                <w:sz w:val="22"/>
              </w:rPr>
            </w:pPr>
            <w:r>
              <w:rPr>
                <w:rFonts w:hint="eastAsia" w:ascii="仿宋" w:hAnsi="仿宋" w:eastAsia="仿宋"/>
                <w:bCs/>
                <w:sz w:val="22"/>
              </w:rPr>
              <w:t>4万</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hint="default" w:ascii="仿宋" w:hAnsi="仿宋" w:eastAsia="仿宋"/>
                <w:sz w:val="22"/>
                <w:lang w:val="en-US" w:eastAsia="zh-CN"/>
              </w:rPr>
            </w:pPr>
            <w:r>
              <w:rPr>
                <w:rFonts w:hint="eastAsia" w:ascii="仿宋" w:hAnsi="仿宋" w:eastAsia="仿宋"/>
                <w:sz w:val="22"/>
                <w:lang w:val="en-US" w:eastAsia="zh-CN"/>
              </w:rPr>
              <w:t>投标人应列明特定疾病所包含种类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人均单价</w:t>
            </w:r>
          </w:p>
        </w:tc>
        <w:tc>
          <w:tcPr>
            <w:tcW w:w="1243" w:type="dxa"/>
            <w:noWrap w:val="0"/>
            <w:vAlign w:val="center"/>
          </w:tcPr>
          <w:p>
            <w:pPr>
              <w:jc w:val="center"/>
              <w:rPr>
                <w:rFonts w:hint="default" w:ascii="仿宋" w:hAnsi="仿宋" w:eastAsia="仿宋"/>
                <w:bCs/>
                <w:sz w:val="22"/>
                <w:lang w:val="en-US" w:eastAsia="zh-CN"/>
              </w:rPr>
            </w:pPr>
            <w:r>
              <w:rPr>
                <w:rFonts w:hint="eastAsia" w:ascii="仿宋" w:hAnsi="仿宋" w:eastAsia="仿宋"/>
                <w:bCs/>
                <w:sz w:val="22"/>
                <w:u w:val="single"/>
                <w:lang w:val="en-US" w:eastAsia="zh-CN"/>
              </w:rPr>
              <w:t xml:space="preserve">       </w:t>
            </w:r>
            <w:r>
              <w:rPr>
                <w:rFonts w:hint="eastAsia" w:ascii="仿宋" w:hAnsi="仿宋" w:eastAsia="仿宋"/>
                <w:bCs/>
                <w:sz w:val="22"/>
                <w:lang w:val="en-US" w:eastAsia="zh-CN"/>
              </w:rPr>
              <w:t>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42" w:type="dxa"/>
            <w:noWrap w:val="0"/>
            <w:vAlign w:val="center"/>
          </w:tcPr>
          <w:p>
            <w:pPr>
              <w:jc w:val="center"/>
              <w:rPr>
                <w:rFonts w:hint="eastAsia" w:ascii="仿宋" w:hAnsi="仿宋" w:eastAsia="仿宋"/>
                <w:b/>
                <w:bCs/>
                <w:sz w:val="22"/>
                <w:lang w:val="en-US" w:eastAsia="zh-CN"/>
              </w:rPr>
            </w:pPr>
            <w:r>
              <w:rPr>
                <w:rFonts w:hint="eastAsia" w:ascii="仿宋" w:hAnsi="仿宋" w:eastAsia="仿宋"/>
                <w:b/>
                <w:bCs/>
                <w:sz w:val="22"/>
                <w:lang w:val="en-US" w:eastAsia="zh-CN"/>
              </w:rPr>
              <w:t>总价</w:t>
            </w:r>
          </w:p>
        </w:tc>
        <w:tc>
          <w:tcPr>
            <w:tcW w:w="1243" w:type="dxa"/>
            <w:noWrap w:val="0"/>
            <w:vAlign w:val="center"/>
          </w:tcPr>
          <w:p>
            <w:pPr>
              <w:jc w:val="center"/>
              <w:rPr>
                <w:rFonts w:hint="default" w:ascii="仿宋" w:hAnsi="仿宋" w:eastAsia="仿宋"/>
                <w:bCs/>
                <w:sz w:val="22"/>
                <w:lang w:val="en-US" w:eastAsia="zh-CN"/>
              </w:rPr>
            </w:pPr>
            <w:r>
              <w:rPr>
                <w:rFonts w:hint="eastAsia" w:ascii="仿宋" w:hAnsi="仿宋" w:eastAsia="仿宋"/>
                <w:bCs/>
                <w:sz w:val="22"/>
                <w:lang w:val="en-US" w:eastAsia="zh-CN"/>
              </w:rPr>
              <w:t>146人</w:t>
            </w:r>
          </w:p>
        </w:tc>
        <w:tc>
          <w:tcPr>
            <w:tcW w:w="1025" w:type="dxa"/>
            <w:noWrap w:val="0"/>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1年</w:t>
            </w:r>
          </w:p>
        </w:tc>
        <w:tc>
          <w:tcPr>
            <w:tcW w:w="6746" w:type="dxa"/>
            <w:noWrap w:val="0"/>
            <w:vAlign w:val="center"/>
          </w:tcPr>
          <w:p>
            <w:pPr>
              <w:jc w:val="left"/>
              <w:rPr>
                <w:rFonts w:hint="default" w:ascii="仿宋" w:hAnsi="仿宋" w:eastAsia="仿宋"/>
                <w:sz w:val="22"/>
                <w:lang w:val="en-US" w:eastAsia="zh-CN"/>
              </w:rPr>
            </w:pPr>
            <w:r>
              <w:rPr>
                <w:rFonts w:hint="eastAsia" w:ascii="仿宋" w:hAnsi="仿宋" w:eastAsia="仿宋"/>
                <w:sz w:val="22"/>
                <w:u w:val="single"/>
                <w:lang w:val="en-US" w:eastAsia="zh-CN"/>
              </w:rPr>
              <w:t xml:space="preserve">            </w:t>
            </w:r>
            <w:r>
              <w:rPr>
                <w:rFonts w:hint="eastAsia" w:ascii="仿宋" w:hAnsi="仿宋" w:eastAsia="仿宋"/>
                <w:sz w:val="22"/>
                <w:lang w:val="en-US" w:eastAsia="zh-CN"/>
              </w:rPr>
              <w:t>元（大写：</w:t>
            </w:r>
            <w:r>
              <w:rPr>
                <w:rFonts w:hint="eastAsia" w:ascii="仿宋" w:hAnsi="仿宋" w:eastAsia="仿宋"/>
                <w:sz w:val="22"/>
                <w:u w:val="single"/>
                <w:lang w:val="en-US" w:eastAsia="zh-CN"/>
              </w:rPr>
              <w:t xml:space="preserve">                 </w:t>
            </w:r>
            <w:r>
              <w:rPr>
                <w:rFonts w:hint="eastAsia" w:ascii="仿宋" w:hAnsi="仿宋" w:eastAsia="仿宋"/>
                <w:sz w:val="22"/>
                <w:lang w:val="en-US" w:eastAsia="zh-CN"/>
              </w:rPr>
              <w:t xml:space="preserve"> ）</w:t>
            </w:r>
          </w:p>
        </w:tc>
      </w:tr>
      <w:bookmarkEnd w:id="16"/>
      <w:bookmarkEnd w:id="17"/>
      <w:bookmarkEnd w:id="18"/>
      <w:bookmarkEnd w:id="19"/>
      <w:bookmarkEnd w:id="20"/>
      <w:bookmarkEnd w:id="21"/>
      <w:bookmarkEnd w:id="22"/>
      <w:bookmarkEnd w:id="23"/>
    </w:tbl>
    <w:p>
      <w:pPr>
        <w:rPr>
          <w:rFonts w:hint="eastAsia" w:ascii="黑体" w:hAnsi="黑体" w:eastAsia="黑体" w:cs="仿宋"/>
          <w:b/>
          <w:color w:val="auto"/>
          <w:sz w:val="36"/>
          <w:szCs w:val="36"/>
        </w:rPr>
      </w:pPr>
      <w:r>
        <w:br w:type="page"/>
      </w:r>
    </w:p>
    <w:p>
      <w:pPr>
        <w:spacing w:line="312" w:lineRule="auto"/>
        <w:jc w:val="center"/>
        <w:outlineLvl w:val="0"/>
        <w:rPr>
          <w:rFonts w:ascii="黑体" w:hAnsi="黑体" w:eastAsia="黑体" w:cs="仿宋"/>
          <w:b/>
          <w:color w:val="auto"/>
          <w:sz w:val="36"/>
          <w:szCs w:val="36"/>
        </w:rPr>
      </w:pPr>
      <w:r>
        <w:rPr>
          <w:rFonts w:hint="eastAsia" w:ascii="黑体" w:hAnsi="黑体" w:eastAsia="黑体" w:cs="仿宋"/>
          <w:b/>
          <w:color w:val="auto"/>
          <w:sz w:val="36"/>
          <w:szCs w:val="36"/>
        </w:rPr>
        <w:t>第六章  响应文件格式</w:t>
      </w:r>
      <w:bookmarkEnd w:id="24"/>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outlineLvl w:val="0"/>
        <w:rPr>
          <w:rFonts w:eastAsia="方正小标宋_GBK"/>
          <w:b/>
          <w:bCs/>
          <w:color w:val="auto"/>
          <w:sz w:val="40"/>
          <w:szCs w:val="36"/>
        </w:rPr>
      </w:pPr>
      <w:r>
        <w:rPr>
          <w:rFonts w:hint="eastAsia" w:eastAsia="方正小标宋_GBK"/>
          <w:bCs/>
          <w:color w:val="auto"/>
          <w:sz w:val="48"/>
          <w:szCs w:val="44"/>
          <w:u w:val="single"/>
        </w:rPr>
        <w:t xml:space="preserve">       </w:t>
      </w:r>
      <w:r>
        <w:rPr>
          <w:rFonts w:eastAsia="方正小标宋_GBK"/>
          <w:bCs/>
          <w:color w:val="auto"/>
          <w:sz w:val="48"/>
          <w:szCs w:val="44"/>
          <w:u w:val="single"/>
        </w:rPr>
        <w:t xml:space="preserve">            </w:t>
      </w:r>
      <w:bookmarkStart w:id="25" w:name="_Toc8763"/>
      <w:r>
        <w:rPr>
          <w:rFonts w:hint="eastAsia" w:eastAsia="方正小标宋_GBK"/>
          <w:b/>
          <w:bCs/>
          <w:color w:val="auto"/>
          <w:sz w:val="40"/>
          <w:szCs w:val="36"/>
        </w:rPr>
        <w:t>项目</w:t>
      </w:r>
      <w:bookmarkEnd w:id="25"/>
    </w:p>
    <w:p>
      <w:pPr>
        <w:widowControl w:val="0"/>
        <w:spacing w:before="240" w:beforeLines="100" w:after="240" w:afterLines="100" w:line="240" w:lineRule="auto"/>
        <w:jc w:val="center"/>
        <w:outlineLvl w:val="0"/>
        <w:rPr>
          <w:rFonts w:eastAsia="楷体_GB2312"/>
          <w:b/>
          <w:bCs/>
          <w:color w:val="auto"/>
          <w:sz w:val="28"/>
          <w:szCs w:val="28"/>
        </w:rPr>
      </w:pPr>
      <w:bookmarkStart w:id="26" w:name="_Toc7523"/>
      <w:r>
        <w:rPr>
          <w:rFonts w:eastAsia="楷体_GB2312"/>
          <w:b/>
          <w:bCs/>
          <w:color w:val="auto"/>
          <w:sz w:val="28"/>
          <w:szCs w:val="28"/>
        </w:rPr>
        <w:t>（项目</w:t>
      </w:r>
      <w:r>
        <w:rPr>
          <w:rFonts w:hint="eastAsia" w:eastAsia="楷体_GB2312"/>
          <w:b/>
          <w:bCs/>
          <w:color w:val="auto"/>
          <w:sz w:val="28"/>
          <w:szCs w:val="28"/>
        </w:rPr>
        <w:t>采购</w:t>
      </w:r>
      <w:r>
        <w:rPr>
          <w:rFonts w:eastAsia="楷体_GB2312"/>
          <w:b/>
          <w:bCs/>
          <w:color w:val="auto"/>
          <w:sz w:val="28"/>
          <w:szCs w:val="28"/>
        </w:rPr>
        <w:t>编号：</w:t>
      </w:r>
      <w:r>
        <w:rPr>
          <w:rFonts w:eastAsia="楷体_GB2312"/>
          <w:b/>
          <w:bCs/>
          <w:color w:val="auto"/>
          <w:sz w:val="28"/>
          <w:szCs w:val="28"/>
          <w:u w:val="single"/>
        </w:rPr>
        <w:t xml:space="preserve">   </w:t>
      </w:r>
      <w:r>
        <w:rPr>
          <w:rFonts w:hint="eastAsia" w:eastAsia="楷体_GB2312"/>
          <w:b/>
          <w:bCs/>
          <w:color w:val="auto"/>
          <w:sz w:val="28"/>
          <w:szCs w:val="28"/>
          <w:u w:val="single"/>
        </w:rPr>
        <w:t>填入项目采购编号</w:t>
      </w:r>
      <w:r>
        <w:rPr>
          <w:rFonts w:eastAsia="楷体_GB2312"/>
          <w:b/>
          <w:bCs/>
          <w:color w:val="auto"/>
          <w:sz w:val="28"/>
          <w:szCs w:val="28"/>
          <w:u w:val="single"/>
        </w:rPr>
        <w:t xml:space="preserve">     </w:t>
      </w:r>
      <w:r>
        <w:rPr>
          <w:rFonts w:eastAsia="楷体_GB2312"/>
          <w:b/>
          <w:bCs/>
          <w:color w:val="auto"/>
          <w:sz w:val="28"/>
          <w:szCs w:val="28"/>
        </w:rPr>
        <w:t>）</w:t>
      </w:r>
      <w:bookmarkEnd w:id="26"/>
    </w:p>
    <w:p>
      <w:pPr>
        <w:widowControl w:val="0"/>
        <w:adjustRightInd w:val="0"/>
        <w:snapToGrid w:val="0"/>
        <w:rPr>
          <w:b/>
          <w:color w:val="auto"/>
        </w:rPr>
      </w:pPr>
    </w:p>
    <w:p>
      <w:pPr>
        <w:spacing w:line="288" w:lineRule="auto"/>
        <w:jc w:val="center"/>
        <w:rPr>
          <w:rFonts w:eastAsia="方正小标宋_GBK"/>
          <w:b/>
          <w:bCs/>
          <w:color w:val="auto"/>
          <w:spacing w:val="160"/>
          <w:sz w:val="72"/>
          <w:szCs w:val="72"/>
        </w:rPr>
      </w:pPr>
    </w:p>
    <w:p>
      <w:pPr>
        <w:spacing w:line="288" w:lineRule="auto"/>
        <w:jc w:val="center"/>
        <w:rPr>
          <w:rFonts w:eastAsia="方正小标宋_GBK"/>
          <w:b/>
          <w:bCs/>
          <w:color w:val="auto"/>
          <w:spacing w:val="160"/>
          <w:sz w:val="72"/>
          <w:szCs w:val="72"/>
        </w:rPr>
      </w:pPr>
    </w:p>
    <w:p>
      <w:pPr>
        <w:spacing w:line="288" w:lineRule="auto"/>
        <w:jc w:val="center"/>
        <w:rPr>
          <w:rFonts w:eastAsia="方正小标宋_GBK"/>
          <w:b/>
          <w:bCs/>
          <w:color w:val="auto"/>
          <w:spacing w:val="160"/>
          <w:sz w:val="72"/>
          <w:szCs w:val="72"/>
        </w:rPr>
      </w:pPr>
    </w:p>
    <w:p>
      <w:pPr>
        <w:spacing w:line="288" w:lineRule="auto"/>
        <w:jc w:val="center"/>
        <w:outlineLvl w:val="0"/>
        <w:rPr>
          <w:rFonts w:eastAsia="方正小标宋_GBK"/>
          <w:b/>
          <w:bCs/>
          <w:color w:val="auto"/>
          <w:spacing w:val="160"/>
          <w:sz w:val="72"/>
          <w:szCs w:val="72"/>
        </w:rPr>
      </w:pPr>
      <w:bookmarkStart w:id="27" w:name="_Toc19319"/>
      <w:r>
        <w:rPr>
          <w:rFonts w:hint="eastAsia" w:eastAsia="方正小标宋_GBK"/>
          <w:b/>
          <w:bCs/>
          <w:color w:val="auto"/>
          <w:spacing w:val="160"/>
          <w:sz w:val="72"/>
          <w:szCs w:val="72"/>
        </w:rPr>
        <w:t>响应</w:t>
      </w:r>
      <w:r>
        <w:rPr>
          <w:rFonts w:eastAsia="方正小标宋_GBK"/>
          <w:b/>
          <w:bCs/>
          <w:color w:val="auto"/>
          <w:spacing w:val="160"/>
          <w:sz w:val="72"/>
          <w:szCs w:val="72"/>
        </w:rPr>
        <w:t>文件</w:t>
      </w:r>
      <w:bookmarkEnd w:id="27"/>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900" w:lineRule="exact"/>
        <w:jc w:val="center"/>
        <w:outlineLvl w:val="0"/>
        <w:rPr>
          <w:rFonts w:eastAsia="黑体"/>
          <w:bCs/>
          <w:color w:val="auto"/>
          <w:sz w:val="30"/>
          <w:szCs w:val="30"/>
        </w:rPr>
      </w:pPr>
      <w:bookmarkStart w:id="28" w:name="_Toc18819"/>
      <w:r>
        <w:rPr>
          <w:rFonts w:hint="eastAsia" w:eastAsia="黑体"/>
          <w:bCs/>
          <w:color w:val="auto"/>
          <w:sz w:val="30"/>
          <w:szCs w:val="30"/>
        </w:rPr>
        <w:t>供 应 商</w:t>
      </w:r>
      <w:r>
        <w:rPr>
          <w:rFonts w:eastAsia="黑体"/>
          <w:bCs/>
          <w:color w:val="auto"/>
          <w:sz w:val="30"/>
          <w:szCs w:val="30"/>
        </w:rPr>
        <w:t>：</w:t>
      </w:r>
      <w:r>
        <w:rPr>
          <w:rFonts w:eastAsia="黑体"/>
          <w:bCs/>
          <w:color w:val="auto"/>
          <w:sz w:val="30"/>
          <w:szCs w:val="30"/>
          <w:u w:val="single"/>
        </w:rPr>
        <w:t xml:space="preserve">  </w:t>
      </w:r>
      <w:r>
        <w:rPr>
          <w:rFonts w:hint="eastAsia" w:eastAsia="黑体"/>
          <w:bCs/>
          <w:color w:val="auto"/>
          <w:sz w:val="30"/>
          <w:szCs w:val="30"/>
          <w:u w:val="single"/>
        </w:rPr>
        <w:t>供应商</w:t>
      </w:r>
      <w:r>
        <w:rPr>
          <w:rFonts w:eastAsia="黑体"/>
          <w:bCs/>
          <w:color w:val="auto"/>
          <w:sz w:val="30"/>
          <w:szCs w:val="30"/>
          <w:u w:val="single"/>
        </w:rPr>
        <w:t>全称并盖单位公章</w:t>
      </w:r>
      <w:bookmarkEnd w:id="28"/>
      <w:r>
        <w:rPr>
          <w:rFonts w:eastAsia="黑体"/>
          <w:bCs/>
          <w:color w:val="auto"/>
          <w:sz w:val="30"/>
          <w:szCs w:val="30"/>
          <w:u w:val="single"/>
        </w:rPr>
        <w:t xml:space="preserve"> </w:t>
      </w:r>
    </w:p>
    <w:p>
      <w:pPr>
        <w:spacing w:line="900" w:lineRule="exact"/>
        <w:jc w:val="center"/>
        <w:outlineLvl w:val="0"/>
        <w:rPr>
          <w:rFonts w:eastAsia="黑体"/>
          <w:color w:val="auto"/>
          <w:sz w:val="30"/>
          <w:szCs w:val="30"/>
        </w:rPr>
      </w:pPr>
      <w:bookmarkStart w:id="29" w:name="_Toc16821"/>
      <w:r>
        <w:rPr>
          <w:rFonts w:eastAsia="黑体"/>
          <w:color w:val="auto"/>
          <w:sz w:val="30"/>
          <w:szCs w:val="30"/>
        </w:rPr>
        <w:t>日</w:t>
      </w:r>
      <w:r>
        <w:rPr>
          <w:rFonts w:hint="eastAsia" w:eastAsia="黑体"/>
          <w:color w:val="auto"/>
          <w:sz w:val="30"/>
          <w:szCs w:val="30"/>
        </w:rPr>
        <w:t xml:space="preserve">   </w:t>
      </w:r>
      <w:r>
        <w:rPr>
          <w:rFonts w:eastAsia="黑体"/>
          <w:color w:val="auto"/>
          <w:sz w:val="30"/>
          <w:szCs w:val="30"/>
        </w:rPr>
        <w:t>期：</w:t>
      </w:r>
      <w:r>
        <w:rPr>
          <w:rFonts w:eastAsia="黑体"/>
          <w:color w:val="auto"/>
          <w:sz w:val="30"/>
          <w:szCs w:val="30"/>
          <w:u w:val="single"/>
        </w:rPr>
        <w:t xml:space="preserve">      </w:t>
      </w:r>
      <w:r>
        <w:rPr>
          <w:rFonts w:eastAsia="黑体"/>
          <w:color w:val="auto"/>
          <w:sz w:val="30"/>
          <w:szCs w:val="30"/>
        </w:rPr>
        <w:t>年</w:t>
      </w:r>
      <w:r>
        <w:rPr>
          <w:rFonts w:eastAsia="黑体"/>
          <w:color w:val="auto"/>
          <w:sz w:val="30"/>
          <w:szCs w:val="30"/>
          <w:u w:val="single"/>
        </w:rPr>
        <w:t xml:space="preserve">    </w:t>
      </w:r>
      <w:r>
        <w:rPr>
          <w:rFonts w:eastAsia="黑体"/>
          <w:color w:val="auto"/>
          <w:sz w:val="30"/>
          <w:szCs w:val="30"/>
        </w:rPr>
        <w:t>月</w:t>
      </w:r>
      <w:r>
        <w:rPr>
          <w:rFonts w:eastAsia="黑体"/>
          <w:color w:val="auto"/>
          <w:sz w:val="30"/>
          <w:szCs w:val="30"/>
          <w:u w:val="single"/>
        </w:rPr>
        <w:t xml:space="preserve">    </w:t>
      </w:r>
      <w:r>
        <w:rPr>
          <w:rFonts w:eastAsia="黑体"/>
          <w:color w:val="auto"/>
          <w:sz w:val="30"/>
          <w:szCs w:val="30"/>
        </w:rPr>
        <w:t>日</w:t>
      </w:r>
      <w:bookmarkEnd w:id="29"/>
    </w:p>
    <w:p>
      <w:pPr>
        <w:rPr>
          <w:color w:val="auto"/>
          <w:lang w:val="zh-CN"/>
        </w:rPr>
      </w:pPr>
      <w:r>
        <w:rPr>
          <w:color w:val="auto"/>
          <w:lang w:val="zh-CN"/>
        </w:rPr>
        <w:br w:type="page"/>
      </w:r>
    </w:p>
    <w:p>
      <w:pPr>
        <w:adjustRightInd w:val="0"/>
        <w:snapToGrid w:val="0"/>
        <w:spacing w:line="600" w:lineRule="exact"/>
        <w:jc w:val="center"/>
        <w:outlineLvl w:val="0"/>
        <w:rPr>
          <w:rFonts w:ascii="黑体" w:hAnsi="黑体" w:eastAsia="黑体" w:cs="仿宋"/>
          <w:color w:val="auto"/>
          <w:sz w:val="36"/>
          <w:szCs w:val="36"/>
        </w:rPr>
      </w:pPr>
      <w:bookmarkStart w:id="30" w:name="_Toc8335"/>
      <w:r>
        <w:rPr>
          <w:rFonts w:hint="eastAsia" w:ascii="黑体" w:hAnsi="黑体" w:eastAsia="黑体" w:cs="仿宋"/>
          <w:color w:val="auto"/>
          <w:sz w:val="36"/>
          <w:szCs w:val="36"/>
        </w:rPr>
        <w:t xml:space="preserve">目 </w:t>
      </w:r>
      <w:r>
        <w:rPr>
          <w:rFonts w:ascii="黑体" w:hAnsi="黑体" w:eastAsia="黑体" w:cs="仿宋"/>
          <w:color w:val="auto"/>
          <w:sz w:val="36"/>
          <w:szCs w:val="36"/>
        </w:rPr>
        <w:t xml:space="preserve"> </w:t>
      </w:r>
      <w:r>
        <w:rPr>
          <w:rFonts w:hint="eastAsia" w:ascii="黑体" w:hAnsi="黑体" w:eastAsia="黑体" w:cs="仿宋"/>
          <w:color w:val="auto"/>
          <w:sz w:val="36"/>
          <w:szCs w:val="36"/>
        </w:rPr>
        <w:t>录</w:t>
      </w:r>
      <w:bookmarkEnd w:id="30"/>
    </w:p>
    <w:p>
      <w:pPr>
        <w:adjustRightInd w:val="0"/>
        <w:snapToGrid w:val="0"/>
        <w:spacing w:line="600" w:lineRule="exact"/>
        <w:jc w:val="both"/>
        <w:rPr>
          <w:rFonts w:ascii="宋体" w:hAnsi="宋体" w:cs="仿宋"/>
          <w:color w:val="auto"/>
          <w:sz w:val="36"/>
          <w:szCs w:val="36"/>
        </w:rPr>
      </w:pPr>
    </w:p>
    <w:p>
      <w:pPr>
        <w:adjustRightInd w:val="0"/>
        <w:snapToGrid w:val="0"/>
        <w:spacing w:line="600" w:lineRule="exact"/>
        <w:jc w:val="both"/>
        <w:rPr>
          <w:rFonts w:ascii="宋体" w:hAnsi="宋体" w:cs="仿宋"/>
          <w:color w:val="auto"/>
          <w:sz w:val="24"/>
        </w:rPr>
      </w:pPr>
      <w:r>
        <w:rPr>
          <w:rFonts w:hint="eastAsia" w:ascii="宋体" w:hAnsi="宋体" w:cs="仿宋"/>
          <w:color w:val="auto"/>
          <w:sz w:val="24"/>
        </w:rPr>
        <w:t>一、响应函</w:t>
      </w:r>
      <w:r>
        <w:rPr>
          <w:rFonts w:hint="eastAsia" w:ascii="宋体" w:hAnsi="宋体" w:cs="仿宋"/>
          <w:color w:val="auto"/>
          <w:sz w:val="24"/>
        </w:rPr>
        <w:br w:type="textWrapping"/>
      </w:r>
      <w:r>
        <w:rPr>
          <w:rFonts w:hint="eastAsia" w:ascii="宋体" w:hAnsi="宋体" w:cs="仿宋"/>
          <w:color w:val="auto"/>
          <w:sz w:val="24"/>
        </w:rPr>
        <w:t>二、授权委托书(适用于有委托代理人的情况)</w:t>
      </w:r>
      <w:r>
        <w:rPr>
          <w:rFonts w:hint="eastAsia" w:ascii="宋体" w:hAnsi="宋体" w:cs="仿宋"/>
          <w:color w:val="auto"/>
          <w:sz w:val="24"/>
        </w:rPr>
        <w:br w:type="textWrapping"/>
      </w:r>
      <w:r>
        <w:rPr>
          <w:rFonts w:hint="eastAsia" w:ascii="宋体" w:hAnsi="宋体" w:cs="仿宋"/>
          <w:color w:val="auto"/>
          <w:sz w:val="24"/>
        </w:rPr>
        <w:t>三、商务和技术偏差表</w:t>
      </w:r>
      <w:r>
        <w:rPr>
          <w:rFonts w:hint="eastAsia" w:ascii="宋体" w:hAnsi="宋体" w:cs="仿宋"/>
          <w:color w:val="auto"/>
          <w:sz w:val="24"/>
        </w:rPr>
        <w:br w:type="textWrapping"/>
      </w:r>
      <w:r>
        <w:rPr>
          <w:rFonts w:hint="eastAsia" w:ascii="宋体" w:hAnsi="宋体" w:cs="仿宋"/>
          <w:color w:val="auto"/>
          <w:sz w:val="24"/>
          <w:lang w:eastAsia="zh-CN"/>
        </w:rPr>
        <w:t>四</w:t>
      </w:r>
      <w:r>
        <w:rPr>
          <w:rFonts w:hint="eastAsia" w:ascii="宋体" w:hAnsi="宋体" w:cs="仿宋"/>
          <w:color w:val="auto"/>
          <w:sz w:val="24"/>
        </w:rPr>
        <w:t>、报价表</w:t>
      </w:r>
      <w:r>
        <w:rPr>
          <w:rFonts w:hint="eastAsia" w:ascii="宋体" w:hAnsi="宋体" w:cs="仿宋"/>
          <w:color w:val="auto"/>
          <w:sz w:val="24"/>
        </w:rPr>
        <w:br w:type="textWrapping"/>
      </w:r>
      <w:r>
        <w:rPr>
          <w:rFonts w:hint="eastAsia" w:ascii="宋体" w:hAnsi="宋体" w:cs="仿宋"/>
          <w:color w:val="auto"/>
          <w:sz w:val="24"/>
          <w:lang w:eastAsia="zh-CN"/>
        </w:rPr>
        <w:t>五</w:t>
      </w:r>
      <w:r>
        <w:rPr>
          <w:rFonts w:hint="eastAsia" w:ascii="宋体" w:hAnsi="宋体" w:cs="仿宋"/>
          <w:color w:val="auto"/>
          <w:sz w:val="24"/>
        </w:rPr>
        <w:t>、资格审查资料</w:t>
      </w:r>
      <w:r>
        <w:rPr>
          <w:rFonts w:hint="eastAsia" w:ascii="宋体" w:hAnsi="宋体" w:cs="仿宋"/>
          <w:color w:val="auto"/>
          <w:sz w:val="24"/>
        </w:rPr>
        <w:br w:type="textWrapping"/>
      </w:r>
      <w:r>
        <w:rPr>
          <w:rFonts w:hint="eastAsia" w:ascii="宋体" w:hAnsi="宋体" w:cs="仿宋"/>
          <w:color w:val="auto"/>
          <w:sz w:val="24"/>
          <w:lang w:eastAsia="zh-CN"/>
        </w:rPr>
        <w:t>六</w:t>
      </w:r>
      <w:r>
        <w:rPr>
          <w:rFonts w:hint="eastAsia" w:ascii="宋体" w:hAnsi="宋体" w:cs="仿宋"/>
          <w:color w:val="auto"/>
          <w:sz w:val="24"/>
        </w:rPr>
        <w:t>、响应方案</w:t>
      </w:r>
      <w:r>
        <w:rPr>
          <w:rFonts w:hint="eastAsia" w:ascii="宋体" w:hAnsi="宋体" w:cs="仿宋"/>
          <w:color w:val="auto"/>
          <w:sz w:val="24"/>
        </w:rPr>
        <w:br w:type="textWrapping"/>
      </w:r>
      <w:r>
        <w:rPr>
          <w:rFonts w:hint="eastAsia" w:ascii="宋体" w:hAnsi="宋体" w:cs="仿宋"/>
          <w:color w:val="auto"/>
          <w:sz w:val="24"/>
          <w:lang w:eastAsia="zh-CN"/>
        </w:rPr>
        <w:t>七</w:t>
      </w:r>
      <w:r>
        <w:rPr>
          <w:rFonts w:hint="eastAsia" w:ascii="宋体" w:hAnsi="宋体" w:cs="仿宋"/>
          <w:color w:val="auto"/>
          <w:sz w:val="24"/>
        </w:rPr>
        <w:t>、其他资料</w:t>
      </w:r>
    </w:p>
    <w:p>
      <w:pPr>
        <w:rPr>
          <w:color w:val="auto"/>
          <w:lang w:val="zh-CN"/>
        </w:rPr>
      </w:pPr>
      <w:r>
        <w:rPr>
          <w:color w:val="auto"/>
          <w:lang w:val="zh-CN"/>
        </w:rPr>
        <w:br w:type="page"/>
      </w:r>
    </w:p>
    <w:p>
      <w:pPr>
        <w:numPr>
          <w:ilvl w:val="0"/>
          <w:numId w:val="5"/>
        </w:numPr>
        <w:adjustRightInd w:val="0"/>
        <w:snapToGrid w:val="0"/>
        <w:spacing w:line="600" w:lineRule="exact"/>
        <w:jc w:val="center"/>
        <w:outlineLvl w:val="0"/>
        <w:rPr>
          <w:rFonts w:ascii="黑体" w:hAnsi="黑体" w:eastAsia="黑体" w:cs="仿宋"/>
          <w:color w:val="auto"/>
          <w:sz w:val="36"/>
          <w:szCs w:val="36"/>
        </w:rPr>
      </w:pPr>
      <w:bookmarkStart w:id="31" w:name="_Toc4701"/>
      <w:r>
        <w:rPr>
          <w:rFonts w:hint="eastAsia" w:ascii="黑体" w:hAnsi="黑体" w:eastAsia="黑体" w:cs="仿宋"/>
          <w:color w:val="auto"/>
          <w:sz w:val="36"/>
          <w:szCs w:val="36"/>
        </w:rPr>
        <w:t>响应函</w:t>
      </w:r>
      <w:bookmarkEnd w:id="31"/>
    </w:p>
    <w:p>
      <w:pPr>
        <w:adjustRightInd w:val="0"/>
        <w:snapToGrid w:val="0"/>
        <w:spacing w:line="600" w:lineRule="exact"/>
        <w:jc w:val="both"/>
        <w:rPr>
          <w:rFonts w:cs="仿宋" w:asciiTheme="minorEastAsia" w:hAnsiTheme="minorEastAsia" w:eastAsiaTheme="minorEastAsia"/>
          <w:color w:val="auto"/>
          <w:sz w:val="24"/>
        </w:rPr>
      </w:pP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(采购人名称):</w:t>
      </w:r>
    </w:p>
    <w:p>
      <w:pPr>
        <w:adjustRightInd w:val="0"/>
        <w:snapToGrid w:val="0"/>
        <w:spacing w:line="600" w:lineRule="exac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1.我方已仔细研究了__(项目名称)采购文件的全部内容，愿意以含税价人民币(大写)(￥</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)的报价（其中：不含税价为: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;增值税税额为: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)完成提供本项目服务，并按合同约定履行义务。</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(1)响应函;</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(2)授权委托书(</w:t>
      </w:r>
      <w:r>
        <w:rPr>
          <w:rFonts w:hint="eastAsia" w:ascii="宋体" w:hAnsi="宋体" w:cs="仿宋"/>
          <w:color w:val="auto"/>
          <w:sz w:val="24"/>
        </w:rPr>
        <w:t>适用于有委托代理人的情况</w:t>
      </w:r>
      <w:r>
        <w:rPr>
          <w:rFonts w:hint="eastAsia" w:cs="仿宋" w:asciiTheme="minorEastAsia" w:hAnsiTheme="minorEastAsia" w:eastAsiaTheme="minorEastAsia"/>
          <w:color w:val="auto"/>
          <w:sz w:val="24"/>
        </w:rPr>
        <w:t>);</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)商务和技术偏差表;</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)报价表;</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)资格审查资料;</w:t>
      </w:r>
    </w:p>
    <w:p>
      <w:pPr>
        <w:adjustRightInd w:val="0"/>
        <w:snapToGrid w:val="0"/>
        <w:spacing w:line="600" w:lineRule="exact"/>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)响应方案;</w:t>
      </w:r>
    </w:p>
    <w:p>
      <w:pPr>
        <w:adjustRightInd w:val="0"/>
        <w:snapToGrid w:val="0"/>
        <w:spacing w:line="600" w:lineRule="exact"/>
        <w:ind w:left="0" w:leftChars="0"/>
        <w:jc w:val="both"/>
        <w:rPr>
          <w:rFonts w:hint="eastAsia" w:cs="仿宋" w:asciiTheme="minorEastAsia" w:hAnsiTheme="minorEastAsia" w:eastAsiaTheme="minorEastAsia"/>
          <w:color w:val="auto"/>
          <w:sz w:val="24"/>
          <w:lang w:eastAsia="zh-CN"/>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lang w:val="en-US" w:eastAsia="zh-CN"/>
        </w:rPr>
        <w:t>7</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其他资料</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3.我方承诺除商务和技术偏差表列出的偏差外，我方响应采购文件的全部要求。</w:t>
      </w:r>
    </w:p>
    <w:p>
      <w:pPr>
        <w:numPr>
          <w:ilvl w:val="0"/>
          <w:numId w:val="6"/>
        </w:num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我方承诺在采购文件规定的响应文件有效期内不撤销响应文件。</w:t>
      </w:r>
    </w:p>
    <w:p>
      <w:pPr>
        <w:numPr>
          <w:ilvl w:val="0"/>
          <w:numId w:val="6"/>
        </w:num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6.我方在此声明，所递交的响应文件及有关资料内容完整、真实和准确，且不开在第一章“</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7.(其他补充说明)。</w:t>
      </w:r>
    </w:p>
    <w:p>
      <w:pPr>
        <w:adjustRightInd w:val="0"/>
        <w:snapToGrid w:val="0"/>
        <w:spacing w:line="600" w:lineRule="exact"/>
        <w:jc w:val="both"/>
        <w:rPr>
          <w:rFonts w:cs="仿宋" w:asciiTheme="minorEastAsia" w:hAnsiTheme="minorEastAsia" w:eastAsiaTheme="minorEastAsia"/>
          <w:color w:val="auto"/>
          <w:sz w:val="24"/>
        </w:rPr>
      </w:pP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法定代表人(单位负责人)或其授权的代理人:(签字) </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地址:____________________________________________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电子邮箱：_______________________________________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电话：____________________________________________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传真：____________________________________________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邮政编码：_______________________________________</w:t>
      </w:r>
    </w:p>
    <w:p>
      <w:pPr>
        <w:spacing w:line="600" w:lineRule="exact"/>
        <w:jc w:val="both"/>
        <w:rPr>
          <w:rFonts w:cs="仿宋" w:asciiTheme="minorEastAsia" w:hAnsiTheme="minorEastAsia" w:eastAsiaTheme="minorEastAsia"/>
          <w:color w:val="auto"/>
          <w:sz w:val="24"/>
        </w:rPr>
      </w:pPr>
    </w:p>
    <w:p>
      <w:pPr>
        <w:spacing w:line="600" w:lineRule="exact"/>
        <w:jc w:val="righ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年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 xml:space="preserve">月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日</w:t>
      </w:r>
    </w:p>
    <w:p>
      <w:pPr>
        <w:rPr>
          <w:color w:val="auto"/>
          <w:lang w:val="zh-CN"/>
        </w:rPr>
      </w:pPr>
      <w:r>
        <w:rPr>
          <w:color w:val="auto"/>
          <w:lang w:val="zh-CN"/>
        </w:rPr>
        <w:br w:type="page"/>
      </w:r>
    </w:p>
    <w:p>
      <w:pPr>
        <w:spacing w:line="400" w:lineRule="exact"/>
        <w:jc w:val="center"/>
        <w:rPr>
          <w:rFonts w:asciiTheme="minorEastAsia" w:hAnsiTheme="minorEastAsia" w:eastAsiaTheme="minorEastAsia"/>
          <w:color w:val="auto"/>
          <w:sz w:val="24"/>
        </w:rPr>
      </w:pPr>
      <w:r>
        <w:rPr>
          <w:rFonts w:hint="eastAsia" w:cs="宋体" w:asciiTheme="minorEastAsia" w:hAnsiTheme="minorEastAsia" w:eastAsiaTheme="minorEastAsia"/>
          <w:b/>
          <w:color w:val="auto"/>
          <w:kern w:val="0"/>
          <w:sz w:val="36"/>
          <w:szCs w:val="36"/>
        </w:rPr>
        <w:t>附：守法诚信承诺书</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××公司：</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1、我司已仔细阅读《××单位××文件》</w:t>
      </w:r>
      <w:r>
        <w:rPr>
          <w:rFonts w:cs="仿宋" w:asciiTheme="minorEastAsia" w:hAnsiTheme="minorEastAsia" w:eastAsiaTheme="minorEastAsia"/>
          <w:color w:val="auto"/>
          <w:sz w:val="24"/>
        </w:rPr>
        <w:t>（编号</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（以下</w:t>
      </w:r>
      <w:r>
        <w:rPr>
          <w:rFonts w:cs="仿宋" w:asciiTheme="minorEastAsia" w:hAnsiTheme="minorEastAsia" w:eastAsiaTheme="minorEastAsia"/>
          <w:color w:val="auto"/>
          <w:sz w:val="24"/>
        </w:rPr>
        <w:t>简称</w:t>
      </w:r>
      <w:r>
        <w:rPr>
          <w:rFonts w:hint="eastAsia" w:cs="仿宋" w:asciiTheme="minorEastAsia" w:hAnsiTheme="minorEastAsia" w:eastAsiaTheme="minorEastAsia"/>
          <w:color w:val="auto"/>
          <w:sz w:val="24"/>
        </w:rPr>
        <w:t>采购</w:t>
      </w:r>
      <w:r>
        <w:rPr>
          <w:rFonts w:cs="仿宋" w:asciiTheme="minorEastAsia" w:hAnsiTheme="minorEastAsia" w:eastAsiaTheme="minorEastAsia"/>
          <w:color w:val="auto"/>
          <w:sz w:val="24"/>
        </w:rPr>
        <w:t>文件）</w:t>
      </w:r>
      <w:r>
        <w:rPr>
          <w:rFonts w:hint="eastAsia" w:cs="仿宋" w:asciiTheme="minorEastAsia" w:hAnsiTheme="minorEastAsia" w:eastAsiaTheme="minorEastAsia"/>
          <w:color w:val="auto"/>
          <w:sz w:val="24"/>
        </w:rPr>
        <w:t>，包括采</w:t>
      </w:r>
      <w:r>
        <w:rPr>
          <w:rFonts w:cs="仿宋" w:asciiTheme="minorEastAsia" w:hAnsiTheme="minorEastAsia" w:eastAsiaTheme="minorEastAsia"/>
          <w:color w:val="auto"/>
          <w:sz w:val="24"/>
        </w:rPr>
        <w:t>购</w:t>
      </w:r>
      <w:r>
        <w:rPr>
          <w:rFonts w:hint="eastAsia" w:cs="仿宋" w:asciiTheme="minorEastAsia" w:hAnsiTheme="minorEastAsia" w:eastAsiaTheme="minorEastAsia"/>
          <w:color w:val="auto"/>
          <w:sz w:val="24"/>
        </w:rPr>
        <w:t>文件的澄清或修改说明</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2、遵纪守法，不触底线，公平公正参与竞争。我司提供的《响应文件》及其资料真实合法有效。</w:t>
      </w:r>
      <w:r>
        <w:rPr>
          <w:rFonts w:cs="仿宋" w:asciiTheme="minorEastAsia" w:hAnsiTheme="minorEastAsia" w:eastAsiaTheme="minorEastAsia"/>
          <w:color w:val="auto"/>
          <w:sz w:val="24"/>
        </w:rPr>
        <w:t xml:space="preserve"> </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3、响应期间没有因质量或</w:t>
      </w:r>
      <w:r>
        <w:rPr>
          <w:rFonts w:cs="仿宋" w:asciiTheme="minorEastAsia" w:hAnsiTheme="minorEastAsia" w:eastAsiaTheme="minorEastAsia"/>
          <w:color w:val="auto"/>
          <w:sz w:val="24"/>
        </w:rPr>
        <w:t>服务</w:t>
      </w:r>
      <w:r>
        <w:rPr>
          <w:rFonts w:hint="eastAsia" w:cs="仿宋" w:asciiTheme="minorEastAsia" w:hAnsiTheme="minorEastAsia" w:eastAsiaTheme="minorEastAsia"/>
          <w:color w:val="auto"/>
          <w:sz w:val="24"/>
        </w:rPr>
        <w:t>问题被采购人或采购人上级</w:t>
      </w:r>
      <w:r>
        <w:rPr>
          <w:rFonts w:cs="仿宋" w:asciiTheme="minorEastAsia" w:hAnsiTheme="minorEastAsia" w:eastAsiaTheme="minorEastAsia"/>
          <w:color w:val="auto"/>
          <w:sz w:val="24"/>
        </w:rPr>
        <w:t>机构</w:t>
      </w:r>
      <w:r>
        <w:rPr>
          <w:rFonts w:hint="eastAsia" w:cs="仿宋" w:asciiTheme="minorEastAsia" w:hAnsiTheme="minorEastAsia" w:eastAsiaTheme="minorEastAsia"/>
          <w:color w:val="auto"/>
          <w:sz w:val="24"/>
        </w:rPr>
        <w:t>通报且在整改期内。</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5、无联合体另外报价。</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7</w:t>
      </w:r>
      <w:r>
        <w:rPr>
          <w:rFonts w:hint="eastAsia" w:cs="仿宋" w:asciiTheme="minorEastAsia" w:hAnsiTheme="minorEastAsia" w:eastAsiaTheme="minorEastAsia"/>
          <w:color w:val="auto"/>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8</w:t>
      </w:r>
      <w:r>
        <w:rPr>
          <w:rFonts w:hint="eastAsia" w:cs="仿宋" w:asciiTheme="minorEastAsia" w:hAnsiTheme="minorEastAsia" w:eastAsiaTheme="minorEastAsia"/>
          <w:color w:val="auto"/>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9</w:t>
      </w:r>
      <w:r>
        <w:rPr>
          <w:rFonts w:hint="eastAsia" w:cs="仿宋" w:asciiTheme="minorEastAsia" w:hAnsiTheme="minorEastAsia" w:eastAsiaTheme="minorEastAsia"/>
          <w:color w:val="auto"/>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专此承诺。</w:t>
      </w:r>
    </w:p>
    <w:p>
      <w:pPr>
        <w:spacing w:line="360" w:lineRule="auto"/>
        <w:ind w:firstLine="480" w:firstLineChars="200"/>
        <w:jc w:val="both"/>
        <w:rPr>
          <w:rFonts w:cs="仿宋" w:asciiTheme="minorEastAsia" w:hAnsiTheme="minorEastAsia" w:eastAsiaTheme="minorEastAsia"/>
          <w:color w:val="auto"/>
          <w:sz w:val="24"/>
        </w:rPr>
      </w:pPr>
    </w:p>
    <w:p>
      <w:pPr>
        <w:spacing w:line="360" w:lineRule="auto"/>
        <w:ind w:firstLine="4320" w:firstLineChars="18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承诺单位</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印刷体全称</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单位公章</w:t>
      </w:r>
      <w:r>
        <w:rPr>
          <w:rFonts w:cs="仿宋" w:asciiTheme="minorEastAsia" w:hAnsiTheme="minorEastAsia" w:eastAsiaTheme="minorEastAsia"/>
          <w:color w:val="auto"/>
          <w:sz w:val="24"/>
        </w:rPr>
        <w:t>）：</w:t>
      </w:r>
    </w:p>
    <w:p>
      <w:pPr>
        <w:spacing w:line="360" w:lineRule="auto"/>
        <w:ind w:firstLine="3600" w:firstLineChars="15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承诺单位法定代表人或其委托代理人（印刷体+</w:t>
      </w:r>
      <w:r>
        <w:rPr>
          <w:rFonts w:cs="仿宋" w:asciiTheme="minorEastAsia" w:hAnsiTheme="minorEastAsia" w:eastAsiaTheme="minorEastAsia"/>
          <w:color w:val="auto"/>
          <w:sz w:val="24"/>
        </w:rPr>
        <w:t>签字）：</w:t>
      </w:r>
    </w:p>
    <w:p>
      <w:pPr>
        <w:ind w:firstLine="480" w:firstLineChars="200"/>
        <w:jc w:val="both"/>
        <w:rPr>
          <w:rFonts w:hint="eastAsia" w:cs="仿宋" w:asciiTheme="minorEastAsia" w:hAnsiTheme="minorEastAsia" w:eastAsiaTheme="minorEastAsia"/>
          <w:color w:val="auto"/>
          <w:sz w:val="24"/>
        </w:rPr>
      </w:pP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年</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月</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日</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center"/>
        <w:outlineLvl w:val="0"/>
        <w:rPr>
          <w:rFonts w:cs="仿宋" w:asciiTheme="minorEastAsia" w:hAnsiTheme="minorEastAsia" w:eastAsiaTheme="minorEastAsia"/>
          <w:color w:val="auto"/>
          <w:sz w:val="24"/>
        </w:rPr>
      </w:pPr>
      <w:bookmarkStart w:id="32" w:name="_Toc9169"/>
      <w:r>
        <w:rPr>
          <w:rFonts w:hint="eastAsia" w:ascii="黑体" w:hAnsi="黑体" w:eastAsia="黑体" w:cs="仿宋"/>
          <w:color w:val="auto"/>
          <w:sz w:val="36"/>
          <w:szCs w:val="36"/>
        </w:rPr>
        <w:t>二、授权委托书</w:t>
      </w:r>
      <w:bookmarkEnd w:id="32"/>
    </w:p>
    <w:p>
      <w:pPr>
        <w:adjustRightInd w:val="0"/>
        <w:snapToGrid w:val="0"/>
        <w:spacing w:line="600" w:lineRule="exact"/>
        <w:ind w:left="420" w:leftChars="200"/>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委托期限:自本委托书签署之日起至</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_月</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日</w:t>
      </w:r>
    </w:p>
    <w:p>
      <w:pPr>
        <w:rPr>
          <w:color w:val="auto"/>
          <w:lang w:val="zh-CN"/>
        </w:rPr>
      </w:pPr>
      <w:r>
        <w:rPr>
          <w:color w:val="auto"/>
          <w:lang w:val="zh-CN"/>
        </w:rPr>
        <w:br w:type="page"/>
      </w:r>
    </w:p>
    <w:p>
      <w:pPr>
        <w:spacing w:line="600" w:lineRule="exact"/>
        <w:jc w:val="center"/>
        <w:outlineLvl w:val="0"/>
        <w:rPr>
          <w:rFonts w:ascii="黑体" w:hAnsi="黑体" w:eastAsia="黑体" w:cs="仿宋"/>
          <w:color w:val="auto"/>
          <w:sz w:val="36"/>
          <w:szCs w:val="36"/>
        </w:rPr>
      </w:pPr>
      <w:bookmarkStart w:id="33" w:name="_Toc17678"/>
      <w:r>
        <w:rPr>
          <w:rFonts w:hint="eastAsia" w:ascii="黑体" w:hAnsi="黑体" w:eastAsia="黑体" w:cs="仿宋"/>
          <w:color w:val="auto"/>
          <w:sz w:val="36"/>
          <w:szCs w:val="36"/>
          <w:lang w:eastAsia="zh-CN"/>
        </w:rPr>
        <w:t>三、</w:t>
      </w:r>
      <w:r>
        <w:rPr>
          <w:rFonts w:hint="eastAsia" w:ascii="黑体" w:hAnsi="黑体" w:eastAsia="黑体" w:cs="仿宋"/>
          <w:color w:val="auto"/>
          <w:sz w:val="36"/>
          <w:szCs w:val="36"/>
        </w:rPr>
        <w:t>商务和技术偏差表</w:t>
      </w:r>
      <w:bookmarkEnd w:id="33"/>
    </w:p>
    <w:p>
      <w:pPr>
        <w:spacing w:line="600" w:lineRule="exact"/>
        <w:jc w:val="center"/>
        <w:rPr>
          <w:rFonts w:cs="仿宋" w:asciiTheme="minorEastAsia" w:hAnsiTheme="minorEastAsia" w:eastAsiaTheme="minorEastAsia"/>
          <w:color w:val="auto"/>
          <w:sz w:val="24"/>
        </w:rPr>
      </w:pPr>
    </w:p>
    <w:tbl>
      <w:tblPr>
        <w:tblStyle w:val="17"/>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880"/>
        <w:gridCol w:w="2723"/>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85"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2880"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采购文件章节及条款号</w:t>
            </w:r>
          </w:p>
        </w:tc>
        <w:tc>
          <w:tcPr>
            <w:tcW w:w="2723"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响应文件章节及条款号</w:t>
            </w:r>
          </w:p>
        </w:tc>
        <w:tc>
          <w:tcPr>
            <w:tcW w:w="2230"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bl>
    <w:p>
      <w:pPr>
        <w:spacing w:line="600" w:lineRule="exact"/>
        <w:ind w:left="420" w:left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供应商保证：除商务和技术偏差表列出的偏差外，供应商响应采购文件的全部要求。</w:t>
      </w:r>
    </w:p>
    <w:p>
      <w:pPr>
        <w:rPr>
          <w:color w:val="auto"/>
          <w:lang w:val="zh-CN"/>
        </w:rPr>
      </w:pPr>
      <w:r>
        <w:rPr>
          <w:color w:val="auto"/>
          <w:lang w:val="zh-CN"/>
        </w:rPr>
        <w:br w:type="page"/>
      </w:r>
    </w:p>
    <w:p>
      <w:pPr>
        <w:spacing w:line="600" w:lineRule="exact"/>
        <w:jc w:val="center"/>
        <w:outlineLvl w:val="0"/>
        <w:rPr>
          <w:rFonts w:ascii="黑体" w:hAnsi="黑体" w:eastAsia="黑体" w:cs="仿宋"/>
          <w:color w:val="auto"/>
          <w:sz w:val="36"/>
          <w:szCs w:val="36"/>
        </w:rPr>
      </w:pPr>
      <w:bookmarkStart w:id="34" w:name="_Toc505"/>
      <w:r>
        <w:rPr>
          <w:rFonts w:hint="eastAsia" w:ascii="黑体" w:hAnsi="黑体" w:eastAsia="黑体" w:cs="仿宋"/>
          <w:color w:val="auto"/>
          <w:sz w:val="36"/>
          <w:szCs w:val="36"/>
          <w:lang w:eastAsia="zh-CN"/>
        </w:rPr>
        <w:t>四、报价</w:t>
      </w:r>
      <w:r>
        <w:rPr>
          <w:rFonts w:hint="eastAsia" w:ascii="黑体" w:hAnsi="黑体" w:eastAsia="黑体" w:cs="仿宋"/>
          <w:color w:val="auto"/>
          <w:sz w:val="36"/>
          <w:szCs w:val="36"/>
        </w:rPr>
        <w:t>表</w:t>
      </w:r>
      <w:bookmarkEnd w:id="34"/>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17"/>
        <w:tblpPr w:leftFromText="180" w:rightFromText="180" w:vertAnchor="text" w:horzAnchor="page" w:tblpX="1080" w:tblpY="253"/>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95"/>
        <w:gridCol w:w="627"/>
        <w:gridCol w:w="961"/>
        <w:gridCol w:w="627"/>
        <w:gridCol w:w="850"/>
        <w:gridCol w:w="1706"/>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95"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服务费用分项名称</w:t>
            </w:r>
          </w:p>
        </w:tc>
        <w:tc>
          <w:tcPr>
            <w:tcW w:w="627"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数量</w:t>
            </w:r>
          </w:p>
        </w:tc>
        <w:tc>
          <w:tcPr>
            <w:tcW w:w="2438" w:type="dxa"/>
            <w:gridSpan w:val="3"/>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w:t>
            </w:r>
          </w:p>
        </w:tc>
        <w:tc>
          <w:tcPr>
            <w:tcW w:w="1706"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计算依据、过程和公式</w:t>
            </w:r>
          </w:p>
        </w:tc>
        <w:tc>
          <w:tcPr>
            <w:tcW w:w="2438" w:type="dxa"/>
            <w:gridSpan w:val="3"/>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w:t>
            </w:r>
          </w:p>
        </w:tc>
        <w:tc>
          <w:tcPr>
            <w:tcW w:w="627"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widowControl/>
              <w:spacing w:line="312" w:lineRule="auto"/>
              <w:jc w:val="center"/>
              <w:rPr>
                <w:rFonts w:cs="仿宋" w:asciiTheme="minorEastAsia" w:hAnsiTheme="minorEastAsia" w:eastAsiaTheme="minorEastAsia"/>
                <w:sz w:val="24"/>
              </w:rPr>
            </w:pPr>
          </w:p>
        </w:tc>
        <w:tc>
          <w:tcPr>
            <w:tcW w:w="1295" w:type="dxa"/>
            <w:vMerge w:val="continue"/>
            <w:vAlign w:val="center"/>
          </w:tcPr>
          <w:p>
            <w:pPr>
              <w:widowControl/>
              <w:spacing w:line="312" w:lineRule="auto"/>
              <w:jc w:val="center"/>
              <w:rPr>
                <w:rFonts w:cs="仿宋" w:asciiTheme="minorEastAsia" w:hAnsiTheme="minorEastAsia" w:eastAsiaTheme="minorEastAsia"/>
                <w:sz w:val="24"/>
              </w:rPr>
            </w:pPr>
          </w:p>
        </w:tc>
        <w:tc>
          <w:tcPr>
            <w:tcW w:w="627" w:type="dxa"/>
            <w:vMerge w:val="continue"/>
            <w:vAlign w:val="center"/>
          </w:tcPr>
          <w:p>
            <w:pPr>
              <w:widowControl/>
              <w:spacing w:line="312" w:lineRule="auto"/>
              <w:jc w:val="center"/>
              <w:rPr>
                <w:rFonts w:cs="仿宋" w:asciiTheme="minorEastAsia" w:hAnsiTheme="minorEastAsia" w:eastAsiaTheme="minorEastAsia"/>
                <w:sz w:val="24"/>
              </w:rPr>
            </w:pPr>
          </w:p>
        </w:tc>
        <w:tc>
          <w:tcPr>
            <w:tcW w:w="961"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1706" w:type="dxa"/>
            <w:vMerge w:val="continue"/>
            <w:vAlign w:val="center"/>
          </w:tcPr>
          <w:p>
            <w:pPr>
              <w:widowControl/>
              <w:spacing w:line="312" w:lineRule="auto"/>
              <w:jc w:val="center"/>
              <w:rPr>
                <w:rFonts w:cs="仿宋" w:asciiTheme="minorEastAsia" w:hAnsiTheme="minorEastAsia" w:eastAsiaTheme="minorEastAsia"/>
                <w:sz w:val="24"/>
              </w:rPr>
            </w:pPr>
          </w:p>
        </w:tc>
        <w:tc>
          <w:tcPr>
            <w:tcW w:w="961"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627" w:type="dxa"/>
            <w:vMerge w:val="continue"/>
            <w:vAlign w:val="center"/>
          </w:tcPr>
          <w:p>
            <w:pPr>
              <w:widowControl/>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95" w:type="dxa"/>
            <w:vAlign w:val="center"/>
          </w:tcPr>
          <w:p>
            <w:pPr>
              <w:widowControl/>
              <w:spacing w:line="312" w:lineRule="auto"/>
              <w:jc w:val="center"/>
              <w:rPr>
                <w:rFonts w:cs="仿宋" w:asciiTheme="minorEastAsia" w:hAnsiTheme="minorEastAsia" w:eastAsiaTheme="minorEastAsia"/>
                <w:sz w:val="24"/>
              </w:rPr>
            </w:pPr>
          </w:p>
        </w:tc>
        <w:tc>
          <w:tcPr>
            <w:tcW w:w="627" w:type="dxa"/>
            <w:vAlign w:val="center"/>
          </w:tcPr>
          <w:p>
            <w:pPr>
              <w:widowControl/>
              <w:spacing w:line="312" w:lineRule="auto"/>
              <w:jc w:val="center"/>
              <w:rPr>
                <w:rFonts w:cs="仿宋" w:asciiTheme="minorEastAsia" w:hAnsiTheme="minorEastAsia" w:eastAsiaTheme="minorEastAsia"/>
                <w:sz w:val="24"/>
              </w:rPr>
            </w:pPr>
          </w:p>
        </w:tc>
        <w:tc>
          <w:tcPr>
            <w:tcW w:w="961" w:type="dxa"/>
            <w:vAlign w:val="center"/>
          </w:tcPr>
          <w:p>
            <w:pPr>
              <w:widowControl/>
              <w:spacing w:line="312" w:lineRule="auto"/>
              <w:jc w:val="center"/>
              <w:rPr>
                <w:rFonts w:cs="仿宋" w:asciiTheme="minorEastAsia" w:hAnsiTheme="minorEastAsia" w:eastAsiaTheme="minorEastAsia"/>
                <w:sz w:val="24"/>
              </w:rPr>
            </w:pPr>
          </w:p>
        </w:tc>
        <w:tc>
          <w:tcPr>
            <w:tcW w:w="627" w:type="dxa"/>
            <w:vAlign w:val="center"/>
          </w:tcPr>
          <w:p>
            <w:pPr>
              <w:widowControl/>
              <w:spacing w:line="312" w:lineRule="auto"/>
              <w:jc w:val="center"/>
              <w:rPr>
                <w:rFonts w:cs="仿宋" w:asciiTheme="minorEastAsia" w:hAnsiTheme="minorEastAsia" w:eastAsiaTheme="minorEastAsia"/>
                <w:sz w:val="24"/>
              </w:rPr>
            </w:pPr>
          </w:p>
        </w:tc>
        <w:tc>
          <w:tcPr>
            <w:tcW w:w="850" w:type="dxa"/>
            <w:vAlign w:val="center"/>
          </w:tcPr>
          <w:p>
            <w:pPr>
              <w:widowControl/>
              <w:spacing w:line="312" w:lineRule="auto"/>
              <w:jc w:val="center"/>
              <w:rPr>
                <w:rFonts w:cs="仿宋" w:asciiTheme="minorEastAsia" w:hAnsiTheme="minorEastAsia" w:eastAsiaTheme="minorEastAsia"/>
                <w:sz w:val="24"/>
              </w:rPr>
            </w:pPr>
          </w:p>
        </w:tc>
        <w:tc>
          <w:tcPr>
            <w:tcW w:w="1706" w:type="dxa"/>
            <w:vAlign w:val="center"/>
          </w:tcPr>
          <w:p>
            <w:pPr>
              <w:widowControl/>
              <w:spacing w:line="312" w:lineRule="auto"/>
              <w:jc w:val="center"/>
              <w:rPr>
                <w:rFonts w:cs="仿宋" w:asciiTheme="minorEastAsia" w:hAnsiTheme="minorEastAsia" w:eastAsiaTheme="minorEastAsia"/>
                <w:sz w:val="24"/>
              </w:rPr>
            </w:pPr>
          </w:p>
        </w:tc>
        <w:tc>
          <w:tcPr>
            <w:tcW w:w="961" w:type="dxa"/>
            <w:vAlign w:val="center"/>
          </w:tcPr>
          <w:p>
            <w:pPr>
              <w:widowControl/>
              <w:spacing w:line="312" w:lineRule="auto"/>
              <w:jc w:val="center"/>
              <w:rPr>
                <w:rFonts w:cs="仿宋" w:asciiTheme="minorEastAsia" w:hAnsiTheme="minorEastAsia" w:eastAsiaTheme="minorEastAsia"/>
                <w:sz w:val="24"/>
              </w:rPr>
            </w:pPr>
          </w:p>
        </w:tc>
        <w:tc>
          <w:tcPr>
            <w:tcW w:w="627" w:type="dxa"/>
            <w:vAlign w:val="center"/>
          </w:tcPr>
          <w:p>
            <w:pPr>
              <w:widowControl/>
              <w:spacing w:line="312" w:lineRule="auto"/>
              <w:jc w:val="center"/>
              <w:rPr>
                <w:rFonts w:cs="仿宋" w:asciiTheme="minorEastAsia" w:hAnsiTheme="minorEastAsia" w:eastAsiaTheme="minorEastAsia"/>
                <w:sz w:val="24"/>
              </w:rPr>
            </w:pPr>
          </w:p>
        </w:tc>
        <w:tc>
          <w:tcPr>
            <w:tcW w:w="850" w:type="dxa"/>
            <w:vAlign w:val="center"/>
          </w:tcPr>
          <w:p>
            <w:pPr>
              <w:widowControl/>
              <w:spacing w:line="312" w:lineRule="auto"/>
              <w:jc w:val="center"/>
              <w:rPr>
                <w:rFonts w:cs="仿宋" w:asciiTheme="minorEastAsia" w:hAnsiTheme="minorEastAsia" w:eastAsiaTheme="minorEastAsia"/>
                <w:sz w:val="24"/>
              </w:rPr>
            </w:pPr>
          </w:p>
        </w:tc>
        <w:tc>
          <w:tcPr>
            <w:tcW w:w="627" w:type="dxa"/>
            <w:vAlign w:val="center"/>
          </w:tcPr>
          <w:p>
            <w:pPr>
              <w:widowControl/>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95"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95"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1295"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295"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合计报价</w:t>
            </w: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注：若分项费用的计算依据、过程和公式不便在表中表述，可单独另附表格或描述进行说明。</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center"/>
        <w:outlineLvl w:val="0"/>
        <w:rPr>
          <w:rFonts w:ascii="黑体" w:hAnsi="黑体" w:eastAsia="黑体" w:cs="仿宋"/>
          <w:color w:val="auto"/>
          <w:sz w:val="36"/>
          <w:szCs w:val="36"/>
        </w:rPr>
      </w:pPr>
      <w:bookmarkStart w:id="35" w:name="_Toc17664"/>
      <w:r>
        <w:rPr>
          <w:rFonts w:hint="eastAsia" w:ascii="黑体" w:hAnsi="黑体" w:eastAsia="黑体" w:cs="仿宋"/>
          <w:color w:val="auto"/>
          <w:sz w:val="36"/>
          <w:szCs w:val="36"/>
          <w:lang w:eastAsia="zh-CN"/>
        </w:rPr>
        <w:t>五、</w:t>
      </w:r>
      <w:r>
        <w:rPr>
          <w:rFonts w:hint="eastAsia" w:ascii="黑体" w:hAnsi="黑体" w:eastAsia="黑体" w:cs="仿宋"/>
          <w:color w:val="auto"/>
          <w:sz w:val="36"/>
          <w:szCs w:val="36"/>
        </w:rPr>
        <w:t>资格审查资料</w:t>
      </w:r>
      <w:bookmarkEnd w:id="35"/>
    </w:p>
    <w:p>
      <w:pPr>
        <w:spacing w:line="600" w:lineRule="exact"/>
        <w:jc w:val="both"/>
        <w:rPr>
          <w:rFonts w:ascii="黑体" w:hAnsi="黑体" w:eastAsia="黑体" w:cs="仿宋"/>
          <w:color w:val="auto"/>
          <w:sz w:val="36"/>
          <w:szCs w:val="36"/>
        </w:rPr>
      </w:pP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（一）基本情况</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供应商还应根据供应商须知前地表第3.5（5）项、第3.5（7）项和第3.5（8）项的要求提供其他相关证明材料。</w:t>
      </w:r>
    </w:p>
    <w:p>
      <w:pPr>
        <w:spacing w:line="600" w:lineRule="exact"/>
        <w:jc w:val="both"/>
        <w:rPr>
          <w:rFonts w:hint="eastAsia" w:cs="仿宋" w:asciiTheme="minorEastAsia" w:hAnsiTheme="minorEastAsia" w:eastAsiaTheme="minorEastAsia"/>
          <w:color w:val="auto"/>
          <w:sz w:val="24"/>
          <w:lang w:eastAsia="zh-CN"/>
        </w:rPr>
      </w:pPr>
      <w:r>
        <w:rPr>
          <w:rFonts w:hint="eastAsia" w:cs="仿宋" w:asciiTheme="minorEastAsia" w:hAnsiTheme="minorEastAsia" w:eastAsiaTheme="minorEastAsia"/>
          <w:color w:val="auto"/>
          <w:sz w:val="24"/>
        </w:rPr>
        <w:t>（二）近年的类似项目情况表</w:t>
      </w:r>
      <w:r>
        <w:rPr>
          <w:rFonts w:hint="eastAsia" w:cs="仿宋" w:asciiTheme="minorEastAsia" w:hAnsiTheme="minorEastAsia" w:eastAsiaTheme="minorEastAsia"/>
          <w:color w:val="auto"/>
          <w:sz w:val="24"/>
          <w:lang w:eastAsia="zh-CN"/>
        </w:rPr>
        <w:t>（提供</w:t>
      </w:r>
      <w:r>
        <w:rPr>
          <w:rFonts w:hint="eastAsia" w:cs="仿宋" w:asciiTheme="minorEastAsia" w:hAnsiTheme="minorEastAsia" w:eastAsiaTheme="minorEastAsia"/>
          <w:color w:val="auto"/>
          <w:sz w:val="24"/>
          <w:lang w:val="en-US" w:eastAsia="zh-CN"/>
        </w:rPr>
        <w:t>2个</w:t>
      </w:r>
      <w:r>
        <w:rPr>
          <w:rFonts w:hint="eastAsia" w:cs="仿宋" w:asciiTheme="minorEastAsia" w:hAnsiTheme="minorEastAsia" w:eastAsiaTheme="minorEastAsia"/>
          <w:color w:val="auto"/>
          <w:sz w:val="24"/>
          <w:lang w:eastAsia="zh-CN"/>
        </w:rPr>
        <w:t>）</w:t>
      </w:r>
    </w:p>
    <w:tbl>
      <w:tblPr>
        <w:tblStyle w:val="17"/>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295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项目名称</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服务内容</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委托人名称</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委托人联系人及电话</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合同价格</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服务是否完成</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项目负责人（如有）</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项目概况及供应商履约情况</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bl>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注：供应商应根据供应商须知前附表第3.5（4）项的要求在本表后附相关证明材料。</w:t>
      </w:r>
    </w:p>
    <w:p>
      <w:pPr>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eastAsia="zh-CN"/>
        </w:rPr>
        <w:t>三</w:t>
      </w:r>
      <w:r>
        <w:rPr>
          <w:rFonts w:hint="eastAsia" w:cs="仿宋" w:asciiTheme="minorEastAsia" w:hAnsiTheme="minorEastAsia" w:eastAsiaTheme="minorEastAsia"/>
          <w:color w:val="auto"/>
          <w:sz w:val="24"/>
        </w:rPr>
        <w:t>）拟委任的主要人员汇总表</w:t>
      </w:r>
    </w:p>
    <w:tbl>
      <w:tblPr>
        <w:tblStyle w:val="1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本项目任职</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姓名</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职称</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专业</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bl>
    <w:p>
      <w:pPr>
        <w:jc w:val="both"/>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pStyle w:val="15"/>
        <w:numPr>
          <w:ilvl w:val="0"/>
          <w:numId w:val="0"/>
        </w:numPr>
        <w:ind w:left="420" w:leftChars="0"/>
        <w:rPr>
          <w:color w:val="auto"/>
        </w:rPr>
      </w:pPr>
    </w:p>
    <w:p>
      <w:pPr>
        <w:pStyle w:val="15"/>
        <w:numPr>
          <w:ilvl w:val="0"/>
          <w:numId w:val="7"/>
        </w:numPr>
        <w:ind w:left="420" w:leftChars="0"/>
        <w:jc w:val="center"/>
        <w:outlineLvl w:val="0"/>
        <w:rPr>
          <w:rFonts w:hint="eastAsia" w:ascii="黑体" w:hAnsi="黑体" w:eastAsia="黑体" w:cs="仿宋"/>
          <w:color w:val="auto"/>
          <w:sz w:val="36"/>
          <w:szCs w:val="36"/>
          <w:lang w:val="zh-CN"/>
        </w:rPr>
      </w:pPr>
      <w:bookmarkStart w:id="36" w:name="_Toc15239"/>
      <w:r>
        <w:rPr>
          <w:rFonts w:hint="eastAsia" w:ascii="黑体" w:hAnsi="黑体" w:eastAsia="黑体" w:cs="仿宋"/>
          <w:color w:val="auto"/>
          <w:sz w:val="36"/>
          <w:szCs w:val="36"/>
        </w:rPr>
        <w:t>响应方案</w:t>
      </w:r>
      <w:bookmarkEnd w:id="36"/>
    </w:p>
    <w:p>
      <w:pPr>
        <w:pStyle w:val="15"/>
        <w:numPr>
          <w:ilvl w:val="0"/>
          <w:numId w:val="0"/>
        </w:numPr>
        <w:jc w:val="both"/>
        <w:rPr>
          <w:rFonts w:hint="eastAsia" w:ascii="黑体" w:hAnsi="黑体" w:eastAsia="黑体" w:cs="仿宋"/>
          <w:color w:val="auto"/>
          <w:sz w:val="36"/>
          <w:szCs w:val="36"/>
          <w:lang w:val="zh-CN"/>
        </w:rPr>
      </w:pP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响应方案一般包括(但不限于)下列内容:</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(1)服务范围及内容；</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(2)拟投入本项目的服务人员；</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)对本项目的合理化建议。</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pStyle w:val="15"/>
        <w:numPr>
          <w:ilvl w:val="0"/>
          <w:numId w:val="7"/>
        </w:numPr>
        <w:ind w:left="420" w:leftChars="0" w:firstLine="420" w:firstLineChars="0"/>
        <w:jc w:val="center"/>
        <w:outlineLvl w:val="0"/>
        <w:rPr>
          <w:rFonts w:hint="eastAsia" w:ascii="黑体" w:hAnsi="黑体" w:eastAsia="黑体" w:cs="黑体"/>
          <w:b w:val="0"/>
          <w:bCs w:val="0"/>
          <w:color w:val="auto"/>
          <w:sz w:val="36"/>
          <w:szCs w:val="36"/>
          <w:lang w:eastAsia="zh-CN"/>
        </w:rPr>
      </w:pPr>
      <w:bookmarkStart w:id="37" w:name="_Toc21069"/>
      <w:r>
        <w:rPr>
          <w:rFonts w:hint="eastAsia" w:ascii="黑体" w:hAnsi="黑体" w:eastAsia="黑体" w:cs="黑体"/>
          <w:b w:val="0"/>
          <w:bCs w:val="0"/>
          <w:color w:val="auto"/>
          <w:sz w:val="36"/>
          <w:szCs w:val="36"/>
          <w:lang w:eastAsia="zh-CN"/>
        </w:rPr>
        <w:t>其他资料</w:t>
      </w:r>
      <w:bookmarkEnd w:id="37"/>
    </w:p>
    <w:p>
      <w:pPr>
        <w:pStyle w:val="15"/>
        <w:numPr>
          <w:ilvl w:val="0"/>
          <w:numId w:val="0"/>
        </w:numPr>
        <w:ind w:left="840" w:leftChars="0"/>
        <w:jc w:val="both"/>
        <w:rPr>
          <w:rFonts w:hint="eastAsia" w:ascii="黑体" w:hAnsi="黑体" w:eastAsia="黑体" w:cs="黑体"/>
          <w:b w:val="0"/>
          <w:bCs w:val="0"/>
          <w:color w:val="auto"/>
          <w:sz w:val="36"/>
          <w:szCs w:val="36"/>
          <w:lang w:eastAsia="zh-CN"/>
        </w:rPr>
      </w:pPr>
    </w:p>
    <w:p>
      <w:pPr>
        <w:pStyle w:val="15"/>
        <w:numPr>
          <w:ilvl w:val="0"/>
          <w:numId w:val="0"/>
        </w:numPr>
        <w:ind w:left="840" w:leftChars="0"/>
        <w:jc w:val="both"/>
        <w:rPr>
          <w:rFonts w:hint="eastAsia" w:ascii="黑体" w:hAnsi="黑体" w:eastAsia="黑体" w:cs="黑体"/>
          <w:b w:val="0"/>
          <w:bCs w:val="0"/>
          <w:color w:val="auto"/>
          <w:sz w:val="36"/>
          <w:szCs w:val="36"/>
          <w:lang w:eastAsia="zh-CN"/>
        </w:rPr>
      </w:pPr>
    </w:p>
    <w:p>
      <w:pPr>
        <w:pStyle w:val="15"/>
        <w:numPr>
          <w:ilvl w:val="0"/>
          <w:numId w:val="0"/>
        </w:numPr>
        <w:jc w:val="center"/>
        <w:outlineLvl w:val="0"/>
        <w:rPr>
          <w:rFonts w:hint="eastAsia" w:ascii="宋体" w:hAnsi="宋体" w:eastAsia="宋体" w:cs="宋体"/>
          <w:b w:val="0"/>
          <w:bCs w:val="0"/>
          <w:color w:val="auto"/>
          <w:sz w:val="28"/>
          <w:szCs w:val="28"/>
          <w:lang w:eastAsia="zh-CN"/>
        </w:rPr>
      </w:pPr>
      <w:bookmarkStart w:id="38" w:name="_Toc13147"/>
      <w:r>
        <w:rPr>
          <w:rFonts w:hint="eastAsia" w:ascii="宋体" w:hAnsi="宋体" w:eastAsia="宋体" w:cs="宋体"/>
          <w:b w:val="0"/>
          <w:bCs w:val="0"/>
          <w:color w:val="auto"/>
          <w:sz w:val="28"/>
          <w:szCs w:val="28"/>
          <w:lang w:eastAsia="zh-CN"/>
        </w:rPr>
        <w:t>（供应商结合企业实际情况提供）</w:t>
      </w:r>
      <w:bookmarkEnd w:id="38"/>
    </w:p>
    <w:p>
      <w:pPr>
        <w:pStyle w:val="15"/>
        <w:numPr>
          <w:ilvl w:val="0"/>
          <w:numId w:val="0"/>
        </w:numPr>
        <w:ind w:left="840" w:leftChars="0"/>
        <w:jc w:val="both"/>
        <w:rPr>
          <w:rFonts w:hint="eastAsia" w:ascii="黑体" w:hAnsi="黑体" w:eastAsia="黑体" w:cs="仿宋"/>
          <w:color w:val="auto"/>
          <w:sz w:val="36"/>
          <w:szCs w:val="36"/>
          <w:lang w:val="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12"/>
        <w:ind w:left="0" w:leftChars="0" w:firstLine="0" w:firstLineChars="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59AF1"/>
    <w:multiLevelType w:val="singleLevel"/>
    <w:tmpl w:val="94559AF1"/>
    <w:lvl w:ilvl="0" w:tentative="0">
      <w:start w:val="1"/>
      <w:numFmt w:val="decimal"/>
      <w:lvlText w:val="(%1)"/>
      <w:lvlJc w:val="left"/>
      <w:pPr>
        <w:tabs>
          <w:tab w:val="left" w:pos="312"/>
        </w:tabs>
      </w:pPr>
    </w:lvl>
  </w:abstractNum>
  <w:abstractNum w:abstractNumId="1">
    <w:nsid w:val="00000011"/>
    <w:multiLevelType w:val="multilevel"/>
    <w:tmpl w:val="00000011"/>
    <w:lvl w:ilvl="0" w:tentative="0">
      <w:start w:val="1"/>
      <w:numFmt w:val="decimal"/>
      <w:pStyle w:val="2"/>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1230694F"/>
    <w:multiLevelType w:val="singleLevel"/>
    <w:tmpl w:val="1230694F"/>
    <w:lvl w:ilvl="0" w:tentative="0">
      <w:start w:val="1"/>
      <w:numFmt w:val="chineseCounting"/>
      <w:suff w:val="space"/>
      <w:lvlText w:val="第%1章"/>
      <w:lvlJc w:val="left"/>
      <w:rPr>
        <w:rFonts w:hint="eastAsia"/>
      </w:rPr>
    </w:lvl>
  </w:abstractNum>
  <w:abstractNum w:abstractNumId="4">
    <w:nsid w:val="300A89A2"/>
    <w:multiLevelType w:val="singleLevel"/>
    <w:tmpl w:val="300A89A2"/>
    <w:lvl w:ilvl="0" w:tentative="0">
      <w:start w:val="6"/>
      <w:numFmt w:val="chineseCounting"/>
      <w:suff w:val="nothing"/>
      <w:lvlText w:val="%1、"/>
      <w:lvlJc w:val="left"/>
      <w:rPr>
        <w:rFonts w:hint="eastAsia"/>
      </w:rPr>
    </w:lvl>
  </w:abstractNum>
  <w:abstractNum w:abstractNumId="5">
    <w:nsid w:val="3601A173"/>
    <w:multiLevelType w:val="singleLevel"/>
    <w:tmpl w:val="3601A173"/>
    <w:lvl w:ilvl="0" w:tentative="0">
      <w:start w:val="1"/>
      <w:numFmt w:val="chineseCounting"/>
      <w:suff w:val="nothing"/>
      <w:lvlText w:val="%1、"/>
      <w:lvlJc w:val="left"/>
      <w:rPr>
        <w:rFonts w:hint="eastAsia"/>
      </w:rPr>
    </w:lvl>
  </w:abstractNum>
  <w:abstractNum w:abstractNumId="6">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BFC"/>
    <w:rsid w:val="00504045"/>
    <w:rsid w:val="0073317D"/>
    <w:rsid w:val="00831C1C"/>
    <w:rsid w:val="05146D75"/>
    <w:rsid w:val="0559143D"/>
    <w:rsid w:val="05EE474C"/>
    <w:rsid w:val="0817059F"/>
    <w:rsid w:val="09263EF3"/>
    <w:rsid w:val="0A596B5B"/>
    <w:rsid w:val="0D40255D"/>
    <w:rsid w:val="0D5046F7"/>
    <w:rsid w:val="0DA23B5C"/>
    <w:rsid w:val="0EA813EF"/>
    <w:rsid w:val="101E71B8"/>
    <w:rsid w:val="104007F8"/>
    <w:rsid w:val="105877A0"/>
    <w:rsid w:val="12D927D1"/>
    <w:rsid w:val="12EC7207"/>
    <w:rsid w:val="13365C72"/>
    <w:rsid w:val="147E0DA7"/>
    <w:rsid w:val="15F87128"/>
    <w:rsid w:val="17CC0832"/>
    <w:rsid w:val="19FD11F2"/>
    <w:rsid w:val="1B7D4040"/>
    <w:rsid w:val="1CDA5F8A"/>
    <w:rsid w:val="1D676E30"/>
    <w:rsid w:val="1E9C7A55"/>
    <w:rsid w:val="1F8A13FF"/>
    <w:rsid w:val="1FA03001"/>
    <w:rsid w:val="20FC2B5E"/>
    <w:rsid w:val="21551AAA"/>
    <w:rsid w:val="21B14A12"/>
    <w:rsid w:val="23311B9A"/>
    <w:rsid w:val="23BF0F9F"/>
    <w:rsid w:val="23C9146A"/>
    <w:rsid w:val="270900D9"/>
    <w:rsid w:val="2AB47A28"/>
    <w:rsid w:val="2CA8442E"/>
    <w:rsid w:val="2D5D35C4"/>
    <w:rsid w:val="2E3C3753"/>
    <w:rsid w:val="2F411A82"/>
    <w:rsid w:val="300813F3"/>
    <w:rsid w:val="30B15C1C"/>
    <w:rsid w:val="30FE1004"/>
    <w:rsid w:val="3107065A"/>
    <w:rsid w:val="31083C03"/>
    <w:rsid w:val="34914DA6"/>
    <w:rsid w:val="34FE0AEE"/>
    <w:rsid w:val="35D64A66"/>
    <w:rsid w:val="37811BEE"/>
    <w:rsid w:val="378510A5"/>
    <w:rsid w:val="385801FE"/>
    <w:rsid w:val="38665021"/>
    <w:rsid w:val="38CC7D23"/>
    <w:rsid w:val="3A073842"/>
    <w:rsid w:val="3BF633D1"/>
    <w:rsid w:val="3C8A369E"/>
    <w:rsid w:val="3D5546D1"/>
    <w:rsid w:val="3EA36A1B"/>
    <w:rsid w:val="40215770"/>
    <w:rsid w:val="40F328B0"/>
    <w:rsid w:val="41033D52"/>
    <w:rsid w:val="413D1B1B"/>
    <w:rsid w:val="41567BB7"/>
    <w:rsid w:val="42FC5917"/>
    <w:rsid w:val="43A01B1B"/>
    <w:rsid w:val="44462187"/>
    <w:rsid w:val="454F4524"/>
    <w:rsid w:val="464722B0"/>
    <w:rsid w:val="4A1314DA"/>
    <w:rsid w:val="4A1A5E18"/>
    <w:rsid w:val="4B727641"/>
    <w:rsid w:val="4B8452C9"/>
    <w:rsid w:val="4CC255DD"/>
    <w:rsid w:val="4D013014"/>
    <w:rsid w:val="4D064117"/>
    <w:rsid w:val="4E0D3669"/>
    <w:rsid w:val="4E253644"/>
    <w:rsid w:val="4F0F110D"/>
    <w:rsid w:val="4FB05930"/>
    <w:rsid w:val="500F671C"/>
    <w:rsid w:val="52984B42"/>
    <w:rsid w:val="54631631"/>
    <w:rsid w:val="5A4E66C9"/>
    <w:rsid w:val="5A805ADD"/>
    <w:rsid w:val="5AA53FED"/>
    <w:rsid w:val="5B294816"/>
    <w:rsid w:val="5B573449"/>
    <w:rsid w:val="5BA423C0"/>
    <w:rsid w:val="5CBB6EEA"/>
    <w:rsid w:val="5D725853"/>
    <w:rsid w:val="5E14397E"/>
    <w:rsid w:val="5E502386"/>
    <w:rsid w:val="5E5932A6"/>
    <w:rsid w:val="5EAD43BF"/>
    <w:rsid w:val="5F73593B"/>
    <w:rsid w:val="5F9A0EB1"/>
    <w:rsid w:val="5FA70B09"/>
    <w:rsid w:val="5FEA694B"/>
    <w:rsid w:val="60785A18"/>
    <w:rsid w:val="61400757"/>
    <w:rsid w:val="61E873BF"/>
    <w:rsid w:val="623B7BE4"/>
    <w:rsid w:val="63201FCA"/>
    <w:rsid w:val="63AC50A3"/>
    <w:rsid w:val="651D5826"/>
    <w:rsid w:val="66B70135"/>
    <w:rsid w:val="67287FDF"/>
    <w:rsid w:val="676B7FCA"/>
    <w:rsid w:val="697769D4"/>
    <w:rsid w:val="6A8B1010"/>
    <w:rsid w:val="6B1F3BFC"/>
    <w:rsid w:val="6C9A54AD"/>
    <w:rsid w:val="6DA00A50"/>
    <w:rsid w:val="6DC54D99"/>
    <w:rsid w:val="702F1D93"/>
    <w:rsid w:val="709C5869"/>
    <w:rsid w:val="70C6205C"/>
    <w:rsid w:val="72976EE5"/>
    <w:rsid w:val="7447242C"/>
    <w:rsid w:val="75335B2B"/>
    <w:rsid w:val="771A66ED"/>
    <w:rsid w:val="78D4504A"/>
    <w:rsid w:val="793D50B0"/>
    <w:rsid w:val="7A4A4B2B"/>
    <w:rsid w:val="7AE901D9"/>
    <w:rsid w:val="7B793E4D"/>
    <w:rsid w:val="7CA1074A"/>
    <w:rsid w:val="7EDE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6">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spacing w:after="120"/>
      <w:ind w:left="0" w:firstLine="0"/>
    </w:pPr>
    <w:rPr>
      <w:rFonts w:ascii="Times New Roman" w:hAnsi="Times New Roman"/>
      <w:szCs w:val="24"/>
    </w:rPr>
  </w:style>
  <w:style w:type="paragraph" w:customStyle="1" w:styleId="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9242"/>
      </w:tabs>
      <w:spacing w:beforeLines="25" w:afterLines="25"/>
    </w:pPr>
    <w:rPr>
      <w:rFonts w:ascii="宋体"/>
      <w:szCs w:val="21"/>
    </w:rPr>
  </w:style>
  <w:style w:type="paragraph" w:styleId="12">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3">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Normal (Web)"/>
    <w:basedOn w:val="1"/>
    <w:unhideWhenUsed/>
    <w:qFormat/>
    <w:uiPriority w:val="99"/>
    <w:pPr>
      <w:spacing w:before="100" w:beforeAutospacing="1" w:after="100" w:afterAutospacing="1"/>
    </w:pPr>
    <w:rPr>
      <w:rFonts w:ascii="宋体" w:hAnsi="宋体" w:cs="宋体"/>
      <w:kern w:val="0"/>
      <w:sz w:val="24"/>
    </w:rPr>
  </w:style>
  <w:style w:type="paragraph" w:styleId="15">
    <w:name w:val="Body Text First Indent"/>
    <w:basedOn w:val="2"/>
    <w:qFormat/>
    <w:uiPriority w:val="0"/>
    <w:pPr>
      <w:autoSpaceDE w:val="0"/>
      <w:autoSpaceDN w:val="0"/>
      <w:adjustRightInd w:val="0"/>
      <w:ind w:firstLine="420"/>
      <w:jc w:val="left"/>
      <w:textAlignment w:val="baseline"/>
    </w:pPr>
    <w:rPr>
      <w:rFonts w:ascii="宋体"/>
      <w:sz w:val="34"/>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Hyperlink"/>
    <w:qFormat/>
    <w:uiPriority w:val="99"/>
    <w:rPr>
      <w:color w:val="0000FF"/>
      <w:spacing w:val="0"/>
      <w:w w:val="100"/>
      <w:szCs w:val="21"/>
      <w:u w:val="single"/>
      <w:lang w:val="en-US" w:eastAsia="zh-CN"/>
    </w:rPr>
  </w:style>
  <w:style w:type="character" w:styleId="21">
    <w:name w:val="footnote reference"/>
    <w:qFormat/>
    <w:uiPriority w:val="0"/>
    <w:rPr>
      <w:vertAlign w:val="superscript"/>
    </w:rPr>
  </w:style>
  <w:style w:type="paragraph" w:customStyle="1" w:styleId="22">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styleId="23">
    <w:name w:val="List Paragraph"/>
    <w:basedOn w:val="1"/>
    <w:qFormat/>
    <w:uiPriority w:val="34"/>
    <w:pPr>
      <w:ind w:firstLine="420" w:firstLineChars="200"/>
    </w:pPr>
    <w:rPr>
      <w:rFonts w:ascii="宋体" w:hAnsi="宋体" w:cs="宋体"/>
      <w:kern w:val="0"/>
      <w:sz w:val="24"/>
    </w:rPr>
  </w:style>
  <w:style w:type="paragraph" w:customStyle="1" w:styleId="24">
    <w:name w:val="一级条标题"/>
    <w:next w:val="25"/>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5">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2021-09-16T06:44:00Z</dcterms:created>
  <dc:creator>LILY</dc:creator>
  <cp:lastModifiedBy>lenovo</cp:lastModifiedBy>
  <cp:lastPrinted>2021-10-20T09:04:00Z</cp:lastPrinted>
  <dcterms:modified xsi:type="dcterms:W3CDTF">2021-12-28T00:59:20Z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AE36FF8F09D041649F882F1FF05B3176</vt:lpwstr>
  </property>
</Properties>
</file>