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rPr>
        <w:t>岳阳城陵矶新港有限公司</w:t>
      </w:r>
    </w:p>
    <w:p>
      <w:pPr>
        <w:pStyle w:val="36"/>
        <w:rPr>
          <w:rFonts w:ascii="黑体" w:hAnsi="黑体" w:eastAsia="黑体"/>
          <w:b/>
          <w:bCs/>
          <w:sz w:val="52"/>
          <w:szCs w:val="52"/>
        </w:rPr>
      </w:pPr>
    </w:p>
    <w:p>
      <w:pPr>
        <w:pStyle w:val="36"/>
        <w:ind w:firstLine="0"/>
        <w:rPr>
          <w:rFonts w:ascii="黑体" w:hAnsi="黑体" w:eastAsia="黑体"/>
          <w:b/>
          <w:bCs/>
          <w:sz w:val="52"/>
          <w:szCs w:val="52"/>
        </w:rPr>
      </w:pPr>
    </w:p>
    <w:p>
      <w:pPr>
        <w:pStyle w:val="36"/>
        <w:ind w:firstLine="0"/>
        <w:rPr>
          <w:rFonts w:ascii="黑体" w:hAnsi="黑体" w:eastAsia="黑体"/>
          <w:b/>
          <w:bCs/>
          <w:sz w:val="52"/>
          <w:szCs w:val="52"/>
        </w:rPr>
      </w:pPr>
    </w:p>
    <w:p>
      <w:pPr>
        <w:pStyle w:val="36"/>
        <w:rPr>
          <w:rFonts w:ascii="黑体" w:hAnsi="黑体" w:eastAsia="黑体"/>
          <w:b/>
          <w:bCs/>
          <w:sz w:val="52"/>
          <w:szCs w:val="52"/>
        </w:rPr>
      </w:pPr>
    </w:p>
    <w:p>
      <w:pPr>
        <w:pStyle w:val="36"/>
        <w:rPr>
          <w:rFonts w:ascii="黑体" w:hAnsi="黑体" w:eastAsia="黑体"/>
          <w:b/>
          <w:bCs/>
          <w:sz w:val="52"/>
          <w:szCs w:val="52"/>
        </w:rPr>
      </w:pPr>
    </w:p>
    <w:p>
      <w:pPr>
        <w:pStyle w:val="36"/>
        <w:rPr>
          <w:rFonts w:ascii="黑体" w:hAnsi="黑体" w:eastAsia="黑体"/>
          <w:b/>
          <w:bCs/>
          <w:sz w:val="52"/>
          <w:szCs w:val="52"/>
          <w:highlight w:val="none"/>
        </w:rPr>
      </w:pPr>
    </w:p>
    <w:p>
      <w:pPr>
        <w:pStyle w:val="36"/>
        <w:rPr>
          <w:rFonts w:ascii="黑体" w:hAnsi="黑体" w:eastAsia="黑体"/>
          <w:b/>
          <w:bCs/>
          <w:sz w:val="52"/>
          <w:szCs w:val="52"/>
          <w:highlight w:val="none"/>
        </w:rPr>
      </w:pPr>
    </w:p>
    <w:p>
      <w:pPr>
        <w:spacing w:line="240" w:lineRule="auto"/>
        <w:jc w:val="center"/>
        <w:rPr>
          <w:rFonts w:ascii="黑体" w:hAnsi="黑体" w:eastAsia="黑体"/>
          <w:b/>
          <w:bCs/>
          <w:sz w:val="52"/>
          <w:szCs w:val="52"/>
          <w:highlight w:val="none"/>
        </w:rPr>
      </w:pPr>
      <w:r>
        <w:rPr>
          <w:rFonts w:hint="eastAsia" w:ascii="黑体" w:hAnsi="黑体" w:eastAsia="黑体"/>
          <w:b/>
          <w:bCs/>
          <w:sz w:val="52"/>
          <w:szCs w:val="52"/>
          <w:highlight w:val="none"/>
        </w:rPr>
        <w:t>岸桥、</w:t>
      </w:r>
      <w:r>
        <w:rPr>
          <w:rFonts w:ascii="黑体" w:hAnsi="黑体" w:eastAsia="黑体"/>
          <w:b/>
          <w:bCs/>
          <w:sz w:val="52"/>
          <w:szCs w:val="52"/>
          <w:highlight w:val="none"/>
        </w:rPr>
        <w:t>场桥</w:t>
      </w:r>
      <w:r>
        <w:rPr>
          <w:rFonts w:hint="eastAsia" w:ascii="黑体" w:hAnsi="黑体" w:eastAsia="黑体"/>
          <w:b/>
          <w:bCs/>
          <w:sz w:val="52"/>
          <w:szCs w:val="52"/>
          <w:highlight w:val="none"/>
        </w:rPr>
        <w:t>起升变频器采购项目</w:t>
      </w:r>
    </w:p>
    <w:p>
      <w:pPr>
        <w:spacing w:line="240" w:lineRule="auto"/>
        <w:jc w:val="center"/>
        <w:rPr>
          <w:rFonts w:ascii="黑体" w:hAnsi="黑体" w:eastAsia="黑体"/>
          <w:b/>
          <w:bCs/>
          <w:sz w:val="52"/>
          <w:szCs w:val="52"/>
          <w:highlight w:val="none"/>
        </w:rPr>
      </w:pPr>
      <w:r>
        <w:rPr>
          <w:rFonts w:hint="eastAsia" w:ascii="黑体" w:hAnsi="黑体" w:eastAsia="黑体"/>
          <w:b/>
          <w:bCs/>
          <w:sz w:val="52"/>
          <w:szCs w:val="52"/>
          <w:highlight w:val="none"/>
        </w:rPr>
        <w:t>询价文件</w:t>
      </w:r>
    </w:p>
    <w:p>
      <w:pPr>
        <w:pStyle w:val="36"/>
        <w:rPr>
          <w:rFonts w:ascii="黑体" w:hAnsi="黑体" w:eastAsia="黑体" w:cs="黑体"/>
          <w:b/>
          <w:bCs/>
          <w:sz w:val="30"/>
          <w:szCs w:val="30"/>
          <w:highlight w:val="none"/>
        </w:rPr>
      </w:pPr>
      <w:r>
        <w:rPr>
          <w:rFonts w:hint="eastAsia" w:ascii="黑体" w:hAnsi="黑体" w:eastAsia="黑体"/>
          <w:b/>
          <w:bCs/>
          <w:sz w:val="2"/>
          <w:szCs w:val="2"/>
          <w:highlight w:val="none"/>
        </w:rPr>
        <w:t>I</w:t>
      </w:r>
    </w:p>
    <w:p>
      <w:pPr>
        <w:snapToGrid w:val="0"/>
        <w:spacing w:line="480" w:lineRule="auto"/>
        <w:jc w:val="center"/>
        <w:rPr>
          <w:rFonts w:ascii="黑体" w:hAnsi="黑体" w:eastAsia="黑体" w:cs="黑体"/>
          <w:b/>
          <w:bCs/>
          <w:sz w:val="30"/>
          <w:szCs w:val="30"/>
        </w:rPr>
      </w:pPr>
      <w:r>
        <w:rPr>
          <w:rFonts w:hint="eastAsia" w:ascii="黑体" w:hAnsi="黑体" w:eastAsia="黑体" w:cs="黑体"/>
          <w:b/>
          <w:bCs/>
          <w:sz w:val="30"/>
          <w:szCs w:val="30"/>
          <w:highlight w:val="none"/>
        </w:rPr>
        <w:t>省港货（2021）年询第</w:t>
      </w:r>
      <w:r>
        <w:rPr>
          <w:rFonts w:hint="eastAsia" w:ascii="黑体" w:hAnsi="黑体" w:eastAsia="黑体" w:cs="黑体"/>
          <w:b/>
          <w:bCs/>
          <w:sz w:val="30"/>
          <w:szCs w:val="30"/>
          <w:highlight w:val="none"/>
          <w:lang w:val="en-US" w:eastAsia="zh-CN"/>
        </w:rPr>
        <w:t>13</w:t>
      </w:r>
      <w:r>
        <w:rPr>
          <w:rFonts w:hint="eastAsia" w:ascii="黑体" w:hAnsi="黑体" w:eastAsia="黑体" w:cs="黑体"/>
          <w:b/>
          <w:bCs/>
          <w:sz w:val="30"/>
          <w:szCs w:val="30"/>
          <w:highlight w:val="none"/>
        </w:rPr>
        <w:t>号【新港</w:t>
      </w:r>
      <w:r>
        <w:rPr>
          <w:rFonts w:hint="eastAsia" w:ascii="黑体" w:hAnsi="黑体" w:eastAsia="黑体" w:cs="黑体"/>
          <w:b/>
          <w:bCs/>
          <w:sz w:val="30"/>
          <w:szCs w:val="30"/>
        </w:rPr>
        <w:t>】</w:t>
      </w:r>
    </w:p>
    <w:p>
      <w:pPr>
        <w:spacing w:line="600" w:lineRule="exact"/>
      </w:pPr>
    </w:p>
    <w:p>
      <w:pPr>
        <w:spacing w:line="600" w:lineRule="exact"/>
      </w:pPr>
    </w:p>
    <w:p>
      <w:pPr>
        <w:pStyle w:val="37"/>
        <w:ind w:left="0" w:firstLine="0"/>
      </w:pPr>
    </w:p>
    <w:p>
      <w:pPr>
        <w:pStyle w:val="37"/>
      </w:pPr>
    </w:p>
    <w:p>
      <w:pPr>
        <w:pStyle w:val="37"/>
      </w:pPr>
    </w:p>
    <w:p>
      <w:pPr>
        <w:pStyle w:val="37"/>
      </w:pPr>
    </w:p>
    <w:p>
      <w:pPr>
        <w:pStyle w:val="37"/>
      </w:pPr>
    </w:p>
    <w:p>
      <w:pPr>
        <w:pStyle w:val="37"/>
      </w:pPr>
    </w:p>
    <w:p>
      <w:pPr>
        <w:pStyle w:val="37"/>
      </w:pPr>
    </w:p>
    <w:p>
      <w:pPr>
        <w:pStyle w:val="37"/>
      </w:pPr>
    </w:p>
    <w:p>
      <w:pPr>
        <w:spacing w:line="600" w:lineRule="exact"/>
      </w:pP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岳阳城陵矶新港有限公司</w:t>
      </w: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二О二一年十</w:t>
      </w:r>
      <w:r>
        <w:rPr>
          <w:rFonts w:hint="eastAsia" w:ascii="黑体" w:hAnsi="黑体" w:eastAsia="黑体"/>
          <w:bCs/>
          <w:sz w:val="48"/>
          <w:szCs w:val="48"/>
          <w:lang w:eastAsia="zh-CN"/>
        </w:rPr>
        <w:t>二</w:t>
      </w:r>
      <w:bookmarkStart w:id="26" w:name="_GoBack"/>
      <w:bookmarkEnd w:id="26"/>
      <w:r>
        <w:rPr>
          <w:rFonts w:hint="eastAsia" w:ascii="黑体" w:hAnsi="黑体" w:eastAsia="黑体"/>
          <w:bCs/>
          <w:sz w:val="48"/>
          <w:szCs w:val="48"/>
        </w:rPr>
        <w:t>月</w:t>
      </w:r>
    </w:p>
    <w:p>
      <w:pPr>
        <w:rPr>
          <w:rFonts w:ascii="黑体" w:hAnsi="黑体" w:eastAsia="黑体"/>
          <w:sz w:val="44"/>
          <w:szCs w:val="44"/>
          <w:lang w:val="zh-CN"/>
        </w:rPr>
      </w:pPr>
      <w:r>
        <w:rPr>
          <w:rFonts w:ascii="黑体" w:hAnsi="黑体" w:eastAsia="黑体"/>
          <w:sz w:val="44"/>
          <w:szCs w:val="44"/>
          <w:lang w:val="zh-CN"/>
        </w:rPr>
        <w:br w:type="page"/>
      </w:r>
    </w:p>
    <w:p>
      <w:pPr>
        <w:pStyle w:val="186"/>
        <w:keepNext w:val="0"/>
        <w:keepLines w:val="0"/>
        <w:widowControl w:val="0"/>
        <w:spacing w:before="0" w:line="600" w:lineRule="exact"/>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4"/>
        <w:tabs>
          <w:tab w:val="right" w:leader="dot" w:pos="8948"/>
          <w:tab w:val="clear" w:pos="9242"/>
        </w:tabs>
        <w:adjustRightInd w:val="0"/>
        <w:snapToGrid w:val="0"/>
        <w:spacing w:before="60" w:after="60"/>
        <w:jc w:val="center"/>
        <w:rPr>
          <w:rFonts w:ascii="微软雅黑" w:hAnsi="微软雅黑" w:eastAsia="微软雅黑" w:cs="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5"/>
          <w:rFonts w:hint="eastAsia" w:ascii="微软雅黑" w:hAnsi="微软雅黑" w:eastAsia="微软雅黑" w:cs="微软雅黑"/>
          <w:sz w:val="24"/>
          <w:szCs w:val="24"/>
        </w:rPr>
        <w:t>第一章  采购公告</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3</w:t>
      </w:r>
    </w:p>
    <w:p>
      <w:pPr>
        <w:pStyle w:val="24"/>
        <w:tabs>
          <w:tab w:val="right" w:leader="dot" w:pos="8948"/>
          <w:tab w:val="clear" w:pos="9242"/>
        </w:tabs>
        <w:adjustRightInd w:val="0"/>
        <w:snapToGrid w:val="0"/>
        <w:spacing w:before="60" w:after="60"/>
        <w:jc w:val="center"/>
        <w:rPr>
          <w:rFonts w:ascii="微软雅黑" w:hAnsi="微软雅黑" w:eastAsia="微软雅黑" w:cs="微软雅黑"/>
          <w:bCs/>
          <w:caps/>
          <w:sz w:val="24"/>
          <w:szCs w:val="24"/>
        </w:rPr>
      </w:pPr>
      <w:r>
        <w:fldChar w:fldCharType="begin"/>
      </w:r>
      <w:r>
        <w:instrText xml:space="preserve"> HYPERLINK \l "_Toc77254106" </w:instrText>
      </w:r>
      <w:r>
        <w:fldChar w:fldCharType="separate"/>
      </w:r>
      <w:r>
        <w:rPr>
          <w:rStyle w:val="45"/>
          <w:rFonts w:hint="eastAsia" w:ascii="微软雅黑" w:hAnsi="微软雅黑" w:eastAsia="微软雅黑" w:cs="微软雅黑"/>
          <w:sz w:val="24"/>
          <w:szCs w:val="24"/>
        </w:rPr>
        <w:t>第二章  供应商须知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7</w:t>
      </w:r>
    </w:p>
    <w:p>
      <w:pPr>
        <w:pStyle w:val="24"/>
        <w:tabs>
          <w:tab w:val="right" w:leader="dot" w:pos="8948"/>
          <w:tab w:val="clear" w:pos="9242"/>
        </w:tabs>
        <w:adjustRightInd w:val="0"/>
        <w:snapToGrid w:val="0"/>
        <w:spacing w:before="60" w:after="60"/>
        <w:jc w:val="center"/>
        <w:rPr>
          <w:rFonts w:ascii="微软雅黑" w:hAnsi="微软雅黑" w:eastAsia="微软雅黑" w:cs="微软雅黑"/>
          <w:sz w:val="24"/>
          <w:szCs w:val="24"/>
        </w:rPr>
      </w:pPr>
      <w:r>
        <w:fldChar w:fldCharType="begin"/>
      </w:r>
      <w:r>
        <w:instrText xml:space="preserve"> HYPERLINK \l "_Toc77254124" </w:instrText>
      </w:r>
      <w:r>
        <w:fldChar w:fldCharType="separate"/>
      </w:r>
      <w:r>
        <w:rPr>
          <w:rStyle w:val="45"/>
          <w:rFonts w:hint="eastAsia" w:ascii="微软雅黑" w:hAnsi="微软雅黑" w:eastAsia="微软雅黑" w:cs="微软雅黑"/>
          <w:sz w:val="24"/>
          <w:szCs w:val="24"/>
        </w:rPr>
        <w:t>第三章 评标办</w:t>
      </w:r>
      <w:bookmarkStart w:id="0" w:name="_Hlt79481237"/>
      <w:bookmarkStart w:id="1" w:name="_Hlt79481238"/>
      <w:r>
        <w:rPr>
          <w:rStyle w:val="45"/>
          <w:rFonts w:hint="eastAsia" w:ascii="微软雅黑" w:hAnsi="微软雅黑" w:eastAsia="微软雅黑" w:cs="微软雅黑"/>
          <w:sz w:val="24"/>
          <w:szCs w:val="24"/>
        </w:rPr>
        <w:t>法</w:t>
      </w:r>
      <w:bookmarkEnd w:id="0"/>
      <w:bookmarkEnd w:id="1"/>
      <w:r>
        <w:rPr>
          <w:rStyle w:val="45"/>
          <w:rFonts w:hint="eastAsia" w:ascii="微软雅黑" w:hAnsi="微软雅黑" w:eastAsia="微软雅黑" w:cs="微软雅黑"/>
          <w:sz w:val="24"/>
          <w:szCs w:val="24"/>
        </w:rPr>
        <w:t>（最低价法）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27</w:t>
      </w:r>
    </w:p>
    <w:p>
      <w:pPr>
        <w:pStyle w:val="24"/>
        <w:tabs>
          <w:tab w:val="right" w:leader="dot" w:pos="8948"/>
          <w:tab w:val="clear" w:pos="9242"/>
        </w:tabs>
        <w:adjustRightInd w:val="0"/>
        <w:snapToGrid w:val="0"/>
        <w:spacing w:before="60" w:after="60"/>
        <w:jc w:val="center"/>
        <w:rPr>
          <w:rFonts w:ascii="微软雅黑" w:hAnsi="微软雅黑" w:eastAsia="微软雅黑" w:cs="微软雅黑"/>
          <w:bCs/>
          <w:caps/>
          <w:sz w:val="24"/>
          <w:szCs w:val="24"/>
        </w:rPr>
      </w:pPr>
      <w:r>
        <w:fldChar w:fldCharType="begin"/>
      </w:r>
      <w:r>
        <w:instrText xml:space="preserve"> HYPERLINK \l "_Toc77254138" </w:instrText>
      </w:r>
      <w:r>
        <w:fldChar w:fldCharType="separate"/>
      </w:r>
      <w:r>
        <w:rPr>
          <w:rStyle w:val="45"/>
          <w:rFonts w:hint="eastAsia" w:ascii="微软雅黑" w:hAnsi="微软雅黑" w:eastAsia="微软雅黑" w:cs="微软雅黑"/>
          <w:sz w:val="24"/>
          <w:szCs w:val="24"/>
        </w:rPr>
        <w:t>第四章 合同条款及格式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29</w:t>
      </w:r>
    </w:p>
    <w:p>
      <w:pPr>
        <w:pStyle w:val="24"/>
        <w:tabs>
          <w:tab w:val="right" w:leader="dot" w:pos="8948"/>
          <w:tab w:val="clear" w:pos="9242"/>
        </w:tabs>
        <w:adjustRightInd w:val="0"/>
        <w:snapToGrid w:val="0"/>
        <w:spacing w:before="60" w:after="60"/>
        <w:jc w:val="center"/>
        <w:rPr>
          <w:rFonts w:ascii="微软雅黑" w:hAnsi="微软雅黑" w:eastAsia="微软雅黑" w:cs="微软雅黑"/>
          <w:bCs/>
          <w:caps/>
          <w:sz w:val="24"/>
          <w:szCs w:val="24"/>
        </w:rPr>
      </w:pPr>
      <w:r>
        <w:fldChar w:fldCharType="begin"/>
      </w:r>
      <w:r>
        <w:instrText xml:space="preserve"> HYPERLINK \l "_Toc77254286" </w:instrText>
      </w:r>
      <w:r>
        <w:fldChar w:fldCharType="separate"/>
      </w:r>
      <w:r>
        <w:rPr>
          <w:rStyle w:val="45"/>
          <w:rFonts w:hint="eastAsia" w:ascii="微软雅黑" w:hAnsi="微软雅黑" w:eastAsia="微软雅黑" w:cs="微软雅黑"/>
          <w:sz w:val="24"/>
          <w:szCs w:val="24"/>
        </w:rPr>
        <w:t>第五章 采购需求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40</w:t>
      </w:r>
    </w:p>
    <w:p>
      <w:pPr>
        <w:pStyle w:val="24"/>
        <w:tabs>
          <w:tab w:val="right" w:leader="dot" w:pos="8948"/>
          <w:tab w:val="clear" w:pos="9242"/>
        </w:tabs>
        <w:adjustRightInd w:val="0"/>
        <w:snapToGrid w:val="0"/>
        <w:spacing w:before="60" w:after="60"/>
        <w:jc w:val="center"/>
        <w:rPr>
          <w:rFonts w:ascii="微软雅黑" w:hAnsi="微软雅黑" w:eastAsia="微软雅黑" w:cs="微软雅黑"/>
          <w:bCs/>
          <w:caps/>
          <w:sz w:val="24"/>
          <w:szCs w:val="24"/>
        </w:rPr>
      </w:pPr>
      <w:r>
        <w:fldChar w:fldCharType="begin"/>
      </w:r>
      <w:r>
        <w:instrText xml:space="preserve"> HYPERLINK \l "_Toc77254297" </w:instrText>
      </w:r>
      <w:r>
        <w:fldChar w:fldCharType="separate"/>
      </w:r>
      <w:r>
        <w:rPr>
          <w:rStyle w:val="45"/>
          <w:rFonts w:hint="eastAsia" w:ascii="微软雅黑" w:hAnsi="微软雅黑" w:eastAsia="微软雅黑" w:cs="微软雅黑"/>
          <w:sz w:val="24"/>
          <w:szCs w:val="24"/>
        </w:rPr>
        <w:t>第六章 响应文件格式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42</w:t>
      </w:r>
    </w:p>
    <w:p>
      <w:pPr>
        <w:pStyle w:val="30"/>
        <w:tabs>
          <w:tab w:val="right" w:leader="dot" w:pos="8948"/>
        </w:tabs>
        <w:adjustRightInd w:val="0"/>
        <w:snapToGrid w:val="0"/>
        <w:jc w:val="center"/>
        <w:rPr>
          <w:rFonts w:ascii="微软雅黑" w:hAnsi="微软雅黑" w:eastAsia="微软雅黑" w:cs="微软雅黑"/>
          <w:smallCaps/>
          <w:sz w:val="24"/>
          <w:szCs w:val="24"/>
        </w:rPr>
      </w:pPr>
      <w:r>
        <w:fldChar w:fldCharType="begin"/>
      </w:r>
      <w:r>
        <w:instrText xml:space="preserve"> HYPERLINK \l "_Toc77254298" </w:instrText>
      </w:r>
      <w:r>
        <w:fldChar w:fldCharType="separate"/>
      </w:r>
      <w:r>
        <w:rPr>
          <w:rStyle w:val="45"/>
          <w:rFonts w:hint="eastAsia" w:ascii="微软雅黑" w:hAnsi="微软雅黑" w:eastAsia="微软雅黑" w:cs="微软雅黑"/>
          <w:sz w:val="24"/>
          <w:szCs w:val="24"/>
        </w:rPr>
        <w:t>一、响应函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44</w:t>
      </w:r>
    </w:p>
    <w:p>
      <w:pPr>
        <w:pStyle w:val="30"/>
        <w:tabs>
          <w:tab w:val="right" w:leader="dot" w:pos="8948"/>
        </w:tabs>
        <w:adjustRightInd w:val="0"/>
        <w:snapToGrid w:val="0"/>
        <w:jc w:val="center"/>
        <w:rPr>
          <w:rFonts w:ascii="微软雅黑" w:hAnsi="微软雅黑" w:eastAsia="微软雅黑" w:cs="微软雅黑"/>
          <w:sz w:val="24"/>
          <w:szCs w:val="24"/>
        </w:rPr>
      </w:pPr>
      <w:r>
        <w:fldChar w:fldCharType="begin"/>
      </w:r>
      <w:r>
        <w:instrText xml:space="preserve"> HYPERLINK \l "_Toc77254299" </w:instrText>
      </w:r>
      <w:r>
        <w:fldChar w:fldCharType="separate"/>
      </w:r>
      <w:r>
        <w:rPr>
          <w:rStyle w:val="45"/>
          <w:rFonts w:hint="eastAsia" w:ascii="微软雅黑" w:hAnsi="微软雅黑" w:eastAsia="微软雅黑" w:cs="微软雅黑"/>
          <w:sz w:val="24"/>
          <w:szCs w:val="24"/>
        </w:rPr>
        <w:t>二、授权委托书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47</w:t>
      </w:r>
    </w:p>
    <w:p>
      <w:pPr>
        <w:pStyle w:val="30"/>
        <w:tabs>
          <w:tab w:val="right" w:leader="dot" w:pos="8948"/>
        </w:tabs>
        <w:adjustRightInd w:val="0"/>
        <w:snapToGrid w:val="0"/>
        <w:jc w:val="center"/>
        <w:rPr>
          <w:rFonts w:ascii="微软雅黑" w:hAnsi="微软雅黑" w:eastAsia="微软雅黑" w:cs="微软雅黑"/>
          <w:smallCaps/>
          <w:sz w:val="24"/>
          <w:szCs w:val="24"/>
        </w:rPr>
      </w:pPr>
      <w:r>
        <w:rPr>
          <w:rFonts w:hint="eastAsia" w:ascii="微软雅黑" w:hAnsi="微软雅黑" w:eastAsia="微软雅黑" w:cs="微软雅黑"/>
          <w:sz w:val="24"/>
          <w:szCs w:val="24"/>
        </w:rPr>
        <w:t>四</w:t>
      </w:r>
      <w:r>
        <w:fldChar w:fldCharType="begin"/>
      </w:r>
      <w:r>
        <w:instrText xml:space="preserve"> HYPERLINK \l "_Toc77254300" </w:instrText>
      </w:r>
      <w:r>
        <w:fldChar w:fldCharType="separate"/>
      </w:r>
      <w:r>
        <w:rPr>
          <w:rStyle w:val="45"/>
          <w:rFonts w:hint="eastAsia" w:ascii="微软雅黑" w:hAnsi="微软雅黑" w:eastAsia="微软雅黑" w:cs="微软雅黑"/>
          <w:sz w:val="24"/>
          <w:szCs w:val="24"/>
        </w:rPr>
        <w:t>、商务和技术偏差表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48</w:t>
      </w:r>
    </w:p>
    <w:p>
      <w:pPr>
        <w:pStyle w:val="30"/>
        <w:tabs>
          <w:tab w:val="right" w:leader="dot" w:pos="8948"/>
        </w:tabs>
        <w:adjustRightInd w:val="0"/>
        <w:snapToGrid w:val="0"/>
        <w:jc w:val="center"/>
        <w:rPr>
          <w:rFonts w:ascii="微软雅黑" w:hAnsi="微软雅黑" w:eastAsia="微软雅黑" w:cs="微软雅黑"/>
          <w:smallCaps/>
          <w:sz w:val="24"/>
          <w:szCs w:val="24"/>
        </w:rPr>
      </w:pPr>
      <w:r>
        <w:fldChar w:fldCharType="begin"/>
      </w:r>
      <w:r>
        <w:instrText xml:space="preserve"> HYPERLINK \l "_Toc77254302" </w:instrText>
      </w:r>
      <w:r>
        <w:fldChar w:fldCharType="separate"/>
      </w:r>
      <w:r>
        <w:rPr>
          <w:rFonts w:hint="eastAsia" w:ascii="微软雅黑" w:hAnsi="微软雅黑" w:eastAsia="微软雅黑" w:cs="微软雅黑"/>
          <w:sz w:val="24"/>
          <w:szCs w:val="24"/>
        </w:rPr>
        <w:t>五</w:t>
      </w:r>
      <w:r>
        <w:rPr>
          <w:rStyle w:val="45"/>
          <w:rFonts w:hint="eastAsia" w:ascii="微软雅黑" w:hAnsi="微软雅黑" w:eastAsia="微软雅黑" w:cs="微软雅黑"/>
          <w:sz w:val="24"/>
          <w:szCs w:val="24"/>
        </w:rPr>
        <w:t>、报价表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49</w:t>
      </w:r>
    </w:p>
    <w:p>
      <w:pPr>
        <w:pStyle w:val="30"/>
        <w:tabs>
          <w:tab w:val="right" w:leader="dot" w:pos="8948"/>
        </w:tabs>
        <w:adjustRightInd w:val="0"/>
        <w:snapToGrid w:val="0"/>
        <w:jc w:val="center"/>
        <w:rPr>
          <w:rFonts w:ascii="微软雅黑" w:hAnsi="微软雅黑" w:eastAsia="微软雅黑" w:cs="微软雅黑"/>
          <w:smallCaps/>
          <w:sz w:val="24"/>
          <w:szCs w:val="24"/>
        </w:rPr>
      </w:pPr>
      <w:r>
        <w:fldChar w:fldCharType="begin"/>
      </w:r>
      <w:r>
        <w:instrText xml:space="preserve"> HYPERLINK \l "_Toc77254304" </w:instrText>
      </w:r>
      <w:r>
        <w:fldChar w:fldCharType="separate"/>
      </w:r>
      <w:r>
        <w:rPr>
          <w:rFonts w:hint="eastAsia" w:ascii="微软雅黑" w:hAnsi="微软雅黑" w:eastAsia="微软雅黑" w:cs="微软雅黑"/>
          <w:sz w:val="24"/>
          <w:szCs w:val="24"/>
        </w:rPr>
        <w:t>六</w:t>
      </w:r>
      <w:r>
        <w:rPr>
          <w:rStyle w:val="45"/>
          <w:rFonts w:hint="eastAsia" w:ascii="微软雅黑" w:hAnsi="微软雅黑" w:eastAsia="微软雅黑" w:cs="微软雅黑"/>
          <w:sz w:val="24"/>
          <w:szCs w:val="24"/>
        </w:rPr>
        <w:t>、资格审查资料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50</w:t>
      </w:r>
    </w:p>
    <w:p>
      <w:pPr>
        <w:pStyle w:val="30"/>
        <w:tabs>
          <w:tab w:val="right" w:leader="dot" w:pos="8948"/>
        </w:tabs>
        <w:adjustRightInd w:val="0"/>
        <w:snapToGrid w:val="0"/>
        <w:jc w:val="center"/>
        <w:rPr>
          <w:rFonts w:ascii="微软雅黑" w:hAnsi="微软雅黑" w:eastAsia="微软雅黑" w:cs="微软雅黑"/>
          <w:smallCaps/>
          <w:sz w:val="24"/>
          <w:szCs w:val="24"/>
        </w:rPr>
      </w:pPr>
      <w:r>
        <w:fldChar w:fldCharType="begin"/>
      </w:r>
      <w:r>
        <w:instrText xml:space="preserve"> HYPERLINK \l "_Toc77254308" </w:instrText>
      </w:r>
      <w:r>
        <w:fldChar w:fldCharType="separate"/>
      </w:r>
      <w:r>
        <w:rPr>
          <w:rFonts w:hint="eastAsia" w:ascii="微软雅黑" w:hAnsi="微软雅黑" w:eastAsia="微软雅黑" w:cs="微软雅黑"/>
          <w:sz w:val="24"/>
          <w:szCs w:val="24"/>
        </w:rPr>
        <w:t>七</w:t>
      </w:r>
      <w:r>
        <w:rPr>
          <w:rStyle w:val="45"/>
          <w:rFonts w:hint="eastAsia" w:ascii="微软雅黑" w:hAnsi="微软雅黑" w:eastAsia="微软雅黑" w:cs="微软雅黑"/>
          <w:sz w:val="24"/>
          <w:szCs w:val="24"/>
        </w:rPr>
        <w:t>、响应方案</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53</w:t>
      </w:r>
    </w:p>
    <w:p>
      <w:pPr>
        <w:pStyle w:val="30"/>
        <w:tabs>
          <w:tab w:val="right" w:leader="dot" w:pos="8948"/>
        </w:tabs>
        <w:adjustRightInd w:val="0"/>
        <w:snapToGrid w:val="0"/>
        <w:jc w:val="center"/>
        <w:rPr>
          <w:rFonts w:ascii="微软雅黑" w:hAnsi="微软雅黑" w:eastAsia="微软雅黑"/>
          <w:smallCaps/>
          <w:sz w:val="24"/>
          <w:szCs w:val="24"/>
        </w:rPr>
      </w:pPr>
      <w:r>
        <w:fldChar w:fldCharType="begin"/>
      </w:r>
      <w:r>
        <w:instrText xml:space="preserve"> HYPERLINK \l "_Toc77254310" </w:instrText>
      </w:r>
      <w:r>
        <w:fldChar w:fldCharType="separate"/>
      </w:r>
      <w:r>
        <w:rPr>
          <w:rStyle w:val="45"/>
          <w:rFonts w:hint="eastAsia" w:ascii="微软雅黑" w:hAnsi="微软雅黑" w:eastAsia="微软雅黑" w:cs="微软雅黑"/>
          <w:sz w:val="24"/>
          <w:szCs w:val="24"/>
        </w:rPr>
        <w:t>八、其他资料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sz w:val="24"/>
          <w:szCs w:val="24"/>
        </w:rPr>
        <w:t>4</w:t>
      </w:r>
    </w:p>
    <w:p>
      <w:pPr>
        <w:pStyle w:val="24"/>
        <w:widowControl w:val="0"/>
        <w:tabs>
          <w:tab w:val="right" w:leader="dot" w:pos="8948"/>
          <w:tab w:val="clear" w:pos="9242"/>
        </w:tabs>
        <w:adjustRightInd w:val="0"/>
        <w:snapToGrid w:val="0"/>
        <w:spacing w:before="60" w:after="60" w:line="312" w:lineRule="auto"/>
        <w:jc w:val="center"/>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36"/>
        <w:rPr>
          <w:szCs w:val="21"/>
        </w:rPr>
      </w:pPr>
    </w:p>
    <w:p>
      <w:pPr>
        <w:pStyle w:val="36"/>
        <w:rPr>
          <w:szCs w:val="21"/>
        </w:rPr>
      </w:pPr>
    </w:p>
    <w:p>
      <w:pPr>
        <w:pStyle w:val="36"/>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36"/>
      </w:pPr>
    </w:p>
    <w:p>
      <w:pPr>
        <w:pStyle w:val="36"/>
      </w:pPr>
    </w:p>
    <w:p>
      <w:pPr>
        <w:pStyle w:val="76"/>
        <w:numPr>
          <w:ilvl w:val="0"/>
          <w:numId w:val="1"/>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rPr>
          <w:sz w:val="32"/>
          <w:szCs w:val="32"/>
        </w:rPr>
      </w:pPr>
    </w:p>
    <w:p>
      <w:pPr>
        <w:widowControl w:val="0"/>
        <w:adjustRightInd w:val="0"/>
        <w:snapToGrid w:val="0"/>
        <w:spacing w:line="360" w:lineRule="auto"/>
        <w:jc w:val="center"/>
        <w:rPr>
          <w:rFonts w:ascii="黑体" w:hAnsi="黑体" w:eastAsia="黑体" w:cs="黑体"/>
          <w:color w:val="000000"/>
          <w:sz w:val="32"/>
          <w:szCs w:val="32"/>
        </w:rPr>
      </w:pPr>
      <w:r>
        <w:rPr>
          <w:rFonts w:hint="eastAsia" w:ascii="黑体" w:hAnsi="黑体" w:eastAsia="黑体" w:cs="黑体"/>
          <w:color w:val="000000"/>
          <w:sz w:val="32"/>
          <w:szCs w:val="32"/>
        </w:rPr>
        <w:t>岳阳城陵矶新港有限公司岸桥、</w:t>
      </w:r>
      <w:r>
        <w:rPr>
          <w:rFonts w:ascii="黑体" w:hAnsi="黑体" w:eastAsia="黑体" w:cs="黑体"/>
          <w:color w:val="000000"/>
          <w:sz w:val="32"/>
          <w:szCs w:val="32"/>
        </w:rPr>
        <w:t>场桥</w:t>
      </w:r>
      <w:r>
        <w:rPr>
          <w:rFonts w:hint="eastAsia" w:ascii="黑体" w:hAnsi="黑体" w:eastAsia="黑体" w:cs="黑体"/>
          <w:color w:val="000000"/>
          <w:sz w:val="32"/>
          <w:szCs w:val="32"/>
        </w:rPr>
        <w:t>起升变频器采购项目</w:t>
      </w:r>
    </w:p>
    <w:p>
      <w:pPr>
        <w:widowControl w:val="0"/>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采购公告</w:t>
      </w:r>
    </w:p>
    <w:p>
      <w:pPr>
        <w:pStyle w:val="32"/>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312" w:lineRule="auto"/>
        <w:jc w:val="both"/>
        <w:rPr>
          <w:rFonts w:ascii="宋体" w:hAnsi="宋体"/>
          <w:sz w:val="24"/>
        </w:rPr>
      </w:pPr>
      <w:r>
        <w:rPr>
          <w:rFonts w:hint="eastAsia" w:ascii="宋体" w:hAnsi="宋体"/>
          <w:sz w:val="24"/>
        </w:rPr>
        <w:t xml:space="preserve">   岳阳城陵矶新港有限公司岸桥、场桥起升变频器采购项目已具备采购条件，现公开邀请具备实施能力的供应商参加采购活动。 </w:t>
      </w:r>
    </w:p>
    <w:p>
      <w:pPr>
        <w:pStyle w:val="6"/>
        <w:spacing w:line="312" w:lineRule="auto"/>
        <w:jc w:val="both"/>
        <w:rPr>
          <w:rFonts w:ascii="Arial" w:hAnsi="Arial"/>
        </w:rPr>
      </w:pPr>
      <w:r>
        <w:rPr>
          <w:rFonts w:hint="eastAsia"/>
        </w:rPr>
        <w:t xml:space="preserve">1 </w:t>
      </w:r>
      <w:r>
        <w:rPr>
          <w:rFonts w:hint="eastAsia" w:ascii="黑体" w:hAnsi="黑体"/>
        </w:rPr>
        <w:t xml:space="preserve">采购项目简介 </w:t>
      </w:r>
    </w:p>
    <w:p>
      <w:pPr>
        <w:autoSpaceDE w:val="0"/>
        <w:spacing w:line="312" w:lineRule="auto"/>
        <w:jc w:val="both"/>
        <w:rPr>
          <w:rFonts w:ascii="宋体" w:hAnsi="宋体"/>
          <w:sz w:val="24"/>
        </w:rPr>
      </w:pPr>
      <w:r>
        <w:rPr>
          <w:rFonts w:hint="eastAsia" w:ascii="宋体" w:hAnsi="宋体"/>
          <w:b/>
          <w:bCs/>
          <w:sz w:val="24"/>
        </w:rPr>
        <w:t>1.1</w:t>
      </w:r>
      <w:r>
        <w:rPr>
          <w:rFonts w:hint="eastAsia" w:ascii="宋体" w:hAnsi="宋体"/>
          <w:sz w:val="24"/>
        </w:rPr>
        <w:t xml:space="preserve"> 采购项目名称:岳阳城陵矶新港有限公司岸桥、场桥起升变频器采购项目</w:t>
      </w:r>
    </w:p>
    <w:p>
      <w:pPr>
        <w:autoSpaceDE w:val="0"/>
        <w:spacing w:line="312" w:lineRule="auto"/>
        <w:jc w:val="both"/>
        <w:rPr>
          <w:rFonts w:ascii="宋体" w:hAnsi="宋体"/>
          <w:sz w:val="24"/>
        </w:rPr>
      </w:pPr>
      <w:r>
        <w:rPr>
          <w:rFonts w:hint="eastAsia" w:ascii="宋体" w:hAnsi="宋体"/>
          <w:b/>
          <w:bCs/>
          <w:sz w:val="24"/>
        </w:rPr>
        <w:t>1.2</w:t>
      </w:r>
      <w:r>
        <w:rPr>
          <w:rFonts w:hint="eastAsia" w:ascii="宋体" w:hAnsi="宋体"/>
          <w:sz w:val="24"/>
        </w:rPr>
        <w:t xml:space="preserve"> 采购人: 岳阳城陵矶新港有限公司</w:t>
      </w:r>
    </w:p>
    <w:p>
      <w:pPr>
        <w:autoSpaceDE w:val="0"/>
        <w:spacing w:line="312" w:lineRule="auto"/>
        <w:jc w:val="both"/>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312" w:lineRule="auto"/>
        <w:jc w:val="both"/>
        <w:rPr>
          <w:rFonts w:ascii="宋体" w:hAnsi="宋体"/>
          <w:sz w:val="24"/>
        </w:rPr>
      </w:pPr>
      <w:r>
        <w:rPr>
          <w:rFonts w:hint="eastAsia" w:ascii="宋体" w:hAnsi="宋体"/>
          <w:b/>
          <w:bCs/>
          <w:sz w:val="24"/>
        </w:rPr>
        <w:t xml:space="preserve">1.4 </w:t>
      </w:r>
      <w:r>
        <w:rPr>
          <w:rFonts w:hint="eastAsia" w:ascii="宋体" w:hAnsi="宋体"/>
          <w:sz w:val="24"/>
        </w:rPr>
        <w:t>采购项目资金落实情况:自筹资金，已落实</w:t>
      </w:r>
    </w:p>
    <w:p>
      <w:pPr>
        <w:autoSpaceDE w:val="0"/>
        <w:spacing w:line="312" w:lineRule="auto"/>
        <w:jc w:val="both"/>
        <w:rPr>
          <w:rFonts w:ascii="宋体" w:hAnsi="宋体"/>
          <w:sz w:val="24"/>
        </w:rPr>
      </w:pPr>
      <w:r>
        <w:rPr>
          <w:rFonts w:hint="eastAsia" w:ascii="宋体" w:hAnsi="宋体"/>
          <w:b/>
          <w:bCs/>
          <w:sz w:val="24"/>
        </w:rPr>
        <w:t xml:space="preserve">1.5 </w:t>
      </w:r>
      <w:r>
        <w:rPr>
          <w:rFonts w:hint="eastAsia" w:ascii="宋体" w:hAnsi="宋体"/>
          <w:sz w:val="24"/>
        </w:rPr>
        <w:t>采购项目概况:现有Y102岸桥起升</w:t>
      </w:r>
      <w:r>
        <w:rPr>
          <w:rFonts w:ascii="宋体" w:hAnsi="宋体"/>
          <w:sz w:val="24"/>
        </w:rPr>
        <w:t>变频器和</w:t>
      </w:r>
      <w:r>
        <w:rPr>
          <w:rFonts w:hint="eastAsia" w:ascii="宋体" w:hAnsi="宋体"/>
          <w:sz w:val="24"/>
        </w:rPr>
        <w:t>Y201，Y20</w:t>
      </w:r>
      <w:r>
        <w:rPr>
          <w:rFonts w:ascii="宋体" w:hAnsi="宋体"/>
          <w:sz w:val="24"/>
        </w:rPr>
        <w:t>7</w:t>
      </w:r>
      <w:r>
        <w:rPr>
          <w:rFonts w:hint="eastAsia" w:ascii="宋体" w:hAnsi="宋体"/>
          <w:sz w:val="24"/>
        </w:rPr>
        <w:t>场桥的起升变频器使用年限较长，变频器元件老化，性能下滑，故障频发，原型号变频器为日本进口安川品牌，所用</w:t>
      </w:r>
      <w:r>
        <w:rPr>
          <w:rFonts w:ascii="宋体" w:hAnsi="宋体"/>
          <w:sz w:val="24"/>
        </w:rPr>
        <w:t>系列</w:t>
      </w:r>
      <w:r>
        <w:rPr>
          <w:rFonts w:hint="eastAsia" w:ascii="宋体" w:hAnsi="宋体"/>
          <w:sz w:val="24"/>
        </w:rPr>
        <w:t>型号</w:t>
      </w:r>
      <w:r>
        <w:rPr>
          <w:rFonts w:ascii="宋体" w:hAnsi="宋体"/>
          <w:sz w:val="24"/>
        </w:rPr>
        <w:t>已停产</w:t>
      </w:r>
      <w:r>
        <w:rPr>
          <w:rFonts w:hint="eastAsia" w:ascii="宋体" w:hAnsi="宋体"/>
          <w:sz w:val="24"/>
        </w:rPr>
        <w:t>，售后及技术服务响应不及时。现急需采购</w:t>
      </w:r>
      <w:r>
        <w:rPr>
          <w:rFonts w:ascii="宋体" w:hAnsi="宋体"/>
          <w:sz w:val="24"/>
        </w:rPr>
        <w:t>1</w:t>
      </w:r>
      <w:r>
        <w:rPr>
          <w:rFonts w:hint="eastAsia" w:ascii="宋体" w:hAnsi="宋体"/>
          <w:sz w:val="24"/>
        </w:rPr>
        <w:t>台岸桥起升变频器，2台</w:t>
      </w:r>
      <w:r>
        <w:rPr>
          <w:rFonts w:ascii="宋体" w:hAnsi="宋体"/>
          <w:sz w:val="24"/>
        </w:rPr>
        <w:t>场桥起升变频器，</w:t>
      </w:r>
      <w:r>
        <w:rPr>
          <w:rFonts w:hint="eastAsia" w:ascii="宋体" w:hAnsi="宋体"/>
          <w:sz w:val="24"/>
        </w:rPr>
        <w:t>以提高设备性能，保证设备稳定运行。</w:t>
      </w:r>
    </w:p>
    <w:p>
      <w:pPr>
        <w:pStyle w:val="6"/>
        <w:spacing w:line="312" w:lineRule="auto"/>
        <w:jc w:val="both"/>
        <w:rPr>
          <w:rFonts w:ascii="Arial" w:hAnsi="Arial"/>
        </w:rPr>
      </w:pPr>
      <w:r>
        <w:rPr>
          <w:rFonts w:hint="eastAsia"/>
        </w:rPr>
        <w:t>2．</w:t>
      </w:r>
      <w:r>
        <w:rPr>
          <w:rFonts w:hint="eastAsia" w:ascii="黑体" w:hAnsi="黑体"/>
        </w:rPr>
        <w:t>采购范围及相关要求</w:t>
      </w:r>
    </w:p>
    <w:p>
      <w:pPr>
        <w:autoSpaceDE w:val="0"/>
        <w:spacing w:line="312" w:lineRule="auto"/>
        <w:jc w:val="both"/>
        <w:rPr>
          <w:rFonts w:ascii="宋体" w:hAnsi="宋体"/>
          <w:sz w:val="24"/>
        </w:rPr>
      </w:pPr>
      <w:r>
        <w:rPr>
          <w:rFonts w:hint="eastAsia" w:ascii="宋体" w:hAnsi="宋体"/>
          <w:b/>
          <w:bCs/>
          <w:sz w:val="24"/>
        </w:rPr>
        <w:t xml:space="preserve">2.1 </w:t>
      </w:r>
      <w:r>
        <w:rPr>
          <w:rFonts w:hint="eastAsia" w:ascii="宋体" w:hAnsi="宋体"/>
          <w:sz w:val="24"/>
        </w:rPr>
        <w:t xml:space="preserve">采购范围: </w:t>
      </w:r>
    </w:p>
    <w:p>
      <w:pPr>
        <w:numPr>
          <w:ilvl w:val="255"/>
          <w:numId w:val="0"/>
        </w:numPr>
        <w:autoSpaceDE w:val="0"/>
        <w:spacing w:line="312" w:lineRule="auto"/>
        <w:ind w:firstLine="240" w:firstLineChars="100"/>
        <w:jc w:val="both"/>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台岸桥起升变频器采购和2台</w:t>
      </w:r>
      <w:r>
        <w:rPr>
          <w:rFonts w:ascii="宋体" w:hAnsi="宋体"/>
          <w:sz w:val="24"/>
        </w:rPr>
        <w:t>场桥</w:t>
      </w:r>
      <w:r>
        <w:rPr>
          <w:rFonts w:hint="eastAsia" w:ascii="宋体" w:hAnsi="宋体"/>
          <w:sz w:val="24"/>
        </w:rPr>
        <w:t>起升变频</w:t>
      </w:r>
      <w:r>
        <w:rPr>
          <w:rFonts w:ascii="宋体" w:hAnsi="宋体"/>
          <w:sz w:val="24"/>
        </w:rPr>
        <w:t>器采购</w:t>
      </w:r>
      <w:r>
        <w:rPr>
          <w:rFonts w:hint="eastAsia" w:ascii="宋体" w:hAnsi="宋体"/>
          <w:sz w:val="24"/>
        </w:rPr>
        <w:t>；</w:t>
      </w:r>
    </w:p>
    <w:p>
      <w:pPr>
        <w:numPr>
          <w:ilvl w:val="255"/>
          <w:numId w:val="0"/>
        </w:numPr>
        <w:autoSpaceDE w:val="0"/>
        <w:spacing w:line="312" w:lineRule="auto"/>
        <w:ind w:firstLine="240" w:firstLineChars="100"/>
        <w:jc w:val="both"/>
        <w:rPr>
          <w:rFonts w:ascii="宋体" w:hAnsi="宋体"/>
          <w:sz w:val="24"/>
        </w:rPr>
      </w:pPr>
      <w:r>
        <w:rPr>
          <w:rFonts w:hint="eastAsia" w:ascii="宋体" w:hAnsi="宋体"/>
          <w:sz w:val="24"/>
        </w:rPr>
        <w:t>（2）旧变频器设备拆卸；</w:t>
      </w:r>
    </w:p>
    <w:p>
      <w:pPr>
        <w:numPr>
          <w:ilvl w:val="255"/>
          <w:numId w:val="0"/>
        </w:numPr>
        <w:autoSpaceDE w:val="0"/>
        <w:spacing w:line="312" w:lineRule="auto"/>
        <w:ind w:firstLine="240" w:firstLineChars="100"/>
        <w:jc w:val="both"/>
        <w:rPr>
          <w:rFonts w:ascii="宋体" w:hAnsi="宋体"/>
          <w:sz w:val="24"/>
        </w:rPr>
      </w:pPr>
      <w:r>
        <w:rPr>
          <w:rFonts w:hint="eastAsia" w:ascii="宋体" w:hAnsi="宋体"/>
          <w:sz w:val="24"/>
        </w:rPr>
        <w:t>（3）新设备后期安装、调试。</w:t>
      </w:r>
    </w:p>
    <w:p>
      <w:pPr>
        <w:autoSpaceDE w:val="0"/>
        <w:spacing w:line="312" w:lineRule="auto"/>
        <w:jc w:val="both"/>
        <w:rPr>
          <w:rFonts w:ascii="宋体" w:hAnsi="宋体"/>
          <w:sz w:val="24"/>
        </w:rPr>
      </w:pPr>
      <w:r>
        <w:rPr>
          <w:rFonts w:hint="eastAsia" w:ascii="宋体" w:hAnsi="宋体"/>
          <w:b/>
          <w:bCs/>
          <w:sz w:val="24"/>
        </w:rPr>
        <w:t xml:space="preserve">2.2 </w:t>
      </w:r>
      <w:r>
        <w:rPr>
          <w:rFonts w:hint="eastAsia" w:ascii="宋体" w:hAnsi="宋体"/>
          <w:sz w:val="24"/>
        </w:rPr>
        <w:t xml:space="preserve">交货期限: </w:t>
      </w:r>
      <w:r>
        <w:rPr>
          <w:rFonts w:hint="eastAsia" w:ascii="宋体" w:hAnsi="宋体" w:cs="宋体"/>
          <w:sz w:val="24"/>
        </w:rPr>
        <w:t>合同签订后设备交货</w:t>
      </w:r>
      <w:r>
        <w:rPr>
          <w:rFonts w:ascii="宋体" w:hAnsi="宋体" w:cs="宋体"/>
          <w:sz w:val="24"/>
        </w:rPr>
        <w:t>日期不超过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日历</w:t>
      </w:r>
      <w:r>
        <w:rPr>
          <w:rFonts w:ascii="宋体" w:hAnsi="宋体" w:cs="宋体"/>
          <w:sz w:val="24"/>
        </w:rPr>
        <w:t>日，</w:t>
      </w:r>
      <w:r>
        <w:rPr>
          <w:rFonts w:hint="eastAsia" w:ascii="宋体" w:hAnsi="宋体" w:cs="宋体"/>
          <w:sz w:val="24"/>
        </w:rPr>
        <w:t>按照采购人的要求进行改造，改造时间不大于</w:t>
      </w:r>
      <w:r>
        <w:rPr>
          <w:rFonts w:hint="eastAsia" w:ascii="宋体" w:hAnsi="宋体" w:cs="宋体"/>
          <w:sz w:val="24"/>
          <w:u w:val="single"/>
        </w:rPr>
        <w:t xml:space="preserve"> 5 </w:t>
      </w:r>
      <w:r>
        <w:rPr>
          <w:rFonts w:hint="eastAsia" w:ascii="宋体" w:hAnsi="宋体" w:cs="宋体"/>
          <w:sz w:val="24"/>
        </w:rPr>
        <w:t>个日历日。</w:t>
      </w:r>
    </w:p>
    <w:p>
      <w:pPr>
        <w:autoSpaceDE w:val="0"/>
        <w:spacing w:line="312" w:lineRule="auto"/>
        <w:jc w:val="both"/>
        <w:rPr>
          <w:rFonts w:ascii="宋体" w:hAnsi="宋体"/>
          <w:sz w:val="24"/>
        </w:rPr>
      </w:pPr>
      <w:r>
        <w:rPr>
          <w:rFonts w:hint="eastAsia" w:ascii="宋体" w:hAnsi="宋体"/>
          <w:b/>
          <w:bCs/>
          <w:sz w:val="24"/>
        </w:rPr>
        <w:t xml:space="preserve">2.3 </w:t>
      </w:r>
      <w:r>
        <w:rPr>
          <w:rFonts w:hint="eastAsia" w:ascii="宋体" w:hAnsi="宋体"/>
          <w:sz w:val="24"/>
        </w:rPr>
        <w:t xml:space="preserve">交货地点: </w:t>
      </w:r>
      <w:r>
        <w:rPr>
          <w:rFonts w:hint="eastAsia" w:ascii="宋体" w:hAnsi="宋体" w:cs="宋体"/>
          <w:sz w:val="24"/>
        </w:rPr>
        <w:t>岳阳城陵矶新港有限公司</w:t>
      </w:r>
    </w:p>
    <w:p>
      <w:pPr>
        <w:autoSpaceDE w:val="0"/>
        <w:spacing w:line="312" w:lineRule="auto"/>
        <w:jc w:val="both"/>
        <w:rPr>
          <w:rFonts w:ascii="宋体"/>
          <w:kern w:val="24"/>
          <w:sz w:val="24"/>
          <w:szCs w:val="20"/>
        </w:rPr>
      </w:pPr>
      <w:r>
        <w:rPr>
          <w:rFonts w:hint="eastAsia" w:ascii="宋体" w:hAnsi="宋体"/>
          <w:b/>
          <w:bCs/>
          <w:sz w:val="24"/>
        </w:rPr>
        <w:t xml:space="preserve">2.4 </w:t>
      </w:r>
      <w:r>
        <w:rPr>
          <w:rFonts w:hint="eastAsia" w:ascii="宋体" w:hAnsi="宋体"/>
          <w:sz w:val="24"/>
        </w:rPr>
        <w:t>货物质量标准或主要技术性能指标:</w:t>
      </w:r>
      <w:r>
        <w:rPr>
          <w:rFonts w:hint="eastAsia" w:ascii="宋体"/>
          <w:kern w:val="24"/>
          <w:sz w:val="24"/>
          <w:szCs w:val="20"/>
        </w:rPr>
        <w:t xml:space="preserve"> </w:t>
      </w:r>
    </w:p>
    <w:p>
      <w:pPr>
        <w:numPr>
          <w:ilvl w:val="255"/>
          <w:numId w:val="0"/>
        </w:numPr>
        <w:autoSpaceDE w:val="0"/>
        <w:spacing w:line="400" w:lineRule="exact"/>
        <w:ind w:firstLine="240" w:firstLineChars="100"/>
        <w:jc w:val="both"/>
      </w:pPr>
      <w:r>
        <w:rPr>
          <w:rFonts w:hint="eastAsia" w:ascii="宋体"/>
          <w:kern w:val="24"/>
          <w:sz w:val="24"/>
          <w:szCs w:val="20"/>
        </w:rPr>
        <w:t>（1） 岸桥</w:t>
      </w:r>
      <w:r>
        <w:rPr>
          <w:rFonts w:ascii="宋体"/>
          <w:kern w:val="24"/>
          <w:sz w:val="24"/>
          <w:szCs w:val="20"/>
        </w:rPr>
        <w:t>选用</w:t>
      </w:r>
      <w:r>
        <w:rPr>
          <w:rFonts w:hint="eastAsia" w:ascii="宋体"/>
          <w:kern w:val="24"/>
          <w:sz w:val="24"/>
          <w:szCs w:val="20"/>
        </w:rPr>
        <w:t>变频器型号为HF500-355-4,提供变频器</w:t>
      </w:r>
      <w:r>
        <w:rPr>
          <w:rFonts w:ascii="宋体"/>
          <w:kern w:val="24"/>
          <w:sz w:val="24"/>
          <w:szCs w:val="20"/>
        </w:rPr>
        <w:t>合</w:t>
      </w:r>
      <w:r>
        <w:rPr>
          <w:rFonts w:hint="eastAsia" w:ascii="宋体"/>
          <w:kern w:val="24"/>
          <w:sz w:val="24"/>
          <w:szCs w:val="20"/>
        </w:rPr>
        <w:t>格</w:t>
      </w:r>
      <w:r>
        <w:rPr>
          <w:rFonts w:ascii="宋体"/>
          <w:kern w:val="24"/>
          <w:sz w:val="24"/>
          <w:szCs w:val="20"/>
        </w:rPr>
        <w:t>证明</w:t>
      </w:r>
      <w:r>
        <w:rPr>
          <w:rFonts w:hint="eastAsia" w:ascii="宋体"/>
          <w:kern w:val="24"/>
          <w:sz w:val="24"/>
          <w:szCs w:val="20"/>
        </w:rPr>
        <w:t>及</w:t>
      </w:r>
      <w:r>
        <w:rPr>
          <w:rFonts w:ascii="宋体"/>
          <w:kern w:val="24"/>
          <w:sz w:val="24"/>
          <w:szCs w:val="20"/>
        </w:rPr>
        <w:t>质量保证书。</w:t>
      </w:r>
    </w:p>
    <w:p>
      <w:pPr>
        <w:pStyle w:val="36"/>
        <w:numPr>
          <w:ilvl w:val="255"/>
          <w:numId w:val="0"/>
        </w:numPr>
        <w:ind w:firstLine="240" w:firstLineChars="100"/>
      </w:pPr>
      <w:r>
        <w:rPr>
          <w:rFonts w:hint="eastAsia"/>
        </w:rPr>
        <w:t>（2） 岸桥</w:t>
      </w:r>
      <w:r>
        <w:t>起升</w:t>
      </w:r>
      <w:r>
        <w:rPr>
          <w:rFonts w:hint="eastAsia"/>
        </w:rPr>
        <w:t>变频器额定功率为355KW，电压等级为400v，额定电流665A,输入输出为三相交流输入输出（AC3PH），输入电压范围为380V-460V,输入频率50/60Hz，输出电压</w:t>
      </w:r>
      <w:r>
        <w:t>范围为</w:t>
      </w:r>
      <w:r>
        <w:rPr>
          <w:rFonts w:hint="eastAsia"/>
        </w:rPr>
        <w:t>0-460V,输出</w:t>
      </w:r>
      <w:r>
        <w:t>频率</w:t>
      </w:r>
      <w:r>
        <w:rPr>
          <w:rFonts w:hint="eastAsia"/>
        </w:rPr>
        <w:t>0-300H</w:t>
      </w:r>
      <w:r>
        <w:t>z。</w:t>
      </w:r>
      <w:r>
        <w:rPr>
          <w:rFonts w:hint="eastAsia"/>
        </w:rPr>
        <w:t>轻过载工况输出电流为655A,最大适用电机容量为355kw；重过载工况输出电流为580A，最大适用电机容量为315kw。</w:t>
      </w:r>
    </w:p>
    <w:p>
      <w:pPr>
        <w:pStyle w:val="36"/>
        <w:numPr>
          <w:ilvl w:val="255"/>
          <w:numId w:val="0"/>
        </w:numPr>
        <w:ind w:firstLine="240" w:firstLineChars="100"/>
      </w:pPr>
      <w:r>
        <w:t xml:space="preserve"> </w:t>
      </w:r>
      <w:r>
        <w:rPr>
          <w:rFonts w:hint="eastAsia"/>
        </w:rPr>
        <w:t>（3）场桥</w:t>
      </w:r>
      <w:r>
        <w:t>选用变频</w:t>
      </w:r>
      <w:r>
        <w:rPr>
          <w:rFonts w:hint="eastAsia"/>
        </w:rPr>
        <w:t>器</w:t>
      </w:r>
      <w:r>
        <w:t>型号为</w:t>
      </w:r>
      <w:r>
        <w:rPr>
          <w:rFonts w:hint="eastAsia"/>
        </w:rPr>
        <w:t>HF500-250-4，提供变频器</w:t>
      </w:r>
      <w:r>
        <w:t>合</w:t>
      </w:r>
      <w:r>
        <w:rPr>
          <w:rFonts w:hint="eastAsia"/>
        </w:rPr>
        <w:t>格</w:t>
      </w:r>
      <w:r>
        <w:t>证明</w:t>
      </w:r>
      <w:r>
        <w:rPr>
          <w:rFonts w:hint="eastAsia"/>
        </w:rPr>
        <w:t>及</w:t>
      </w:r>
      <w:r>
        <w:t>质量保证书。</w:t>
      </w:r>
    </w:p>
    <w:p>
      <w:pPr>
        <w:pStyle w:val="36"/>
        <w:numPr>
          <w:ilvl w:val="255"/>
          <w:numId w:val="0"/>
        </w:numPr>
        <w:ind w:firstLine="360" w:firstLineChars="150"/>
      </w:pPr>
      <w:r>
        <w:rPr>
          <w:rFonts w:hint="eastAsia"/>
        </w:rPr>
        <w:t>（4）场桥</w:t>
      </w:r>
      <w:r>
        <w:t>起升</w:t>
      </w:r>
      <w:r>
        <w:rPr>
          <w:rFonts w:hint="eastAsia"/>
        </w:rPr>
        <w:t>变频器额定功率为250KW，电压等级为400v，额定电流485A,输入输出为三相交流输入输出（AC3PH），输入电压范围为380V-460V,输入频率50/60Hz，输出电压</w:t>
      </w:r>
      <w:r>
        <w:t>范围为</w:t>
      </w:r>
      <w:r>
        <w:rPr>
          <w:rFonts w:hint="eastAsia"/>
        </w:rPr>
        <w:t>0-460V,输出</w:t>
      </w:r>
      <w:r>
        <w:t>频率</w:t>
      </w:r>
      <w:r>
        <w:rPr>
          <w:rFonts w:hint="eastAsia"/>
        </w:rPr>
        <w:t>0-300H</w:t>
      </w:r>
      <w:r>
        <w:t>z。</w:t>
      </w:r>
      <w:r>
        <w:rPr>
          <w:rFonts w:hint="eastAsia"/>
        </w:rPr>
        <w:t>轻过载工况输出电流为</w:t>
      </w:r>
      <w:r>
        <w:t>485</w:t>
      </w:r>
      <w:r>
        <w:rPr>
          <w:rFonts w:hint="eastAsia"/>
        </w:rPr>
        <w:t>A,最大适用电机容量为</w:t>
      </w:r>
      <w:r>
        <w:t>250</w:t>
      </w:r>
      <w:r>
        <w:rPr>
          <w:rFonts w:hint="eastAsia"/>
        </w:rPr>
        <w:t>kw；重过载工况输出电流为</w:t>
      </w:r>
      <w:r>
        <w:t>440</w:t>
      </w:r>
      <w:r>
        <w:rPr>
          <w:rFonts w:hint="eastAsia"/>
        </w:rPr>
        <w:t>A，最大适用电机容量为</w:t>
      </w:r>
      <w:r>
        <w:t>220</w:t>
      </w:r>
      <w:r>
        <w:rPr>
          <w:rFonts w:hint="eastAsia"/>
        </w:rPr>
        <w:t>kw。</w:t>
      </w:r>
    </w:p>
    <w:p>
      <w:pPr>
        <w:pStyle w:val="36"/>
        <w:ind w:firstLine="360" w:firstLineChars="150"/>
      </w:pPr>
      <w:r>
        <w:rPr>
          <w:rFonts w:hint="eastAsia"/>
        </w:rPr>
        <w:t>（</w:t>
      </w:r>
      <w:r>
        <w:t>5</w:t>
      </w:r>
      <w:r>
        <w:rPr>
          <w:rFonts w:hint="eastAsia"/>
        </w:rPr>
        <w:t>） 变频器包安装调试（包含旧变频器拆除）。</w:t>
      </w:r>
    </w:p>
    <w:p>
      <w:pPr>
        <w:pStyle w:val="6"/>
        <w:spacing w:line="312" w:lineRule="auto"/>
        <w:jc w:val="both"/>
        <w:rPr>
          <w:rFonts w:ascii="Arial" w:hAnsi="Arial"/>
        </w:rPr>
      </w:pPr>
      <w:r>
        <w:rPr>
          <w:rFonts w:hint="eastAsia"/>
        </w:rPr>
        <w:t xml:space="preserve">3 </w:t>
      </w:r>
      <w:r>
        <w:rPr>
          <w:rFonts w:hint="eastAsia" w:ascii="黑体" w:hAnsi="黑体"/>
        </w:rPr>
        <w:t>供应商资格要求</w:t>
      </w:r>
    </w:p>
    <w:p>
      <w:pPr>
        <w:autoSpaceDE w:val="0"/>
        <w:spacing w:line="312" w:lineRule="auto"/>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312" w:lineRule="auto"/>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312" w:lineRule="auto"/>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312" w:lineRule="auto"/>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312" w:lineRule="auto"/>
        <w:ind w:firstLine="240" w:firstLineChars="100"/>
        <w:rPr>
          <w:sz w:val="24"/>
        </w:rPr>
      </w:pPr>
      <w:r>
        <w:rPr>
          <w:rFonts w:hint="eastAsia" w:ascii="宋体" w:hAnsi="宋体"/>
          <w:sz w:val="24"/>
        </w:rPr>
        <w:t>（4）</w:t>
      </w:r>
      <w:r>
        <w:rPr>
          <w:rFonts w:hint="eastAsia"/>
          <w:sz w:val="24"/>
        </w:rPr>
        <w:t>为投资参股本项目的法人单位；</w:t>
      </w:r>
    </w:p>
    <w:p>
      <w:pPr>
        <w:autoSpaceDE w:val="0"/>
        <w:spacing w:line="312" w:lineRule="auto"/>
        <w:ind w:firstLine="240" w:firstLineChars="100"/>
        <w:rPr>
          <w:rFonts w:ascii="宋体" w:hAnsi="宋体"/>
          <w:sz w:val="24"/>
        </w:rPr>
      </w:pPr>
      <w:r>
        <w:rPr>
          <w:rFonts w:hint="eastAsia" w:ascii="宋体" w:hAnsi="宋体"/>
          <w:sz w:val="24"/>
        </w:rPr>
        <w:t>（5）被</w:t>
      </w:r>
      <w:r>
        <w:rPr>
          <w:rFonts w:hint="eastAsia"/>
          <w:sz w:val="24"/>
        </w:rPr>
        <w:t>省级及以上交通主管部门取消项目所在地的投标资格或禁止进入该区域水运建设市场且处于有效期内；</w:t>
      </w:r>
    </w:p>
    <w:p>
      <w:pPr>
        <w:autoSpaceDE w:val="0"/>
        <w:spacing w:line="312" w:lineRule="auto"/>
        <w:jc w:val="both"/>
        <w:rPr>
          <w:rFonts w:ascii="宋体" w:hAnsi="宋体"/>
          <w:sz w:val="24"/>
        </w:rPr>
      </w:pPr>
      <w:r>
        <w:rPr>
          <w:rFonts w:hint="eastAsia" w:ascii="宋体" w:hAnsi="宋体"/>
          <w:b/>
          <w:bCs/>
          <w:sz w:val="24"/>
        </w:rPr>
        <w:t>3.2</w:t>
      </w:r>
      <w:r>
        <w:rPr>
          <w:rFonts w:hint="eastAsia" w:ascii="宋体" w:hAnsi="宋体"/>
          <w:sz w:val="24"/>
        </w:rPr>
        <w:t>供应商应满足如下要求:</w:t>
      </w:r>
    </w:p>
    <w:tbl>
      <w:tblPr>
        <w:tblStyle w:val="39"/>
        <w:tblW w:w="881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14"/>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58" w:type="dxa"/>
            <w:vAlign w:val="center"/>
          </w:tcPr>
          <w:p>
            <w:pPr>
              <w:widowControl w:val="0"/>
              <w:spacing w:line="320" w:lineRule="exact"/>
              <w:jc w:val="center"/>
              <w:rPr>
                <w:rFonts w:ascii="宋体" w:hAnsi="宋体"/>
                <w:b/>
                <w:bCs/>
                <w:sz w:val="24"/>
              </w:rPr>
            </w:pPr>
            <w:r>
              <w:rPr>
                <w:rFonts w:hint="eastAsia" w:ascii="宋体" w:hAnsi="宋体"/>
                <w:b/>
                <w:bCs/>
                <w:sz w:val="24"/>
              </w:rPr>
              <w:t>资格条件</w:t>
            </w:r>
          </w:p>
        </w:tc>
        <w:tc>
          <w:tcPr>
            <w:tcW w:w="1814" w:type="dxa"/>
            <w:vAlign w:val="center"/>
          </w:tcPr>
          <w:p>
            <w:pPr>
              <w:widowControl w:val="0"/>
              <w:spacing w:line="320" w:lineRule="exact"/>
              <w:jc w:val="center"/>
              <w:rPr>
                <w:rFonts w:ascii="宋体" w:hAnsi="宋体"/>
                <w:b/>
                <w:bCs/>
                <w:sz w:val="24"/>
              </w:rPr>
            </w:pPr>
            <w:r>
              <w:rPr>
                <w:rFonts w:hint="eastAsia" w:ascii="宋体" w:hAnsi="宋体"/>
                <w:b/>
                <w:bCs/>
                <w:sz w:val="24"/>
              </w:rPr>
              <w:t>对供应商要求</w:t>
            </w:r>
          </w:p>
        </w:tc>
        <w:tc>
          <w:tcPr>
            <w:tcW w:w="4638" w:type="dxa"/>
            <w:vAlign w:val="center"/>
          </w:tcPr>
          <w:p>
            <w:pPr>
              <w:widowControl w:val="0"/>
              <w:spacing w:line="320" w:lineRule="exact"/>
              <w:jc w:val="center"/>
              <w:rPr>
                <w:rFonts w:ascii="宋体" w:hAnsi="宋体"/>
                <w:b/>
                <w:bCs/>
                <w:sz w:val="24"/>
              </w:rPr>
            </w:pPr>
            <w:r>
              <w:rPr>
                <w:rFonts w:hint="eastAsia" w:ascii="宋体" w:hAnsi="宋体"/>
                <w:b/>
                <w:bCs/>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（1）依法设立</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（2）资质要求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（3）财务要求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（4）业绩要求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（5）信誉要求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不适用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288" w:lineRule="auto"/>
              <w:jc w:val="left"/>
              <w:rPr>
                <w:rFonts w:ascii="宋体" w:hAnsi="宋体"/>
                <w:sz w:val="24"/>
              </w:rPr>
            </w:pPr>
            <w:r>
              <w:rPr>
                <w:rFonts w:hint="eastAsia" w:ascii="宋体" w:hAnsi="宋体"/>
                <w:sz w:val="24"/>
              </w:rPr>
              <w:t>（6）承担本项目的主要人员要求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58" w:type="dxa"/>
            <w:vAlign w:val="center"/>
          </w:tcPr>
          <w:p>
            <w:pPr>
              <w:widowControl w:val="0"/>
              <w:spacing w:line="320" w:lineRule="exact"/>
              <w:jc w:val="left"/>
              <w:rPr>
                <w:rFonts w:ascii="宋体" w:hAnsi="宋体"/>
                <w:sz w:val="24"/>
              </w:rPr>
            </w:pPr>
            <w:r>
              <w:rPr>
                <w:rFonts w:hint="eastAsia" w:ascii="宋体" w:hAnsi="宋体"/>
                <w:sz w:val="24"/>
              </w:rPr>
              <w:t>（7）其他要求</w:t>
            </w:r>
          </w:p>
        </w:tc>
        <w:tc>
          <w:tcPr>
            <w:tcW w:w="1814"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不适用</w:t>
            </w:r>
          </w:p>
        </w:tc>
        <w:tc>
          <w:tcPr>
            <w:tcW w:w="4638" w:type="dxa"/>
            <w:vAlign w:val="center"/>
          </w:tcPr>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358" w:type="dxa"/>
            <w:vAlign w:val="center"/>
          </w:tcPr>
          <w:p>
            <w:pPr>
              <w:widowControl w:val="0"/>
              <w:spacing w:line="288" w:lineRule="auto"/>
              <w:jc w:val="left"/>
              <w:rPr>
                <w:rFonts w:ascii="宋体" w:hAnsi="宋体"/>
                <w:sz w:val="24"/>
              </w:rPr>
            </w:pPr>
            <w:r>
              <w:rPr>
                <w:rFonts w:hint="eastAsia" w:ascii="宋体" w:hAnsi="宋体"/>
                <w:sz w:val="24"/>
              </w:rPr>
              <w:t>（8）供应商不存在第一章3.1款情形的证明材料</w:t>
            </w:r>
          </w:p>
        </w:tc>
        <w:tc>
          <w:tcPr>
            <w:tcW w:w="1814" w:type="dxa"/>
            <w:vAlign w:val="center"/>
          </w:tcPr>
          <w:p>
            <w:pPr>
              <w:widowControl w:val="0"/>
              <w:spacing w:line="320" w:lineRule="exact"/>
              <w:jc w:val="center"/>
              <w:rPr>
                <w:rStyle w:val="41"/>
                <w:b w:val="0"/>
                <w:bCs w:val="0"/>
                <w:u w:val="single"/>
              </w:rPr>
            </w:pPr>
          </w:p>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w:t>
            </w:r>
          </w:p>
        </w:tc>
        <w:tc>
          <w:tcPr>
            <w:tcW w:w="4638" w:type="dxa"/>
            <w:vAlign w:val="center"/>
          </w:tcPr>
          <w:p>
            <w:pPr>
              <w:widowControl w:val="0"/>
              <w:spacing w:line="320" w:lineRule="exact"/>
              <w:jc w:val="center"/>
              <w:rPr>
                <w:rStyle w:val="41"/>
                <w:b w:val="0"/>
                <w:bCs w:val="0"/>
                <w:u w:val="single"/>
              </w:rPr>
            </w:pPr>
          </w:p>
          <w:p>
            <w:pPr>
              <w:widowControl w:val="0"/>
              <w:spacing w:line="320" w:lineRule="exact"/>
              <w:jc w:val="center"/>
              <w:rPr>
                <w:rFonts w:ascii="宋体" w:hAnsi="宋体"/>
                <w:sz w:val="24"/>
              </w:rPr>
            </w:pPr>
            <w:r>
              <w:rPr>
                <w:rStyle w:val="41"/>
                <w:rFonts w:hint="eastAsia"/>
                <w:b w:val="0"/>
                <w:bCs w:val="0"/>
                <w:u w:val="single"/>
              </w:rPr>
              <w:sym w:font="Wingdings 2" w:char="0052"/>
            </w:r>
            <w:r>
              <w:rPr>
                <w:rStyle w:val="41"/>
                <w:rFonts w:hint="eastAsia"/>
                <w:b w:val="0"/>
                <w:bCs w:val="0"/>
                <w:u w:val="single"/>
              </w:rPr>
              <w:t>适用,见采购文件供应商须知前附表3.5（8）。</w:t>
            </w:r>
          </w:p>
        </w:tc>
      </w:tr>
    </w:tbl>
    <w:p>
      <w:pPr>
        <w:pStyle w:val="6"/>
        <w:jc w:val="both"/>
        <w:rPr>
          <w:rFonts w:ascii="Arial" w:hAnsi="Arial"/>
        </w:rPr>
      </w:pPr>
      <w:r>
        <w:rPr>
          <w:rFonts w:hint="eastAsia"/>
        </w:rPr>
        <w:t xml:space="preserve">4 </w:t>
      </w:r>
      <w:r>
        <w:rPr>
          <w:rFonts w:hint="eastAsia" w:ascii="黑体" w:hAnsi="黑体"/>
        </w:rPr>
        <w:t>响应保证金</w:t>
      </w:r>
    </w:p>
    <w:tbl>
      <w:tblPr>
        <w:tblStyle w:val="39"/>
        <w:tblW w:w="8824"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649"/>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71" w:type="dxa"/>
            <w:vAlign w:val="center"/>
          </w:tcPr>
          <w:p>
            <w:pPr>
              <w:widowControl w:val="0"/>
              <w:autoSpaceDE w:val="0"/>
              <w:spacing w:line="400" w:lineRule="exact"/>
              <w:jc w:val="center"/>
              <w:rPr>
                <w:rFonts w:ascii="宋体" w:hAnsi="宋体"/>
                <w:b/>
                <w:bCs/>
                <w:sz w:val="24"/>
              </w:rPr>
            </w:pPr>
            <w:r>
              <w:rPr>
                <w:rFonts w:hint="eastAsia" w:ascii="宋体" w:hAnsi="宋体"/>
                <w:b/>
                <w:bCs/>
                <w:sz w:val="24"/>
              </w:rPr>
              <w:t>响应保证金的递交</w:t>
            </w:r>
          </w:p>
        </w:tc>
        <w:tc>
          <w:tcPr>
            <w:tcW w:w="3649" w:type="dxa"/>
            <w:vAlign w:val="center"/>
          </w:tcPr>
          <w:p>
            <w:pPr>
              <w:widowControl w:val="0"/>
              <w:autoSpaceDE w:val="0"/>
              <w:spacing w:line="400" w:lineRule="exact"/>
              <w:jc w:val="center"/>
              <w:rPr>
                <w:rFonts w:ascii="黑体" w:hAnsi="黑体"/>
                <w:b/>
                <w:bCs/>
              </w:rPr>
            </w:pPr>
            <w:r>
              <w:rPr>
                <w:rFonts w:hint="eastAsia" w:ascii="宋体" w:hAnsi="宋体"/>
                <w:b/>
                <w:bCs/>
                <w:sz w:val="24"/>
              </w:rPr>
              <w:t>不退还响应保证金的其他情形</w:t>
            </w:r>
          </w:p>
        </w:tc>
        <w:tc>
          <w:tcPr>
            <w:tcW w:w="2704" w:type="dxa"/>
            <w:vAlign w:val="center"/>
          </w:tcPr>
          <w:p>
            <w:pPr>
              <w:widowControl w:val="0"/>
              <w:autoSpaceDE w:val="0"/>
              <w:spacing w:line="400" w:lineRule="exact"/>
              <w:jc w:val="center"/>
              <w:rPr>
                <w:rFonts w:ascii="黑体" w:hAnsi="黑体"/>
                <w:b/>
                <w:bCs/>
              </w:rPr>
            </w:pPr>
            <w:r>
              <w:rPr>
                <w:rFonts w:hint="eastAsia" w:ascii="宋体" w:hAnsi="宋体"/>
                <w:b/>
                <w:bCs/>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471" w:type="dxa"/>
            <w:vAlign w:val="center"/>
          </w:tcPr>
          <w:p>
            <w:pPr>
              <w:widowControl w:val="0"/>
              <w:autoSpaceDE w:val="0"/>
              <w:spacing w:line="400" w:lineRule="exact"/>
              <w:jc w:val="center"/>
              <w:rPr>
                <w:rFonts w:ascii="宋体" w:hAnsi="宋体"/>
                <w:sz w:val="24"/>
              </w:rPr>
            </w:pPr>
            <w:r>
              <w:rPr>
                <w:rStyle w:val="41"/>
                <w:rFonts w:hint="eastAsia"/>
              </w:rPr>
              <w:t>☑</w:t>
            </w:r>
            <w:r>
              <w:rPr>
                <w:rFonts w:hint="eastAsia" w:ascii="宋体" w:hAnsi="宋体"/>
                <w:sz w:val="24"/>
              </w:rPr>
              <w:t>不要求递交</w:t>
            </w:r>
          </w:p>
        </w:tc>
        <w:tc>
          <w:tcPr>
            <w:tcW w:w="3649" w:type="dxa"/>
            <w:vAlign w:val="center"/>
          </w:tcPr>
          <w:p>
            <w:pPr>
              <w:widowControl w:val="0"/>
              <w:autoSpaceDE w:val="0"/>
              <w:spacing w:line="400" w:lineRule="exact"/>
              <w:jc w:val="center"/>
              <w:rPr>
                <w:rFonts w:ascii="黑体" w:hAnsi="黑体"/>
              </w:rPr>
            </w:pPr>
            <w:r>
              <w:rPr>
                <w:rStyle w:val="41"/>
                <w:rFonts w:hint="eastAsia"/>
              </w:rPr>
              <w:t>☑不</w:t>
            </w:r>
            <w:r>
              <w:rPr>
                <w:rFonts w:hint="eastAsia" w:ascii="宋体" w:hAnsi="宋体"/>
                <w:sz w:val="24"/>
              </w:rPr>
              <w:t>适用</w:t>
            </w:r>
          </w:p>
        </w:tc>
        <w:tc>
          <w:tcPr>
            <w:tcW w:w="2704" w:type="dxa"/>
            <w:vAlign w:val="center"/>
          </w:tcPr>
          <w:p>
            <w:pPr>
              <w:widowControl w:val="0"/>
              <w:autoSpaceDE w:val="0"/>
              <w:spacing w:line="400" w:lineRule="exact"/>
              <w:jc w:val="center"/>
              <w:rPr>
                <w:rFonts w:ascii="黑体" w:hAnsi="黑体"/>
              </w:rPr>
            </w:pPr>
            <w:r>
              <w:rPr>
                <w:rStyle w:val="41"/>
                <w:rFonts w:hint="eastAsia"/>
              </w:rPr>
              <w:t>☑</w:t>
            </w:r>
            <w:r>
              <w:rPr>
                <w:rFonts w:hint="eastAsia" w:ascii="宋体" w:hAnsi="宋体"/>
                <w:sz w:val="24"/>
              </w:rPr>
              <w:t>不适用</w:t>
            </w:r>
          </w:p>
        </w:tc>
      </w:tr>
    </w:tbl>
    <w:p>
      <w:pPr>
        <w:pStyle w:val="6"/>
        <w:spacing w:line="312" w:lineRule="auto"/>
        <w:jc w:val="both"/>
        <w:rPr>
          <w:rFonts w:ascii="Arial" w:hAnsi="Arial"/>
        </w:rPr>
      </w:pPr>
      <w:r>
        <w:rPr>
          <w:rFonts w:hint="eastAsia"/>
        </w:rPr>
        <w:t>5</w:t>
      </w:r>
      <w:r>
        <w:t xml:space="preserve"> </w:t>
      </w:r>
      <w:r>
        <w:rPr>
          <w:rFonts w:hint="eastAsia" w:ascii="黑体" w:hAnsi="黑体"/>
        </w:rPr>
        <w:t>确定成交供应商的方法</w:t>
      </w:r>
    </w:p>
    <w:p>
      <w:pPr>
        <w:autoSpaceDE w:val="0"/>
        <w:spacing w:line="312" w:lineRule="auto"/>
        <w:jc w:val="both"/>
        <w:rPr>
          <w:rStyle w:val="41"/>
        </w:rPr>
      </w:pPr>
      <w:r>
        <w:rPr>
          <w:rFonts w:hint="eastAsia" w:ascii="宋体" w:hAnsi="宋体"/>
          <w:b/>
          <w:bCs/>
          <w:sz w:val="24"/>
        </w:rPr>
        <w:t>5.1 最低价法</w:t>
      </w:r>
    </w:p>
    <w:p>
      <w:pPr>
        <w:autoSpaceDE w:val="0"/>
        <w:spacing w:line="312" w:lineRule="auto"/>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spacing w:line="312" w:lineRule="auto"/>
        <w:jc w:val="both"/>
        <w:rPr>
          <w:rFonts w:ascii="黑体" w:hAnsi="黑体"/>
        </w:rPr>
      </w:pPr>
      <w:r>
        <w:rPr>
          <w:rFonts w:hint="eastAsia"/>
        </w:rPr>
        <w:t>6</w:t>
      </w:r>
      <w:r>
        <w:rPr>
          <w:rFonts w:hint="eastAsia" w:ascii="黑体" w:hAnsi="黑体"/>
        </w:rPr>
        <w:t>采购文件获取</w:t>
      </w:r>
    </w:p>
    <w:p>
      <w:pPr>
        <w:autoSpaceDE w:val="0"/>
        <w:spacing w:line="312" w:lineRule="auto"/>
        <w:rPr>
          <w:rFonts w:ascii="宋体" w:hAnsi="宋体"/>
          <w:sz w:val="24"/>
        </w:rPr>
      </w:pPr>
      <w:r>
        <w:rPr>
          <w:rFonts w:hint="eastAsia" w:ascii="宋体" w:hAnsi="宋体"/>
          <w:b/>
          <w:bCs/>
          <w:sz w:val="24"/>
          <w:highlight w:val="none"/>
        </w:rPr>
        <w:t xml:space="preserve">6.1 </w:t>
      </w:r>
      <w:r>
        <w:rPr>
          <w:rFonts w:hint="eastAsia" w:ascii="宋体" w:hAnsi="宋体"/>
          <w:sz w:val="24"/>
          <w:highlight w:val="none"/>
        </w:rPr>
        <w:t>供应商应当于</w:t>
      </w:r>
      <w:r>
        <w:rPr>
          <w:rFonts w:hint="eastAsia" w:ascii="宋体" w:hAnsi="宋体"/>
          <w:sz w:val="24"/>
          <w:highlight w:val="none"/>
          <w:u w:val="single"/>
          <w:lang w:val="en-US" w:eastAsia="zh-CN"/>
        </w:rPr>
        <w:t>2021</w:t>
      </w:r>
      <w:r>
        <w:rPr>
          <w:rFonts w:hint="eastAsia" w:ascii="宋体" w:hAnsi="宋体"/>
          <w:sz w:val="24"/>
          <w:highlight w:val="none"/>
          <w:u w:val="single"/>
        </w:rPr>
        <w:t>年</w:t>
      </w:r>
      <w:r>
        <w:rPr>
          <w:rFonts w:hint="eastAsia" w:ascii="宋体" w:hAnsi="宋体"/>
          <w:sz w:val="24"/>
          <w:highlight w:val="none"/>
          <w:u w:val="single"/>
          <w:lang w:val="en-US" w:eastAsia="zh-CN"/>
        </w:rPr>
        <w:t>12</w:t>
      </w:r>
      <w:r>
        <w:rPr>
          <w:rFonts w:hint="eastAsia" w:ascii="宋体" w:hAnsi="宋体"/>
          <w:sz w:val="24"/>
          <w:highlight w:val="none"/>
          <w:u w:val="single"/>
        </w:rPr>
        <w:t>月</w:t>
      </w:r>
      <w:r>
        <w:rPr>
          <w:rFonts w:hint="eastAsia" w:ascii="宋体" w:hAnsi="宋体"/>
          <w:sz w:val="24"/>
          <w:highlight w:val="none"/>
          <w:u w:val="single"/>
          <w:lang w:val="en-US" w:eastAsia="zh-CN"/>
        </w:rPr>
        <w:t>8</w:t>
      </w:r>
      <w:r>
        <w:rPr>
          <w:rFonts w:hint="eastAsia" w:ascii="宋体" w:hAnsi="宋体"/>
          <w:sz w:val="24"/>
          <w:u w:val="single"/>
        </w:rPr>
        <w:t>日至</w:t>
      </w:r>
      <w:r>
        <w:rPr>
          <w:rFonts w:hint="eastAsia" w:ascii="宋体" w:hAnsi="宋体"/>
          <w:sz w:val="24"/>
          <w:u w:val="single"/>
          <w:lang w:val="en-US" w:eastAsia="zh-CN"/>
        </w:rPr>
        <w:t>2021</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12</w:t>
      </w:r>
      <w:r>
        <w:rPr>
          <w:rFonts w:hint="eastAsia" w:ascii="宋体" w:hAnsi="宋体"/>
          <w:sz w:val="24"/>
          <w:u w:val="single"/>
        </w:rPr>
        <w:t>日</w:t>
      </w:r>
      <w:r>
        <w:rPr>
          <w:rFonts w:hint="eastAsia" w:ascii="宋体" w:hAnsi="宋体"/>
          <w:sz w:val="24"/>
        </w:rPr>
        <w:t>，在</w:t>
      </w:r>
      <w:r>
        <w:rPr>
          <w:rFonts w:hint="eastAsia" w:ascii="宋体" w:hAnsi="宋体" w:cs="宋体"/>
          <w:sz w:val="24"/>
          <w:u w:val="single"/>
        </w:rPr>
        <w:t>湖南省湘水集团有限公司网站（http：//www.hnsxsjt.com）、湖南省港务集团有限公司网站（http://www.hnsgwjt.com）网站上</w:t>
      </w:r>
      <w:r>
        <w:rPr>
          <w:rFonts w:hint="eastAsia" w:ascii="宋体" w:hAnsi="宋体"/>
          <w:sz w:val="24"/>
        </w:rPr>
        <w:t>获取采购文件</w:t>
      </w:r>
      <w:r>
        <w:rPr>
          <w:rFonts w:hint="eastAsia" w:ascii="宋体" w:hAnsi="宋体"/>
          <w:sz w:val="24"/>
          <w:lang w:val="en-US" w:eastAsia="zh-CN"/>
        </w:rPr>
        <w:t>;</w:t>
      </w:r>
    </w:p>
    <w:p>
      <w:pPr>
        <w:spacing w:line="360" w:lineRule="auto"/>
        <w:jc w:val="both"/>
        <w:rPr>
          <w:rFonts w:ascii="宋体" w:hAnsi="宋体" w:cs="宋体"/>
          <w:color w:val="000000"/>
          <w:sz w:val="24"/>
          <w:u w:val="single"/>
        </w:rPr>
      </w:pPr>
      <w:r>
        <w:rPr>
          <w:rFonts w:hint="eastAsia" w:ascii="宋体" w:hAnsi="宋体"/>
          <w:b/>
          <w:bCs/>
          <w:sz w:val="24"/>
        </w:rPr>
        <w:t xml:space="preserve">6.2 </w:t>
      </w:r>
      <w:r>
        <w:rPr>
          <w:rFonts w:hint="eastAsia" w:ascii="宋体" w:hAnsi="宋体" w:cs="宋体"/>
          <w:sz w:val="24"/>
        </w:rPr>
        <w:t>响应文件递交</w:t>
      </w:r>
      <w:r>
        <w:rPr>
          <w:rFonts w:hint="eastAsia" w:ascii="宋体" w:hAnsi="宋体" w:cs="宋体"/>
          <w:color w:val="000000"/>
          <w:sz w:val="24"/>
        </w:rPr>
        <w:t>截</w:t>
      </w:r>
      <w:r>
        <w:rPr>
          <w:rFonts w:hint="eastAsia" w:ascii="宋体" w:hAnsi="宋体" w:cs="宋体"/>
          <w:color w:val="000000"/>
          <w:sz w:val="24"/>
          <w:highlight w:val="none"/>
          <w:u w:val="none"/>
        </w:rPr>
        <w:t>止时间：2021年</w:t>
      </w:r>
      <w:r>
        <w:rPr>
          <w:rFonts w:hint="eastAsia" w:ascii="宋体" w:hAnsi="宋体" w:cs="宋体"/>
          <w:color w:val="000000"/>
          <w:sz w:val="24"/>
          <w:highlight w:val="none"/>
          <w:u w:val="none"/>
          <w:lang w:val="en-US" w:eastAsia="zh-CN"/>
        </w:rPr>
        <w:t>12</w:t>
      </w:r>
      <w:r>
        <w:rPr>
          <w:rFonts w:hint="eastAsia" w:ascii="宋体" w:hAnsi="宋体" w:cs="宋体"/>
          <w:color w:val="000000"/>
          <w:sz w:val="24"/>
          <w:highlight w:val="none"/>
          <w:u w:val="none"/>
        </w:rPr>
        <w:t>月</w:t>
      </w:r>
      <w:r>
        <w:rPr>
          <w:rFonts w:hint="eastAsia" w:ascii="宋体" w:hAnsi="宋体" w:cs="宋体"/>
          <w:color w:val="000000"/>
          <w:sz w:val="24"/>
          <w:highlight w:val="none"/>
          <w:u w:val="none"/>
          <w:lang w:val="en-US" w:eastAsia="zh-CN"/>
        </w:rPr>
        <w:t>13</w:t>
      </w:r>
      <w:r>
        <w:rPr>
          <w:rFonts w:hint="eastAsia" w:ascii="宋体" w:hAnsi="宋体" w:cs="宋体"/>
          <w:color w:val="000000"/>
          <w:sz w:val="24"/>
          <w:highlight w:val="none"/>
          <w:u w:val="none"/>
        </w:rPr>
        <w:t>日17时30分；</w:t>
      </w:r>
    </w:p>
    <w:p>
      <w:pPr>
        <w:autoSpaceDE w:val="0"/>
        <w:spacing w:line="312" w:lineRule="auto"/>
        <w:ind w:firstLine="480" w:firstLineChars="200"/>
        <w:jc w:val="both"/>
        <w:rPr>
          <w:rFonts w:ascii="宋体" w:hAnsi="宋体"/>
          <w:b/>
          <w:bCs/>
          <w:sz w:val="24"/>
        </w:rPr>
      </w:pPr>
      <w:r>
        <w:rPr>
          <w:rFonts w:hint="eastAsia" w:ascii="宋体" w:hAnsi="宋体" w:cs="宋体"/>
          <w:color w:val="000000"/>
          <w:sz w:val="24"/>
        </w:rPr>
        <w:t>递交响应文件的地点：</w:t>
      </w:r>
      <w:r>
        <w:rPr>
          <w:rFonts w:hint="eastAsia" w:ascii="宋体" w:hAnsi="宋体"/>
          <w:sz w:val="24"/>
          <w:u w:val="single"/>
        </w:rPr>
        <w:t>岳阳城陵矶新港有限公司办公楼一楼工程技术部办公室</w:t>
      </w:r>
      <w:r>
        <w:rPr>
          <w:rFonts w:hint="eastAsia" w:cs="宋体" w:asciiTheme="minorEastAsia" w:hAnsiTheme="minorEastAsia" w:eastAsiaTheme="minorEastAsia"/>
          <w:color w:val="000000"/>
          <w:sz w:val="24"/>
        </w:rPr>
        <w:t xml:space="preserve"> </w:t>
      </w:r>
      <w:r>
        <w:rPr>
          <w:rFonts w:hint="eastAsia" w:ascii="宋体" w:hAnsi="宋体" w:cs="宋体"/>
          <w:color w:val="000000"/>
          <w:sz w:val="24"/>
        </w:rPr>
        <w:t xml:space="preserve"> </w:t>
      </w:r>
    </w:p>
    <w:p>
      <w:pPr>
        <w:autoSpaceDE w:val="0"/>
        <w:spacing w:line="312" w:lineRule="auto"/>
        <w:jc w:val="both"/>
        <w:rPr>
          <w:rFonts w:ascii="宋体" w:hAnsi="宋体"/>
          <w:sz w:val="24"/>
        </w:rPr>
      </w:pPr>
      <w:r>
        <w:rPr>
          <w:rFonts w:hint="eastAsia" w:ascii="宋体" w:hAnsi="宋体"/>
          <w:b/>
          <w:bCs/>
          <w:sz w:val="24"/>
        </w:rPr>
        <w:t xml:space="preserve">6.3 </w:t>
      </w:r>
      <w:r>
        <w:rPr>
          <w:rFonts w:hint="eastAsia" w:ascii="宋体" w:hAnsi="宋体"/>
          <w:sz w:val="24"/>
        </w:rPr>
        <w:t>供应商若对</w:t>
      </w:r>
      <w:r>
        <w:rPr>
          <w:rFonts w:hint="eastAsia" w:ascii="宋体" w:hAnsi="宋体"/>
          <w:sz w:val="24"/>
          <w:highlight w:val="none"/>
        </w:rPr>
        <w:t>本项目采购需求、资格要求等有疑问的，应当于</w:t>
      </w:r>
      <w:r>
        <w:rPr>
          <w:rFonts w:hint="eastAsia" w:ascii="宋体" w:hAnsi="宋体" w:cs="宋体"/>
          <w:color w:val="000000"/>
          <w:sz w:val="24"/>
          <w:highlight w:val="none"/>
          <w:u w:val="single"/>
        </w:rPr>
        <w:t>2021年</w:t>
      </w:r>
      <w:r>
        <w:rPr>
          <w:rFonts w:hint="eastAsia" w:ascii="宋体" w:hAnsi="宋体" w:cs="宋体"/>
          <w:color w:val="000000"/>
          <w:sz w:val="24"/>
          <w:highlight w:val="none"/>
          <w:u w:val="single"/>
          <w:lang w:val="en-US" w:eastAsia="zh-CN"/>
        </w:rPr>
        <w:t>12</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日17时</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0分</w:t>
      </w:r>
      <w:r>
        <w:rPr>
          <w:rFonts w:hint="eastAsia" w:ascii="宋体" w:hAnsi="宋体"/>
          <w:sz w:val="24"/>
          <w:highlight w:val="none"/>
        </w:rPr>
        <w:t>前向</w:t>
      </w:r>
      <w:r>
        <w:rPr>
          <w:rFonts w:hint="eastAsia" w:ascii="宋体" w:hAnsi="宋体"/>
          <w:sz w:val="24"/>
        </w:rPr>
        <w:t>采购人提出澄清要求。</w:t>
      </w:r>
    </w:p>
    <w:p>
      <w:pPr>
        <w:spacing w:line="312" w:lineRule="auto"/>
      </w:pPr>
    </w:p>
    <w:p>
      <w:pPr>
        <w:pStyle w:val="6"/>
        <w:spacing w:line="312" w:lineRule="auto"/>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中国招标投标公共服务平台（http：//www.cebpubservice.com）、湖南省湘水集团有限公司网站（http：//www.hnsxsjt.com）、湖南省港务集团有限公司门户网站（http://www.hnsgwjt.com/）上发布。</w:t>
      </w:r>
    </w:p>
    <w:p>
      <w:pPr>
        <w:pStyle w:val="6"/>
        <w:spacing w:line="312" w:lineRule="auto"/>
        <w:jc w:val="both"/>
      </w:pPr>
      <w:r>
        <w:rPr>
          <w:rFonts w:hint="eastAsia"/>
        </w:rPr>
        <w:t>8</w:t>
      </w:r>
      <w:bookmarkStart w:id="2" w:name="_Toc512257471"/>
      <w:bookmarkStart w:id="3" w:name="_Toc77254104"/>
      <w:bookmarkStart w:id="4" w:name="_Toc76635692"/>
      <w:bookmarkStart w:id="5" w:name="_Toc79596547"/>
      <w:r>
        <w:t xml:space="preserve"> 监督</w:t>
      </w:r>
      <w:bookmarkEnd w:id="2"/>
      <w:bookmarkEnd w:id="3"/>
      <w:bookmarkEnd w:id="4"/>
      <w:r>
        <w:rPr>
          <w:rFonts w:hint="eastAsia"/>
        </w:rPr>
        <w:t>部门</w:t>
      </w:r>
      <w:bookmarkEnd w:id="5"/>
    </w:p>
    <w:p>
      <w:pPr>
        <w:pStyle w:val="32"/>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hint="eastAsia"/>
        </w:rPr>
        <w:t>岳阳城陵矶新港有限公司综合管理部</w:t>
      </w:r>
      <w:r>
        <w:rPr>
          <w:rFonts w:cs="Times New Roman"/>
        </w:rPr>
        <w:t>，电话：</w:t>
      </w:r>
      <w:r>
        <w:rPr>
          <w:rFonts w:hint="eastAsia" w:cs="Times New Roman"/>
          <w:u w:val="single"/>
        </w:rPr>
        <w:t>13873049118</w:t>
      </w:r>
      <w:r>
        <w:rPr>
          <w:rFonts w:cs="Times New Roman"/>
        </w:rPr>
        <w:t>。</w:t>
      </w:r>
    </w:p>
    <w:p>
      <w:pPr>
        <w:pStyle w:val="6"/>
        <w:spacing w:line="312" w:lineRule="auto"/>
        <w:jc w:val="both"/>
        <w:rPr>
          <w:rFonts w:ascii="Arial" w:hAnsi="Arial"/>
          <w:highlight w:val="none"/>
        </w:rPr>
      </w:pPr>
      <w:r>
        <w:t>9</w:t>
      </w:r>
      <w:r>
        <w:rPr>
          <w:rFonts w:hint="eastAsia"/>
        </w:rPr>
        <w:t xml:space="preserve"> </w:t>
      </w:r>
      <w:r>
        <w:rPr>
          <w:rFonts w:hint="eastAsia" w:ascii="黑体" w:hAnsi="黑体"/>
        </w:rPr>
        <w:t>其他</w:t>
      </w:r>
    </w:p>
    <w:p>
      <w:pPr>
        <w:autoSpaceDE w:val="0"/>
        <w:spacing w:line="312" w:lineRule="auto"/>
        <w:jc w:val="both"/>
        <w:rPr>
          <w:rFonts w:ascii="宋体" w:hAnsi="宋体"/>
          <w:sz w:val="24"/>
          <w:highlight w:val="none"/>
        </w:rPr>
      </w:pPr>
      <w:r>
        <w:rPr>
          <w:rFonts w:hint="eastAsia" w:ascii="宋体" w:hAnsi="宋体"/>
          <w:b/>
          <w:bCs/>
          <w:sz w:val="24"/>
          <w:highlight w:val="none"/>
        </w:rPr>
        <w:t xml:space="preserve">9.1 </w:t>
      </w:r>
      <w:r>
        <w:rPr>
          <w:rFonts w:hint="eastAsia" w:ascii="宋体" w:hAnsi="宋体"/>
          <w:sz w:val="24"/>
          <w:highlight w:val="none"/>
        </w:rPr>
        <w:t xml:space="preserve">采购人在签署采购合同时及合同履行过程中，有权对采购标的的数量进行增加或减少的幅度: </w:t>
      </w:r>
      <w:r>
        <w:rPr>
          <w:rFonts w:hint="eastAsia" w:ascii="宋体" w:hAnsi="宋体"/>
          <w:sz w:val="24"/>
          <w:highlight w:val="none"/>
          <w:u w:val="single"/>
        </w:rPr>
        <w:t>1台</w:t>
      </w:r>
      <w:r>
        <w:rPr>
          <w:rFonts w:hint="eastAsia" w:ascii="宋体" w:hAnsi="宋体"/>
          <w:sz w:val="24"/>
          <w:highlight w:val="none"/>
        </w:rPr>
        <w:t>。</w:t>
      </w:r>
    </w:p>
    <w:p>
      <w:pPr>
        <w:autoSpaceDE w:val="0"/>
        <w:spacing w:line="312" w:lineRule="auto"/>
        <w:jc w:val="both"/>
        <w:rPr>
          <w:rFonts w:ascii="宋体" w:hAnsi="宋体"/>
          <w:sz w:val="24"/>
          <w:highlight w:val="none"/>
        </w:rPr>
      </w:pPr>
      <w:r>
        <w:rPr>
          <w:rFonts w:hint="eastAsia" w:ascii="宋体" w:hAnsi="宋体"/>
          <w:b/>
          <w:bCs/>
          <w:sz w:val="24"/>
          <w:highlight w:val="none"/>
        </w:rPr>
        <w:t>9.2</w:t>
      </w:r>
      <w:r>
        <w:rPr>
          <w:rFonts w:hint="eastAsia" w:ascii="宋体" w:hAnsi="宋体"/>
          <w:sz w:val="24"/>
          <w:highlight w:val="none"/>
        </w:rPr>
        <w:t xml:space="preserve"> 项</w:t>
      </w:r>
      <w:r>
        <w:rPr>
          <w:rFonts w:hint="eastAsia" w:ascii="宋体" w:hAnsi="宋体" w:cs="宋体"/>
          <w:sz w:val="24"/>
          <w:highlight w:val="none"/>
        </w:rPr>
        <w:t>目控制价：本项目最高限价为人民币</w:t>
      </w:r>
      <w:r>
        <w:rPr>
          <w:rFonts w:hint="eastAsia" w:ascii="宋体" w:hAnsi="宋体" w:cs="宋体"/>
          <w:sz w:val="24"/>
          <w:highlight w:val="none"/>
          <w:u w:val="single"/>
        </w:rPr>
        <w:t>叁拾叁万元</w:t>
      </w:r>
      <w:r>
        <w:rPr>
          <w:rFonts w:hint="eastAsia" w:ascii="宋体" w:hAnsi="宋体" w:cs="宋体"/>
          <w:sz w:val="24"/>
          <w:highlight w:val="none"/>
        </w:rPr>
        <w:t>整（小写：</w:t>
      </w:r>
      <w:r>
        <w:rPr>
          <w:rFonts w:ascii="Arial" w:hAnsi="Arial" w:cs="Arial"/>
          <w:sz w:val="24"/>
          <w:highlight w:val="none"/>
        </w:rPr>
        <w:t>¥</w:t>
      </w:r>
      <w:r>
        <w:rPr>
          <w:rFonts w:hint="eastAsia" w:ascii="宋体" w:hAnsi="宋体" w:cs="宋体"/>
          <w:sz w:val="24"/>
          <w:highlight w:val="none"/>
          <w:u w:val="single"/>
        </w:rPr>
        <w:t>330,000.00</w:t>
      </w:r>
      <w:r>
        <w:rPr>
          <w:rFonts w:hint="eastAsia" w:ascii="宋体" w:hAnsi="宋体" w:cs="宋体"/>
          <w:sz w:val="24"/>
          <w:highlight w:val="none"/>
        </w:rPr>
        <w:t>元）。提供13%的增值税专用发票，超过最高限价的作废。</w:t>
      </w:r>
    </w:p>
    <w:p>
      <w:pPr>
        <w:pStyle w:val="6"/>
        <w:spacing w:line="312" w:lineRule="auto"/>
        <w:jc w:val="both"/>
        <w:rPr>
          <w:rFonts w:ascii="Arial" w:hAnsi="Arial"/>
          <w:highlight w:val="none"/>
        </w:rPr>
      </w:pPr>
      <w:r>
        <w:rPr>
          <w:highlight w:val="none"/>
        </w:rPr>
        <w:t>10</w:t>
      </w:r>
      <w:r>
        <w:rPr>
          <w:rFonts w:hint="eastAsia"/>
          <w:highlight w:val="none"/>
        </w:rPr>
        <w:t xml:space="preserve"> </w:t>
      </w:r>
      <w:r>
        <w:rPr>
          <w:rFonts w:hint="eastAsia" w:ascii="黑体" w:hAnsi="黑体"/>
          <w:highlight w:val="none"/>
        </w:rPr>
        <w:t>联系方式</w:t>
      </w:r>
    </w:p>
    <w:p>
      <w:pPr>
        <w:autoSpaceDE w:val="0"/>
        <w:spacing w:line="312" w:lineRule="auto"/>
        <w:ind w:firstLine="240" w:firstLineChars="100"/>
        <w:jc w:val="both"/>
        <w:rPr>
          <w:rFonts w:ascii="宋体" w:hAnsi="宋体"/>
          <w:sz w:val="24"/>
        </w:rPr>
      </w:pPr>
      <w:r>
        <w:rPr>
          <w:rFonts w:hint="eastAsia" w:ascii="宋体" w:hAnsi="宋体"/>
          <w:sz w:val="24"/>
        </w:rPr>
        <w:t xml:space="preserve">采 购 人: 岳阳城陵矶新港有限公司         </w:t>
      </w:r>
    </w:p>
    <w:p>
      <w:pPr>
        <w:autoSpaceDE w:val="0"/>
        <w:spacing w:line="312" w:lineRule="auto"/>
        <w:ind w:firstLine="240" w:firstLineChars="100"/>
        <w:jc w:val="both"/>
        <w:rPr>
          <w:rFonts w:ascii="宋体" w:hAnsi="宋体"/>
          <w:sz w:val="24"/>
        </w:rPr>
      </w:pPr>
      <w:r>
        <w:rPr>
          <w:rFonts w:hint="eastAsia" w:ascii="宋体" w:hAnsi="宋体"/>
          <w:sz w:val="24"/>
        </w:rPr>
        <w:t xml:space="preserve">地    址: 岳阳市城陵矶临港新区新港办公楼 </w:t>
      </w:r>
    </w:p>
    <w:p>
      <w:pPr>
        <w:autoSpaceDE w:val="0"/>
        <w:spacing w:line="312" w:lineRule="auto"/>
        <w:ind w:firstLine="240" w:firstLineChars="100"/>
        <w:jc w:val="both"/>
        <w:rPr>
          <w:rFonts w:ascii="宋体" w:hAnsi="宋体"/>
          <w:sz w:val="24"/>
        </w:rPr>
      </w:pPr>
      <w:r>
        <w:rPr>
          <w:rFonts w:hint="eastAsia" w:ascii="宋体" w:hAnsi="宋体"/>
          <w:sz w:val="24"/>
        </w:rPr>
        <w:t xml:space="preserve">邮政编码: 414000                         </w:t>
      </w:r>
    </w:p>
    <w:p>
      <w:pPr>
        <w:autoSpaceDE w:val="0"/>
        <w:spacing w:line="312" w:lineRule="auto"/>
        <w:ind w:firstLine="240" w:firstLineChars="100"/>
        <w:jc w:val="both"/>
        <w:rPr>
          <w:rFonts w:ascii="宋体" w:hAnsi="宋体"/>
          <w:sz w:val="24"/>
        </w:rPr>
      </w:pPr>
      <w:r>
        <w:rPr>
          <w:rFonts w:hint="eastAsia" w:ascii="宋体" w:hAnsi="宋体"/>
          <w:sz w:val="24"/>
        </w:rPr>
        <w:t xml:space="preserve">联 系 人: 刘湘岳                         </w:t>
      </w:r>
    </w:p>
    <w:p>
      <w:pPr>
        <w:autoSpaceDE w:val="0"/>
        <w:spacing w:line="312" w:lineRule="auto"/>
        <w:ind w:firstLine="240" w:firstLineChars="100"/>
        <w:jc w:val="both"/>
        <w:rPr>
          <w:rFonts w:ascii="宋体" w:hAnsi="宋体"/>
          <w:sz w:val="24"/>
        </w:rPr>
      </w:pPr>
      <w:r>
        <w:rPr>
          <w:rFonts w:hint="eastAsia" w:ascii="宋体" w:hAnsi="宋体"/>
          <w:sz w:val="24"/>
        </w:rPr>
        <w:t xml:space="preserve">电    话: 13337302333                    </w:t>
      </w:r>
    </w:p>
    <w:p>
      <w:pPr>
        <w:autoSpaceDE w:val="0"/>
        <w:spacing w:line="312" w:lineRule="auto"/>
        <w:ind w:firstLine="240" w:firstLineChars="100"/>
        <w:jc w:val="both"/>
        <w:rPr>
          <w:rFonts w:ascii="宋体" w:hAnsi="宋体"/>
          <w:sz w:val="24"/>
        </w:rPr>
      </w:pPr>
      <w:r>
        <w:rPr>
          <w:rFonts w:hint="eastAsia" w:ascii="宋体" w:hAnsi="宋体"/>
          <w:sz w:val="24"/>
        </w:rPr>
        <w:t xml:space="preserve">传    真: 8422000                        </w:t>
      </w:r>
    </w:p>
    <w:p>
      <w:pPr>
        <w:autoSpaceDE w:val="0"/>
        <w:spacing w:line="312" w:lineRule="auto"/>
        <w:ind w:firstLine="240" w:firstLineChars="100"/>
        <w:jc w:val="both"/>
        <w:rPr>
          <w:rFonts w:ascii="宋体" w:hAnsi="宋体"/>
          <w:sz w:val="24"/>
        </w:rPr>
      </w:pPr>
      <w:r>
        <w:rPr>
          <w:rFonts w:hint="eastAsia" w:ascii="宋体" w:hAnsi="宋体"/>
          <w:sz w:val="24"/>
        </w:rPr>
        <w:t xml:space="preserve">电子邮箱: </w:t>
      </w:r>
      <w:r>
        <w:rPr>
          <w:rFonts w:hint="eastAsia" w:ascii="宋体" w:hAnsi="宋体" w:cs="宋体"/>
          <w:sz w:val="24"/>
        </w:rPr>
        <w:t>2296958196@qq.com</w:t>
      </w:r>
      <w:r>
        <w:rPr>
          <w:rFonts w:hint="eastAsia" w:ascii="宋体" w:hAnsi="宋体"/>
          <w:sz w:val="24"/>
        </w:rPr>
        <w:t xml:space="preserve">              </w:t>
      </w:r>
    </w:p>
    <w:p>
      <w:pPr>
        <w:autoSpaceDE w:val="0"/>
        <w:spacing w:line="312" w:lineRule="auto"/>
        <w:ind w:firstLine="240" w:firstLineChars="100"/>
        <w:jc w:val="both"/>
        <w:rPr>
          <w:rFonts w:ascii="宋体" w:hAnsi="宋体"/>
          <w:sz w:val="24"/>
        </w:rPr>
      </w:pPr>
      <w:r>
        <w:rPr>
          <w:rFonts w:hint="eastAsia" w:ascii="宋体" w:hAnsi="宋体"/>
          <w:sz w:val="24"/>
        </w:rPr>
        <w:t xml:space="preserve">网    址: http://www.hnsgwjt.com/        </w:t>
      </w:r>
    </w:p>
    <w:p>
      <w:pPr>
        <w:autoSpaceDE w:val="0"/>
        <w:spacing w:line="312" w:lineRule="auto"/>
        <w:ind w:firstLine="240" w:firstLineChars="100"/>
        <w:jc w:val="both"/>
        <w:rPr>
          <w:rFonts w:ascii="宋体" w:hAnsi="宋体"/>
          <w:sz w:val="24"/>
        </w:rPr>
      </w:pPr>
      <w:r>
        <w:rPr>
          <w:rFonts w:hint="eastAsia" w:ascii="宋体" w:hAnsi="宋体"/>
          <w:sz w:val="24"/>
        </w:rPr>
        <w:t xml:space="preserve">开户银行: 交通银行云溪支行               </w:t>
      </w:r>
    </w:p>
    <w:p>
      <w:pPr>
        <w:autoSpaceDE w:val="0"/>
        <w:spacing w:line="312" w:lineRule="auto"/>
        <w:ind w:firstLine="240" w:firstLineChars="100"/>
        <w:jc w:val="both"/>
        <w:rPr>
          <w:rFonts w:ascii="宋体" w:hAnsi="宋体"/>
          <w:sz w:val="24"/>
        </w:rPr>
      </w:pPr>
      <w:r>
        <w:rPr>
          <w:rFonts w:hint="eastAsia" w:ascii="宋体" w:hAnsi="宋体"/>
          <w:sz w:val="24"/>
        </w:rPr>
        <w:t xml:space="preserve">账    号: 4366 0072 0018 0100 0645 1     </w:t>
      </w:r>
    </w:p>
    <w:p>
      <w:pPr>
        <w:autoSpaceDE w:val="0"/>
        <w:spacing w:line="312" w:lineRule="auto"/>
        <w:jc w:val="both"/>
        <w:rPr>
          <w:rFonts w:ascii="宋体" w:hAnsi="宋体"/>
          <w:sz w:val="24"/>
        </w:rPr>
      </w:pPr>
      <w:r>
        <w:rPr>
          <w:rFonts w:hint="eastAsia" w:ascii="宋体" w:hAnsi="宋体"/>
          <w:sz w:val="24"/>
        </w:rPr>
        <w:t xml:space="preserve"> </w:t>
      </w:r>
    </w:p>
    <w:p>
      <w:pPr>
        <w:autoSpaceDE w:val="0"/>
        <w:spacing w:line="400" w:lineRule="exact"/>
        <w:jc w:val="both"/>
        <w:rPr>
          <w:rFonts w:ascii="黑体" w:hAnsi="黑体" w:eastAsia="黑体"/>
          <w:sz w:val="32"/>
          <w:szCs w:val="32"/>
        </w:rPr>
      </w:pPr>
      <w:r>
        <w:rPr>
          <w:rFonts w:hint="eastAsia" w:ascii="宋体" w:hAnsi="宋体"/>
          <w:sz w:val="24"/>
        </w:rPr>
        <w:t xml:space="preserve"> </w:t>
      </w:r>
      <w:bookmarkStart w:id="6" w:name="_Toc234832861"/>
      <w:bookmarkStart w:id="7" w:name="_Toc517787494"/>
    </w:p>
    <w:p>
      <w:pPr>
        <w:spacing w:line="600" w:lineRule="exact"/>
        <w:jc w:val="center"/>
        <w:rPr>
          <w:rFonts w:ascii="黑体" w:hAnsi="黑体" w:eastAsia="黑体"/>
          <w:sz w:val="32"/>
          <w:szCs w:val="32"/>
        </w:rPr>
      </w:pPr>
    </w:p>
    <w:p>
      <w:pPr>
        <w:pStyle w:val="36"/>
        <w:rPr>
          <w:rFonts w:ascii="黑体" w:hAnsi="黑体" w:eastAsia="黑体"/>
          <w:sz w:val="32"/>
          <w:szCs w:val="32"/>
        </w:rPr>
      </w:pPr>
    </w:p>
    <w:p>
      <w:pPr>
        <w:pStyle w:val="36"/>
        <w:rPr>
          <w:rFonts w:ascii="黑体" w:hAnsi="黑体" w:eastAsia="黑体"/>
          <w:sz w:val="32"/>
          <w:szCs w:val="32"/>
        </w:rPr>
      </w:pPr>
    </w:p>
    <w:p>
      <w:pPr>
        <w:pStyle w:val="36"/>
        <w:rPr>
          <w:rFonts w:ascii="黑体" w:hAnsi="黑体" w:eastAsia="黑体"/>
          <w:sz w:val="32"/>
          <w:szCs w:val="32"/>
        </w:rPr>
      </w:pPr>
    </w:p>
    <w:p>
      <w:pPr>
        <w:spacing w:line="600" w:lineRule="exact"/>
        <w:jc w:val="both"/>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bookmarkEnd w:id="6"/>
      <w:bookmarkEnd w:id="7"/>
    </w:p>
    <w:p>
      <w:pPr>
        <w:pStyle w:val="4"/>
        <w:spacing w:before="240" w:after="240" w:line="600" w:lineRule="exact"/>
        <w:jc w:val="center"/>
        <w:rPr>
          <w:rFonts w:ascii="仿宋" w:hAnsi="仿宋" w:eastAsia="仿宋" w:cs="仿宋"/>
          <w:sz w:val="30"/>
          <w:szCs w:val="30"/>
        </w:rPr>
      </w:pPr>
      <w:bookmarkStart w:id="8" w:name="_Toc234832862"/>
      <w:bookmarkStart w:id="9" w:name="_Toc517787495"/>
      <w:r>
        <w:rPr>
          <w:rFonts w:hint="eastAsia" w:ascii="仿宋" w:hAnsi="仿宋" w:eastAsia="仿宋" w:cs="仿宋"/>
          <w:sz w:val="30"/>
          <w:szCs w:val="30"/>
        </w:rPr>
        <w:t>供应商须知前附表</w:t>
      </w:r>
      <w:bookmarkEnd w:id="8"/>
      <w:bookmarkEnd w:id="9"/>
    </w:p>
    <w:tbl>
      <w:tblPr>
        <w:tblStyle w:val="38"/>
        <w:tblW w:w="9018" w:type="dxa"/>
        <w:tblInd w:w="-278" w:type="dxa"/>
        <w:tblLayout w:type="fixed"/>
        <w:tblCellMar>
          <w:top w:w="0" w:type="dxa"/>
          <w:left w:w="108" w:type="dxa"/>
          <w:bottom w:w="0" w:type="dxa"/>
          <w:right w:w="108" w:type="dxa"/>
        </w:tblCellMar>
      </w:tblPr>
      <w:tblGrid>
        <w:gridCol w:w="1297"/>
        <w:gridCol w:w="2972"/>
        <w:gridCol w:w="4749"/>
      </w:tblGrid>
      <w:tr>
        <w:tblPrEx>
          <w:tblCellMar>
            <w:top w:w="0" w:type="dxa"/>
            <w:left w:w="108" w:type="dxa"/>
            <w:bottom w:w="0" w:type="dxa"/>
            <w:right w:w="108" w:type="dxa"/>
          </w:tblCellMar>
        </w:tblPrEx>
        <w:trPr>
          <w:trHeight w:val="387" w:hRule="atLeast"/>
          <w:tblHeader/>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52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52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w:t>
            </w:r>
          </w:p>
        </w:tc>
      </w:tr>
      <w:tr>
        <w:tblPrEx>
          <w:tblCellMar>
            <w:top w:w="0" w:type="dxa"/>
            <w:left w:w="108" w:type="dxa"/>
            <w:bottom w:w="0" w:type="dxa"/>
            <w:right w:w="108" w:type="dxa"/>
          </w:tblCellMar>
        </w:tblPrEx>
        <w:trPr>
          <w:trHeight w:val="52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52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对分包供应商的要求：不允许分包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允许偏差的范围：细微偏差。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u w:val="single"/>
              </w:rPr>
              <w:t>2项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资料名称：采购人对采购文件的澄清、通知等文件（如有）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资料名称：无                                                    </w:t>
            </w:r>
          </w:p>
        </w:tc>
      </w:tr>
      <w:tr>
        <w:tblPrEx>
          <w:tblCellMar>
            <w:top w:w="0" w:type="dxa"/>
            <w:left w:w="108" w:type="dxa"/>
            <w:bottom w:w="0" w:type="dxa"/>
            <w:right w:w="108" w:type="dxa"/>
          </w:tblCellMar>
        </w:tblPrEx>
        <w:trPr>
          <w:trHeight w:val="387"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采购标的数量增减幅度：1台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宋体" w:hAnsi="宋体" w:cs="宋体"/>
                <w:sz w:val="24"/>
              </w:rPr>
              <w:sym w:font="Wingdings 2" w:char="0052"/>
            </w:r>
            <w:r>
              <w:rPr>
                <w:rFonts w:hint="eastAsia" w:ascii="宋体" w:hAnsi="宋体" w:cs="宋体"/>
                <w:sz w:val="24"/>
              </w:rPr>
              <w:t>有，最高限价：人民币叁拾叁万圆整（小写¥</w:t>
            </w:r>
            <w:r>
              <w:rPr>
                <w:rFonts w:hint="eastAsia" w:ascii="宋体" w:hAnsi="宋体" w:cs="宋体"/>
                <w:sz w:val="24"/>
                <w:u w:val="single"/>
              </w:rPr>
              <w:t>330000.00</w:t>
            </w:r>
            <w:r>
              <w:rPr>
                <w:rFonts w:hint="eastAsia" w:ascii="宋体" w:hAnsi="宋体" w:cs="宋体"/>
                <w:sz w:val="24"/>
              </w:rPr>
              <w:t xml:space="preserve">元）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1125"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此报价应包含但不限于产品费、运费、税金附件及安装调试等应由供应商承担的一切费用。                                                           </w:t>
            </w:r>
          </w:p>
        </w:tc>
      </w:tr>
      <w:tr>
        <w:tblPrEx>
          <w:tblCellMar>
            <w:top w:w="0" w:type="dxa"/>
            <w:left w:w="108" w:type="dxa"/>
            <w:bottom w:w="0" w:type="dxa"/>
            <w:right w:w="108" w:type="dxa"/>
          </w:tblCellMar>
        </w:tblPrEx>
        <w:trPr>
          <w:trHeight w:val="468"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468"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468"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1497"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依法设立的证明材料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b/>
                <w:bCs/>
                <w:sz w:val="24"/>
              </w:rPr>
            </w:pPr>
            <w:r>
              <w:rPr>
                <w:rFonts w:hint="eastAsia" w:cs="仿宋" w:asciiTheme="minorEastAsia" w:hAnsiTheme="minorEastAsia" w:eastAsiaTheme="minorEastAsia"/>
                <w:b/>
                <w:bCs/>
                <w:sz w:val="24"/>
              </w:rPr>
              <w:sym w:font="Wingdings 2" w:char="0052"/>
            </w:r>
            <w:r>
              <w:rPr>
                <w:rFonts w:hint="eastAsia" w:cs="仿宋" w:asciiTheme="minorEastAsia" w:hAnsiTheme="minorEastAsia" w:eastAsiaTheme="minorEastAsia"/>
                <w:b/>
                <w:bCs/>
                <w:sz w:val="24"/>
              </w:rPr>
              <w:t>适用。</w:t>
            </w:r>
          </w:p>
          <w:p>
            <w:pPr>
              <w:spacing w:line="288" w:lineRule="auto"/>
              <w:ind w:firstLine="240" w:firstLineChars="10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2401"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1"/>
                <w:rFonts w:hint="eastAsia" w:asciiTheme="minorEastAsia" w:hAnsiTheme="minorEastAsia" w:eastAsiaTheme="minorEastAsia"/>
                <w:b w:val="0"/>
                <w:color w:val="000000"/>
                <w:sz w:val="24"/>
              </w:rPr>
              <w:t>资质要求证明材料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适用。</w:t>
            </w:r>
          </w:p>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供应商应提供相关资质证书副本的复印件，以证明供应商具有承担本项目要求的资质。</w:t>
            </w:r>
          </w:p>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产品安全</w:t>
            </w:r>
            <w:r>
              <w:rPr>
                <w:rFonts w:hint="eastAsia" w:ascii="宋体" w:hAnsi="宋体" w:cs="宋体"/>
                <w:sz w:val="24"/>
                <w:u w:val="single"/>
              </w:rPr>
              <w:t>生产许可、产品销售资质或代理商授权书</w:t>
            </w:r>
          </w:p>
        </w:tc>
      </w:tr>
      <w:tr>
        <w:tblPrEx>
          <w:tblCellMar>
            <w:top w:w="0" w:type="dxa"/>
            <w:left w:w="108" w:type="dxa"/>
            <w:bottom w:w="0" w:type="dxa"/>
            <w:right w:w="108" w:type="dxa"/>
          </w:tblCellMar>
        </w:tblPrEx>
        <w:trPr>
          <w:trHeight w:val="2360"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财务要求证明材料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b/>
                <w:bCs/>
                <w:sz w:val="24"/>
              </w:rPr>
            </w:pPr>
            <w:r>
              <w:rPr>
                <w:rFonts w:hint="eastAsia" w:cs="宋体" w:asciiTheme="minorEastAsia" w:hAnsiTheme="minorEastAsia" w:eastAsiaTheme="minorEastAsia"/>
                <w:b/>
                <w:bCs/>
                <w:sz w:val="24"/>
              </w:rPr>
              <w:sym w:font="Wingdings 2" w:char="0052"/>
            </w:r>
            <w:r>
              <w:rPr>
                <w:rFonts w:hint="eastAsia" w:cs="宋体" w:asciiTheme="minorEastAsia" w:hAnsiTheme="minorEastAsia" w:eastAsiaTheme="minorEastAsia"/>
                <w:b/>
                <w:bCs/>
                <w:sz w:val="24"/>
              </w:rPr>
              <w:t>适用。</w:t>
            </w:r>
          </w:p>
          <w:p>
            <w:pPr>
              <w:spacing w:line="288" w:lineRule="auto"/>
              <w:ind w:firstLine="240" w:firstLineChars="100"/>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供应商应提供近年财务会计报表复印件，包括资产负债表，利润表。近年财务会计报表年份是指：</w:t>
            </w:r>
            <w:r>
              <w:rPr>
                <w:rFonts w:hint="eastAsia" w:cs="宋体" w:asciiTheme="minorEastAsia" w:hAnsiTheme="minorEastAsia" w:eastAsiaTheme="minorEastAsia"/>
                <w:color w:val="000000"/>
                <w:sz w:val="24"/>
                <w:u w:val="single"/>
              </w:rPr>
              <w:t>2018</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2020</w:t>
            </w:r>
            <w:r>
              <w:rPr>
                <w:rFonts w:hint="eastAsia" w:cs="宋体" w:asciiTheme="minorEastAsia" w:hAnsiTheme="minorEastAsia" w:eastAsiaTheme="minorEastAsia"/>
                <w:color w:val="000000"/>
                <w:sz w:val="24"/>
              </w:rPr>
              <w:t>年（供应商的成立时间少于该规定年份的，应提供成立以来的财务会计报表）</w:t>
            </w:r>
          </w:p>
        </w:tc>
      </w:tr>
      <w:tr>
        <w:tblPrEx>
          <w:tblCellMar>
            <w:top w:w="0" w:type="dxa"/>
            <w:left w:w="108" w:type="dxa"/>
            <w:bottom w:w="0" w:type="dxa"/>
            <w:right w:w="108" w:type="dxa"/>
          </w:tblCellMar>
        </w:tblPrEx>
        <w:trPr>
          <w:trHeight w:val="5417"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业绩要求证明材料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b/>
                <w:bCs/>
                <w:sz w:val="24"/>
              </w:rPr>
            </w:pPr>
            <w:r>
              <w:rPr>
                <w:rFonts w:hint="eastAsia" w:cs="宋体" w:asciiTheme="minorEastAsia" w:hAnsiTheme="minorEastAsia" w:eastAsiaTheme="minorEastAsia"/>
                <w:b/>
                <w:bCs/>
                <w:sz w:val="24"/>
              </w:rPr>
              <w:sym w:font="Wingdings 2" w:char="0052"/>
            </w:r>
            <w:r>
              <w:rPr>
                <w:rFonts w:hint="eastAsia" w:cs="宋体" w:asciiTheme="minorEastAsia" w:hAnsiTheme="minorEastAsia" w:eastAsiaTheme="minorEastAsia"/>
                <w:b/>
                <w:bCs/>
                <w:sz w:val="24"/>
              </w:rPr>
              <w:t>适用。</w:t>
            </w:r>
          </w:p>
          <w:p>
            <w:pPr>
              <w:spacing w:line="288" w:lineRule="auto"/>
              <w:ind w:firstLine="240" w:firstLineChars="100"/>
              <w:jc w:val="both"/>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sz w:val="24"/>
                <w:u w:val="single"/>
              </w:rPr>
              <w:t>2019年11月</w:t>
            </w:r>
            <w:r>
              <w:rPr>
                <w:rFonts w:hint="eastAsia" w:cs="宋体" w:asciiTheme="minorEastAsia" w:hAnsiTheme="minorEastAsia" w:eastAsiaTheme="minorEastAsia"/>
                <w:sz w:val="24"/>
              </w:rPr>
              <w:t>至</w:t>
            </w:r>
            <w:r>
              <w:rPr>
                <w:rFonts w:cs="宋体" w:asciiTheme="minorEastAsia" w:hAnsiTheme="minorEastAsia" w:eastAsiaTheme="minorEastAsia"/>
                <w:sz w:val="24"/>
                <w:u w:val="single"/>
              </w:rPr>
              <w:t>2021</w:t>
            </w:r>
            <w:r>
              <w:rPr>
                <w:rFonts w:hint="eastAsia" w:cs="宋体" w:asciiTheme="minorEastAsia" w:hAnsiTheme="minorEastAsia" w:eastAsiaTheme="minorEastAsia"/>
                <w:sz w:val="24"/>
                <w:u w:val="single"/>
              </w:rPr>
              <w:t>年11月</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业绩证明材料：</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sym w:font="Wingdings 2" w:char="0052"/>
            </w:r>
            <w:r>
              <w:rPr>
                <w:rFonts w:hint="eastAsia" w:cs="宋体" w:asciiTheme="minorEastAsia" w:hAnsiTheme="minorEastAsia" w:eastAsiaTheme="minorEastAsia"/>
                <w:sz w:val="24"/>
              </w:rPr>
              <w:t>合同/订单</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sym w:font="Wingdings 2" w:char="0052"/>
            </w:r>
            <w:r>
              <w:rPr>
                <w:rFonts w:hint="eastAsia" w:cs="宋体" w:asciiTheme="minorEastAsia" w:hAnsiTheme="minorEastAsia" w:eastAsiaTheme="minorEastAsia"/>
                <w:sz w:val="24"/>
              </w:rPr>
              <w:t>竣工 验收报告/验收证明</w:t>
            </w:r>
          </w:p>
          <w:p>
            <w:pPr>
              <w:spacing w:line="288" w:lineRule="auto"/>
              <w:jc w:val="both"/>
              <w:rPr>
                <w:rFonts w:cs="宋体" w:asciiTheme="minorEastAsia" w:hAnsiTheme="minorEastAsia" w:eastAsiaTheme="minorEastAsia"/>
                <w:sz w:val="24"/>
              </w:rPr>
            </w:pP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业绩证明材料种类要求：</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sz w:val="24"/>
              </w:rPr>
              <w:t>☑其他要求：</w:t>
            </w:r>
            <w:r>
              <w:rPr>
                <w:rFonts w:hint="eastAsia" w:cs="宋体" w:asciiTheme="minorEastAsia" w:hAnsiTheme="minorEastAsia" w:eastAsiaTheme="minorEastAsia"/>
                <w:color w:val="000000"/>
                <w:sz w:val="24"/>
              </w:rPr>
              <w:t>至少提供</w:t>
            </w:r>
            <w:r>
              <w:rPr>
                <w:rFonts w:hint="eastAsia" w:cs="宋体" w:asciiTheme="minorEastAsia" w:hAnsiTheme="minorEastAsia" w:eastAsiaTheme="minorEastAsia"/>
                <w:color w:val="000000"/>
                <w:sz w:val="24"/>
                <w:u w:val="single"/>
              </w:rPr>
              <w:t xml:space="preserve"> 1个</w:t>
            </w:r>
            <w:r>
              <w:rPr>
                <w:rFonts w:hint="eastAsia" w:cs="宋体" w:asciiTheme="minorEastAsia" w:hAnsiTheme="minorEastAsia" w:eastAsiaTheme="minorEastAsia"/>
                <w:color w:val="000000"/>
                <w:sz w:val="24"/>
              </w:rPr>
              <w:t xml:space="preserve">近年类似项目业绩，证明材料若为复印件需加盖单位公章。 </w:t>
            </w:r>
            <w:r>
              <w:rPr>
                <w:rFonts w:hint="eastAsia" w:cs="宋体"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645"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b/>
                <w:bCs/>
                <w:sz w:val="24"/>
              </w:rPr>
              <w:sym w:font="Wingdings 2" w:char="0052"/>
            </w:r>
            <w:r>
              <w:rPr>
                <w:rFonts w:hint="eastAsia" w:cs="宋体" w:asciiTheme="minorEastAsia" w:hAnsiTheme="minorEastAsia" w:eastAsiaTheme="minorEastAsia"/>
                <w:b/>
                <w:bCs/>
                <w:sz w:val="24"/>
              </w:rPr>
              <w:t>不适用</w:t>
            </w:r>
          </w:p>
        </w:tc>
      </w:tr>
      <w:tr>
        <w:tblPrEx>
          <w:tblCellMar>
            <w:top w:w="0" w:type="dxa"/>
            <w:left w:w="108" w:type="dxa"/>
            <w:bottom w:w="0" w:type="dxa"/>
            <w:right w:w="108" w:type="dxa"/>
          </w:tblCellMar>
        </w:tblPrEx>
        <w:trPr>
          <w:trHeight w:val="379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适用。</w:t>
            </w:r>
          </w:p>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供应商应提供拟委任的主要人员汇总表和主要人员简历表（格式见第六章“响应文件格式”七、资格审查资料（四）拟委任的主要人员汇总表和（五）主要人员简历表）。      </w:t>
            </w:r>
          </w:p>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color w:val="000000"/>
                <w:sz w:val="24"/>
              </w:rPr>
              <w:t>提供</w:t>
            </w:r>
            <w:r>
              <w:rPr>
                <w:rFonts w:hint="eastAsia" w:cs="宋体" w:asciiTheme="minorEastAsia" w:hAnsiTheme="minorEastAsia" w:eastAsiaTheme="minorEastAsia"/>
                <w:color w:val="000000"/>
                <w:sz w:val="24"/>
                <w:u w:val="single"/>
              </w:rPr>
              <w:t>1位</w:t>
            </w:r>
            <w:r>
              <w:rPr>
                <w:rFonts w:hint="eastAsia" w:cs="宋体" w:asciiTheme="minorEastAsia" w:hAnsiTheme="minorEastAsia" w:eastAsiaTheme="minorEastAsia"/>
                <w:color w:val="000000"/>
                <w:sz w:val="24"/>
              </w:rPr>
              <w:t>项目负责人及</w:t>
            </w:r>
            <w:r>
              <w:rPr>
                <w:rFonts w:hint="eastAsia" w:cs="宋体" w:asciiTheme="minorEastAsia" w:hAnsiTheme="minorEastAsia" w:eastAsiaTheme="minorEastAsia"/>
                <w:color w:val="000000"/>
                <w:sz w:val="24"/>
                <w:u w:val="single"/>
              </w:rPr>
              <w:t>1位</w:t>
            </w:r>
            <w:r>
              <w:rPr>
                <w:rFonts w:hint="eastAsia" w:cs="宋体" w:asciiTheme="minorEastAsia" w:hAnsiTheme="minorEastAsia" w:eastAsiaTheme="minorEastAsia"/>
                <w:color w:val="000000"/>
                <w:sz w:val="24"/>
              </w:rPr>
              <w:t>技术人员的相关信息（需额外提供以上人员</w:t>
            </w:r>
            <w:r>
              <w:rPr>
                <w:rFonts w:hint="eastAsia" w:cs="宋体" w:asciiTheme="minorEastAsia" w:hAnsiTheme="minorEastAsia" w:eastAsiaTheme="minorEastAsia"/>
                <w:sz w:val="24"/>
                <w:u w:val="single"/>
              </w:rPr>
              <w:t>2021年5月-2021年10月的社保缴费证明或其他能够证明其参加意外伤害保险的有效证明材料）</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490"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1868"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需要提供证明材料。</w:t>
            </w:r>
          </w:p>
          <w:p>
            <w:pPr>
              <w:spacing w:line="288" w:lineRule="auto"/>
              <w:ind w:firstLine="240" w:firstLineChars="100"/>
              <w:rPr>
                <w:rFonts w:cs="宋体" w:asciiTheme="minorEastAsia" w:hAnsiTheme="minorEastAsia" w:eastAsiaTheme="minorEastAsia"/>
                <w:color w:val="000000"/>
                <w:sz w:val="24"/>
              </w:rPr>
            </w:pPr>
            <w:r>
              <w:rPr>
                <w:rFonts w:hint="eastAsia" w:cs="宋体" w:asciiTheme="minorEastAsia" w:hAnsiTheme="minorEastAsia" w:eastAsiaTheme="minorEastAsia"/>
                <w:sz w:val="24"/>
              </w:rPr>
              <w:t>包括：采购文件发出之日起，至响应文件递交</w:t>
            </w:r>
            <w:r>
              <w:rPr>
                <w:rFonts w:ascii="宋体" w:hAnsi="宋体" w:cs="宋体"/>
                <w:sz w:val="24"/>
              </w:rPr>
              <w:t>截止</w:t>
            </w:r>
            <w:r>
              <w:rPr>
                <w:rFonts w:hint="eastAsia" w:ascii="宋体" w:hAnsi="宋体" w:cs="宋体"/>
                <w:sz w:val="24"/>
              </w:rPr>
              <w:t>日期间</w:t>
            </w:r>
            <w:r>
              <w:rPr>
                <w:rFonts w:ascii="宋体" w:hAnsi="宋体" w:cs="宋体"/>
                <w:sz w:val="24"/>
              </w:rPr>
              <w:t>，“信用中国”网站(www.creditchina.gov.cn)、中国政府采购网(www.ccgp.gov.cn)查询，投标人未被列入信用记录失信被执行人、重大税收违法案件当事人名单、政府采购严重违法失信行为记录名单的网页截图。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提供证据或证明材料复印件，并加盖单位公章。</w:t>
            </w:r>
          </w:p>
        </w:tc>
      </w:tr>
      <w:tr>
        <w:tblPrEx>
          <w:tblCellMar>
            <w:top w:w="0" w:type="dxa"/>
            <w:left w:w="108" w:type="dxa"/>
            <w:bottom w:w="0" w:type="dxa"/>
            <w:right w:w="108" w:type="dxa"/>
          </w:tblCellMar>
        </w:tblPrEx>
        <w:trPr>
          <w:trHeight w:val="677"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sz w:val="24"/>
              </w:rPr>
              <w:sym w:font="Wingdings 2" w:char="0052"/>
            </w:r>
            <w:r>
              <w:rPr>
                <w:rFonts w:hint="eastAsia" w:cs="宋体" w:asciiTheme="minorEastAsia" w:hAnsiTheme="minorEastAsia" w:eastAsiaTheme="minorEastAsia"/>
                <w:b/>
                <w:bCs/>
                <w:sz w:val="24"/>
              </w:rPr>
              <w:t>供应商只能提出唯一响应方案</w:t>
            </w:r>
          </w:p>
        </w:tc>
      </w:tr>
      <w:tr>
        <w:tblPrEx>
          <w:tblCellMar>
            <w:top w:w="0" w:type="dxa"/>
            <w:left w:w="108" w:type="dxa"/>
            <w:bottom w:w="0" w:type="dxa"/>
            <w:right w:w="108" w:type="dxa"/>
          </w:tblCellMar>
        </w:tblPrEx>
        <w:trPr>
          <w:trHeight w:val="90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不要求</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1331"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适用</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rPr>
              <w:t>岳阳城陵矶新港有限公司岸桥起升变频器采购采购项目响应文件</w:t>
            </w:r>
          </w:p>
        </w:tc>
      </w:tr>
      <w:tr>
        <w:tblPrEx>
          <w:tblCellMar>
            <w:top w:w="0" w:type="dxa"/>
            <w:left w:w="108" w:type="dxa"/>
            <w:bottom w:w="0" w:type="dxa"/>
            <w:right w:w="108" w:type="dxa"/>
          </w:tblCellMar>
        </w:tblPrEx>
        <w:trPr>
          <w:trHeight w:val="1125"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截止时间：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12</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13</w:t>
            </w:r>
            <w:r>
              <w:rPr>
                <w:rFonts w:hint="eastAsia" w:ascii="宋体" w:hAnsi="宋体" w:eastAsia="宋体" w:cs="宋体"/>
                <w:color w:val="000000"/>
                <w:sz w:val="24"/>
                <w:highlight w:val="none"/>
                <w:u w:val="single"/>
                <w:shd w:val="clear" w:color="auto" w:fill="auto"/>
                <w:lang w:val="en-US" w:eastAsia="zh-CN"/>
              </w:rPr>
              <w:t>日17时00分；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none"/>
              </w:rPr>
              <w:t>递交响应文件的地点：</w:t>
            </w:r>
            <w:r>
              <w:rPr>
                <w:rFonts w:hint="eastAsia" w:cs="宋体" w:asciiTheme="minorEastAsia" w:hAnsiTheme="minorEastAsia" w:eastAsiaTheme="minorEastAsia"/>
                <w:sz w:val="24"/>
                <w:highlight w:val="none"/>
                <w:u w:val="single"/>
              </w:rPr>
              <w:t>岳阳市城陵矶临港新区新港办公楼</w:t>
            </w:r>
            <w:r>
              <w:rPr>
                <w:rFonts w:hint="eastAsia" w:cs="宋体" w:asciiTheme="minorEastAsia" w:hAnsiTheme="minorEastAsia" w:eastAsiaTheme="minorEastAsia"/>
                <w:sz w:val="24"/>
                <w:highlight w:val="none"/>
                <w:u w:val="single"/>
                <w:lang w:val="en-US" w:eastAsia="zh-CN"/>
              </w:rPr>
              <w:t>1</w:t>
            </w:r>
            <w:r>
              <w:rPr>
                <w:rFonts w:cs="宋体" w:asciiTheme="minorEastAsia" w:hAnsiTheme="minorEastAsia" w:eastAsiaTheme="minorEastAsia"/>
                <w:sz w:val="24"/>
                <w:highlight w:val="none"/>
                <w:u w:val="single"/>
              </w:rPr>
              <w:t>03</w:t>
            </w:r>
            <w:r>
              <w:rPr>
                <w:rFonts w:hint="eastAsia" w:cs="宋体" w:asciiTheme="minorEastAsia" w:hAnsiTheme="minorEastAsia" w:eastAsiaTheme="minorEastAsia"/>
                <w:sz w:val="24"/>
                <w:highlight w:val="none"/>
                <w:u w:val="single"/>
              </w:rPr>
              <w:t>室</w:t>
            </w:r>
            <w:r>
              <w:rPr>
                <w:rFonts w:hint="eastAsia" w:cs="宋体" w:asciiTheme="minorEastAsia" w:hAnsiTheme="minorEastAsia" w:eastAsiaTheme="minorEastAsia"/>
                <w:sz w:val="24"/>
                <w:highlight w:val="none"/>
              </w:rPr>
              <w:t xml:space="preserve">  </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606"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否</w:t>
            </w:r>
          </w:p>
        </w:tc>
      </w:tr>
      <w:tr>
        <w:trPr>
          <w:trHeight w:val="893"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61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sz w:val="24"/>
              </w:rPr>
              <w:sym w:font="Wingdings 2" w:char="0052"/>
            </w:r>
            <w:r>
              <w:rPr>
                <w:rFonts w:hint="eastAsia" w:cs="宋体" w:asciiTheme="minorEastAsia" w:hAnsiTheme="minorEastAsia" w:eastAsiaTheme="minorEastAsia"/>
                <w:b/>
                <w:bCs/>
                <w:sz w:val="24"/>
              </w:rPr>
              <w:t>否</w:t>
            </w:r>
          </w:p>
        </w:tc>
      </w:tr>
      <w:tr>
        <w:tblPrEx>
          <w:tblCellMar>
            <w:top w:w="0" w:type="dxa"/>
            <w:left w:w="108" w:type="dxa"/>
            <w:bottom w:w="0" w:type="dxa"/>
            <w:right w:w="108" w:type="dxa"/>
          </w:tblCellMar>
        </w:tblPrEx>
        <w:trPr>
          <w:trHeight w:val="5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宋体" w:hAnsi="宋体" w:cs="宋体"/>
                <w:sz w:val="24"/>
              </w:rPr>
              <w:t>湖南省港务集团有限公司六楼602开标室</w:t>
            </w:r>
          </w:p>
        </w:tc>
      </w:tr>
      <w:tr>
        <w:tblPrEx>
          <w:tblCellMar>
            <w:top w:w="0" w:type="dxa"/>
            <w:left w:w="108" w:type="dxa"/>
            <w:bottom w:w="0" w:type="dxa"/>
            <w:right w:w="108" w:type="dxa"/>
          </w:tblCellMar>
        </w:tblPrEx>
        <w:trPr>
          <w:trHeight w:val="603"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p>
        </w:tc>
      </w:tr>
      <w:tr>
        <w:tblPrEx>
          <w:tblCellMar>
            <w:top w:w="0" w:type="dxa"/>
            <w:left w:w="108" w:type="dxa"/>
            <w:bottom w:w="0" w:type="dxa"/>
            <w:right w:w="108" w:type="dxa"/>
          </w:tblCellMar>
        </w:tblPrEx>
        <w:trPr>
          <w:trHeight w:val="1125"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7"/>
                <w:rFonts w:cs="宋体" w:asciiTheme="minorEastAsia" w:hAnsiTheme="minorEastAsia" w:eastAsiaTheme="minorEastAsia"/>
                <w:color w:val="000000"/>
                <w:sz w:val="24"/>
              </w:rPr>
              <w:footnoteReference w:id="0"/>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u w:val="single"/>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评审专家确定方式：在湖南省湘水集团有限公司综合评标专家库中随机抽取。</w:t>
            </w:r>
          </w:p>
        </w:tc>
      </w:tr>
      <w:tr>
        <w:tblPrEx>
          <w:tblCellMar>
            <w:top w:w="0" w:type="dxa"/>
            <w:left w:w="108" w:type="dxa"/>
            <w:bottom w:w="0" w:type="dxa"/>
            <w:right w:w="108" w:type="dxa"/>
          </w:tblCellMar>
        </w:tblPrEx>
        <w:trPr>
          <w:trHeight w:val="754"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7"/>
                <w:rFonts w:cs="宋体" w:asciiTheme="minorEastAsia" w:hAnsiTheme="minorEastAsia" w:eastAsiaTheme="minorEastAsia"/>
                <w:color w:val="000000"/>
                <w:sz w:val="24"/>
              </w:rPr>
              <w:footnoteReference w:id="1"/>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bCs/>
                <w:color w:val="000000"/>
                <w:sz w:val="24"/>
              </w:rPr>
              <w:t>1-3</w:t>
            </w: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color w:val="000000"/>
                <w:sz w:val="24"/>
              </w:rPr>
              <w:t>个，并标明推荐顺序。</w:t>
            </w:r>
          </w:p>
        </w:tc>
      </w:tr>
      <w:tr>
        <w:tblPrEx>
          <w:tblCellMar>
            <w:top w:w="0" w:type="dxa"/>
            <w:left w:w="108" w:type="dxa"/>
            <w:bottom w:w="0" w:type="dxa"/>
            <w:right w:w="108" w:type="dxa"/>
          </w:tblCellMar>
        </w:tblPrEx>
        <w:trPr>
          <w:trHeight w:val="2787"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cs="宋体"/>
                <w:sz w:val="24"/>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中国招标投标公共服务平台（http：//www.cebpubservice.com）、湖南省湘水集团有限公司网站（http：//www.hnsxsjt.com）、湖南省港务集团有限公司网站（http://www.hnsgwjt.com/）上发布。</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3个工作日</w:t>
            </w:r>
          </w:p>
        </w:tc>
      </w:tr>
      <w:tr>
        <w:tblPrEx>
          <w:tblCellMar>
            <w:top w:w="0" w:type="dxa"/>
            <w:left w:w="108" w:type="dxa"/>
            <w:bottom w:w="0" w:type="dxa"/>
            <w:right w:w="108" w:type="dxa"/>
          </w:tblCellMar>
        </w:tblPrEx>
        <w:trPr>
          <w:trHeight w:val="560"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不要求提交</w:t>
            </w:r>
          </w:p>
        </w:tc>
      </w:tr>
      <w:tr>
        <w:tblPrEx>
          <w:tblCellMar>
            <w:top w:w="0" w:type="dxa"/>
            <w:left w:w="108" w:type="dxa"/>
            <w:bottom w:w="0" w:type="dxa"/>
            <w:right w:w="108" w:type="dxa"/>
          </w:tblCellMar>
        </w:tblPrEx>
        <w:trPr>
          <w:trHeight w:val="1346"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陈兵</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rFonts w:hint="eastAsia"/>
                <w:u w:val="single"/>
              </w:rPr>
              <w:t>13873049118</w:t>
            </w:r>
            <w:r>
              <w:rPr>
                <w:rFonts w:hint="eastAsia"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ascii="宋体" w:hAnsi="宋体" w:cs="宋体"/>
                <w:sz w:val="24"/>
                <w:u w:val="single"/>
              </w:rPr>
              <w:t>岳阳城陵矶新港有限公司办公楼四楼综合管理部</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593"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sym w:font="Wingdings 2" w:char="0052"/>
            </w:r>
            <w:r>
              <w:rPr>
                <w:rFonts w:hint="eastAsia" w:cs="宋体" w:asciiTheme="minorEastAsia" w:hAnsiTheme="minorEastAsia" w:eastAsiaTheme="minorEastAsia"/>
                <w:b/>
                <w:bCs/>
                <w:color w:val="000000"/>
                <w:sz w:val="24"/>
              </w:rPr>
              <w:t>不要求承担</w:t>
            </w:r>
          </w:p>
        </w:tc>
      </w:tr>
      <w:tr>
        <w:tblPrEx>
          <w:tblCellMar>
            <w:top w:w="0" w:type="dxa"/>
            <w:left w:w="108" w:type="dxa"/>
            <w:bottom w:w="0" w:type="dxa"/>
            <w:right w:w="108" w:type="dxa"/>
          </w:tblCellMar>
        </w:tblPrEx>
        <w:trPr>
          <w:trHeight w:val="1819" w:hRule="atLeast"/>
        </w:trPr>
        <w:tc>
          <w:tcPr>
            <w:tcW w:w="129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10.2</w:t>
            </w:r>
          </w:p>
        </w:tc>
        <w:tc>
          <w:tcPr>
            <w:tcW w:w="297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1.供应商提供的相关证明文件若为复印件，必须加盖单位公章。</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2.本项目</w:t>
            </w:r>
            <w:r>
              <w:rPr>
                <w:rFonts w:hint="eastAsia" w:cs="宋体" w:asciiTheme="minorEastAsia" w:hAnsiTheme="minorEastAsia" w:eastAsiaTheme="minorEastAsia"/>
                <w:b/>
                <w:bCs/>
                <w:color w:val="000000"/>
                <w:sz w:val="24"/>
              </w:rPr>
              <w:t>不接受</w:t>
            </w:r>
            <w:r>
              <w:rPr>
                <w:rFonts w:hint="eastAsia" w:cs="宋体" w:asciiTheme="minorEastAsia" w:hAnsiTheme="minorEastAsia" w:eastAsiaTheme="minorEastAsia"/>
                <w:color w:val="000000"/>
                <w:sz w:val="24"/>
              </w:rPr>
              <w:t>联合体投标。</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3.响应文件份数：</w:t>
            </w:r>
            <w:r>
              <w:rPr>
                <w:rFonts w:hint="eastAsia" w:cs="宋体" w:asciiTheme="minorEastAsia" w:hAnsiTheme="minorEastAsia" w:eastAsiaTheme="minorEastAsia"/>
                <w:color w:val="000000"/>
                <w:sz w:val="24"/>
                <w:u w:val="single"/>
              </w:rPr>
              <w:t>正本1份</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rPr>
              <w:t>副本 2 份</w:t>
            </w:r>
            <w:r>
              <w:rPr>
                <w:rFonts w:hint="eastAsia" w:cs="宋体" w:asciiTheme="minorEastAsia" w:hAnsiTheme="minorEastAsia" w:eastAsiaTheme="minorEastAsia"/>
                <w:color w:val="000000"/>
                <w:sz w:val="24"/>
              </w:rPr>
              <w:t>。</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1"/>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1.7踏勘现场（本项目不组织踏勘现场）</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1.8采购预备会（本项目不组织采购预备会）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1.9分包(本项目不允许分包)</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(3)商务和技术偏差表;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(6)响应方案;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w:t>
      </w:r>
      <w:r>
        <w:rPr>
          <w:rFonts w:ascii="宋体" w:hAnsi="宋体" w:cs="仿宋"/>
          <w:sz w:val="24"/>
        </w:rPr>
        <w:t>"</w:t>
      </w:r>
      <w:r>
        <w:rPr>
          <w:rFonts w:hint="eastAsia" w:ascii="宋体" w:hAnsi="宋体" w:cs="仿宋"/>
          <w:sz w:val="24"/>
        </w:rPr>
        <w:t>第</w:t>
      </w:r>
      <w:r>
        <w:rPr>
          <w:rFonts w:ascii="宋体" w:hAnsi="宋体" w:cs="仿宋"/>
          <w:sz w:val="24"/>
        </w:rPr>
        <w:t>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FF0000"/>
          <w:sz w:val="24"/>
        </w:rPr>
      </w:pPr>
      <w:r>
        <w:rPr>
          <w:rFonts w:hint="eastAsia" w:ascii="宋体" w:hAnsi="宋体" w:cs="仿宋"/>
          <w:sz w:val="24"/>
        </w:rPr>
        <w:t>采购人在本章第</w:t>
      </w:r>
      <w:r>
        <w:rPr>
          <w:rFonts w:ascii="宋体" w:hAnsi="宋体" w:cs="仿宋"/>
          <w:sz w:val="24"/>
        </w:rPr>
        <w:t>4.2.1项规定的递交响应文件的截止时间和地点公开开启响应文件，并邀请所有供应商的法定代表人(单位负责人)或其授权的代理人参加开启会议，供应商未派代表参加的，视为默认开启结果</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spacing w:line="312" w:lineRule="auto"/>
        <w:ind w:firstLine="453" w:firstLineChars="189"/>
        <w:jc w:val="both"/>
      </w:pPr>
      <w:r>
        <w:rPr>
          <w:rFonts w:hint="eastAsia" w:ascii="宋体" w:hAnsi="宋体" w:cs="仿宋"/>
          <w:sz w:val="24"/>
        </w:rPr>
        <w:t>(2)开启会议结束。</w:t>
      </w:r>
    </w:p>
    <w:p>
      <w:pPr>
        <w:adjustRightInd w:val="0"/>
        <w:snapToGrid w:val="0"/>
        <w:spacing w:line="312"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spacing w:line="312" w:lineRule="auto"/>
        <w:ind w:left="716" w:leftChars="284" w:hanging="120" w:hangingChars="50"/>
        <w:jc w:val="both"/>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0" w:name="_Toc24135"/>
      <w:r>
        <w:rPr>
          <w:rFonts w:hint="eastAsia" w:ascii="宋体" w:hAnsi="宋体" w:cs="宋体"/>
          <w:b/>
          <w:bCs/>
          <w:sz w:val="24"/>
        </w:rPr>
        <w:t>7.3成交结果异议</w:t>
      </w:r>
      <w:bookmarkEnd w:id="10"/>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7.6履约保证金（本项目不提交履约保证金）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spacing w:line="312" w:lineRule="auto"/>
        <w:jc w:val="both"/>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8"/>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567" w:firstLineChars="189"/>
        <w:rPr>
          <w:rFonts w:ascii="宋体" w:hAnsi="宋体" w:cs="仿宋"/>
          <w:sz w:val="30"/>
          <w:szCs w:val="30"/>
        </w:rPr>
      </w:pP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jc w:val="right"/>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jc w:val="right"/>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pStyle w:val="36"/>
        <w:ind w:firstLine="0"/>
        <w:rPr>
          <w:rFonts w:hAnsi="宋体" w:cs="仿宋"/>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6"/>
        <w:adjustRightInd w:val="0"/>
        <w:snapToGrid w:val="0"/>
        <w:spacing w:line="600" w:lineRule="exact"/>
        <w:ind w:firstLine="6240" w:firstLineChars="2600"/>
        <w:jc w:val="center"/>
        <w:rPr>
          <w:rFonts w:cs="仿宋"/>
        </w:rPr>
      </w:pP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rPr>
        <w:t>日</w:t>
      </w:r>
      <w:r>
        <w:rPr>
          <w:rFonts w:hint="eastAsia" w:cs="仿宋"/>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9"/>
        <w:tblW w:w="9190"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42"/>
        <w:gridCol w:w="2061"/>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089"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7"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42"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847"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42"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040" w:type="dxa"/>
            <w:vAlign w:val="center"/>
          </w:tcPr>
          <w:p>
            <w:pPr>
              <w:widowControl w:val="0"/>
              <w:adjustRightInd w:val="0"/>
              <w:spacing w:line="288" w:lineRule="auto"/>
              <w:ind w:firstLine="210" w:firstLineChars="100"/>
              <w:jc w:val="left"/>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与营业执照、资质证书一致；</w:t>
            </w:r>
          </w:p>
          <w:p>
            <w:pPr>
              <w:widowControl/>
              <w:adjustRightInd w:val="0"/>
              <w:snapToGrid w:val="0"/>
              <w:spacing w:line="288" w:lineRule="auto"/>
              <w:ind w:firstLine="210" w:firstLineChars="100"/>
              <w:jc w:val="left"/>
              <w:rPr>
                <w:rFonts w:cs="仿宋" w:asciiTheme="minorEastAsia" w:hAnsiTheme="minorEastAsia" w:eastAsiaTheme="minorEastAsia"/>
                <w:szCs w:val="21"/>
              </w:rPr>
            </w:pPr>
            <w:r>
              <w:rPr>
                <w:rFonts w:ascii="宋体" w:hAnsi="宋体"/>
                <w:color w:val="000000"/>
                <w:szCs w:val="21"/>
              </w:rPr>
              <w:t>2</w:t>
            </w:r>
            <w:r>
              <w:rPr>
                <w:rFonts w:hint="eastAsia" w:ascii="宋体" w:hAnsi="宋体"/>
                <w:color w:val="000000"/>
                <w:szCs w:val="21"/>
              </w:rPr>
              <w:t>.</w:t>
            </w:r>
            <w:r>
              <w:rPr>
                <w:rFonts w:ascii="宋体" w:hAnsi="宋体"/>
                <w:color w:val="000000"/>
                <w:szCs w:val="21"/>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040" w:type="dxa"/>
            <w:vAlign w:val="center"/>
          </w:tcPr>
          <w:p>
            <w:pPr>
              <w:widowControl/>
              <w:adjustRightInd w:val="0"/>
              <w:snapToGrid w:val="0"/>
              <w:spacing w:line="288"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由供应商的法定代表人或经授权的委托人签字并加盖单位公章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847"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42"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asciiTheme="minorEastAsia" w:hAnsiTheme="minorEastAsia" w:eastAsiaTheme="minorEastAsia"/>
                <w:color w:val="000000"/>
                <w:szCs w:val="21"/>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040" w:type="dxa"/>
            <w:vAlign w:val="center"/>
          </w:tcPr>
          <w:p>
            <w:pPr>
              <w:widowControl w:val="0"/>
              <w:spacing w:line="288" w:lineRule="auto"/>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供应商应提供相关资质证书副本的复印件，以证明供应商具有承担本项目要求的资质。</w:t>
            </w:r>
          </w:p>
          <w:p>
            <w:pPr>
              <w:widowControl/>
              <w:adjustRightInd w:val="0"/>
              <w:snapToGrid w:val="0"/>
              <w:spacing w:line="288" w:lineRule="auto"/>
              <w:ind w:firstLine="210" w:firstLineChars="100"/>
              <w:jc w:val="left"/>
              <w:rPr>
                <w:rFonts w:cs="仿宋" w:asciiTheme="minorEastAsia" w:hAnsiTheme="minorEastAsia" w:eastAsiaTheme="minorEastAsia"/>
                <w:szCs w:val="21"/>
              </w:rPr>
            </w:pPr>
            <w:r>
              <w:rPr>
                <w:rFonts w:hint="eastAsia" w:cs="宋体" w:asciiTheme="minorEastAsia" w:hAnsiTheme="minorEastAsia" w:eastAsiaTheme="minorEastAsia"/>
                <w:color w:val="000000"/>
                <w:szCs w:val="21"/>
              </w:rPr>
              <w:t>资质证书包括：产品安全</w:t>
            </w:r>
            <w:r>
              <w:rPr>
                <w:rFonts w:hint="eastAsia" w:ascii="宋体" w:hAnsi="宋体" w:cs="宋体"/>
                <w:szCs w:val="21"/>
              </w:rPr>
              <w:t>生产许可、产品销售资质或代理商授权书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040" w:type="dxa"/>
            <w:vAlign w:val="center"/>
          </w:tcPr>
          <w:p>
            <w:pPr>
              <w:widowControl w:val="0"/>
              <w:spacing w:line="288" w:lineRule="auto"/>
              <w:ind w:firstLine="210" w:firstLineChars="100"/>
              <w:jc w:val="left"/>
              <w:rPr>
                <w:rFonts w:cs="仿宋" w:asciiTheme="minorEastAsia" w:hAnsiTheme="minorEastAsia" w:eastAsiaTheme="minorEastAsia"/>
                <w:szCs w:val="21"/>
              </w:rPr>
            </w:pPr>
            <w:r>
              <w:rPr>
                <w:rFonts w:hint="eastAsia" w:cs="宋体" w:asciiTheme="minorEastAsia" w:hAnsiTheme="minorEastAsia" w:eastAsiaTheme="minorEastAsia"/>
                <w:color w:val="000000"/>
                <w:szCs w:val="21"/>
              </w:rPr>
              <w:t>供应商应提供近年财务会计报表复印件，包括资产负债表，利润表。近年财务会计报表年份是指：</w:t>
            </w:r>
            <w:r>
              <w:rPr>
                <w:rFonts w:hint="eastAsia" w:cs="宋体" w:asciiTheme="minorEastAsia" w:hAnsiTheme="minorEastAsia" w:eastAsiaTheme="minorEastAsia"/>
                <w:color w:val="000000"/>
                <w:szCs w:val="21"/>
                <w:u w:val="single"/>
              </w:rPr>
              <w:t>2018</w:t>
            </w:r>
            <w:r>
              <w:rPr>
                <w:rFonts w:hint="eastAsia" w:cs="宋体" w:asciiTheme="minorEastAsia" w:hAnsiTheme="minorEastAsia" w:eastAsiaTheme="minorEastAsia"/>
                <w:color w:val="000000"/>
                <w:szCs w:val="21"/>
              </w:rPr>
              <w:t>至</w:t>
            </w:r>
            <w:r>
              <w:rPr>
                <w:rFonts w:hint="eastAsia" w:cs="宋体" w:asciiTheme="minorEastAsia" w:hAnsiTheme="minorEastAsia" w:eastAsiaTheme="minorEastAsia"/>
                <w:color w:val="000000"/>
                <w:szCs w:val="21"/>
                <w:u w:val="single"/>
              </w:rPr>
              <w:t>2020</w:t>
            </w:r>
            <w:r>
              <w:rPr>
                <w:rFonts w:hint="eastAsia" w:cs="宋体" w:asciiTheme="minorEastAsia" w:hAnsiTheme="minorEastAsia" w:eastAsiaTheme="minorEastAsia"/>
                <w:color w:val="000000"/>
                <w:szCs w:val="21"/>
              </w:rPr>
              <w:t>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exac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040" w:type="dxa"/>
            <w:vAlign w:val="center"/>
          </w:tcPr>
          <w:p>
            <w:pPr>
              <w:widowControl w:val="0"/>
              <w:spacing w:line="288" w:lineRule="auto"/>
              <w:ind w:firstLine="210" w:firstLineChars="100"/>
              <w:jc w:val="left"/>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szCs w:val="21"/>
                <w:u w:val="single"/>
              </w:rPr>
              <w:t>2019年9月</w:t>
            </w:r>
            <w:r>
              <w:rPr>
                <w:rFonts w:hint="eastAsia" w:cs="宋体" w:asciiTheme="minorEastAsia" w:hAnsiTheme="minorEastAsia" w:eastAsiaTheme="minorEastAsia"/>
                <w:szCs w:val="21"/>
              </w:rPr>
              <w:t>至</w:t>
            </w:r>
            <w:r>
              <w:rPr>
                <w:rFonts w:cs="宋体" w:asciiTheme="minorEastAsia" w:hAnsiTheme="minorEastAsia" w:eastAsiaTheme="minorEastAsia"/>
                <w:szCs w:val="21"/>
                <w:u w:val="single"/>
              </w:rPr>
              <w:t>2021</w:t>
            </w:r>
            <w:r>
              <w:rPr>
                <w:rFonts w:hint="eastAsia" w:cs="宋体" w:asciiTheme="minorEastAsia" w:hAnsiTheme="minorEastAsia" w:eastAsiaTheme="minorEastAsia"/>
                <w:szCs w:val="21"/>
                <w:u w:val="single"/>
              </w:rPr>
              <w:t>年10月</w:t>
            </w:r>
          </w:p>
          <w:p>
            <w:pPr>
              <w:widowControl w:val="0"/>
              <w:spacing w:line="288"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w:t>
            </w:r>
          </w:p>
          <w:p>
            <w:pPr>
              <w:widowControl w:val="0"/>
              <w:spacing w:line="288" w:lineRule="auto"/>
              <w:ind w:firstLine="420" w:firstLineChars="200"/>
              <w:jc w:val="left"/>
              <w:rPr>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合同/订单</w:t>
            </w:r>
          </w:p>
          <w:p>
            <w:pPr>
              <w:widowControl w:val="0"/>
              <w:spacing w:line="288"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竣工 验收报告/验收证明</w:t>
            </w:r>
          </w:p>
          <w:p>
            <w:pPr>
              <w:widowControl w:val="0"/>
              <w:spacing w:line="288"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业绩证明材料种类要求：</w:t>
            </w:r>
          </w:p>
          <w:p>
            <w:pPr>
              <w:widowControl w:val="0"/>
              <w:spacing w:line="288"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☑需同时提供上述勾选的所有证明材料</w:t>
            </w:r>
          </w:p>
          <w:p>
            <w:pPr>
              <w:widowControl/>
              <w:adjustRightInd w:val="0"/>
              <w:snapToGrid w:val="0"/>
              <w:spacing w:line="288" w:lineRule="auto"/>
              <w:ind w:firstLine="420" w:firstLineChars="200"/>
              <w:jc w:val="left"/>
              <w:rPr>
                <w:rFonts w:cs="仿宋" w:asciiTheme="minorEastAsia" w:hAnsiTheme="minorEastAsia" w:eastAsiaTheme="minorEastAsia"/>
                <w:szCs w:val="21"/>
              </w:rPr>
            </w:pPr>
            <w:r>
              <w:rPr>
                <w:rFonts w:hint="eastAsia" w:cs="宋体" w:asciiTheme="minorEastAsia" w:hAnsiTheme="minorEastAsia" w:eastAsiaTheme="minorEastAsia"/>
                <w:szCs w:val="21"/>
              </w:rPr>
              <w:t>☑其他要求：</w:t>
            </w:r>
            <w:r>
              <w:rPr>
                <w:rFonts w:hint="eastAsia" w:cs="宋体" w:asciiTheme="minorEastAsia" w:hAnsiTheme="minorEastAsia" w:eastAsiaTheme="minorEastAsia"/>
                <w:color w:val="000000"/>
                <w:szCs w:val="21"/>
              </w:rPr>
              <w:t>至少提供</w:t>
            </w:r>
            <w:r>
              <w:rPr>
                <w:rFonts w:hint="eastAsia" w:cs="宋体" w:asciiTheme="minorEastAsia" w:hAnsiTheme="minorEastAsia" w:eastAsiaTheme="minorEastAsia"/>
                <w:color w:val="000000"/>
                <w:szCs w:val="21"/>
                <w:u w:val="single"/>
              </w:rPr>
              <w:t xml:space="preserve"> 1个</w:t>
            </w:r>
            <w:r>
              <w:rPr>
                <w:rFonts w:hint="eastAsia" w:cs="宋体" w:asciiTheme="minorEastAsia" w:hAnsiTheme="minorEastAsia" w:eastAsiaTheme="minorEastAsia"/>
                <w:color w:val="000000"/>
                <w:szCs w:val="21"/>
              </w:rPr>
              <w:t>近年类似项目业绩，证明材料若为复印件需加盖单位公章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exac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040" w:type="dxa"/>
            <w:vAlign w:val="center"/>
          </w:tcPr>
          <w:p>
            <w:pPr>
              <w:widowControl w:val="0"/>
              <w:spacing w:line="288" w:lineRule="auto"/>
              <w:ind w:firstLine="210" w:firstLineChars="100"/>
              <w:jc w:val="left"/>
              <w:rPr>
                <w:rFonts w:cs="宋体" w:asciiTheme="minorEastAsia" w:hAnsiTheme="minorEastAsia" w:eastAsiaTheme="minorEastAsia"/>
                <w:color w:val="000000"/>
                <w:szCs w:val="21"/>
                <w:u w:val="single"/>
              </w:rPr>
            </w:pPr>
            <w:r>
              <w:rPr>
                <w:rFonts w:hint="eastAsia" w:cs="宋体" w:asciiTheme="minorEastAsia" w:hAnsiTheme="minorEastAsia" w:eastAsiaTheme="minorEastAsia"/>
                <w:color w:val="000000"/>
                <w:szCs w:val="21"/>
              </w:rPr>
              <w:t>供应商应提供拟委任的主要人员汇总表和主要人员简历表（格式见第六章“响应文件格式”七、资格审查资料（四）拟委任的主要人员汇总表和（五）主要人员简历表）。</w:t>
            </w:r>
          </w:p>
          <w:p>
            <w:pPr>
              <w:widowControl/>
              <w:adjustRightInd w:val="0"/>
              <w:snapToGrid w:val="0"/>
              <w:spacing w:line="288" w:lineRule="auto"/>
              <w:ind w:firstLine="210" w:firstLineChars="100"/>
              <w:jc w:val="left"/>
              <w:rPr>
                <w:rFonts w:cs="仿宋" w:asciiTheme="minorEastAsia" w:hAnsiTheme="minorEastAsia" w:eastAsiaTheme="minorEastAsia"/>
                <w:szCs w:val="21"/>
              </w:rPr>
            </w:pPr>
            <w:r>
              <w:rPr>
                <w:rFonts w:hint="eastAsia" w:cs="宋体" w:asciiTheme="minorEastAsia" w:hAnsiTheme="minorEastAsia" w:eastAsiaTheme="minorEastAsia"/>
                <w:szCs w:val="21"/>
              </w:rPr>
              <w:t>注：</w:t>
            </w:r>
            <w:r>
              <w:rPr>
                <w:rFonts w:hint="eastAsia" w:cs="宋体" w:asciiTheme="minorEastAsia" w:hAnsiTheme="minorEastAsia" w:eastAsiaTheme="minorEastAsia"/>
                <w:color w:val="000000"/>
                <w:szCs w:val="21"/>
              </w:rPr>
              <w:t>提供</w:t>
            </w:r>
            <w:r>
              <w:rPr>
                <w:rFonts w:hint="eastAsia" w:cs="宋体" w:asciiTheme="minorEastAsia" w:hAnsiTheme="minorEastAsia" w:eastAsiaTheme="minorEastAsia"/>
                <w:color w:val="000000"/>
                <w:szCs w:val="21"/>
                <w:u w:val="single"/>
              </w:rPr>
              <w:t>1位</w:t>
            </w:r>
            <w:r>
              <w:rPr>
                <w:rFonts w:hint="eastAsia" w:cs="宋体" w:asciiTheme="minorEastAsia" w:hAnsiTheme="minorEastAsia" w:eastAsiaTheme="minorEastAsia"/>
                <w:color w:val="000000"/>
                <w:szCs w:val="21"/>
              </w:rPr>
              <w:t>项目负责人及</w:t>
            </w:r>
            <w:r>
              <w:rPr>
                <w:rFonts w:hint="eastAsia" w:cs="宋体" w:asciiTheme="minorEastAsia" w:hAnsiTheme="minorEastAsia" w:eastAsiaTheme="minorEastAsia"/>
                <w:color w:val="000000"/>
                <w:szCs w:val="21"/>
                <w:u w:val="single"/>
              </w:rPr>
              <w:t>1位</w:t>
            </w:r>
            <w:r>
              <w:rPr>
                <w:rFonts w:hint="eastAsia" w:cs="宋体" w:asciiTheme="minorEastAsia" w:hAnsiTheme="minorEastAsia" w:eastAsiaTheme="minorEastAsia"/>
                <w:color w:val="000000"/>
                <w:szCs w:val="21"/>
              </w:rPr>
              <w:t>技术人员的相关信息（需额外提供以上人员</w:t>
            </w:r>
            <w:r>
              <w:rPr>
                <w:rFonts w:hint="eastAsia" w:cs="宋体" w:asciiTheme="minorEastAsia" w:hAnsiTheme="minorEastAsia" w:eastAsiaTheme="minorEastAsia"/>
                <w:szCs w:val="21"/>
                <w:u w:val="single"/>
              </w:rPr>
              <w:t>2021年5月-2021年10月的社保缴费证明或其他能够证明其参加意外伤害保险的有效证明材料）</w:t>
            </w:r>
            <w:r>
              <w:rPr>
                <w:rFonts w:hint="eastAsia" w:cs="宋体"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040" w:type="dxa"/>
            <w:vAlign w:val="center"/>
          </w:tcPr>
          <w:p>
            <w:pPr>
              <w:widowControl/>
              <w:adjustRightInd w:val="0"/>
              <w:snapToGrid w:val="0"/>
              <w:spacing w:line="288" w:lineRule="auto"/>
              <w:ind w:firstLine="210" w:firstLineChars="100"/>
              <w:jc w:val="left"/>
              <w:rPr>
                <w:rFonts w:cs="仿宋" w:asciiTheme="minorEastAsia" w:hAnsiTheme="minorEastAsia" w:eastAsiaTheme="minorEastAsia"/>
                <w:szCs w:val="21"/>
                <w:highlight w:val="yellow"/>
              </w:rPr>
            </w:pPr>
            <w:r>
              <w:rPr>
                <w:rFonts w:hint="eastAsia" w:cs="宋体" w:asciiTheme="minorEastAsia" w:hAnsiTheme="minorEastAsia" w:eastAsiaTheme="minorEastAsia"/>
                <w:szCs w:val="21"/>
              </w:rPr>
              <w:t>采购文件发出之日起，至响应文件递交</w:t>
            </w:r>
            <w:r>
              <w:rPr>
                <w:rFonts w:ascii="宋体" w:hAnsi="宋体" w:cs="宋体"/>
                <w:szCs w:val="21"/>
              </w:rPr>
              <w:t>截止</w:t>
            </w:r>
            <w:r>
              <w:rPr>
                <w:rFonts w:hint="eastAsia" w:ascii="宋体" w:hAnsi="宋体" w:cs="宋体"/>
                <w:szCs w:val="21"/>
              </w:rPr>
              <w:t>日期间</w:t>
            </w:r>
            <w:r>
              <w:rPr>
                <w:rFonts w:ascii="宋体" w:hAnsi="宋体" w:cs="宋体"/>
                <w:szCs w:val="21"/>
              </w:rPr>
              <w:t>，“信用中国”网站(www.creditchina.gov.cn)、中国政府采购网(www.ccgp.gov.cn)查询，投标人未被列入信用记录失信被执行人、重大税收违法案件当事人名单、政府采购严重违法失信行为记录名单的网页截图。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42" w:type="dxa"/>
            <w:vMerge w:val="restart"/>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合同签订后45日内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7"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1242"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040" w:type="dxa"/>
            <w:vAlign w:val="center"/>
          </w:tcPr>
          <w:p>
            <w:pPr>
              <w:widowControl w:val="0"/>
              <w:spacing w:line="288"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允许偏差的范围：</w:t>
            </w:r>
            <w:r>
              <w:rPr>
                <w:rFonts w:hint="eastAsia" w:cs="仿宋" w:asciiTheme="minorEastAsia" w:hAnsiTheme="minorEastAsia" w:eastAsiaTheme="minorEastAsia"/>
                <w:szCs w:val="21"/>
                <w:u w:val="single"/>
              </w:rPr>
              <w:t>细微偏差</w:t>
            </w:r>
          </w:p>
          <w:p>
            <w:pPr>
              <w:widowControl/>
              <w:adjustRightInd w:val="0"/>
              <w:snapToGrid w:val="0"/>
              <w:spacing w:line="288"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允许偏差的项数：</w:t>
            </w:r>
            <w:r>
              <w:rPr>
                <w:rFonts w:hint="eastAsia" w:cs="仿宋" w:asciiTheme="minorEastAsia" w:hAnsiTheme="minorEastAsia" w:eastAsiaTheme="minorEastAsia"/>
                <w:szCs w:val="21"/>
                <w:u w:val="single"/>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42" w:type="dxa"/>
            <w:vAlign w:val="center"/>
          </w:tcPr>
          <w:p>
            <w:pPr>
              <w:widowControl/>
              <w:adjustRightInd w:val="0"/>
              <w:snapToGrid w:val="0"/>
              <w:spacing w:line="288" w:lineRule="auto"/>
              <w:jc w:val="center"/>
              <w:rPr>
                <w:rFonts w:cs="仿宋" w:asciiTheme="minorEastAsia" w:hAnsiTheme="minorEastAsia" w:eastAsiaTheme="minorEastAsia"/>
                <w:szCs w:val="21"/>
              </w:rPr>
            </w:pP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190" w:type="dxa"/>
            <w:gridSpan w:val="4"/>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89"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061"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040"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89"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061"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040" w:type="dxa"/>
            <w:vAlign w:val="center"/>
          </w:tcPr>
          <w:p>
            <w:pPr>
              <w:widowControl w:val="0"/>
              <w:adjustRightInd w:val="0"/>
              <w:snapToGrid w:val="0"/>
              <w:spacing w:line="288" w:lineRule="auto"/>
              <w:jc w:val="center"/>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p>
    <w:p>
      <w:pPr>
        <w:spacing w:line="288" w:lineRule="auto"/>
        <w:jc w:val="both"/>
        <w:rPr>
          <w:rFonts w:ascii="宋体" w:hAnsi="宋体" w:cs="仿宋"/>
          <w:sz w:val="24"/>
        </w:rPr>
      </w:pPr>
    </w:p>
    <w:p>
      <w:pPr>
        <w:spacing w:line="240" w:lineRule="auto"/>
        <w:rPr>
          <w:rFonts w:ascii="宋体" w:hAnsi="宋体" w:cs="仿宋"/>
          <w:b/>
          <w:bCs/>
          <w:sz w:val="36"/>
          <w:szCs w:val="36"/>
        </w:rPr>
      </w:pPr>
      <w:r>
        <w:rPr>
          <w:rFonts w:hint="eastAsia" w:ascii="宋体" w:hAnsi="宋体" w:cs="仿宋"/>
          <w:b/>
          <w:bCs/>
          <w:sz w:val="36"/>
          <w:szCs w:val="36"/>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adjustRightInd w:val="0"/>
        <w:snapToGrid w:val="0"/>
        <w:spacing w:line="312" w:lineRule="auto"/>
        <w:rPr>
          <w:rFonts w:ascii="宋体" w:hAnsi="宋体"/>
          <w:b/>
          <w:kern w:val="0"/>
          <w:szCs w:val="21"/>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firstLine="0" w:firstLineChars="0"/>
        <w:jc w:val="center"/>
        <w:rPr>
          <w:rFonts w:ascii="黑体" w:hAnsi="黑体" w:eastAsia="黑体" w:cs="仿宋"/>
          <w:b/>
          <w:color w:val="000000"/>
          <w:sz w:val="36"/>
          <w:szCs w:val="36"/>
        </w:rPr>
      </w:pPr>
    </w:p>
    <w:p>
      <w:pPr>
        <w:pStyle w:val="76"/>
        <w:spacing w:line="600" w:lineRule="exact"/>
        <w:ind w:firstLine="0" w:firstLineChars="0"/>
        <w:jc w:val="center"/>
        <w:rPr>
          <w:rFonts w:ascii="黑体" w:hAnsi="黑体" w:eastAsia="黑体" w:cs="仿宋"/>
          <w:b/>
          <w:color w:val="000000"/>
          <w:sz w:val="36"/>
          <w:szCs w:val="36"/>
        </w:rPr>
      </w:pPr>
    </w:p>
    <w:p>
      <w:pPr>
        <w:pStyle w:val="76"/>
        <w:spacing w:line="600" w:lineRule="exact"/>
        <w:ind w:firstLine="0" w:firstLineChars="0"/>
        <w:jc w:val="center"/>
        <w:rPr>
          <w:rFonts w:ascii="黑体" w:hAnsi="黑体" w:eastAsia="黑体" w:cs="仿宋"/>
          <w:b/>
          <w:color w:val="000000"/>
          <w:sz w:val="36"/>
          <w:szCs w:val="36"/>
        </w:rPr>
      </w:pPr>
    </w:p>
    <w:p>
      <w:pPr>
        <w:pStyle w:val="76"/>
        <w:spacing w:line="600" w:lineRule="exact"/>
        <w:ind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
      <w:pPr>
        <w:jc w:val="center"/>
        <w:rPr>
          <w:u w:val="single"/>
        </w:rPr>
      </w:pPr>
      <w:r>
        <w:rPr>
          <w:rFonts w:hint="eastAsia"/>
        </w:rPr>
        <w:t xml:space="preserve">                                               合同编号：</w:t>
      </w:r>
    </w:p>
    <w:p>
      <w:pPr>
        <w:jc w:val="both"/>
        <w:rPr>
          <w:u w:val="single"/>
        </w:rPr>
      </w:pPr>
    </w:p>
    <w:p>
      <w:pPr>
        <w:jc w:val="both"/>
        <w:rPr>
          <w:u w:val="single"/>
        </w:rPr>
      </w:pPr>
    </w:p>
    <w:p>
      <w:pPr>
        <w:jc w:val="both"/>
        <w:rPr>
          <w:u w:val="single"/>
        </w:rPr>
      </w:pPr>
    </w:p>
    <w:p>
      <w:pPr>
        <w:jc w:val="both"/>
        <w:rPr>
          <w:u w:val="single"/>
        </w:rPr>
      </w:pPr>
    </w:p>
    <w:p>
      <w:pPr>
        <w:jc w:val="right"/>
        <w:rPr>
          <w:u w:val="single"/>
        </w:rPr>
      </w:pPr>
    </w:p>
    <w:p>
      <w:pPr>
        <w:pStyle w:val="76"/>
        <w:spacing w:line="600" w:lineRule="exact"/>
        <w:ind w:left="420" w:leftChars="200" w:right="979" w:rightChars="466" w:firstLine="0" w:firstLineChars="0"/>
        <w:jc w:val="center"/>
        <w:rPr>
          <w:rFonts w:ascii="黑体" w:hAnsi="黑体" w:eastAsia="黑体" w:cs="仿宋"/>
          <w:b/>
          <w:bCs/>
          <w:color w:val="000000"/>
          <w:sz w:val="36"/>
          <w:szCs w:val="36"/>
        </w:rPr>
      </w:pPr>
      <w:r>
        <w:rPr>
          <w:rFonts w:hint="eastAsia" w:ascii="黑体" w:hAnsi="黑体" w:eastAsia="黑体" w:cs="仿宋"/>
          <w:b/>
          <w:bCs/>
          <w:color w:val="000000"/>
          <w:sz w:val="36"/>
          <w:szCs w:val="36"/>
        </w:rPr>
        <w:t>岳阳城陵矶新港有限公司</w:t>
      </w:r>
    </w:p>
    <w:p>
      <w:pPr>
        <w:pStyle w:val="76"/>
        <w:spacing w:line="600" w:lineRule="exact"/>
        <w:ind w:left="420" w:leftChars="200" w:right="979" w:rightChars="466" w:firstLine="0" w:firstLineChars="0"/>
        <w:jc w:val="center"/>
        <w:rPr>
          <w:rFonts w:ascii="黑体" w:hAnsi="黑体" w:eastAsia="黑体" w:cs="仿宋"/>
          <w:b/>
          <w:bCs/>
          <w:color w:val="000000"/>
          <w:sz w:val="36"/>
          <w:szCs w:val="36"/>
        </w:rPr>
      </w:pPr>
      <w:r>
        <w:rPr>
          <w:rFonts w:hint="eastAsia" w:ascii="黑体" w:hAnsi="黑体" w:eastAsia="黑体" w:cs="仿宋"/>
          <w:b/>
          <w:color w:val="000000"/>
          <w:sz w:val="36"/>
          <w:szCs w:val="36"/>
        </w:rPr>
        <w:t>岸桥、</w:t>
      </w:r>
      <w:r>
        <w:rPr>
          <w:rFonts w:ascii="黑体" w:hAnsi="黑体" w:eastAsia="黑体" w:cs="仿宋"/>
          <w:b/>
          <w:color w:val="000000"/>
          <w:sz w:val="36"/>
          <w:szCs w:val="36"/>
        </w:rPr>
        <w:t>场桥</w:t>
      </w:r>
      <w:r>
        <w:rPr>
          <w:rFonts w:hint="eastAsia" w:ascii="黑体" w:hAnsi="黑体" w:eastAsia="黑体" w:cs="仿宋"/>
          <w:b/>
          <w:color w:val="000000"/>
          <w:sz w:val="36"/>
          <w:szCs w:val="36"/>
        </w:rPr>
        <w:t>起升变频器采购合同</w:t>
      </w:r>
    </w:p>
    <w:p>
      <w:pPr>
        <w:spacing w:line="360" w:lineRule="auto"/>
        <w:jc w:val="both"/>
        <w:rPr>
          <w:b/>
          <w:bCs/>
          <w:sz w:val="44"/>
          <w:szCs w:val="44"/>
        </w:rPr>
      </w:pPr>
    </w:p>
    <w:p>
      <w:pPr>
        <w:pStyle w:val="36"/>
        <w:rPr>
          <w:b/>
          <w:bCs/>
          <w:sz w:val="44"/>
          <w:szCs w:val="44"/>
        </w:rPr>
      </w:pPr>
    </w:p>
    <w:p>
      <w:pPr>
        <w:pStyle w:val="36"/>
        <w:rPr>
          <w:b/>
          <w:bCs/>
          <w:sz w:val="44"/>
          <w:szCs w:val="44"/>
        </w:rPr>
      </w:pPr>
    </w:p>
    <w:p>
      <w:pPr>
        <w:pStyle w:val="36"/>
        <w:rPr>
          <w:b/>
          <w:bCs/>
          <w:sz w:val="44"/>
          <w:szCs w:val="44"/>
        </w:rPr>
      </w:pPr>
    </w:p>
    <w:p>
      <w:pPr>
        <w:spacing w:line="360" w:lineRule="auto"/>
        <w:rPr>
          <w:b/>
          <w:bCs/>
          <w:sz w:val="44"/>
          <w:szCs w:val="44"/>
        </w:rPr>
      </w:pPr>
    </w:p>
    <w:p>
      <w:pPr>
        <w:pStyle w:val="36"/>
        <w:rPr>
          <w:b/>
          <w:bCs/>
          <w:sz w:val="44"/>
          <w:szCs w:val="44"/>
        </w:rPr>
      </w:pPr>
    </w:p>
    <w:p>
      <w:pPr>
        <w:pStyle w:val="36"/>
        <w:rPr>
          <w:b/>
          <w:bCs/>
          <w:sz w:val="44"/>
          <w:szCs w:val="44"/>
        </w:rPr>
      </w:pPr>
    </w:p>
    <w:p>
      <w:pPr>
        <w:pStyle w:val="36"/>
        <w:rPr>
          <w:b/>
          <w:bCs/>
          <w:sz w:val="44"/>
          <w:szCs w:val="44"/>
        </w:rPr>
      </w:pPr>
    </w:p>
    <w:p>
      <w:pPr>
        <w:pStyle w:val="36"/>
        <w:rPr>
          <w:b/>
          <w:bCs/>
          <w:sz w:val="44"/>
          <w:szCs w:val="44"/>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cs="仿宋"/>
          <w:color w:val="000000"/>
          <w:sz w:val="32"/>
          <w:szCs w:val="32"/>
        </w:rPr>
        <w:t>岸桥、</w:t>
      </w:r>
      <w:r>
        <w:rPr>
          <w:rFonts w:ascii="黑体" w:hAnsi="黑体" w:eastAsia="黑体" w:cs="仿宋"/>
          <w:color w:val="000000"/>
          <w:sz w:val="32"/>
          <w:szCs w:val="32"/>
        </w:rPr>
        <w:t>场桥</w:t>
      </w:r>
      <w:r>
        <w:rPr>
          <w:rFonts w:hint="eastAsia" w:ascii="黑体" w:hAnsi="黑体" w:eastAsia="黑体" w:cs="仿宋"/>
          <w:color w:val="000000"/>
          <w:sz w:val="32"/>
          <w:szCs w:val="32"/>
        </w:rPr>
        <w:t>起升变频器采购合同</w:t>
      </w: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发</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人：岳阳城陵矶新港有限公司</w:t>
      </w:r>
    </w:p>
    <w:p>
      <w:pPr>
        <w:widowControl w:val="0"/>
        <w:snapToGrid w:val="0"/>
        <w:spacing w:line="240" w:lineRule="auto"/>
        <w:outlineLvl w:val="2"/>
        <w:rPr>
          <w:rFonts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承</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w:t>
      </w:r>
    </w:p>
    <w:p>
      <w:pPr>
        <w:widowControl w:val="0"/>
        <w:snapToGrid w:val="0"/>
        <w:spacing w:line="240" w:lineRule="auto"/>
        <w:outlineLvl w:val="2"/>
        <w:rPr>
          <w:rFonts w:ascii="黑体" w:hAnsi="黑体" w:eastAsia="黑体"/>
          <w:sz w:val="32"/>
          <w:szCs w:val="32"/>
        </w:rPr>
      </w:pPr>
    </w:p>
    <w:p>
      <w:pPr>
        <w:widowControl w:val="0"/>
        <w:snapToGrid w:val="0"/>
        <w:spacing w:line="240" w:lineRule="auto"/>
        <w:outlineLvl w:val="2"/>
        <w:rPr>
          <w:rFonts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签订日期：</w:t>
      </w:r>
      <w:r>
        <w:rPr>
          <w:rFonts w:ascii="黑体" w:hAnsi="黑体" w:eastAsia="黑体"/>
          <w:sz w:val="32"/>
          <w:szCs w:val="32"/>
        </w:rPr>
        <w:t>2021</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rPr>
        <w:t>日</w:t>
      </w:r>
    </w:p>
    <w:p>
      <w:pPr>
        <w:widowControl w:val="0"/>
        <w:snapToGrid w:val="0"/>
        <w:spacing w:line="240" w:lineRule="auto"/>
        <w:outlineLvl w:val="2"/>
        <w:rPr>
          <w:rFonts w:ascii="黑体" w:hAnsi="黑体" w:eastAsia="黑体"/>
          <w:sz w:val="32"/>
          <w:szCs w:val="32"/>
          <w:u w:val="single"/>
        </w:rPr>
        <w:sectPr>
          <w:headerReference r:id="rId5" w:type="default"/>
          <w:footerReference r:id="rId6" w:type="default"/>
          <w:pgSz w:w="11900" w:h="16840"/>
          <w:pgMar w:top="1440" w:right="1800" w:bottom="1440" w:left="1800" w:header="720" w:footer="720" w:gutter="0"/>
          <w:cols w:space="720" w:num="1"/>
          <w:docGrid w:linePitch="286" w:charSpace="0"/>
        </w:sectPr>
      </w:pPr>
    </w:p>
    <w:p>
      <w:pPr>
        <w:widowControl w:val="0"/>
        <w:snapToGrid w:val="0"/>
        <w:spacing w:line="240" w:lineRule="auto"/>
        <w:ind w:firstLine="2112" w:firstLineChars="600"/>
        <w:outlineLvl w:val="2"/>
        <w:rPr>
          <w:rFonts w:ascii="黑体" w:hAnsi="黑体" w:eastAsia="黑体"/>
          <w:color w:val="110F0F"/>
          <w:w w:val="110"/>
          <w:sz w:val="32"/>
          <w:szCs w:val="32"/>
        </w:rPr>
      </w:pPr>
      <w:r>
        <w:rPr>
          <w:rFonts w:hint="eastAsia" w:ascii="黑体" w:hAnsi="黑体" w:eastAsia="黑体"/>
          <w:color w:val="110F0F"/>
          <w:w w:val="110"/>
          <w:sz w:val="32"/>
          <w:szCs w:val="32"/>
        </w:rPr>
        <w:t>第一部分 合同部分</w:t>
      </w:r>
    </w:p>
    <w:p>
      <w:pPr>
        <w:widowControl w:val="0"/>
        <w:adjustRightInd w:val="0"/>
        <w:snapToGrid w:val="0"/>
        <w:spacing w:line="312" w:lineRule="auto"/>
        <w:rPr>
          <w:rFonts w:ascii="宋体" w:hAnsi="宋体" w:cs="宋体"/>
          <w:sz w:val="24"/>
        </w:rPr>
      </w:pPr>
      <w:r>
        <w:rPr>
          <w:rFonts w:hint="eastAsia" w:ascii="宋体" w:hAnsi="宋体" w:cs="宋体"/>
          <w:sz w:val="24"/>
        </w:rPr>
        <w:t xml:space="preserve">甲方：岳阳城陵矶新港有限公司                     </w:t>
      </w:r>
    </w:p>
    <w:p>
      <w:pPr>
        <w:widowControl w:val="0"/>
        <w:adjustRightInd w:val="0"/>
        <w:snapToGrid w:val="0"/>
        <w:spacing w:line="312" w:lineRule="auto"/>
        <w:rPr>
          <w:rFonts w:ascii="宋体" w:hAnsi="宋体" w:cs="宋体"/>
          <w:sz w:val="24"/>
        </w:rPr>
      </w:pPr>
      <w:r>
        <w:rPr>
          <w:rFonts w:hint="eastAsia" w:ascii="宋体" w:hAnsi="宋体" w:cs="宋体"/>
          <w:sz w:val="24"/>
        </w:rPr>
        <w:t xml:space="preserve">乙方：                      </w:t>
      </w:r>
    </w:p>
    <w:p>
      <w:pPr>
        <w:widowControl w:val="0"/>
        <w:adjustRightInd w:val="0"/>
        <w:snapToGrid w:val="0"/>
        <w:spacing w:line="312" w:lineRule="auto"/>
        <w:ind w:firstLine="480" w:firstLineChars="200"/>
        <w:rPr>
          <w:rFonts w:ascii="宋体" w:hAnsi="宋体" w:cs="宋体"/>
          <w:sz w:val="24"/>
        </w:rPr>
      </w:pPr>
      <w:r>
        <w:rPr>
          <w:rFonts w:hint="eastAsia" w:ascii="宋体" w:hAnsi="宋体" w:cs="宋体"/>
          <w:sz w:val="24"/>
        </w:rPr>
        <w:t xml:space="preserve">依照《中华人民共和国民法典》以及其他有关法律、行政法规，遵循平等、自愿、公平和诚实信用的原则，经双方共同协商，达成岸桥起升变频器采购项目合同，双方共同遵照执行。 </w:t>
      </w:r>
    </w:p>
    <w:p>
      <w:pPr>
        <w:numPr>
          <w:ilvl w:val="255"/>
          <w:numId w:val="0"/>
        </w:numPr>
        <w:rPr>
          <w:b/>
          <w:bCs/>
          <w:color w:val="000000"/>
          <w:sz w:val="24"/>
        </w:rPr>
      </w:pPr>
      <w:r>
        <w:rPr>
          <w:rFonts w:hint="eastAsia"/>
          <w:b/>
          <w:bCs/>
          <w:color w:val="000000"/>
          <w:sz w:val="24"/>
        </w:rPr>
        <w:t>第一条：合同方</w:t>
      </w:r>
    </w:p>
    <w:tbl>
      <w:tblPr>
        <w:tblStyle w:val="38"/>
        <w:tblW w:w="8938" w:type="dxa"/>
        <w:tblInd w:w="-136" w:type="dxa"/>
        <w:tblLayout w:type="fixed"/>
        <w:tblCellMar>
          <w:top w:w="0" w:type="dxa"/>
          <w:left w:w="108" w:type="dxa"/>
          <w:bottom w:w="0" w:type="dxa"/>
          <w:right w:w="108" w:type="dxa"/>
        </w:tblCellMar>
      </w:tblPr>
      <w:tblGrid>
        <w:gridCol w:w="1494"/>
        <w:gridCol w:w="631"/>
        <w:gridCol w:w="1376"/>
        <w:gridCol w:w="469"/>
        <w:gridCol w:w="1093"/>
        <w:gridCol w:w="963"/>
        <w:gridCol w:w="300"/>
        <w:gridCol w:w="541"/>
        <w:gridCol w:w="121"/>
        <w:gridCol w:w="115"/>
        <w:gridCol w:w="1720"/>
        <w:gridCol w:w="115"/>
      </w:tblGrid>
      <w:tr>
        <w:tblPrEx>
          <w:tblCellMar>
            <w:top w:w="0" w:type="dxa"/>
            <w:left w:w="108" w:type="dxa"/>
            <w:bottom w:w="0" w:type="dxa"/>
            <w:right w:w="108" w:type="dxa"/>
          </w:tblCellMar>
        </w:tblPrEx>
        <w:trPr>
          <w:gridAfter w:val="1"/>
          <w:wAfter w:w="115" w:type="dxa"/>
          <w:trHeight w:val="376" w:hRule="atLeast"/>
        </w:trPr>
        <w:tc>
          <w:tcPr>
            <w:tcW w:w="1494" w:type="dxa"/>
          </w:tcPr>
          <w:p>
            <w:pPr>
              <w:rPr>
                <w:rFonts w:ascii="宋体" w:hAnsi="宋体" w:cs="宋体"/>
                <w:b/>
                <w:color w:val="000000"/>
                <w:sz w:val="24"/>
              </w:rPr>
            </w:pPr>
            <w:r>
              <w:rPr>
                <w:rFonts w:hint="eastAsia" w:ascii="宋体" w:hAnsi="宋体" w:cs="宋体"/>
                <w:b/>
                <w:color w:val="000000"/>
                <w:sz w:val="24"/>
              </w:rPr>
              <w:t xml:space="preserve">买 方：   </w:t>
            </w:r>
          </w:p>
        </w:tc>
        <w:tc>
          <w:tcPr>
            <w:tcW w:w="7329" w:type="dxa"/>
            <w:gridSpan w:val="10"/>
          </w:tcPr>
          <w:p>
            <w:pPr>
              <w:rPr>
                <w:rFonts w:ascii="宋体" w:hAnsi="宋体" w:cs="宋体"/>
                <w:color w:val="000000"/>
                <w:kern w:val="0"/>
                <w:sz w:val="24"/>
              </w:rPr>
            </w:pPr>
            <w:r>
              <w:rPr>
                <w:rFonts w:hint="eastAsia" w:ascii="宋体" w:hAnsi="宋体" w:cs="宋体"/>
                <w:color w:val="000000"/>
                <w:kern w:val="0"/>
                <w:sz w:val="24"/>
              </w:rPr>
              <w:t>岳阳城陵矶新港有限公司</w:t>
            </w:r>
          </w:p>
        </w:tc>
      </w:tr>
      <w:tr>
        <w:tblPrEx>
          <w:tblCellMar>
            <w:top w:w="0" w:type="dxa"/>
            <w:left w:w="108" w:type="dxa"/>
            <w:bottom w:w="0" w:type="dxa"/>
            <w:right w:w="108" w:type="dxa"/>
          </w:tblCellMar>
        </w:tblPrEx>
        <w:trPr>
          <w:gridAfter w:val="1"/>
          <w:wAfter w:w="115" w:type="dxa"/>
          <w:trHeight w:val="360" w:hRule="atLeast"/>
        </w:trPr>
        <w:tc>
          <w:tcPr>
            <w:tcW w:w="6026" w:type="dxa"/>
            <w:gridSpan w:val="6"/>
          </w:tcPr>
          <w:p>
            <w:pPr>
              <w:ind w:right="-2194" w:rightChars="-1045"/>
              <w:rPr>
                <w:rFonts w:ascii="宋体" w:hAnsi="宋体" w:cs="宋体"/>
                <w:color w:val="000000"/>
                <w:sz w:val="24"/>
              </w:rPr>
            </w:pPr>
            <w:r>
              <w:rPr>
                <w:rFonts w:hint="eastAsia" w:ascii="宋体" w:hAnsi="宋体" w:cs="宋体"/>
                <w:color w:val="000000"/>
                <w:sz w:val="24"/>
              </w:rPr>
              <w:t>地 址：岳阳城陵矶临港新区新港办公楼</w:t>
            </w:r>
          </w:p>
        </w:tc>
        <w:tc>
          <w:tcPr>
            <w:tcW w:w="962" w:type="dxa"/>
            <w:gridSpan w:val="3"/>
          </w:tcPr>
          <w:p>
            <w:pPr>
              <w:rPr>
                <w:rFonts w:ascii="宋体" w:hAnsi="宋体" w:cs="宋体"/>
                <w:color w:val="000000"/>
                <w:sz w:val="24"/>
              </w:rPr>
            </w:pPr>
            <w:r>
              <w:rPr>
                <w:rFonts w:hint="eastAsia" w:ascii="宋体" w:hAnsi="宋体" w:cs="宋体"/>
                <w:color w:val="000000"/>
                <w:sz w:val="24"/>
              </w:rPr>
              <w:t>邮 编：</w:t>
            </w:r>
          </w:p>
        </w:tc>
        <w:tc>
          <w:tcPr>
            <w:tcW w:w="1835" w:type="dxa"/>
            <w:gridSpan w:val="2"/>
          </w:tcPr>
          <w:p>
            <w:pPr>
              <w:rPr>
                <w:rFonts w:ascii="宋体" w:hAnsi="宋体" w:cs="宋体"/>
                <w:color w:val="000000"/>
                <w:sz w:val="24"/>
              </w:rPr>
            </w:pPr>
            <w:r>
              <w:rPr>
                <w:rFonts w:hint="eastAsia" w:ascii="宋体" w:hAnsi="宋体" w:cs="宋体"/>
                <w:color w:val="000000"/>
                <w:sz w:val="24"/>
              </w:rPr>
              <w:t>410001</w:t>
            </w:r>
          </w:p>
        </w:tc>
      </w:tr>
      <w:tr>
        <w:tblPrEx>
          <w:tblCellMar>
            <w:top w:w="0" w:type="dxa"/>
            <w:left w:w="108" w:type="dxa"/>
            <w:bottom w:w="0" w:type="dxa"/>
            <w:right w:w="108" w:type="dxa"/>
          </w:tblCellMar>
        </w:tblPrEx>
        <w:trPr>
          <w:gridAfter w:val="1"/>
          <w:wAfter w:w="115" w:type="dxa"/>
          <w:trHeight w:val="360" w:hRule="atLeast"/>
        </w:trPr>
        <w:tc>
          <w:tcPr>
            <w:tcW w:w="3501" w:type="dxa"/>
            <w:gridSpan w:val="3"/>
          </w:tcPr>
          <w:p>
            <w:pPr>
              <w:rPr>
                <w:rFonts w:ascii="宋体" w:hAnsi="宋体" w:cs="宋体"/>
                <w:color w:val="000000"/>
                <w:sz w:val="24"/>
              </w:rPr>
            </w:pPr>
            <w:r>
              <w:rPr>
                <w:rFonts w:hint="eastAsia" w:ascii="宋体" w:hAnsi="宋体" w:cs="宋体"/>
                <w:color w:val="000000"/>
                <w:sz w:val="24"/>
              </w:rPr>
              <w:t>法定代表人：任一兵</w:t>
            </w:r>
          </w:p>
        </w:tc>
        <w:tc>
          <w:tcPr>
            <w:tcW w:w="2525" w:type="dxa"/>
            <w:gridSpan w:val="3"/>
          </w:tcPr>
          <w:p>
            <w:pPr>
              <w:rPr>
                <w:rFonts w:ascii="宋体" w:hAnsi="宋体" w:cs="宋体"/>
                <w:color w:val="000000"/>
                <w:sz w:val="24"/>
              </w:rPr>
            </w:pPr>
            <w:r>
              <w:rPr>
                <w:rFonts w:hint="eastAsia" w:ascii="宋体" w:hAnsi="宋体" w:cs="宋体"/>
                <w:color w:val="000000"/>
                <w:sz w:val="24"/>
              </w:rPr>
              <w:t>职 务：总经理</w:t>
            </w:r>
          </w:p>
        </w:tc>
        <w:tc>
          <w:tcPr>
            <w:tcW w:w="962" w:type="dxa"/>
            <w:gridSpan w:val="3"/>
          </w:tcPr>
          <w:p>
            <w:pPr>
              <w:rPr>
                <w:rFonts w:ascii="宋体" w:hAnsi="宋体" w:cs="宋体"/>
                <w:color w:val="000000"/>
                <w:sz w:val="24"/>
              </w:rPr>
            </w:pPr>
            <w:r>
              <w:rPr>
                <w:rFonts w:hint="eastAsia" w:ascii="宋体" w:hAnsi="宋体" w:cs="宋体"/>
                <w:color w:val="000000"/>
                <w:sz w:val="24"/>
              </w:rPr>
              <w:t>电 话：</w:t>
            </w:r>
          </w:p>
        </w:tc>
        <w:tc>
          <w:tcPr>
            <w:tcW w:w="1835" w:type="dxa"/>
            <w:gridSpan w:val="2"/>
          </w:tcPr>
          <w:p>
            <w:pPr>
              <w:rPr>
                <w:rFonts w:ascii="宋体" w:hAnsi="宋体" w:cs="宋体"/>
                <w:color w:val="000000"/>
                <w:sz w:val="24"/>
              </w:rPr>
            </w:pPr>
            <w:r>
              <w:rPr>
                <w:rFonts w:hint="eastAsia" w:ascii="宋体" w:hAnsi="宋体" w:cs="宋体"/>
                <w:color w:val="000000" w:themeColor="text1"/>
                <w:sz w:val="24"/>
                <w14:textFill>
                  <w14:solidFill>
                    <w14:schemeClr w14:val="tx1"/>
                  </w14:solidFill>
                </w14:textFill>
              </w:rPr>
              <w:t>0730-8422017</w:t>
            </w:r>
          </w:p>
        </w:tc>
      </w:tr>
      <w:tr>
        <w:tblPrEx>
          <w:tblCellMar>
            <w:top w:w="0" w:type="dxa"/>
            <w:left w:w="108" w:type="dxa"/>
            <w:bottom w:w="0" w:type="dxa"/>
            <w:right w:w="108" w:type="dxa"/>
          </w:tblCellMar>
        </w:tblPrEx>
        <w:trPr>
          <w:gridAfter w:val="1"/>
          <w:wAfter w:w="115" w:type="dxa"/>
          <w:trHeight w:val="360" w:hRule="atLeast"/>
        </w:trPr>
        <w:tc>
          <w:tcPr>
            <w:tcW w:w="8823" w:type="dxa"/>
            <w:gridSpan w:val="11"/>
          </w:tcPr>
          <w:p>
            <w:pPr>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themeColor="text1"/>
                <w:sz w:val="24"/>
                <w14:textFill>
                  <w14:solidFill>
                    <w14:schemeClr w14:val="tx1"/>
                  </w14:solidFill>
                </w14:textFill>
              </w:rPr>
              <w:t>交通银行股份有限公司岳阳云溪支行</w:t>
            </w:r>
          </w:p>
        </w:tc>
      </w:tr>
      <w:tr>
        <w:tblPrEx>
          <w:tblCellMar>
            <w:top w:w="0" w:type="dxa"/>
            <w:left w:w="108" w:type="dxa"/>
            <w:bottom w:w="0" w:type="dxa"/>
            <w:right w:w="108" w:type="dxa"/>
          </w:tblCellMar>
        </w:tblPrEx>
        <w:trPr>
          <w:gridAfter w:val="1"/>
          <w:wAfter w:w="115" w:type="dxa"/>
          <w:trHeight w:val="360" w:hRule="atLeast"/>
        </w:trPr>
        <w:tc>
          <w:tcPr>
            <w:tcW w:w="5063" w:type="dxa"/>
            <w:gridSpan w:val="5"/>
          </w:tcPr>
          <w:p>
            <w:pPr>
              <w:rPr>
                <w:rFonts w:ascii="宋体" w:hAnsi="宋体" w:cs="宋体"/>
                <w:color w:val="000000"/>
                <w:sz w:val="24"/>
              </w:rPr>
            </w:pPr>
            <w:r>
              <w:rPr>
                <w:rFonts w:hint="eastAsia" w:ascii="宋体" w:hAnsi="宋体" w:cs="宋体"/>
                <w:color w:val="000000"/>
                <w:sz w:val="24"/>
              </w:rPr>
              <w:t>帐    号：</w:t>
            </w:r>
            <w:r>
              <w:rPr>
                <w:rFonts w:hint="eastAsia" w:ascii="宋体" w:hAnsi="宋体" w:cs="宋体"/>
                <w:color w:val="000000" w:themeColor="text1"/>
                <w:sz w:val="24"/>
                <w14:textFill>
                  <w14:solidFill>
                    <w14:schemeClr w14:val="tx1"/>
                  </w14:solidFill>
                </w14:textFill>
              </w:rPr>
              <w:t>43660072001801000 6451</w:t>
            </w:r>
          </w:p>
        </w:tc>
        <w:tc>
          <w:tcPr>
            <w:tcW w:w="3760" w:type="dxa"/>
            <w:gridSpan w:val="6"/>
          </w:tcPr>
          <w:p>
            <w:pPr>
              <w:rPr>
                <w:rFonts w:ascii="宋体" w:hAnsi="宋体" w:cs="宋体"/>
                <w:color w:val="000000"/>
                <w:sz w:val="24"/>
              </w:rPr>
            </w:pPr>
          </w:p>
        </w:tc>
      </w:tr>
      <w:tr>
        <w:tblPrEx>
          <w:tblCellMar>
            <w:top w:w="0" w:type="dxa"/>
            <w:left w:w="108" w:type="dxa"/>
            <w:bottom w:w="0" w:type="dxa"/>
            <w:right w:w="108" w:type="dxa"/>
          </w:tblCellMar>
        </w:tblPrEx>
        <w:trPr>
          <w:gridAfter w:val="1"/>
          <w:wAfter w:w="115" w:type="dxa"/>
          <w:trHeight w:val="360" w:hRule="atLeast"/>
        </w:trPr>
        <w:tc>
          <w:tcPr>
            <w:tcW w:w="3970" w:type="dxa"/>
            <w:gridSpan w:val="4"/>
          </w:tcPr>
          <w:p>
            <w:pPr>
              <w:ind w:right="-2524" w:rightChars="-1202"/>
              <w:rPr>
                <w:rFonts w:ascii="宋体" w:hAnsi="宋体" w:cs="宋体"/>
                <w:color w:val="000000"/>
                <w:sz w:val="24"/>
              </w:rPr>
            </w:pPr>
            <w:r>
              <w:rPr>
                <w:rFonts w:hint="eastAsia" w:ascii="宋体" w:hAnsi="宋体" w:cs="宋体"/>
                <w:color w:val="000000"/>
                <w:sz w:val="24"/>
              </w:rPr>
              <w:t xml:space="preserve">联 系 人：谢鸣洋    </w:t>
            </w:r>
          </w:p>
        </w:tc>
        <w:tc>
          <w:tcPr>
            <w:tcW w:w="4853" w:type="dxa"/>
            <w:gridSpan w:val="7"/>
          </w:tcPr>
          <w:p>
            <w:pPr>
              <w:rPr>
                <w:rFonts w:ascii="宋体" w:hAnsi="宋体" w:cs="宋体"/>
                <w:color w:val="000000"/>
                <w:sz w:val="24"/>
              </w:rPr>
            </w:pPr>
            <w:r>
              <w:rPr>
                <w:rFonts w:hint="eastAsia" w:ascii="宋体" w:hAnsi="宋体" w:cs="宋体"/>
                <w:color w:val="000000"/>
                <w:sz w:val="24"/>
              </w:rPr>
              <w:t xml:space="preserve">     </w:t>
            </w:r>
          </w:p>
        </w:tc>
      </w:tr>
      <w:tr>
        <w:tblPrEx>
          <w:tblCellMar>
            <w:top w:w="0" w:type="dxa"/>
            <w:left w:w="108" w:type="dxa"/>
            <w:bottom w:w="0" w:type="dxa"/>
            <w:right w:w="108" w:type="dxa"/>
          </w:tblCellMar>
        </w:tblPrEx>
        <w:trPr>
          <w:gridAfter w:val="1"/>
          <w:wAfter w:w="115" w:type="dxa"/>
          <w:trHeight w:val="360" w:hRule="atLeast"/>
        </w:trPr>
        <w:tc>
          <w:tcPr>
            <w:tcW w:w="2125" w:type="dxa"/>
            <w:gridSpan w:val="2"/>
            <w:tcBorders>
              <w:bottom w:val="single" w:color="auto" w:sz="6" w:space="0"/>
            </w:tcBorders>
          </w:tcPr>
          <w:p>
            <w:pPr>
              <w:rPr>
                <w:rFonts w:ascii="宋体" w:hAnsi="宋体" w:cs="宋体"/>
                <w:color w:val="000000"/>
                <w:sz w:val="24"/>
              </w:rPr>
            </w:pPr>
            <w:r>
              <w:rPr>
                <w:rFonts w:hint="eastAsia" w:ascii="宋体" w:hAnsi="宋体" w:cs="宋体"/>
                <w:color w:val="000000"/>
                <w:sz w:val="24"/>
              </w:rPr>
              <w:t xml:space="preserve">电话/传真：   </w:t>
            </w:r>
          </w:p>
        </w:tc>
        <w:tc>
          <w:tcPr>
            <w:tcW w:w="6698" w:type="dxa"/>
            <w:gridSpan w:val="9"/>
            <w:tcBorders>
              <w:bottom w:val="single" w:color="auto" w:sz="6" w:space="0"/>
            </w:tcBorders>
          </w:tcPr>
          <w:p>
            <w:pPr>
              <w:rPr>
                <w:rFonts w:ascii="宋体" w:hAnsi="宋体" w:cs="宋体"/>
                <w:color w:val="000000"/>
                <w:sz w:val="24"/>
              </w:rPr>
            </w:pPr>
            <w:r>
              <w:rPr>
                <w:rFonts w:hint="eastAsia" w:ascii="宋体" w:hAnsi="宋体" w:cs="宋体"/>
                <w:color w:val="000000"/>
                <w:sz w:val="24"/>
              </w:rPr>
              <w:t xml:space="preserve">0730-8422012  17769303920   </w:t>
            </w:r>
          </w:p>
        </w:tc>
      </w:tr>
      <w:tr>
        <w:tblPrEx>
          <w:tblCellMar>
            <w:top w:w="0" w:type="dxa"/>
            <w:left w:w="108" w:type="dxa"/>
            <w:bottom w:w="0" w:type="dxa"/>
            <w:right w:w="108" w:type="dxa"/>
          </w:tblCellMar>
        </w:tblPrEx>
        <w:trPr>
          <w:gridAfter w:val="1"/>
          <w:wAfter w:w="115" w:type="dxa"/>
          <w:trHeight w:val="376" w:hRule="atLeast"/>
        </w:trPr>
        <w:tc>
          <w:tcPr>
            <w:tcW w:w="2125" w:type="dxa"/>
            <w:gridSpan w:val="2"/>
          </w:tcPr>
          <w:p>
            <w:pPr>
              <w:rPr>
                <w:rFonts w:ascii="Arial" w:hAnsi="Arial"/>
                <w:color w:val="000000"/>
                <w:sz w:val="24"/>
              </w:rPr>
            </w:pPr>
            <w:r>
              <w:rPr>
                <w:rFonts w:hint="eastAsia" w:ascii="Arial" w:hAnsi="Arial"/>
                <w:b/>
                <w:color w:val="000000"/>
                <w:sz w:val="24"/>
              </w:rPr>
              <w:t>卖</w:t>
            </w:r>
            <w:r>
              <w:rPr>
                <w:rFonts w:ascii="Arial" w:hAnsi="Arial"/>
                <w:b/>
                <w:color w:val="000000"/>
                <w:sz w:val="24"/>
              </w:rPr>
              <w:t xml:space="preserve">    </w:t>
            </w:r>
            <w:r>
              <w:rPr>
                <w:rFonts w:hint="eastAsia" w:ascii="Arial" w:hAnsi="Arial"/>
                <w:b/>
                <w:color w:val="000000"/>
                <w:sz w:val="24"/>
              </w:rPr>
              <w:t>方</w:t>
            </w:r>
            <w:r>
              <w:rPr>
                <w:rFonts w:ascii="Arial" w:hAnsi="Arial"/>
                <w:b/>
                <w:color w:val="000000"/>
                <w:sz w:val="24"/>
              </w:rPr>
              <w:t>:</w:t>
            </w:r>
          </w:p>
        </w:tc>
        <w:tc>
          <w:tcPr>
            <w:tcW w:w="6698" w:type="dxa"/>
            <w:gridSpan w:val="9"/>
          </w:tcPr>
          <w:p>
            <w:pPr>
              <w:rPr>
                <w:rFonts w:ascii="Arial" w:hAnsi="Arial"/>
                <w:color w:val="000000"/>
                <w:sz w:val="24"/>
              </w:rPr>
            </w:pPr>
          </w:p>
        </w:tc>
      </w:tr>
      <w:tr>
        <w:tblPrEx>
          <w:tblCellMar>
            <w:top w:w="0" w:type="dxa"/>
            <w:left w:w="108" w:type="dxa"/>
            <w:bottom w:w="0" w:type="dxa"/>
            <w:right w:w="108" w:type="dxa"/>
          </w:tblCellMar>
        </w:tblPrEx>
        <w:trPr>
          <w:trHeight w:val="360" w:hRule="atLeast"/>
        </w:trPr>
        <w:tc>
          <w:tcPr>
            <w:tcW w:w="2125" w:type="dxa"/>
            <w:gridSpan w:val="2"/>
          </w:tcPr>
          <w:p>
            <w:pPr>
              <w:rPr>
                <w:rFonts w:ascii="Arial" w:hAnsi="Arial"/>
                <w:color w:val="000000"/>
                <w:sz w:val="24"/>
              </w:rPr>
            </w:pPr>
            <w:r>
              <w:rPr>
                <w:rFonts w:hint="eastAsia" w:ascii="Arial" w:hAnsi="Arial"/>
                <w:color w:val="000000"/>
                <w:sz w:val="24"/>
              </w:rPr>
              <w:t>地</w:t>
            </w:r>
            <w:r>
              <w:rPr>
                <w:rFonts w:ascii="Arial" w:hAnsi="Arial"/>
                <w:color w:val="000000"/>
                <w:sz w:val="24"/>
              </w:rPr>
              <w:t xml:space="preserve">    </w:t>
            </w:r>
            <w:r>
              <w:rPr>
                <w:rFonts w:hint="eastAsia" w:ascii="Arial" w:hAnsi="Arial"/>
                <w:color w:val="000000"/>
                <w:sz w:val="24"/>
              </w:rPr>
              <w:t>址：</w:t>
            </w:r>
          </w:p>
        </w:tc>
        <w:tc>
          <w:tcPr>
            <w:tcW w:w="4742" w:type="dxa"/>
            <w:gridSpan w:val="6"/>
          </w:tcPr>
          <w:p>
            <w:pPr>
              <w:rPr>
                <w:rFonts w:ascii="Arial" w:hAnsi="Arial"/>
                <w:color w:val="000000"/>
                <w:sz w:val="24"/>
              </w:rPr>
            </w:pPr>
          </w:p>
        </w:tc>
        <w:tc>
          <w:tcPr>
            <w:tcW w:w="236" w:type="dxa"/>
            <w:gridSpan w:val="2"/>
          </w:tcPr>
          <w:p>
            <w:pPr>
              <w:rPr>
                <w:rFonts w:ascii="Arial" w:hAnsi="Arial"/>
                <w:color w:val="000000"/>
                <w:sz w:val="24"/>
              </w:rPr>
            </w:pPr>
          </w:p>
        </w:tc>
        <w:tc>
          <w:tcPr>
            <w:tcW w:w="1835" w:type="dxa"/>
            <w:gridSpan w:val="2"/>
          </w:tcPr>
          <w:p>
            <w:pPr>
              <w:rPr>
                <w:rFonts w:ascii="Arial" w:hAnsi="Arial"/>
                <w:color w:val="000000"/>
                <w:sz w:val="24"/>
              </w:rPr>
            </w:pPr>
          </w:p>
        </w:tc>
      </w:tr>
      <w:tr>
        <w:tblPrEx>
          <w:tblCellMar>
            <w:top w:w="0" w:type="dxa"/>
            <w:left w:w="108" w:type="dxa"/>
            <w:bottom w:w="0" w:type="dxa"/>
            <w:right w:w="108" w:type="dxa"/>
          </w:tblCellMar>
        </w:tblPrEx>
        <w:trPr>
          <w:gridAfter w:val="1"/>
          <w:wAfter w:w="115" w:type="dxa"/>
          <w:trHeight w:val="360" w:hRule="atLeast"/>
        </w:trPr>
        <w:tc>
          <w:tcPr>
            <w:tcW w:w="2125" w:type="dxa"/>
            <w:gridSpan w:val="2"/>
          </w:tcPr>
          <w:p>
            <w:pPr>
              <w:rPr>
                <w:rFonts w:ascii="Arial" w:hAnsi="Arial"/>
                <w:color w:val="000000"/>
                <w:sz w:val="24"/>
              </w:rPr>
            </w:pPr>
            <w:r>
              <w:rPr>
                <w:rFonts w:hint="eastAsia" w:ascii="Arial" w:hAnsi="Arial"/>
                <w:color w:val="000000"/>
                <w:sz w:val="24"/>
              </w:rPr>
              <w:t>法定代表人：</w:t>
            </w:r>
          </w:p>
        </w:tc>
        <w:tc>
          <w:tcPr>
            <w:tcW w:w="4201" w:type="dxa"/>
            <w:gridSpan w:val="5"/>
          </w:tcPr>
          <w:p>
            <w:pPr>
              <w:rPr>
                <w:rFonts w:ascii="Arial" w:hAnsi="Arial"/>
                <w:color w:val="000000"/>
                <w:sz w:val="24"/>
              </w:rPr>
            </w:pPr>
          </w:p>
        </w:tc>
        <w:tc>
          <w:tcPr>
            <w:tcW w:w="662" w:type="dxa"/>
            <w:gridSpan w:val="2"/>
          </w:tcPr>
          <w:p>
            <w:pPr>
              <w:rPr>
                <w:rFonts w:ascii="Arial" w:hAnsi="Arial"/>
                <w:color w:val="000000"/>
                <w:sz w:val="24"/>
              </w:rPr>
            </w:pPr>
          </w:p>
        </w:tc>
        <w:tc>
          <w:tcPr>
            <w:tcW w:w="1835" w:type="dxa"/>
            <w:gridSpan w:val="2"/>
          </w:tcPr>
          <w:p>
            <w:pPr>
              <w:rPr>
                <w:rFonts w:ascii="Arial" w:hAnsi="Arial"/>
                <w:color w:val="000000"/>
                <w:sz w:val="24"/>
              </w:rPr>
            </w:pPr>
          </w:p>
        </w:tc>
      </w:tr>
      <w:tr>
        <w:tblPrEx>
          <w:tblCellMar>
            <w:top w:w="0" w:type="dxa"/>
            <w:left w:w="108" w:type="dxa"/>
            <w:bottom w:w="0" w:type="dxa"/>
            <w:right w:w="108" w:type="dxa"/>
          </w:tblCellMar>
        </w:tblPrEx>
        <w:trPr>
          <w:gridAfter w:val="1"/>
          <w:wAfter w:w="115" w:type="dxa"/>
          <w:trHeight w:val="360" w:hRule="atLeast"/>
        </w:trPr>
        <w:tc>
          <w:tcPr>
            <w:tcW w:w="2125" w:type="dxa"/>
            <w:gridSpan w:val="2"/>
          </w:tcPr>
          <w:p>
            <w:pPr>
              <w:rPr>
                <w:rFonts w:ascii="Arial" w:hAnsi="Arial"/>
                <w:color w:val="000000"/>
                <w:sz w:val="24"/>
              </w:rPr>
            </w:pPr>
            <w:r>
              <w:rPr>
                <w:rFonts w:hint="eastAsia" w:ascii="Arial" w:hAnsi="Arial"/>
                <w:color w:val="000000"/>
                <w:sz w:val="24"/>
              </w:rPr>
              <w:t>开户银行：</w:t>
            </w:r>
          </w:p>
        </w:tc>
        <w:tc>
          <w:tcPr>
            <w:tcW w:w="6698" w:type="dxa"/>
            <w:gridSpan w:val="9"/>
          </w:tcPr>
          <w:p>
            <w:pPr>
              <w:rPr>
                <w:rFonts w:ascii="Arial" w:hAnsi="Arial"/>
                <w:color w:val="000000"/>
                <w:sz w:val="24"/>
              </w:rPr>
            </w:pPr>
          </w:p>
        </w:tc>
      </w:tr>
      <w:tr>
        <w:tblPrEx>
          <w:tblCellMar>
            <w:top w:w="0" w:type="dxa"/>
            <w:left w:w="108" w:type="dxa"/>
            <w:bottom w:w="0" w:type="dxa"/>
            <w:right w:w="108" w:type="dxa"/>
          </w:tblCellMar>
        </w:tblPrEx>
        <w:trPr>
          <w:gridAfter w:val="1"/>
          <w:wAfter w:w="115" w:type="dxa"/>
          <w:trHeight w:val="360" w:hRule="atLeast"/>
        </w:trPr>
        <w:tc>
          <w:tcPr>
            <w:tcW w:w="2125" w:type="dxa"/>
            <w:gridSpan w:val="2"/>
          </w:tcPr>
          <w:p>
            <w:pPr>
              <w:rPr>
                <w:rFonts w:ascii="Arial" w:hAnsi="Arial"/>
                <w:color w:val="000000"/>
                <w:sz w:val="24"/>
              </w:rPr>
            </w:pPr>
            <w:r>
              <w:rPr>
                <w:rFonts w:hint="eastAsia" w:ascii="Arial" w:hAnsi="Arial"/>
                <w:color w:val="000000"/>
                <w:sz w:val="24"/>
              </w:rPr>
              <w:t>帐    号：</w:t>
            </w:r>
          </w:p>
        </w:tc>
        <w:tc>
          <w:tcPr>
            <w:tcW w:w="6698" w:type="dxa"/>
            <w:gridSpan w:val="9"/>
          </w:tcPr>
          <w:p>
            <w:pPr>
              <w:rPr>
                <w:rFonts w:ascii="Arial" w:hAnsi="Arial" w:cs="Arial"/>
                <w:color w:val="000000"/>
                <w:sz w:val="24"/>
              </w:rPr>
            </w:pPr>
          </w:p>
        </w:tc>
      </w:tr>
      <w:tr>
        <w:tblPrEx>
          <w:tblCellMar>
            <w:top w:w="0" w:type="dxa"/>
            <w:left w:w="108" w:type="dxa"/>
            <w:bottom w:w="0" w:type="dxa"/>
            <w:right w:w="108" w:type="dxa"/>
          </w:tblCellMar>
        </w:tblPrEx>
        <w:trPr>
          <w:gridAfter w:val="1"/>
          <w:wAfter w:w="115" w:type="dxa"/>
          <w:trHeight w:val="360" w:hRule="atLeast"/>
        </w:trPr>
        <w:tc>
          <w:tcPr>
            <w:tcW w:w="2125" w:type="dxa"/>
            <w:gridSpan w:val="2"/>
          </w:tcPr>
          <w:p>
            <w:pPr>
              <w:rPr>
                <w:rFonts w:ascii="Arial" w:hAnsi="Arial"/>
                <w:color w:val="000000"/>
                <w:sz w:val="24"/>
              </w:rPr>
            </w:pPr>
            <w:r>
              <w:rPr>
                <w:rFonts w:hint="eastAsia" w:ascii="Arial" w:hAnsi="Arial"/>
                <w:color w:val="000000"/>
                <w:sz w:val="24"/>
              </w:rPr>
              <w:t>电话/传真：</w:t>
            </w:r>
          </w:p>
        </w:tc>
        <w:tc>
          <w:tcPr>
            <w:tcW w:w="6698" w:type="dxa"/>
            <w:gridSpan w:val="9"/>
          </w:tcPr>
          <w:p>
            <w:pPr>
              <w:rPr>
                <w:rFonts w:ascii="Arial" w:hAnsi="Arial"/>
                <w:color w:val="000000"/>
                <w:sz w:val="24"/>
              </w:rPr>
            </w:pPr>
          </w:p>
        </w:tc>
      </w:tr>
      <w:tr>
        <w:tblPrEx>
          <w:tblCellMar>
            <w:top w:w="0" w:type="dxa"/>
            <w:left w:w="108" w:type="dxa"/>
            <w:bottom w:w="0" w:type="dxa"/>
            <w:right w:w="108" w:type="dxa"/>
          </w:tblCellMar>
        </w:tblPrEx>
        <w:trPr>
          <w:gridAfter w:val="1"/>
          <w:wAfter w:w="115" w:type="dxa"/>
          <w:trHeight w:val="371" w:hRule="atLeast"/>
        </w:trPr>
        <w:tc>
          <w:tcPr>
            <w:tcW w:w="2125" w:type="dxa"/>
            <w:gridSpan w:val="2"/>
            <w:tcBorders>
              <w:bottom w:val="single" w:color="auto" w:sz="4" w:space="0"/>
            </w:tcBorders>
          </w:tcPr>
          <w:p>
            <w:pPr>
              <w:rPr>
                <w:rFonts w:ascii="Arial" w:hAnsi="Arial"/>
                <w:color w:val="000000"/>
                <w:sz w:val="24"/>
              </w:rPr>
            </w:pPr>
            <w:r>
              <w:rPr>
                <w:rFonts w:hint="eastAsia" w:ascii="Arial" w:hAnsi="Arial"/>
                <w:color w:val="000000"/>
                <w:sz w:val="24"/>
              </w:rPr>
              <w:t>联系人：</w:t>
            </w:r>
          </w:p>
        </w:tc>
        <w:tc>
          <w:tcPr>
            <w:tcW w:w="6698" w:type="dxa"/>
            <w:gridSpan w:val="9"/>
            <w:tcBorders>
              <w:bottom w:val="single" w:color="auto" w:sz="4" w:space="0"/>
            </w:tcBorders>
          </w:tcPr>
          <w:p>
            <w:pPr>
              <w:rPr>
                <w:rFonts w:ascii="Arial" w:hAnsi="Arial"/>
                <w:color w:val="000000"/>
                <w:sz w:val="24"/>
              </w:rPr>
            </w:pPr>
          </w:p>
        </w:tc>
      </w:tr>
    </w:tbl>
    <w:p>
      <w:pPr>
        <w:rPr>
          <w:b/>
          <w:bCs/>
          <w:color w:val="000000"/>
          <w:sz w:val="24"/>
        </w:rPr>
      </w:pPr>
      <w:r>
        <w:rPr>
          <w:rFonts w:hint="eastAsia"/>
          <w:b/>
          <w:bCs/>
          <w:color w:val="000000"/>
          <w:sz w:val="24"/>
        </w:rPr>
        <w:t>第二条：产品</w:t>
      </w:r>
    </w:p>
    <w:tbl>
      <w:tblPr>
        <w:tblStyle w:val="38"/>
        <w:tblpPr w:leftFromText="180" w:rightFromText="180" w:vertAnchor="text" w:horzAnchor="page" w:tblpX="1679" w:tblpY="504"/>
        <w:tblOverlap w:val="never"/>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219"/>
        <w:gridCol w:w="1073"/>
        <w:gridCol w:w="1115"/>
        <w:gridCol w:w="1115"/>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341" w:type="dxa"/>
            <w:vAlign w:val="center"/>
          </w:tcPr>
          <w:p>
            <w:pPr>
              <w:jc w:val="center"/>
              <w:rPr>
                <w:rFonts w:ascii="宋体" w:hAnsi="宋体" w:cs="宋体"/>
                <w:b/>
                <w:bCs/>
                <w:color w:val="000000"/>
                <w:sz w:val="24"/>
              </w:rPr>
            </w:pPr>
            <w:r>
              <w:rPr>
                <w:rFonts w:hint="eastAsia" w:ascii="宋体" w:hAnsi="宋体" w:cs="宋体"/>
                <w:b/>
                <w:bCs/>
                <w:color w:val="000000"/>
                <w:sz w:val="24"/>
              </w:rPr>
              <w:t>产品</w:t>
            </w:r>
          </w:p>
        </w:tc>
        <w:tc>
          <w:tcPr>
            <w:tcW w:w="3219" w:type="dxa"/>
            <w:vAlign w:val="center"/>
          </w:tcPr>
          <w:p>
            <w:pPr>
              <w:jc w:val="center"/>
              <w:rPr>
                <w:rFonts w:ascii="宋体" w:hAnsi="宋体" w:cs="宋体"/>
                <w:b/>
                <w:bCs/>
                <w:color w:val="000000"/>
                <w:sz w:val="24"/>
              </w:rPr>
            </w:pPr>
            <w:r>
              <w:rPr>
                <w:rFonts w:hint="eastAsia" w:ascii="宋体" w:hAnsi="宋体" w:cs="宋体"/>
                <w:b/>
                <w:bCs/>
                <w:color w:val="000000"/>
                <w:sz w:val="24"/>
              </w:rPr>
              <w:t>型号/技术参数</w:t>
            </w:r>
          </w:p>
        </w:tc>
        <w:tc>
          <w:tcPr>
            <w:tcW w:w="1073" w:type="dxa"/>
            <w:vAlign w:val="center"/>
          </w:tcPr>
          <w:p>
            <w:pPr>
              <w:jc w:val="center"/>
              <w:rPr>
                <w:rFonts w:ascii="宋体" w:hAnsi="宋体" w:cs="宋体"/>
                <w:b/>
                <w:bCs/>
                <w:color w:val="000000"/>
                <w:sz w:val="24"/>
              </w:rPr>
            </w:pPr>
            <w:r>
              <w:rPr>
                <w:rFonts w:hint="eastAsia" w:ascii="宋体" w:hAnsi="宋体" w:cs="宋体"/>
                <w:b/>
                <w:bCs/>
                <w:color w:val="000000"/>
                <w:sz w:val="24"/>
              </w:rPr>
              <w:t>品牌</w:t>
            </w:r>
          </w:p>
        </w:tc>
        <w:tc>
          <w:tcPr>
            <w:tcW w:w="1115" w:type="dxa"/>
            <w:vAlign w:val="center"/>
          </w:tcPr>
          <w:p>
            <w:pPr>
              <w:jc w:val="center"/>
              <w:rPr>
                <w:rFonts w:ascii="宋体" w:hAnsi="宋体" w:cs="宋体"/>
                <w:b/>
                <w:bCs/>
                <w:color w:val="000000"/>
                <w:sz w:val="24"/>
              </w:rPr>
            </w:pPr>
            <w:r>
              <w:rPr>
                <w:rFonts w:hint="eastAsia" w:ascii="宋体" w:hAnsi="宋体" w:cs="宋体"/>
                <w:b/>
                <w:bCs/>
                <w:color w:val="000000"/>
                <w:sz w:val="24"/>
              </w:rPr>
              <w:t>单 价（含税）</w:t>
            </w:r>
          </w:p>
        </w:tc>
        <w:tc>
          <w:tcPr>
            <w:tcW w:w="1115" w:type="dxa"/>
            <w:vAlign w:val="center"/>
          </w:tcPr>
          <w:p>
            <w:pPr>
              <w:jc w:val="center"/>
              <w:rPr>
                <w:rFonts w:ascii="宋体" w:hAnsi="宋体" w:cs="宋体"/>
                <w:b/>
                <w:bCs/>
                <w:color w:val="000000"/>
                <w:sz w:val="24"/>
              </w:rPr>
            </w:pPr>
            <w:r>
              <w:rPr>
                <w:rFonts w:hint="eastAsia" w:ascii="宋体" w:hAnsi="宋体" w:cs="宋体"/>
                <w:b/>
                <w:bCs/>
                <w:color w:val="000000"/>
                <w:sz w:val="24"/>
              </w:rPr>
              <w:t>数量</w:t>
            </w:r>
          </w:p>
          <w:p>
            <w:pPr>
              <w:jc w:val="center"/>
              <w:rPr>
                <w:rFonts w:ascii="宋体" w:hAnsi="宋体" w:cs="宋体"/>
                <w:b/>
                <w:bCs/>
                <w:color w:val="000000"/>
                <w:sz w:val="24"/>
              </w:rPr>
            </w:pPr>
            <w:r>
              <w:rPr>
                <w:rFonts w:hint="eastAsia" w:ascii="宋体" w:hAnsi="宋体" w:cs="宋体"/>
                <w:b/>
                <w:bCs/>
                <w:color w:val="000000"/>
                <w:sz w:val="24"/>
              </w:rPr>
              <w:t>（台套）</w:t>
            </w:r>
          </w:p>
        </w:tc>
        <w:tc>
          <w:tcPr>
            <w:tcW w:w="932" w:type="dxa"/>
            <w:vAlign w:val="center"/>
          </w:tcPr>
          <w:p>
            <w:pPr>
              <w:jc w:val="center"/>
              <w:rPr>
                <w:rFonts w:ascii="宋体" w:hAnsi="宋体" w:cs="宋体"/>
                <w:b/>
                <w:bCs/>
                <w:color w:val="000000"/>
                <w:sz w:val="24"/>
              </w:rPr>
            </w:pPr>
            <w:r>
              <w:rPr>
                <w:rFonts w:hint="eastAsia" w:ascii="宋体" w:hAnsi="宋体" w:cs="宋体"/>
                <w:b/>
                <w:bCs/>
                <w:color w:val="000000"/>
                <w:sz w:val="24"/>
              </w:rPr>
              <w:t>总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1" w:type="dxa"/>
            <w:vAlign w:val="center"/>
          </w:tcPr>
          <w:p>
            <w:pPr>
              <w:jc w:val="center"/>
              <w:rPr>
                <w:b/>
                <w:bCs/>
                <w:color w:val="000000"/>
                <w:szCs w:val="21"/>
              </w:rPr>
            </w:pPr>
            <w:r>
              <w:rPr>
                <w:rFonts w:hint="eastAsia"/>
                <w:b/>
                <w:bCs/>
                <w:color w:val="000000"/>
                <w:szCs w:val="21"/>
              </w:rPr>
              <w:t>变频器</w:t>
            </w:r>
          </w:p>
        </w:tc>
        <w:tc>
          <w:tcPr>
            <w:tcW w:w="3219" w:type="dxa"/>
            <w:vAlign w:val="center"/>
          </w:tcPr>
          <w:p>
            <w:pPr>
              <w:pStyle w:val="36"/>
              <w:ind w:firstLine="0"/>
              <w:jc w:val="center"/>
              <w:rPr>
                <w:bCs/>
                <w:color w:val="000000"/>
                <w:sz w:val="21"/>
                <w:szCs w:val="21"/>
              </w:rPr>
            </w:pPr>
            <w:r>
              <w:rPr>
                <w:rFonts w:hint="eastAsia"/>
                <w:sz w:val="21"/>
                <w:szCs w:val="21"/>
              </w:rPr>
              <w:t>型号为HF500-355-4,额定功率355KW,电压等级为400v，额定电流665A,输入：AC3PH 380V-460V 50/60Hz；输出：AC3PH 0-460V 0-300Hz</w:t>
            </w:r>
          </w:p>
        </w:tc>
        <w:tc>
          <w:tcPr>
            <w:tcW w:w="1073" w:type="dxa"/>
            <w:vAlign w:val="center"/>
          </w:tcPr>
          <w:p>
            <w:pPr>
              <w:spacing w:line="320" w:lineRule="exact"/>
              <w:jc w:val="center"/>
              <w:rPr>
                <w:color w:val="000000"/>
                <w:szCs w:val="21"/>
              </w:rPr>
            </w:pPr>
          </w:p>
        </w:tc>
        <w:tc>
          <w:tcPr>
            <w:tcW w:w="1115" w:type="dxa"/>
            <w:vAlign w:val="center"/>
          </w:tcPr>
          <w:p>
            <w:pPr>
              <w:spacing w:line="320" w:lineRule="exact"/>
              <w:jc w:val="center"/>
              <w:rPr>
                <w:color w:val="000000"/>
                <w:szCs w:val="21"/>
              </w:rPr>
            </w:pPr>
          </w:p>
        </w:tc>
        <w:tc>
          <w:tcPr>
            <w:tcW w:w="1115" w:type="dxa"/>
            <w:vAlign w:val="center"/>
          </w:tcPr>
          <w:p>
            <w:pPr>
              <w:jc w:val="center"/>
              <w:rPr>
                <w:color w:val="000000"/>
                <w:szCs w:val="21"/>
              </w:rPr>
            </w:pPr>
            <w:r>
              <w:rPr>
                <w:color w:val="000000"/>
                <w:szCs w:val="21"/>
              </w:rPr>
              <w:t>1</w:t>
            </w:r>
          </w:p>
        </w:tc>
        <w:tc>
          <w:tcPr>
            <w:tcW w:w="932" w:type="dxa"/>
            <w:vAlign w:val="center"/>
          </w:tcPr>
          <w:p>
            <w:pPr>
              <w:spacing w:line="32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41" w:type="dxa"/>
            <w:vAlign w:val="center"/>
          </w:tcPr>
          <w:p>
            <w:pPr>
              <w:jc w:val="center"/>
              <w:rPr>
                <w:b/>
                <w:bCs/>
                <w:color w:val="000000"/>
                <w:szCs w:val="21"/>
              </w:rPr>
            </w:pPr>
            <w:r>
              <w:rPr>
                <w:rFonts w:hint="eastAsia"/>
                <w:b/>
                <w:bCs/>
                <w:color w:val="000000"/>
                <w:szCs w:val="21"/>
              </w:rPr>
              <w:t>变频器</w:t>
            </w:r>
          </w:p>
        </w:tc>
        <w:tc>
          <w:tcPr>
            <w:tcW w:w="3219" w:type="dxa"/>
            <w:vAlign w:val="center"/>
          </w:tcPr>
          <w:p>
            <w:pPr>
              <w:pStyle w:val="36"/>
              <w:ind w:firstLine="0"/>
              <w:jc w:val="center"/>
              <w:rPr>
                <w:color w:val="000000"/>
                <w:sz w:val="21"/>
                <w:szCs w:val="21"/>
              </w:rPr>
            </w:pPr>
            <w:r>
              <w:rPr>
                <w:rFonts w:hint="eastAsia"/>
                <w:sz w:val="21"/>
                <w:szCs w:val="21"/>
              </w:rPr>
              <w:t>型号为HF500-</w:t>
            </w:r>
            <w:r>
              <w:rPr>
                <w:sz w:val="21"/>
                <w:szCs w:val="21"/>
              </w:rPr>
              <w:t>250</w:t>
            </w:r>
            <w:r>
              <w:rPr>
                <w:rFonts w:hint="eastAsia"/>
                <w:sz w:val="21"/>
                <w:szCs w:val="21"/>
              </w:rPr>
              <w:t>-4,额定功率</w:t>
            </w:r>
            <w:r>
              <w:rPr>
                <w:sz w:val="21"/>
                <w:szCs w:val="21"/>
              </w:rPr>
              <w:t>250</w:t>
            </w:r>
            <w:r>
              <w:rPr>
                <w:rFonts w:hint="eastAsia"/>
                <w:sz w:val="21"/>
                <w:szCs w:val="21"/>
              </w:rPr>
              <w:t>KW,电压等级为400v，额定电流</w:t>
            </w:r>
            <w:r>
              <w:rPr>
                <w:sz w:val="21"/>
                <w:szCs w:val="21"/>
              </w:rPr>
              <w:t>485</w:t>
            </w:r>
            <w:r>
              <w:rPr>
                <w:rFonts w:hint="eastAsia"/>
                <w:sz w:val="21"/>
                <w:szCs w:val="21"/>
              </w:rPr>
              <w:t>A,输入：AC3PH 380V-460V 50/60Hz；输出：AC3PH 0-460V 0-300Hz</w:t>
            </w:r>
          </w:p>
        </w:tc>
        <w:tc>
          <w:tcPr>
            <w:tcW w:w="1073" w:type="dxa"/>
            <w:vAlign w:val="center"/>
          </w:tcPr>
          <w:p>
            <w:pPr>
              <w:spacing w:line="320" w:lineRule="exact"/>
              <w:jc w:val="center"/>
              <w:rPr>
                <w:szCs w:val="21"/>
              </w:rPr>
            </w:pPr>
          </w:p>
        </w:tc>
        <w:tc>
          <w:tcPr>
            <w:tcW w:w="1115" w:type="dxa"/>
            <w:vAlign w:val="center"/>
          </w:tcPr>
          <w:p>
            <w:pPr>
              <w:spacing w:line="320" w:lineRule="exact"/>
              <w:jc w:val="center"/>
              <w:rPr>
                <w:szCs w:val="21"/>
              </w:rPr>
            </w:pPr>
          </w:p>
        </w:tc>
        <w:tc>
          <w:tcPr>
            <w:tcW w:w="1115" w:type="dxa"/>
            <w:vAlign w:val="center"/>
          </w:tcPr>
          <w:p>
            <w:pPr>
              <w:jc w:val="center"/>
              <w:rPr>
                <w:szCs w:val="21"/>
              </w:rPr>
            </w:pPr>
            <w:r>
              <w:rPr>
                <w:rFonts w:hint="eastAsia"/>
                <w:color w:val="000000"/>
                <w:szCs w:val="21"/>
              </w:rPr>
              <w:t>2</w:t>
            </w:r>
          </w:p>
        </w:tc>
        <w:tc>
          <w:tcPr>
            <w:tcW w:w="932" w:type="dxa"/>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41" w:type="dxa"/>
            <w:vAlign w:val="center"/>
          </w:tcPr>
          <w:p>
            <w:pPr>
              <w:jc w:val="center"/>
              <w:rPr>
                <w:b/>
                <w:bCs/>
                <w:color w:val="000000"/>
                <w:szCs w:val="21"/>
              </w:rPr>
            </w:pPr>
            <w:r>
              <w:rPr>
                <w:rFonts w:hint="eastAsia"/>
                <w:b/>
                <w:bCs/>
                <w:color w:val="000000"/>
                <w:szCs w:val="21"/>
              </w:rPr>
              <w:t>其他要求</w:t>
            </w:r>
          </w:p>
        </w:tc>
        <w:tc>
          <w:tcPr>
            <w:tcW w:w="7454" w:type="dxa"/>
            <w:gridSpan w:val="5"/>
            <w:vAlign w:val="center"/>
          </w:tcPr>
          <w:p>
            <w:pPr>
              <w:spacing w:line="320" w:lineRule="exact"/>
              <w:rPr>
                <w:color w:val="000000"/>
                <w:szCs w:val="21"/>
              </w:rPr>
            </w:pPr>
            <w:r>
              <w:rPr>
                <w:rFonts w:hint="eastAsia"/>
                <w:color w:val="000000"/>
                <w:szCs w:val="21"/>
              </w:rPr>
              <w:t>旧变频器拆除，新变频器及配套附件的安装调试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1" w:type="dxa"/>
            <w:vAlign w:val="center"/>
          </w:tcPr>
          <w:p>
            <w:pPr>
              <w:jc w:val="center"/>
              <w:rPr>
                <w:b/>
                <w:bCs/>
                <w:color w:val="000000"/>
                <w:szCs w:val="21"/>
              </w:rPr>
            </w:pPr>
            <w:r>
              <w:rPr>
                <w:rFonts w:hint="eastAsia"/>
                <w:b/>
                <w:bCs/>
                <w:color w:val="000000"/>
                <w:szCs w:val="21"/>
              </w:rPr>
              <w:t>运输方式</w:t>
            </w:r>
          </w:p>
          <w:p>
            <w:pPr>
              <w:jc w:val="center"/>
              <w:rPr>
                <w:b/>
                <w:bCs/>
                <w:color w:val="000000"/>
                <w:szCs w:val="21"/>
              </w:rPr>
            </w:pPr>
            <w:r>
              <w:rPr>
                <w:rFonts w:hint="eastAsia"/>
                <w:b/>
                <w:bCs/>
                <w:color w:val="000000"/>
                <w:szCs w:val="21"/>
              </w:rPr>
              <w:t>及运费承担</w:t>
            </w:r>
          </w:p>
        </w:tc>
        <w:tc>
          <w:tcPr>
            <w:tcW w:w="7454" w:type="dxa"/>
            <w:gridSpan w:val="5"/>
            <w:vAlign w:val="center"/>
          </w:tcPr>
          <w:p>
            <w:pPr>
              <w:spacing w:line="320" w:lineRule="exact"/>
              <w:rPr>
                <w:szCs w:val="21"/>
              </w:rPr>
            </w:pPr>
            <w:r>
              <w:rPr>
                <w:rFonts w:hint="eastAsia"/>
                <w:color w:val="000000"/>
                <w:szCs w:val="21"/>
              </w:rPr>
              <w:t>运输方式为汽运零担，运费由卖方承担。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1" w:type="dxa"/>
            <w:vAlign w:val="center"/>
          </w:tcPr>
          <w:p>
            <w:pPr>
              <w:jc w:val="center"/>
              <w:rPr>
                <w:color w:val="000000"/>
                <w:szCs w:val="21"/>
              </w:rPr>
            </w:pPr>
            <w:r>
              <w:rPr>
                <w:rFonts w:hint="eastAsia"/>
                <w:b/>
                <w:bCs/>
                <w:color w:val="000000"/>
                <w:sz w:val="22"/>
                <w:szCs w:val="22"/>
              </w:rPr>
              <w:t>总价</w:t>
            </w:r>
          </w:p>
        </w:tc>
        <w:tc>
          <w:tcPr>
            <w:tcW w:w="7454" w:type="dxa"/>
            <w:gridSpan w:val="5"/>
            <w:vAlign w:val="center"/>
          </w:tcPr>
          <w:p>
            <w:pPr>
              <w:spacing w:line="320" w:lineRule="exact"/>
              <w:rPr>
                <w:color w:val="000000"/>
                <w:szCs w:val="21"/>
              </w:rPr>
            </w:pPr>
            <w:r>
              <w:rPr>
                <w:rFonts w:hint="eastAsia"/>
                <w:b/>
                <w:bCs/>
                <w:color w:val="000000"/>
                <w:sz w:val="22"/>
                <w:szCs w:val="22"/>
              </w:rPr>
              <w:t>（含税和运费)                       ￥</w:t>
            </w:r>
          </w:p>
        </w:tc>
      </w:tr>
    </w:tbl>
    <w:p>
      <w:pPr>
        <w:rPr>
          <w:i/>
          <w:iCs/>
          <w:color w:val="000000"/>
          <w:sz w:val="20"/>
        </w:rPr>
      </w:pPr>
      <w:r>
        <w:rPr>
          <w:rFonts w:hint="eastAsia"/>
          <w:b/>
          <w:bCs/>
          <w:color w:val="000000"/>
          <w:sz w:val="24"/>
        </w:rPr>
        <w:t xml:space="preserve">                                                          </w:t>
      </w:r>
      <w:r>
        <w:rPr>
          <w:rFonts w:hint="eastAsia"/>
          <w:b/>
          <w:bCs/>
          <w:color w:val="000000"/>
          <w:sz w:val="20"/>
        </w:rPr>
        <w:t xml:space="preserve"> </w:t>
      </w:r>
      <w:r>
        <w:rPr>
          <w:rFonts w:hint="eastAsia"/>
          <w:i/>
          <w:iCs/>
          <w:color w:val="000000"/>
          <w:sz w:val="20"/>
        </w:rPr>
        <w:t>币种：人民币</w:t>
      </w:r>
    </w:p>
    <w:p>
      <w:pPr>
        <w:numPr>
          <w:ilvl w:val="255"/>
          <w:numId w:val="0"/>
        </w:numPr>
        <w:spacing w:line="460" w:lineRule="exact"/>
        <w:rPr>
          <w:color w:val="000000"/>
          <w:sz w:val="24"/>
        </w:rPr>
      </w:pPr>
      <w:r>
        <w:rPr>
          <w:rFonts w:hint="eastAsia"/>
          <w:b/>
          <w:bCs/>
          <w:color w:val="000000"/>
          <w:sz w:val="24"/>
        </w:rPr>
        <w:t>第三条  款项的给付</w:t>
      </w:r>
    </w:p>
    <w:p>
      <w:pPr>
        <w:numPr>
          <w:ilvl w:val="255"/>
          <w:numId w:val="0"/>
        </w:numPr>
        <w:spacing w:line="460" w:lineRule="exact"/>
        <w:ind w:left="210"/>
        <w:rPr>
          <w:rFonts w:ascii="宋体" w:hAnsi="宋体" w:cs="宋体"/>
          <w:color w:val="000000"/>
          <w:sz w:val="24"/>
        </w:rPr>
      </w:pPr>
      <w:r>
        <w:rPr>
          <w:rFonts w:hint="eastAsia" w:ascii="宋体" w:hAnsi="宋体" w:cs="宋体"/>
          <w:color w:val="000000"/>
          <w:sz w:val="24"/>
        </w:rPr>
        <w:t>1.本合同的全部货款为人民币（大写</w:t>
      </w:r>
      <w:r>
        <w:rPr>
          <w:rFonts w:hint="eastAsia" w:ascii="宋体" w:hAnsi="宋体" w:cs="宋体"/>
          <w:b/>
          <w:color w:val="000000"/>
          <w:sz w:val="24"/>
        </w:rPr>
        <w:t>）</w:t>
      </w:r>
      <w:r>
        <w:rPr>
          <w:rFonts w:hint="eastAsia" w:ascii="宋体" w:hAnsi="宋体" w:cs="宋体"/>
          <w:b/>
          <w:color w:val="000000"/>
          <w:sz w:val="24"/>
          <w:u w:val="single"/>
        </w:rPr>
        <w:t xml:space="preserve">         </w:t>
      </w:r>
      <w:r>
        <w:rPr>
          <w:rFonts w:hint="eastAsia" w:ascii="宋体" w:hAnsi="宋体" w:cs="宋体"/>
          <w:color w:val="000000"/>
          <w:sz w:val="24"/>
        </w:rPr>
        <w:t>（小写</w:t>
      </w:r>
      <w:r>
        <w:rPr>
          <w:rFonts w:hint="eastAsia" w:ascii="宋体" w:hAnsi="宋体" w:cs="宋体"/>
          <w:b/>
          <w:bCs/>
          <w:color w:val="000000"/>
          <w:sz w:val="24"/>
        </w:rPr>
        <w:t xml:space="preserve">￥： </w:t>
      </w:r>
      <w:r>
        <w:rPr>
          <w:rFonts w:hint="eastAsia" w:ascii="宋体" w:hAnsi="宋体" w:cs="宋体"/>
          <w:b/>
          <w:bCs/>
          <w:color w:val="000000"/>
          <w:sz w:val="24"/>
          <w:u w:val="single"/>
        </w:rPr>
        <w:t xml:space="preserve">       </w:t>
      </w:r>
      <w:r>
        <w:rPr>
          <w:rFonts w:hint="eastAsia" w:ascii="宋体" w:hAnsi="宋体" w:cs="宋体"/>
          <w:b/>
          <w:bCs/>
          <w:color w:val="000000"/>
          <w:sz w:val="24"/>
        </w:rPr>
        <w:t xml:space="preserve"> </w:t>
      </w:r>
      <w:r>
        <w:rPr>
          <w:rFonts w:hint="eastAsia" w:ascii="宋体" w:hAnsi="宋体" w:cs="宋体"/>
          <w:color w:val="000000"/>
          <w:sz w:val="24"/>
        </w:rPr>
        <w:t>）。此金额为总价款，包括货款、关税、运费、13%增值税等履行本协议发生的一切费用。</w:t>
      </w:r>
    </w:p>
    <w:p>
      <w:pPr>
        <w:numPr>
          <w:ilvl w:val="255"/>
          <w:numId w:val="0"/>
        </w:numPr>
        <w:spacing w:line="460" w:lineRule="exact"/>
        <w:ind w:left="210"/>
        <w:rPr>
          <w:rFonts w:ascii="宋体" w:hAnsi="宋体" w:cs="宋体"/>
          <w:sz w:val="24"/>
        </w:rPr>
      </w:pPr>
      <w:r>
        <w:rPr>
          <w:rFonts w:hint="eastAsia" w:ascii="宋体" w:hAnsi="宋体" w:cs="宋体"/>
          <w:color w:val="000000"/>
          <w:sz w:val="24"/>
        </w:rPr>
        <w:t>2.本合同经双方确认签字盖章后，发生法律效力。合同签订后买方向卖方支付30%订金（￥</w:t>
      </w:r>
      <w:r>
        <w:rPr>
          <w:rFonts w:hint="eastAsia" w:ascii="宋体" w:hAnsi="宋体" w:cs="宋体"/>
          <w:color w:val="000000"/>
          <w:sz w:val="24"/>
          <w:u w:val="single"/>
        </w:rPr>
        <w:t xml:space="preserve">     </w:t>
      </w:r>
      <w:r>
        <w:rPr>
          <w:rFonts w:hint="eastAsia" w:ascii="宋体" w:hAnsi="宋体" w:cs="宋体"/>
          <w:color w:val="000000"/>
          <w:sz w:val="24"/>
        </w:rPr>
        <w:t>）后</w:t>
      </w:r>
      <w:r>
        <w:rPr>
          <w:rFonts w:hint="eastAsia" w:ascii="宋体" w:hAnsi="宋体" w:cs="宋体"/>
          <w:sz w:val="24"/>
        </w:rPr>
        <w:t>卖方组织生产，发货前买方支付进度款60%（￥</w:t>
      </w:r>
      <w:r>
        <w:rPr>
          <w:rFonts w:hint="eastAsia" w:ascii="宋体" w:hAnsi="宋体" w:cs="宋体"/>
          <w:sz w:val="24"/>
          <w:u w:val="single"/>
        </w:rPr>
        <w:t xml:space="preserve">     </w:t>
      </w:r>
      <w:r>
        <w:rPr>
          <w:rFonts w:hint="eastAsia" w:ascii="宋体" w:hAnsi="宋体" w:cs="宋体"/>
          <w:sz w:val="24"/>
        </w:rPr>
        <w:t>）后卖方将货物发出买房收到货物后开箱检验，指定卖方在规定</w:t>
      </w:r>
      <w:r>
        <w:rPr>
          <w:rFonts w:hint="eastAsia" w:ascii="宋体" w:hAnsi="宋体" w:cs="宋体"/>
          <w:sz w:val="24"/>
          <w:u w:val="single"/>
        </w:rPr>
        <w:t xml:space="preserve">     </w:t>
      </w:r>
      <w:r>
        <w:rPr>
          <w:rFonts w:hint="eastAsia" w:ascii="宋体" w:hAnsi="宋体" w:cs="宋体"/>
          <w:sz w:val="24"/>
        </w:rPr>
        <w:t>日期到买方指定地点安装调试。安装调试验收合格后支付10%尾款（￥</w:t>
      </w:r>
      <w:r>
        <w:rPr>
          <w:rFonts w:hint="eastAsia" w:ascii="宋体" w:hAnsi="宋体" w:cs="宋体"/>
          <w:sz w:val="24"/>
          <w:u w:val="single"/>
        </w:rPr>
        <w:t xml:space="preserve">     </w:t>
      </w:r>
      <w:r>
        <w:rPr>
          <w:rFonts w:hint="eastAsia" w:ascii="宋体" w:hAnsi="宋体" w:cs="宋体"/>
          <w:sz w:val="24"/>
        </w:rPr>
        <w:t>）</w:t>
      </w:r>
    </w:p>
    <w:p>
      <w:pPr>
        <w:spacing w:line="460" w:lineRule="exact"/>
        <w:ind w:left="382"/>
        <w:rPr>
          <w:sz w:val="24"/>
        </w:rPr>
      </w:pPr>
    </w:p>
    <w:p>
      <w:pPr>
        <w:rPr>
          <w:b/>
          <w:bCs/>
          <w:color w:val="000000"/>
          <w:sz w:val="24"/>
        </w:rPr>
      </w:pPr>
      <w:r>
        <w:rPr>
          <w:rFonts w:hint="eastAsia"/>
          <w:b/>
          <w:bCs/>
          <w:color w:val="000000"/>
          <w:sz w:val="24"/>
        </w:rPr>
        <w:t>第四条   产品交付</w:t>
      </w:r>
    </w:p>
    <w:p>
      <w:pPr>
        <w:spacing w:line="460" w:lineRule="exact"/>
        <w:ind w:firstLine="240" w:firstLineChars="100"/>
        <w:rPr>
          <w:b/>
          <w:bCs/>
          <w:color w:val="000000"/>
          <w:sz w:val="24"/>
        </w:rPr>
      </w:pPr>
      <w:r>
        <w:rPr>
          <w:rFonts w:hint="eastAsia" w:ascii="宋体" w:hAnsi="宋体"/>
          <w:color w:val="000000"/>
          <w:sz w:val="24"/>
        </w:rPr>
        <w:t>1.合</w:t>
      </w:r>
      <w:r>
        <w:rPr>
          <w:rFonts w:hint="eastAsia"/>
          <w:color w:val="000000"/>
          <w:sz w:val="24"/>
        </w:rPr>
        <w:t>同交货期为合同签订后</w:t>
      </w:r>
      <w:r>
        <w:rPr>
          <w:rFonts w:hint="eastAsia"/>
          <w:color w:val="000000"/>
          <w:sz w:val="24"/>
          <w:u w:val="single"/>
        </w:rPr>
        <w:t xml:space="preserve"> 4 </w:t>
      </w:r>
      <w:r>
        <w:rPr>
          <w:rFonts w:hint="eastAsia"/>
          <w:color w:val="000000"/>
          <w:sz w:val="24"/>
        </w:rPr>
        <w:t>周内到，由卖方将设备运至买方指定地点。</w:t>
      </w:r>
    </w:p>
    <w:p>
      <w:pPr>
        <w:tabs>
          <w:tab w:val="left" w:pos="0"/>
        </w:tabs>
        <w:autoSpaceDE w:val="0"/>
        <w:autoSpaceDN w:val="0"/>
        <w:adjustRightInd w:val="0"/>
        <w:spacing w:line="500" w:lineRule="exact"/>
        <w:ind w:firstLine="240" w:firstLineChars="100"/>
        <w:rPr>
          <w:rFonts w:ascii="宋体" w:hAnsi="宋体" w:cs="宋体"/>
          <w:color w:val="000000"/>
          <w:kern w:val="0"/>
          <w:sz w:val="24"/>
        </w:rPr>
      </w:pPr>
      <w:r>
        <w:rPr>
          <w:rFonts w:hint="eastAsia" w:ascii="宋体" w:hAnsi="宋体"/>
          <w:color w:val="000000"/>
          <w:sz w:val="24"/>
        </w:rPr>
        <w:t>2.</w:t>
      </w:r>
      <w:r>
        <w:rPr>
          <w:rFonts w:hint="eastAsia" w:ascii="宋体" w:hAnsi="宋体" w:cs="宋体"/>
          <w:color w:val="000000"/>
          <w:kern w:val="0"/>
          <w:sz w:val="24"/>
        </w:rPr>
        <w:t>交货地点：岳阳城陵矶新港有限公司。</w:t>
      </w:r>
    </w:p>
    <w:p>
      <w:pPr>
        <w:tabs>
          <w:tab w:val="left" w:pos="540"/>
        </w:tabs>
        <w:autoSpaceDE w:val="0"/>
        <w:autoSpaceDN w:val="0"/>
        <w:adjustRightInd w:val="0"/>
        <w:spacing w:line="500" w:lineRule="exact"/>
        <w:ind w:firstLine="240" w:firstLineChars="100"/>
        <w:rPr>
          <w:rFonts w:ascii="宋体" w:hAnsi="宋体" w:cs="宋体"/>
          <w:color w:val="000000"/>
          <w:kern w:val="0"/>
          <w:sz w:val="24"/>
          <w:u w:val="single"/>
        </w:rPr>
      </w:pPr>
      <w:r>
        <w:rPr>
          <w:rFonts w:hint="eastAsia" w:ascii="宋体" w:hAnsi="宋体" w:cs="宋体"/>
          <w:color w:val="000000"/>
          <w:kern w:val="0"/>
          <w:sz w:val="24"/>
        </w:rPr>
        <w:t>3. 包装方式：卖方应当严格执行现行包装标准,确保设备无任何损毁瑕疵，包装费用由卖方承担。</w:t>
      </w:r>
    </w:p>
    <w:p>
      <w:pPr>
        <w:tabs>
          <w:tab w:val="left" w:pos="0"/>
        </w:tabs>
        <w:autoSpaceDE w:val="0"/>
        <w:autoSpaceDN w:val="0"/>
        <w:adjustRightInd w:val="0"/>
        <w:spacing w:line="500" w:lineRule="exact"/>
        <w:ind w:firstLine="240" w:firstLineChars="100"/>
        <w:rPr>
          <w:rFonts w:ascii="宋体" w:hAnsi="宋体" w:cs="宋体"/>
          <w:color w:val="000000"/>
          <w:kern w:val="0"/>
          <w:sz w:val="24"/>
        </w:rPr>
      </w:pPr>
      <w:r>
        <w:rPr>
          <w:rFonts w:hint="eastAsia" w:ascii="宋体" w:hAnsi="宋体" w:cs="宋体"/>
          <w:color w:val="000000"/>
          <w:kern w:val="0"/>
          <w:sz w:val="24"/>
        </w:rPr>
        <w:t xml:space="preserve">4. 产品在运送至买方指定地点并经买方验收合格之前的毁损、灭失的风险由卖方承担。   </w:t>
      </w:r>
    </w:p>
    <w:p>
      <w:pPr>
        <w:spacing w:line="460" w:lineRule="atLeast"/>
        <w:ind w:firstLine="240" w:firstLineChars="100"/>
        <w:rPr>
          <w:rFonts w:ascii="宋体" w:hAnsi="宋体"/>
          <w:color w:val="000000"/>
          <w:sz w:val="24"/>
        </w:rPr>
      </w:pPr>
      <w:r>
        <w:rPr>
          <w:rFonts w:hint="eastAsia" w:ascii="宋体" w:hAnsi="宋体"/>
          <w:color w:val="000000"/>
          <w:sz w:val="24"/>
        </w:rPr>
        <w:t>5、交付:产品运送至买方指定地点，买方接收后并经买方查验合格，交由卖方安装调试验收合格，视为卖方已交付。</w:t>
      </w:r>
    </w:p>
    <w:p>
      <w:pPr>
        <w:spacing w:line="460" w:lineRule="atLeast"/>
        <w:ind w:firstLine="480" w:firstLineChars="200"/>
        <w:rPr>
          <w:rFonts w:ascii="宋体" w:hAnsi="宋体"/>
          <w:color w:val="000000"/>
          <w:sz w:val="24"/>
        </w:rPr>
      </w:pPr>
    </w:p>
    <w:p>
      <w:pPr>
        <w:spacing w:line="460" w:lineRule="atLeast"/>
        <w:rPr>
          <w:b/>
          <w:bCs/>
          <w:color w:val="000000"/>
          <w:sz w:val="24"/>
        </w:rPr>
      </w:pPr>
      <w:r>
        <w:rPr>
          <w:rFonts w:hint="eastAsia"/>
          <w:b/>
          <w:bCs/>
          <w:color w:val="000000"/>
          <w:sz w:val="24"/>
        </w:rPr>
        <w:t>第五条  产品质量异议及保修</w:t>
      </w:r>
    </w:p>
    <w:p>
      <w:pPr>
        <w:numPr>
          <w:ilvl w:val="255"/>
          <w:numId w:val="0"/>
        </w:numPr>
        <w:spacing w:line="460" w:lineRule="atLeast"/>
        <w:ind w:firstLine="240" w:firstLineChars="100"/>
        <w:rPr>
          <w:rFonts w:ascii="宋体" w:hAnsi="宋体" w:cs="宋体"/>
          <w:color w:val="000000"/>
          <w:sz w:val="24"/>
        </w:rPr>
      </w:pPr>
      <w:r>
        <w:rPr>
          <w:rFonts w:hint="eastAsia" w:ascii="宋体" w:hAnsi="宋体" w:cs="宋体"/>
          <w:color w:val="000000"/>
          <w:kern w:val="0"/>
          <w:sz w:val="24"/>
        </w:rPr>
        <w:t>1.卖方应保证合同项下所供货物是合同签订之后生产的、全新、未使用过的；</w:t>
      </w:r>
    </w:p>
    <w:p>
      <w:pPr>
        <w:numPr>
          <w:ilvl w:val="255"/>
          <w:numId w:val="0"/>
        </w:numPr>
        <w:spacing w:line="460" w:lineRule="atLeast"/>
        <w:ind w:firstLine="240" w:firstLineChars="100"/>
        <w:rPr>
          <w:rFonts w:ascii="宋体" w:hAnsi="宋体" w:cs="宋体"/>
          <w:color w:val="000000"/>
          <w:sz w:val="24"/>
        </w:rPr>
      </w:pPr>
      <w:r>
        <w:rPr>
          <w:rFonts w:hint="eastAsia" w:ascii="宋体" w:hAnsi="宋体" w:cs="宋体"/>
          <w:color w:val="000000"/>
          <w:sz w:val="24"/>
        </w:rPr>
        <w:t>2.对除上述货品表面情况及数量外的其他质量异议，买方应在产品验收合格之日起7日内以书面形式向卖方提出，经卖方查验属实的，负担补救责任。</w:t>
      </w:r>
    </w:p>
    <w:p>
      <w:pPr>
        <w:numPr>
          <w:ilvl w:val="255"/>
          <w:numId w:val="0"/>
        </w:numPr>
        <w:spacing w:line="460" w:lineRule="atLeast"/>
        <w:ind w:firstLine="240" w:firstLineChars="100"/>
        <w:rPr>
          <w:rFonts w:ascii="宋体" w:hAnsi="宋体" w:cs="宋体"/>
          <w:color w:val="000000"/>
          <w:sz w:val="24"/>
        </w:rPr>
      </w:pPr>
      <w:r>
        <w:rPr>
          <w:rFonts w:hint="eastAsia" w:ascii="宋体" w:hAnsi="宋体" w:cs="宋体"/>
          <w:color w:val="000000"/>
          <w:sz w:val="24"/>
        </w:rPr>
        <w:t>3.卖方承诺，自买方验收产品合格后的1年内，除使用不当所造成的损坏以外的影响产品正常使用的质量问题，卖方应在收到买方通知后_2_日内免费负责修复或更换。</w:t>
      </w:r>
    </w:p>
    <w:p>
      <w:pPr>
        <w:spacing w:line="460" w:lineRule="atLeast"/>
        <w:ind w:left="600"/>
        <w:rPr>
          <w:color w:val="000000"/>
          <w:sz w:val="24"/>
        </w:rPr>
      </w:pPr>
    </w:p>
    <w:p>
      <w:pPr>
        <w:spacing w:line="460" w:lineRule="atLeast"/>
        <w:rPr>
          <w:rFonts w:ascii="宋体" w:hAnsi="宋体" w:cs="宋体"/>
          <w:color w:val="000000"/>
          <w:kern w:val="0"/>
          <w:sz w:val="24"/>
        </w:rPr>
      </w:pPr>
      <w:r>
        <w:rPr>
          <w:rFonts w:hint="eastAsia"/>
          <w:b/>
          <w:bCs/>
          <w:color w:val="000000"/>
          <w:sz w:val="24"/>
        </w:rPr>
        <w:t>第六条  产品安装、调试</w:t>
      </w:r>
    </w:p>
    <w:p>
      <w:pPr>
        <w:autoSpaceDE w:val="0"/>
        <w:autoSpaceDN w:val="0"/>
        <w:adjustRightInd w:val="0"/>
        <w:spacing w:line="500" w:lineRule="exact"/>
        <w:ind w:firstLine="240" w:firstLineChars="100"/>
        <w:rPr>
          <w:rFonts w:ascii="宋体" w:hAnsi="宋体" w:cs="宋体"/>
          <w:color w:val="000000"/>
          <w:kern w:val="0"/>
          <w:sz w:val="24"/>
        </w:rPr>
      </w:pPr>
      <w:r>
        <w:rPr>
          <w:rFonts w:hint="eastAsia" w:ascii="宋体" w:hAnsi="宋体" w:cs="宋体"/>
          <w:color w:val="000000"/>
          <w:kern w:val="0"/>
          <w:sz w:val="24"/>
        </w:rPr>
        <w:t>1.卖方应当与买方保持沟通，在货到买方指定现场之日后，由买卖双方协商确定安装调试的日期的</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日内，派遣技术人员按合同规定完成设备的安装和调试工作，并对买方人员进行为期不少于</w:t>
      </w:r>
      <w:r>
        <w:rPr>
          <w:rFonts w:hint="eastAsia" w:ascii="宋体" w:hAnsi="宋体" w:cs="宋体"/>
          <w:color w:val="000000"/>
          <w:kern w:val="0"/>
          <w:sz w:val="24"/>
          <w:u w:val="single"/>
        </w:rPr>
        <w:t xml:space="preserve"> 2 </w:t>
      </w:r>
      <w:r>
        <w:rPr>
          <w:rFonts w:hint="eastAsia" w:ascii="宋体" w:hAnsi="宋体" w:cs="宋体"/>
          <w:color w:val="000000"/>
          <w:kern w:val="0"/>
          <w:sz w:val="24"/>
        </w:rPr>
        <w:t>日的技术指导和现场培训，保证使设备达到预定的性能指标。</w:t>
      </w:r>
    </w:p>
    <w:p>
      <w:pPr>
        <w:autoSpaceDE w:val="0"/>
        <w:autoSpaceDN w:val="0"/>
        <w:adjustRightInd w:val="0"/>
        <w:spacing w:line="500" w:lineRule="exact"/>
        <w:ind w:firstLine="240" w:firstLineChars="100"/>
        <w:rPr>
          <w:rFonts w:ascii="宋体" w:hAnsi="宋体" w:cs="宋体"/>
          <w:color w:val="000000"/>
          <w:kern w:val="0"/>
          <w:sz w:val="24"/>
        </w:rPr>
      </w:pPr>
      <w:r>
        <w:rPr>
          <w:rFonts w:hint="eastAsia" w:ascii="宋体" w:hAnsi="宋体" w:cs="宋体"/>
          <w:color w:val="000000"/>
          <w:kern w:val="0"/>
          <w:sz w:val="24"/>
        </w:rPr>
        <w:t>2.在安装调试过程中，买方应提供各种配合条件和所需辅助人员，协助卖方技术人员进行安装、调试和其他辅助工作。</w:t>
      </w:r>
    </w:p>
    <w:p>
      <w:pPr>
        <w:spacing w:line="460" w:lineRule="atLeast"/>
        <w:rPr>
          <w:color w:val="000000"/>
          <w:sz w:val="24"/>
        </w:rPr>
      </w:pPr>
    </w:p>
    <w:p>
      <w:pPr>
        <w:spacing w:line="460" w:lineRule="exact"/>
        <w:rPr>
          <w:b/>
          <w:bCs/>
          <w:color w:val="000000"/>
          <w:sz w:val="24"/>
        </w:rPr>
      </w:pPr>
      <w:r>
        <w:rPr>
          <w:rFonts w:hint="eastAsia"/>
          <w:b/>
          <w:bCs/>
          <w:color w:val="000000"/>
          <w:sz w:val="24"/>
        </w:rPr>
        <w:t>第七条 违约责任</w:t>
      </w:r>
    </w:p>
    <w:p>
      <w:pPr>
        <w:spacing w:line="360" w:lineRule="auto"/>
        <w:ind w:firstLine="240" w:firstLineChars="100"/>
        <w:rPr>
          <w:rFonts w:ascii="宋体" w:hAnsi="宋体"/>
          <w:color w:val="000000"/>
          <w:sz w:val="24"/>
        </w:rPr>
      </w:pPr>
      <w:r>
        <w:rPr>
          <w:rFonts w:hint="eastAsia" w:ascii="宋体" w:hAnsi="宋体"/>
          <w:color w:val="000000"/>
          <w:sz w:val="24"/>
        </w:rPr>
        <w:t xml:space="preserve">1.卖方超过合同约定交货日期按逾期交货处理，违约金按逾期交货部分货款的  </w:t>
      </w:r>
      <w:r>
        <w:rPr>
          <w:rFonts w:hint="eastAsia" w:ascii="宋体" w:hAnsi="宋体"/>
          <w:color w:val="000000"/>
          <w:sz w:val="24"/>
          <w:u w:val="single"/>
        </w:rPr>
        <w:t xml:space="preserve">0.2 </w:t>
      </w:r>
      <w:r>
        <w:rPr>
          <w:rFonts w:hint="eastAsia" w:ascii="宋体" w:hAnsi="宋体"/>
          <w:color w:val="000000"/>
          <w:sz w:val="24"/>
        </w:rPr>
        <w:t>%/日向买方赔付%。逾期交货超过15日的，买方有权解除合同，买方已付款项，卖方予以退还，并按合同总额的20%向买方承担违约金，违约金不足以弥补买方损失的，买方有权继续追偿。</w:t>
      </w:r>
    </w:p>
    <w:p>
      <w:pPr>
        <w:spacing w:line="360" w:lineRule="auto"/>
        <w:ind w:firstLine="240" w:firstLineChars="100"/>
        <w:rPr>
          <w:rFonts w:ascii="宋体" w:hAnsi="宋体"/>
          <w:color w:val="000000"/>
          <w:sz w:val="24"/>
        </w:rPr>
      </w:pPr>
      <w:r>
        <w:rPr>
          <w:rFonts w:hint="eastAsia" w:ascii="宋体" w:hAnsi="宋体"/>
          <w:color w:val="000000"/>
          <w:sz w:val="24"/>
        </w:rPr>
        <w:t xml:space="preserve">2.卖方明确表示或者以自己的行为表明不能交货的，违约金按不能交货部分货款的 </w:t>
      </w:r>
      <w:r>
        <w:rPr>
          <w:rFonts w:hint="eastAsia" w:ascii="宋体" w:hAnsi="宋体"/>
          <w:color w:val="000000"/>
          <w:sz w:val="24"/>
          <w:u w:val="single"/>
        </w:rPr>
        <w:t>5</w:t>
      </w:r>
      <w:r>
        <w:rPr>
          <w:rFonts w:hint="eastAsia" w:ascii="宋体" w:hAnsi="宋体"/>
          <w:color w:val="000000"/>
          <w:sz w:val="24"/>
        </w:rPr>
        <w:t xml:space="preserve"> %向买方赔付，并承担买方因此所受的损失费用。</w:t>
      </w:r>
    </w:p>
    <w:p>
      <w:pPr>
        <w:spacing w:line="360" w:lineRule="auto"/>
        <w:ind w:firstLine="240" w:firstLineChars="100"/>
        <w:rPr>
          <w:rFonts w:ascii="宋体" w:hAnsi="宋体"/>
          <w:color w:val="000000"/>
          <w:sz w:val="24"/>
        </w:rPr>
      </w:pPr>
      <w:r>
        <w:rPr>
          <w:rFonts w:hint="eastAsia" w:ascii="宋体" w:hAnsi="宋体"/>
          <w:color w:val="000000"/>
          <w:sz w:val="24"/>
        </w:rPr>
        <w:t>3.卖方所交产品不符合合同规定的，由卖方按照买方要求负责包换或维修，并承担修理、调换或退货支付的实际费用，卖方不能修理或调换，按不能交货处理。买方另行向第三方购买产品所导致的损失由卖方承担。</w:t>
      </w:r>
    </w:p>
    <w:p>
      <w:pPr>
        <w:spacing w:line="360" w:lineRule="auto"/>
        <w:ind w:firstLine="240" w:firstLineChars="100"/>
        <w:rPr>
          <w:rFonts w:ascii="宋体" w:hAnsi="宋体"/>
          <w:color w:val="000000"/>
          <w:sz w:val="24"/>
        </w:rPr>
      </w:pPr>
      <w:r>
        <w:rPr>
          <w:rFonts w:hint="eastAsia" w:ascii="宋体" w:hAnsi="宋体"/>
          <w:color w:val="000000"/>
          <w:sz w:val="24"/>
        </w:rPr>
        <w:t>4.卖方如提供冒牌产品，一经确认，买方有权取消卖方供货资格，卖方按照合同总价的2倍向买方赔偿，并承担买方因此遭受的所有损失。同时追究卖方相关法律责任。</w:t>
      </w:r>
    </w:p>
    <w:p>
      <w:pPr>
        <w:pStyle w:val="36"/>
      </w:pPr>
    </w:p>
    <w:p>
      <w:pPr>
        <w:rPr>
          <w:b/>
          <w:bCs/>
          <w:color w:val="000000"/>
          <w:sz w:val="24"/>
        </w:rPr>
      </w:pPr>
      <w:r>
        <w:rPr>
          <w:rFonts w:hint="eastAsia"/>
          <w:b/>
          <w:bCs/>
          <w:color w:val="000000"/>
          <w:sz w:val="24"/>
        </w:rPr>
        <w:t>第八条   争议的解决</w:t>
      </w:r>
    </w:p>
    <w:p>
      <w:pPr>
        <w:pStyle w:val="14"/>
        <w:ind w:firstLine="240" w:firstLineChars="100"/>
        <w:rPr>
          <w:color w:val="000000"/>
          <w:sz w:val="24"/>
          <w:szCs w:val="32"/>
        </w:rPr>
      </w:pPr>
      <w:r>
        <w:rPr>
          <w:rFonts w:hint="eastAsia"/>
          <w:color w:val="000000"/>
          <w:sz w:val="24"/>
          <w:szCs w:val="32"/>
        </w:rPr>
        <w:t>凡因本合同产生或引发的任何争议，应由双方协商解决。若协商不成，任何一方均有权向买方所在地的有管辖权的人民法院提出诉讼。</w:t>
      </w:r>
    </w:p>
    <w:p>
      <w:pPr>
        <w:pStyle w:val="14"/>
        <w:ind w:left="479" w:leftChars="228" w:firstLine="0"/>
        <w:rPr>
          <w:color w:val="000000"/>
        </w:rPr>
      </w:pPr>
    </w:p>
    <w:p>
      <w:pPr>
        <w:rPr>
          <w:b/>
          <w:bCs/>
          <w:color w:val="000000"/>
          <w:sz w:val="24"/>
        </w:rPr>
      </w:pPr>
      <w:r>
        <w:rPr>
          <w:rFonts w:hint="eastAsia"/>
          <w:b/>
          <w:bCs/>
          <w:color w:val="000000"/>
          <w:sz w:val="24"/>
        </w:rPr>
        <w:t>第九条   附则</w:t>
      </w:r>
    </w:p>
    <w:p>
      <w:pPr>
        <w:numPr>
          <w:ilvl w:val="255"/>
          <w:numId w:val="0"/>
        </w:numPr>
        <w:spacing w:line="460" w:lineRule="exact"/>
        <w:ind w:firstLine="240" w:firstLineChars="100"/>
        <w:rPr>
          <w:rFonts w:ascii="宋体" w:hAnsi="宋体" w:cs="宋体"/>
          <w:color w:val="000000"/>
          <w:sz w:val="24"/>
        </w:rPr>
      </w:pPr>
      <w:r>
        <w:rPr>
          <w:rFonts w:hint="eastAsia" w:ascii="宋体" w:hAnsi="宋体" w:cs="宋体"/>
          <w:color w:val="000000"/>
          <w:sz w:val="24"/>
        </w:rPr>
        <w:t>1.本合同未尽事宜双方可另订补充协议，该补充协议与本合同具有同等法律效</w:t>
      </w:r>
    </w:p>
    <w:p>
      <w:pPr>
        <w:spacing w:line="460" w:lineRule="exact"/>
        <w:rPr>
          <w:rFonts w:ascii="宋体" w:hAnsi="宋体" w:cs="宋体"/>
          <w:color w:val="000000"/>
          <w:sz w:val="24"/>
        </w:rPr>
      </w:pPr>
      <w:r>
        <w:rPr>
          <w:rFonts w:hint="eastAsia" w:ascii="宋体" w:hAnsi="宋体" w:cs="宋体"/>
          <w:color w:val="000000"/>
          <w:sz w:val="24"/>
        </w:rPr>
        <w:t>力，是本合同不可分割的部分。</w:t>
      </w:r>
    </w:p>
    <w:p>
      <w:pPr>
        <w:spacing w:line="460" w:lineRule="exact"/>
        <w:ind w:firstLine="240" w:firstLineChars="100"/>
        <w:rPr>
          <w:color w:val="000000"/>
          <w:sz w:val="24"/>
        </w:rPr>
      </w:pPr>
      <w:r>
        <w:rPr>
          <w:rFonts w:hint="eastAsia" w:ascii="宋体" w:hAnsi="宋体" w:cs="宋体"/>
          <w:color w:val="000000"/>
          <w:sz w:val="24"/>
        </w:rPr>
        <w:t>2.本合同一式</w:t>
      </w:r>
      <w:r>
        <w:rPr>
          <w:rFonts w:hint="eastAsia" w:ascii="宋体" w:hAnsi="宋体" w:cs="宋体"/>
          <w:color w:val="000000"/>
          <w:sz w:val="24"/>
          <w:u w:val="single"/>
        </w:rPr>
        <w:t xml:space="preserve"> 3 </w:t>
      </w:r>
      <w:r>
        <w:rPr>
          <w:rFonts w:hint="eastAsia" w:ascii="宋体" w:hAnsi="宋体" w:cs="宋体"/>
          <w:color w:val="000000"/>
          <w:sz w:val="24"/>
        </w:rPr>
        <w:t>份,买方执</w:t>
      </w:r>
      <w:r>
        <w:rPr>
          <w:rFonts w:hint="eastAsia" w:ascii="宋体" w:hAnsi="宋体" w:cs="宋体"/>
          <w:color w:val="000000"/>
          <w:sz w:val="24"/>
          <w:u w:val="single"/>
        </w:rPr>
        <w:t xml:space="preserve"> 2</w:t>
      </w:r>
      <w:r>
        <w:rPr>
          <w:rFonts w:hint="eastAsia" w:ascii="宋体" w:hAnsi="宋体" w:cs="宋体"/>
          <w:color w:val="000000"/>
          <w:sz w:val="24"/>
        </w:rPr>
        <w:t xml:space="preserve">份，卖方执 </w:t>
      </w:r>
      <w:r>
        <w:rPr>
          <w:rFonts w:hint="eastAsia" w:ascii="宋体" w:hAnsi="宋体" w:cs="宋体"/>
          <w:color w:val="000000"/>
          <w:sz w:val="24"/>
          <w:u w:val="single"/>
        </w:rPr>
        <w:t xml:space="preserve"> 1 </w:t>
      </w:r>
      <w:r>
        <w:rPr>
          <w:rFonts w:hint="eastAsia" w:ascii="宋体" w:hAnsi="宋体" w:cs="宋体"/>
          <w:color w:val="000000"/>
          <w:sz w:val="24"/>
        </w:rPr>
        <w:t>份,经买卖双方授权代表签字盖章之时</w:t>
      </w:r>
      <w:r>
        <w:rPr>
          <w:rFonts w:hint="eastAsia"/>
          <w:color w:val="000000"/>
          <w:sz w:val="24"/>
        </w:rPr>
        <w:t>起生效。</w:t>
      </w:r>
    </w:p>
    <w:p>
      <w:pPr>
        <w:spacing w:line="460" w:lineRule="exact"/>
        <w:ind w:left="420"/>
        <w:rPr>
          <w:color w:val="000000"/>
          <w:sz w:val="24"/>
        </w:rPr>
      </w:pPr>
      <w:r>
        <w:rPr>
          <w:rFonts w:hint="eastAsia"/>
          <w:color w:val="000000"/>
          <w:sz w:val="24"/>
        </w:rPr>
        <w:t>（以下无正文，为《设备采购、安装合同》签署页）</w:t>
      </w:r>
    </w:p>
    <w:p>
      <w:pPr>
        <w:pStyle w:val="36"/>
      </w:pPr>
    </w:p>
    <w:p>
      <w:pPr>
        <w:ind w:left="840"/>
        <w:rPr>
          <w:color w:val="000000"/>
          <w:sz w:val="24"/>
        </w:rPr>
      </w:pPr>
      <w:r>
        <w:rPr>
          <w:rFonts w:hint="eastAsia"/>
          <w:color w:val="000000"/>
          <w:sz w:val="24"/>
        </w:rPr>
        <w:t>买方(盖章):                       卖方(盖章):</w:t>
      </w:r>
    </w:p>
    <w:p>
      <w:pPr>
        <w:ind w:left="840"/>
        <w:rPr>
          <w:color w:val="000000"/>
          <w:sz w:val="24"/>
        </w:rPr>
      </w:pPr>
    </w:p>
    <w:p>
      <w:pPr>
        <w:ind w:left="840"/>
        <w:rPr>
          <w:color w:val="000000"/>
          <w:sz w:val="24"/>
        </w:rPr>
      </w:pPr>
      <w:r>
        <w:rPr>
          <w:rFonts w:hint="eastAsia"/>
          <w:color w:val="000000"/>
          <w:sz w:val="24"/>
        </w:rPr>
        <w:t>授权代表(签名):                   授权代表(签名):</w:t>
      </w:r>
    </w:p>
    <w:p>
      <w:pPr>
        <w:pStyle w:val="36"/>
        <w:rPr>
          <w:color w:val="000000"/>
        </w:rPr>
      </w:pPr>
    </w:p>
    <w:p>
      <w:pPr>
        <w:pStyle w:val="36"/>
        <w:ind w:firstLine="1440" w:firstLineChars="600"/>
        <w:rPr>
          <w:color w:val="000000"/>
        </w:rPr>
      </w:pPr>
      <w:r>
        <w:rPr>
          <w:rFonts w:hint="eastAsia"/>
          <w:color w:val="000000"/>
        </w:rPr>
        <w:t>年   月   日                     年   月   日</w:t>
      </w:r>
    </w:p>
    <w:p>
      <w:pPr>
        <w:widowControl w:val="0"/>
        <w:adjustRightInd w:val="0"/>
        <w:snapToGrid w:val="0"/>
        <w:spacing w:line="312" w:lineRule="auto"/>
        <w:ind w:firstLine="480"/>
        <w:rPr>
          <w:rFonts w:ascii="宋体" w:hAnsi="宋体" w:cs="宋体"/>
          <w:sz w:val="24"/>
        </w:rPr>
      </w:pPr>
    </w:p>
    <w:p>
      <w:pPr>
        <w:widowControl w:val="0"/>
        <w:adjustRightInd w:val="0"/>
        <w:snapToGrid w:val="0"/>
        <w:spacing w:line="312" w:lineRule="auto"/>
        <w:ind w:firstLine="480"/>
        <w:rPr>
          <w:rFonts w:ascii="宋体" w:hAnsi="宋体"/>
          <w:sz w:val="24"/>
        </w:rPr>
      </w:pPr>
    </w:p>
    <w:p>
      <w:pPr>
        <w:widowControl w:val="0"/>
        <w:adjustRightInd w:val="0"/>
        <w:snapToGrid w:val="0"/>
        <w:spacing w:line="312" w:lineRule="auto"/>
        <w:ind w:firstLine="480"/>
        <w:jc w:val="both"/>
        <w:rPr>
          <w:rFonts w:ascii="宋体" w:hAnsi="宋体"/>
          <w:sz w:val="24"/>
        </w:rPr>
      </w:pPr>
    </w:p>
    <w:p>
      <w:pPr>
        <w:widowControl w:val="0"/>
        <w:adjustRightInd w:val="0"/>
        <w:snapToGrid w:val="0"/>
        <w:spacing w:line="312" w:lineRule="auto"/>
        <w:ind w:firstLine="480"/>
        <w:jc w:val="both"/>
        <w:rPr>
          <w:rFonts w:ascii="宋体" w:hAnsi="宋体"/>
          <w:sz w:val="24"/>
        </w:rPr>
      </w:pPr>
    </w:p>
    <w:p>
      <w:pPr>
        <w:widowControl w:val="0"/>
        <w:adjustRightInd w:val="0"/>
        <w:snapToGrid w:val="0"/>
        <w:spacing w:line="312" w:lineRule="auto"/>
        <w:ind w:firstLine="480"/>
        <w:jc w:val="both"/>
        <w:rPr>
          <w:rFonts w:ascii="宋体" w:hAnsi="宋体"/>
          <w:sz w:val="24"/>
        </w:rPr>
      </w:pPr>
    </w:p>
    <w:p>
      <w:pPr>
        <w:widowControl w:val="0"/>
        <w:snapToGrid w:val="0"/>
        <w:spacing w:line="240" w:lineRule="auto"/>
        <w:jc w:val="center"/>
        <w:outlineLvl w:val="2"/>
        <w:rPr>
          <w:rFonts w:ascii="黑体" w:hAnsi="黑体" w:eastAsia="黑体"/>
          <w:color w:val="110F0F"/>
          <w:w w:val="110"/>
          <w:sz w:val="32"/>
          <w:szCs w:val="32"/>
        </w:rPr>
      </w:pPr>
    </w:p>
    <w:p>
      <w:pPr>
        <w:widowControl w:val="0"/>
        <w:snapToGrid w:val="0"/>
        <w:spacing w:line="240" w:lineRule="auto"/>
        <w:jc w:val="center"/>
        <w:outlineLvl w:val="2"/>
        <w:rPr>
          <w:rFonts w:ascii="黑体" w:hAnsi="黑体" w:eastAsia="黑体"/>
          <w:color w:val="110F0F"/>
          <w:w w:val="110"/>
          <w:sz w:val="32"/>
          <w:szCs w:val="32"/>
        </w:rPr>
      </w:pPr>
    </w:p>
    <w:p>
      <w:pPr>
        <w:widowControl w:val="0"/>
        <w:snapToGrid w:val="0"/>
        <w:spacing w:line="240" w:lineRule="auto"/>
        <w:jc w:val="center"/>
        <w:outlineLvl w:val="2"/>
        <w:rPr>
          <w:rFonts w:ascii="黑体" w:hAnsi="黑体" w:eastAsia="黑体"/>
          <w:color w:val="110F0F"/>
          <w:w w:val="110"/>
          <w:sz w:val="32"/>
          <w:szCs w:val="32"/>
        </w:rPr>
      </w:pPr>
    </w:p>
    <w:p>
      <w:pPr>
        <w:widowControl w:val="0"/>
        <w:snapToGrid w:val="0"/>
        <w:spacing w:line="240" w:lineRule="auto"/>
        <w:jc w:val="center"/>
        <w:outlineLvl w:val="2"/>
        <w:rPr>
          <w:rFonts w:ascii="黑体" w:hAnsi="黑体" w:eastAsia="黑体"/>
          <w:color w:val="110F0F"/>
          <w:w w:val="110"/>
          <w:sz w:val="32"/>
          <w:szCs w:val="32"/>
        </w:rPr>
      </w:pPr>
    </w:p>
    <w:p>
      <w:pPr>
        <w:widowControl w:val="0"/>
        <w:snapToGrid w:val="0"/>
        <w:spacing w:line="240" w:lineRule="auto"/>
        <w:jc w:val="both"/>
        <w:outlineLvl w:val="2"/>
        <w:rPr>
          <w:rFonts w:ascii="黑体" w:hAnsi="黑体" w:eastAsia="黑体"/>
          <w:color w:val="110F0F"/>
          <w:w w:val="110"/>
          <w:sz w:val="32"/>
          <w:szCs w:val="32"/>
        </w:rPr>
      </w:pPr>
    </w:p>
    <w:p>
      <w:pPr>
        <w:numPr>
          <w:ilvl w:val="0"/>
          <w:numId w:val="2"/>
        </w:numPr>
        <w:spacing w:line="360" w:lineRule="auto"/>
        <w:jc w:val="center"/>
        <w:rPr>
          <w:rFonts w:ascii="黑体" w:hAnsi="黑体" w:eastAsia="黑体"/>
          <w:color w:val="110F0F"/>
          <w:w w:val="110"/>
          <w:sz w:val="32"/>
          <w:szCs w:val="32"/>
        </w:rPr>
      </w:pPr>
      <w:r>
        <w:rPr>
          <w:rFonts w:hint="eastAsia" w:ascii="黑体" w:hAnsi="黑体" w:eastAsia="黑体"/>
          <w:color w:val="110F0F"/>
          <w:w w:val="110"/>
          <w:sz w:val="32"/>
          <w:szCs w:val="32"/>
        </w:rPr>
        <w:t>安全协议</w:t>
      </w:r>
    </w:p>
    <w:p>
      <w:pPr>
        <w:numPr>
          <w:ilvl w:val="255"/>
          <w:numId w:val="0"/>
        </w:numPr>
        <w:spacing w:line="360" w:lineRule="auto"/>
        <w:jc w:val="both"/>
        <w:rPr>
          <w:rFonts w:ascii="黑体" w:hAnsi="黑体" w:eastAsia="黑体"/>
          <w:color w:val="110F0F"/>
          <w:w w:val="110"/>
          <w:sz w:val="10"/>
          <w:szCs w:val="10"/>
        </w:rPr>
      </w:pPr>
    </w:p>
    <w:p>
      <w:pPr>
        <w:widowControl w:val="0"/>
        <w:adjustRightInd w:val="0"/>
        <w:snapToGrid w:val="0"/>
        <w:spacing w:line="312" w:lineRule="auto"/>
        <w:ind w:firstLine="482"/>
        <w:jc w:val="both"/>
        <w:rPr>
          <w:rFonts w:ascii="宋体" w:hAnsi="宋体"/>
          <w:sz w:val="24"/>
        </w:rPr>
      </w:pPr>
      <w:r>
        <w:rPr>
          <w:rFonts w:hint="eastAsia" w:ascii="宋体" w:hAnsi="宋体"/>
          <w:sz w:val="24"/>
        </w:rPr>
        <w:t>为了切实做好安全生产工作，依据《中华人民共和国安全生产法》、《中华人民共和国合同法》以及国家有关安全生产管理的法律、法规、标准，按照“安全第一、预防为主、综合治理”的原则，明确甲乙双方责任，就甲乙双方在本项目中的安全生产事项，经协商一致，签订本协议。</w:t>
      </w:r>
    </w:p>
    <w:p>
      <w:pPr>
        <w:widowControl w:val="0"/>
        <w:adjustRightInd w:val="0"/>
        <w:snapToGrid w:val="0"/>
        <w:spacing w:line="312" w:lineRule="auto"/>
        <w:ind w:firstLine="480"/>
        <w:jc w:val="both"/>
        <w:rPr>
          <w:rFonts w:ascii="宋体" w:hAnsi="宋体"/>
          <w:sz w:val="24"/>
        </w:rPr>
      </w:pPr>
      <w:r>
        <w:rPr>
          <w:rFonts w:hint="eastAsia" w:ascii="宋体" w:hAnsi="宋体"/>
          <w:sz w:val="24"/>
        </w:rPr>
        <w:t>第一条：项目名称：岸桥、</w:t>
      </w:r>
      <w:r>
        <w:rPr>
          <w:rFonts w:ascii="宋体" w:hAnsi="宋体"/>
          <w:sz w:val="24"/>
        </w:rPr>
        <w:t>场桥</w:t>
      </w:r>
      <w:r>
        <w:rPr>
          <w:rFonts w:hint="eastAsia" w:ascii="宋体" w:hAnsi="宋体"/>
          <w:sz w:val="24"/>
        </w:rPr>
        <w:t>起升变频器改造项目</w:t>
      </w:r>
    </w:p>
    <w:p>
      <w:pPr>
        <w:widowControl w:val="0"/>
        <w:adjustRightInd w:val="0"/>
        <w:snapToGrid w:val="0"/>
        <w:spacing w:line="312" w:lineRule="auto"/>
        <w:ind w:firstLine="482"/>
        <w:jc w:val="both"/>
        <w:rPr>
          <w:rFonts w:ascii="宋体" w:hAnsi="宋体"/>
          <w:sz w:val="24"/>
        </w:rPr>
      </w:pPr>
      <w:r>
        <w:rPr>
          <w:rFonts w:hint="eastAsia" w:ascii="宋体" w:hAnsi="宋体"/>
          <w:sz w:val="24"/>
        </w:rPr>
        <w:t>第二条：本协议内容只涉及甲乙双方在本项目中关于安全生产的权利和责任。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第三条：甲方的权利：</w:t>
      </w:r>
    </w:p>
    <w:p>
      <w:pPr>
        <w:widowControl w:val="0"/>
        <w:adjustRightInd w:val="0"/>
        <w:snapToGrid w:val="0"/>
        <w:spacing w:line="312" w:lineRule="auto"/>
        <w:ind w:firstLine="482"/>
        <w:jc w:val="both"/>
        <w:rPr>
          <w:rFonts w:ascii="宋体" w:hAnsi="宋体"/>
          <w:sz w:val="24"/>
        </w:rPr>
      </w:pPr>
      <w:r>
        <w:rPr>
          <w:rFonts w:hint="eastAsia" w:ascii="宋体" w:hAnsi="宋体"/>
          <w:sz w:val="24"/>
        </w:rPr>
        <w:t>（一）有权要求乙方建立安全组织机构或指定专人负责作业现场安全监督检查。严格执行安全生产法律、法规、条例、标准，遵守甲方的安全生产规章制度等。</w:t>
      </w:r>
    </w:p>
    <w:p>
      <w:pPr>
        <w:widowControl w:val="0"/>
        <w:adjustRightInd w:val="0"/>
        <w:snapToGrid w:val="0"/>
        <w:spacing w:line="312" w:lineRule="auto"/>
        <w:ind w:firstLine="482"/>
        <w:jc w:val="both"/>
        <w:rPr>
          <w:rFonts w:ascii="宋体" w:hAnsi="宋体"/>
          <w:sz w:val="24"/>
        </w:rPr>
      </w:pPr>
      <w:r>
        <w:rPr>
          <w:rFonts w:hint="eastAsia" w:ascii="宋体" w:hAnsi="宋体"/>
          <w:sz w:val="24"/>
        </w:rPr>
        <w:t>（二）有权按规定对乙方安全业绩、资质进行审查，对乙方针对作业项目制定的职业健康安全、环境项目进行审查并备案。</w:t>
      </w:r>
    </w:p>
    <w:p>
      <w:pPr>
        <w:widowControl w:val="0"/>
        <w:adjustRightInd w:val="0"/>
        <w:snapToGrid w:val="0"/>
        <w:spacing w:line="312" w:lineRule="auto"/>
        <w:ind w:firstLine="482"/>
        <w:jc w:val="both"/>
        <w:rPr>
          <w:rFonts w:ascii="宋体" w:hAnsi="宋体"/>
          <w:sz w:val="24"/>
        </w:rPr>
      </w:pPr>
      <w:r>
        <w:rPr>
          <w:rFonts w:hint="eastAsia" w:ascii="宋体" w:hAnsi="宋体"/>
          <w:sz w:val="24"/>
        </w:rPr>
        <w:t>（三）有权要求乙方在项目施工过程中保护好施工区域内甲方的安全生产设施、设备和器材。</w:t>
      </w:r>
    </w:p>
    <w:p>
      <w:pPr>
        <w:widowControl w:val="0"/>
        <w:adjustRightInd w:val="0"/>
        <w:snapToGrid w:val="0"/>
        <w:spacing w:line="312" w:lineRule="auto"/>
        <w:ind w:firstLine="482"/>
        <w:jc w:val="both"/>
        <w:rPr>
          <w:rFonts w:ascii="宋体" w:hAnsi="宋体"/>
          <w:sz w:val="24"/>
        </w:rPr>
      </w:pPr>
      <w:r>
        <w:rPr>
          <w:rFonts w:hint="eastAsia" w:ascii="宋体" w:hAnsi="宋体"/>
          <w:sz w:val="24"/>
        </w:rPr>
        <w:t>（四）有权要求乙方在进入甲方现场作业前所有作业人员接受甲方的安全培训与教育。</w:t>
      </w:r>
    </w:p>
    <w:p>
      <w:pPr>
        <w:widowControl w:val="0"/>
        <w:adjustRightInd w:val="0"/>
        <w:snapToGrid w:val="0"/>
        <w:spacing w:line="312" w:lineRule="auto"/>
        <w:ind w:firstLine="482"/>
        <w:jc w:val="both"/>
        <w:rPr>
          <w:rFonts w:ascii="宋体" w:hAnsi="宋体"/>
          <w:sz w:val="24"/>
        </w:rPr>
      </w:pPr>
      <w:r>
        <w:rPr>
          <w:rFonts w:hint="eastAsia" w:ascii="宋体" w:hAnsi="宋体"/>
          <w:sz w:val="24"/>
        </w:rPr>
        <w:t>（五）有权对乙方的作业现场的安全作业情况进行监督检查，有权对乙方不符合安全生产要求的行为进行制止、纠正、处罚、停止作业、直至清退出场。</w:t>
      </w:r>
    </w:p>
    <w:p>
      <w:pPr>
        <w:widowControl w:val="0"/>
        <w:adjustRightInd w:val="0"/>
        <w:snapToGrid w:val="0"/>
        <w:spacing w:line="312" w:lineRule="auto"/>
        <w:ind w:firstLine="482"/>
        <w:jc w:val="both"/>
        <w:rPr>
          <w:rFonts w:ascii="宋体" w:hAnsi="宋体"/>
          <w:sz w:val="24"/>
        </w:rPr>
      </w:pPr>
      <w:r>
        <w:rPr>
          <w:rFonts w:hint="eastAsia" w:ascii="宋体" w:hAnsi="宋体"/>
          <w:sz w:val="24"/>
        </w:rPr>
        <w:t>（六）有权要求乙方所有作业人员必须交纳工伤保险和意外伤害保险。</w:t>
      </w:r>
    </w:p>
    <w:p>
      <w:pPr>
        <w:widowControl w:val="0"/>
        <w:adjustRightInd w:val="0"/>
        <w:snapToGrid w:val="0"/>
        <w:spacing w:line="312" w:lineRule="auto"/>
        <w:ind w:firstLine="482"/>
        <w:jc w:val="both"/>
        <w:rPr>
          <w:rFonts w:ascii="宋体" w:hAnsi="宋体"/>
          <w:sz w:val="24"/>
        </w:rPr>
      </w:pPr>
      <w:r>
        <w:rPr>
          <w:rFonts w:hint="eastAsia" w:ascii="宋体" w:hAnsi="宋体"/>
          <w:sz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widowControl w:val="0"/>
        <w:adjustRightInd w:val="0"/>
        <w:snapToGrid w:val="0"/>
        <w:spacing w:line="312" w:lineRule="auto"/>
        <w:ind w:firstLine="482"/>
        <w:jc w:val="both"/>
        <w:rPr>
          <w:rFonts w:ascii="宋体" w:hAnsi="宋体"/>
          <w:sz w:val="24"/>
        </w:rPr>
      </w:pPr>
      <w:r>
        <w:rPr>
          <w:rFonts w:hint="eastAsia" w:ascii="宋体" w:hAnsi="宋体"/>
          <w:sz w:val="24"/>
        </w:rPr>
        <w:t>第四条　甲方的责任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（一）认真贯彻落实国家有关法律、法规、标准及甲方公司安全生产规章制度。</w:t>
      </w:r>
    </w:p>
    <w:p>
      <w:pPr>
        <w:widowControl w:val="0"/>
        <w:adjustRightInd w:val="0"/>
        <w:snapToGrid w:val="0"/>
        <w:spacing w:line="312" w:lineRule="auto"/>
        <w:ind w:firstLine="482"/>
        <w:jc w:val="both"/>
        <w:rPr>
          <w:rFonts w:ascii="宋体" w:hAnsi="宋体"/>
          <w:sz w:val="24"/>
        </w:rPr>
      </w:pPr>
      <w:r>
        <w:rPr>
          <w:rFonts w:hint="eastAsia" w:ascii="宋体" w:hAnsi="宋体"/>
          <w:sz w:val="24"/>
        </w:rPr>
        <w:t>（二）向乙方明确作业区（甲方港内）的范围、危险源及安全技术交底，并要有书面记录。</w:t>
      </w:r>
    </w:p>
    <w:p>
      <w:pPr>
        <w:widowControl w:val="0"/>
        <w:adjustRightInd w:val="0"/>
        <w:snapToGrid w:val="0"/>
        <w:spacing w:line="312" w:lineRule="auto"/>
        <w:ind w:firstLine="482"/>
        <w:jc w:val="both"/>
        <w:rPr>
          <w:rFonts w:ascii="宋体" w:hAnsi="宋体"/>
          <w:sz w:val="24"/>
        </w:rPr>
      </w:pPr>
      <w:r>
        <w:rPr>
          <w:rFonts w:hint="eastAsia" w:ascii="宋体" w:hAnsi="宋体"/>
          <w:sz w:val="24"/>
        </w:rPr>
        <w:t>（三）在甲方港内为乙方提供项目合同中规定的安全作业条件。</w:t>
      </w:r>
    </w:p>
    <w:p>
      <w:pPr>
        <w:widowControl w:val="0"/>
        <w:adjustRightInd w:val="0"/>
        <w:snapToGrid w:val="0"/>
        <w:spacing w:line="312" w:lineRule="auto"/>
        <w:ind w:firstLine="482"/>
        <w:jc w:val="both"/>
        <w:rPr>
          <w:rFonts w:ascii="宋体" w:hAnsi="宋体"/>
          <w:sz w:val="24"/>
        </w:rPr>
      </w:pPr>
      <w:r>
        <w:rPr>
          <w:rFonts w:hint="eastAsia" w:ascii="宋体" w:hAnsi="宋体"/>
          <w:sz w:val="24"/>
        </w:rPr>
        <w:t>（四）在甲方港内发生事故时，积极协助抢险，防止事故扩大，并按照甲方公司有关规定进行报告。</w:t>
      </w:r>
    </w:p>
    <w:p>
      <w:pPr>
        <w:widowControl w:val="0"/>
        <w:adjustRightInd w:val="0"/>
        <w:snapToGrid w:val="0"/>
        <w:spacing w:line="312" w:lineRule="auto"/>
        <w:ind w:firstLine="482"/>
        <w:jc w:val="both"/>
        <w:rPr>
          <w:rFonts w:ascii="宋体" w:hAnsi="宋体"/>
          <w:sz w:val="24"/>
        </w:rPr>
      </w:pPr>
      <w:r>
        <w:rPr>
          <w:rFonts w:hint="eastAsia" w:ascii="宋体" w:hAnsi="宋体"/>
          <w:sz w:val="24"/>
        </w:rPr>
        <w:t>第五条　乙方的权利</w:t>
      </w:r>
    </w:p>
    <w:p>
      <w:pPr>
        <w:widowControl w:val="0"/>
        <w:adjustRightInd w:val="0"/>
        <w:snapToGrid w:val="0"/>
        <w:spacing w:line="312" w:lineRule="auto"/>
        <w:ind w:firstLine="482"/>
        <w:jc w:val="both"/>
        <w:rPr>
          <w:rFonts w:ascii="宋体" w:hAnsi="宋体"/>
          <w:sz w:val="24"/>
        </w:rPr>
      </w:pPr>
      <w:r>
        <w:rPr>
          <w:rFonts w:hint="eastAsia" w:ascii="宋体" w:hAnsi="宋体"/>
          <w:sz w:val="24"/>
        </w:rPr>
        <w:t>（一）有权对甲方的安全工作提出合理化建议和改进意见。</w:t>
      </w:r>
    </w:p>
    <w:p>
      <w:pPr>
        <w:widowControl w:val="0"/>
        <w:adjustRightInd w:val="0"/>
        <w:snapToGrid w:val="0"/>
        <w:spacing w:line="312" w:lineRule="auto"/>
        <w:ind w:firstLine="482"/>
        <w:jc w:val="both"/>
        <w:rPr>
          <w:rFonts w:ascii="宋体" w:hAnsi="宋体"/>
          <w:sz w:val="24"/>
        </w:rPr>
      </w:pPr>
      <w:r>
        <w:rPr>
          <w:rFonts w:hint="eastAsia" w:ascii="宋体" w:hAnsi="宋体"/>
          <w:sz w:val="24"/>
        </w:rPr>
        <w:t>（二）日常作业中，若甲方违章指挥、强令乙方冒险作业，有权拒绝执行。</w:t>
      </w:r>
    </w:p>
    <w:p>
      <w:pPr>
        <w:widowControl w:val="0"/>
        <w:adjustRightInd w:val="0"/>
        <w:snapToGrid w:val="0"/>
        <w:spacing w:line="312" w:lineRule="auto"/>
        <w:ind w:firstLine="482"/>
        <w:jc w:val="both"/>
        <w:rPr>
          <w:rFonts w:ascii="宋体" w:hAnsi="宋体"/>
          <w:sz w:val="24"/>
        </w:rPr>
      </w:pPr>
      <w:r>
        <w:rPr>
          <w:rFonts w:hint="eastAsia" w:ascii="宋体" w:hAnsi="宋体"/>
          <w:sz w:val="24"/>
        </w:rPr>
        <w:t>（三）有权要求在甲方港内提供符合安全作业的工艺条件和环境。</w:t>
      </w:r>
    </w:p>
    <w:p>
      <w:pPr>
        <w:widowControl w:val="0"/>
        <w:adjustRightInd w:val="0"/>
        <w:snapToGrid w:val="0"/>
        <w:spacing w:line="312" w:lineRule="auto"/>
        <w:ind w:firstLine="482"/>
        <w:jc w:val="both"/>
        <w:rPr>
          <w:rFonts w:ascii="宋体" w:hAnsi="宋体"/>
          <w:sz w:val="24"/>
        </w:rPr>
      </w:pPr>
      <w:r>
        <w:rPr>
          <w:rFonts w:hint="eastAsia" w:ascii="宋体" w:hAnsi="宋体"/>
          <w:sz w:val="24"/>
        </w:rPr>
        <w:t>（四）发生严重危及乙方生命安全的紧急情况时，乙方有权采取必要的避险措施。</w:t>
      </w:r>
    </w:p>
    <w:p>
      <w:pPr>
        <w:widowControl w:val="0"/>
        <w:adjustRightInd w:val="0"/>
        <w:snapToGrid w:val="0"/>
        <w:spacing w:line="312" w:lineRule="auto"/>
        <w:ind w:firstLine="482"/>
        <w:jc w:val="both"/>
        <w:rPr>
          <w:rFonts w:ascii="宋体" w:hAnsi="宋体"/>
          <w:sz w:val="24"/>
        </w:rPr>
      </w:pPr>
      <w:r>
        <w:rPr>
          <w:rFonts w:hint="eastAsia" w:ascii="宋体" w:hAnsi="宋体"/>
          <w:sz w:val="24"/>
        </w:rPr>
        <w:t>第六条　乙方的责任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（一）乙方是本项目的安全生产责任主体，对本项目的安全生产工作全面负责。</w:t>
      </w:r>
    </w:p>
    <w:p>
      <w:pPr>
        <w:widowControl w:val="0"/>
        <w:adjustRightInd w:val="0"/>
        <w:snapToGrid w:val="0"/>
        <w:spacing w:line="312" w:lineRule="auto"/>
        <w:ind w:firstLine="482"/>
        <w:jc w:val="both"/>
        <w:rPr>
          <w:rFonts w:ascii="宋体" w:hAnsi="宋体"/>
          <w:sz w:val="24"/>
        </w:rPr>
      </w:pPr>
      <w:r>
        <w:rPr>
          <w:rFonts w:hint="eastAsia" w:ascii="宋体" w:hAnsi="宋体"/>
          <w:sz w:val="24"/>
        </w:rPr>
        <w:t>（二）健全安全组织机构，建立安全生产责任制，制定健全的安全生产规章制度，制定生产安全事故应急求援预案，配备必要的安全生产管理人员和劳动保护用品，严格执行甲方相关的规章制度。</w:t>
      </w:r>
    </w:p>
    <w:p>
      <w:pPr>
        <w:widowControl w:val="0"/>
        <w:adjustRightInd w:val="0"/>
        <w:snapToGrid w:val="0"/>
        <w:spacing w:line="312" w:lineRule="auto"/>
        <w:ind w:firstLine="482"/>
        <w:jc w:val="both"/>
        <w:rPr>
          <w:rFonts w:ascii="宋体" w:hAnsi="宋体"/>
          <w:sz w:val="24"/>
        </w:rPr>
      </w:pPr>
      <w:r>
        <w:rPr>
          <w:rFonts w:hint="eastAsia" w:ascii="宋体" w:hAnsi="宋体"/>
          <w:sz w:val="24"/>
        </w:rPr>
        <w:t>（三）应对作业人员进行作业前安全教育培训，使其具备相应的安全意识和安全技能；特种作业人员应具有相应的资格证书。</w:t>
      </w:r>
    </w:p>
    <w:p>
      <w:pPr>
        <w:widowControl w:val="0"/>
        <w:adjustRightInd w:val="0"/>
        <w:snapToGrid w:val="0"/>
        <w:spacing w:line="312" w:lineRule="auto"/>
        <w:ind w:firstLine="482"/>
        <w:jc w:val="both"/>
        <w:rPr>
          <w:rFonts w:ascii="宋体" w:hAnsi="宋体"/>
          <w:sz w:val="24"/>
        </w:rPr>
      </w:pPr>
      <w:r>
        <w:rPr>
          <w:rFonts w:hint="eastAsia" w:ascii="宋体" w:hAnsi="宋体"/>
          <w:sz w:val="24"/>
        </w:rPr>
        <w:t>（四）不得使用不符合国家、行业标准和甲方规定的原材料、设备、装置、防护用品、器材、安全检测仪器等。所使用的特种设备，必须经具有专业资质的检验检测机构检测。经检测不合格的，不得继续使用。</w:t>
      </w:r>
    </w:p>
    <w:p>
      <w:pPr>
        <w:widowControl w:val="0"/>
        <w:adjustRightInd w:val="0"/>
        <w:snapToGrid w:val="0"/>
        <w:spacing w:line="312" w:lineRule="auto"/>
        <w:ind w:firstLine="482"/>
        <w:jc w:val="both"/>
        <w:rPr>
          <w:rFonts w:ascii="宋体" w:hAnsi="宋体"/>
          <w:sz w:val="24"/>
        </w:rPr>
      </w:pPr>
      <w:r>
        <w:rPr>
          <w:rFonts w:hint="eastAsia" w:ascii="宋体" w:hAnsi="宋体"/>
          <w:sz w:val="24"/>
        </w:rPr>
        <w:t>（五）指定专人负责现场安全监督检查工作，认真开展安全检查，发现作业过程中人的不安全行为及事故安全隐患，应采取有效措施积极处理。</w:t>
      </w:r>
    </w:p>
    <w:p>
      <w:pPr>
        <w:widowControl w:val="0"/>
        <w:adjustRightInd w:val="0"/>
        <w:snapToGrid w:val="0"/>
        <w:spacing w:line="312" w:lineRule="auto"/>
        <w:ind w:firstLine="482"/>
        <w:jc w:val="both"/>
        <w:rPr>
          <w:rFonts w:ascii="宋体" w:hAnsi="宋体"/>
          <w:sz w:val="24"/>
        </w:rPr>
      </w:pPr>
      <w:r>
        <w:rPr>
          <w:rFonts w:hint="eastAsia" w:ascii="宋体" w:hAnsi="宋体"/>
          <w:sz w:val="24"/>
        </w:rPr>
        <w:t>（六）乙方有责任对作业区域的安全生产条件进行详细了解。</w:t>
      </w:r>
    </w:p>
    <w:p>
      <w:pPr>
        <w:widowControl w:val="0"/>
        <w:adjustRightInd w:val="0"/>
        <w:snapToGrid w:val="0"/>
        <w:spacing w:line="312" w:lineRule="auto"/>
        <w:ind w:firstLine="482"/>
        <w:jc w:val="both"/>
        <w:rPr>
          <w:rFonts w:ascii="宋体" w:hAnsi="宋体"/>
          <w:sz w:val="24"/>
        </w:rPr>
      </w:pPr>
      <w:r>
        <w:rPr>
          <w:rFonts w:hint="eastAsia" w:ascii="宋体" w:hAnsi="宋体"/>
          <w:sz w:val="24"/>
        </w:rPr>
        <w:t>（七）乙方在作业过程中有属于危及安全生产的关键作业时，应提出切实可行的方案，经甲方同意后，方可实施。</w:t>
      </w:r>
    </w:p>
    <w:p>
      <w:pPr>
        <w:widowControl w:val="0"/>
        <w:adjustRightInd w:val="0"/>
        <w:snapToGrid w:val="0"/>
        <w:spacing w:line="312" w:lineRule="auto"/>
        <w:ind w:firstLine="482"/>
        <w:jc w:val="both"/>
        <w:rPr>
          <w:rFonts w:ascii="宋体" w:hAnsi="宋体"/>
          <w:sz w:val="24"/>
        </w:rPr>
      </w:pPr>
      <w:r>
        <w:rPr>
          <w:rFonts w:hint="eastAsia" w:ascii="宋体" w:hAnsi="宋体"/>
          <w:sz w:val="24"/>
        </w:rPr>
        <w:t>（八）乙方不能将项目转包给第三方。</w:t>
      </w:r>
    </w:p>
    <w:p>
      <w:pPr>
        <w:widowControl w:val="0"/>
        <w:adjustRightInd w:val="0"/>
        <w:snapToGrid w:val="0"/>
        <w:spacing w:line="312" w:lineRule="auto"/>
        <w:ind w:firstLine="482"/>
        <w:jc w:val="both"/>
        <w:rPr>
          <w:rFonts w:ascii="宋体" w:hAnsi="宋体"/>
          <w:sz w:val="24"/>
        </w:rPr>
      </w:pPr>
      <w:r>
        <w:rPr>
          <w:rFonts w:hint="eastAsia" w:ascii="宋体" w:hAnsi="宋体"/>
          <w:sz w:val="24"/>
        </w:rPr>
        <w:t>（九）乙方在甲方港内作业期间只能在甲方规定的路线进出公司，只能在规定的区域内作业，禁止私自进入甲方其它生产区域。</w:t>
      </w:r>
    </w:p>
    <w:p>
      <w:pPr>
        <w:widowControl w:val="0"/>
        <w:adjustRightInd w:val="0"/>
        <w:snapToGrid w:val="0"/>
        <w:spacing w:line="312" w:lineRule="auto"/>
        <w:ind w:firstLine="482"/>
        <w:jc w:val="both"/>
        <w:rPr>
          <w:rFonts w:ascii="宋体" w:hAnsi="宋体"/>
          <w:sz w:val="24"/>
        </w:rPr>
      </w:pPr>
      <w:r>
        <w:rPr>
          <w:rFonts w:hint="eastAsia" w:ascii="宋体" w:hAnsi="宋体"/>
          <w:sz w:val="24"/>
        </w:rPr>
        <w:t>（十）乙方应服从甲方单位的安全管理。</w:t>
      </w:r>
    </w:p>
    <w:p>
      <w:pPr>
        <w:widowControl w:val="0"/>
        <w:adjustRightInd w:val="0"/>
        <w:snapToGrid w:val="0"/>
        <w:spacing w:line="312" w:lineRule="auto"/>
        <w:ind w:firstLine="482"/>
        <w:jc w:val="both"/>
        <w:rPr>
          <w:rFonts w:ascii="宋体" w:hAnsi="宋体"/>
          <w:sz w:val="24"/>
        </w:rPr>
      </w:pPr>
      <w:r>
        <w:rPr>
          <w:rFonts w:hint="eastAsia" w:ascii="宋体" w:hAnsi="宋体"/>
          <w:sz w:val="24"/>
        </w:rPr>
        <w:t>（十一）发生事故时，乙方应积极抢险，避免事故的进一步扩大，并按照国家相关要求报告事故。</w:t>
      </w:r>
    </w:p>
    <w:p>
      <w:pPr>
        <w:widowControl w:val="0"/>
        <w:adjustRightInd w:val="0"/>
        <w:snapToGrid w:val="0"/>
        <w:spacing w:line="312" w:lineRule="auto"/>
        <w:ind w:firstLine="482"/>
        <w:jc w:val="both"/>
        <w:rPr>
          <w:rFonts w:ascii="宋体" w:hAnsi="宋体"/>
          <w:sz w:val="24"/>
        </w:rPr>
      </w:pPr>
      <w:r>
        <w:rPr>
          <w:rFonts w:hint="eastAsia" w:ascii="宋体" w:hAnsi="宋体"/>
          <w:sz w:val="24"/>
        </w:rPr>
        <w:t>（十二）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第七条</w:t>
      </w:r>
      <w:r>
        <w:rPr>
          <w:rFonts w:ascii="宋体" w:hAnsi="宋体"/>
          <w:sz w:val="24"/>
        </w:rPr>
        <w:t xml:space="preserve">  </w:t>
      </w:r>
      <w:r>
        <w:rPr>
          <w:rFonts w:hint="eastAsia" w:ascii="宋体" w:hAnsi="宋体"/>
          <w:sz w:val="24"/>
        </w:rPr>
        <w:t>违约责任及处理</w:t>
      </w:r>
    </w:p>
    <w:p>
      <w:pPr>
        <w:widowControl w:val="0"/>
        <w:adjustRightInd w:val="0"/>
        <w:snapToGrid w:val="0"/>
        <w:spacing w:line="312" w:lineRule="auto"/>
        <w:ind w:firstLine="482"/>
        <w:jc w:val="both"/>
        <w:rPr>
          <w:rFonts w:ascii="宋体" w:hAnsi="宋体"/>
          <w:sz w:val="24"/>
        </w:rPr>
      </w:pPr>
      <w:r>
        <w:rPr>
          <w:rFonts w:hint="eastAsia" w:ascii="宋体" w:hAnsi="宋体"/>
          <w:sz w:val="24"/>
        </w:rPr>
        <w:t>（一）甲乙双方违反本合同要求，未造成事故时，依据相关合同对违约者进行处理（包括但不限于支付违约金、赔偿损失等）。</w:t>
      </w:r>
    </w:p>
    <w:p>
      <w:pPr>
        <w:widowControl w:val="0"/>
        <w:adjustRightInd w:val="0"/>
        <w:snapToGrid w:val="0"/>
        <w:spacing w:line="312" w:lineRule="auto"/>
        <w:ind w:firstLine="482"/>
        <w:jc w:val="both"/>
        <w:rPr>
          <w:rFonts w:ascii="宋体" w:hAnsi="宋体"/>
          <w:sz w:val="24"/>
        </w:rPr>
      </w:pPr>
      <w:r>
        <w:rPr>
          <w:rFonts w:hint="eastAsia" w:ascii="宋体" w:hAnsi="宋体"/>
          <w:sz w:val="24"/>
        </w:rPr>
        <w:t>（二）在甲方港内发生事故时，甲、乙双方有抢险、救灾的责任，所发生的费用由责任方承担。</w:t>
      </w:r>
    </w:p>
    <w:p>
      <w:pPr>
        <w:widowControl w:val="0"/>
        <w:adjustRightInd w:val="0"/>
        <w:snapToGrid w:val="0"/>
        <w:spacing w:line="312" w:lineRule="auto"/>
        <w:ind w:firstLine="482"/>
        <w:jc w:val="both"/>
        <w:rPr>
          <w:rFonts w:ascii="宋体" w:hAnsi="宋体"/>
          <w:sz w:val="24"/>
        </w:rPr>
      </w:pPr>
      <w:r>
        <w:rPr>
          <w:rFonts w:hint="eastAsia" w:ascii="宋体" w:hAnsi="宋体"/>
          <w:sz w:val="24"/>
        </w:rPr>
        <w:t>（三）发生的事故，应经事故调查确认责任；事故报告和调查应按照国家和甲方有关规定进行。</w:t>
      </w:r>
      <w:r>
        <w:rPr>
          <w:rFonts w:ascii="宋体" w:hAnsi="宋体"/>
          <w:sz w:val="24"/>
        </w:rPr>
        <w:t xml:space="preserve">           </w:t>
      </w:r>
    </w:p>
    <w:p>
      <w:pPr>
        <w:widowControl w:val="0"/>
        <w:adjustRightInd w:val="0"/>
        <w:snapToGrid w:val="0"/>
        <w:spacing w:line="312" w:lineRule="auto"/>
        <w:ind w:firstLine="482"/>
        <w:jc w:val="both"/>
        <w:rPr>
          <w:rFonts w:ascii="宋体" w:hAnsi="宋体"/>
          <w:sz w:val="24"/>
        </w:rPr>
      </w:pPr>
      <w:r>
        <w:rPr>
          <w:rFonts w:hint="eastAsia" w:ascii="宋体" w:hAnsi="宋体"/>
          <w:sz w:val="24"/>
        </w:rPr>
        <w:t>（四）甲方违约造成的事故，甲方承担全部责任，并按规定追究有关人员责任及上报。</w:t>
      </w:r>
    </w:p>
    <w:p>
      <w:pPr>
        <w:widowControl w:val="0"/>
        <w:adjustRightInd w:val="0"/>
        <w:snapToGrid w:val="0"/>
        <w:spacing w:line="312" w:lineRule="auto"/>
        <w:ind w:firstLine="482"/>
        <w:jc w:val="both"/>
        <w:rPr>
          <w:rFonts w:ascii="宋体" w:hAnsi="宋体"/>
          <w:sz w:val="24"/>
        </w:rPr>
      </w:pPr>
      <w:r>
        <w:rPr>
          <w:rFonts w:hint="eastAsia" w:ascii="宋体" w:hAnsi="宋体"/>
          <w:sz w:val="24"/>
        </w:rPr>
        <w:t>（五）乙方违约造成的事故，乙方承担全部责任，并按规定追究有关人员责任并报告甲方。</w:t>
      </w:r>
    </w:p>
    <w:p>
      <w:pPr>
        <w:widowControl w:val="0"/>
        <w:adjustRightInd w:val="0"/>
        <w:snapToGrid w:val="0"/>
        <w:spacing w:line="312" w:lineRule="auto"/>
        <w:ind w:firstLine="482"/>
        <w:jc w:val="both"/>
        <w:rPr>
          <w:rFonts w:ascii="宋体" w:hAnsi="宋体"/>
          <w:sz w:val="24"/>
        </w:rPr>
      </w:pPr>
      <w:r>
        <w:rPr>
          <w:rFonts w:hint="eastAsia" w:ascii="宋体" w:hAnsi="宋体"/>
          <w:sz w:val="24"/>
        </w:rPr>
        <w:t>（六）甲、乙双方共同造成的事故，按双方责任大小承担相应责任，并按规定追究有关人员责任。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（七）对乙方发生事故后弄虚作假、隐瞒不报、迟报或谎报，一经查出，按有关规定从重处罚，情节严重的，甲方有权向当地政府安全生产监督管理部门报告，并取消其进入甲方市场资格。</w:t>
      </w:r>
    </w:p>
    <w:p>
      <w:pPr>
        <w:widowControl w:val="0"/>
        <w:adjustRightInd w:val="0"/>
        <w:snapToGrid w:val="0"/>
        <w:spacing w:line="312" w:lineRule="auto"/>
        <w:ind w:firstLine="482"/>
        <w:jc w:val="both"/>
        <w:rPr>
          <w:rFonts w:ascii="宋体" w:hAnsi="宋体"/>
          <w:sz w:val="24"/>
        </w:rPr>
      </w:pPr>
      <w:r>
        <w:rPr>
          <w:rFonts w:hint="eastAsia" w:ascii="宋体" w:hAnsi="宋体"/>
          <w:sz w:val="24"/>
        </w:rPr>
        <w:t>（八）作业期间，需要办理的有关安全的批文或其它手续，乙方必须办理齐全，否则发生安全事故由乙方承担全部责任。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第八条　由于不可抗力造成合同项目作业事故及生产的损失，当事人双方各自承担相应的损失。</w:t>
      </w:r>
    </w:p>
    <w:p>
      <w:pPr>
        <w:widowControl w:val="0"/>
        <w:adjustRightInd w:val="0"/>
        <w:snapToGrid w:val="0"/>
        <w:spacing w:line="312" w:lineRule="auto"/>
        <w:ind w:firstLine="482"/>
        <w:jc w:val="both"/>
        <w:rPr>
          <w:rFonts w:ascii="宋体" w:hAnsi="宋体"/>
          <w:sz w:val="24"/>
        </w:rPr>
      </w:pPr>
      <w:r>
        <w:rPr>
          <w:rFonts w:hint="eastAsia" w:ascii="宋体" w:hAnsi="宋体"/>
          <w:sz w:val="24"/>
        </w:rPr>
        <w:t>第九条　甲乙双方的作业人员和机具设备的保险，由甲乙双方依据国家相关规定或约定各自承担。</w:t>
      </w:r>
    </w:p>
    <w:p>
      <w:pPr>
        <w:widowControl w:val="0"/>
        <w:adjustRightInd w:val="0"/>
        <w:snapToGrid w:val="0"/>
        <w:spacing w:line="312" w:lineRule="auto"/>
        <w:ind w:firstLine="482"/>
        <w:jc w:val="both"/>
        <w:rPr>
          <w:rFonts w:ascii="宋体" w:hAnsi="宋体"/>
          <w:sz w:val="24"/>
        </w:rPr>
      </w:pPr>
      <w:r>
        <w:rPr>
          <w:rFonts w:hint="eastAsia" w:ascii="宋体" w:hAnsi="宋体"/>
          <w:sz w:val="24"/>
        </w:rPr>
        <w:t>第十条</w:t>
      </w:r>
      <w:r>
        <w:rPr>
          <w:rFonts w:ascii="宋体" w:hAnsi="宋体"/>
          <w:sz w:val="24"/>
        </w:rPr>
        <w:t xml:space="preserve">  本协议履行过程中发生争议纠纷，应通过友好协商方式解决，如协商不成，按双方在项目经济合同中约定的管辖地和纠纷解决的方式执行。</w:t>
      </w:r>
    </w:p>
    <w:p>
      <w:pPr>
        <w:widowControl w:val="0"/>
        <w:adjustRightInd w:val="0"/>
        <w:snapToGrid w:val="0"/>
        <w:spacing w:line="312" w:lineRule="auto"/>
        <w:ind w:firstLine="482"/>
        <w:jc w:val="both"/>
        <w:rPr>
          <w:rFonts w:ascii="宋体" w:hAnsi="宋体"/>
          <w:sz w:val="24"/>
        </w:rPr>
      </w:pPr>
      <w:r>
        <w:rPr>
          <w:rFonts w:hint="eastAsia" w:ascii="宋体" w:hAnsi="宋体"/>
          <w:sz w:val="24"/>
        </w:rPr>
        <w:t>第十一条　本协议是项目经济合同的附件，与项目经济合同具有同等法律效力。本协议与项目经济合同同时生效、终止。</w:t>
      </w:r>
    </w:p>
    <w:p>
      <w:pPr>
        <w:widowControl w:val="0"/>
        <w:adjustRightInd w:val="0"/>
        <w:snapToGrid w:val="0"/>
        <w:spacing w:line="312" w:lineRule="auto"/>
        <w:ind w:firstLine="482"/>
        <w:jc w:val="both"/>
        <w:rPr>
          <w:rFonts w:ascii="宋体" w:hAnsi="宋体"/>
          <w:sz w:val="24"/>
        </w:rPr>
      </w:pPr>
      <w:r>
        <w:rPr>
          <w:rFonts w:hint="eastAsia" w:ascii="宋体" w:hAnsi="宋体"/>
          <w:sz w:val="24"/>
        </w:rPr>
        <w:t>第十二条</w:t>
      </w:r>
      <w:r>
        <w:rPr>
          <w:rFonts w:ascii="宋体" w:hAnsi="宋体"/>
          <w:sz w:val="24"/>
        </w:rPr>
        <w:t xml:space="preserve">  乙方人员进场前安全教育培训人员</w:t>
      </w:r>
      <w:r>
        <w:rPr>
          <w:rFonts w:ascii="宋体" w:hAnsi="宋体"/>
          <w:sz w:val="24"/>
          <w:u w:val="single"/>
        </w:rPr>
        <w:t>　　　</w:t>
      </w:r>
      <w:r>
        <w:rPr>
          <w:rFonts w:ascii="宋体" w:hAnsi="宋体"/>
          <w:sz w:val="24"/>
        </w:rPr>
        <w:t>；乙方作业期间指定现场安全监护人员</w:t>
      </w:r>
      <w:r>
        <w:rPr>
          <w:rFonts w:ascii="宋体" w:hAnsi="宋体"/>
          <w:sz w:val="24"/>
          <w:u w:val="single"/>
        </w:rPr>
        <w:t>　　　　　</w:t>
      </w:r>
      <w:r>
        <w:rPr>
          <w:rFonts w:hint="eastAsia" w:ascii="宋体" w:hAnsi="宋体"/>
          <w:sz w:val="24"/>
        </w:rPr>
        <w:t>。</w:t>
      </w:r>
    </w:p>
    <w:p>
      <w:pPr>
        <w:widowControl w:val="0"/>
        <w:adjustRightInd w:val="0"/>
        <w:snapToGrid w:val="0"/>
        <w:spacing w:line="360" w:lineRule="auto"/>
        <w:ind w:firstLine="482"/>
        <w:jc w:val="both"/>
        <w:rPr>
          <w:rFonts w:ascii="宋体" w:hAnsi="宋体"/>
          <w:sz w:val="24"/>
        </w:rPr>
      </w:pPr>
    </w:p>
    <w:p>
      <w:pPr>
        <w:widowControl w:val="0"/>
        <w:adjustRightInd w:val="0"/>
        <w:snapToGrid w:val="0"/>
        <w:spacing w:line="360" w:lineRule="auto"/>
        <w:ind w:firstLine="482"/>
        <w:jc w:val="both"/>
        <w:rPr>
          <w:rFonts w:ascii="宋体" w:hAnsi="宋体"/>
          <w:sz w:val="24"/>
        </w:rPr>
      </w:pPr>
    </w:p>
    <w:p>
      <w:pPr>
        <w:spacing w:line="240" w:lineRule="auto"/>
        <w:rPr>
          <w:rFonts w:ascii="黑体" w:hAnsi="黑体" w:eastAsia="黑体"/>
          <w:color w:val="110F0F"/>
          <w:w w:val="110"/>
          <w:sz w:val="32"/>
          <w:szCs w:val="32"/>
        </w:rPr>
      </w:pPr>
    </w:p>
    <w:p>
      <w:pPr>
        <w:widowControl w:val="0"/>
        <w:numPr>
          <w:ilvl w:val="0"/>
          <w:numId w:val="2"/>
        </w:numPr>
        <w:snapToGrid w:val="0"/>
        <w:spacing w:line="360" w:lineRule="auto"/>
        <w:jc w:val="center"/>
        <w:outlineLvl w:val="2"/>
        <w:rPr>
          <w:rFonts w:ascii="黑体" w:hAnsi="黑体" w:eastAsia="黑体"/>
          <w:color w:val="110F0F"/>
          <w:w w:val="110"/>
          <w:sz w:val="32"/>
          <w:szCs w:val="32"/>
        </w:rPr>
      </w:pPr>
      <w:r>
        <w:rPr>
          <w:rFonts w:hint="eastAsia" w:ascii="黑体" w:hAnsi="黑体" w:eastAsia="黑体"/>
          <w:color w:val="110F0F"/>
          <w:w w:val="110"/>
          <w:sz w:val="32"/>
          <w:szCs w:val="32"/>
        </w:rPr>
        <w:t>廉政协议</w:t>
      </w:r>
    </w:p>
    <w:p>
      <w:pPr>
        <w:widowControl w:val="0"/>
        <w:numPr>
          <w:ilvl w:val="255"/>
          <w:numId w:val="0"/>
        </w:numPr>
        <w:snapToGrid w:val="0"/>
        <w:spacing w:line="360" w:lineRule="auto"/>
        <w:outlineLvl w:val="2"/>
        <w:rPr>
          <w:rFonts w:ascii="黑体" w:hAnsi="黑体" w:eastAsia="黑体"/>
          <w:color w:val="110F0F"/>
          <w:w w:val="110"/>
          <w:sz w:val="4"/>
          <w:szCs w:val="4"/>
        </w:rPr>
      </w:pPr>
    </w:p>
    <w:p>
      <w:pPr>
        <w:widowControl w:val="0"/>
        <w:adjustRightInd w:val="0"/>
        <w:snapToGrid w:val="0"/>
        <w:spacing w:line="312" w:lineRule="auto"/>
        <w:ind w:firstLine="482"/>
        <w:jc w:val="both"/>
        <w:rPr>
          <w:rFonts w:ascii="宋体" w:hAnsi="宋体"/>
          <w:sz w:val="24"/>
        </w:rPr>
      </w:pPr>
      <w:r>
        <w:rPr>
          <w:rFonts w:hint="eastAsia" w:ascii="宋体" w:hAnsi="宋体"/>
          <w:sz w:val="24"/>
        </w:rPr>
        <w:t>根据交通运输部《关于在交通基础设施建设中加强廉政建设的若干意见》以及有关工程建设、廉政建设的规定，为做好工程建设中的党风廉政建设，保证工程建设高效优质、建设资金的安全和投资效益，以及双方合作的公平和公正，预防发包人利益受到双方经济合同之外各种不正当行为的损害，甲、乙双方经过共同协商，签订本廉政协议，以资共同遵守。</w:t>
      </w:r>
    </w:p>
    <w:p>
      <w:pPr>
        <w:widowControl w:val="0"/>
        <w:adjustRightInd w:val="0"/>
        <w:snapToGrid w:val="0"/>
        <w:spacing w:line="312" w:lineRule="auto"/>
        <w:ind w:firstLine="482"/>
        <w:jc w:val="both"/>
        <w:rPr>
          <w:rFonts w:ascii="宋体" w:hAnsi="宋体"/>
          <w:sz w:val="24"/>
        </w:rPr>
      </w:pPr>
      <w:bookmarkStart w:id="11" w:name="_Toc282076315"/>
      <w:bookmarkStart w:id="12" w:name="_Toc30686"/>
      <w:bookmarkStart w:id="13" w:name="_Toc21390"/>
      <w:r>
        <w:rPr>
          <w:rFonts w:hint="eastAsia" w:ascii="宋体" w:hAnsi="宋体"/>
          <w:sz w:val="24"/>
        </w:rPr>
        <w:t>第一条</w:t>
      </w:r>
      <w:r>
        <w:rPr>
          <w:rFonts w:ascii="宋体" w:hAnsi="宋体"/>
          <w:sz w:val="24"/>
        </w:rPr>
        <w:t xml:space="preserve">  </w:t>
      </w:r>
      <w:r>
        <w:rPr>
          <w:rFonts w:hint="eastAsia" w:ascii="宋体" w:hAnsi="宋体"/>
          <w:sz w:val="24"/>
        </w:rPr>
        <w:t>甲乙双方的责任</w:t>
      </w:r>
      <w:bookmarkEnd w:id="11"/>
      <w:bookmarkEnd w:id="12"/>
      <w:bookmarkEnd w:id="13"/>
    </w:p>
    <w:p>
      <w:pPr>
        <w:widowControl w:val="0"/>
        <w:adjustRightInd w:val="0"/>
        <w:snapToGrid w:val="0"/>
        <w:spacing w:line="312" w:lineRule="auto"/>
        <w:ind w:firstLine="482"/>
        <w:jc w:val="both"/>
        <w:rPr>
          <w:rFonts w:ascii="宋体" w:hAnsi="宋体"/>
          <w:sz w:val="24"/>
        </w:rPr>
      </w:pPr>
      <w:r>
        <w:rPr>
          <w:rFonts w:hint="eastAsia" w:ascii="宋体" w:hAnsi="宋体"/>
          <w:sz w:val="24"/>
        </w:rPr>
        <w:t>（一）应严格遵守国家关于市场准入、项目招标投标、工程建设和市场活动等有关法律、法规，相关政策，以及廉政建设的各项规定。</w:t>
      </w:r>
    </w:p>
    <w:p>
      <w:pPr>
        <w:widowControl w:val="0"/>
        <w:adjustRightInd w:val="0"/>
        <w:snapToGrid w:val="0"/>
        <w:spacing w:line="312" w:lineRule="auto"/>
        <w:ind w:firstLine="482"/>
        <w:jc w:val="both"/>
        <w:rPr>
          <w:rFonts w:ascii="宋体" w:hAnsi="宋体"/>
          <w:sz w:val="24"/>
        </w:rPr>
      </w:pPr>
      <w:r>
        <w:rPr>
          <w:rFonts w:hint="eastAsia" w:ascii="宋体" w:hAnsi="宋体"/>
          <w:sz w:val="24"/>
        </w:rPr>
        <w:t>（二）严格执行建设工程项目相关合同文件，自觉按合同办事。</w:t>
      </w:r>
    </w:p>
    <w:p>
      <w:pPr>
        <w:widowControl w:val="0"/>
        <w:adjustRightInd w:val="0"/>
        <w:snapToGrid w:val="0"/>
        <w:spacing w:line="312" w:lineRule="auto"/>
        <w:ind w:firstLine="482"/>
        <w:jc w:val="both"/>
        <w:rPr>
          <w:rFonts w:ascii="宋体" w:hAnsi="宋体"/>
          <w:sz w:val="24"/>
        </w:rPr>
      </w:pPr>
      <w:r>
        <w:rPr>
          <w:rFonts w:hint="eastAsia" w:ascii="宋体" w:hAnsi="宋体"/>
          <w:sz w:val="24"/>
        </w:rPr>
        <w:t>（三）业务活动必须坚持公开、公平、公正、诚信、透明的原则，不得为获取不正当的利益，损害国家、集体和对方利益。</w:t>
      </w:r>
    </w:p>
    <w:p>
      <w:pPr>
        <w:widowControl w:val="0"/>
        <w:adjustRightInd w:val="0"/>
        <w:snapToGrid w:val="0"/>
        <w:spacing w:line="312" w:lineRule="auto"/>
        <w:ind w:firstLine="482"/>
        <w:jc w:val="both"/>
        <w:rPr>
          <w:rFonts w:ascii="宋体" w:hAnsi="宋体"/>
          <w:sz w:val="24"/>
        </w:rPr>
      </w:pPr>
      <w:r>
        <w:rPr>
          <w:rFonts w:hint="eastAsia" w:ascii="宋体" w:hAnsi="宋体"/>
          <w:sz w:val="24"/>
        </w:rPr>
        <w:t>（四）发现对方在业务活动中有违规、违纪、违法行为的，应及时提醒对方，情节严重的，应向其上级主管部门或纪检监察部门进行举报。</w:t>
      </w:r>
    </w:p>
    <w:p>
      <w:pPr>
        <w:widowControl w:val="0"/>
        <w:adjustRightInd w:val="0"/>
        <w:snapToGrid w:val="0"/>
        <w:spacing w:line="312" w:lineRule="auto"/>
        <w:ind w:firstLine="482"/>
        <w:jc w:val="both"/>
        <w:rPr>
          <w:rFonts w:ascii="宋体" w:hAnsi="宋体"/>
          <w:sz w:val="24"/>
        </w:rPr>
      </w:pPr>
      <w:bookmarkStart w:id="14" w:name="_Toc22406"/>
      <w:bookmarkStart w:id="15" w:name="_Toc25742"/>
      <w:bookmarkStart w:id="16" w:name="_Toc282076316"/>
      <w:r>
        <w:rPr>
          <w:rFonts w:hint="eastAsia" w:ascii="宋体" w:hAnsi="宋体"/>
          <w:sz w:val="24"/>
        </w:rPr>
        <w:t>第二条</w:t>
      </w:r>
      <w:r>
        <w:rPr>
          <w:rFonts w:ascii="宋体" w:hAnsi="宋体"/>
          <w:sz w:val="24"/>
        </w:rPr>
        <w:t xml:space="preserve">  </w:t>
      </w:r>
      <w:r>
        <w:rPr>
          <w:rFonts w:hint="eastAsia" w:ascii="宋体" w:hAnsi="宋体"/>
          <w:sz w:val="24"/>
        </w:rPr>
        <w:t>发包人的责任</w:t>
      </w:r>
      <w:bookmarkEnd w:id="14"/>
      <w:bookmarkEnd w:id="15"/>
      <w:bookmarkEnd w:id="16"/>
    </w:p>
    <w:p>
      <w:pPr>
        <w:widowControl w:val="0"/>
        <w:adjustRightInd w:val="0"/>
        <w:snapToGrid w:val="0"/>
        <w:spacing w:line="312" w:lineRule="auto"/>
        <w:ind w:firstLine="482"/>
        <w:jc w:val="both"/>
        <w:rPr>
          <w:rFonts w:ascii="宋体" w:hAnsi="宋体"/>
          <w:sz w:val="24"/>
        </w:rPr>
      </w:pPr>
      <w:r>
        <w:rPr>
          <w:rFonts w:hint="eastAsia" w:ascii="宋体" w:hAnsi="宋体"/>
          <w:sz w:val="24"/>
        </w:rPr>
        <w:t>发包人工作人员，在工程建设的事前、事中、事后应遵守以下规定：</w:t>
      </w:r>
    </w:p>
    <w:p>
      <w:pPr>
        <w:widowControl w:val="0"/>
        <w:adjustRightInd w:val="0"/>
        <w:snapToGrid w:val="0"/>
        <w:spacing w:line="312" w:lineRule="auto"/>
        <w:ind w:firstLine="482"/>
        <w:jc w:val="both"/>
        <w:rPr>
          <w:rFonts w:ascii="宋体" w:hAnsi="宋体"/>
          <w:sz w:val="24"/>
        </w:rPr>
      </w:pPr>
      <w:r>
        <w:rPr>
          <w:rFonts w:hint="eastAsia" w:ascii="宋体" w:hAnsi="宋体"/>
          <w:sz w:val="24"/>
        </w:rPr>
        <w:t>（一）不得向承包人索要或接受回扣、礼金、有价证券、贵重物品和好处费、感谢费等。</w:t>
      </w:r>
    </w:p>
    <w:p>
      <w:pPr>
        <w:widowControl w:val="0"/>
        <w:adjustRightInd w:val="0"/>
        <w:snapToGrid w:val="0"/>
        <w:spacing w:line="312" w:lineRule="auto"/>
        <w:ind w:firstLine="482"/>
        <w:jc w:val="both"/>
        <w:rPr>
          <w:rFonts w:ascii="宋体" w:hAnsi="宋体"/>
          <w:sz w:val="24"/>
        </w:rPr>
      </w:pPr>
      <w:r>
        <w:rPr>
          <w:rFonts w:hint="eastAsia" w:ascii="宋体" w:hAnsi="宋体"/>
          <w:sz w:val="24"/>
        </w:rPr>
        <w:t>（二）不得在承包人报销任何应由个人支付的费用。</w:t>
      </w:r>
    </w:p>
    <w:p>
      <w:pPr>
        <w:widowControl w:val="0"/>
        <w:adjustRightInd w:val="0"/>
        <w:snapToGrid w:val="0"/>
        <w:spacing w:line="312" w:lineRule="auto"/>
        <w:ind w:firstLine="482"/>
        <w:jc w:val="both"/>
        <w:rPr>
          <w:rFonts w:ascii="宋体" w:hAnsi="宋体"/>
          <w:sz w:val="24"/>
        </w:rPr>
      </w:pPr>
      <w:r>
        <w:rPr>
          <w:rFonts w:hint="eastAsia" w:ascii="宋体" w:hAnsi="宋体"/>
          <w:sz w:val="24"/>
        </w:rPr>
        <w:t>（三）不得要求或接受承包人为其个人装修住房或为其配偶、子女的工作安排以及出国（境）、旅游等提供方便。</w:t>
      </w:r>
    </w:p>
    <w:p>
      <w:pPr>
        <w:widowControl w:val="0"/>
        <w:adjustRightInd w:val="0"/>
        <w:snapToGrid w:val="0"/>
        <w:spacing w:line="312" w:lineRule="auto"/>
        <w:ind w:firstLine="482"/>
        <w:jc w:val="both"/>
        <w:rPr>
          <w:rFonts w:ascii="宋体" w:hAnsi="宋体"/>
          <w:sz w:val="24"/>
        </w:rPr>
      </w:pPr>
      <w:r>
        <w:rPr>
          <w:rFonts w:hint="eastAsia" w:ascii="宋体" w:hAnsi="宋体"/>
          <w:sz w:val="24"/>
        </w:rPr>
        <w:t>（四）不得参加有可能影响公正执行公务的承包人的宴请、健身和娱乐等活动。</w:t>
      </w:r>
    </w:p>
    <w:p>
      <w:pPr>
        <w:widowControl w:val="0"/>
        <w:adjustRightInd w:val="0"/>
        <w:snapToGrid w:val="0"/>
        <w:spacing w:line="312" w:lineRule="auto"/>
        <w:ind w:firstLine="482"/>
        <w:jc w:val="both"/>
        <w:rPr>
          <w:rFonts w:ascii="宋体" w:hAnsi="宋体"/>
          <w:sz w:val="24"/>
        </w:rPr>
      </w:pPr>
      <w:r>
        <w:rPr>
          <w:rFonts w:hint="eastAsia" w:ascii="宋体" w:hAnsi="宋体"/>
          <w:sz w:val="24"/>
        </w:rPr>
        <w:t>（五）不得向承包人介绍或推荐其配偶、子女及其他亲属参与承包人同发包人建设项目有关的经济活动。</w:t>
      </w:r>
    </w:p>
    <w:p>
      <w:pPr>
        <w:widowControl w:val="0"/>
        <w:adjustRightInd w:val="0"/>
        <w:snapToGrid w:val="0"/>
        <w:spacing w:line="312" w:lineRule="auto"/>
        <w:ind w:firstLine="482"/>
        <w:jc w:val="both"/>
        <w:rPr>
          <w:rFonts w:ascii="宋体" w:hAnsi="宋体"/>
          <w:sz w:val="24"/>
        </w:rPr>
      </w:pPr>
      <w:r>
        <w:rPr>
          <w:rFonts w:hint="eastAsia" w:ascii="宋体" w:hAnsi="宋体"/>
          <w:sz w:val="24"/>
        </w:rPr>
        <w:t>（六）不得以任何理由向承包人推荐分包单位或要求承包人购买项目合同规定以外的材料、设备和服务等。</w:t>
      </w:r>
    </w:p>
    <w:p>
      <w:pPr>
        <w:widowControl w:val="0"/>
        <w:adjustRightInd w:val="0"/>
        <w:snapToGrid w:val="0"/>
        <w:spacing w:line="312" w:lineRule="auto"/>
        <w:ind w:firstLine="482"/>
        <w:jc w:val="both"/>
        <w:rPr>
          <w:rFonts w:ascii="宋体" w:hAnsi="宋体"/>
          <w:sz w:val="24"/>
        </w:rPr>
      </w:pPr>
      <w:r>
        <w:rPr>
          <w:rFonts w:hint="eastAsia" w:ascii="宋体" w:hAnsi="宋体"/>
          <w:sz w:val="24"/>
        </w:rPr>
        <w:t>（七）其它与项目有关的党风廉政建设和预防腐败的规定。</w:t>
      </w:r>
    </w:p>
    <w:p>
      <w:pPr>
        <w:widowControl w:val="0"/>
        <w:adjustRightInd w:val="0"/>
        <w:snapToGrid w:val="0"/>
        <w:spacing w:line="312" w:lineRule="auto"/>
        <w:ind w:firstLine="482"/>
        <w:jc w:val="both"/>
        <w:rPr>
          <w:rFonts w:ascii="宋体" w:hAnsi="宋体"/>
          <w:sz w:val="24"/>
        </w:rPr>
      </w:pPr>
      <w:bookmarkStart w:id="17" w:name="_Toc11848"/>
      <w:bookmarkStart w:id="18" w:name="_Toc282076317"/>
      <w:bookmarkStart w:id="19" w:name="_Toc14483"/>
      <w:r>
        <w:rPr>
          <w:rFonts w:hint="eastAsia" w:ascii="宋体" w:hAnsi="宋体"/>
          <w:sz w:val="24"/>
        </w:rPr>
        <w:t>第三条</w:t>
      </w:r>
      <w:r>
        <w:rPr>
          <w:rFonts w:ascii="宋体" w:hAnsi="宋体"/>
          <w:sz w:val="24"/>
        </w:rPr>
        <w:t xml:space="preserve">  </w:t>
      </w:r>
      <w:r>
        <w:rPr>
          <w:rFonts w:hint="eastAsia" w:ascii="宋体" w:hAnsi="宋体"/>
          <w:sz w:val="24"/>
        </w:rPr>
        <w:t>承包人的责任</w:t>
      </w:r>
      <w:bookmarkEnd w:id="17"/>
      <w:bookmarkEnd w:id="18"/>
      <w:bookmarkEnd w:id="19"/>
    </w:p>
    <w:p>
      <w:pPr>
        <w:widowControl w:val="0"/>
        <w:adjustRightInd w:val="0"/>
        <w:snapToGrid w:val="0"/>
        <w:spacing w:line="312" w:lineRule="auto"/>
        <w:ind w:firstLine="482"/>
        <w:jc w:val="both"/>
        <w:rPr>
          <w:rFonts w:ascii="宋体" w:hAnsi="宋体"/>
          <w:sz w:val="24"/>
        </w:rPr>
      </w:pPr>
      <w:r>
        <w:rPr>
          <w:rFonts w:hint="eastAsia" w:ascii="宋体" w:hAnsi="宋体"/>
          <w:sz w:val="24"/>
        </w:rPr>
        <w:t>应与发包人保持正常的业务交往，按照有关法律法规和程序开展业务工作，严格执行工程建设的有关方针、政策，并遵守以下规定：</w:t>
      </w:r>
    </w:p>
    <w:p>
      <w:pPr>
        <w:widowControl w:val="0"/>
        <w:adjustRightInd w:val="0"/>
        <w:snapToGrid w:val="0"/>
        <w:spacing w:line="312" w:lineRule="auto"/>
        <w:ind w:firstLine="482"/>
        <w:jc w:val="both"/>
        <w:rPr>
          <w:rFonts w:ascii="宋体" w:hAnsi="宋体"/>
          <w:sz w:val="24"/>
        </w:rPr>
      </w:pPr>
      <w:r>
        <w:rPr>
          <w:rFonts w:hint="eastAsia" w:ascii="宋体" w:hAnsi="宋体"/>
          <w:sz w:val="24"/>
        </w:rPr>
        <w:t>（一）不得以任何理由向发包人工作人员赠送礼金、有价证券、贵重物品和回扣、好处费、感谢费等。</w:t>
      </w:r>
    </w:p>
    <w:p>
      <w:pPr>
        <w:widowControl w:val="0"/>
        <w:adjustRightInd w:val="0"/>
        <w:snapToGrid w:val="0"/>
        <w:spacing w:line="312" w:lineRule="auto"/>
        <w:ind w:firstLine="482"/>
        <w:jc w:val="both"/>
        <w:rPr>
          <w:rFonts w:ascii="宋体" w:hAnsi="宋体"/>
          <w:sz w:val="24"/>
        </w:rPr>
      </w:pPr>
      <w:r>
        <w:rPr>
          <w:rFonts w:hint="eastAsia" w:ascii="宋体" w:hAnsi="宋体"/>
          <w:sz w:val="24"/>
        </w:rPr>
        <w:t>（二）不得以任何理由为发包人工作人员报销应由其个人支付的费用。</w:t>
      </w:r>
    </w:p>
    <w:p>
      <w:pPr>
        <w:widowControl w:val="0"/>
        <w:adjustRightInd w:val="0"/>
        <w:snapToGrid w:val="0"/>
        <w:spacing w:line="312" w:lineRule="auto"/>
        <w:ind w:firstLine="482"/>
        <w:jc w:val="both"/>
        <w:rPr>
          <w:rFonts w:ascii="宋体" w:hAnsi="宋体"/>
          <w:sz w:val="24"/>
        </w:rPr>
      </w:pPr>
      <w:r>
        <w:rPr>
          <w:rFonts w:hint="eastAsia" w:ascii="宋体" w:hAnsi="宋体"/>
          <w:sz w:val="24"/>
        </w:rPr>
        <w:t>（三）不得为发包人工作人员装修住房或为其配偶、子女的工作安排以及出国（境）、旅游等提供方便。</w:t>
      </w:r>
    </w:p>
    <w:p>
      <w:pPr>
        <w:widowControl w:val="0"/>
        <w:adjustRightInd w:val="0"/>
        <w:snapToGrid w:val="0"/>
        <w:spacing w:line="312" w:lineRule="auto"/>
        <w:ind w:firstLine="482"/>
        <w:jc w:val="both"/>
        <w:rPr>
          <w:rFonts w:ascii="宋体" w:hAnsi="宋体"/>
          <w:sz w:val="24"/>
        </w:rPr>
      </w:pPr>
      <w:r>
        <w:rPr>
          <w:rFonts w:hint="eastAsia" w:ascii="宋体" w:hAnsi="宋体"/>
          <w:sz w:val="24"/>
        </w:rPr>
        <w:t>（四）不得以任何理由邀请发包人工作人员参加有可能影响公正执行公务的宴请、健身、娱乐等活动。</w:t>
      </w:r>
    </w:p>
    <w:p>
      <w:pPr>
        <w:widowControl w:val="0"/>
        <w:adjustRightInd w:val="0"/>
        <w:snapToGrid w:val="0"/>
        <w:spacing w:line="312" w:lineRule="auto"/>
        <w:ind w:firstLine="482"/>
        <w:jc w:val="both"/>
        <w:rPr>
          <w:rFonts w:ascii="宋体" w:hAnsi="宋体"/>
          <w:sz w:val="24"/>
        </w:rPr>
      </w:pPr>
      <w:bookmarkStart w:id="20" w:name="OLE_LINK1"/>
      <w:r>
        <w:rPr>
          <w:rFonts w:hint="eastAsia" w:ascii="宋体" w:hAnsi="宋体"/>
          <w:sz w:val="24"/>
        </w:rPr>
        <w:t>（五）其它与项目有关的党风廉政建设和预防腐败的规定。</w:t>
      </w:r>
    </w:p>
    <w:bookmarkEnd w:id="20"/>
    <w:p>
      <w:pPr>
        <w:widowControl w:val="0"/>
        <w:adjustRightInd w:val="0"/>
        <w:snapToGrid w:val="0"/>
        <w:spacing w:line="312" w:lineRule="auto"/>
        <w:ind w:firstLine="482"/>
        <w:jc w:val="both"/>
        <w:rPr>
          <w:rFonts w:ascii="宋体" w:hAnsi="宋体"/>
          <w:sz w:val="24"/>
        </w:rPr>
      </w:pPr>
      <w:bookmarkStart w:id="21" w:name="_Toc32291"/>
      <w:bookmarkStart w:id="22" w:name="_Toc9799"/>
      <w:bookmarkStart w:id="23" w:name="OLE_LINK2"/>
      <w:r>
        <w:rPr>
          <w:rFonts w:hint="eastAsia" w:ascii="宋体" w:hAnsi="宋体"/>
          <w:sz w:val="24"/>
        </w:rPr>
        <w:t>第四条</w:t>
      </w:r>
      <w:r>
        <w:rPr>
          <w:rFonts w:ascii="宋体" w:hAnsi="宋体"/>
          <w:sz w:val="24"/>
        </w:rPr>
        <w:t xml:space="preserve">  </w:t>
      </w:r>
      <w:r>
        <w:rPr>
          <w:rFonts w:hint="eastAsia" w:ascii="宋体" w:hAnsi="宋体"/>
          <w:sz w:val="24"/>
        </w:rPr>
        <w:t>违约责任</w:t>
      </w:r>
      <w:bookmarkEnd w:id="21"/>
      <w:bookmarkEnd w:id="22"/>
    </w:p>
    <w:bookmarkEnd w:id="23"/>
    <w:p>
      <w:pPr>
        <w:widowControl w:val="0"/>
        <w:adjustRightInd w:val="0"/>
        <w:snapToGrid w:val="0"/>
        <w:spacing w:line="312" w:lineRule="auto"/>
        <w:ind w:firstLine="482"/>
        <w:jc w:val="both"/>
        <w:rPr>
          <w:rFonts w:ascii="宋体" w:hAnsi="宋体"/>
          <w:sz w:val="24"/>
        </w:rPr>
      </w:pPr>
      <w:r>
        <w:rPr>
          <w:rFonts w:hint="eastAsia" w:ascii="宋体" w:hAnsi="宋体"/>
          <w:sz w:val="24"/>
        </w:rPr>
        <w:t>（一）发包人工作人员有违反本合同第一、二条行为的，经调查属实，依据有关法律法规和规定给予党纪、政纪处分或组织处理；涉嫌犯罪的，移交司法机关追究刑事责任；给承包人造成经济损失的，发包人应予以赔偿。</w:t>
      </w:r>
    </w:p>
    <w:p>
      <w:pPr>
        <w:widowControl w:val="0"/>
        <w:adjustRightInd w:val="0"/>
        <w:snapToGrid w:val="0"/>
        <w:spacing w:line="312" w:lineRule="auto"/>
        <w:ind w:firstLine="482"/>
        <w:jc w:val="both"/>
        <w:rPr>
          <w:rFonts w:ascii="宋体" w:hAnsi="宋体"/>
          <w:sz w:val="24"/>
        </w:rPr>
      </w:pPr>
      <w:r>
        <w:rPr>
          <w:rFonts w:hint="eastAsia" w:ascii="宋体" w:hAnsi="宋体"/>
          <w:sz w:val="24"/>
        </w:rPr>
        <w:t>（二）承包人工作人员有违反本合同第一、三条行为的，经调查属实，依据有关法律法规和规定给予以下相应处理；给发包人造成经济损失的，承包人应予以赔偿；情节严重的，发包人建议交通工程建设主管部门给予一至三年不得进入交通建设市场的处罚；涉嫌犯罪的，移交司法机关追究刑事责任。</w:t>
      </w:r>
    </w:p>
    <w:p>
      <w:pPr>
        <w:widowControl w:val="0"/>
        <w:adjustRightInd w:val="0"/>
        <w:snapToGrid w:val="0"/>
        <w:spacing w:line="312" w:lineRule="auto"/>
        <w:ind w:firstLine="482"/>
        <w:jc w:val="both"/>
        <w:rPr>
          <w:rFonts w:ascii="宋体" w:hAnsi="宋体"/>
          <w:sz w:val="24"/>
        </w:rPr>
      </w:pPr>
      <w:r>
        <w:rPr>
          <w:rFonts w:hint="eastAsia" w:ascii="宋体" w:hAnsi="宋体"/>
          <w:sz w:val="24"/>
        </w:rPr>
        <w:t>（三）双方约定：本合同由发包人或发包人上级单位的纪检监察机关负责监督执行。由发包人或发包人上级单位的纪检监察机关约请承包人行业主管部门的纪检监察机关对本合同执行情况进行检查，提出在本合同规定范围内的裁定意见。</w:t>
      </w:r>
    </w:p>
    <w:p>
      <w:pPr>
        <w:widowControl w:val="0"/>
        <w:adjustRightInd w:val="0"/>
        <w:snapToGrid w:val="0"/>
        <w:spacing w:line="312" w:lineRule="auto"/>
        <w:ind w:firstLine="482"/>
        <w:jc w:val="both"/>
        <w:rPr>
          <w:rFonts w:ascii="宋体" w:hAnsi="宋体"/>
          <w:sz w:val="24"/>
        </w:rPr>
      </w:pPr>
      <w:bookmarkStart w:id="24" w:name="_Toc9354"/>
      <w:bookmarkStart w:id="25" w:name="_Toc28966"/>
      <w:r>
        <w:rPr>
          <w:rFonts w:hint="eastAsia" w:ascii="宋体" w:hAnsi="宋体"/>
          <w:sz w:val="24"/>
        </w:rPr>
        <w:t>第五条　本合同作为甲、乙双方主合同的附件，与主合同具有同等法律效力。经双方签署后立即生效，项目决算审计后合同效力终止</w:t>
      </w:r>
      <w:bookmarkEnd w:id="24"/>
      <w:bookmarkEnd w:id="25"/>
      <w:r>
        <w:rPr>
          <w:rFonts w:hint="eastAsia" w:ascii="宋体" w:hAnsi="宋体"/>
          <w:sz w:val="24"/>
        </w:rPr>
        <w:t>。</w:t>
      </w:r>
    </w:p>
    <w:tbl>
      <w:tblPr>
        <w:tblStyle w:val="38"/>
        <w:tblW w:w="94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0"/>
        <w:gridCol w:w="2977"/>
        <w:gridCol w:w="1880"/>
        <w:gridCol w:w="29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627"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c>
          <w:tcPr>
            <w:tcW w:w="4852"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岳阳城陵矶新港有限公司</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岳阳市城陵矶临港新区新港办公楼</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Theme="minorEastAsia"/>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0730-8422017</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交通银行云溪支行</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43660072001801000 6451</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91430600 66166 8630D</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414000</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themeColor="text1"/>
                <w:szCs w:val="21"/>
                <w14:textFill>
                  <w14:solidFill>
                    <w14:schemeClr w14:val="tx1"/>
                  </w14:solidFill>
                </w14:textFill>
              </w:rPr>
            </w:pPr>
          </w:p>
        </w:tc>
      </w:tr>
    </w:tbl>
    <w:p>
      <w:pPr>
        <w:spacing w:line="240" w:lineRule="auto"/>
        <w:rPr>
          <w:rFonts w:ascii="黑体" w:hAnsi="黑体" w:eastAsia="黑体" w:cs="仿宋"/>
          <w:b/>
          <w:color w:val="000000"/>
          <w:sz w:val="36"/>
          <w:szCs w:val="36"/>
        </w:rPr>
      </w:pPr>
      <w:r>
        <w:rPr>
          <w:rFonts w:hint="eastAsia" w:ascii="黑体" w:hAnsi="黑体" w:eastAsia="黑体" w:cs="仿宋"/>
          <w:b/>
          <w:color w:val="000000"/>
          <w:sz w:val="36"/>
          <w:szCs w:val="36"/>
        </w:rPr>
        <w:br w:type="page"/>
      </w:r>
    </w:p>
    <w:p>
      <w:pPr>
        <w:spacing w:line="360"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采购项目名称 :</w:t>
      </w:r>
      <w:r>
        <w:rPr>
          <w:rFonts w:hint="eastAsia" w:ascii="宋体" w:hAnsi="宋体"/>
          <w:sz w:val="24"/>
        </w:rPr>
        <w:t>岳阳新港城陵矶有限公司岸桥、场桥起升变频器采购项目</w:t>
      </w:r>
    </w:p>
    <w:p>
      <w:pPr>
        <w:adjustRightInd w:val="0"/>
        <w:snapToGrid w:val="0"/>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数量：岸桥起升变频器1台</w:t>
      </w:r>
      <w:r>
        <w:rPr>
          <w:rFonts w:ascii="宋体" w:hAnsi="宋体"/>
          <w:color w:val="000000" w:themeColor="text1"/>
          <w:sz w:val="24"/>
          <w14:textFill>
            <w14:solidFill>
              <w14:schemeClr w14:val="tx1"/>
            </w14:solidFill>
          </w14:textFill>
        </w:rPr>
        <w:t>，场桥起升变频器</w:t>
      </w:r>
      <w:r>
        <w:rPr>
          <w:rFonts w:hint="eastAsia" w:ascii="宋体" w:hAnsi="宋体"/>
          <w:color w:val="000000" w:themeColor="text1"/>
          <w:sz w:val="24"/>
          <w14:textFill>
            <w14:solidFill>
              <w14:schemeClr w14:val="tx1"/>
            </w14:solidFill>
          </w14:textFill>
        </w:rPr>
        <w:t>2台</w:t>
      </w:r>
    </w:p>
    <w:p>
      <w:pPr>
        <w:spacing w:line="312" w:lineRule="auto"/>
        <w:rPr>
          <w:rFonts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用途的简要说明：</w:t>
      </w:r>
      <w:r>
        <w:rPr>
          <w:rFonts w:hint="eastAsia" w:hAnsi="宋体"/>
          <w:color w:val="000000" w:themeColor="text1"/>
          <w:sz w:val="24"/>
          <w:u w:val="single"/>
          <w14:textFill>
            <w14:solidFill>
              <w14:schemeClr w14:val="tx1"/>
            </w14:solidFill>
          </w14:textFill>
        </w:rPr>
        <w:t>岸桥、场桥起升电机驱动用。</w:t>
      </w:r>
    </w:p>
    <w:p>
      <w:pPr>
        <w:adjustRightInd w:val="0"/>
        <w:snapToGrid w:val="0"/>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w:t>
      </w:r>
      <w:r>
        <w:rPr>
          <w:rFonts w:hint="eastAsia" w:ascii="宋体" w:hAnsi="宋体"/>
          <w:color w:val="000000" w:themeColor="text1"/>
          <w:sz w:val="24"/>
          <w14:textFill>
            <w14:solidFill>
              <w14:schemeClr w14:val="tx1"/>
            </w14:solidFill>
          </w14:textFill>
        </w:rPr>
        <w:t>技术规格、参数与要求：</w:t>
      </w:r>
    </w:p>
    <w:p>
      <w:pPr>
        <w:adjustRightInd w:val="0"/>
        <w:snapToGrid w:val="0"/>
        <w:ind w:firstLine="240" w:firstLineChars="100"/>
        <w:rPr>
          <w:rFonts w:ascii="宋体" w:hAnsi="宋体"/>
          <w:sz w:val="24"/>
        </w:rPr>
      </w:pPr>
      <w:r>
        <w:rPr>
          <w:rFonts w:hint="eastAsia" w:ascii="宋体" w:hAnsi="宋体"/>
          <w:color w:val="000000" w:themeColor="text1"/>
          <w:sz w:val="24"/>
          <w14:textFill>
            <w14:solidFill>
              <w14:schemeClr w14:val="tx1"/>
            </w14:solidFill>
          </w14:textFill>
        </w:rPr>
        <w:t>1.</w:t>
      </w:r>
      <w:r>
        <w:rPr>
          <w:rFonts w:hint="eastAsia" w:ascii="宋体" w:hAnsi="宋体"/>
          <w:sz w:val="24"/>
        </w:rPr>
        <w:t>改造升级</w:t>
      </w:r>
      <w:r>
        <w:rPr>
          <w:rFonts w:ascii="宋体" w:hAnsi="宋体"/>
          <w:sz w:val="24"/>
        </w:rPr>
        <w:t>的</w:t>
      </w:r>
      <w:r>
        <w:rPr>
          <w:rFonts w:hint="eastAsia" w:ascii="宋体" w:hAnsi="宋体"/>
          <w:sz w:val="24"/>
        </w:rPr>
        <w:t>起升变频器型号参数如下表：</w:t>
      </w:r>
    </w:p>
    <w:tbl>
      <w:tblPr>
        <w:tblStyle w:val="38"/>
        <w:tblpPr w:leftFromText="180" w:rightFromText="180" w:vertAnchor="text" w:horzAnchor="page" w:tblpX="1566" w:tblpY="168"/>
        <w:tblOverlap w:val="never"/>
        <w:tblW w:w="9303"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878"/>
        <w:gridCol w:w="3120"/>
        <w:gridCol w:w="1581"/>
        <w:gridCol w:w="2724"/>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72" w:hRule="atLeast"/>
        </w:trPr>
        <w:tc>
          <w:tcPr>
            <w:tcW w:w="1878" w:type="dxa"/>
            <w:tcBorders>
              <w:top w:val="single" w:color="auto" w:sz="4" w:space="0"/>
              <w:left w:val="single" w:color="auto" w:sz="4" w:space="0"/>
            </w:tcBorders>
            <w:vAlign w:val="center"/>
          </w:tcPr>
          <w:p>
            <w:pPr>
              <w:spacing w:line="312" w:lineRule="auto"/>
              <w:jc w:val="center"/>
              <w:rPr>
                <w:rFonts w:ascii="宋体" w:hAnsi="宋体"/>
                <w:b/>
                <w:bCs/>
                <w:sz w:val="24"/>
              </w:rPr>
            </w:pPr>
            <w:r>
              <w:rPr>
                <w:rFonts w:hint="eastAsia" w:ascii="宋体" w:hAnsi="宋体"/>
                <w:b/>
                <w:bCs/>
                <w:sz w:val="24"/>
              </w:rPr>
              <w:t>名称</w:t>
            </w:r>
          </w:p>
        </w:tc>
        <w:tc>
          <w:tcPr>
            <w:tcW w:w="3120" w:type="dxa"/>
            <w:tcBorders>
              <w:top w:val="single" w:color="auto" w:sz="4" w:space="0"/>
            </w:tcBorders>
            <w:vAlign w:val="center"/>
          </w:tcPr>
          <w:p>
            <w:pPr>
              <w:spacing w:line="312" w:lineRule="auto"/>
              <w:jc w:val="center"/>
              <w:rPr>
                <w:rFonts w:ascii="宋体" w:hAnsi="宋体"/>
                <w:b/>
                <w:bCs/>
                <w:sz w:val="24"/>
              </w:rPr>
            </w:pPr>
            <w:r>
              <w:rPr>
                <w:rFonts w:hint="eastAsia" w:ascii="宋体" w:hAnsi="宋体"/>
                <w:b/>
                <w:bCs/>
                <w:sz w:val="24"/>
              </w:rPr>
              <w:t>型号</w:t>
            </w:r>
          </w:p>
        </w:tc>
        <w:tc>
          <w:tcPr>
            <w:tcW w:w="1581" w:type="dxa"/>
            <w:tcBorders>
              <w:top w:val="single" w:color="auto" w:sz="4" w:space="0"/>
            </w:tcBorders>
            <w:vAlign w:val="center"/>
          </w:tcPr>
          <w:p>
            <w:pPr>
              <w:spacing w:line="312" w:lineRule="auto"/>
              <w:jc w:val="center"/>
              <w:rPr>
                <w:rFonts w:ascii="宋体" w:hAnsi="宋体"/>
                <w:b/>
                <w:bCs/>
                <w:sz w:val="24"/>
              </w:rPr>
            </w:pPr>
            <w:r>
              <w:rPr>
                <w:rFonts w:hint="eastAsia" w:ascii="宋体" w:hAnsi="宋体"/>
                <w:b/>
                <w:bCs/>
                <w:sz w:val="24"/>
              </w:rPr>
              <w:t>额定功率</w:t>
            </w:r>
          </w:p>
        </w:tc>
        <w:tc>
          <w:tcPr>
            <w:tcW w:w="2724" w:type="dxa"/>
            <w:tcBorders>
              <w:top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电压等级</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41" w:hRule="atLeast"/>
        </w:trPr>
        <w:tc>
          <w:tcPr>
            <w:tcW w:w="1878" w:type="dxa"/>
            <w:tcBorders>
              <w:left w:val="single" w:color="auto" w:sz="4" w:space="0"/>
            </w:tcBorders>
            <w:vAlign w:val="center"/>
          </w:tcPr>
          <w:p>
            <w:pPr>
              <w:spacing w:line="312" w:lineRule="auto"/>
              <w:jc w:val="center"/>
              <w:rPr>
                <w:rFonts w:ascii="宋体" w:hAnsi="宋体"/>
                <w:sz w:val="24"/>
              </w:rPr>
            </w:pPr>
            <w:r>
              <w:rPr>
                <w:rFonts w:hint="eastAsia" w:ascii="宋体" w:hAnsi="宋体"/>
                <w:sz w:val="24"/>
              </w:rPr>
              <w:t>起升变频器</w:t>
            </w:r>
          </w:p>
        </w:tc>
        <w:tc>
          <w:tcPr>
            <w:tcW w:w="3120" w:type="dxa"/>
            <w:vAlign w:val="center"/>
          </w:tcPr>
          <w:p>
            <w:pPr>
              <w:spacing w:line="312" w:lineRule="auto"/>
              <w:jc w:val="center"/>
              <w:rPr>
                <w:rFonts w:ascii="宋体" w:hAnsi="宋体"/>
                <w:sz w:val="24"/>
              </w:rPr>
            </w:pPr>
            <w:r>
              <w:rPr>
                <w:rFonts w:hint="eastAsia" w:ascii="宋体" w:hAnsi="宋体"/>
                <w:sz w:val="24"/>
              </w:rPr>
              <w:t>HF500-355-4</w:t>
            </w:r>
          </w:p>
        </w:tc>
        <w:tc>
          <w:tcPr>
            <w:tcW w:w="1581" w:type="dxa"/>
            <w:vAlign w:val="center"/>
          </w:tcPr>
          <w:p>
            <w:pPr>
              <w:spacing w:line="312" w:lineRule="auto"/>
              <w:jc w:val="center"/>
              <w:rPr>
                <w:rFonts w:ascii="宋体" w:hAnsi="宋体"/>
                <w:sz w:val="24"/>
              </w:rPr>
            </w:pPr>
            <w:r>
              <w:rPr>
                <w:rFonts w:hint="eastAsia" w:ascii="宋体" w:hAnsi="宋体"/>
                <w:sz w:val="24"/>
              </w:rPr>
              <w:t>355kw</w:t>
            </w:r>
          </w:p>
        </w:tc>
        <w:tc>
          <w:tcPr>
            <w:tcW w:w="2724" w:type="dxa"/>
            <w:tcBorders>
              <w:right w:val="single" w:color="auto" w:sz="4" w:space="0"/>
            </w:tcBorders>
            <w:vAlign w:val="center"/>
          </w:tcPr>
          <w:p>
            <w:pPr>
              <w:spacing w:line="312" w:lineRule="auto"/>
              <w:jc w:val="center"/>
              <w:rPr>
                <w:rFonts w:ascii="宋体" w:hAnsi="宋体"/>
                <w:sz w:val="24"/>
              </w:rPr>
            </w:pPr>
            <w:r>
              <w:rPr>
                <w:rFonts w:hint="eastAsia" w:ascii="宋体" w:hAnsi="宋体"/>
                <w:sz w:val="24"/>
              </w:rPr>
              <w:t>400v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5" w:hRule="atLeast"/>
        </w:trPr>
        <w:tc>
          <w:tcPr>
            <w:tcW w:w="187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输入</w:t>
            </w:r>
          </w:p>
        </w:tc>
        <w:tc>
          <w:tcPr>
            <w:tcW w:w="312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AC3PH 380V-460V 50/60Hz</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输出</w:t>
            </w:r>
          </w:p>
        </w:tc>
        <w:tc>
          <w:tcPr>
            <w:tcW w:w="272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AC3PH 0-460V 0-300Hz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3" w:hRule="atLeast"/>
        </w:trPr>
        <w:tc>
          <w:tcPr>
            <w:tcW w:w="499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轻过载工况</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重过载工况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0" w:hRule="atLeast"/>
        </w:trPr>
        <w:tc>
          <w:tcPr>
            <w:tcW w:w="187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输出电流</w:t>
            </w:r>
          </w:p>
        </w:tc>
        <w:tc>
          <w:tcPr>
            <w:tcW w:w="312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最大适用电机容量</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输出电流</w:t>
            </w:r>
          </w:p>
        </w:tc>
        <w:tc>
          <w:tcPr>
            <w:tcW w:w="272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最大适用电机容量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3" w:hRule="atLeast"/>
        </w:trPr>
        <w:tc>
          <w:tcPr>
            <w:tcW w:w="187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665A</w:t>
            </w:r>
          </w:p>
        </w:tc>
        <w:tc>
          <w:tcPr>
            <w:tcW w:w="312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355kw</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580A</w:t>
            </w:r>
          </w:p>
        </w:tc>
        <w:tc>
          <w:tcPr>
            <w:tcW w:w="272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315kw</w:t>
            </w:r>
          </w:p>
        </w:tc>
      </w:tr>
    </w:tbl>
    <w:p>
      <w:pPr>
        <w:spacing w:line="312" w:lineRule="auto"/>
      </w:pPr>
    </w:p>
    <w:p>
      <w:pPr>
        <w:pStyle w:val="37"/>
        <w:spacing w:line="312" w:lineRule="auto"/>
        <w:ind w:left="0" w:firstLine="240" w:firstLineChars="100"/>
        <w:rPr>
          <w:rFonts w:ascii="宋体" w:hAnsi="宋体"/>
          <w:sz w:val="24"/>
          <w:szCs w:val="24"/>
        </w:rPr>
      </w:pPr>
      <w:r>
        <w:rPr>
          <w:rFonts w:ascii="宋体" w:hAnsi="宋体"/>
          <w:sz w:val="24"/>
          <w:szCs w:val="24"/>
        </w:rPr>
        <w:t>2</w:t>
      </w:r>
      <w:r>
        <w:rPr>
          <w:rFonts w:hint="eastAsia" w:ascii="宋体" w:hAnsi="宋体"/>
          <w:sz w:val="24"/>
          <w:szCs w:val="24"/>
        </w:rPr>
        <w:t>.场桥桥改造升级</w:t>
      </w:r>
      <w:r>
        <w:rPr>
          <w:rFonts w:ascii="宋体" w:hAnsi="宋体"/>
          <w:sz w:val="24"/>
          <w:szCs w:val="24"/>
        </w:rPr>
        <w:t>的</w:t>
      </w:r>
      <w:r>
        <w:rPr>
          <w:rFonts w:hint="eastAsia" w:ascii="宋体" w:hAnsi="宋体"/>
          <w:sz w:val="24"/>
          <w:szCs w:val="24"/>
        </w:rPr>
        <w:t>起升变频器型号参数如下表：</w:t>
      </w:r>
    </w:p>
    <w:tbl>
      <w:tblPr>
        <w:tblStyle w:val="38"/>
        <w:tblpPr w:leftFromText="180" w:rightFromText="180" w:vertAnchor="text" w:horzAnchor="page" w:tblpX="1485" w:tblpY="168"/>
        <w:tblOverlap w:val="never"/>
        <w:tblW w:w="9356"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987"/>
        <w:gridCol w:w="3106"/>
        <w:gridCol w:w="1581"/>
        <w:gridCol w:w="2682"/>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88" w:hRule="atLeast"/>
        </w:trPr>
        <w:tc>
          <w:tcPr>
            <w:tcW w:w="1987" w:type="dxa"/>
            <w:tcBorders>
              <w:top w:val="single" w:color="auto" w:sz="4" w:space="0"/>
              <w:left w:val="single" w:color="auto" w:sz="4" w:space="0"/>
            </w:tcBorders>
            <w:vAlign w:val="center"/>
          </w:tcPr>
          <w:p>
            <w:pPr>
              <w:spacing w:line="312" w:lineRule="auto"/>
              <w:jc w:val="center"/>
              <w:rPr>
                <w:rFonts w:ascii="宋体" w:hAnsi="宋体"/>
                <w:b/>
                <w:bCs/>
                <w:sz w:val="24"/>
              </w:rPr>
            </w:pPr>
            <w:r>
              <w:rPr>
                <w:rFonts w:hint="eastAsia" w:ascii="宋体" w:hAnsi="宋体"/>
                <w:b/>
                <w:bCs/>
                <w:sz w:val="24"/>
              </w:rPr>
              <w:t>名称</w:t>
            </w:r>
          </w:p>
        </w:tc>
        <w:tc>
          <w:tcPr>
            <w:tcW w:w="3106" w:type="dxa"/>
            <w:tcBorders>
              <w:top w:val="single" w:color="auto" w:sz="4" w:space="0"/>
            </w:tcBorders>
            <w:vAlign w:val="center"/>
          </w:tcPr>
          <w:p>
            <w:pPr>
              <w:spacing w:line="312" w:lineRule="auto"/>
              <w:jc w:val="center"/>
              <w:rPr>
                <w:rFonts w:ascii="宋体" w:hAnsi="宋体"/>
                <w:b/>
                <w:bCs/>
                <w:sz w:val="24"/>
              </w:rPr>
            </w:pPr>
            <w:r>
              <w:rPr>
                <w:rFonts w:hint="eastAsia" w:ascii="宋体" w:hAnsi="宋体"/>
                <w:b/>
                <w:bCs/>
                <w:sz w:val="24"/>
              </w:rPr>
              <w:t>型号</w:t>
            </w:r>
          </w:p>
        </w:tc>
        <w:tc>
          <w:tcPr>
            <w:tcW w:w="1581" w:type="dxa"/>
            <w:tcBorders>
              <w:top w:val="single" w:color="auto" w:sz="4" w:space="0"/>
            </w:tcBorders>
            <w:vAlign w:val="center"/>
          </w:tcPr>
          <w:p>
            <w:pPr>
              <w:spacing w:line="312" w:lineRule="auto"/>
              <w:jc w:val="center"/>
              <w:rPr>
                <w:rFonts w:ascii="宋体" w:hAnsi="宋体"/>
                <w:b/>
                <w:bCs/>
                <w:sz w:val="24"/>
              </w:rPr>
            </w:pPr>
            <w:r>
              <w:rPr>
                <w:rFonts w:hint="eastAsia" w:ascii="宋体" w:hAnsi="宋体"/>
                <w:b/>
                <w:bCs/>
                <w:sz w:val="24"/>
              </w:rPr>
              <w:t>额定功率</w:t>
            </w:r>
          </w:p>
        </w:tc>
        <w:tc>
          <w:tcPr>
            <w:tcW w:w="2682" w:type="dxa"/>
            <w:tcBorders>
              <w:top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电压等级</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854" w:hRule="atLeast"/>
        </w:trPr>
        <w:tc>
          <w:tcPr>
            <w:tcW w:w="1987" w:type="dxa"/>
            <w:tcBorders>
              <w:left w:val="single" w:color="auto" w:sz="4" w:space="0"/>
            </w:tcBorders>
            <w:vAlign w:val="center"/>
          </w:tcPr>
          <w:p>
            <w:pPr>
              <w:spacing w:line="312" w:lineRule="auto"/>
              <w:jc w:val="center"/>
              <w:rPr>
                <w:rFonts w:ascii="宋体" w:hAnsi="宋体"/>
                <w:sz w:val="24"/>
              </w:rPr>
            </w:pPr>
            <w:r>
              <w:rPr>
                <w:rFonts w:hint="eastAsia" w:ascii="宋体" w:hAnsi="宋体"/>
                <w:sz w:val="24"/>
              </w:rPr>
              <w:t>起升变频器</w:t>
            </w:r>
          </w:p>
        </w:tc>
        <w:tc>
          <w:tcPr>
            <w:tcW w:w="3106" w:type="dxa"/>
            <w:vAlign w:val="center"/>
          </w:tcPr>
          <w:p>
            <w:pPr>
              <w:spacing w:line="312" w:lineRule="auto"/>
              <w:jc w:val="center"/>
              <w:rPr>
                <w:rFonts w:ascii="宋体" w:hAnsi="宋体"/>
                <w:sz w:val="24"/>
              </w:rPr>
            </w:pPr>
            <w:r>
              <w:rPr>
                <w:rFonts w:hint="eastAsia" w:ascii="宋体" w:hAnsi="宋体"/>
                <w:sz w:val="24"/>
              </w:rPr>
              <w:t>HF500-250-4</w:t>
            </w:r>
          </w:p>
        </w:tc>
        <w:tc>
          <w:tcPr>
            <w:tcW w:w="1581" w:type="dxa"/>
            <w:vAlign w:val="center"/>
          </w:tcPr>
          <w:p>
            <w:pPr>
              <w:spacing w:line="312" w:lineRule="auto"/>
              <w:jc w:val="center"/>
              <w:rPr>
                <w:rFonts w:ascii="宋体" w:hAnsi="宋体"/>
                <w:sz w:val="24"/>
              </w:rPr>
            </w:pPr>
            <w:r>
              <w:rPr>
                <w:rFonts w:ascii="宋体" w:hAnsi="宋体"/>
                <w:sz w:val="24"/>
              </w:rPr>
              <w:t>250</w:t>
            </w:r>
            <w:r>
              <w:rPr>
                <w:rFonts w:hint="eastAsia" w:ascii="宋体" w:hAnsi="宋体"/>
                <w:sz w:val="24"/>
              </w:rPr>
              <w:t>kw</w:t>
            </w:r>
          </w:p>
        </w:tc>
        <w:tc>
          <w:tcPr>
            <w:tcW w:w="2682" w:type="dxa"/>
            <w:tcBorders>
              <w:right w:val="single" w:color="auto" w:sz="4" w:space="0"/>
            </w:tcBorders>
            <w:vAlign w:val="center"/>
          </w:tcPr>
          <w:p>
            <w:pPr>
              <w:spacing w:line="312" w:lineRule="auto"/>
              <w:jc w:val="center"/>
              <w:rPr>
                <w:rFonts w:ascii="宋体" w:hAnsi="宋体"/>
                <w:sz w:val="24"/>
              </w:rPr>
            </w:pPr>
            <w:r>
              <w:rPr>
                <w:rFonts w:hint="eastAsia" w:ascii="宋体" w:hAnsi="宋体"/>
                <w:sz w:val="24"/>
              </w:rPr>
              <w:t>400v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198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输入</w:t>
            </w:r>
          </w:p>
        </w:tc>
        <w:tc>
          <w:tcPr>
            <w:tcW w:w="310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AC3PH 380V-460V 50/60Hz</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输出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AC3PH 0-460V 0-300Hz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trPr>
        <w:tc>
          <w:tcPr>
            <w:tcW w:w="5093"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轻过载工况</w:t>
            </w:r>
          </w:p>
        </w:tc>
        <w:tc>
          <w:tcPr>
            <w:tcW w:w="4263"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重过载工况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trPr>
        <w:tc>
          <w:tcPr>
            <w:tcW w:w="198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输出电流</w:t>
            </w:r>
          </w:p>
        </w:tc>
        <w:tc>
          <w:tcPr>
            <w:tcW w:w="310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最大适用电机容量</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输出电流</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b/>
                <w:bCs/>
                <w:sz w:val="24"/>
              </w:rPr>
            </w:pPr>
            <w:r>
              <w:rPr>
                <w:rFonts w:hint="eastAsia" w:ascii="宋体" w:hAnsi="宋体"/>
                <w:b/>
                <w:bCs/>
                <w:sz w:val="24"/>
              </w:rPr>
              <w:t>最大适用电机容量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8" w:hRule="atLeast"/>
        </w:trPr>
        <w:tc>
          <w:tcPr>
            <w:tcW w:w="198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ascii="宋体" w:hAnsi="宋体"/>
                <w:sz w:val="24"/>
              </w:rPr>
              <w:t>485</w:t>
            </w:r>
            <w:r>
              <w:rPr>
                <w:rFonts w:hint="eastAsia" w:ascii="宋体" w:hAnsi="宋体"/>
                <w:sz w:val="24"/>
              </w:rPr>
              <w:t>A</w:t>
            </w:r>
          </w:p>
        </w:tc>
        <w:tc>
          <w:tcPr>
            <w:tcW w:w="310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250kw</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440A</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 w:val="24"/>
              </w:rPr>
            </w:pPr>
            <w:r>
              <w:rPr>
                <w:rFonts w:hint="eastAsia" w:ascii="宋体" w:hAnsi="宋体"/>
                <w:sz w:val="24"/>
              </w:rPr>
              <w:t>220kw</w:t>
            </w:r>
          </w:p>
        </w:tc>
      </w:tr>
    </w:tbl>
    <w:p>
      <w:pPr>
        <w:spacing w:line="312" w:lineRule="auto"/>
        <w:rPr>
          <w:rFonts w:ascii="宋体" w:hAnsi="宋体" w:cs="宋体"/>
          <w:sz w:val="24"/>
        </w:rPr>
      </w:pPr>
    </w:p>
    <w:p>
      <w:pPr>
        <w:spacing w:line="312" w:lineRule="auto"/>
        <w:rPr>
          <w:rFonts w:ascii="宋体" w:hAnsi="宋体" w:cs="宋体"/>
          <w:sz w:val="24"/>
        </w:rPr>
      </w:pPr>
      <w:r>
        <w:rPr>
          <w:rFonts w:hint="eastAsia" w:ascii="宋体" w:hAnsi="宋体" w:cs="宋体"/>
          <w:sz w:val="24"/>
        </w:rPr>
        <w:t>（五）供货范围:</w:t>
      </w:r>
    </w:p>
    <w:p>
      <w:pPr>
        <w:spacing w:line="312" w:lineRule="auto"/>
        <w:ind w:firstLine="480" w:firstLineChars="200"/>
        <w:rPr>
          <w:rFonts w:ascii="宋体" w:hAnsi="宋体" w:cs="宋体"/>
          <w:sz w:val="24"/>
        </w:rPr>
      </w:pPr>
      <w:r>
        <w:rPr>
          <w:rFonts w:hint="eastAsia" w:ascii="宋体" w:hAnsi="宋体" w:cs="宋体"/>
          <w:sz w:val="24"/>
        </w:rPr>
        <w:t>1.1台HF500-355-4变频器采购，2台HF500-250-4变频器采购。</w:t>
      </w:r>
    </w:p>
    <w:p>
      <w:pPr>
        <w:spacing w:line="312" w:lineRule="auto"/>
        <w:ind w:firstLine="480" w:firstLineChars="200"/>
        <w:rPr>
          <w:rFonts w:ascii="宋体" w:hAnsi="宋体" w:cs="宋体"/>
          <w:sz w:val="24"/>
        </w:rPr>
      </w:pPr>
      <w:r>
        <w:rPr>
          <w:rFonts w:hint="eastAsia" w:ascii="宋体" w:hAnsi="宋体" w:cs="宋体"/>
          <w:sz w:val="24"/>
        </w:rPr>
        <w:t>2.旧变频器拆除。</w:t>
      </w:r>
    </w:p>
    <w:p>
      <w:pPr>
        <w:spacing w:line="312" w:lineRule="auto"/>
        <w:ind w:firstLine="480" w:firstLineChars="200"/>
        <w:rPr>
          <w:rFonts w:ascii="宋体" w:hAnsi="宋体" w:cs="宋体"/>
          <w:sz w:val="24"/>
        </w:rPr>
      </w:pPr>
      <w:r>
        <w:rPr>
          <w:rFonts w:hint="eastAsia" w:ascii="宋体" w:hAnsi="宋体" w:cs="宋体"/>
          <w:sz w:val="24"/>
        </w:rPr>
        <w:t>3.新变频器安装调试及线路改造。</w:t>
      </w:r>
    </w:p>
    <w:p>
      <w:pPr>
        <w:numPr>
          <w:ilvl w:val="255"/>
          <w:numId w:val="0"/>
        </w:numPr>
        <w:spacing w:line="312" w:lineRule="auto"/>
        <w:rPr>
          <w:rFonts w:ascii="宋体" w:hAnsi="宋体" w:cs="宋体"/>
          <w:sz w:val="24"/>
        </w:rPr>
      </w:pPr>
      <w:r>
        <w:rPr>
          <w:rFonts w:hint="eastAsia" w:ascii="宋体" w:hAnsi="宋体" w:cs="宋体"/>
          <w:sz w:val="24"/>
        </w:rPr>
        <w:t>（六）附件及零配件、备品备件的要求：</w:t>
      </w:r>
    </w:p>
    <w:p>
      <w:pPr>
        <w:spacing w:line="312" w:lineRule="auto"/>
        <w:ind w:firstLine="480" w:firstLineChars="200"/>
        <w:rPr>
          <w:rFonts w:ascii="宋体" w:hAnsi="宋体" w:cs="宋体"/>
          <w:sz w:val="24"/>
          <w:u w:val="single"/>
        </w:rPr>
      </w:pPr>
      <w:r>
        <w:rPr>
          <w:rFonts w:hint="eastAsia" w:ascii="宋体" w:hAnsi="宋体" w:cs="宋体"/>
          <w:sz w:val="24"/>
          <w:u w:val="single"/>
        </w:rPr>
        <w:t>要求配备变频器改造配套的电缆、电线及控制开关等附件。</w:t>
      </w:r>
    </w:p>
    <w:p>
      <w:pPr>
        <w:numPr>
          <w:ilvl w:val="255"/>
          <w:numId w:val="0"/>
        </w:numPr>
        <w:spacing w:line="312" w:lineRule="auto"/>
        <w:rPr>
          <w:rFonts w:ascii="宋体" w:hAnsi="宋体" w:cs="宋体"/>
          <w:sz w:val="24"/>
        </w:rPr>
      </w:pPr>
      <w:r>
        <w:rPr>
          <w:rFonts w:hint="eastAsia" w:ascii="宋体" w:hAnsi="宋体" w:cs="宋体"/>
          <w:sz w:val="24"/>
        </w:rPr>
        <w:t>（七）验收标准和方法：</w:t>
      </w:r>
    </w:p>
    <w:p>
      <w:pPr>
        <w:spacing w:line="312" w:lineRule="auto"/>
        <w:ind w:firstLine="480" w:firstLineChars="200"/>
        <w:rPr>
          <w:rFonts w:ascii="宋体" w:hAnsi="宋体" w:cs="宋体"/>
          <w:sz w:val="24"/>
        </w:rPr>
      </w:pPr>
      <w:r>
        <w:rPr>
          <w:rFonts w:hint="eastAsia" w:ascii="宋体" w:hAnsi="宋体" w:cs="宋体"/>
          <w:sz w:val="24"/>
        </w:rPr>
        <w:t>1.变频器须为知名品牌，有产品合格证明和质量保证书。</w:t>
      </w:r>
    </w:p>
    <w:p>
      <w:pPr>
        <w:spacing w:line="312" w:lineRule="auto"/>
        <w:ind w:firstLine="480" w:firstLineChars="200"/>
        <w:rPr>
          <w:rFonts w:ascii="宋体" w:hAnsi="宋体" w:cs="宋体"/>
          <w:sz w:val="24"/>
        </w:rPr>
      </w:pPr>
      <w:r>
        <w:rPr>
          <w:rFonts w:hint="eastAsia" w:ascii="宋体" w:hAnsi="宋体" w:cs="宋体"/>
          <w:sz w:val="24"/>
        </w:rPr>
        <w:t>2.变频器改造升级后场桥大车行走性能达到或高于原机起升机构性能，改造完成后考核期为3个月，期内设备满足新港公司生产，无故障、异热等，设备运行平稳。</w:t>
      </w:r>
    </w:p>
    <w:p>
      <w:pPr>
        <w:spacing w:line="312" w:lineRule="auto"/>
        <w:rPr>
          <w:rFonts w:ascii="宋体" w:hAnsi="宋体" w:cs="宋体"/>
          <w:sz w:val="24"/>
        </w:rPr>
      </w:pPr>
      <w:r>
        <w:rPr>
          <w:rFonts w:hint="eastAsia" w:ascii="宋体" w:hAnsi="宋体" w:cs="宋体"/>
          <w:sz w:val="24"/>
        </w:rPr>
        <w:t>（八）安装调试及技术服务要求：</w:t>
      </w:r>
      <w:r>
        <w:rPr>
          <w:rFonts w:hint="eastAsia" w:ascii="宋体" w:hAnsi="宋体" w:cs="宋体"/>
          <w:sz w:val="24"/>
          <w:u w:val="single"/>
        </w:rPr>
        <w:t>卖家应提供产品设备的安装及调试服务。</w:t>
      </w:r>
    </w:p>
    <w:p>
      <w:pPr>
        <w:numPr>
          <w:ilvl w:val="255"/>
          <w:numId w:val="0"/>
        </w:numPr>
        <w:spacing w:line="312" w:lineRule="auto"/>
        <w:rPr>
          <w:rFonts w:ascii="宋体" w:hAnsi="宋体" w:cs="宋体"/>
          <w:sz w:val="24"/>
        </w:rPr>
      </w:pPr>
      <w:r>
        <w:rPr>
          <w:rFonts w:hint="eastAsia" w:ascii="宋体" w:hAnsi="宋体" w:cs="宋体"/>
          <w:sz w:val="24"/>
        </w:rPr>
        <w:t>（九）售后服务的要求：</w:t>
      </w:r>
    </w:p>
    <w:p>
      <w:pPr>
        <w:spacing w:line="312" w:lineRule="auto"/>
        <w:rPr>
          <w:rFonts w:ascii="宋体" w:hAnsi="宋体" w:cs="宋体"/>
          <w:sz w:val="24"/>
        </w:rPr>
      </w:pPr>
      <w:r>
        <w:rPr>
          <w:rFonts w:hint="eastAsia" w:ascii="宋体" w:hAnsi="宋体" w:cs="宋体"/>
          <w:sz w:val="24"/>
        </w:rPr>
        <w:t xml:space="preserve">    1.变频器整机质保为</w:t>
      </w:r>
      <w:r>
        <w:rPr>
          <w:rFonts w:hint="eastAsia" w:ascii="宋体" w:hAnsi="宋体" w:cs="宋体"/>
          <w:sz w:val="24"/>
          <w:u w:val="single"/>
        </w:rPr>
        <w:t>1</w:t>
      </w:r>
      <w:r>
        <w:rPr>
          <w:rFonts w:hint="eastAsia" w:ascii="宋体" w:hAnsi="宋体" w:cs="宋体"/>
          <w:sz w:val="24"/>
        </w:rPr>
        <w:t>年。</w:t>
      </w:r>
    </w:p>
    <w:p>
      <w:pPr>
        <w:pStyle w:val="2"/>
      </w:pPr>
      <w:r>
        <w:rPr>
          <w:rFonts w:hint="eastAsia" w:ascii="宋体" w:hAnsi="宋体" w:cs="宋体"/>
          <w:sz w:val="24"/>
        </w:rPr>
        <w:t xml:space="preserve">    2.自买方验收产品合格后的</w:t>
      </w:r>
      <w:r>
        <w:rPr>
          <w:rFonts w:hint="eastAsia" w:ascii="宋体" w:hAnsi="宋体" w:cs="宋体"/>
          <w:sz w:val="24"/>
          <w:u w:val="single"/>
        </w:rPr>
        <w:t>1</w:t>
      </w:r>
      <w:r>
        <w:rPr>
          <w:rFonts w:hint="eastAsia" w:ascii="宋体" w:hAnsi="宋体" w:cs="宋体"/>
          <w:sz w:val="24"/>
        </w:rPr>
        <w:t>年内，除使用不当所造成的损坏以外的影响产品正常使用的质量问题，卖方应在收到买方通知后</w:t>
      </w:r>
      <w:r>
        <w:rPr>
          <w:rFonts w:hint="eastAsia" w:ascii="宋体" w:hAnsi="宋体" w:cs="宋体"/>
          <w:sz w:val="24"/>
          <w:u w:val="single"/>
        </w:rPr>
        <w:t>2</w:t>
      </w:r>
      <w:r>
        <w:rPr>
          <w:rFonts w:hint="eastAsia" w:ascii="宋体" w:hAnsi="宋体" w:cs="宋体"/>
          <w:sz w:val="24"/>
        </w:rPr>
        <w:t>日内免费负责修复或更换。</w:t>
      </w:r>
    </w:p>
    <w:p>
      <w:pPr>
        <w:spacing w:line="240" w:lineRule="auto"/>
        <w:rPr>
          <w:rFonts w:ascii="仿宋" w:hAnsi="仿宋" w:eastAsia="仿宋" w:cs="仿宋"/>
          <w:sz w:val="30"/>
          <w:szCs w:val="30"/>
        </w:rPr>
      </w:pPr>
      <w:r>
        <w:rPr>
          <w:rFonts w:hint="eastAsia" w:ascii="宋体" w:hAnsi="宋体" w:cs="宋体"/>
          <w:sz w:val="24"/>
        </w:rPr>
        <w:t>（十）其它需要说明的事项：</w:t>
      </w:r>
      <w:r>
        <w:rPr>
          <w:rFonts w:hint="eastAsia" w:ascii="宋体" w:hAnsi="宋体" w:cs="宋体"/>
          <w:sz w:val="24"/>
          <w:u w:val="single"/>
        </w:rPr>
        <w:t>卖方提供改造后变频器接线图纸。</w:t>
      </w:r>
      <w:r>
        <w:rPr>
          <w:rFonts w:ascii="仿宋" w:hAnsi="仿宋" w:eastAsia="仿宋" w:cs="仿宋"/>
          <w:sz w:val="30"/>
          <w:szCs w:val="30"/>
        </w:rPr>
        <w:br w:type="page"/>
      </w:r>
    </w:p>
    <w:p>
      <w:pPr>
        <w:spacing w:line="312"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p>
    <w:p>
      <w:pPr>
        <w:adjustRightInd w:val="0"/>
        <w:snapToGrid w:val="0"/>
        <w:spacing w:line="600" w:lineRule="exact"/>
        <w:jc w:val="both"/>
      </w:pP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三、商务和技术偏差表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四、报价表</w:t>
      </w:r>
    </w:p>
    <w:p>
      <w:pPr>
        <w:adjustRightInd w:val="0"/>
        <w:snapToGrid w:val="0"/>
        <w:spacing w:line="600" w:lineRule="exact"/>
        <w:jc w:val="both"/>
        <w:rPr>
          <w:rFonts w:ascii="宋体" w:hAnsi="宋体" w:cs="仿宋"/>
          <w:sz w:val="24"/>
        </w:rPr>
      </w:pPr>
      <w:r>
        <w:rPr>
          <w:rFonts w:hint="eastAsia" w:ascii="宋体" w:hAnsi="宋体" w:cs="仿宋"/>
          <w:sz w:val="24"/>
        </w:rPr>
        <w:t>五、资格审查资料</w:t>
      </w:r>
    </w:p>
    <w:p>
      <w:pPr>
        <w:adjustRightInd w:val="0"/>
        <w:snapToGrid w:val="0"/>
        <w:spacing w:line="600" w:lineRule="exact"/>
        <w:jc w:val="both"/>
        <w:rPr>
          <w:rFonts w:ascii="宋体" w:hAnsi="宋体" w:cs="仿宋"/>
          <w:sz w:val="24"/>
        </w:rPr>
      </w:pPr>
      <w:r>
        <w:rPr>
          <w:rFonts w:hint="eastAsia" w:ascii="宋体" w:hAnsi="宋体" w:cs="仿宋"/>
          <w:sz w:val="24"/>
        </w:rPr>
        <w:t>六、响应方案</w:t>
      </w:r>
    </w:p>
    <w:p>
      <w:pPr>
        <w:adjustRightInd w:val="0"/>
        <w:snapToGrid w:val="0"/>
        <w:spacing w:line="600" w:lineRule="exact"/>
        <w:jc w:val="both"/>
        <w:rPr>
          <w:rFonts w:ascii="宋体" w:hAnsi="宋体" w:cs="仿宋"/>
          <w:sz w:val="24"/>
        </w:rPr>
      </w:pPr>
      <w:r>
        <w:rPr>
          <w:rFonts w:hint="eastAsia" w:ascii="宋体" w:hAnsi="宋体" w:cs="仿宋"/>
          <w:sz w:val="24"/>
        </w:rPr>
        <w:t>七、其他资料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w:t>
      </w:r>
      <w:r>
        <w:rPr>
          <w:rFonts w:cs="仿宋" w:asciiTheme="minorEastAsia" w:hAnsiTheme="minorEastAsia" w:eastAsiaTheme="minorEastAsia"/>
          <w:sz w:val="24"/>
          <w:u w:val="single"/>
        </w:rPr>
        <w:t xml:space="preserve">__                     </w:t>
      </w:r>
      <w:r>
        <w:rPr>
          <w:rFonts w:hint="eastAsia" w:cs="仿宋" w:asciiTheme="minorEastAsia" w:hAnsiTheme="minorEastAsia" w:eastAsiaTheme="minorEastAsia"/>
          <w:sz w:val="24"/>
        </w:rPr>
        <w:t>(项目名称)采购文件的全部内容，愿意以含税价人民币(大写)(￥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(7)供应商须知前附表规定的其他资料。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asciiTheme="minorEastAsia" w:hAnsiTheme="minorEastAsia" w:eastAsiaTheme="minorEastAsia"/>
          <w:color w:val="000000"/>
          <w:sz w:val="24"/>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2880" w:firstLineChars="12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center"/>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right"/>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三、商务和技术偏差表</w:t>
      </w:r>
    </w:p>
    <w:p>
      <w:pPr>
        <w:spacing w:line="600" w:lineRule="exact"/>
        <w:jc w:val="center"/>
        <w:rPr>
          <w:rFonts w:cs="仿宋" w:asciiTheme="minorEastAsia" w:hAnsiTheme="minorEastAsia" w:eastAsiaTheme="minorEastAsia"/>
          <w:sz w:val="24"/>
        </w:rPr>
      </w:pPr>
    </w:p>
    <w:tbl>
      <w:tblPr>
        <w:tblStyle w:val="39"/>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9"/>
        <w:gridCol w:w="26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58"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09"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56"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17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sz w:val="24"/>
              </w:rPr>
            </w:pPr>
          </w:p>
        </w:tc>
        <w:tc>
          <w:tcPr>
            <w:tcW w:w="2809" w:type="dxa"/>
          </w:tcPr>
          <w:p>
            <w:pPr>
              <w:widowControl/>
              <w:spacing w:line="600" w:lineRule="exact"/>
              <w:jc w:val="both"/>
              <w:rPr>
                <w:rFonts w:cs="仿宋" w:asciiTheme="minorEastAsia" w:hAnsiTheme="minorEastAsia" w:eastAsiaTheme="minorEastAsia"/>
                <w:sz w:val="24"/>
              </w:rPr>
            </w:pPr>
          </w:p>
        </w:tc>
        <w:tc>
          <w:tcPr>
            <w:tcW w:w="2656" w:type="dxa"/>
          </w:tcPr>
          <w:p>
            <w:pPr>
              <w:widowControl/>
              <w:spacing w:line="600" w:lineRule="exact"/>
              <w:jc w:val="both"/>
              <w:rPr>
                <w:rFonts w:cs="仿宋" w:asciiTheme="minorEastAsia" w:hAnsiTheme="minorEastAsia" w:eastAsiaTheme="minorEastAsia"/>
                <w:sz w:val="24"/>
              </w:rPr>
            </w:pPr>
          </w:p>
        </w:tc>
        <w:tc>
          <w:tcPr>
            <w:tcW w:w="217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sz w:val="24"/>
              </w:rPr>
            </w:pPr>
          </w:p>
        </w:tc>
        <w:tc>
          <w:tcPr>
            <w:tcW w:w="2809" w:type="dxa"/>
          </w:tcPr>
          <w:p>
            <w:pPr>
              <w:widowControl/>
              <w:spacing w:line="600" w:lineRule="exact"/>
              <w:jc w:val="both"/>
              <w:rPr>
                <w:rFonts w:cs="仿宋" w:asciiTheme="minorEastAsia" w:hAnsiTheme="minorEastAsia" w:eastAsiaTheme="minorEastAsia"/>
                <w:sz w:val="24"/>
              </w:rPr>
            </w:pPr>
          </w:p>
        </w:tc>
        <w:tc>
          <w:tcPr>
            <w:tcW w:w="2656" w:type="dxa"/>
          </w:tcPr>
          <w:p>
            <w:pPr>
              <w:widowControl/>
              <w:spacing w:line="600" w:lineRule="exact"/>
              <w:jc w:val="both"/>
              <w:rPr>
                <w:rFonts w:cs="仿宋" w:asciiTheme="minorEastAsia" w:hAnsiTheme="minorEastAsia" w:eastAsiaTheme="minorEastAsia"/>
                <w:sz w:val="24"/>
              </w:rPr>
            </w:pPr>
          </w:p>
        </w:tc>
        <w:tc>
          <w:tcPr>
            <w:tcW w:w="217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vAlign w:val="center"/>
          </w:tcPr>
          <w:p>
            <w:pPr>
              <w:widowControl/>
              <w:spacing w:line="600" w:lineRule="exact"/>
              <w:jc w:val="center"/>
              <w:rPr>
                <w:rFonts w:cs="仿宋" w:asciiTheme="minorEastAsia" w:hAnsiTheme="minorEastAsia" w:eastAsiaTheme="minorEastAsia"/>
                <w:sz w:val="24"/>
              </w:rPr>
            </w:pPr>
          </w:p>
        </w:tc>
        <w:tc>
          <w:tcPr>
            <w:tcW w:w="2809" w:type="dxa"/>
            <w:vAlign w:val="center"/>
          </w:tcPr>
          <w:p>
            <w:pPr>
              <w:widowControl/>
              <w:spacing w:line="600" w:lineRule="exact"/>
              <w:jc w:val="center"/>
              <w:rPr>
                <w:rFonts w:cs="仿宋" w:asciiTheme="minorEastAsia" w:hAnsiTheme="minorEastAsia" w:eastAsiaTheme="minorEastAsia"/>
                <w:sz w:val="24"/>
              </w:rPr>
            </w:pPr>
          </w:p>
        </w:tc>
        <w:tc>
          <w:tcPr>
            <w:tcW w:w="2656" w:type="dxa"/>
            <w:vAlign w:val="center"/>
          </w:tcPr>
          <w:p>
            <w:pPr>
              <w:widowControl/>
              <w:spacing w:line="600" w:lineRule="exact"/>
              <w:jc w:val="center"/>
              <w:rPr>
                <w:rFonts w:cs="仿宋" w:asciiTheme="minorEastAsia" w:hAnsiTheme="minorEastAsia" w:eastAsiaTheme="minorEastAsia"/>
                <w:sz w:val="24"/>
              </w:rPr>
            </w:pPr>
          </w:p>
        </w:tc>
        <w:tc>
          <w:tcPr>
            <w:tcW w:w="2175"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8" w:type="dxa"/>
            <w:vAlign w:val="center"/>
          </w:tcPr>
          <w:p>
            <w:pPr>
              <w:widowControl/>
              <w:spacing w:line="600" w:lineRule="exact"/>
              <w:jc w:val="center"/>
              <w:rPr>
                <w:rFonts w:cs="仿宋" w:asciiTheme="minorEastAsia" w:hAnsiTheme="minorEastAsia" w:eastAsiaTheme="minorEastAsia"/>
                <w:sz w:val="24"/>
              </w:rPr>
            </w:pPr>
          </w:p>
        </w:tc>
        <w:tc>
          <w:tcPr>
            <w:tcW w:w="2809" w:type="dxa"/>
            <w:vAlign w:val="center"/>
          </w:tcPr>
          <w:p>
            <w:pPr>
              <w:widowControl/>
              <w:spacing w:line="600" w:lineRule="exact"/>
              <w:jc w:val="center"/>
              <w:rPr>
                <w:rFonts w:cs="仿宋" w:asciiTheme="minorEastAsia" w:hAnsiTheme="minorEastAsia" w:eastAsiaTheme="minorEastAsia"/>
                <w:sz w:val="24"/>
              </w:rPr>
            </w:pPr>
          </w:p>
        </w:tc>
        <w:tc>
          <w:tcPr>
            <w:tcW w:w="2656" w:type="dxa"/>
            <w:vAlign w:val="center"/>
          </w:tcPr>
          <w:p>
            <w:pPr>
              <w:widowControl/>
              <w:spacing w:line="600" w:lineRule="exact"/>
              <w:jc w:val="center"/>
              <w:rPr>
                <w:rFonts w:cs="仿宋" w:asciiTheme="minorEastAsia" w:hAnsiTheme="minorEastAsia" w:eastAsiaTheme="minorEastAsia"/>
                <w:sz w:val="24"/>
              </w:rPr>
            </w:pPr>
          </w:p>
        </w:tc>
        <w:tc>
          <w:tcPr>
            <w:tcW w:w="2175" w:type="dxa"/>
            <w:vAlign w:val="center"/>
          </w:tcPr>
          <w:p>
            <w:pPr>
              <w:widowControl/>
              <w:spacing w:line="600" w:lineRule="exact"/>
              <w:jc w:val="center"/>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spacing w:line="240" w:lineRule="auto"/>
      </w:pPr>
      <w:r>
        <w:rPr>
          <w:rFonts w:hint="eastAsia" w:ascii="黑体" w:hAnsi="黑体" w:eastAsia="黑体" w:cs="仿宋"/>
          <w:sz w:val="36"/>
          <w:szCs w:val="36"/>
        </w:rPr>
        <w:br w:type="page"/>
      </w:r>
    </w:p>
    <w:p>
      <w:pPr>
        <w:spacing w:line="600" w:lineRule="exact"/>
        <w:ind w:left="420"/>
        <w:jc w:val="center"/>
        <w:rPr>
          <w:rFonts w:ascii="黑体" w:hAnsi="黑体" w:eastAsia="黑体" w:cs="仿宋"/>
          <w:color w:val="FF0000"/>
          <w:sz w:val="36"/>
          <w:szCs w:val="36"/>
        </w:rPr>
      </w:pP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rPr>
        <w:t>四、报价表</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9"/>
        <w:tblW w:w="9518"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977"/>
        <w:gridCol w:w="1200"/>
        <w:gridCol w:w="656"/>
        <w:gridCol w:w="657"/>
        <w:gridCol w:w="1214"/>
        <w:gridCol w:w="663"/>
        <w:gridCol w:w="122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977"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产品</w:t>
            </w:r>
          </w:p>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名称</w:t>
            </w:r>
          </w:p>
        </w:tc>
        <w:tc>
          <w:tcPr>
            <w:tcW w:w="1200"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规格</w:t>
            </w:r>
          </w:p>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型号</w:t>
            </w:r>
          </w:p>
        </w:tc>
        <w:tc>
          <w:tcPr>
            <w:tcW w:w="656"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c>
          <w:tcPr>
            <w:tcW w:w="657"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数量</w:t>
            </w:r>
          </w:p>
        </w:tc>
        <w:tc>
          <w:tcPr>
            <w:tcW w:w="3106" w:type="dxa"/>
            <w:gridSpan w:val="3"/>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单价（元）</w:t>
            </w:r>
          </w:p>
        </w:tc>
        <w:tc>
          <w:tcPr>
            <w:tcW w:w="1372"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50" w:type="dxa"/>
            <w:vMerge w:val="continue"/>
            <w:vAlign w:val="center"/>
          </w:tcPr>
          <w:p>
            <w:pPr>
              <w:widowControl/>
              <w:spacing w:line="288" w:lineRule="auto"/>
              <w:jc w:val="center"/>
              <w:rPr>
                <w:rFonts w:cs="仿宋" w:asciiTheme="minorEastAsia" w:hAnsiTheme="minorEastAsia" w:eastAsiaTheme="minorEastAsia"/>
                <w:sz w:val="24"/>
              </w:rPr>
            </w:pPr>
          </w:p>
        </w:tc>
        <w:tc>
          <w:tcPr>
            <w:tcW w:w="1977" w:type="dxa"/>
            <w:vMerge w:val="continue"/>
            <w:vAlign w:val="center"/>
          </w:tcPr>
          <w:p>
            <w:pPr>
              <w:widowControl/>
              <w:spacing w:line="288" w:lineRule="auto"/>
              <w:jc w:val="center"/>
              <w:rPr>
                <w:rFonts w:cs="仿宋" w:asciiTheme="minorEastAsia" w:hAnsiTheme="minorEastAsia" w:eastAsiaTheme="minorEastAsia"/>
                <w:sz w:val="24"/>
              </w:rPr>
            </w:pPr>
          </w:p>
        </w:tc>
        <w:tc>
          <w:tcPr>
            <w:tcW w:w="1200" w:type="dxa"/>
            <w:vMerge w:val="continue"/>
            <w:vAlign w:val="center"/>
          </w:tcPr>
          <w:p>
            <w:pPr>
              <w:widowControl/>
              <w:spacing w:line="288" w:lineRule="auto"/>
              <w:jc w:val="center"/>
              <w:rPr>
                <w:rFonts w:cs="仿宋" w:asciiTheme="minorEastAsia" w:hAnsiTheme="minorEastAsia" w:eastAsiaTheme="minorEastAsia"/>
                <w:sz w:val="24"/>
              </w:rPr>
            </w:pPr>
          </w:p>
        </w:tc>
        <w:tc>
          <w:tcPr>
            <w:tcW w:w="656" w:type="dxa"/>
            <w:vMerge w:val="continue"/>
            <w:vAlign w:val="center"/>
          </w:tcPr>
          <w:p>
            <w:pPr>
              <w:widowControl/>
              <w:spacing w:line="288" w:lineRule="auto"/>
              <w:jc w:val="center"/>
              <w:rPr>
                <w:rFonts w:cs="仿宋" w:asciiTheme="minorEastAsia" w:hAnsiTheme="minorEastAsia" w:eastAsiaTheme="minorEastAsia"/>
                <w:sz w:val="24"/>
              </w:rPr>
            </w:pPr>
          </w:p>
        </w:tc>
        <w:tc>
          <w:tcPr>
            <w:tcW w:w="657" w:type="dxa"/>
            <w:vMerge w:val="continue"/>
            <w:vAlign w:val="center"/>
          </w:tcPr>
          <w:p>
            <w:pPr>
              <w:widowControl/>
              <w:spacing w:line="288" w:lineRule="auto"/>
              <w:jc w:val="center"/>
              <w:rPr>
                <w:rFonts w:cs="仿宋" w:asciiTheme="minorEastAsia" w:hAnsiTheme="minorEastAsia" w:eastAsiaTheme="minorEastAsia"/>
                <w:sz w:val="24"/>
              </w:rPr>
            </w:pPr>
          </w:p>
        </w:tc>
        <w:tc>
          <w:tcPr>
            <w:tcW w:w="1214"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63"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1229"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w:t>
            </w:r>
          </w:p>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w:t>
            </w:r>
          </w:p>
        </w:tc>
        <w:tc>
          <w:tcPr>
            <w:tcW w:w="1372" w:type="dxa"/>
            <w:vMerge w:val="continue"/>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5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977" w:type="dxa"/>
            <w:vAlign w:val="center"/>
          </w:tcPr>
          <w:p>
            <w:pPr>
              <w:widowControl/>
              <w:spacing w:line="600" w:lineRule="exact"/>
              <w:jc w:val="center"/>
              <w:rPr>
                <w:rFonts w:cs="仿宋" w:asciiTheme="minorEastAsia" w:hAnsiTheme="minorEastAsia" w:eastAsiaTheme="minorEastAsia"/>
                <w:sz w:val="24"/>
              </w:rPr>
            </w:pPr>
          </w:p>
        </w:tc>
        <w:tc>
          <w:tcPr>
            <w:tcW w:w="1200" w:type="dxa"/>
            <w:vAlign w:val="center"/>
          </w:tcPr>
          <w:p>
            <w:pPr>
              <w:widowControl/>
              <w:spacing w:line="600" w:lineRule="exact"/>
              <w:jc w:val="center"/>
              <w:rPr>
                <w:rFonts w:cs="仿宋" w:asciiTheme="minorEastAsia" w:hAnsiTheme="minorEastAsia" w:eastAsiaTheme="minorEastAsia"/>
                <w:sz w:val="24"/>
              </w:rPr>
            </w:pPr>
          </w:p>
        </w:tc>
        <w:tc>
          <w:tcPr>
            <w:tcW w:w="656" w:type="dxa"/>
            <w:vAlign w:val="center"/>
          </w:tcPr>
          <w:p>
            <w:pPr>
              <w:widowControl/>
              <w:spacing w:line="600" w:lineRule="exact"/>
              <w:jc w:val="center"/>
              <w:rPr>
                <w:rFonts w:cs="仿宋" w:asciiTheme="minorEastAsia" w:hAnsiTheme="minorEastAsia" w:eastAsiaTheme="minorEastAsia"/>
                <w:sz w:val="24"/>
              </w:rPr>
            </w:pPr>
          </w:p>
        </w:tc>
        <w:tc>
          <w:tcPr>
            <w:tcW w:w="657" w:type="dxa"/>
            <w:vAlign w:val="center"/>
          </w:tcPr>
          <w:p>
            <w:pPr>
              <w:widowControl/>
              <w:spacing w:line="600" w:lineRule="exact"/>
              <w:jc w:val="center"/>
              <w:rPr>
                <w:rFonts w:cs="仿宋" w:asciiTheme="minorEastAsia" w:hAnsiTheme="minorEastAsia" w:eastAsiaTheme="minorEastAsia"/>
                <w:sz w:val="24"/>
              </w:rPr>
            </w:pPr>
          </w:p>
        </w:tc>
        <w:tc>
          <w:tcPr>
            <w:tcW w:w="1214" w:type="dxa"/>
            <w:vAlign w:val="center"/>
          </w:tcPr>
          <w:p>
            <w:pPr>
              <w:widowControl/>
              <w:spacing w:line="288" w:lineRule="auto"/>
              <w:jc w:val="center"/>
              <w:rPr>
                <w:rFonts w:cs="仿宋" w:asciiTheme="minorEastAsia" w:hAnsiTheme="minorEastAsia" w:eastAsiaTheme="minorEastAsia"/>
                <w:sz w:val="24"/>
              </w:rPr>
            </w:pPr>
          </w:p>
        </w:tc>
        <w:tc>
          <w:tcPr>
            <w:tcW w:w="663" w:type="dxa"/>
            <w:vAlign w:val="center"/>
          </w:tcPr>
          <w:p>
            <w:pPr>
              <w:widowControl/>
              <w:spacing w:line="288" w:lineRule="auto"/>
              <w:jc w:val="center"/>
              <w:rPr>
                <w:rFonts w:cs="仿宋" w:asciiTheme="minorEastAsia" w:hAnsiTheme="minorEastAsia" w:eastAsiaTheme="minorEastAsia"/>
                <w:sz w:val="24"/>
              </w:rPr>
            </w:pPr>
          </w:p>
        </w:tc>
        <w:tc>
          <w:tcPr>
            <w:tcW w:w="1229" w:type="dxa"/>
            <w:vAlign w:val="center"/>
          </w:tcPr>
          <w:p>
            <w:pPr>
              <w:widowControl/>
              <w:spacing w:line="288" w:lineRule="auto"/>
              <w:jc w:val="center"/>
              <w:rPr>
                <w:rFonts w:cs="仿宋" w:asciiTheme="minorEastAsia" w:hAnsiTheme="minorEastAsia" w:eastAsiaTheme="minorEastAsia"/>
                <w:sz w:val="24"/>
              </w:rPr>
            </w:pPr>
          </w:p>
        </w:tc>
        <w:tc>
          <w:tcPr>
            <w:tcW w:w="1372"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5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977" w:type="dxa"/>
            <w:vAlign w:val="center"/>
          </w:tcPr>
          <w:p>
            <w:pPr>
              <w:widowControl/>
              <w:spacing w:line="600" w:lineRule="exact"/>
              <w:jc w:val="center"/>
              <w:rPr>
                <w:rFonts w:cs="仿宋" w:asciiTheme="minorEastAsia" w:hAnsiTheme="minorEastAsia" w:eastAsiaTheme="minorEastAsia"/>
                <w:sz w:val="24"/>
              </w:rPr>
            </w:pPr>
          </w:p>
        </w:tc>
        <w:tc>
          <w:tcPr>
            <w:tcW w:w="1200" w:type="dxa"/>
            <w:vAlign w:val="center"/>
          </w:tcPr>
          <w:p>
            <w:pPr>
              <w:widowControl/>
              <w:spacing w:line="600" w:lineRule="exact"/>
              <w:jc w:val="center"/>
              <w:rPr>
                <w:rFonts w:cs="仿宋" w:asciiTheme="minorEastAsia" w:hAnsiTheme="minorEastAsia" w:eastAsiaTheme="minorEastAsia"/>
                <w:sz w:val="24"/>
              </w:rPr>
            </w:pPr>
          </w:p>
        </w:tc>
        <w:tc>
          <w:tcPr>
            <w:tcW w:w="656" w:type="dxa"/>
            <w:vAlign w:val="center"/>
          </w:tcPr>
          <w:p>
            <w:pPr>
              <w:widowControl/>
              <w:spacing w:line="600" w:lineRule="exact"/>
              <w:jc w:val="center"/>
              <w:rPr>
                <w:rFonts w:cs="仿宋" w:asciiTheme="minorEastAsia" w:hAnsiTheme="minorEastAsia" w:eastAsiaTheme="minorEastAsia"/>
                <w:sz w:val="24"/>
              </w:rPr>
            </w:pPr>
          </w:p>
        </w:tc>
        <w:tc>
          <w:tcPr>
            <w:tcW w:w="657" w:type="dxa"/>
            <w:vAlign w:val="center"/>
          </w:tcPr>
          <w:p>
            <w:pPr>
              <w:widowControl/>
              <w:spacing w:line="600" w:lineRule="exact"/>
              <w:jc w:val="center"/>
              <w:rPr>
                <w:rFonts w:cs="仿宋" w:asciiTheme="minorEastAsia" w:hAnsiTheme="minorEastAsia" w:eastAsiaTheme="minorEastAsia"/>
                <w:sz w:val="24"/>
              </w:rPr>
            </w:pPr>
          </w:p>
        </w:tc>
        <w:tc>
          <w:tcPr>
            <w:tcW w:w="1214" w:type="dxa"/>
            <w:vAlign w:val="center"/>
          </w:tcPr>
          <w:p>
            <w:pPr>
              <w:widowControl/>
              <w:spacing w:line="600" w:lineRule="exact"/>
              <w:jc w:val="center"/>
              <w:rPr>
                <w:rFonts w:cs="仿宋" w:asciiTheme="minorEastAsia" w:hAnsiTheme="minorEastAsia" w:eastAsiaTheme="minorEastAsia"/>
                <w:sz w:val="24"/>
              </w:rPr>
            </w:pPr>
          </w:p>
        </w:tc>
        <w:tc>
          <w:tcPr>
            <w:tcW w:w="663" w:type="dxa"/>
            <w:vAlign w:val="center"/>
          </w:tcPr>
          <w:p>
            <w:pPr>
              <w:widowControl/>
              <w:spacing w:line="600" w:lineRule="exact"/>
              <w:jc w:val="center"/>
              <w:rPr>
                <w:rFonts w:cs="仿宋" w:asciiTheme="minorEastAsia" w:hAnsiTheme="minorEastAsia" w:eastAsiaTheme="minorEastAsia"/>
                <w:sz w:val="24"/>
              </w:rPr>
            </w:pPr>
          </w:p>
        </w:tc>
        <w:tc>
          <w:tcPr>
            <w:tcW w:w="1229" w:type="dxa"/>
            <w:vAlign w:val="center"/>
          </w:tcPr>
          <w:p>
            <w:pPr>
              <w:widowControl/>
              <w:spacing w:line="600" w:lineRule="exact"/>
              <w:jc w:val="center"/>
              <w:rPr>
                <w:rFonts w:cs="仿宋" w:asciiTheme="minorEastAsia" w:hAnsiTheme="minorEastAsia" w:eastAsiaTheme="minorEastAsia"/>
                <w:sz w:val="24"/>
              </w:rPr>
            </w:pPr>
          </w:p>
        </w:tc>
        <w:tc>
          <w:tcPr>
            <w:tcW w:w="1372"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5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977" w:type="dxa"/>
            <w:vAlign w:val="center"/>
          </w:tcPr>
          <w:p>
            <w:pPr>
              <w:widowControl/>
              <w:spacing w:line="600" w:lineRule="exact"/>
              <w:jc w:val="center"/>
              <w:rPr>
                <w:rFonts w:cs="仿宋" w:asciiTheme="minorEastAsia" w:hAnsiTheme="minorEastAsia" w:eastAsiaTheme="minorEastAsia"/>
                <w:sz w:val="24"/>
              </w:rPr>
            </w:pPr>
          </w:p>
        </w:tc>
        <w:tc>
          <w:tcPr>
            <w:tcW w:w="1200" w:type="dxa"/>
            <w:vAlign w:val="center"/>
          </w:tcPr>
          <w:p>
            <w:pPr>
              <w:widowControl/>
              <w:spacing w:line="600" w:lineRule="exact"/>
              <w:jc w:val="center"/>
              <w:rPr>
                <w:rFonts w:cs="仿宋" w:asciiTheme="minorEastAsia" w:hAnsiTheme="minorEastAsia" w:eastAsiaTheme="minorEastAsia"/>
                <w:sz w:val="24"/>
              </w:rPr>
            </w:pPr>
          </w:p>
        </w:tc>
        <w:tc>
          <w:tcPr>
            <w:tcW w:w="656" w:type="dxa"/>
            <w:vAlign w:val="center"/>
          </w:tcPr>
          <w:p>
            <w:pPr>
              <w:widowControl/>
              <w:spacing w:line="600" w:lineRule="exact"/>
              <w:jc w:val="center"/>
              <w:rPr>
                <w:rFonts w:cs="仿宋" w:asciiTheme="minorEastAsia" w:hAnsiTheme="minorEastAsia" w:eastAsiaTheme="minorEastAsia"/>
                <w:sz w:val="24"/>
              </w:rPr>
            </w:pPr>
          </w:p>
        </w:tc>
        <w:tc>
          <w:tcPr>
            <w:tcW w:w="657" w:type="dxa"/>
            <w:vAlign w:val="center"/>
          </w:tcPr>
          <w:p>
            <w:pPr>
              <w:widowControl/>
              <w:spacing w:line="600" w:lineRule="exact"/>
              <w:jc w:val="center"/>
              <w:rPr>
                <w:rFonts w:cs="仿宋" w:asciiTheme="minorEastAsia" w:hAnsiTheme="minorEastAsia" w:eastAsiaTheme="minorEastAsia"/>
                <w:sz w:val="24"/>
              </w:rPr>
            </w:pPr>
          </w:p>
        </w:tc>
        <w:tc>
          <w:tcPr>
            <w:tcW w:w="1214" w:type="dxa"/>
            <w:vAlign w:val="center"/>
          </w:tcPr>
          <w:p>
            <w:pPr>
              <w:widowControl/>
              <w:spacing w:line="600" w:lineRule="exact"/>
              <w:jc w:val="center"/>
              <w:rPr>
                <w:rFonts w:cs="仿宋" w:asciiTheme="minorEastAsia" w:hAnsiTheme="minorEastAsia" w:eastAsiaTheme="minorEastAsia"/>
                <w:sz w:val="24"/>
              </w:rPr>
            </w:pPr>
          </w:p>
        </w:tc>
        <w:tc>
          <w:tcPr>
            <w:tcW w:w="663" w:type="dxa"/>
            <w:vAlign w:val="center"/>
          </w:tcPr>
          <w:p>
            <w:pPr>
              <w:widowControl/>
              <w:spacing w:line="600" w:lineRule="exact"/>
              <w:jc w:val="center"/>
              <w:rPr>
                <w:rFonts w:cs="仿宋" w:asciiTheme="minorEastAsia" w:hAnsiTheme="minorEastAsia" w:eastAsiaTheme="minorEastAsia"/>
                <w:sz w:val="24"/>
              </w:rPr>
            </w:pPr>
          </w:p>
        </w:tc>
        <w:tc>
          <w:tcPr>
            <w:tcW w:w="1229" w:type="dxa"/>
            <w:vAlign w:val="center"/>
          </w:tcPr>
          <w:p>
            <w:pPr>
              <w:widowControl/>
              <w:spacing w:line="600" w:lineRule="exact"/>
              <w:jc w:val="center"/>
              <w:rPr>
                <w:rFonts w:cs="仿宋" w:asciiTheme="minorEastAsia" w:hAnsiTheme="minorEastAsia" w:eastAsiaTheme="minorEastAsia"/>
                <w:sz w:val="24"/>
              </w:rPr>
            </w:pPr>
          </w:p>
        </w:tc>
        <w:tc>
          <w:tcPr>
            <w:tcW w:w="1372"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17" w:type="dxa"/>
            <w:gridSpan w:val="7"/>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合计报价（元）</w:t>
            </w:r>
          </w:p>
        </w:tc>
        <w:tc>
          <w:tcPr>
            <w:tcW w:w="2601" w:type="dxa"/>
            <w:gridSpan w:val="2"/>
            <w:vAlign w:val="center"/>
          </w:tcPr>
          <w:p>
            <w:pPr>
              <w:widowControl/>
              <w:spacing w:line="600" w:lineRule="exact"/>
              <w:jc w:val="center"/>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注：1、本页需加盖公章。</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2、有抵税需求的采购项目，按照附录原则比价，采购人应在采购文件中注明。</w:t>
      </w:r>
    </w:p>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五、资格审查资料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（三）近年的类似项目情况表（至少提供1个）</w:t>
      </w:r>
    </w:p>
    <w:tbl>
      <w:tblPr>
        <w:tblStyle w:val="39"/>
        <w:tblW w:w="886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5605"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61"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5605" w:type="dxa"/>
            <w:vAlign w:val="center"/>
          </w:tcPr>
          <w:p>
            <w:pPr>
              <w:widowControl/>
              <w:spacing w:line="288" w:lineRule="auto"/>
              <w:jc w:val="center"/>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39"/>
        <w:tblW w:w="8854"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66"/>
        <w:gridCol w:w="966"/>
        <w:gridCol w:w="966"/>
        <w:gridCol w:w="966"/>
        <w:gridCol w:w="966"/>
        <w:gridCol w:w="966"/>
        <w:gridCol w:w="96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24"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966"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966"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966"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966" w:type="dxa"/>
            <w:vMerge w:val="restart"/>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2900" w:type="dxa"/>
            <w:gridSpan w:val="3"/>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966"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24" w:type="dxa"/>
            <w:vMerge w:val="continue"/>
            <w:vAlign w:val="center"/>
          </w:tcPr>
          <w:p>
            <w:pPr>
              <w:widowControl/>
              <w:spacing w:line="288" w:lineRule="auto"/>
              <w:jc w:val="center"/>
              <w:rPr>
                <w:rFonts w:cs="仿宋" w:asciiTheme="minorEastAsia" w:hAnsiTheme="minorEastAsia" w:eastAsiaTheme="minorEastAsia"/>
                <w:sz w:val="24"/>
              </w:rPr>
            </w:pPr>
          </w:p>
        </w:tc>
        <w:tc>
          <w:tcPr>
            <w:tcW w:w="966" w:type="dxa"/>
            <w:vMerge w:val="continue"/>
            <w:vAlign w:val="center"/>
          </w:tcPr>
          <w:p>
            <w:pPr>
              <w:widowControl/>
              <w:spacing w:line="288" w:lineRule="auto"/>
              <w:jc w:val="center"/>
              <w:rPr>
                <w:rFonts w:cs="仿宋" w:asciiTheme="minorEastAsia" w:hAnsiTheme="minorEastAsia" w:eastAsiaTheme="minorEastAsia"/>
                <w:sz w:val="24"/>
              </w:rPr>
            </w:pPr>
          </w:p>
        </w:tc>
        <w:tc>
          <w:tcPr>
            <w:tcW w:w="966" w:type="dxa"/>
            <w:vMerge w:val="continue"/>
            <w:vAlign w:val="center"/>
          </w:tcPr>
          <w:p>
            <w:pPr>
              <w:widowControl/>
              <w:spacing w:line="288" w:lineRule="auto"/>
              <w:jc w:val="center"/>
              <w:rPr>
                <w:rFonts w:cs="仿宋" w:asciiTheme="minorEastAsia" w:hAnsiTheme="minorEastAsia" w:eastAsiaTheme="minorEastAsia"/>
                <w:sz w:val="24"/>
              </w:rPr>
            </w:pPr>
          </w:p>
        </w:tc>
        <w:tc>
          <w:tcPr>
            <w:tcW w:w="966" w:type="dxa"/>
            <w:vMerge w:val="continue"/>
            <w:vAlign w:val="center"/>
          </w:tcPr>
          <w:p>
            <w:pPr>
              <w:widowControl/>
              <w:spacing w:line="288" w:lineRule="auto"/>
              <w:jc w:val="center"/>
              <w:rPr>
                <w:rFonts w:cs="仿宋" w:asciiTheme="minorEastAsia" w:hAnsiTheme="minorEastAsia" w:eastAsiaTheme="minorEastAsia"/>
                <w:sz w:val="24"/>
              </w:rPr>
            </w:pPr>
          </w:p>
        </w:tc>
        <w:tc>
          <w:tcPr>
            <w:tcW w:w="966" w:type="dxa"/>
            <w:vMerge w:val="continue"/>
            <w:vAlign w:val="center"/>
          </w:tcPr>
          <w:p>
            <w:pPr>
              <w:widowControl/>
              <w:spacing w:line="288" w:lineRule="auto"/>
              <w:jc w:val="center"/>
              <w:rPr>
                <w:rFonts w:cs="仿宋" w:asciiTheme="minorEastAsia" w:hAnsiTheme="minorEastAsia" w:eastAsiaTheme="minorEastAsia"/>
                <w:sz w:val="24"/>
              </w:rPr>
            </w:pPr>
          </w:p>
        </w:tc>
        <w:tc>
          <w:tcPr>
            <w:tcW w:w="966"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966"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968"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966" w:type="dxa"/>
            <w:vAlign w:val="center"/>
          </w:tcPr>
          <w:p>
            <w:pPr>
              <w:widowControl/>
              <w:spacing w:line="288"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24"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8"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24"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8"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24"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8"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24"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8"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24"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c>
          <w:tcPr>
            <w:tcW w:w="968" w:type="dxa"/>
            <w:vAlign w:val="center"/>
          </w:tcPr>
          <w:p>
            <w:pPr>
              <w:widowControl/>
              <w:spacing w:line="600" w:lineRule="exact"/>
              <w:jc w:val="center"/>
              <w:rPr>
                <w:rFonts w:cs="仿宋" w:asciiTheme="minorEastAsia" w:hAnsiTheme="minorEastAsia" w:eastAsiaTheme="minorEastAsia"/>
                <w:sz w:val="24"/>
              </w:rPr>
            </w:pPr>
          </w:p>
        </w:tc>
        <w:tc>
          <w:tcPr>
            <w:tcW w:w="966" w:type="dxa"/>
            <w:vAlign w:val="center"/>
          </w:tcPr>
          <w:p>
            <w:pPr>
              <w:widowControl/>
              <w:spacing w:line="600" w:lineRule="exact"/>
              <w:jc w:val="center"/>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8"/>
        <w:tblW w:w="8866"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01"/>
        <w:gridCol w:w="1632"/>
        <w:gridCol w:w="1216"/>
        <w:gridCol w:w="788"/>
        <w:gridCol w:w="424"/>
        <w:gridCol w:w="1510"/>
        <w:gridCol w:w="9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32"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216"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788"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33" w:type="dxa"/>
            <w:gridSpan w:val="3"/>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596"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32"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216"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788"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33" w:type="dxa"/>
            <w:gridSpan w:val="3"/>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596"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3636"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33"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596"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7265" w:type="dxa"/>
            <w:gridSpan w:val="7"/>
            <w:vAlign w:val="center"/>
          </w:tcPr>
          <w:p>
            <w:pPr>
              <w:autoSpaceDE w:val="0"/>
              <w:autoSpaceDN w:val="0"/>
              <w:spacing w:before="60" w:beforeLines="25" w:after="60" w:afterLines="25" w:line="288" w:lineRule="auto"/>
              <w:ind w:left="-187" w:leftChars="-89"/>
              <w:jc w:val="center"/>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866" w:type="dxa"/>
            <w:gridSpan w:val="8"/>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060" w:type="dxa"/>
            <w:gridSpan w:val="4"/>
            <w:vAlign w:val="center"/>
          </w:tcPr>
          <w:p>
            <w:pPr>
              <w:pStyle w:val="182"/>
              <w:adjustRightInd/>
              <w:snapToGrid/>
              <w:spacing w:before="60" w:beforeLines="25" w:after="60" w:afterLines="25" w:line="288" w:lineRule="auto"/>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1510" w:type="dxa"/>
            <w:vAlign w:val="center"/>
          </w:tcPr>
          <w:p>
            <w:pPr>
              <w:pStyle w:val="182"/>
              <w:adjustRightInd/>
              <w:snapToGrid/>
              <w:spacing w:before="60" w:beforeLines="25" w:after="60" w:afterLines="25" w:line="288" w:lineRule="auto"/>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695"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60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4060"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510"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695"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六、响应方案</w:t>
      </w:r>
    </w:p>
    <w:p>
      <w:pPr>
        <w:pStyle w:val="36"/>
      </w:pPr>
    </w:p>
    <w:p>
      <w:pPr>
        <w:numPr>
          <w:ilvl w:val="255"/>
          <w:numId w:val="0"/>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（一）货物质量标准或技术性能指标的详细描述</w:t>
      </w:r>
    </w:p>
    <w:p>
      <w:pPr>
        <w:numPr>
          <w:ilvl w:val="255"/>
          <w:numId w:val="0"/>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（二）技术支持资料</w:t>
      </w:r>
    </w:p>
    <w:p>
      <w:pPr>
        <w:numPr>
          <w:ilvl w:val="255"/>
          <w:numId w:val="0"/>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（三）相关服务计划（包括旧变频器拆除方案、新变频器安装方案、交货期承诺、售后服务承诺等）</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七、其他资料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pPr>
    </w:p>
    <w:sectPr>
      <w:footerReference r:id="rId7" w:type="default"/>
      <w:pgSz w:w="11906" w:h="16838"/>
      <w:pgMar w:top="1440" w:right="1800" w:bottom="1440" w:left="180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tabs>
                              <w:tab w:val="center" w:pos="4153"/>
                              <w:tab w:val="right" w:pos="8306"/>
                            </w:tabs>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2"/>
                      <w:tabs>
                        <w:tab w:val="center" w:pos="4153"/>
                        <w:tab w:val="right" w:pos="8306"/>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2"/>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47</w:t>
        </w:r>
        <w:r>
          <w:rPr>
            <w:sz w:val="20"/>
          </w:rPr>
          <w:fldChar w:fldCharType="end"/>
        </w:r>
      </w:p>
    </w:sdtContent>
  </w:sdt>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27"/>
        <w:suppressLineNumbers/>
        <w:ind w:left="0" w:firstLine="0"/>
        <w:rPr>
          <w:sz w:val="24"/>
          <w:szCs w:val="24"/>
        </w:rPr>
      </w:pPr>
    </w:p>
  </w:footnote>
  <w:footnote w:id="1">
    <w:p>
      <w:pPr>
        <w:pStyle w:val="27"/>
        <w:ind w:left="0" w:firstLine="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4F155"/>
    <w:multiLevelType w:val="singleLevel"/>
    <w:tmpl w:val="9234F155"/>
    <w:lvl w:ilvl="0" w:tentative="0">
      <w:start w:val="2"/>
      <w:numFmt w:val="chineseCounting"/>
      <w:suff w:val="space"/>
      <w:lvlText w:val="第%1部分"/>
      <w:lvlJc w:val="left"/>
      <w:rPr>
        <w:rFonts w:hint="eastAsia"/>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hideSpellingErrors/>
  <w:revisionView w:markup="0"/>
  <w:trackRevisions w:val="1"/>
  <w:documentProtection w:edit="trackedChanges" w:formatting="1" w:enforcement="0"/>
  <w:defaultTabStop w:val="420"/>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47744"/>
    <w:rsid w:val="00053E1B"/>
    <w:rsid w:val="00072ECA"/>
    <w:rsid w:val="00077817"/>
    <w:rsid w:val="00080B47"/>
    <w:rsid w:val="000A0047"/>
    <w:rsid w:val="000A7926"/>
    <w:rsid w:val="000B4936"/>
    <w:rsid w:val="000C4E44"/>
    <w:rsid w:val="000C5689"/>
    <w:rsid w:val="000D1EAB"/>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91835"/>
    <w:rsid w:val="001A1831"/>
    <w:rsid w:val="001A77A4"/>
    <w:rsid w:val="001B2C90"/>
    <w:rsid w:val="001B336A"/>
    <w:rsid w:val="001D03F9"/>
    <w:rsid w:val="001E19E5"/>
    <w:rsid w:val="001F28D4"/>
    <w:rsid w:val="001F55EE"/>
    <w:rsid w:val="00200C8B"/>
    <w:rsid w:val="0020642B"/>
    <w:rsid w:val="00210B19"/>
    <w:rsid w:val="0021628B"/>
    <w:rsid w:val="00240105"/>
    <w:rsid w:val="00243CE0"/>
    <w:rsid w:val="00244E9B"/>
    <w:rsid w:val="0026094B"/>
    <w:rsid w:val="00277813"/>
    <w:rsid w:val="00281C9C"/>
    <w:rsid w:val="002832EF"/>
    <w:rsid w:val="0028390B"/>
    <w:rsid w:val="00292A27"/>
    <w:rsid w:val="002A13A6"/>
    <w:rsid w:val="002A3283"/>
    <w:rsid w:val="002A3646"/>
    <w:rsid w:val="002A69B8"/>
    <w:rsid w:val="002B10BE"/>
    <w:rsid w:val="002B225E"/>
    <w:rsid w:val="002B7B11"/>
    <w:rsid w:val="002D3DCC"/>
    <w:rsid w:val="002D460A"/>
    <w:rsid w:val="002E1D5F"/>
    <w:rsid w:val="002F4C12"/>
    <w:rsid w:val="0031048F"/>
    <w:rsid w:val="00320A6F"/>
    <w:rsid w:val="003220EE"/>
    <w:rsid w:val="003276E9"/>
    <w:rsid w:val="00333AC7"/>
    <w:rsid w:val="003346E3"/>
    <w:rsid w:val="00335C6C"/>
    <w:rsid w:val="00340982"/>
    <w:rsid w:val="00341BE1"/>
    <w:rsid w:val="00343219"/>
    <w:rsid w:val="003536C1"/>
    <w:rsid w:val="00363E54"/>
    <w:rsid w:val="00371495"/>
    <w:rsid w:val="00392340"/>
    <w:rsid w:val="003A008A"/>
    <w:rsid w:val="003A21A4"/>
    <w:rsid w:val="003A35E6"/>
    <w:rsid w:val="003A47A2"/>
    <w:rsid w:val="003A7BE3"/>
    <w:rsid w:val="003B1B7D"/>
    <w:rsid w:val="003C0E8A"/>
    <w:rsid w:val="003C71AC"/>
    <w:rsid w:val="003E7A6F"/>
    <w:rsid w:val="003F3ADB"/>
    <w:rsid w:val="003F5510"/>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57CC1"/>
    <w:rsid w:val="0057297F"/>
    <w:rsid w:val="0057563C"/>
    <w:rsid w:val="00580488"/>
    <w:rsid w:val="0058176A"/>
    <w:rsid w:val="005864F4"/>
    <w:rsid w:val="005932FF"/>
    <w:rsid w:val="005A24DF"/>
    <w:rsid w:val="005A41D3"/>
    <w:rsid w:val="005A70E0"/>
    <w:rsid w:val="005B251E"/>
    <w:rsid w:val="005C4BCE"/>
    <w:rsid w:val="005E5529"/>
    <w:rsid w:val="005F29AC"/>
    <w:rsid w:val="005F3C29"/>
    <w:rsid w:val="005F499C"/>
    <w:rsid w:val="00602185"/>
    <w:rsid w:val="00612206"/>
    <w:rsid w:val="00617F38"/>
    <w:rsid w:val="0063785D"/>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48A2"/>
    <w:rsid w:val="006C735F"/>
    <w:rsid w:val="006D3E72"/>
    <w:rsid w:val="006E037A"/>
    <w:rsid w:val="006E0909"/>
    <w:rsid w:val="006E37CB"/>
    <w:rsid w:val="006E4993"/>
    <w:rsid w:val="006E5C39"/>
    <w:rsid w:val="00702A69"/>
    <w:rsid w:val="007265BE"/>
    <w:rsid w:val="00734D60"/>
    <w:rsid w:val="00747724"/>
    <w:rsid w:val="007555FC"/>
    <w:rsid w:val="007623DE"/>
    <w:rsid w:val="00767FCD"/>
    <w:rsid w:val="00770FF3"/>
    <w:rsid w:val="00771629"/>
    <w:rsid w:val="00773441"/>
    <w:rsid w:val="00773E3D"/>
    <w:rsid w:val="00784672"/>
    <w:rsid w:val="00784F8A"/>
    <w:rsid w:val="00785C21"/>
    <w:rsid w:val="007942F7"/>
    <w:rsid w:val="007964EF"/>
    <w:rsid w:val="007C2355"/>
    <w:rsid w:val="007C74E8"/>
    <w:rsid w:val="007D0497"/>
    <w:rsid w:val="007D29D4"/>
    <w:rsid w:val="007D3081"/>
    <w:rsid w:val="007E1F23"/>
    <w:rsid w:val="007F3D4A"/>
    <w:rsid w:val="0080745B"/>
    <w:rsid w:val="008103BB"/>
    <w:rsid w:val="00822A51"/>
    <w:rsid w:val="00824B55"/>
    <w:rsid w:val="00855A14"/>
    <w:rsid w:val="00867D79"/>
    <w:rsid w:val="008705DF"/>
    <w:rsid w:val="008762E6"/>
    <w:rsid w:val="00883782"/>
    <w:rsid w:val="00892349"/>
    <w:rsid w:val="00892DCC"/>
    <w:rsid w:val="008933B7"/>
    <w:rsid w:val="00896688"/>
    <w:rsid w:val="008976B4"/>
    <w:rsid w:val="008A4531"/>
    <w:rsid w:val="008A6664"/>
    <w:rsid w:val="008B2D72"/>
    <w:rsid w:val="008B78B9"/>
    <w:rsid w:val="008C623B"/>
    <w:rsid w:val="008F6B51"/>
    <w:rsid w:val="0090589A"/>
    <w:rsid w:val="00920EB0"/>
    <w:rsid w:val="009315C2"/>
    <w:rsid w:val="00935E41"/>
    <w:rsid w:val="00935ED2"/>
    <w:rsid w:val="00954F74"/>
    <w:rsid w:val="00955643"/>
    <w:rsid w:val="009573B9"/>
    <w:rsid w:val="00965E94"/>
    <w:rsid w:val="00983877"/>
    <w:rsid w:val="00994A7A"/>
    <w:rsid w:val="00995655"/>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74225"/>
    <w:rsid w:val="00A81F80"/>
    <w:rsid w:val="00A828F1"/>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05F9"/>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C5CBC"/>
    <w:rsid w:val="00CE020B"/>
    <w:rsid w:val="00CE71D2"/>
    <w:rsid w:val="00CE7226"/>
    <w:rsid w:val="00CE7D8E"/>
    <w:rsid w:val="00CF36EE"/>
    <w:rsid w:val="00D11238"/>
    <w:rsid w:val="00D1160E"/>
    <w:rsid w:val="00D1328D"/>
    <w:rsid w:val="00D22617"/>
    <w:rsid w:val="00D26E74"/>
    <w:rsid w:val="00D27461"/>
    <w:rsid w:val="00D30D7D"/>
    <w:rsid w:val="00D32AD3"/>
    <w:rsid w:val="00D35B47"/>
    <w:rsid w:val="00D44DE9"/>
    <w:rsid w:val="00D4514A"/>
    <w:rsid w:val="00D52D42"/>
    <w:rsid w:val="00D5313A"/>
    <w:rsid w:val="00D56D4E"/>
    <w:rsid w:val="00D812B2"/>
    <w:rsid w:val="00D841AD"/>
    <w:rsid w:val="00D86B1B"/>
    <w:rsid w:val="00D87D62"/>
    <w:rsid w:val="00D90F37"/>
    <w:rsid w:val="00D92EB2"/>
    <w:rsid w:val="00D962D6"/>
    <w:rsid w:val="00DA2E85"/>
    <w:rsid w:val="00DA3A70"/>
    <w:rsid w:val="00DA6572"/>
    <w:rsid w:val="00DB2007"/>
    <w:rsid w:val="00DC2A18"/>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D15B3"/>
    <w:rsid w:val="00EE6D49"/>
    <w:rsid w:val="00EE75AA"/>
    <w:rsid w:val="00F014DF"/>
    <w:rsid w:val="00F067FF"/>
    <w:rsid w:val="00F138CF"/>
    <w:rsid w:val="00F17C9D"/>
    <w:rsid w:val="00F31726"/>
    <w:rsid w:val="00F343CC"/>
    <w:rsid w:val="00F40991"/>
    <w:rsid w:val="00F434C7"/>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5107B6"/>
    <w:rsid w:val="01AC7279"/>
    <w:rsid w:val="01BA37EB"/>
    <w:rsid w:val="024E1E15"/>
    <w:rsid w:val="02A81EED"/>
    <w:rsid w:val="03797287"/>
    <w:rsid w:val="03980E10"/>
    <w:rsid w:val="03E11420"/>
    <w:rsid w:val="04063B90"/>
    <w:rsid w:val="040F4F9C"/>
    <w:rsid w:val="04292817"/>
    <w:rsid w:val="04850B44"/>
    <w:rsid w:val="0558793A"/>
    <w:rsid w:val="05725EBF"/>
    <w:rsid w:val="05A6798C"/>
    <w:rsid w:val="05D05281"/>
    <w:rsid w:val="05DA407F"/>
    <w:rsid w:val="05EF1FFE"/>
    <w:rsid w:val="067C2282"/>
    <w:rsid w:val="06B22DB6"/>
    <w:rsid w:val="071012E4"/>
    <w:rsid w:val="071C2DD7"/>
    <w:rsid w:val="07E259C2"/>
    <w:rsid w:val="0850039D"/>
    <w:rsid w:val="086C51A8"/>
    <w:rsid w:val="09AA5530"/>
    <w:rsid w:val="09C6304D"/>
    <w:rsid w:val="09F425C7"/>
    <w:rsid w:val="0A770FAA"/>
    <w:rsid w:val="0AED2D32"/>
    <w:rsid w:val="0B617B3C"/>
    <w:rsid w:val="0BDD0694"/>
    <w:rsid w:val="0BEB03C0"/>
    <w:rsid w:val="0C3D36B1"/>
    <w:rsid w:val="0C905B62"/>
    <w:rsid w:val="0CD30A08"/>
    <w:rsid w:val="0CEC4A6F"/>
    <w:rsid w:val="0D363F33"/>
    <w:rsid w:val="0D6D12C3"/>
    <w:rsid w:val="0DB759FC"/>
    <w:rsid w:val="0DBA62E5"/>
    <w:rsid w:val="0E891CDE"/>
    <w:rsid w:val="0FB642EF"/>
    <w:rsid w:val="109436E3"/>
    <w:rsid w:val="11153001"/>
    <w:rsid w:val="119E5E08"/>
    <w:rsid w:val="127D63F6"/>
    <w:rsid w:val="132B6CCC"/>
    <w:rsid w:val="140D42EE"/>
    <w:rsid w:val="14674E98"/>
    <w:rsid w:val="1467696B"/>
    <w:rsid w:val="14931A8C"/>
    <w:rsid w:val="15A0650E"/>
    <w:rsid w:val="16314BAD"/>
    <w:rsid w:val="16887ED2"/>
    <w:rsid w:val="168B0D18"/>
    <w:rsid w:val="16914FDA"/>
    <w:rsid w:val="16BB6B96"/>
    <w:rsid w:val="16FE2D4C"/>
    <w:rsid w:val="172976C5"/>
    <w:rsid w:val="17594306"/>
    <w:rsid w:val="17D539F2"/>
    <w:rsid w:val="18337877"/>
    <w:rsid w:val="19097045"/>
    <w:rsid w:val="19D62055"/>
    <w:rsid w:val="1A416FBC"/>
    <w:rsid w:val="1A4762B7"/>
    <w:rsid w:val="1A5F0C30"/>
    <w:rsid w:val="1A740B6A"/>
    <w:rsid w:val="1AFA58AD"/>
    <w:rsid w:val="1C5642F5"/>
    <w:rsid w:val="1C836B36"/>
    <w:rsid w:val="1DC54E4A"/>
    <w:rsid w:val="1DE278AD"/>
    <w:rsid w:val="1E1329CF"/>
    <w:rsid w:val="1E1A64B4"/>
    <w:rsid w:val="1E1F3B60"/>
    <w:rsid w:val="1E403142"/>
    <w:rsid w:val="1E87379D"/>
    <w:rsid w:val="1E97356A"/>
    <w:rsid w:val="1F2E0BFF"/>
    <w:rsid w:val="1F34385C"/>
    <w:rsid w:val="1F655106"/>
    <w:rsid w:val="1F6C3BF2"/>
    <w:rsid w:val="1FBA0AEA"/>
    <w:rsid w:val="1FBF76D7"/>
    <w:rsid w:val="1FC90591"/>
    <w:rsid w:val="20990A8B"/>
    <w:rsid w:val="212E078A"/>
    <w:rsid w:val="21F90DD2"/>
    <w:rsid w:val="226E5DE0"/>
    <w:rsid w:val="23DD074B"/>
    <w:rsid w:val="24080534"/>
    <w:rsid w:val="247A4058"/>
    <w:rsid w:val="24ED23CE"/>
    <w:rsid w:val="255502E5"/>
    <w:rsid w:val="25574DCE"/>
    <w:rsid w:val="25A80E90"/>
    <w:rsid w:val="260862A8"/>
    <w:rsid w:val="264E6DB9"/>
    <w:rsid w:val="264F3855"/>
    <w:rsid w:val="26A05072"/>
    <w:rsid w:val="2872440F"/>
    <w:rsid w:val="28807844"/>
    <w:rsid w:val="295760F8"/>
    <w:rsid w:val="29AF2158"/>
    <w:rsid w:val="29E52C48"/>
    <w:rsid w:val="2A4F3E17"/>
    <w:rsid w:val="2A7A2535"/>
    <w:rsid w:val="2AE20DED"/>
    <w:rsid w:val="2BF10955"/>
    <w:rsid w:val="2C2302BB"/>
    <w:rsid w:val="2C6615DF"/>
    <w:rsid w:val="2CB16E87"/>
    <w:rsid w:val="2CE751CC"/>
    <w:rsid w:val="2CF60F41"/>
    <w:rsid w:val="2D4E4FC1"/>
    <w:rsid w:val="2DA660A6"/>
    <w:rsid w:val="2DF611C9"/>
    <w:rsid w:val="2E2170F9"/>
    <w:rsid w:val="2E41641E"/>
    <w:rsid w:val="2E440F8F"/>
    <w:rsid w:val="2E944985"/>
    <w:rsid w:val="2F485BEA"/>
    <w:rsid w:val="2FD26F55"/>
    <w:rsid w:val="30096558"/>
    <w:rsid w:val="30DE2DAE"/>
    <w:rsid w:val="317A6542"/>
    <w:rsid w:val="321A7484"/>
    <w:rsid w:val="32517E19"/>
    <w:rsid w:val="32756EB2"/>
    <w:rsid w:val="328378A7"/>
    <w:rsid w:val="32985818"/>
    <w:rsid w:val="329F4483"/>
    <w:rsid w:val="32CD13D8"/>
    <w:rsid w:val="32D46F77"/>
    <w:rsid w:val="330C2A93"/>
    <w:rsid w:val="339248A7"/>
    <w:rsid w:val="33A07744"/>
    <w:rsid w:val="33B65E11"/>
    <w:rsid w:val="33B865E8"/>
    <w:rsid w:val="33E7797B"/>
    <w:rsid w:val="34874156"/>
    <w:rsid w:val="34961D84"/>
    <w:rsid w:val="35032B89"/>
    <w:rsid w:val="355F4C75"/>
    <w:rsid w:val="35905F2B"/>
    <w:rsid w:val="35D22503"/>
    <w:rsid w:val="362E5440"/>
    <w:rsid w:val="36316C27"/>
    <w:rsid w:val="3637096F"/>
    <w:rsid w:val="36511F38"/>
    <w:rsid w:val="37785ECF"/>
    <w:rsid w:val="379B30ED"/>
    <w:rsid w:val="37E36BED"/>
    <w:rsid w:val="38D540B9"/>
    <w:rsid w:val="396D6486"/>
    <w:rsid w:val="3A1D6E40"/>
    <w:rsid w:val="3A210788"/>
    <w:rsid w:val="3A6F6091"/>
    <w:rsid w:val="3B2B40CB"/>
    <w:rsid w:val="3B495E65"/>
    <w:rsid w:val="3BFE0D0E"/>
    <w:rsid w:val="3C1E6B96"/>
    <w:rsid w:val="3C633E13"/>
    <w:rsid w:val="3C7A4561"/>
    <w:rsid w:val="3C806ECF"/>
    <w:rsid w:val="3CD2096C"/>
    <w:rsid w:val="3DBA091D"/>
    <w:rsid w:val="3EFC61A0"/>
    <w:rsid w:val="3F176741"/>
    <w:rsid w:val="3F3923EB"/>
    <w:rsid w:val="3F5C6702"/>
    <w:rsid w:val="3F981C15"/>
    <w:rsid w:val="3FB93C81"/>
    <w:rsid w:val="400C0AB8"/>
    <w:rsid w:val="407D4E5F"/>
    <w:rsid w:val="41401FAA"/>
    <w:rsid w:val="4185015E"/>
    <w:rsid w:val="425F07A9"/>
    <w:rsid w:val="42DD62AF"/>
    <w:rsid w:val="43C529F5"/>
    <w:rsid w:val="43CB1AB8"/>
    <w:rsid w:val="443309C4"/>
    <w:rsid w:val="446A4013"/>
    <w:rsid w:val="44991ED1"/>
    <w:rsid w:val="44D14A1F"/>
    <w:rsid w:val="4503099B"/>
    <w:rsid w:val="452B429C"/>
    <w:rsid w:val="453D7EFA"/>
    <w:rsid w:val="45FA5FD9"/>
    <w:rsid w:val="46480423"/>
    <w:rsid w:val="46C44BD5"/>
    <w:rsid w:val="46FD0ED7"/>
    <w:rsid w:val="47173E6F"/>
    <w:rsid w:val="47A22F2A"/>
    <w:rsid w:val="47C259CB"/>
    <w:rsid w:val="47D44A52"/>
    <w:rsid w:val="47E7681C"/>
    <w:rsid w:val="48117779"/>
    <w:rsid w:val="492F4059"/>
    <w:rsid w:val="49FD45C2"/>
    <w:rsid w:val="4A236C6F"/>
    <w:rsid w:val="4BB73BE9"/>
    <w:rsid w:val="4BEB2031"/>
    <w:rsid w:val="4CCB5EE4"/>
    <w:rsid w:val="4CCF1A74"/>
    <w:rsid w:val="4CE85D4A"/>
    <w:rsid w:val="4D066995"/>
    <w:rsid w:val="4D3E16CF"/>
    <w:rsid w:val="4D6B74E0"/>
    <w:rsid w:val="4DE61D04"/>
    <w:rsid w:val="4E5F0909"/>
    <w:rsid w:val="4E6200BB"/>
    <w:rsid w:val="4E766125"/>
    <w:rsid w:val="4EEB5288"/>
    <w:rsid w:val="4F1B4159"/>
    <w:rsid w:val="4F700335"/>
    <w:rsid w:val="50203001"/>
    <w:rsid w:val="50B51B02"/>
    <w:rsid w:val="51121E6C"/>
    <w:rsid w:val="516B122E"/>
    <w:rsid w:val="52445835"/>
    <w:rsid w:val="5364371A"/>
    <w:rsid w:val="54C530D9"/>
    <w:rsid w:val="5504047D"/>
    <w:rsid w:val="5607739B"/>
    <w:rsid w:val="563C54D9"/>
    <w:rsid w:val="565A7935"/>
    <w:rsid w:val="565E6694"/>
    <w:rsid w:val="56820D5B"/>
    <w:rsid w:val="57096D7C"/>
    <w:rsid w:val="572C6388"/>
    <w:rsid w:val="57AD3C15"/>
    <w:rsid w:val="58311149"/>
    <w:rsid w:val="58607715"/>
    <w:rsid w:val="58A46E54"/>
    <w:rsid w:val="58BA71B3"/>
    <w:rsid w:val="59520AA5"/>
    <w:rsid w:val="5A3D0E18"/>
    <w:rsid w:val="5C656174"/>
    <w:rsid w:val="5D901B99"/>
    <w:rsid w:val="5D9424C4"/>
    <w:rsid w:val="5E007081"/>
    <w:rsid w:val="5EE66417"/>
    <w:rsid w:val="5F9F6596"/>
    <w:rsid w:val="5FA0715F"/>
    <w:rsid w:val="5FAB6FD5"/>
    <w:rsid w:val="5FC42D62"/>
    <w:rsid w:val="5FC5301A"/>
    <w:rsid w:val="606A78B9"/>
    <w:rsid w:val="60D84E80"/>
    <w:rsid w:val="618F0A37"/>
    <w:rsid w:val="61CF20DD"/>
    <w:rsid w:val="624136EF"/>
    <w:rsid w:val="62525166"/>
    <w:rsid w:val="6265316E"/>
    <w:rsid w:val="62A70077"/>
    <w:rsid w:val="63310F09"/>
    <w:rsid w:val="63694DB5"/>
    <w:rsid w:val="63A45BF9"/>
    <w:rsid w:val="63B84F56"/>
    <w:rsid w:val="64074006"/>
    <w:rsid w:val="64307272"/>
    <w:rsid w:val="64847D37"/>
    <w:rsid w:val="655C146A"/>
    <w:rsid w:val="65863D1B"/>
    <w:rsid w:val="6587477F"/>
    <w:rsid w:val="65B55F9D"/>
    <w:rsid w:val="65B95957"/>
    <w:rsid w:val="65F81266"/>
    <w:rsid w:val="66167BA9"/>
    <w:rsid w:val="663E10C6"/>
    <w:rsid w:val="6684682F"/>
    <w:rsid w:val="66FF5D80"/>
    <w:rsid w:val="67BA7B20"/>
    <w:rsid w:val="67DB2C51"/>
    <w:rsid w:val="67F765E0"/>
    <w:rsid w:val="681F7264"/>
    <w:rsid w:val="68562B5B"/>
    <w:rsid w:val="68671BC6"/>
    <w:rsid w:val="686B311E"/>
    <w:rsid w:val="68CB3B83"/>
    <w:rsid w:val="68FA376A"/>
    <w:rsid w:val="69D27EA0"/>
    <w:rsid w:val="6B0276EE"/>
    <w:rsid w:val="6B533C17"/>
    <w:rsid w:val="6B7569B5"/>
    <w:rsid w:val="6C5B7CEC"/>
    <w:rsid w:val="6CAC6574"/>
    <w:rsid w:val="6CF240C6"/>
    <w:rsid w:val="6D013BED"/>
    <w:rsid w:val="6DB34F5A"/>
    <w:rsid w:val="6DEE7787"/>
    <w:rsid w:val="6E03652B"/>
    <w:rsid w:val="6E1E0599"/>
    <w:rsid w:val="6FD45398"/>
    <w:rsid w:val="70ED09B0"/>
    <w:rsid w:val="70F047E8"/>
    <w:rsid w:val="71136EAD"/>
    <w:rsid w:val="7129306F"/>
    <w:rsid w:val="7158645C"/>
    <w:rsid w:val="716E2908"/>
    <w:rsid w:val="717600B2"/>
    <w:rsid w:val="71B82140"/>
    <w:rsid w:val="72FF1303"/>
    <w:rsid w:val="73396DB5"/>
    <w:rsid w:val="73BC5AD9"/>
    <w:rsid w:val="742C51F2"/>
    <w:rsid w:val="764D1C01"/>
    <w:rsid w:val="77DA33DD"/>
    <w:rsid w:val="78AB2B78"/>
    <w:rsid w:val="78EB6E8C"/>
    <w:rsid w:val="78F83BED"/>
    <w:rsid w:val="79257587"/>
    <w:rsid w:val="79FF25A5"/>
    <w:rsid w:val="7A4C2094"/>
    <w:rsid w:val="7AD640D2"/>
    <w:rsid w:val="7AFD57B8"/>
    <w:rsid w:val="7B46553C"/>
    <w:rsid w:val="7B477A1B"/>
    <w:rsid w:val="7B5467C4"/>
    <w:rsid w:val="7BC10F02"/>
    <w:rsid w:val="7CA32E53"/>
    <w:rsid w:val="7D3F1FE1"/>
    <w:rsid w:val="7D5139EA"/>
    <w:rsid w:val="7DB1356C"/>
    <w:rsid w:val="7F611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0"/>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link w:val="185"/>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3"/>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70"/>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7"/>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78"/>
    <w:semiHidden/>
    <w:unhideWhenUsed/>
    <w:qFormat/>
    <w:uiPriority w:val="99"/>
    <w:pPr>
      <w:spacing w:after="120"/>
    </w:pPr>
    <w:rPr>
      <w:sz w:val="16"/>
      <w:szCs w:val="16"/>
    </w:rPr>
  </w:style>
  <w:style w:type="paragraph" w:styleId="14">
    <w:name w:val="Body Text Indent"/>
    <w:basedOn w:val="1"/>
    <w:qFormat/>
    <w:uiPriority w:val="0"/>
    <w:pPr>
      <w:spacing w:line="400" w:lineRule="exact"/>
      <w:ind w:firstLine="435"/>
    </w:p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81"/>
    <w:unhideWhenUsed/>
    <w:qFormat/>
    <w:uiPriority w:val="99"/>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9"/>
    <w:qFormat/>
    <w:uiPriority w:val="99"/>
    <w:pPr>
      <w:ind w:left="100" w:leftChars="2500"/>
    </w:pPr>
    <w:rPr>
      <w:rFonts w:asciiTheme="minorHAnsi" w:hAnsiTheme="minorHAnsi" w:eastAsiaTheme="minorEastAsia" w:cstheme="minorBidi"/>
    </w:rPr>
  </w:style>
  <w:style w:type="paragraph" w:styleId="19">
    <w:name w:val="Body Text Indent 2"/>
    <w:basedOn w:val="1"/>
    <w:link w:val="159"/>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6"/>
    <w:semiHidden/>
    <w:qFormat/>
    <w:uiPriority w:val="0"/>
    <w:pPr>
      <w:snapToGrid w:val="0"/>
    </w:pPr>
    <w:rPr>
      <w:rFonts w:asciiTheme="minorHAnsi" w:hAnsiTheme="minorHAnsi" w:eastAsiaTheme="minorEastAsia" w:cstheme="minorBidi"/>
    </w:rPr>
  </w:style>
  <w:style w:type="paragraph" w:styleId="21">
    <w:name w:val="Balloon Text"/>
    <w:basedOn w:val="1"/>
    <w:link w:val="145"/>
    <w:qFormat/>
    <w:uiPriority w:val="99"/>
    <w:rPr>
      <w:rFonts w:asciiTheme="minorHAnsi" w:hAnsiTheme="minorHAnsi" w:eastAsiaTheme="minorEastAsia" w:cstheme="minorBidi"/>
      <w:sz w:val="18"/>
      <w:szCs w:val="18"/>
    </w:rPr>
  </w:style>
  <w:style w:type="paragraph" w:styleId="22">
    <w:name w:val="footer"/>
    <w:basedOn w:val="1"/>
    <w:link w:val="166"/>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8"/>
    <w:qFormat/>
    <w:uiPriority w:val="99"/>
    <w:pPr>
      <w:snapToGrid w:val="0"/>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5"/>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53"/>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9"/>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1"/>
    <w:next w:val="11"/>
    <w:link w:val="175"/>
    <w:semiHidden/>
    <w:qFormat/>
    <w:uiPriority w:val="0"/>
    <w:rPr>
      <w:b/>
      <w:bCs/>
    </w:rPr>
  </w:style>
  <w:style w:type="paragraph" w:styleId="36">
    <w:name w:val="Body Text First Indent"/>
    <w:basedOn w:val="2"/>
    <w:qFormat/>
    <w:uiPriority w:val="0"/>
    <w:pPr>
      <w:adjustRightInd w:val="0"/>
      <w:snapToGrid w:val="0"/>
      <w:ind w:firstLine="420"/>
      <w:textAlignment w:val="baseline"/>
    </w:pPr>
    <w:rPr>
      <w:rFonts w:ascii="宋体"/>
      <w:snapToGrid w:val="0"/>
      <w:kern w:val="24"/>
      <w:sz w:val="24"/>
      <w:szCs w:val="20"/>
    </w:rPr>
  </w:style>
  <w:style w:type="paragraph" w:styleId="37">
    <w:name w:val="Body Text First Indent 2"/>
    <w:basedOn w:val="14"/>
    <w:qFormat/>
    <w:uiPriority w:val="0"/>
    <w:pPr>
      <w:spacing w:after="120" w:line="240" w:lineRule="auto"/>
      <w:ind w:left="420" w:firstLine="210"/>
    </w:pPr>
    <w:rPr>
      <w:szCs w:val="20"/>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annotation reference"/>
    <w:basedOn w:val="40"/>
    <w:semiHidden/>
    <w:unhideWhenUsed/>
    <w:qFormat/>
    <w:uiPriority w:val="0"/>
    <w:rPr>
      <w:sz w:val="21"/>
      <w:szCs w:val="21"/>
    </w:rPr>
  </w:style>
  <w:style w:type="character" w:styleId="47">
    <w:name w:val="footnote reference"/>
    <w:qFormat/>
    <w:uiPriority w:val="0"/>
    <w:rPr>
      <w:vertAlign w:val="superscript"/>
    </w:rPr>
  </w:style>
  <w:style w:type="paragraph" w:customStyle="1" w:styleId="48">
    <w:name w:val="Body Text Indent 21"/>
    <w:basedOn w:val="1"/>
    <w:next w:val="23"/>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49">
    <w:name w:val="标题 1 Char"/>
    <w:basedOn w:val="40"/>
    <w:link w:val="4"/>
    <w:qFormat/>
    <w:uiPriority w:val="0"/>
    <w:rPr>
      <w:rFonts w:ascii="Times New Roman" w:hAnsi="Times New Roman" w:eastAsia="宋体" w:cs="Times New Roman"/>
      <w:b/>
      <w:bCs/>
      <w:kern w:val="44"/>
      <w:sz w:val="44"/>
      <w:szCs w:val="44"/>
    </w:rPr>
  </w:style>
  <w:style w:type="character" w:customStyle="1" w:styleId="50">
    <w:name w:val="标题 2 Char"/>
    <w:basedOn w:val="40"/>
    <w:link w:val="5"/>
    <w:qFormat/>
    <w:uiPriority w:val="0"/>
    <w:rPr>
      <w:rFonts w:ascii="宋体" w:hAnsi="宋体" w:eastAsia="宋体" w:cs="Times New Roman"/>
      <w:b/>
      <w:bCs/>
      <w:kern w:val="0"/>
      <w:sz w:val="36"/>
      <w:szCs w:val="36"/>
    </w:rPr>
  </w:style>
  <w:style w:type="character" w:customStyle="1" w:styleId="51">
    <w:name w:val="批注文字 Char"/>
    <w:semiHidden/>
    <w:qFormat/>
    <w:uiPriority w:val="0"/>
    <w:rPr>
      <w:szCs w:val="24"/>
    </w:rPr>
  </w:style>
  <w:style w:type="character" w:customStyle="1" w:styleId="52">
    <w:name w:val="批注主题 Char"/>
    <w:semiHidden/>
    <w:qFormat/>
    <w:uiPriority w:val="0"/>
    <w:rPr>
      <w:b/>
      <w:bCs/>
      <w:szCs w:val="24"/>
    </w:rPr>
  </w:style>
  <w:style w:type="character" w:customStyle="1" w:styleId="53">
    <w:name w:val="文档结构图 Char"/>
    <w:semiHidden/>
    <w:qFormat/>
    <w:uiPriority w:val="0"/>
    <w:rPr>
      <w:szCs w:val="24"/>
      <w:shd w:val="clear" w:color="auto" w:fill="000080"/>
    </w:rPr>
  </w:style>
  <w:style w:type="character" w:customStyle="1" w:styleId="54">
    <w:name w:val="脚注文本 Char"/>
    <w:qFormat/>
    <w:uiPriority w:val="0"/>
    <w:rPr>
      <w:rFonts w:ascii="宋体"/>
      <w:sz w:val="18"/>
      <w:szCs w:val="18"/>
    </w:rPr>
  </w:style>
  <w:style w:type="character" w:customStyle="1" w:styleId="55">
    <w:name w:val="con"/>
    <w:qFormat/>
    <w:uiPriority w:val="0"/>
  </w:style>
  <w:style w:type="character" w:customStyle="1" w:styleId="56">
    <w:name w:val="bar-label2"/>
    <w:qFormat/>
    <w:uiPriority w:val="99"/>
  </w:style>
  <w:style w:type="character" w:customStyle="1" w:styleId="57">
    <w:name w:val="正文文本缩进 2 Char"/>
    <w:qFormat/>
    <w:uiPriority w:val="99"/>
    <w:rPr>
      <w:szCs w:val="24"/>
    </w:rPr>
  </w:style>
  <w:style w:type="character" w:customStyle="1" w:styleId="58">
    <w:name w:val="日期 Char"/>
    <w:qFormat/>
    <w:uiPriority w:val="99"/>
    <w:rPr>
      <w:szCs w:val="24"/>
    </w:rPr>
  </w:style>
  <w:style w:type="character" w:customStyle="1" w:styleId="59">
    <w:name w:val="页脚 Char"/>
    <w:qFormat/>
    <w:locked/>
    <w:uiPriority w:val="99"/>
    <w:rPr>
      <w:sz w:val="18"/>
      <w:szCs w:val="18"/>
    </w:rPr>
  </w:style>
  <w:style w:type="character" w:customStyle="1" w:styleId="60">
    <w:name w:val="apple-converted-space"/>
    <w:basedOn w:val="40"/>
    <w:qFormat/>
    <w:uiPriority w:val="0"/>
  </w:style>
  <w:style w:type="character" w:customStyle="1" w:styleId="61">
    <w:name w:val="批注框文本 Char"/>
    <w:qFormat/>
    <w:uiPriority w:val="99"/>
    <w:rPr>
      <w:sz w:val="18"/>
      <w:szCs w:val="18"/>
    </w:rPr>
  </w:style>
  <w:style w:type="character" w:customStyle="1" w:styleId="62">
    <w:name w:val="页眉 Char"/>
    <w:qFormat/>
    <w:locked/>
    <w:uiPriority w:val="99"/>
    <w:rPr>
      <w:sz w:val="18"/>
      <w:szCs w:val="18"/>
    </w:rPr>
  </w:style>
  <w:style w:type="character" w:customStyle="1" w:styleId="63">
    <w:name w:val="首示例 Char"/>
    <w:link w:val="64"/>
    <w:qFormat/>
    <w:uiPriority w:val="0"/>
    <w:rPr>
      <w:rFonts w:ascii="宋体" w:hAnsi="宋体"/>
      <w:sz w:val="18"/>
      <w:szCs w:val="18"/>
    </w:rPr>
  </w:style>
  <w:style w:type="paragraph" w:customStyle="1" w:styleId="64">
    <w:name w:val="首示例"/>
    <w:next w:val="65"/>
    <w:link w:val="63"/>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5">
    <w:name w:val="段"/>
    <w:link w:val="66"/>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6">
    <w:name w:val="段 Char"/>
    <w:link w:val="65"/>
    <w:qFormat/>
    <w:uiPriority w:val="0"/>
    <w:rPr>
      <w:rFonts w:ascii="宋体"/>
    </w:rPr>
  </w:style>
  <w:style w:type="character" w:customStyle="1" w:styleId="67">
    <w:name w:val="附录公式 Char"/>
    <w:basedOn w:val="66"/>
    <w:link w:val="68"/>
    <w:qFormat/>
    <w:uiPriority w:val="0"/>
    <w:rPr>
      <w:rFonts w:ascii="宋体"/>
    </w:rPr>
  </w:style>
  <w:style w:type="paragraph" w:customStyle="1" w:styleId="68">
    <w:name w:val="附录公式"/>
    <w:basedOn w:val="65"/>
    <w:next w:val="65"/>
    <w:link w:val="67"/>
    <w:qFormat/>
    <w:uiPriority w:val="0"/>
  </w:style>
  <w:style w:type="character" w:customStyle="1" w:styleId="69">
    <w:name w:val="发布"/>
    <w:qFormat/>
    <w:uiPriority w:val="0"/>
    <w:rPr>
      <w:rFonts w:ascii="黑体" w:eastAsia="黑体"/>
      <w:spacing w:val="85"/>
      <w:w w:val="100"/>
      <w:position w:val="3"/>
      <w:sz w:val="28"/>
      <w:szCs w:val="28"/>
    </w:rPr>
  </w:style>
  <w:style w:type="character" w:customStyle="1" w:styleId="70">
    <w:name w:val="一级条标题 Char"/>
    <w:link w:val="71"/>
    <w:qFormat/>
    <w:uiPriority w:val="0"/>
    <w:rPr>
      <w:rFonts w:ascii="黑体" w:eastAsia="黑体"/>
      <w:szCs w:val="21"/>
    </w:rPr>
  </w:style>
  <w:style w:type="paragraph" w:customStyle="1" w:styleId="71">
    <w:name w:val="一级条标题"/>
    <w:next w:val="65"/>
    <w:link w:val="70"/>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2">
    <w:name w:val="HTML 预设格式 Char"/>
    <w:qFormat/>
    <w:uiPriority w:val="0"/>
    <w:rPr>
      <w:rFonts w:ascii="Courier New" w:hAnsi="Courier New" w:cs="Courier New"/>
    </w:rPr>
  </w:style>
  <w:style w:type="character" w:customStyle="1" w:styleId="73">
    <w:name w:val="尾注文本 Char"/>
    <w:semiHidden/>
    <w:qFormat/>
    <w:uiPriority w:val="0"/>
    <w:rPr>
      <w:szCs w:val="24"/>
    </w:rPr>
  </w:style>
  <w:style w:type="paragraph" w:customStyle="1" w:styleId="74">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5">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6">
    <w:name w:val="List Paragraph"/>
    <w:basedOn w:val="1"/>
    <w:qFormat/>
    <w:uiPriority w:val="34"/>
    <w:pPr>
      <w:ind w:firstLine="420" w:firstLineChars="200"/>
    </w:pPr>
    <w:rPr>
      <w:rFonts w:ascii="宋体" w:hAnsi="宋体" w:cs="宋体"/>
      <w:kern w:val="0"/>
      <w:sz w:val="24"/>
    </w:rPr>
  </w:style>
  <w:style w:type="paragraph" w:customStyle="1" w:styleId="77">
    <w:name w:val="封面一致性程度标识2"/>
    <w:basedOn w:val="78"/>
    <w:qFormat/>
    <w:uiPriority w:val="0"/>
    <w:pPr>
      <w:framePr w:wrap="around" w:y="4469"/>
    </w:p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2"/>
    <w:basedOn w:val="79"/>
    <w:qFormat/>
    <w:uiPriority w:val="0"/>
    <w:pPr>
      <w:framePr w:wrap="around" w:y="4469"/>
    </w:pPr>
  </w:style>
  <w:style w:type="paragraph" w:customStyle="1" w:styleId="82">
    <w:name w:val="其他发布日期"/>
    <w:basedOn w:val="83"/>
    <w:qFormat/>
    <w:uiPriority w:val="0"/>
    <w:pPr>
      <w:framePr w:wrap="around" w:vAnchor="page" w:hAnchor="text" w:x="1419"/>
    </w:pPr>
  </w:style>
  <w:style w:type="paragraph" w:customStyle="1" w:styleId="83">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4">
    <w:name w:val="正文公式编号制表符"/>
    <w:basedOn w:val="65"/>
    <w:next w:val="65"/>
    <w:qFormat/>
    <w:uiPriority w:val="0"/>
    <w:pPr>
      <w:ind w:firstLine="0" w:firstLineChars="0"/>
    </w:pPr>
  </w:style>
  <w:style w:type="paragraph" w:customStyle="1" w:styleId="85">
    <w:name w:val="正文表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6">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7">
    <w:name w:val="一级无"/>
    <w:basedOn w:val="71"/>
    <w:qFormat/>
    <w:uiPriority w:val="0"/>
  </w:style>
  <w:style w:type="paragraph" w:customStyle="1" w:styleId="88">
    <w:name w:val="图的脚注"/>
    <w:next w:val="65"/>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9">
    <w:name w:val="图标脚注说明"/>
    <w:basedOn w:val="65"/>
    <w:qFormat/>
    <w:uiPriority w:val="0"/>
    <w:pPr>
      <w:ind w:left="840" w:hanging="420" w:firstLineChars="0"/>
    </w:pPr>
    <w:rPr>
      <w:sz w:val="18"/>
      <w:szCs w:val="18"/>
    </w:rPr>
  </w:style>
  <w:style w:type="paragraph" w:customStyle="1" w:styleId="90">
    <w:name w:val="示例后文字"/>
    <w:basedOn w:val="65"/>
    <w:next w:val="65"/>
    <w:qFormat/>
    <w:uiPriority w:val="0"/>
    <w:pPr>
      <w:ind w:firstLine="360"/>
    </w:pPr>
    <w:rPr>
      <w:sz w:val="18"/>
    </w:rPr>
  </w:style>
  <w:style w:type="paragraph" w:customStyle="1" w:styleId="91">
    <w:name w:val="实施日期"/>
    <w:basedOn w:val="83"/>
    <w:qFormat/>
    <w:uiPriority w:val="0"/>
    <w:pPr>
      <w:framePr w:wrap="around" w:vAnchor="page" w:hAnchor="text"/>
      <w:jc w:val="right"/>
    </w:pPr>
  </w:style>
  <w:style w:type="paragraph" w:customStyle="1" w:styleId="92">
    <w:name w:val="前言、引言标题"/>
    <w:next w:val="65"/>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6">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7">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8">
    <w:name w:val="条文脚注"/>
    <w:basedOn w:val="27"/>
    <w:qFormat/>
    <w:uiPriority w:val="0"/>
    <w:pPr>
      <w:ind w:left="0" w:firstLine="0"/>
      <w:jc w:val="both"/>
    </w:pPr>
  </w:style>
  <w:style w:type="paragraph" w:customStyle="1" w:styleId="99">
    <w:name w:val="附录一级无"/>
    <w:basedOn w:val="100"/>
    <w:qFormat/>
    <w:uiPriority w:val="0"/>
    <w:pPr>
      <w:tabs>
        <w:tab w:val="left" w:pos="360"/>
      </w:tabs>
      <w:spacing w:beforeLines="0" w:afterLines="0"/>
    </w:pPr>
    <w:rPr>
      <w:rFonts w:ascii="宋体" w:eastAsia="宋体"/>
      <w:szCs w:val="21"/>
    </w:rPr>
  </w:style>
  <w:style w:type="paragraph" w:customStyle="1" w:styleId="100">
    <w:name w:val="附录一级条标题"/>
    <w:basedOn w:val="101"/>
    <w:next w:val="65"/>
    <w:qFormat/>
    <w:uiPriority w:val="0"/>
    <w:pPr>
      <w:tabs>
        <w:tab w:val="left" w:pos="360"/>
      </w:tabs>
      <w:autoSpaceDN w:val="0"/>
      <w:spacing w:beforeLines="50" w:afterLines="50"/>
      <w:outlineLvl w:val="2"/>
    </w:pPr>
  </w:style>
  <w:style w:type="paragraph" w:customStyle="1" w:styleId="101">
    <w:name w:val="附录章标题"/>
    <w:next w:val="65"/>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五级无"/>
    <w:basedOn w:val="103"/>
    <w:qFormat/>
    <w:uiPriority w:val="0"/>
    <w:pPr>
      <w:tabs>
        <w:tab w:val="left" w:pos="360"/>
      </w:tabs>
      <w:spacing w:beforeLines="0" w:afterLines="0"/>
    </w:pPr>
    <w:rPr>
      <w:rFonts w:ascii="宋体" w:eastAsia="宋体"/>
      <w:szCs w:val="21"/>
    </w:rPr>
  </w:style>
  <w:style w:type="paragraph" w:customStyle="1" w:styleId="103">
    <w:name w:val="附录五级条标题"/>
    <w:basedOn w:val="104"/>
    <w:next w:val="65"/>
    <w:qFormat/>
    <w:uiPriority w:val="0"/>
    <w:pPr>
      <w:tabs>
        <w:tab w:val="left" w:pos="360"/>
      </w:tabs>
      <w:outlineLvl w:val="6"/>
    </w:pPr>
  </w:style>
  <w:style w:type="paragraph" w:customStyle="1" w:styleId="104">
    <w:name w:val="附录四级条标题"/>
    <w:basedOn w:val="105"/>
    <w:next w:val="65"/>
    <w:qFormat/>
    <w:uiPriority w:val="0"/>
    <w:pPr>
      <w:tabs>
        <w:tab w:val="left" w:pos="360"/>
      </w:tabs>
    </w:pPr>
  </w:style>
  <w:style w:type="paragraph" w:customStyle="1" w:styleId="105">
    <w:name w:val="附录三级条标题"/>
    <w:basedOn w:val="106"/>
    <w:next w:val="65"/>
    <w:qFormat/>
    <w:uiPriority w:val="0"/>
    <w:pPr>
      <w:tabs>
        <w:tab w:val="left" w:pos="360"/>
      </w:tabs>
    </w:pPr>
  </w:style>
  <w:style w:type="paragraph" w:customStyle="1" w:styleId="106">
    <w:name w:val="附录二级条标题"/>
    <w:basedOn w:val="1"/>
    <w:next w:val="65"/>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附录图标题"/>
    <w:basedOn w:val="1"/>
    <w:next w:val="65"/>
    <w:qFormat/>
    <w:uiPriority w:val="0"/>
    <w:pPr>
      <w:tabs>
        <w:tab w:val="left" w:pos="363"/>
      </w:tabs>
      <w:spacing w:beforeLines="50" w:afterLines="50"/>
      <w:jc w:val="center"/>
    </w:pPr>
    <w:rPr>
      <w:rFonts w:ascii="黑体" w:eastAsia="黑体"/>
      <w:szCs w:val="21"/>
    </w:rPr>
  </w:style>
  <w:style w:type="paragraph" w:customStyle="1" w:styleId="108">
    <w:name w:val="附录图标号"/>
    <w:basedOn w:val="1"/>
    <w:qFormat/>
    <w:uiPriority w:val="0"/>
    <w:pPr>
      <w:keepNext/>
      <w:pageBreakBefore/>
      <w:spacing w:line="14" w:lineRule="exact"/>
      <w:ind w:firstLine="363"/>
      <w:jc w:val="center"/>
      <w:outlineLvl w:val="0"/>
    </w:pPr>
    <w:rPr>
      <w:color w:val="FFFFFF"/>
    </w:rPr>
  </w:style>
  <w:style w:type="paragraph" w:customStyle="1" w:styleId="109">
    <w:name w:val="附录四级无"/>
    <w:basedOn w:val="104"/>
    <w:qFormat/>
    <w:uiPriority w:val="0"/>
    <w:pPr>
      <w:tabs>
        <w:tab w:val="clear" w:pos="360"/>
      </w:tabs>
      <w:spacing w:beforeLines="0" w:afterLines="0"/>
      <w:outlineLvl w:val="5"/>
    </w:pPr>
    <w:rPr>
      <w:rFonts w:ascii="宋体" w:eastAsia="宋体"/>
      <w:szCs w:val="21"/>
    </w:rPr>
  </w:style>
  <w:style w:type="paragraph" w:customStyle="1" w:styleId="110">
    <w:name w:val="附录三级无"/>
    <w:basedOn w:val="105"/>
    <w:qFormat/>
    <w:uiPriority w:val="0"/>
  </w:style>
  <w:style w:type="paragraph" w:customStyle="1" w:styleId="111">
    <w:name w:val="注："/>
    <w:next w:val="65"/>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2">
    <w:name w:val="附录公式编号制表符"/>
    <w:basedOn w:val="1"/>
    <w:next w:val="65"/>
    <w:qFormat/>
    <w:uiPriority w:val="0"/>
    <w:pPr>
      <w:tabs>
        <w:tab w:val="center" w:pos="4201"/>
        <w:tab w:val="right" w:leader="dot" w:pos="9298"/>
      </w:tabs>
      <w:autoSpaceDE w:val="0"/>
      <w:autoSpaceDN w:val="0"/>
    </w:pPr>
    <w:rPr>
      <w:rFonts w:ascii="宋体"/>
      <w:kern w:val="0"/>
      <w:szCs w:val="20"/>
    </w:rPr>
  </w:style>
  <w:style w:type="paragraph" w:customStyle="1" w:styleId="113">
    <w:name w:val="附录二级无"/>
    <w:basedOn w:val="106"/>
    <w:qFormat/>
    <w:uiPriority w:val="0"/>
  </w:style>
  <w:style w:type="paragraph" w:customStyle="1" w:styleId="114">
    <w:name w:val="附录标题"/>
    <w:basedOn w:val="65"/>
    <w:next w:val="65"/>
    <w:qFormat/>
    <w:uiPriority w:val="0"/>
    <w:pPr>
      <w:ind w:firstLine="0" w:firstLineChars="0"/>
      <w:jc w:val="center"/>
    </w:pPr>
    <w:rPr>
      <w:rFonts w:ascii="黑体" w:eastAsia="黑体"/>
    </w:rPr>
  </w:style>
  <w:style w:type="paragraph" w:customStyle="1" w:styleId="115">
    <w:name w:val="参考文献"/>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6">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7">
    <w:name w:val="封面标准文稿类别"/>
    <w:basedOn w:val="78"/>
    <w:qFormat/>
    <w:uiPriority w:val="0"/>
    <w:pPr>
      <w:framePr w:wrap="around"/>
      <w:spacing w:after="160" w:line="240" w:lineRule="auto"/>
    </w:pPr>
    <w:rPr>
      <w:sz w:val="24"/>
    </w:rPr>
  </w:style>
  <w:style w:type="paragraph" w:customStyle="1" w:styleId="118">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9">
    <w:name w:val="其他实施日期"/>
    <w:basedOn w:val="91"/>
    <w:qFormat/>
    <w:uiPriority w:val="0"/>
    <w:pPr>
      <w:framePr w:wrap="around" w:vAnchor="margin" w:hAnchor="page"/>
    </w:pPr>
  </w:style>
  <w:style w:type="paragraph" w:customStyle="1" w:styleId="1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1">
    <w:name w:val="发布部门"/>
    <w:next w:val="65"/>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2">
    <w:name w:val="注：（正文）"/>
    <w:basedOn w:val="111"/>
    <w:next w:val="65"/>
    <w:qFormat/>
    <w:uiPriority w:val="0"/>
  </w:style>
  <w:style w:type="paragraph" w:customStyle="1" w:styleId="123">
    <w:name w:val="参考文献、索引标题"/>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6">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7">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9">
    <w:name w:val="示例×："/>
    <w:basedOn w:val="130"/>
    <w:qFormat/>
    <w:uiPriority w:val="0"/>
    <w:pPr>
      <w:spacing w:beforeLines="0" w:afterLines="0"/>
      <w:ind w:firstLine="363"/>
      <w:outlineLvl w:val="9"/>
    </w:pPr>
    <w:rPr>
      <w:rFonts w:ascii="宋体" w:eastAsia="宋体"/>
      <w:sz w:val="18"/>
      <w:szCs w:val="18"/>
    </w:rPr>
  </w:style>
  <w:style w:type="paragraph" w:customStyle="1" w:styleId="130">
    <w:name w:val="章标题"/>
    <w:next w:val="65"/>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1">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2">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3">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4">
    <w:name w:val="五级无"/>
    <w:basedOn w:val="135"/>
    <w:qFormat/>
    <w:uiPriority w:val="0"/>
    <w:pPr>
      <w:spacing w:beforeLines="0" w:afterLines="0"/>
      <w:outlineLvl w:val="6"/>
    </w:pPr>
    <w:rPr>
      <w:rFonts w:ascii="宋体" w:eastAsia="宋体"/>
    </w:rPr>
  </w:style>
  <w:style w:type="paragraph" w:customStyle="1" w:styleId="135">
    <w:name w:val="五级条标题"/>
    <w:basedOn w:val="136"/>
    <w:next w:val="65"/>
    <w:qFormat/>
    <w:uiPriority w:val="0"/>
  </w:style>
  <w:style w:type="paragraph" w:customStyle="1" w:styleId="136">
    <w:name w:val="四级条标题"/>
    <w:basedOn w:val="137"/>
    <w:next w:val="65"/>
    <w:qFormat/>
    <w:uiPriority w:val="0"/>
  </w:style>
  <w:style w:type="paragraph" w:customStyle="1" w:styleId="137">
    <w:name w:val="三级条标题"/>
    <w:basedOn w:val="138"/>
    <w:next w:val="65"/>
    <w:qFormat/>
    <w:uiPriority w:val="0"/>
  </w:style>
  <w:style w:type="paragraph" w:customStyle="1" w:styleId="138">
    <w:name w:val="二级条标题"/>
    <w:basedOn w:val="71"/>
    <w:next w:val="65"/>
    <w:qFormat/>
    <w:uiPriority w:val="0"/>
  </w:style>
  <w:style w:type="paragraph" w:customStyle="1" w:styleId="139">
    <w:name w:val="四级无"/>
    <w:basedOn w:val="136"/>
    <w:qFormat/>
    <w:uiPriority w:val="0"/>
  </w:style>
  <w:style w:type="paragraph" w:customStyle="1" w:styleId="140">
    <w:name w:val="三级无"/>
    <w:basedOn w:val="137"/>
    <w:qFormat/>
    <w:uiPriority w:val="0"/>
  </w:style>
  <w:style w:type="paragraph" w:customStyle="1" w:styleId="141">
    <w:name w:val="其他标准标志"/>
    <w:basedOn w:val="125"/>
    <w:qFormat/>
    <w:uiPriority w:val="0"/>
    <w:pPr>
      <w:framePr w:w="6101" w:wrap="around" w:vAnchor="page" w:hAnchor="page" w:x="4673" w:y="942"/>
    </w:pPr>
    <w:rPr>
      <w:w w:val="130"/>
    </w:rPr>
  </w:style>
  <w:style w:type="paragraph" w:customStyle="1" w:styleId="142">
    <w:name w:val="目次、标准名称标题"/>
    <w:basedOn w:val="1"/>
    <w:next w:val="65"/>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4">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5">
    <w:name w:val="批注框文本 Char1"/>
    <w:basedOn w:val="40"/>
    <w:link w:val="21"/>
    <w:semiHidden/>
    <w:qFormat/>
    <w:uiPriority w:val="99"/>
    <w:rPr>
      <w:rFonts w:ascii="Times New Roman" w:hAnsi="Times New Roman" w:eastAsia="宋体" w:cs="Times New Roman"/>
      <w:sz w:val="18"/>
      <w:szCs w:val="18"/>
    </w:rPr>
  </w:style>
  <w:style w:type="paragraph" w:customStyle="1" w:styleId="146">
    <w:name w:val="列项◆（三级）"/>
    <w:basedOn w:val="1"/>
    <w:qFormat/>
    <w:uiPriority w:val="99"/>
    <w:pPr>
      <w:tabs>
        <w:tab w:val="left" w:pos="969"/>
      </w:tabs>
      <w:ind w:left="969" w:hanging="414"/>
    </w:pPr>
    <w:rPr>
      <w:rFonts w:ascii="宋体"/>
      <w:szCs w:val="21"/>
    </w:rPr>
  </w:style>
  <w:style w:type="paragraph" w:customStyle="1" w:styleId="147">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8">
    <w:name w:val="页眉 Char1"/>
    <w:basedOn w:val="40"/>
    <w:link w:val="23"/>
    <w:semiHidden/>
    <w:qFormat/>
    <w:uiPriority w:val="99"/>
    <w:rPr>
      <w:rFonts w:ascii="Times New Roman" w:hAnsi="Times New Roman" w:eastAsia="宋体" w:cs="Times New Roman"/>
      <w:sz w:val="18"/>
      <w:szCs w:val="18"/>
    </w:rPr>
  </w:style>
  <w:style w:type="paragraph" w:customStyle="1" w:styleId="149">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0">
    <w:name w:val="其他发布部门"/>
    <w:basedOn w:val="121"/>
    <w:qFormat/>
    <w:uiPriority w:val="0"/>
    <w:pPr>
      <w:framePr w:wrap="around" w:y="15310"/>
      <w:spacing w:line="0" w:lineRule="atLeast"/>
    </w:pPr>
    <w:rPr>
      <w:rFonts w:ascii="黑体" w:eastAsia="黑体"/>
      <w:b w:val="0"/>
    </w:rPr>
  </w:style>
  <w:style w:type="paragraph" w:customStyle="1" w:styleId="151">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2">
    <w:name w:val="正文图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3">
    <w:name w:val="HTML 预设格式 Char1"/>
    <w:basedOn w:val="40"/>
    <w:link w:val="31"/>
    <w:semiHidden/>
    <w:qFormat/>
    <w:uiPriority w:val="99"/>
    <w:rPr>
      <w:rFonts w:ascii="Courier New" w:hAnsi="Courier New" w:eastAsia="宋体" w:cs="Courier New"/>
      <w:sz w:val="20"/>
      <w:szCs w:val="20"/>
    </w:rPr>
  </w:style>
  <w:style w:type="paragraph" w:customStyle="1" w:styleId="154">
    <w:name w:val="附录标识"/>
    <w:basedOn w:val="1"/>
    <w:next w:val="65"/>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5">
    <w:name w:val="脚注文本 Char1"/>
    <w:basedOn w:val="40"/>
    <w:link w:val="27"/>
    <w:semiHidden/>
    <w:qFormat/>
    <w:uiPriority w:val="99"/>
    <w:rPr>
      <w:rFonts w:ascii="Times New Roman" w:hAnsi="Times New Roman" w:eastAsia="宋体" w:cs="Times New Roman"/>
      <w:sz w:val="18"/>
      <w:szCs w:val="18"/>
    </w:rPr>
  </w:style>
  <w:style w:type="paragraph" w:customStyle="1" w:styleId="156">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7">
    <w:name w:val="二级无"/>
    <w:basedOn w:val="138"/>
    <w:qFormat/>
    <w:uiPriority w:val="0"/>
  </w:style>
  <w:style w:type="paragraph" w:customStyle="1" w:styleId="158">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9">
    <w:name w:val="正文文本缩进 2 Char1"/>
    <w:basedOn w:val="40"/>
    <w:link w:val="19"/>
    <w:semiHidden/>
    <w:qFormat/>
    <w:uiPriority w:val="99"/>
    <w:rPr>
      <w:rFonts w:ascii="Times New Roman" w:hAnsi="Times New Roman" w:eastAsia="宋体" w:cs="Times New Roman"/>
      <w:szCs w:val="24"/>
    </w:rPr>
  </w:style>
  <w:style w:type="paragraph" w:customStyle="1" w:styleId="160">
    <w:name w:val="封面标准文稿编辑信息2"/>
    <w:basedOn w:val="161"/>
    <w:qFormat/>
    <w:uiPriority w:val="0"/>
    <w:pPr>
      <w:framePr w:wrap="around" w:y="4469"/>
    </w:pPr>
  </w:style>
  <w:style w:type="paragraph" w:customStyle="1" w:styleId="161">
    <w:name w:val="封面标准文稿编辑信息"/>
    <w:basedOn w:val="117"/>
    <w:qFormat/>
    <w:uiPriority w:val="0"/>
    <w:pPr>
      <w:framePr w:wrap="around"/>
      <w:spacing w:before="180" w:line="180" w:lineRule="exact"/>
    </w:pPr>
    <w:rPr>
      <w:sz w:val="21"/>
    </w:rPr>
  </w:style>
  <w:style w:type="paragraph" w:customStyle="1" w:styleId="162">
    <w:name w:val="附录表标题"/>
    <w:basedOn w:val="1"/>
    <w:next w:val="65"/>
    <w:qFormat/>
    <w:uiPriority w:val="0"/>
    <w:pPr>
      <w:tabs>
        <w:tab w:val="left" w:pos="180"/>
      </w:tabs>
      <w:spacing w:beforeLines="50" w:afterLines="50"/>
      <w:jc w:val="center"/>
    </w:pPr>
    <w:rPr>
      <w:rFonts w:ascii="黑体" w:eastAsia="黑体"/>
      <w:szCs w:val="21"/>
    </w:rPr>
  </w:style>
  <w:style w:type="paragraph" w:customStyle="1" w:styleId="163">
    <w:name w:val="标准书眉_偶数页"/>
    <w:basedOn w:val="147"/>
    <w:next w:val="1"/>
    <w:qFormat/>
    <w:uiPriority w:val="0"/>
    <w:pPr>
      <w:jc w:val="left"/>
    </w:pPr>
  </w:style>
  <w:style w:type="paragraph" w:customStyle="1" w:styleId="164">
    <w:name w:val="附录表标号"/>
    <w:basedOn w:val="1"/>
    <w:next w:val="65"/>
    <w:qFormat/>
    <w:uiPriority w:val="0"/>
    <w:pPr>
      <w:spacing w:line="14" w:lineRule="exact"/>
      <w:ind w:left="811" w:hanging="448"/>
      <w:jc w:val="center"/>
      <w:outlineLvl w:val="0"/>
    </w:pPr>
    <w:rPr>
      <w:color w:val="FFFFFF"/>
    </w:rPr>
  </w:style>
  <w:style w:type="paragraph" w:customStyle="1" w:styleId="165">
    <w:name w:val="图表脚注说明"/>
    <w:basedOn w:val="1"/>
    <w:qFormat/>
    <w:uiPriority w:val="0"/>
    <w:pPr>
      <w:ind w:left="544" w:hanging="181"/>
    </w:pPr>
    <w:rPr>
      <w:rFonts w:ascii="宋体"/>
      <w:sz w:val="18"/>
      <w:szCs w:val="18"/>
    </w:rPr>
  </w:style>
  <w:style w:type="character" w:customStyle="1" w:styleId="166">
    <w:name w:val="页脚 Char1"/>
    <w:basedOn w:val="40"/>
    <w:link w:val="22"/>
    <w:semiHidden/>
    <w:qFormat/>
    <w:uiPriority w:val="99"/>
    <w:rPr>
      <w:rFonts w:ascii="Times New Roman" w:hAnsi="Times New Roman" w:eastAsia="宋体" w:cs="Times New Roman"/>
      <w:sz w:val="18"/>
      <w:szCs w:val="18"/>
    </w:rPr>
  </w:style>
  <w:style w:type="character" w:customStyle="1" w:styleId="167">
    <w:name w:val="批注文字 Char1"/>
    <w:basedOn w:val="40"/>
    <w:link w:val="11"/>
    <w:semiHidden/>
    <w:qFormat/>
    <w:uiPriority w:val="99"/>
    <w:rPr>
      <w:rFonts w:ascii="Times New Roman" w:hAnsi="Times New Roman" w:eastAsia="宋体" w:cs="Times New Roman"/>
      <w:szCs w:val="24"/>
    </w:rPr>
  </w:style>
  <w:style w:type="paragraph" w:customStyle="1" w:styleId="168">
    <w:name w:val="封面标准名称2"/>
    <w:basedOn w:val="80"/>
    <w:qFormat/>
    <w:uiPriority w:val="0"/>
    <w:pPr>
      <w:framePr w:wrap="around" w:y="4469"/>
      <w:spacing w:beforeLines="630"/>
    </w:pPr>
  </w:style>
  <w:style w:type="character" w:customStyle="1" w:styleId="169">
    <w:name w:val="日期 Char1"/>
    <w:basedOn w:val="40"/>
    <w:link w:val="18"/>
    <w:semiHidden/>
    <w:qFormat/>
    <w:uiPriority w:val="99"/>
    <w:rPr>
      <w:rFonts w:ascii="Times New Roman" w:hAnsi="Times New Roman" w:eastAsia="宋体" w:cs="Times New Roman"/>
      <w:szCs w:val="24"/>
    </w:rPr>
  </w:style>
  <w:style w:type="character" w:customStyle="1" w:styleId="170">
    <w:name w:val="文档结构图 Char1"/>
    <w:basedOn w:val="40"/>
    <w:link w:val="10"/>
    <w:semiHidden/>
    <w:qFormat/>
    <w:uiPriority w:val="99"/>
    <w:rPr>
      <w:rFonts w:ascii="宋体" w:hAnsi="Times New Roman" w:eastAsia="宋体" w:cs="Times New Roman"/>
      <w:sz w:val="18"/>
      <w:szCs w:val="18"/>
    </w:rPr>
  </w:style>
  <w:style w:type="paragraph" w:customStyle="1" w:styleId="171">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2">
    <w:name w:val="封面标准文稿类别2"/>
    <w:basedOn w:val="117"/>
    <w:qFormat/>
    <w:uiPriority w:val="0"/>
    <w:pPr>
      <w:framePr w:wrap="around" w:y="4469"/>
    </w:pPr>
  </w:style>
  <w:style w:type="paragraph" w:customStyle="1" w:styleId="173">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4">
    <w:name w:val="终结线"/>
    <w:basedOn w:val="1"/>
    <w:qFormat/>
    <w:uiPriority w:val="0"/>
    <w:pPr>
      <w:framePr w:hSpace="181" w:vSpace="181" w:wrap="around" w:vAnchor="text" w:hAnchor="margin" w:xAlign="center" w:y="285"/>
    </w:pPr>
  </w:style>
  <w:style w:type="character" w:customStyle="1" w:styleId="175">
    <w:name w:val="批注主题 Char1"/>
    <w:basedOn w:val="167"/>
    <w:link w:val="35"/>
    <w:semiHidden/>
    <w:qFormat/>
    <w:uiPriority w:val="99"/>
    <w:rPr>
      <w:rFonts w:ascii="Times New Roman" w:hAnsi="Times New Roman" w:eastAsia="宋体" w:cs="Times New Roman"/>
      <w:b/>
      <w:bCs/>
      <w:szCs w:val="24"/>
    </w:rPr>
  </w:style>
  <w:style w:type="character" w:customStyle="1" w:styleId="176">
    <w:name w:val="尾注文本 Char1"/>
    <w:basedOn w:val="40"/>
    <w:link w:val="20"/>
    <w:semiHidden/>
    <w:qFormat/>
    <w:uiPriority w:val="99"/>
    <w:rPr>
      <w:rFonts w:ascii="Times New Roman" w:hAnsi="Times New Roman" w:eastAsia="宋体" w:cs="Times New Roman"/>
      <w:szCs w:val="24"/>
    </w:rPr>
  </w:style>
  <w:style w:type="paragraph" w:customStyle="1" w:styleId="177">
    <w:name w:val="示例"/>
    <w:next w:val="128"/>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8">
    <w:name w:val="正文文本 3 Char"/>
    <w:basedOn w:val="40"/>
    <w:link w:val="13"/>
    <w:semiHidden/>
    <w:qFormat/>
    <w:uiPriority w:val="99"/>
    <w:rPr>
      <w:rFonts w:ascii="Times New Roman" w:hAnsi="Times New Roman" w:eastAsia="宋体" w:cs="Times New Roman"/>
      <w:sz w:val="16"/>
      <w:szCs w:val="16"/>
    </w:rPr>
  </w:style>
  <w:style w:type="character" w:customStyle="1" w:styleId="179">
    <w:name w:val="标题 Char"/>
    <w:basedOn w:val="40"/>
    <w:link w:val="34"/>
    <w:qFormat/>
    <w:uiPriority w:val="0"/>
    <w:rPr>
      <w:rFonts w:ascii="Arial" w:hAnsi="Arial" w:eastAsia="宋体" w:cs="Times New Roman"/>
      <w:b/>
      <w:kern w:val="0"/>
      <w:sz w:val="32"/>
      <w:szCs w:val="20"/>
    </w:rPr>
  </w:style>
  <w:style w:type="paragraph" w:customStyle="1" w:styleId="180">
    <w:name w:val="p0"/>
    <w:basedOn w:val="1"/>
    <w:qFormat/>
    <w:uiPriority w:val="0"/>
    <w:pPr>
      <w:spacing w:line="240" w:lineRule="auto"/>
      <w:jc w:val="both"/>
    </w:pPr>
    <w:rPr>
      <w:kern w:val="0"/>
      <w:szCs w:val="21"/>
    </w:rPr>
  </w:style>
  <w:style w:type="character" w:customStyle="1" w:styleId="181">
    <w:name w:val="纯文本 Char"/>
    <w:basedOn w:val="40"/>
    <w:link w:val="16"/>
    <w:qFormat/>
    <w:uiPriority w:val="99"/>
    <w:rPr>
      <w:rFonts w:ascii="宋体" w:hAnsi="Courier New" w:eastAsia="宋体" w:cs="Courier New"/>
      <w:szCs w:val="21"/>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3">
    <w:name w:val="正文文本 Char"/>
    <w:basedOn w:val="40"/>
    <w:link w:val="2"/>
    <w:semiHidden/>
    <w:qFormat/>
    <w:uiPriority w:val="99"/>
    <w:rPr>
      <w:kern w:val="2"/>
      <w:sz w:val="21"/>
      <w:szCs w:val="24"/>
    </w:rPr>
  </w:style>
  <w:style w:type="paragraph" w:customStyle="1" w:styleId="18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5">
    <w:name w:val="标题 4 Char"/>
    <w:basedOn w:val="40"/>
    <w:link w:val="6"/>
    <w:semiHidden/>
    <w:qFormat/>
    <w:uiPriority w:val="9"/>
    <w:rPr>
      <w:rFonts w:asciiTheme="majorHAnsi" w:hAnsiTheme="majorHAnsi" w:eastAsiaTheme="majorEastAsia" w:cstheme="majorBidi"/>
      <w:b/>
      <w:bCs/>
      <w:kern w:val="2"/>
      <w:sz w:val="28"/>
      <w:szCs w:val="28"/>
    </w:rPr>
  </w:style>
  <w:style w:type="paragraph" w:customStyle="1" w:styleId="186">
    <w:name w:val="_Style 2"/>
    <w:basedOn w:val="4"/>
    <w:next w:val="1"/>
    <w:qFormat/>
    <w:uiPriority w:val="0"/>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00AC-1E61-4B68-A4F7-7BB1F4C59D7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3950</Words>
  <Characters>22521</Characters>
  <Lines>187</Lines>
  <Paragraphs>52</Paragraphs>
  <TotalTime>1</TotalTime>
  <ScaleCrop>false</ScaleCrop>
  <LinksUpToDate>false</LinksUpToDate>
  <CharactersWithSpaces>26419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2021-10-08T08:35:00Z</cp:lastPrinted>
  <dcterms:modified xsi:type="dcterms:W3CDTF">2021-12-07T07:31:29Z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3D153DEE1A8941F6AD97EC758EC5708E</vt:lpwstr>
  </property>
</Properties>
</file>