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ascii="楷体" w:hAnsi="楷体" w:eastAsia="楷体" w:cs="微软雅黑"/>
          <w:b/>
          <w:sz w:val="56"/>
          <w:szCs w:val="72"/>
        </w:rPr>
      </w:pPr>
    </w:p>
    <w:p>
      <w:pPr>
        <w:snapToGrid w:val="0"/>
        <w:spacing w:line="900" w:lineRule="exact"/>
        <w:jc w:val="center"/>
        <w:rPr>
          <w:rFonts w:ascii="黑体" w:hAnsi="黑体" w:eastAsia="黑体"/>
          <w:b/>
          <w:bCs/>
          <w:sz w:val="48"/>
          <w:szCs w:val="48"/>
        </w:rPr>
      </w:pPr>
      <w:r>
        <w:rPr>
          <w:rFonts w:hint="eastAsia" w:ascii="黑体" w:hAnsi="黑体" w:eastAsia="黑体"/>
          <w:b/>
          <w:bCs/>
          <w:sz w:val="48"/>
          <w:szCs w:val="48"/>
        </w:rPr>
        <w:t>岳阳城陵矶港务有限责任公司</w:t>
      </w:r>
    </w:p>
    <w:p>
      <w:pPr>
        <w:snapToGrid w:val="0"/>
        <w:spacing w:line="900" w:lineRule="exact"/>
        <w:jc w:val="center"/>
        <w:rPr>
          <w:rFonts w:hint="eastAsia" w:ascii="黑体" w:hAnsi="黑体" w:eastAsia="黑体" w:cs="Times New Roman"/>
          <w:b/>
          <w:bCs/>
          <w:spacing w:val="-20"/>
          <w:kern w:val="2"/>
          <w:sz w:val="48"/>
          <w:szCs w:val="48"/>
          <w:u w:val="none"/>
        </w:rPr>
      </w:pPr>
      <w:r>
        <w:rPr>
          <w:rFonts w:hint="eastAsia" w:ascii="黑体" w:hAnsi="黑体" w:eastAsia="黑体" w:cs="Times New Roman"/>
          <w:b/>
          <w:bCs/>
          <w:spacing w:val="-20"/>
          <w:kern w:val="2"/>
          <w:sz w:val="48"/>
          <w:szCs w:val="48"/>
          <w:u w:val="none"/>
        </w:rPr>
        <w:t>“长城趸</w:t>
      </w:r>
      <w:r>
        <w:rPr>
          <w:rFonts w:ascii="黑体" w:hAnsi="黑体" w:eastAsia="黑体" w:cs="Times New Roman"/>
          <w:b/>
          <w:bCs/>
          <w:spacing w:val="-20"/>
          <w:kern w:val="2"/>
          <w:sz w:val="48"/>
          <w:szCs w:val="48"/>
          <w:u w:val="none"/>
        </w:rPr>
        <w:t>H014</w:t>
      </w:r>
      <w:r>
        <w:rPr>
          <w:rFonts w:hint="eastAsia" w:ascii="黑体" w:hAnsi="黑体" w:eastAsia="黑体" w:cs="Times New Roman"/>
          <w:b/>
          <w:bCs/>
          <w:spacing w:val="-20"/>
          <w:kern w:val="2"/>
          <w:sz w:val="48"/>
          <w:szCs w:val="48"/>
          <w:u w:val="none"/>
        </w:rPr>
        <w:t>”船舶换证检验检测评估服务</w:t>
      </w:r>
    </w:p>
    <w:p>
      <w:pPr>
        <w:snapToGrid w:val="0"/>
        <w:spacing w:line="900" w:lineRule="exact"/>
        <w:jc w:val="center"/>
        <w:rPr>
          <w:rFonts w:hint="eastAsia" w:ascii="黑体" w:hAnsi="黑体" w:eastAsia="黑体" w:cs="Times New Roman"/>
          <w:b/>
          <w:bCs/>
          <w:spacing w:val="-20"/>
          <w:kern w:val="2"/>
          <w:sz w:val="48"/>
          <w:szCs w:val="48"/>
          <w:u w:val="none"/>
        </w:rPr>
      </w:pPr>
    </w:p>
    <w:p>
      <w:pPr>
        <w:snapToGrid w:val="0"/>
        <w:spacing w:line="900" w:lineRule="exact"/>
        <w:jc w:val="center"/>
        <w:rPr>
          <w:rFonts w:ascii="黑体" w:hAnsi="黑体" w:eastAsia="黑体"/>
          <w:b/>
          <w:bCs/>
          <w:sz w:val="48"/>
          <w:szCs w:val="48"/>
        </w:rPr>
      </w:pPr>
      <w:r>
        <w:rPr>
          <w:rFonts w:hint="eastAsia" w:ascii="黑体" w:hAnsi="黑体" w:eastAsia="黑体" w:cs="Times New Roman"/>
          <w:b/>
          <w:bCs/>
          <w:kern w:val="2"/>
          <w:sz w:val="48"/>
          <w:szCs w:val="48"/>
          <w:u w:val="none"/>
          <w:lang w:val="en-US" w:eastAsia="zh-CN"/>
        </w:rPr>
        <w:t>询价</w:t>
      </w:r>
      <w:r>
        <w:rPr>
          <w:rFonts w:hint="eastAsia" w:ascii="黑体" w:hAnsi="黑体" w:eastAsia="黑体"/>
          <w:b/>
          <w:bCs/>
          <w:sz w:val="48"/>
          <w:szCs w:val="48"/>
        </w:rPr>
        <w:t>采购文件</w:t>
      </w:r>
    </w:p>
    <w:p>
      <w:pPr>
        <w:snapToGrid w:val="0"/>
        <w:spacing w:before="0" w:beforeAutospacing="0" w:after="0" w:afterAutospacing="0" w:line="900" w:lineRule="exact"/>
        <w:ind w:firstLine="0" w:firstLineChars="0"/>
        <w:jc w:val="center"/>
        <w:rPr>
          <w:rFonts w:hint="eastAsia" w:ascii="黑体" w:hAnsi="黑体" w:eastAsia="黑体" w:cs="黑体"/>
          <w:b/>
          <w:bCs/>
          <w:sz w:val="28"/>
          <w:szCs w:val="28"/>
          <w:lang w:val="en-US" w:eastAsia="zh-CN"/>
        </w:rPr>
      </w:pPr>
      <w:r>
        <w:rPr>
          <w:rFonts w:hint="eastAsia" w:ascii="黑体" w:hAnsi="黑体" w:eastAsia="黑体" w:cs="黑体"/>
          <w:b w:val="0"/>
          <w:bCs w:val="0"/>
          <w:sz w:val="28"/>
          <w:szCs w:val="28"/>
          <w:lang w:val="en-US" w:eastAsia="zh-CN"/>
        </w:rPr>
        <w:t>采购编号：省港服（2021）年询第 14 号【城港】</w:t>
      </w: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pStyle w:val="13"/>
        <w:rPr>
          <w:rFonts w:ascii="宋体" w:hAnsi="宋体" w:cs="宋体"/>
          <w:b/>
          <w:color w:val="000000"/>
          <w:kern w:val="0"/>
          <w:sz w:val="28"/>
          <w:szCs w:val="28"/>
        </w:rPr>
      </w:pPr>
    </w:p>
    <w:p>
      <w:pPr>
        <w:pStyle w:val="13"/>
        <w:rPr>
          <w:rFonts w:ascii="宋体" w:hAnsi="宋体" w:cs="宋体"/>
          <w:b/>
          <w:color w:val="000000"/>
          <w:kern w:val="0"/>
          <w:sz w:val="28"/>
          <w:szCs w:val="28"/>
        </w:rPr>
      </w:pPr>
    </w:p>
    <w:p>
      <w:pPr>
        <w:pStyle w:val="13"/>
        <w:rPr>
          <w:rFonts w:ascii="宋体" w:hAnsi="宋体" w:cs="宋体"/>
          <w:b/>
          <w:color w:val="000000"/>
          <w:kern w:val="0"/>
          <w:sz w:val="28"/>
          <w:szCs w:val="28"/>
        </w:rPr>
      </w:pPr>
    </w:p>
    <w:p>
      <w:pPr>
        <w:pStyle w:val="13"/>
        <w:rPr>
          <w:rFonts w:ascii="宋体" w:hAnsi="宋体" w:cs="宋体"/>
          <w:b/>
          <w:color w:val="000000"/>
          <w:kern w:val="0"/>
          <w:sz w:val="28"/>
          <w:szCs w:val="28"/>
        </w:rPr>
      </w:pPr>
    </w:p>
    <w:p>
      <w:pPr>
        <w:snapToGrid w:val="0"/>
        <w:spacing w:line="480" w:lineRule="auto"/>
        <w:jc w:val="center"/>
        <w:rPr>
          <w:b/>
          <w:bCs/>
          <w:sz w:val="48"/>
          <w:szCs w:val="48"/>
        </w:rPr>
      </w:pPr>
    </w:p>
    <w:p>
      <w:pPr>
        <w:spacing w:line="600" w:lineRule="exact"/>
      </w:pPr>
    </w:p>
    <w:p>
      <w:pPr>
        <w:spacing w:line="600" w:lineRule="exact"/>
      </w:pPr>
    </w:p>
    <w:p>
      <w:pPr>
        <w:spacing w:line="600" w:lineRule="exact"/>
      </w:pPr>
    </w:p>
    <w:p>
      <w:pPr>
        <w:spacing w:line="600" w:lineRule="exact"/>
      </w:pPr>
    </w:p>
    <w:p>
      <w:pPr>
        <w:tabs>
          <w:tab w:val="left" w:pos="0"/>
          <w:tab w:val="left" w:pos="4185"/>
        </w:tabs>
        <w:spacing w:line="288" w:lineRule="auto"/>
        <w:ind w:right="-6"/>
        <w:jc w:val="center"/>
        <w:rPr>
          <w:rFonts w:ascii="黑体" w:hAnsi="黑体" w:eastAsia="黑体"/>
          <w:bCs/>
          <w:sz w:val="48"/>
          <w:szCs w:val="48"/>
        </w:rPr>
      </w:pPr>
      <w:r>
        <w:rPr>
          <w:rFonts w:hint="eastAsia" w:ascii="黑体" w:hAnsi="黑体" w:eastAsia="黑体"/>
          <w:bCs/>
          <w:sz w:val="48"/>
          <w:szCs w:val="48"/>
        </w:rPr>
        <w:t>二О二一年十</w:t>
      </w:r>
      <w:r>
        <w:rPr>
          <w:rFonts w:hint="eastAsia" w:ascii="黑体" w:hAnsi="黑体" w:eastAsia="黑体"/>
          <w:bCs/>
          <w:sz w:val="48"/>
          <w:szCs w:val="48"/>
          <w:lang w:val="en-US" w:eastAsia="zh-CN"/>
        </w:rPr>
        <w:t>二</w:t>
      </w:r>
      <w:r>
        <w:rPr>
          <w:rFonts w:hint="eastAsia" w:ascii="黑体" w:hAnsi="黑体" w:eastAsia="黑体"/>
          <w:bCs/>
          <w:sz w:val="48"/>
          <w:szCs w:val="48"/>
        </w:rPr>
        <w:t>月</w:t>
      </w:r>
    </w:p>
    <w:p>
      <w:pPr>
        <w:spacing w:line="520" w:lineRule="exact"/>
        <w:jc w:val="both"/>
        <w:rPr>
          <w:rFonts w:ascii="黑体" w:hAnsi="黑体" w:eastAsia="黑体"/>
          <w:sz w:val="40"/>
          <w:szCs w:val="40"/>
        </w:rPr>
        <w:sectPr>
          <w:footerReference r:id="rId5" w:type="default"/>
          <w:pgSz w:w="11906" w:h="16838"/>
          <w:pgMar w:top="1440" w:right="1080" w:bottom="1440" w:left="1080" w:header="851" w:footer="1344" w:gutter="0"/>
          <w:cols w:space="720" w:num="1"/>
          <w:docGrid w:linePitch="312" w:charSpace="0"/>
        </w:sectPr>
      </w:pPr>
    </w:p>
    <w:sdt>
      <w:sdtPr>
        <w:rPr>
          <w:rFonts w:ascii="宋体" w:hAnsi="宋体" w:eastAsia="宋体" w:cs="Times New Roman"/>
          <w:kern w:val="2"/>
          <w:sz w:val="21"/>
          <w:szCs w:val="24"/>
          <w:lang w:val="en-US" w:eastAsia="zh-CN" w:bidi="ar-SA"/>
        </w:rPr>
        <w:id w:val="147452111"/>
        <w15:color w:val="DBDBDB"/>
        <w:docPartObj>
          <w:docPartGallery w:val="Table of Contents"/>
          <w:docPartUnique/>
        </w:docPartObj>
      </w:sdtPr>
      <w:sdtEndPr>
        <w:rPr>
          <w:rFonts w:ascii="Times New Roman" w:hAnsi="Times New Roman" w:eastAsia="宋体" w:cs="Times New Roman"/>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TOC \o "1-1" \h \u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_Toc31083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第一章 采购公告</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_Toc31083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1</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_Toc30085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第二章  供应商须知</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_Toc30085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6</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_Toc27586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bCs/>
              <w:sz w:val="28"/>
              <w:szCs w:val="28"/>
            </w:rPr>
            <w:t>第二章 供应商须知正文</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_Toc27586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11</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_Toc8616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bCs/>
              <w:sz w:val="28"/>
              <w:szCs w:val="28"/>
            </w:rPr>
            <w:t>第三章 评审办法</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_Toc8616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24</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_Toc1064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第四章  合同条款及格式</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_Toc1064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27</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_Toc22208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第五章  采购需求</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_Toc22208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28</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_Toc7323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第六章  响应文件格式</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_Toc7323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29</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_Toc3834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一、 响应函</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_Toc3834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31</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_Toc19740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二、授权委托书</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_Toc19740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34</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_Toc5586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三、响应保证金</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_Toc5586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35</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_Toc27530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四、商务和技术偏差表</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_Toc27530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36</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_Toc28483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五、报价表（C）</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_Toc28483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37</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_Toc22566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六、资格审查资料（C）</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_Toc22566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38</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_Toc6846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 xml:space="preserve">七、响应方案(C) </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_Toc6846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41</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_Toc8000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八、其他资料</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_Toc8000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42</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184"/>
            <w:tabs>
              <w:tab w:val="right" w:leader="dot" w:pos="9746"/>
            </w:tabs>
            <w:rPr>
              <w:rFonts w:hint="eastAsia" w:ascii="微软雅黑" w:hAnsi="微软雅黑" w:eastAsia="微软雅黑" w:cs="微软雅黑"/>
              <w:sz w:val="28"/>
              <w:szCs w:val="28"/>
            </w:rPr>
          </w:pPr>
        </w:p>
        <w:p>
          <w:pPr>
            <w:widowControl w:val="0"/>
            <w:adjustRightInd w:val="0"/>
            <w:snapToGrid w:val="0"/>
            <w:spacing w:line="240" w:lineRule="auto"/>
            <w:ind w:firstLine="560" w:firstLineChars="200"/>
            <w:rPr>
              <w:szCs w:val="21"/>
            </w:rPr>
          </w:pPr>
          <w:r>
            <w:rPr>
              <w:rFonts w:hint="eastAsia" w:ascii="微软雅黑" w:hAnsi="微软雅黑" w:eastAsia="微软雅黑" w:cs="微软雅黑"/>
              <w:sz w:val="28"/>
              <w:szCs w:val="28"/>
            </w:rPr>
            <w:fldChar w:fldCharType="end"/>
          </w:r>
        </w:p>
      </w:sdtContent>
    </w:sdt>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71"/>
        <w:numPr>
          <w:ilvl w:val="0"/>
          <w:numId w:val="1"/>
        </w:numPr>
        <w:spacing w:line="600" w:lineRule="exact"/>
        <w:ind w:firstLineChars="0"/>
        <w:jc w:val="center"/>
        <w:outlineLvl w:val="0"/>
        <w:rPr>
          <w:rFonts w:ascii="黑体" w:hAnsi="黑体" w:eastAsia="黑体" w:cs="仿宋"/>
          <w:b/>
          <w:color w:val="000000"/>
          <w:sz w:val="44"/>
          <w:szCs w:val="44"/>
        </w:rPr>
      </w:pPr>
      <w:bookmarkStart w:id="0" w:name="_Toc31083"/>
      <w:r>
        <w:rPr>
          <w:rFonts w:hint="eastAsia" w:ascii="黑体" w:hAnsi="黑体" w:eastAsia="黑体" w:cs="仿宋"/>
          <w:b/>
          <w:color w:val="000000"/>
          <w:sz w:val="44"/>
          <w:szCs w:val="44"/>
        </w:rPr>
        <w:t>采购公告</w:t>
      </w:r>
      <w:bookmarkEnd w:id="0"/>
    </w:p>
    <w:p>
      <w:pPr>
        <w:adjustRightInd w:val="0"/>
        <w:snapToGrid w:val="0"/>
        <w:spacing w:line="360" w:lineRule="auto"/>
        <w:jc w:val="left"/>
        <w:rPr>
          <w:rFonts w:hint="eastAsia" w:ascii="黑体" w:hAnsi="黑体" w:eastAsia="黑体" w:cs="宋体"/>
          <w:b w:val="0"/>
          <w:bCs w:val="0"/>
          <w:kern w:val="0"/>
          <w:sz w:val="32"/>
          <w:szCs w:val="32"/>
          <w:u w:val="none"/>
        </w:rPr>
      </w:pPr>
    </w:p>
    <w:p>
      <w:pPr>
        <w:adjustRightInd w:val="0"/>
        <w:snapToGrid w:val="0"/>
        <w:spacing w:line="360" w:lineRule="auto"/>
        <w:jc w:val="center"/>
        <w:rPr>
          <w:rFonts w:ascii="仿宋" w:hAnsi="仿宋" w:eastAsia="仿宋" w:cs="仿宋"/>
          <w:b/>
          <w:bCs/>
          <w:sz w:val="52"/>
          <w:szCs w:val="52"/>
          <w:u w:val="none"/>
        </w:rPr>
      </w:pPr>
      <w:r>
        <w:rPr>
          <w:rFonts w:hint="eastAsia" w:ascii="黑体" w:hAnsi="黑体" w:eastAsia="黑体" w:cs="宋体"/>
          <w:b w:val="0"/>
          <w:bCs w:val="0"/>
          <w:kern w:val="0"/>
          <w:sz w:val="32"/>
          <w:szCs w:val="32"/>
          <w:u w:val="none"/>
        </w:rPr>
        <w:t>“长城趸</w:t>
      </w:r>
      <w:r>
        <w:rPr>
          <w:rFonts w:ascii="黑体" w:hAnsi="黑体" w:eastAsia="黑体" w:cs="宋体"/>
          <w:b w:val="0"/>
          <w:bCs w:val="0"/>
          <w:kern w:val="0"/>
          <w:sz w:val="32"/>
          <w:szCs w:val="32"/>
          <w:u w:val="none"/>
        </w:rPr>
        <w:t>H014</w:t>
      </w:r>
      <w:r>
        <w:rPr>
          <w:rFonts w:hint="eastAsia" w:ascii="黑体" w:hAnsi="黑体" w:eastAsia="黑体" w:cs="宋体"/>
          <w:b w:val="0"/>
          <w:bCs w:val="0"/>
          <w:kern w:val="0"/>
          <w:sz w:val="32"/>
          <w:szCs w:val="32"/>
          <w:u w:val="none"/>
        </w:rPr>
        <w:t>”船舶换证检验检测评估服务</w:t>
      </w:r>
    </w:p>
    <w:p>
      <w:pPr>
        <w:pStyle w:val="31"/>
        <w:spacing w:before="0" w:beforeAutospacing="0" w:after="0" w:afterAutospacing="0"/>
        <w:jc w:val="center"/>
        <w:rPr>
          <w:rFonts w:ascii="黑体" w:hAnsi="黑体" w:eastAsia="黑体"/>
          <w:sz w:val="32"/>
          <w:szCs w:val="32"/>
          <w:u w:val="none"/>
        </w:rPr>
      </w:pPr>
      <w:r>
        <w:rPr>
          <w:rFonts w:hint="eastAsia" w:ascii="黑体" w:hAnsi="黑体" w:eastAsia="黑体"/>
          <w:sz w:val="32"/>
          <w:szCs w:val="32"/>
          <w:u w:val="none"/>
          <w:lang w:val="en-US" w:eastAsia="zh-CN"/>
        </w:rPr>
        <w:t>询价</w:t>
      </w:r>
      <w:r>
        <w:rPr>
          <w:rFonts w:hint="eastAsia" w:ascii="黑体" w:hAnsi="黑体" w:eastAsia="黑体"/>
          <w:sz w:val="32"/>
          <w:szCs w:val="32"/>
          <w:u w:val="none"/>
        </w:rPr>
        <w:t>采购公告</w:t>
      </w:r>
    </w:p>
    <w:p>
      <w:pPr>
        <w:pStyle w:val="31"/>
        <w:spacing w:before="0" w:beforeAutospacing="0" w:after="0" w:afterAutospacing="0"/>
        <w:ind w:firstLine="2880" w:firstLineChars="1200"/>
        <w:jc w:val="both"/>
      </w:pPr>
      <w:r>
        <w:rPr>
          <w:rFonts w:hint="eastAsia"/>
        </w:rPr>
        <w:t xml:space="preserve"> </w:t>
      </w:r>
      <w:bookmarkStart w:id="37" w:name="_GoBack"/>
      <w:bookmarkEnd w:id="37"/>
    </w:p>
    <w:p>
      <w:pPr>
        <w:autoSpaceDE w:val="0"/>
        <w:spacing w:line="400" w:lineRule="exact"/>
        <w:jc w:val="both"/>
        <w:rPr>
          <w:rFonts w:ascii="宋体" w:hAnsi="宋体"/>
          <w:sz w:val="24"/>
        </w:rPr>
      </w:pPr>
      <w:r>
        <w:rPr>
          <w:rFonts w:hint="eastAsia" w:ascii="宋体" w:hAnsi="宋体"/>
        </w:rPr>
        <w:t xml:space="preserve">  </w:t>
      </w:r>
      <w:r>
        <w:rPr>
          <w:rFonts w:hint="eastAsia" w:ascii="宋体" w:hAnsi="宋体"/>
          <w:sz w:val="24"/>
        </w:rPr>
        <w:t xml:space="preserve"> </w:t>
      </w:r>
      <w:r>
        <w:rPr>
          <w:rFonts w:hint="eastAsia" w:ascii="宋体" w:hAnsi="宋体"/>
          <w:sz w:val="24"/>
          <w:u w:val="none"/>
        </w:rPr>
        <w:t>岳阳</w:t>
      </w:r>
      <w:r>
        <w:rPr>
          <w:rFonts w:hint="eastAsia" w:ascii="宋体" w:hAnsi="宋体"/>
          <w:sz w:val="24"/>
          <w:u w:val="none"/>
          <w:lang w:val="en-US" w:eastAsia="zh-CN"/>
        </w:rPr>
        <w:t>城陵矶港务</w:t>
      </w:r>
      <w:r>
        <w:rPr>
          <w:rFonts w:hint="eastAsia" w:ascii="宋体" w:hAnsi="宋体"/>
          <w:sz w:val="24"/>
          <w:u w:val="none"/>
        </w:rPr>
        <w:t>有限责任公司</w:t>
      </w:r>
      <w:r>
        <w:rPr>
          <w:rFonts w:hint="eastAsia" w:ascii="宋体" w:hAnsi="宋体" w:eastAsia="宋体" w:cs="Times New Roman"/>
          <w:b w:val="0"/>
          <w:bCs w:val="0"/>
          <w:sz w:val="24"/>
          <w:szCs w:val="24"/>
        </w:rPr>
        <w:t>“长城趸</w:t>
      </w:r>
      <w:r>
        <w:rPr>
          <w:rFonts w:ascii="宋体" w:hAnsi="宋体" w:eastAsia="宋体" w:cs="Times New Roman"/>
          <w:b w:val="0"/>
          <w:bCs w:val="0"/>
          <w:sz w:val="24"/>
          <w:szCs w:val="24"/>
        </w:rPr>
        <w:t>H014</w:t>
      </w:r>
      <w:r>
        <w:rPr>
          <w:rFonts w:hint="eastAsia" w:ascii="宋体" w:hAnsi="宋体" w:eastAsia="宋体" w:cs="Times New Roman"/>
          <w:b w:val="0"/>
          <w:bCs w:val="0"/>
          <w:sz w:val="24"/>
          <w:szCs w:val="24"/>
        </w:rPr>
        <w:t>”船舶换证检验检测评估服务</w:t>
      </w:r>
      <w:r>
        <w:rPr>
          <w:rFonts w:hint="eastAsia" w:ascii="宋体" w:hAnsi="宋体" w:cs="Times New Roman"/>
          <w:b w:val="0"/>
          <w:bCs w:val="0"/>
          <w:sz w:val="24"/>
          <w:szCs w:val="24"/>
          <w:lang w:eastAsia="zh-CN"/>
        </w:rPr>
        <w:t>，</w:t>
      </w:r>
      <w:r>
        <w:rPr>
          <w:rFonts w:hint="eastAsia" w:ascii="宋体" w:hAnsi="宋体"/>
          <w:sz w:val="24"/>
          <w:u w:val="none"/>
          <w:lang w:val="en-US" w:eastAsia="zh-CN"/>
        </w:rPr>
        <w:t>经湖南省港务集团批准</w:t>
      </w:r>
      <w:r>
        <w:rPr>
          <w:rFonts w:hint="eastAsia" w:ascii="宋体" w:hAnsi="宋体"/>
          <w:sz w:val="24"/>
        </w:rPr>
        <w:t xml:space="preserve">已具备采购条件，现公开邀请供应商参加采购活动。 </w:t>
      </w:r>
    </w:p>
    <w:p>
      <w:pPr>
        <w:pStyle w:val="5"/>
        <w:jc w:val="both"/>
        <w:rPr>
          <w:rFonts w:ascii="Arial" w:hAnsi="Arial"/>
        </w:rPr>
      </w:pPr>
      <w:r>
        <w:rPr>
          <w:rFonts w:hint="eastAsia"/>
          <w:lang w:val="en-US" w:eastAsia="zh-CN"/>
        </w:rPr>
        <w:t>一、</w:t>
      </w:r>
      <w:r>
        <w:rPr>
          <w:rFonts w:hint="eastAsia" w:ascii="黑体" w:hAnsi="黑体"/>
        </w:rPr>
        <w:t xml:space="preserve">采购项目简介 </w:t>
      </w:r>
    </w:p>
    <w:p>
      <w:pPr>
        <w:autoSpaceDE w:val="0"/>
        <w:spacing w:line="400" w:lineRule="exact"/>
        <w:jc w:val="both"/>
        <w:rPr>
          <w:rFonts w:hint="eastAsia" w:ascii="宋体" w:hAnsi="宋体" w:eastAsia="宋体" w:cs="Times New Roman"/>
          <w:sz w:val="24"/>
          <w:u w:val="none"/>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b w:val="0"/>
          <w:bCs w:val="0"/>
          <w:sz w:val="24"/>
        </w:rPr>
        <w:t xml:space="preserve"> </w:t>
      </w:r>
      <w:r>
        <w:rPr>
          <w:rFonts w:hint="eastAsia" w:ascii="宋体" w:hAnsi="宋体" w:eastAsia="宋体" w:cs="Times New Roman"/>
          <w:b w:val="0"/>
          <w:bCs w:val="0"/>
          <w:sz w:val="24"/>
          <w:u w:val="none"/>
        </w:rPr>
        <w:t>采</w:t>
      </w:r>
      <w:r>
        <w:rPr>
          <w:rFonts w:hint="eastAsia" w:ascii="宋体" w:hAnsi="宋体" w:eastAsia="宋体" w:cs="Times New Roman"/>
          <w:sz w:val="24"/>
          <w:u w:val="none"/>
        </w:rPr>
        <w:t>购项目名称:“长城趸H014”船舶换证检验检测评估服务_</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二</w:t>
      </w:r>
      <w:r>
        <w:rPr>
          <w:rFonts w:hint="eastAsia" w:ascii="宋体" w:hAnsi="宋体" w:eastAsia="宋体" w:cs="Times New Roman"/>
          <w:sz w:val="24"/>
          <w:u w:val="none"/>
          <w:lang w:eastAsia="zh-CN"/>
        </w:rPr>
        <w:t>）</w:t>
      </w:r>
      <w:r>
        <w:rPr>
          <w:rFonts w:hint="eastAsia" w:ascii="宋体" w:hAnsi="宋体" w:eastAsia="宋体" w:cs="Times New Roman"/>
          <w:sz w:val="24"/>
          <w:u w:val="none"/>
        </w:rPr>
        <w:t xml:space="preserve"> 采购人: 岳阳城陵矶港务有限责任公司</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三</w:t>
      </w:r>
      <w:r>
        <w:rPr>
          <w:rFonts w:hint="eastAsia" w:ascii="宋体" w:hAnsi="宋体" w:eastAsia="宋体" w:cs="Times New Roman"/>
          <w:sz w:val="24"/>
          <w:u w:val="none"/>
          <w:lang w:eastAsia="zh-CN"/>
        </w:rPr>
        <w:t>）</w:t>
      </w:r>
      <w:r>
        <w:rPr>
          <w:rFonts w:hint="eastAsia" w:ascii="宋体" w:hAnsi="宋体" w:eastAsia="宋体" w:cs="Times New Roman"/>
          <w:sz w:val="24"/>
          <w:u w:val="none"/>
        </w:rPr>
        <w:t xml:space="preserve"> 采购代理机构:无</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四</w:t>
      </w:r>
      <w:r>
        <w:rPr>
          <w:rFonts w:hint="eastAsia" w:ascii="宋体" w:hAnsi="宋体" w:eastAsia="宋体" w:cs="Times New Roman"/>
          <w:sz w:val="24"/>
          <w:u w:val="none"/>
          <w:lang w:eastAsia="zh-CN"/>
        </w:rPr>
        <w:t>）</w:t>
      </w:r>
      <w:r>
        <w:rPr>
          <w:rFonts w:hint="eastAsia" w:ascii="宋体" w:hAnsi="宋体" w:eastAsia="宋体" w:cs="Times New Roman"/>
          <w:sz w:val="24"/>
          <w:u w:val="none"/>
        </w:rPr>
        <w:t>采购项目资金落实情况:已落实</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五</w:t>
      </w:r>
      <w:r>
        <w:rPr>
          <w:rFonts w:hint="eastAsia" w:ascii="宋体" w:hAnsi="宋体" w:eastAsia="宋体" w:cs="Times New Roman"/>
          <w:sz w:val="24"/>
          <w:u w:val="none"/>
          <w:lang w:eastAsia="zh-CN"/>
        </w:rPr>
        <w:t>）</w:t>
      </w:r>
      <w:r>
        <w:rPr>
          <w:rFonts w:hint="eastAsia" w:ascii="宋体" w:hAnsi="宋体" w:eastAsia="宋体" w:cs="Times New Roman"/>
          <w:sz w:val="24"/>
          <w:u w:val="none"/>
        </w:rPr>
        <w:t xml:space="preserve"> 采购项目概况:岳阳城陵矶港务有限责任公司（以下简称岳阳城港公司）13#码头双浮吊趸船船名为长城趸H014（船舶识别号：CN20052677181,船检登记号：200500000268）于2017年10月13日在武汉市国营武湖农场船厂进行了上坞检修并在武汉港对本船进行了临时检验。该趸船内河船舶适航证书换证检验和船底外部检验2021年8月21日到期；船舶起重设备证书换证检验2021年9月20日到期；该趸船生活污水收集处理系统已完成改造并于2020年12月15日通过CCS武汉分社审图中心审图。2021年7月26日岳阳城港公司向CCS武汉分社报送了《关于长城趸H014换证检验和船底外部检验的报告》请求就地安排“水下检测”（不上坞检测）方式。</w:t>
      </w:r>
    </w:p>
    <w:p>
      <w:pPr>
        <w:pStyle w:val="5"/>
        <w:jc w:val="both"/>
        <w:rPr>
          <w:rFonts w:hint="eastAsia"/>
        </w:rPr>
      </w:pPr>
      <w:r>
        <w:rPr>
          <w:rFonts w:hint="eastAsia"/>
          <w:lang w:val="en-US" w:eastAsia="zh-CN"/>
        </w:rPr>
        <w:t>二、</w:t>
      </w:r>
      <w:r>
        <w:rPr>
          <w:rFonts w:hint="eastAsia"/>
        </w:rPr>
        <w:t xml:space="preserve">采购范围及相关要求 </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一</w:t>
      </w:r>
      <w:r>
        <w:rPr>
          <w:rFonts w:hint="eastAsia" w:ascii="宋体" w:hAnsi="宋体" w:eastAsia="宋体" w:cs="Times New Roman"/>
          <w:sz w:val="24"/>
          <w:u w:val="none"/>
          <w:lang w:eastAsia="zh-CN"/>
        </w:rPr>
        <w:t>）</w:t>
      </w:r>
      <w:r>
        <w:rPr>
          <w:rFonts w:hint="eastAsia" w:ascii="宋体" w:hAnsi="宋体" w:eastAsia="宋体" w:cs="Times New Roman"/>
          <w:sz w:val="24"/>
          <w:u w:val="none"/>
        </w:rPr>
        <w:t xml:space="preserve"> 采购范围:“长城趸H014”轮换证检验检测评估服务内容</w:t>
      </w:r>
    </w:p>
    <w:p>
      <w:pPr>
        <w:autoSpaceDE w:val="0"/>
        <w:spacing w:line="400" w:lineRule="exact"/>
        <w:ind w:firstLine="240" w:firstLineChars="100"/>
        <w:jc w:val="both"/>
        <w:rPr>
          <w:rFonts w:hint="eastAsia" w:ascii="宋体" w:hAnsi="宋体" w:eastAsia="宋体" w:cs="Times New Roman"/>
          <w:sz w:val="24"/>
          <w:u w:val="none"/>
        </w:rPr>
      </w:pPr>
      <w:r>
        <w:rPr>
          <w:rFonts w:hint="eastAsia" w:ascii="宋体" w:hAnsi="宋体" w:eastAsia="宋体" w:cs="Times New Roman"/>
          <w:sz w:val="24"/>
          <w:u w:val="none"/>
        </w:rPr>
        <w:t>1</w:t>
      </w:r>
      <w:r>
        <w:rPr>
          <w:rFonts w:hint="eastAsia" w:ascii="宋体" w:hAnsi="宋体" w:eastAsia="宋体" w:cs="Times New Roman"/>
          <w:sz w:val="24"/>
          <w:u w:val="none"/>
          <w:lang w:val="en-US" w:eastAsia="zh-CN"/>
        </w:rPr>
        <w:t>.</w:t>
      </w:r>
      <w:r>
        <w:rPr>
          <w:rFonts w:hint="eastAsia" w:ascii="宋体" w:hAnsi="宋体" w:eastAsia="宋体" w:cs="Times New Roman"/>
          <w:sz w:val="24"/>
          <w:u w:val="none"/>
        </w:rPr>
        <w:t>完成长城趸H014船舶水上部分检验检测评估。</w:t>
      </w:r>
    </w:p>
    <w:p>
      <w:pPr>
        <w:autoSpaceDE w:val="0"/>
        <w:spacing w:line="400" w:lineRule="exact"/>
        <w:ind w:firstLine="240" w:firstLineChars="100"/>
        <w:jc w:val="both"/>
        <w:rPr>
          <w:rFonts w:hint="eastAsia" w:ascii="宋体" w:hAnsi="宋体" w:eastAsia="宋体" w:cs="Times New Roman"/>
          <w:sz w:val="24"/>
          <w:u w:val="none"/>
        </w:rPr>
      </w:pPr>
      <w:r>
        <w:rPr>
          <w:rFonts w:hint="eastAsia" w:ascii="宋体" w:hAnsi="宋体" w:eastAsia="宋体" w:cs="Times New Roman"/>
          <w:sz w:val="24"/>
          <w:u w:val="none"/>
        </w:rPr>
        <w:t>2.完成长城趸H014船舶水下检验检测评估。</w:t>
      </w:r>
    </w:p>
    <w:p>
      <w:pPr>
        <w:autoSpaceDE w:val="0"/>
        <w:spacing w:line="400" w:lineRule="exact"/>
        <w:ind w:firstLine="240" w:firstLineChars="100"/>
        <w:jc w:val="both"/>
        <w:rPr>
          <w:rFonts w:hint="eastAsia" w:ascii="宋体" w:hAnsi="宋体" w:eastAsia="宋体" w:cs="Times New Roman"/>
          <w:sz w:val="24"/>
          <w:u w:val="none"/>
        </w:rPr>
      </w:pPr>
      <w:r>
        <w:rPr>
          <w:rFonts w:hint="eastAsia" w:ascii="宋体" w:hAnsi="宋体" w:eastAsia="宋体" w:cs="Times New Roman"/>
          <w:sz w:val="24"/>
          <w:u w:val="none"/>
        </w:rPr>
        <w:t>3</w:t>
      </w:r>
      <w:r>
        <w:rPr>
          <w:rFonts w:hint="eastAsia" w:ascii="宋体" w:hAnsi="宋体" w:eastAsia="宋体" w:cs="Times New Roman"/>
          <w:sz w:val="24"/>
          <w:u w:val="none"/>
          <w:lang w:val="en-US" w:eastAsia="zh-CN"/>
        </w:rPr>
        <w:t>.</w:t>
      </w:r>
      <w:r>
        <w:rPr>
          <w:rFonts w:hint="eastAsia" w:ascii="宋体" w:hAnsi="宋体" w:eastAsia="宋体" w:cs="Times New Roman"/>
          <w:sz w:val="24"/>
          <w:u w:val="none"/>
        </w:rPr>
        <w:t>完成长城趸H014船舶两台浮吊吊重测试评估。</w:t>
      </w:r>
    </w:p>
    <w:p>
      <w:pPr>
        <w:autoSpaceDE w:val="0"/>
        <w:spacing w:line="400" w:lineRule="exact"/>
        <w:ind w:firstLine="240" w:firstLineChars="100"/>
        <w:jc w:val="both"/>
        <w:rPr>
          <w:rFonts w:hint="eastAsia" w:ascii="宋体" w:hAnsi="宋体" w:eastAsia="宋体" w:cs="Times New Roman"/>
          <w:sz w:val="24"/>
          <w:u w:val="none"/>
        </w:rPr>
      </w:pPr>
      <w:r>
        <w:rPr>
          <w:rFonts w:hint="eastAsia" w:ascii="宋体" w:hAnsi="宋体" w:eastAsia="宋体" w:cs="Times New Roman"/>
          <w:sz w:val="24"/>
          <w:u w:val="none"/>
        </w:rPr>
        <w:t>4</w:t>
      </w:r>
      <w:r>
        <w:rPr>
          <w:rFonts w:hint="eastAsia" w:ascii="宋体" w:hAnsi="宋体" w:eastAsia="宋体" w:cs="Times New Roman"/>
          <w:sz w:val="24"/>
          <w:u w:val="none"/>
          <w:lang w:val="en-US" w:eastAsia="zh-CN"/>
        </w:rPr>
        <w:t>.</w:t>
      </w:r>
      <w:r>
        <w:rPr>
          <w:rFonts w:hint="eastAsia" w:ascii="宋体" w:hAnsi="宋体" w:eastAsia="宋体" w:cs="Times New Roman"/>
          <w:sz w:val="24"/>
          <w:u w:val="none"/>
        </w:rPr>
        <w:t>现场检验检测评估工作结束后10个工作日内向岳阳城港公司及中国船级社武汉分社提交检验检测报告。</w:t>
      </w:r>
    </w:p>
    <w:p>
      <w:pPr>
        <w:autoSpaceDE w:val="0"/>
        <w:spacing w:line="400" w:lineRule="exact"/>
        <w:ind w:firstLine="240" w:firstLineChars="100"/>
        <w:jc w:val="both"/>
        <w:rPr>
          <w:rFonts w:hint="eastAsia" w:ascii="宋体" w:hAnsi="宋体" w:eastAsia="宋体" w:cs="Times New Roman"/>
          <w:sz w:val="24"/>
          <w:u w:val="none"/>
        </w:rPr>
      </w:pPr>
      <w:r>
        <w:rPr>
          <w:rFonts w:hint="eastAsia" w:ascii="宋体" w:hAnsi="宋体" w:eastAsia="宋体" w:cs="Times New Roman"/>
          <w:sz w:val="24"/>
          <w:u w:val="none"/>
        </w:rPr>
        <w:t>5</w:t>
      </w:r>
      <w:r>
        <w:rPr>
          <w:rFonts w:hint="eastAsia" w:ascii="宋体" w:hAnsi="宋体" w:eastAsia="宋体" w:cs="Times New Roman"/>
          <w:sz w:val="24"/>
          <w:u w:val="none"/>
          <w:lang w:val="en-US" w:eastAsia="zh-CN"/>
        </w:rPr>
        <w:t>.</w:t>
      </w:r>
      <w:r>
        <w:rPr>
          <w:rFonts w:hint="eastAsia" w:ascii="宋体" w:hAnsi="宋体" w:eastAsia="宋体" w:cs="Times New Roman"/>
          <w:sz w:val="24"/>
          <w:u w:val="none"/>
        </w:rPr>
        <w:t>合同生效后30天内负责</w:t>
      </w:r>
      <w:r>
        <w:rPr>
          <w:rFonts w:hint="eastAsia" w:ascii="宋体" w:hAnsi="宋体" w:eastAsia="宋体" w:cs="Times New Roman"/>
          <w:sz w:val="24"/>
          <w:u w:val="none"/>
          <w:lang w:val="en-US" w:eastAsia="zh-CN"/>
        </w:rPr>
        <w:t>协调中国船级社</w:t>
      </w:r>
      <w:r>
        <w:rPr>
          <w:rFonts w:hint="eastAsia" w:ascii="宋体" w:hAnsi="宋体" w:eastAsia="宋体" w:cs="Times New Roman"/>
          <w:sz w:val="24"/>
          <w:u w:val="none"/>
        </w:rPr>
        <w:t>武汉分社</w:t>
      </w:r>
      <w:r>
        <w:rPr>
          <w:rFonts w:hint="eastAsia" w:ascii="宋体" w:hAnsi="宋体" w:eastAsia="宋体" w:cs="Times New Roman"/>
          <w:sz w:val="24"/>
          <w:u w:val="none"/>
          <w:lang w:val="en-US" w:eastAsia="zh-CN"/>
        </w:rPr>
        <w:t>完成</w:t>
      </w:r>
      <w:r>
        <w:rPr>
          <w:rFonts w:hint="eastAsia" w:ascii="宋体" w:hAnsi="宋体" w:eastAsia="宋体" w:cs="Times New Roman"/>
          <w:sz w:val="24"/>
          <w:u w:val="none"/>
        </w:rPr>
        <w:t>长城趸H014船舶法定检验</w:t>
      </w:r>
      <w:r>
        <w:rPr>
          <w:rFonts w:hint="eastAsia" w:ascii="宋体" w:hAnsi="宋体" w:eastAsia="宋体" w:cs="Times New Roman"/>
          <w:sz w:val="24"/>
          <w:u w:val="none"/>
          <w:lang w:eastAsia="zh-CN"/>
        </w:rPr>
        <w:t>、</w:t>
      </w:r>
      <w:r>
        <w:rPr>
          <w:rFonts w:hint="eastAsia" w:ascii="宋体" w:hAnsi="宋体" w:eastAsia="宋体" w:cs="Times New Roman"/>
          <w:sz w:val="24"/>
          <w:u w:val="none"/>
        </w:rPr>
        <w:t>船舶证书换发工作。</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二</w:t>
      </w:r>
      <w:r>
        <w:rPr>
          <w:rFonts w:hint="eastAsia" w:ascii="宋体" w:hAnsi="宋体" w:eastAsia="宋体" w:cs="Times New Roman"/>
          <w:sz w:val="24"/>
          <w:u w:val="none"/>
          <w:lang w:eastAsia="zh-CN"/>
        </w:rPr>
        <w:t>）</w:t>
      </w:r>
      <w:r>
        <w:rPr>
          <w:rFonts w:hint="eastAsia" w:ascii="宋体" w:hAnsi="宋体" w:eastAsia="宋体" w:cs="Times New Roman"/>
          <w:sz w:val="24"/>
          <w:u w:val="none"/>
        </w:rPr>
        <w:t xml:space="preserve"> 服务期限:10个工作日。</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三</w:t>
      </w:r>
      <w:r>
        <w:rPr>
          <w:rFonts w:hint="eastAsia" w:ascii="宋体" w:hAnsi="宋体" w:eastAsia="宋体" w:cs="Times New Roman"/>
          <w:sz w:val="24"/>
          <w:u w:val="none"/>
          <w:lang w:eastAsia="zh-CN"/>
        </w:rPr>
        <w:t>）</w:t>
      </w:r>
      <w:r>
        <w:rPr>
          <w:rFonts w:hint="eastAsia" w:ascii="宋体" w:hAnsi="宋体" w:eastAsia="宋体" w:cs="Times New Roman"/>
          <w:sz w:val="24"/>
          <w:u w:val="none"/>
        </w:rPr>
        <w:t xml:space="preserve"> 服务地点: 湖南省岳阳市城陵矶长江路2号13#码头。</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四</w:t>
      </w:r>
      <w:r>
        <w:rPr>
          <w:rFonts w:hint="eastAsia" w:ascii="宋体" w:hAnsi="宋体" w:eastAsia="宋体" w:cs="Times New Roman"/>
          <w:sz w:val="24"/>
          <w:u w:val="none"/>
          <w:lang w:eastAsia="zh-CN"/>
        </w:rPr>
        <w:t>）</w:t>
      </w:r>
      <w:r>
        <w:rPr>
          <w:rFonts w:hint="eastAsia" w:ascii="宋体" w:hAnsi="宋体" w:eastAsia="宋体" w:cs="Times New Roman"/>
          <w:sz w:val="24"/>
          <w:u w:val="none"/>
        </w:rPr>
        <w:t xml:space="preserve"> 质量要求或服务标准:制订《长城趸H014水下检测施工方案》和《长城趸H014吊机吊重大纲》并获得中国船级社武汉分社的审核批准，在检测过程中严格遵照执行。</w:t>
      </w:r>
    </w:p>
    <w:p>
      <w:pPr>
        <w:autoSpaceDE w:val="0"/>
        <w:spacing w:line="400" w:lineRule="exact"/>
        <w:jc w:val="both"/>
        <w:rPr>
          <w:rFonts w:hint="eastAsia" w:ascii="宋体" w:hAnsi="宋体" w:eastAsia="宋体" w:cs="Times New Roman"/>
          <w:sz w:val="24"/>
          <w:u w:val="none"/>
          <w:lang w:val="en-US" w:eastAsia="zh-CN"/>
        </w:rPr>
      </w:pP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五</w:t>
      </w: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 xml:space="preserve"> </w:t>
      </w:r>
      <w:r>
        <w:rPr>
          <w:rFonts w:hint="eastAsia" w:ascii="宋体" w:hAnsi="宋体" w:eastAsia="宋体" w:cs="Times New Roman"/>
          <w:sz w:val="24"/>
          <w:u w:val="none"/>
        </w:rPr>
        <w:t>最高限价：</w:t>
      </w:r>
      <w:r>
        <w:rPr>
          <w:rFonts w:hint="eastAsia" w:ascii="宋体" w:hAnsi="宋体" w:eastAsia="宋体" w:cs="Times New Roman"/>
          <w:sz w:val="24"/>
          <w:u w:val="none"/>
          <w:lang w:val="en-US" w:eastAsia="zh-CN"/>
        </w:rPr>
        <w:t xml:space="preserve">人民币贰拾柒万元（小写：¥270，000.00）提供6%的增值税专用发票，超过最高限价的作废。如果报价人提供其他税率的增值税专用发票，招标人按6%的税率调整报价后参与排序。    </w:t>
      </w:r>
    </w:p>
    <w:p>
      <w:pPr>
        <w:pStyle w:val="5"/>
        <w:jc w:val="both"/>
        <w:rPr>
          <w:rFonts w:hint="eastAsia"/>
        </w:rPr>
      </w:pPr>
      <w:r>
        <w:rPr>
          <w:rFonts w:hint="eastAsia"/>
          <w:lang w:val="en-US" w:eastAsia="zh-CN"/>
        </w:rPr>
        <w:t>三、</w:t>
      </w:r>
      <w:r>
        <w:rPr>
          <w:rFonts w:hint="eastAsia"/>
        </w:rPr>
        <w:t>供应商资格要求</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lang w:eastAsia="zh-CN"/>
        </w:rPr>
        <w:t>（</w:t>
      </w:r>
      <w:r>
        <w:rPr>
          <w:rFonts w:hint="eastAsia" w:ascii="宋体" w:hAnsi="宋体" w:eastAsia="宋体" w:cs="Times New Roman"/>
          <w:sz w:val="24"/>
          <w:u w:val="none"/>
          <w:lang w:val="en-US" w:eastAsia="zh-CN"/>
        </w:rPr>
        <w:t>一</w:t>
      </w:r>
      <w:r>
        <w:rPr>
          <w:rFonts w:hint="eastAsia" w:ascii="宋体" w:hAnsi="宋体" w:eastAsia="宋体" w:cs="Times New Roman"/>
          <w:sz w:val="24"/>
          <w:u w:val="none"/>
          <w:lang w:eastAsia="zh-CN"/>
        </w:rPr>
        <w:t>）</w:t>
      </w:r>
      <w:r>
        <w:rPr>
          <w:rFonts w:hint="eastAsia" w:ascii="宋体" w:hAnsi="宋体" w:eastAsia="宋体" w:cs="Times New Roman"/>
          <w:sz w:val="24"/>
          <w:u w:val="none"/>
        </w:rPr>
        <w:t>供应商不得存在下列情形之一:</w:t>
      </w:r>
    </w:p>
    <w:p>
      <w:pPr>
        <w:autoSpaceDE w:val="0"/>
        <w:spacing w:line="400" w:lineRule="exact"/>
        <w:ind w:firstLine="240" w:firstLineChars="100"/>
        <w:jc w:val="both"/>
        <w:rPr>
          <w:rFonts w:hint="eastAsia" w:ascii="宋体" w:hAnsi="宋体" w:eastAsia="宋体" w:cs="Times New Roman"/>
          <w:sz w:val="24"/>
          <w:u w:val="none"/>
        </w:rPr>
      </w:pPr>
      <w:r>
        <w:rPr>
          <w:rFonts w:hint="eastAsia" w:ascii="宋体" w:hAnsi="宋体" w:eastAsia="宋体" w:cs="Times New Roman"/>
          <w:sz w:val="24"/>
          <w:u w:val="none"/>
          <w:lang w:val="en-US" w:eastAsia="zh-CN"/>
        </w:rPr>
        <w:t>1.</w:t>
      </w:r>
      <w:r>
        <w:rPr>
          <w:rFonts w:hint="eastAsia" w:ascii="宋体" w:hAnsi="宋体" w:eastAsia="宋体" w:cs="Times New Roman"/>
          <w:sz w:val="24"/>
          <w:u w:val="none"/>
        </w:rPr>
        <w:t>处于被责令停产停业、暂扣或者吊销执照、暂扣或者吊销许可证、吊销资质证书状态;</w:t>
      </w:r>
    </w:p>
    <w:p>
      <w:pPr>
        <w:autoSpaceDE w:val="0"/>
        <w:spacing w:line="400" w:lineRule="exact"/>
        <w:ind w:firstLine="240" w:firstLineChars="100"/>
        <w:jc w:val="both"/>
        <w:rPr>
          <w:rFonts w:hint="eastAsia" w:ascii="宋体" w:hAnsi="宋体" w:eastAsia="宋体" w:cs="Times New Roman"/>
          <w:sz w:val="24"/>
          <w:u w:val="none"/>
        </w:rPr>
      </w:pPr>
      <w:r>
        <w:rPr>
          <w:rFonts w:hint="eastAsia" w:ascii="宋体" w:hAnsi="宋体" w:eastAsia="宋体" w:cs="Times New Roman"/>
          <w:sz w:val="24"/>
          <w:u w:val="none"/>
          <w:lang w:val="en-US" w:eastAsia="zh-CN"/>
        </w:rPr>
        <w:t>2.</w:t>
      </w:r>
      <w:r>
        <w:rPr>
          <w:rFonts w:hint="eastAsia" w:ascii="宋体" w:hAnsi="宋体" w:eastAsia="宋体" w:cs="Times New Roman"/>
          <w:sz w:val="24"/>
          <w:u w:val="none"/>
        </w:rPr>
        <w:t>进入清算程序，或被宣告破产，或其他丧失履约能力的情形;</w:t>
      </w:r>
    </w:p>
    <w:p>
      <w:pPr>
        <w:autoSpaceDE w:val="0"/>
        <w:spacing w:line="400" w:lineRule="exact"/>
        <w:ind w:firstLine="240" w:firstLineChars="100"/>
        <w:jc w:val="both"/>
        <w:rPr>
          <w:rFonts w:hint="eastAsia" w:ascii="宋体" w:hAnsi="宋体" w:eastAsia="宋体" w:cs="Times New Roman"/>
          <w:sz w:val="24"/>
          <w:u w:val="none"/>
        </w:rPr>
      </w:pPr>
      <w:r>
        <w:rPr>
          <w:rFonts w:hint="eastAsia" w:ascii="宋体" w:hAnsi="宋体" w:eastAsia="宋体" w:cs="Times New Roman"/>
          <w:sz w:val="24"/>
          <w:u w:val="none"/>
          <w:lang w:val="en-US" w:eastAsia="zh-CN"/>
        </w:rPr>
        <w:t>3.</w:t>
      </w:r>
      <w:r>
        <w:rPr>
          <w:rFonts w:hint="eastAsia" w:ascii="宋体" w:hAnsi="宋体" w:eastAsia="宋体" w:cs="Times New Roman"/>
          <w:sz w:val="24"/>
          <w:u w:val="none"/>
        </w:rPr>
        <w:t>被采购人或采购人上级单位纳入黑名单;</w:t>
      </w:r>
    </w:p>
    <w:p>
      <w:pPr>
        <w:autoSpaceDE w:val="0"/>
        <w:spacing w:line="400" w:lineRule="exact"/>
        <w:ind w:firstLine="240" w:firstLineChars="100"/>
        <w:jc w:val="both"/>
        <w:rPr>
          <w:rFonts w:hint="eastAsia" w:ascii="宋体" w:hAnsi="宋体" w:eastAsia="宋体" w:cs="Times New Roman"/>
          <w:sz w:val="24"/>
          <w:u w:val="none"/>
        </w:rPr>
      </w:pPr>
      <w:r>
        <w:rPr>
          <w:rFonts w:hint="eastAsia" w:ascii="宋体" w:hAnsi="宋体" w:eastAsia="宋体" w:cs="Times New Roman"/>
          <w:sz w:val="24"/>
          <w:u w:val="none"/>
          <w:lang w:val="en-US" w:eastAsia="zh-CN"/>
        </w:rPr>
        <w:t>4.</w:t>
      </w:r>
      <w:r>
        <w:rPr>
          <w:rFonts w:hint="eastAsia" w:ascii="宋体" w:hAnsi="宋体" w:eastAsia="宋体" w:cs="Times New Roman"/>
          <w:sz w:val="24"/>
          <w:u w:val="none"/>
        </w:rPr>
        <w:t>参加本次采购活动前三年内，在</w:t>
      </w:r>
      <w:r>
        <w:rPr>
          <w:rFonts w:hint="eastAsia" w:ascii="宋体" w:hAnsi="宋体" w:eastAsia="宋体" w:cs="Times New Roman"/>
          <w:sz w:val="24"/>
          <w:u w:val="none"/>
        </w:rPr>
        <w:fldChar w:fldCharType="begin"/>
      </w:r>
      <w:r>
        <w:rPr>
          <w:rFonts w:hint="eastAsia" w:ascii="宋体" w:hAnsi="宋体" w:eastAsia="宋体" w:cs="Times New Roman"/>
          <w:sz w:val="24"/>
          <w:u w:val="none"/>
        </w:rPr>
        <w:instrText xml:space="preserve"> HYPERLINK "http://www.so.com/s?q=%E7%BB%8F%E8%90%A5%E6%B4%BB%E5%8A%A8&amp;ie=utf-8&amp;src=internal_wenda_recommend_textn" \t "https://wenda.so.com/q/_blank" </w:instrText>
      </w:r>
      <w:r>
        <w:rPr>
          <w:rFonts w:hint="eastAsia" w:ascii="宋体" w:hAnsi="宋体" w:eastAsia="宋体" w:cs="Times New Roman"/>
          <w:sz w:val="24"/>
          <w:u w:val="none"/>
        </w:rPr>
        <w:fldChar w:fldCharType="separate"/>
      </w:r>
      <w:r>
        <w:rPr>
          <w:rFonts w:hint="eastAsia" w:ascii="宋体" w:hAnsi="宋体" w:eastAsia="宋体" w:cs="Times New Roman"/>
          <w:sz w:val="24"/>
          <w:u w:val="none"/>
        </w:rPr>
        <w:t>经营活动</w:t>
      </w:r>
      <w:r>
        <w:rPr>
          <w:rFonts w:hint="eastAsia" w:ascii="宋体" w:hAnsi="宋体" w:eastAsia="宋体" w:cs="Times New Roman"/>
          <w:sz w:val="24"/>
          <w:u w:val="none"/>
        </w:rPr>
        <w:fldChar w:fldCharType="end"/>
      </w:r>
      <w:r>
        <w:rPr>
          <w:rFonts w:hint="eastAsia" w:ascii="宋体" w:hAnsi="宋体" w:eastAsia="宋体" w:cs="Times New Roman"/>
          <w:sz w:val="24"/>
          <w:u w:val="none"/>
        </w:rPr>
        <w:t>中有重大违法记录.</w:t>
      </w:r>
    </w:p>
    <w:p>
      <w:pPr>
        <w:autoSpaceDE w:val="0"/>
        <w:spacing w:line="400" w:lineRule="exact"/>
        <w:jc w:val="both"/>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供应商应满足如下要求:</w:t>
      </w:r>
    </w:p>
    <w:tbl>
      <w:tblPr>
        <w:tblStyle w:val="3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38"/>
                <w:u w:val="single"/>
              </w:rPr>
            </w:pPr>
            <w:r>
              <w:rPr>
                <w:rStyle w:val="38"/>
                <w:rFonts w:hint="eastAsia"/>
                <w:u w:val="single"/>
                <w:lang w:eastAsia="zh-CN"/>
              </w:rPr>
              <w:t>□</w:t>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38"/>
                <w:u w:val="single"/>
              </w:rPr>
            </w:pPr>
            <w:r>
              <w:rPr>
                <w:rStyle w:val="38"/>
                <w:rFonts w:hint="eastAsia"/>
                <w:u w:val="single"/>
                <w:lang w:eastAsia="zh-CN"/>
              </w:rPr>
              <w:t>□</w:t>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38"/>
                <w:u w:val="single"/>
              </w:rPr>
            </w:pPr>
            <w:r>
              <w:rPr>
                <w:rStyle w:val="38"/>
                <w:rFonts w:hint="eastAsia"/>
                <w:u w:val="single"/>
                <w:lang w:eastAsia="zh-CN"/>
              </w:rPr>
              <w:t>☑</w:t>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lang w:eastAsia="zh-CN"/>
              </w:rPr>
              <w:t>☑</w:t>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38"/>
                <w:u w:val="single"/>
              </w:rPr>
            </w:pPr>
            <w:r>
              <w:rPr>
                <w:rStyle w:val="38"/>
                <w:rFonts w:hint="eastAsia"/>
                <w:u w:val="single"/>
                <w:lang w:eastAsia="zh-CN"/>
              </w:rPr>
              <w:t>☑</w:t>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lang w:eastAsia="zh-CN"/>
              </w:rPr>
              <w:t>☑</w:t>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38"/>
                <w:u w:val="single"/>
              </w:rPr>
            </w:pPr>
            <w:r>
              <w:rPr>
                <w:rStyle w:val="38"/>
                <w:rFonts w:hint="eastAsia"/>
                <w:u w:val="single"/>
                <w:lang w:eastAsia="zh-CN"/>
              </w:rPr>
              <w:t>☑</w:t>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lang w:eastAsia="zh-CN"/>
              </w:rPr>
              <w:t>☑</w:t>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lang w:eastAsia="zh-CN"/>
              </w:rPr>
              <w:t>□</w:t>
            </w:r>
            <w:r>
              <w:rPr>
                <w:rStyle w:val="38"/>
                <w:rFonts w:hint="eastAsia"/>
                <w:u w:val="single"/>
              </w:rPr>
              <w:t>适用,见采购文件供应商须知前附表3.5（8）。</w:t>
            </w:r>
          </w:p>
        </w:tc>
      </w:tr>
    </w:tbl>
    <w:p>
      <w:pPr>
        <w:pStyle w:val="5"/>
        <w:jc w:val="both"/>
        <w:rPr>
          <w:rFonts w:ascii="Arial" w:hAnsi="Arial"/>
        </w:rPr>
      </w:pPr>
      <w:r>
        <w:rPr>
          <w:rFonts w:hint="eastAsia"/>
          <w:lang w:val="en-US" w:eastAsia="zh-CN"/>
        </w:rPr>
        <w:t>四、</w:t>
      </w:r>
      <w:r>
        <w:rPr>
          <w:rFonts w:hint="eastAsia" w:ascii="黑体" w:hAnsi="黑体"/>
        </w:rPr>
        <w:t>响应保证金</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Style w:val="38"/>
                <w:rFonts w:hint="eastAsia"/>
                <w:u w:val="single"/>
                <w:lang w:eastAsia="zh-CN"/>
              </w:rPr>
              <w:t>☑</w:t>
            </w:r>
            <w:r>
              <w:rPr>
                <w:rFonts w:hint="eastAsia" w:ascii="宋体" w:hAnsi="宋体"/>
                <w:sz w:val="24"/>
              </w:rPr>
              <w:t>不要求递交</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38"/>
                <w:rFonts w:hint="eastAsia"/>
                <w:u w:val="single"/>
                <w:lang w:eastAsia="zh-CN"/>
              </w:rPr>
              <w:t>☑</w:t>
            </w:r>
            <w:r>
              <w:rPr>
                <w:rStyle w:val="38"/>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38"/>
                <w:rFonts w:hint="eastAsia"/>
                <w:u w:val="single"/>
                <w:lang w:eastAsia="zh-CN"/>
              </w:rPr>
              <w:t>☑</w:t>
            </w:r>
            <w:r>
              <w:rPr>
                <w:rFonts w:hint="eastAsia" w:ascii="宋体" w:hAnsi="宋体"/>
                <w:sz w:val="24"/>
              </w:rPr>
              <w:t>不适用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pStyle w:val="5"/>
        <w:jc w:val="both"/>
        <w:rPr>
          <w:rFonts w:ascii="Arial" w:hAnsi="Arial"/>
        </w:rPr>
      </w:pPr>
      <w:r>
        <w:rPr>
          <w:rFonts w:hint="eastAsia"/>
          <w:lang w:val="en-US" w:eastAsia="zh-CN"/>
        </w:rPr>
        <w:t>五、</w:t>
      </w:r>
      <w:r>
        <w:rPr>
          <w:rFonts w:hint="eastAsia" w:ascii="黑体" w:hAnsi="黑体"/>
        </w:rPr>
        <w:t>确定成交供应商的方法</w:t>
      </w:r>
    </w:p>
    <w:p>
      <w:pPr>
        <w:autoSpaceDE w:val="0"/>
        <w:spacing w:line="400" w:lineRule="exact"/>
        <w:jc w:val="both"/>
        <w:rPr>
          <w:rFonts w:ascii="宋体" w:hAnsi="宋体"/>
          <w:sz w:val="24"/>
        </w:rPr>
      </w:pPr>
      <w:r>
        <w:rPr>
          <w:rFonts w:hint="eastAsia" w:ascii="宋体" w:hAnsi="宋体"/>
          <w:b/>
          <w:bCs/>
          <w:sz w:val="24"/>
          <w:lang w:eastAsia="zh-CN"/>
        </w:rPr>
        <w:t>（</w:t>
      </w:r>
      <w:r>
        <w:rPr>
          <w:rFonts w:hint="eastAsia" w:ascii="宋体" w:hAnsi="宋体"/>
          <w:b/>
          <w:bCs/>
          <w:sz w:val="24"/>
          <w:lang w:val="en-US" w:eastAsia="zh-CN"/>
        </w:rPr>
        <w:t>一</w:t>
      </w:r>
      <w:r>
        <w:rPr>
          <w:rFonts w:hint="eastAsia" w:ascii="宋体" w:hAnsi="宋体"/>
          <w:b/>
          <w:bCs/>
          <w:sz w:val="24"/>
          <w:lang w:eastAsia="zh-CN"/>
        </w:rPr>
        <w:t>）</w:t>
      </w:r>
      <w:r>
        <w:rPr>
          <w:rStyle w:val="38"/>
          <w:rFonts w:hint="eastAsia"/>
        </w:rPr>
        <w:t>最低价法</w:t>
      </w:r>
    </w:p>
    <w:p>
      <w:pPr>
        <w:autoSpaceDE w:val="0"/>
        <w:spacing w:line="400" w:lineRule="exact"/>
        <w:jc w:val="both"/>
        <w:rPr>
          <w:rFonts w:ascii="宋体" w:hAnsi="宋体"/>
          <w:sz w:val="24"/>
        </w:rPr>
      </w:pPr>
      <w:r>
        <w:rPr>
          <w:rFonts w:hint="eastAsia" w:ascii="宋体" w:hAnsi="宋体"/>
          <w:b/>
          <w:bCs/>
          <w:sz w:val="24"/>
          <w:lang w:eastAsia="zh-CN"/>
        </w:rPr>
        <w:t>（</w:t>
      </w:r>
      <w:r>
        <w:rPr>
          <w:rFonts w:hint="eastAsia" w:ascii="宋体" w:hAnsi="宋体"/>
          <w:b/>
          <w:bCs/>
          <w:sz w:val="24"/>
          <w:lang w:val="en-US" w:eastAsia="zh-CN"/>
        </w:rPr>
        <w:t>二</w:t>
      </w:r>
      <w:r>
        <w:rPr>
          <w:rFonts w:hint="eastAsia" w:ascii="宋体" w:hAnsi="宋体"/>
          <w:b/>
          <w:bCs/>
          <w:sz w:val="24"/>
          <w:lang w:eastAsia="zh-CN"/>
        </w:rPr>
        <w:t>）</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5"/>
        <w:jc w:val="both"/>
        <w:rPr>
          <w:rFonts w:hint="default" w:ascii="Arial" w:hAnsi="Arial" w:eastAsiaTheme="majorEastAsia"/>
          <w:lang w:val="en-US" w:eastAsia="zh-CN"/>
        </w:rPr>
      </w:pPr>
      <w:r>
        <w:rPr>
          <w:rFonts w:hint="eastAsia"/>
          <w:lang w:val="en-US" w:eastAsia="zh-CN"/>
        </w:rPr>
        <w:t>六、</w:t>
      </w:r>
      <w:r>
        <w:rPr>
          <w:rFonts w:hint="eastAsia" w:ascii="黑体" w:hAnsi="黑体"/>
        </w:rPr>
        <w:t>采购文件获取</w:t>
      </w:r>
      <w:r>
        <w:rPr>
          <w:rFonts w:hint="eastAsia" w:ascii="黑体" w:hAnsi="黑体"/>
          <w:lang w:val="en-US" w:eastAsia="zh-CN"/>
        </w:rPr>
        <w:t>及响应文件递交截止时间</w:t>
      </w:r>
    </w:p>
    <w:p>
      <w:pPr>
        <w:autoSpaceDE w:val="0"/>
        <w:spacing w:line="400" w:lineRule="exact"/>
        <w:jc w:val="both"/>
        <w:rPr>
          <w:rFonts w:hint="eastAsia" w:ascii="宋体" w:hAnsi="宋体" w:cs="宋体"/>
          <w:kern w:val="0"/>
          <w:sz w:val="24"/>
        </w:rPr>
      </w:pPr>
      <w:r>
        <w:rPr>
          <w:rFonts w:hint="eastAsia" w:ascii="宋体" w:hAnsi="宋体"/>
          <w:b/>
          <w:bCs/>
          <w:sz w:val="24"/>
          <w:lang w:eastAsia="zh-CN"/>
        </w:rPr>
        <w:t>（</w:t>
      </w:r>
      <w:r>
        <w:rPr>
          <w:rFonts w:hint="eastAsia" w:ascii="宋体" w:hAnsi="宋体"/>
          <w:b/>
          <w:bCs/>
          <w:sz w:val="24"/>
          <w:lang w:val="en-US" w:eastAsia="zh-CN"/>
        </w:rPr>
        <w:t>一</w:t>
      </w:r>
      <w:r>
        <w:rPr>
          <w:rFonts w:hint="eastAsia" w:ascii="宋体" w:hAnsi="宋体"/>
          <w:b/>
          <w:bCs/>
          <w:sz w:val="24"/>
          <w:lang w:eastAsia="zh-CN"/>
        </w:rPr>
        <w:t>）</w:t>
      </w:r>
      <w:r>
        <w:rPr>
          <w:rFonts w:hint="eastAsia" w:ascii="宋体" w:hAnsi="宋体" w:cs="宋体"/>
          <w:kern w:val="0"/>
          <w:sz w:val="24"/>
        </w:rPr>
        <w:t>供应商应当于2021年1</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7</w:t>
      </w:r>
      <w:r>
        <w:rPr>
          <w:rFonts w:hint="eastAsia" w:ascii="宋体" w:hAnsi="宋体" w:cs="宋体"/>
          <w:kern w:val="0"/>
          <w:sz w:val="24"/>
        </w:rPr>
        <w:t>日至2021年1</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15日</w:t>
      </w:r>
      <w:r>
        <w:rPr>
          <w:rFonts w:hint="eastAsia" w:ascii="宋体" w:hAnsi="宋体" w:cs="宋体"/>
          <w:kern w:val="0"/>
          <w:sz w:val="24"/>
        </w:rPr>
        <w:t>，</w:t>
      </w:r>
      <w:r>
        <w:rPr>
          <w:rFonts w:hint="eastAsia" w:ascii="宋体" w:hAnsi="宋体" w:cs="宋体"/>
          <w:kern w:val="0"/>
          <w:sz w:val="24"/>
          <w:lang w:val="en-US" w:eastAsia="zh-CN"/>
        </w:rPr>
        <w:t>在</w:t>
      </w:r>
      <w:r>
        <w:rPr>
          <w:rFonts w:hint="eastAsia" w:ascii="宋体" w:hAnsi="宋体" w:cs="宋体"/>
          <w:kern w:val="0"/>
          <w:sz w:val="24"/>
        </w:rPr>
        <w:t>中国招标投标公共服务平台（http：//www.cebpubservice.com）、湖南省湘水集团有限公司网站（http：//www.hnsxsjt.com）、湖南省港务集团有限公司网站（http://www.hnsgwjt.com/）获取采购文件:</w:t>
      </w:r>
    </w:p>
    <w:p>
      <w:pPr>
        <w:spacing w:line="288" w:lineRule="auto"/>
        <w:jc w:val="both"/>
        <w:rPr>
          <w:rFonts w:hint="eastAsia" w:ascii="宋体" w:hAnsi="宋体"/>
          <w:sz w:val="24"/>
        </w:rPr>
      </w:pPr>
      <w:r>
        <w:rPr>
          <w:rFonts w:hint="eastAsia" w:ascii="宋体" w:hAnsi="宋体"/>
          <w:b/>
          <w:bCs/>
          <w:sz w:val="24"/>
          <w:lang w:val="en-US" w:eastAsia="zh-CN"/>
        </w:rPr>
        <w:t>（二）</w:t>
      </w:r>
      <w:r>
        <w:rPr>
          <w:rFonts w:hint="eastAsia" w:ascii="宋体" w:hAnsi="宋体"/>
          <w:sz w:val="24"/>
        </w:rPr>
        <w:t>供应商若对本项目采购需求、资格要求等有疑问的，应当于2021年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r>
        <w:rPr>
          <w:rFonts w:hint="eastAsia" w:ascii="宋体" w:hAnsi="宋体"/>
          <w:sz w:val="24"/>
          <w:lang w:val="en-US" w:eastAsia="zh-CN"/>
        </w:rPr>
        <w:t>12</w:t>
      </w:r>
      <w:r>
        <w:rPr>
          <w:rFonts w:hint="eastAsia" w:ascii="宋体" w:hAnsi="宋体"/>
          <w:sz w:val="24"/>
        </w:rPr>
        <w:t>时</w:t>
      </w:r>
      <w:r>
        <w:rPr>
          <w:rFonts w:hint="eastAsia" w:ascii="宋体" w:hAnsi="宋体"/>
          <w:sz w:val="24"/>
          <w:lang w:val="en-US" w:eastAsia="zh-CN"/>
        </w:rPr>
        <w:t>00</w:t>
      </w:r>
      <w:r>
        <w:rPr>
          <w:rFonts w:hint="eastAsia" w:ascii="宋体" w:hAnsi="宋体"/>
          <w:sz w:val="24"/>
        </w:rPr>
        <w:t>分前向采购人提出澄清要求。</w:t>
      </w:r>
    </w:p>
    <w:p>
      <w:pPr>
        <w:spacing w:line="288" w:lineRule="auto"/>
        <w:jc w:val="both"/>
        <w:rPr>
          <w:rFonts w:hint="default" w:cs="宋体" w:asciiTheme="minorEastAsia" w:hAnsiTheme="minorEastAsia" w:eastAsiaTheme="minorEastAsia"/>
          <w:color w:val="000000"/>
          <w:sz w:val="24"/>
          <w:lang w:val="en-US" w:eastAsia="zh-CN"/>
        </w:rPr>
      </w:pPr>
      <w:r>
        <w:rPr>
          <w:rFonts w:hint="eastAsia" w:ascii="宋体" w:hAnsi="宋体" w:eastAsiaTheme="minorEastAsia"/>
          <w:sz w:val="24"/>
          <w:lang w:eastAsia="zh-CN"/>
        </w:rPr>
        <w:t>（</w:t>
      </w:r>
      <w:r>
        <w:rPr>
          <w:rFonts w:hint="eastAsia" w:ascii="宋体" w:hAnsi="宋体" w:eastAsiaTheme="minorEastAsia"/>
          <w:sz w:val="24"/>
          <w:lang w:val="en-US" w:eastAsia="zh-CN"/>
        </w:rPr>
        <w:t>三</w:t>
      </w:r>
      <w:r>
        <w:rPr>
          <w:rFonts w:hint="eastAsia" w:ascii="宋体" w:hAnsi="宋体" w:eastAsiaTheme="minorEastAsia"/>
          <w:sz w:val="24"/>
          <w:lang w:eastAsia="zh-CN"/>
        </w:rPr>
        <w:t>）</w:t>
      </w:r>
      <w:r>
        <w:rPr>
          <w:rFonts w:hint="eastAsia" w:ascii="宋体" w:hAnsi="宋体" w:eastAsiaTheme="minorEastAsia"/>
          <w:sz w:val="24"/>
          <w:lang w:val="en-US" w:eastAsia="zh-CN"/>
        </w:rPr>
        <w:t>响应文件递交</w:t>
      </w:r>
      <w:r>
        <w:rPr>
          <w:rFonts w:hint="eastAsia" w:cs="宋体" w:asciiTheme="minorEastAsia" w:hAnsiTheme="minorEastAsia" w:eastAsiaTheme="minorEastAsia"/>
          <w:color w:val="000000"/>
          <w:sz w:val="24"/>
        </w:rPr>
        <w:t>截止时间：2021年1</w:t>
      </w:r>
      <w:r>
        <w:rPr>
          <w:rFonts w:hint="eastAsia" w:cs="宋体" w:asciiTheme="minorEastAsia" w:hAnsiTheme="minorEastAsia" w:eastAsiaTheme="minorEastAsia"/>
          <w:color w:val="000000"/>
          <w:sz w:val="24"/>
          <w:lang w:val="en-US" w:eastAsia="zh-CN"/>
        </w:rPr>
        <w:t>2</w:t>
      </w:r>
      <w:r>
        <w:rPr>
          <w:rFonts w:hint="eastAsia" w:cs="宋体" w:asciiTheme="minorEastAsia" w:hAnsiTheme="minorEastAsia" w:eastAsiaTheme="minorEastAsia"/>
          <w:color w:val="000000"/>
          <w:sz w:val="24"/>
        </w:rPr>
        <w:t xml:space="preserve"> 月 </w:t>
      </w:r>
      <w:r>
        <w:rPr>
          <w:rFonts w:hint="eastAsia" w:cs="宋体" w:asciiTheme="minorEastAsia" w:hAnsiTheme="minorEastAsia" w:eastAsiaTheme="minorEastAsia"/>
          <w:color w:val="000000"/>
          <w:sz w:val="24"/>
          <w:lang w:val="en-US" w:eastAsia="zh-CN"/>
        </w:rPr>
        <w:t>16</w:t>
      </w:r>
      <w:r>
        <w:rPr>
          <w:rFonts w:hint="eastAsia" w:cs="宋体" w:asciiTheme="minorEastAsia" w:hAnsiTheme="minorEastAsia" w:eastAsiaTheme="minorEastAsia"/>
          <w:color w:val="000000"/>
          <w:sz w:val="24"/>
        </w:rPr>
        <w:t xml:space="preserve"> 日</w:t>
      </w:r>
      <w:r>
        <w:rPr>
          <w:rFonts w:hint="eastAsia" w:cs="宋体" w:asciiTheme="minorEastAsia" w:hAnsiTheme="minorEastAsia" w:eastAsiaTheme="minorEastAsia"/>
          <w:color w:val="000000"/>
          <w:sz w:val="24"/>
          <w:lang w:val="en-US" w:eastAsia="zh-CN"/>
        </w:rPr>
        <w:t>12时</w:t>
      </w:r>
    </w:p>
    <w:p>
      <w:pPr>
        <w:autoSpaceDE w:val="0"/>
        <w:spacing w:line="400" w:lineRule="exact"/>
        <w:jc w:val="both"/>
        <w:rPr>
          <w:rFonts w:ascii="宋体" w:hAnsi="宋体"/>
          <w:sz w:val="24"/>
        </w:rPr>
      </w:pPr>
    </w:p>
    <w:p>
      <w:pPr>
        <w:pStyle w:val="5"/>
        <w:jc w:val="both"/>
      </w:pPr>
      <w:bookmarkStart w:id="1" w:name="_Toc512257471"/>
      <w:bookmarkStart w:id="2" w:name="_Toc77254104"/>
      <w:bookmarkStart w:id="3" w:name="_Toc76635692"/>
      <w:bookmarkStart w:id="4" w:name="_Toc79596547"/>
      <w:r>
        <w:rPr>
          <w:rFonts w:hint="eastAsia"/>
          <w:lang w:val="en-US" w:eastAsia="zh-CN"/>
        </w:rPr>
        <w:t>七、</w:t>
      </w:r>
      <w:r>
        <w:t>监督</w:t>
      </w:r>
      <w:bookmarkEnd w:id="1"/>
      <w:bookmarkEnd w:id="2"/>
      <w:bookmarkEnd w:id="3"/>
      <w:r>
        <w:rPr>
          <w:rFonts w:hint="eastAsia"/>
        </w:rPr>
        <w:t>部门</w:t>
      </w:r>
      <w:bookmarkEnd w:id="4"/>
    </w:p>
    <w:p>
      <w:pPr>
        <w:pStyle w:val="31"/>
        <w:widowControl w:val="0"/>
        <w:adjustRightInd w:val="0"/>
        <w:snapToGrid w:val="0"/>
        <w:spacing w:before="0" w:beforeAutospacing="0" w:after="0" w:afterAutospacing="0" w:line="312" w:lineRule="auto"/>
        <w:ind w:firstLine="480" w:firstLineChars="200"/>
        <w:jc w:val="both"/>
        <w:rPr>
          <w:rFonts w:cs="Times New Roman"/>
        </w:rPr>
      </w:pPr>
      <w:r>
        <w:rPr>
          <w:rFonts w:hint="eastAsia" w:ascii="宋体" w:hAnsi="宋体" w:eastAsia="宋体" w:cs="Times New Roman"/>
          <w:kern w:val="2"/>
          <w:sz w:val="24"/>
          <w:szCs w:val="24"/>
          <w:u w:val="none"/>
          <w:lang w:val="en-US" w:eastAsia="zh-CN" w:bidi="ar-SA"/>
        </w:rPr>
        <w:t>本次采购监督部门为岳阳城陵矶港务有限责任公司纪委，电话：13975091229。</w:t>
      </w:r>
    </w:p>
    <w:p>
      <w:pPr>
        <w:pStyle w:val="5"/>
        <w:jc w:val="both"/>
        <w:rPr>
          <w:rFonts w:ascii="Arial" w:hAnsi="Arial"/>
        </w:rPr>
      </w:pPr>
      <w:r>
        <w:rPr>
          <w:rFonts w:hint="eastAsia"/>
          <w:lang w:val="en-US" w:eastAsia="zh-CN"/>
        </w:rPr>
        <w:t>八、</w:t>
      </w:r>
      <w:r>
        <w:rPr>
          <w:rFonts w:hint="eastAsia" w:ascii="黑体" w:hAnsi="黑体"/>
        </w:rPr>
        <w:t>其他</w:t>
      </w:r>
    </w:p>
    <w:p>
      <w:pPr>
        <w:autoSpaceDE w:val="0"/>
        <w:spacing w:line="400" w:lineRule="exact"/>
        <w:jc w:val="both"/>
        <w:rPr>
          <w:rFonts w:ascii="宋体" w:hAnsi="宋体"/>
          <w:sz w:val="24"/>
        </w:rPr>
      </w:pPr>
      <w:r>
        <w:rPr>
          <w:rFonts w:hint="eastAsia" w:ascii="宋体" w:hAnsi="宋体"/>
          <w:b/>
          <w:bCs/>
          <w:sz w:val="24"/>
          <w:lang w:eastAsia="zh-CN"/>
        </w:rPr>
        <w:t>（</w:t>
      </w:r>
      <w:r>
        <w:rPr>
          <w:rFonts w:hint="eastAsia" w:ascii="宋体" w:hAnsi="宋体"/>
          <w:b/>
          <w:bCs/>
          <w:sz w:val="24"/>
          <w:lang w:val="en-US" w:eastAsia="zh-CN"/>
        </w:rPr>
        <w:t>一</w:t>
      </w:r>
      <w:r>
        <w:rPr>
          <w:rFonts w:hint="eastAsia" w:ascii="宋体" w:hAnsi="宋体"/>
          <w:b/>
          <w:bCs/>
          <w:sz w:val="24"/>
          <w:lang w:eastAsia="zh-CN"/>
        </w:rPr>
        <w:t>）</w:t>
      </w:r>
      <w:r>
        <w:rPr>
          <w:rFonts w:hint="eastAsia" w:ascii="宋体" w:hAnsi="宋体"/>
          <w:sz w:val="24"/>
        </w:rPr>
        <w:t xml:space="preserve"> 采购代理服务费:</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02"/>
        <w:gridCol w:w="240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黑体" w:hAnsi="黑体"/>
              </w:rPr>
            </w:pPr>
            <w:r>
              <w:rPr>
                <w:rFonts w:hint="eastAsia" w:ascii="黑体" w:hAnsi="黑体"/>
              </w:rPr>
              <w:t>采购代理服务费</w:t>
            </w:r>
          </w:p>
        </w:tc>
        <w:tc>
          <w:tcPr>
            <w:tcW w:w="2402" w:type="dxa"/>
          </w:tcPr>
          <w:p>
            <w:pPr>
              <w:widowControl w:val="0"/>
              <w:autoSpaceDE w:val="0"/>
              <w:spacing w:line="400" w:lineRule="exact"/>
              <w:jc w:val="both"/>
              <w:rPr>
                <w:rFonts w:ascii="黑体" w:hAnsi="黑体"/>
              </w:rPr>
            </w:pPr>
            <w:r>
              <w:rPr>
                <w:rFonts w:hint="eastAsia" w:ascii="宋体" w:hAnsi="宋体"/>
                <w:sz w:val="24"/>
              </w:rPr>
              <w:t>费用标准或金额</w:t>
            </w:r>
          </w:p>
        </w:tc>
        <w:tc>
          <w:tcPr>
            <w:tcW w:w="2402" w:type="dxa"/>
          </w:tcPr>
          <w:p>
            <w:pPr>
              <w:widowControl w:val="0"/>
              <w:autoSpaceDE w:val="0"/>
              <w:spacing w:line="400" w:lineRule="exact"/>
              <w:jc w:val="both"/>
              <w:rPr>
                <w:rFonts w:ascii="黑体" w:hAnsi="黑体"/>
              </w:rPr>
            </w:pPr>
            <w:r>
              <w:rPr>
                <w:rFonts w:hint="eastAsia" w:ascii="宋体" w:hAnsi="宋体"/>
                <w:sz w:val="24"/>
              </w:rPr>
              <w:t>交费时间</w:t>
            </w:r>
          </w:p>
        </w:tc>
        <w:tc>
          <w:tcPr>
            <w:tcW w:w="2240" w:type="dxa"/>
          </w:tcPr>
          <w:p>
            <w:pPr>
              <w:widowControl w:val="0"/>
              <w:autoSpaceDE w:val="0"/>
              <w:spacing w:line="400" w:lineRule="exact"/>
              <w:jc w:val="both"/>
              <w:rPr>
                <w:rFonts w:ascii="宋体" w:hAnsi="宋体"/>
                <w:sz w:val="24"/>
              </w:rPr>
            </w:pPr>
            <w:r>
              <w:rPr>
                <w:rFonts w:hint="eastAsia" w:ascii="宋体" w:hAnsi="宋体"/>
                <w:sz w:val="24"/>
              </w:rPr>
              <w:t>交费方式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宋体" w:hAnsi="宋体"/>
                <w:sz w:val="24"/>
              </w:rPr>
            </w:pPr>
            <w:r>
              <w:rPr>
                <w:rStyle w:val="38"/>
                <w:rFonts w:hint="eastAsia"/>
                <w:lang w:eastAsia="zh-CN"/>
              </w:rPr>
              <w:t>☑</w:t>
            </w:r>
            <w:r>
              <w:rPr>
                <w:rFonts w:hint="eastAsia" w:ascii="宋体" w:hAnsi="宋体"/>
                <w:sz w:val="24"/>
              </w:rPr>
              <w:t>不要求递交</w:t>
            </w:r>
          </w:p>
          <w:p>
            <w:pPr>
              <w:widowControl w:val="0"/>
              <w:autoSpaceDE w:val="0"/>
              <w:spacing w:line="400" w:lineRule="exact"/>
              <w:jc w:val="both"/>
              <w:rPr>
                <w:rFonts w:ascii="黑体" w:hAnsi="黑体"/>
              </w:rPr>
            </w:pPr>
            <w:r>
              <w:rPr>
                <w:rStyle w:val="38"/>
                <w:rFonts w:hint="eastAsia"/>
                <w:lang w:eastAsia="zh-CN"/>
              </w:rPr>
              <w:t>□</w:t>
            </w:r>
            <w:r>
              <w:rPr>
                <w:rFonts w:hint="eastAsia" w:ascii="宋体" w:hAnsi="宋体"/>
                <w:sz w:val="24"/>
              </w:rPr>
              <w:t>要求递交</w:t>
            </w:r>
          </w:p>
        </w:tc>
        <w:tc>
          <w:tcPr>
            <w:tcW w:w="2402" w:type="dxa"/>
          </w:tcPr>
          <w:p>
            <w:pPr>
              <w:widowControl w:val="0"/>
              <w:autoSpaceDE w:val="0"/>
              <w:spacing w:line="400" w:lineRule="exact"/>
              <w:jc w:val="both"/>
              <w:rPr>
                <w:rFonts w:ascii="宋体" w:hAnsi="宋体"/>
                <w:sz w:val="24"/>
              </w:rPr>
            </w:pPr>
            <w:r>
              <w:rPr>
                <w:rStyle w:val="38"/>
                <w:rFonts w:hint="eastAsia"/>
                <w:lang w:eastAsia="zh-CN"/>
              </w:rPr>
              <w:t>☑</w:t>
            </w:r>
            <w:r>
              <w:rPr>
                <w:rStyle w:val="38"/>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黑体" w:hAnsi="黑体"/>
              </w:rPr>
            </w:pPr>
          </w:p>
        </w:tc>
        <w:tc>
          <w:tcPr>
            <w:tcW w:w="2402" w:type="dxa"/>
          </w:tcPr>
          <w:p>
            <w:pPr>
              <w:widowControl w:val="0"/>
              <w:autoSpaceDE w:val="0"/>
              <w:spacing w:line="400" w:lineRule="exact"/>
              <w:jc w:val="both"/>
              <w:rPr>
                <w:rFonts w:ascii="宋体" w:hAnsi="宋体"/>
                <w:sz w:val="24"/>
              </w:rPr>
            </w:pPr>
            <w:r>
              <w:rPr>
                <w:rStyle w:val="38"/>
                <w:rFonts w:hint="eastAsia"/>
                <w:lang w:eastAsia="zh-CN"/>
              </w:rPr>
              <w:t>☑</w:t>
            </w:r>
            <w:r>
              <w:rPr>
                <w:rFonts w:hint="eastAsia" w:ascii="宋体" w:hAnsi="宋体"/>
                <w:sz w:val="24"/>
              </w:rPr>
              <w:t>不适用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2240" w:type="dxa"/>
          </w:tcPr>
          <w:p>
            <w:pPr>
              <w:widowControl w:val="0"/>
              <w:autoSpaceDE w:val="0"/>
              <w:spacing w:line="400" w:lineRule="exact"/>
              <w:jc w:val="both"/>
              <w:rPr>
                <w:rFonts w:ascii="宋体" w:hAnsi="宋体"/>
                <w:sz w:val="24"/>
              </w:rPr>
            </w:pPr>
            <w:r>
              <w:rPr>
                <w:rStyle w:val="38"/>
                <w:rFonts w:hint="eastAsia"/>
                <w:lang w:eastAsia="zh-CN"/>
              </w:rPr>
              <w:t>☑</w:t>
            </w:r>
            <w:r>
              <w:rPr>
                <w:rFonts w:hint="eastAsia" w:ascii="宋体" w:hAnsi="宋体"/>
                <w:sz w:val="24"/>
              </w:rPr>
              <w:t>不适用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Style w:val="38"/>
              </w:rPr>
            </w:pPr>
          </w:p>
        </w:tc>
      </w:tr>
    </w:tbl>
    <w:p>
      <w:pPr>
        <w:autoSpaceDE w:val="0"/>
        <w:spacing w:line="360" w:lineRule="auto"/>
        <w:jc w:val="both"/>
        <w:rPr>
          <w:rFonts w:hint="eastAsia" w:ascii="宋体" w:hAnsi="宋体" w:eastAsia="宋体" w:cs="Times New Roman"/>
          <w:sz w:val="24"/>
          <w:u w:val="none"/>
        </w:rPr>
      </w:pPr>
      <w:r>
        <w:rPr>
          <w:rFonts w:hint="eastAsia" w:ascii="宋体" w:hAnsi="宋体" w:eastAsia="宋体"/>
          <w:b/>
          <w:bCs/>
          <w:sz w:val="24"/>
          <w:lang w:eastAsia="zh-CN"/>
        </w:rPr>
        <w:t>（</w:t>
      </w:r>
      <w:r>
        <w:rPr>
          <w:rFonts w:hint="eastAsia" w:ascii="宋体" w:hAnsi="宋体" w:eastAsia="宋体"/>
          <w:b/>
          <w:bCs/>
          <w:sz w:val="24"/>
          <w:lang w:val="en-US" w:eastAsia="zh-CN"/>
        </w:rPr>
        <w:t>二</w:t>
      </w:r>
      <w:r>
        <w:rPr>
          <w:rFonts w:hint="eastAsia" w:ascii="宋体" w:hAnsi="宋体" w:eastAsia="宋体"/>
          <w:b/>
          <w:bCs/>
          <w:sz w:val="24"/>
          <w:lang w:eastAsia="zh-CN"/>
        </w:rPr>
        <w:t>）</w:t>
      </w:r>
      <w:r>
        <w:rPr>
          <w:rFonts w:hint="eastAsia" w:ascii="宋体" w:hAnsi="宋体" w:eastAsia="宋体" w:cs="Times New Roman"/>
          <w:sz w:val="24"/>
          <w:u w:val="none"/>
        </w:rPr>
        <w:t xml:space="preserve">采购人在签署采购合同时及合同履行过程中，有权对采购标的的数量进行增加或减少的幅度: </w:t>
      </w:r>
      <w:r>
        <w:rPr>
          <w:rFonts w:hint="eastAsia" w:ascii="宋体" w:hAnsi="宋体" w:eastAsia="宋体" w:cs="Times New Roman"/>
          <w:sz w:val="24"/>
          <w:u w:val="none"/>
          <w:lang w:val="en-US" w:eastAsia="zh-CN"/>
        </w:rPr>
        <w:t>0</w:t>
      </w:r>
      <w:r>
        <w:rPr>
          <w:rFonts w:hint="eastAsia" w:ascii="宋体" w:hAnsi="宋体" w:eastAsia="宋体" w:cs="Times New Roman"/>
          <w:sz w:val="24"/>
          <w:u w:val="none"/>
        </w:rPr>
        <w:t>%。</w:t>
      </w:r>
    </w:p>
    <w:p>
      <w:pPr>
        <w:pStyle w:val="5"/>
        <w:jc w:val="both"/>
        <w:rPr>
          <w:rFonts w:ascii="Arial" w:hAnsi="Arial"/>
        </w:rPr>
      </w:pPr>
      <w:r>
        <w:rPr>
          <w:rFonts w:hint="eastAsia"/>
          <w:lang w:val="en-US" w:eastAsia="zh-CN"/>
        </w:rPr>
        <w:t>九、</w:t>
      </w:r>
      <w:r>
        <w:rPr>
          <w:rFonts w:hint="eastAsia" w:ascii="黑体" w:hAnsi="黑体"/>
        </w:rPr>
        <w:t>联系方式</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rPr>
        <w:t xml:space="preserve">采 购 人:岳阳城陵矶港务有限责任公司    </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rPr>
        <w:t xml:space="preserve">地    址:湖南省岳阳市城陵矶长江路2号   </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rPr>
        <w:t xml:space="preserve">邮政编码: 414000 </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rPr>
        <w:t xml:space="preserve">联 系 人: 张先生    </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rPr>
        <w:t>电    话: 13873080069</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rPr>
        <w:t xml:space="preserve">开户银行:岳阳市建行城陵矶支行 </w:t>
      </w:r>
    </w:p>
    <w:p>
      <w:pPr>
        <w:autoSpaceDE w:val="0"/>
        <w:spacing w:line="400" w:lineRule="exact"/>
        <w:jc w:val="both"/>
        <w:rPr>
          <w:rFonts w:hint="eastAsia" w:ascii="宋体" w:hAnsi="宋体" w:eastAsia="宋体" w:cs="Times New Roman"/>
          <w:sz w:val="24"/>
          <w:u w:val="none"/>
        </w:rPr>
      </w:pPr>
      <w:r>
        <w:rPr>
          <w:rFonts w:hint="eastAsia" w:ascii="宋体" w:hAnsi="宋体" w:eastAsia="宋体" w:cs="Times New Roman"/>
          <w:sz w:val="24"/>
          <w:u w:val="none"/>
        </w:rPr>
        <w:t>账    号:4300 1650 0660 5000 0703</w:t>
      </w:r>
    </w:p>
    <w:p>
      <w:pPr>
        <w:autoSpaceDE w:val="0"/>
        <w:spacing w:line="400" w:lineRule="exact"/>
        <w:jc w:val="both"/>
        <w:rPr>
          <w:rFonts w:ascii="宋体" w:hAnsi="宋体"/>
          <w:sz w:val="24"/>
        </w:rPr>
      </w:pPr>
      <w:r>
        <w:rPr>
          <w:rFonts w:hint="eastAsia" w:ascii="宋体" w:hAnsi="宋体"/>
          <w:sz w:val="24"/>
        </w:rPr>
        <w:t xml:space="preserve"> </w:t>
      </w:r>
    </w:p>
    <w:p>
      <w:pPr>
        <w:autoSpaceDE w:val="0"/>
        <w:spacing w:line="400" w:lineRule="exact"/>
        <w:jc w:val="both"/>
        <w:rPr>
          <w:rFonts w:ascii="宋体" w:hAnsi="宋体"/>
          <w:sz w:val="24"/>
        </w:rPr>
      </w:pPr>
      <w:r>
        <w:rPr>
          <w:rFonts w:hint="eastAsia" w:ascii="宋体" w:hAnsi="宋体"/>
          <w:sz w:val="24"/>
        </w:rPr>
        <w:t xml:space="preserve"> </w:t>
      </w:r>
    </w:p>
    <w:p>
      <w:pPr>
        <w:spacing w:line="240" w:lineRule="auto"/>
        <w:jc w:val="both"/>
        <w:rPr>
          <w:rFonts w:ascii="宋体" w:hAnsi="宋体"/>
          <w:sz w:val="24"/>
        </w:rPr>
      </w:pPr>
      <w:bookmarkStart w:id="5" w:name="_Toc517787494"/>
      <w:bookmarkStart w:id="6" w:name="_Toc234832861"/>
      <w:r>
        <w:rPr>
          <w:rFonts w:ascii="宋体" w:hAnsi="宋体"/>
          <w:sz w:val="24"/>
        </w:rPr>
        <w:t xml:space="preserve"> </w:t>
      </w: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pStyle w:val="2"/>
        <w:outlineLvl w:val="9"/>
        <w:rPr>
          <w:rFonts w:ascii="宋体" w:hAnsi="宋体"/>
          <w:sz w:val="24"/>
        </w:rPr>
      </w:pPr>
    </w:p>
    <w:p>
      <w:pPr>
        <w:rPr>
          <w:rFonts w:ascii="宋体" w:hAnsi="宋体"/>
          <w:sz w:val="24"/>
        </w:rPr>
      </w:pPr>
    </w:p>
    <w:p>
      <w:pPr>
        <w:pStyle w:val="2"/>
        <w:outlineLvl w:val="9"/>
        <w:rPr>
          <w:rFonts w:ascii="宋体" w:hAnsi="宋体"/>
          <w:sz w:val="24"/>
        </w:rPr>
      </w:pPr>
    </w:p>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600" w:lineRule="exact"/>
        <w:jc w:val="center"/>
        <w:outlineLvl w:val="0"/>
        <w:rPr>
          <w:rFonts w:ascii="黑体" w:hAnsi="黑体" w:eastAsia="黑体"/>
          <w:sz w:val="32"/>
          <w:szCs w:val="32"/>
        </w:rPr>
      </w:pPr>
      <w:bookmarkStart w:id="7" w:name="_Toc30085"/>
      <w:r>
        <w:rPr>
          <w:rFonts w:hint="eastAsia" w:ascii="黑体" w:hAnsi="黑体" w:eastAsia="黑体"/>
          <w:sz w:val="32"/>
          <w:szCs w:val="32"/>
        </w:rPr>
        <w:t>第二章  供应商须知</w:t>
      </w:r>
      <w:bookmarkEnd w:id="5"/>
      <w:bookmarkEnd w:id="6"/>
      <w:bookmarkEnd w:id="7"/>
    </w:p>
    <w:p>
      <w:pPr>
        <w:pStyle w:val="4"/>
        <w:spacing w:before="240" w:after="240" w:line="600" w:lineRule="exact"/>
        <w:jc w:val="both"/>
        <w:rPr>
          <w:rFonts w:hint="eastAsia" w:cs="仿宋" w:asciiTheme="minorEastAsia" w:hAnsiTheme="minorEastAsia" w:eastAsiaTheme="minorEastAsia"/>
          <w:b w:val="0"/>
          <w:bCs w:val="0"/>
          <w:kern w:val="2"/>
          <w:sz w:val="24"/>
          <w:szCs w:val="24"/>
          <w:lang w:val="en-US" w:eastAsia="zh-CN" w:bidi="ar-SA"/>
        </w:rPr>
      </w:pPr>
      <w:bookmarkStart w:id="8" w:name="_Toc234832862"/>
      <w:bookmarkStart w:id="9" w:name="_Toc11129"/>
      <w:bookmarkStart w:id="10" w:name="_Toc517787495"/>
      <w:r>
        <w:rPr>
          <w:rFonts w:hint="eastAsia" w:cs="仿宋" w:asciiTheme="minorEastAsia" w:hAnsiTheme="minorEastAsia" w:eastAsiaTheme="minorEastAsia"/>
          <w:b w:val="0"/>
          <w:bCs w:val="0"/>
          <w:kern w:val="2"/>
          <w:sz w:val="24"/>
          <w:szCs w:val="24"/>
          <w:lang w:val="en-US" w:eastAsia="zh-CN" w:bidi="ar-SA"/>
        </w:rPr>
        <w:t>供应商须知前附表</w:t>
      </w:r>
      <w:r>
        <w:rPr>
          <w:rFonts w:hint="eastAsia" w:cs="仿宋" w:asciiTheme="minorEastAsia" w:hAnsiTheme="minorEastAsia" w:eastAsiaTheme="minorEastAsia"/>
          <w:b w:val="0"/>
          <w:bCs w:val="0"/>
          <w:kern w:val="2"/>
          <w:sz w:val="24"/>
          <w:szCs w:val="24"/>
          <w:lang w:val="en-US" w:eastAsia="zh-CN" w:bidi="ar-SA"/>
        </w:rPr>
        <w:footnoteReference w:id="0"/>
      </w:r>
      <w:bookmarkEnd w:id="8"/>
      <w:bookmarkEnd w:id="9"/>
      <w:bookmarkEnd w:id="10"/>
    </w:p>
    <w:tbl>
      <w:tblPr>
        <w:tblStyle w:val="35"/>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38"/>
                <w:rFonts w:hint="eastAsia"/>
                <w:lang w:eastAsia="zh-CN"/>
              </w:rPr>
              <w:t>☑</w:t>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Style w:val="38"/>
                <w:rFonts w:hint="eastAsia"/>
                <w:lang w:eastAsia="zh-CN"/>
              </w:rPr>
              <w:t>□</w:t>
            </w: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38"/>
                <w:rFonts w:hint="eastAsia"/>
                <w:lang w:eastAsia="zh-CN"/>
              </w:rPr>
              <w:t>☑</w:t>
            </w:r>
            <w:r>
              <w:rPr>
                <w:rFonts w:hint="eastAsia" w:cs="仿宋" w:asciiTheme="minorEastAsia" w:hAnsiTheme="minorEastAsia" w:eastAsiaTheme="minorEastAsia"/>
                <w:sz w:val="24"/>
              </w:rPr>
              <w:t>最低价法（同质比价法）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38"/>
                <w:rFonts w:hint="eastAsia"/>
                <w:lang w:eastAsia="zh-CN"/>
              </w:rPr>
              <w:t>☑</w:t>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38"/>
                <w:rFonts w:hint="eastAsia"/>
                <w:lang w:eastAsia="zh-CN"/>
              </w:rPr>
              <w:t>☑</w:t>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不得分包的内容：合同所有项目</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eastAsia="宋体" w:cs="仿宋" w:asciiTheme="minorEastAsia" w:hAnsiTheme="minorEastAsia"/>
                <w:sz w:val="24"/>
                <w:lang w:val="en-US" w:eastAsia="zh-CN"/>
              </w:rPr>
            </w:pPr>
            <w:r>
              <w:rPr>
                <w:rFonts w:hint="eastAsia" w:cs="仿宋" w:asciiTheme="minorEastAsia" w:hAnsiTheme="minorEastAsia" w:eastAsiaTheme="minorEastAsia"/>
                <w:sz w:val="24"/>
              </w:rPr>
              <w:t>允许偏差的范围：</w:t>
            </w:r>
            <w:r>
              <w:rPr>
                <w:rFonts w:hint="eastAsia" w:ascii="宋体" w:hAnsi="宋体" w:cs="宋体"/>
                <w:sz w:val="24"/>
                <w:szCs w:val="24"/>
                <w:lang w:eastAsia="zh-CN"/>
              </w:rPr>
              <w:t>响应</w:t>
            </w:r>
            <w:r>
              <w:rPr>
                <w:rFonts w:hint="eastAsia" w:ascii="宋体" w:hAnsi="宋体" w:eastAsia="宋体" w:cs="宋体"/>
                <w:sz w:val="24"/>
                <w:szCs w:val="24"/>
              </w:rPr>
              <w:t>文件在实质上响应</w:t>
            </w:r>
            <w:r>
              <w:rPr>
                <w:rFonts w:hint="eastAsia" w:ascii="宋体" w:hAnsi="宋体" w:cs="宋体"/>
                <w:sz w:val="24"/>
                <w:szCs w:val="24"/>
                <w:lang w:eastAsia="zh-CN"/>
              </w:rPr>
              <w:t>采购</w:t>
            </w:r>
            <w:r>
              <w:rPr>
                <w:rFonts w:hint="eastAsia" w:ascii="宋体" w:hAnsi="宋体" w:eastAsia="宋体" w:cs="宋体"/>
                <w:sz w:val="24"/>
                <w:szCs w:val="24"/>
              </w:rPr>
              <w:t>文件要求，但存在含义不明确的内容、明显文字或计算错误等情况，并且澄清、说明和补正这些情况不会对其他</w:t>
            </w:r>
            <w:r>
              <w:rPr>
                <w:rFonts w:hint="eastAsia" w:ascii="宋体" w:hAnsi="宋体" w:cs="宋体"/>
                <w:sz w:val="24"/>
                <w:szCs w:val="24"/>
                <w:lang w:eastAsia="zh-CN"/>
              </w:rPr>
              <w:t>响应</w:t>
            </w:r>
            <w:r>
              <w:rPr>
                <w:rFonts w:hint="eastAsia" w:ascii="宋体" w:hAnsi="宋体" w:eastAsia="宋体" w:cs="宋体"/>
                <w:sz w:val="24"/>
                <w:szCs w:val="24"/>
              </w:rPr>
              <w:t>人造成不公平的结果</w:t>
            </w:r>
            <w:r>
              <w:rPr>
                <w:rFonts w:hint="eastAsia" w:ascii="宋体" w:hAnsi="宋体" w:cs="宋体"/>
                <w:sz w:val="24"/>
                <w:szCs w:val="24"/>
                <w:lang w:eastAsia="zh-CN"/>
              </w:rPr>
              <w:t>。</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允许偏差的项数：</w:t>
            </w:r>
            <w:r>
              <w:rPr>
                <w:rFonts w:hint="eastAsia" w:cs="仿宋" w:asciiTheme="minorEastAsia" w:hAnsiTheme="minorEastAsia" w:eastAsiaTheme="minorEastAsia"/>
                <w:sz w:val="24"/>
                <w:lang w:val="en-US" w:eastAsia="zh-CN"/>
              </w:rPr>
              <w:t>3项</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截止时间：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yellow"/>
                <w:lang w:val="en-US" w:eastAsia="zh-CN"/>
              </w:rPr>
            </w:pPr>
            <w:r>
              <w:rPr>
                <w:rFonts w:hint="eastAsia" w:cs="仿宋" w:asciiTheme="minorEastAsia" w:hAnsiTheme="minorEastAsia" w:eastAsiaTheme="minorEastAsia"/>
                <w:sz w:val="24"/>
              </w:rPr>
              <w:t>确认的最晚时间：</w:t>
            </w:r>
            <w:r>
              <w:rPr>
                <w:rFonts w:hint="eastAsia" w:cs="仿宋" w:asciiTheme="minorEastAsia" w:hAnsiTheme="minorEastAsia" w:eastAsiaTheme="minorEastAsia"/>
                <w:sz w:val="24"/>
                <w:lang w:val="en-US" w:eastAsia="zh-CN"/>
              </w:rPr>
              <w:t>补充文件发出后24小时</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确定的方式： </w:t>
            </w:r>
            <w:r>
              <w:rPr>
                <w:rFonts w:hint="eastAsia" w:cs="仿宋" w:asciiTheme="minorEastAsia" w:hAnsiTheme="minorEastAsia" w:eastAsiaTheme="minorEastAsia"/>
                <w:sz w:val="24"/>
                <w:lang w:val="en-US" w:eastAsia="zh-CN"/>
              </w:rPr>
              <w:t>补充文件接收确认函</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采购标的数量增减幅度：</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spacing w:line="288" w:lineRule="auto"/>
              <w:jc w:val="both"/>
              <w:rPr>
                <w:rFonts w:cs="仿宋" w:asciiTheme="minorEastAsia" w:hAnsiTheme="minorEastAsia" w:eastAsiaTheme="minorEastAsia"/>
                <w:sz w:val="24"/>
              </w:rPr>
            </w:pPr>
            <w:r>
              <w:rPr>
                <w:rStyle w:val="38"/>
                <w:rFonts w:hint="eastAsia"/>
                <w:lang w:eastAsia="zh-CN"/>
              </w:rPr>
              <w:t>☑</w:t>
            </w:r>
            <w:r>
              <w:rPr>
                <w:rFonts w:hint="eastAsia" w:cs="仿宋" w:asciiTheme="minorEastAsia" w:hAnsiTheme="minorEastAsia" w:eastAsiaTheme="minorEastAsia"/>
                <w:sz w:val="24"/>
              </w:rPr>
              <w:t xml:space="preserve">有，最高限价：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人民币贰拾柒万元（小写：¥27</w:t>
            </w:r>
            <w:r>
              <w:rPr>
                <w:rFonts w:hint="eastAsia" w:cs="仿宋" w:asciiTheme="minorEastAsia" w:hAnsiTheme="minorEastAsia" w:eastAsiaTheme="minorEastAsia"/>
                <w:sz w:val="24"/>
                <w:lang w:val="en-US" w:eastAsia="zh-CN"/>
              </w:rPr>
              <w:t>0，000.00</w:t>
            </w:r>
            <w:r>
              <w:rPr>
                <w:rFonts w:hint="eastAsia" w:cs="仿宋" w:asciiTheme="minorEastAsia" w:hAnsiTheme="minorEastAsia" w:eastAsiaTheme="minorEastAsia"/>
                <w:sz w:val="24"/>
              </w:rPr>
              <w:t>）</w:t>
            </w:r>
            <w:r>
              <w:rPr>
                <w:rFonts w:hint="eastAsia" w:ascii="宋体" w:hAnsi="宋体" w:cs="Times New Roman"/>
                <w:color w:val="auto"/>
                <w:sz w:val="24"/>
                <w:u w:val="none"/>
                <w:lang w:val="en-US" w:eastAsia="zh-CN"/>
              </w:rPr>
              <w:t>提供6%的增值税专用发票，超过最高限价的作废。如果报价人提供其他税率的增值税专用发票，招标人按6%的税率调整报价后参与排序。</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38"/>
                <w:rFonts w:hint="eastAsia"/>
                <w:lang w:eastAsia="zh-CN"/>
              </w:rPr>
              <w:t>☑</w:t>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8"/>
                <w:rFonts w:asciiTheme="minorEastAsia" w:hAnsiTheme="minorEastAsia" w:eastAsiaTheme="minorEastAsia"/>
                <w:b w:val="0"/>
                <w:color w:val="000000"/>
                <w:sz w:val="24"/>
              </w:rPr>
            </w:pPr>
            <w:r>
              <w:rPr>
                <w:rStyle w:val="38"/>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□不适用。</w:t>
            </w:r>
          </w:p>
          <w:p>
            <w:pPr>
              <w:spacing w:line="288" w:lineRule="auto"/>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rPr>
              <w:t>适用。供应商应提供有效的营业执照副本的复印件，并加盖公章。成立时间满一年，经营范围包括本次公告的内容。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适用。供应商应提供相关资质证书副本的复印件，以证明供应商具有承担本项目要求的资质。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r>
              <w:rPr>
                <w:rFonts w:hint="eastAsia" w:cs="宋体" w:asciiTheme="minorEastAsia" w:hAnsiTheme="minorEastAsia" w:eastAsiaTheme="minorEastAsia"/>
                <w:color w:val="000000"/>
                <w:sz w:val="24"/>
                <w:lang w:val="en-US" w:eastAsia="zh-CN"/>
              </w:rPr>
              <w:t>营业执照须有船舶设计、船舶改造经营范围；项目负责人须有中级工程师职称；须提供检验人员验船师和潜水员资格证书。</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8"/>
                <w:rFonts w:asciiTheme="minorEastAsia" w:hAnsiTheme="minorEastAsia" w:eastAsiaTheme="minorEastAsia"/>
                <w:b w:val="0"/>
                <w:color w:val="000000"/>
                <w:sz w:val="24"/>
              </w:rPr>
            </w:pPr>
            <w:r>
              <w:rPr>
                <w:rStyle w:val="38"/>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适用。供应商应提供近</w:t>
            </w:r>
            <w:r>
              <w:rPr>
                <w:rFonts w:hint="eastAsia" w:cs="宋体" w:asciiTheme="minorEastAsia" w:hAnsiTheme="minorEastAsia" w:eastAsiaTheme="minorEastAsia"/>
                <w:color w:val="000000"/>
                <w:sz w:val="24"/>
                <w:lang w:val="en-US" w:eastAsia="zh-CN"/>
              </w:rPr>
              <w:t>三</w:t>
            </w:r>
            <w:r>
              <w:rPr>
                <w:rFonts w:hint="eastAsia" w:cs="宋体" w:asciiTheme="minorEastAsia" w:hAnsiTheme="minorEastAsia" w:eastAsiaTheme="minorEastAsia"/>
                <w:color w:val="000000"/>
                <w:sz w:val="24"/>
              </w:rPr>
              <w:t>年的</w:t>
            </w:r>
            <w:r>
              <w:rPr>
                <w:rFonts w:hint="eastAsia" w:cs="宋体" w:asciiTheme="minorEastAsia" w:hAnsiTheme="minorEastAsia" w:eastAsiaTheme="minorEastAsia"/>
                <w:color w:val="000000"/>
                <w:sz w:val="24"/>
                <w:lang w:val="en-US" w:eastAsia="zh-CN"/>
              </w:rPr>
              <w:t>船舶设计、技术咨询</w:t>
            </w:r>
            <w:r>
              <w:rPr>
                <w:rFonts w:hint="eastAsia" w:cs="宋体" w:asciiTheme="minorEastAsia" w:hAnsiTheme="minorEastAsia" w:eastAsiaTheme="minorEastAsia"/>
                <w:color w:val="000000"/>
                <w:sz w:val="24"/>
              </w:rPr>
              <w:t>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color w:val="000000"/>
                <w:sz w:val="24"/>
                <w:u w:val="single"/>
              </w:rPr>
              <w:t>2020年10月</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2021年10月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□竣工 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none"/>
              </w:rPr>
              <w:t>\</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non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Style w:val="38"/>
                <w:rFonts w:hint="eastAsia"/>
                <w:lang w:eastAsia="zh-CN"/>
              </w:rPr>
              <w:t>☑</w:t>
            </w:r>
            <w:r>
              <w:rPr>
                <w:rFonts w:hint="eastAsia" w:cs="宋体" w:asciiTheme="minorEastAsia" w:hAnsiTheme="minorEastAsia" w:eastAsiaTheme="minorEastAsia"/>
                <w:color w:val="000000"/>
                <w:sz w:val="24"/>
              </w:rPr>
              <w:t>适用。供应商应提供相关信誉情况的证明材料，包括：</w:t>
            </w:r>
            <w:r>
              <w:rPr>
                <w:rFonts w:hint="eastAsia" w:cs="宋体" w:asciiTheme="minorEastAsia" w:hAnsiTheme="minorEastAsia" w:eastAsiaTheme="minorEastAsia"/>
                <w:color w:val="000000"/>
                <w:sz w:val="24"/>
                <w:lang w:val="en-US" w:eastAsia="zh-CN"/>
              </w:rPr>
              <w:t>1.</w:t>
            </w:r>
            <w:r>
              <w:rPr>
                <w:rFonts w:hint="eastAsia" w:cs="宋体" w:asciiTheme="minorEastAsia" w:hAnsiTheme="minorEastAsia" w:eastAsiaTheme="minorEastAsia"/>
                <w:color w:val="000000"/>
                <w:sz w:val="24"/>
              </w:rPr>
              <w:t>需提供“国家企业信用信息公示系统”截图证明：</w:t>
            </w:r>
            <w:r>
              <w:rPr>
                <w:rFonts w:hint="eastAsia" w:cs="宋体" w:asciiTheme="minorEastAsia" w:hAnsiTheme="minorEastAsia" w:eastAsiaTheme="minorEastAsia"/>
                <w:color w:val="000000"/>
                <w:sz w:val="24"/>
                <w:lang w:val="en-US" w:eastAsia="zh-CN"/>
              </w:rPr>
              <w:t>2.</w:t>
            </w:r>
            <w:r>
              <w:rPr>
                <w:rFonts w:hint="eastAsia" w:cs="宋体" w:asciiTheme="minorEastAsia" w:hAnsiTheme="minorEastAsia" w:eastAsiaTheme="minorEastAsia"/>
                <w:color w:val="000000"/>
                <w:sz w:val="24"/>
              </w:rPr>
              <w:t xml:space="preserve">提供本单位未被“列入经营异常名录信息”与“列入严重违法失信企业名单信息”两处截屏文件。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 xml:space="preserve">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 </w:t>
            </w:r>
            <w:r>
              <w:rPr>
                <w:rFonts w:hint="eastAsia" w:cs="宋体" w:asciiTheme="minorEastAsia" w:hAnsiTheme="minorEastAsia" w:eastAsiaTheme="minorEastAsia"/>
                <w:color w:val="000000"/>
                <w:sz w:val="24"/>
                <w:lang w:val="en-US" w:eastAsia="zh-CN"/>
              </w:rPr>
              <w:t>项目负责人须有中级工程师证书、须提供检验人员验船师和潜水员资格证书。</w:t>
            </w: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需要提供证明材料，包括：</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不要求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left"/>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适用，供应商名称：</w:t>
            </w:r>
            <w:r>
              <w:rPr>
                <w:rFonts w:hint="eastAsia" w:ascii="宋体" w:hAnsi="宋体"/>
                <w:sz w:val="24"/>
              </w:rPr>
              <w:t>“长城趸H014”船舶换证检验检测评估服务</w:t>
            </w:r>
            <w:r>
              <w:rPr>
                <w:rFonts w:hint="eastAsia" w:cs="宋体" w:asciiTheme="minorEastAsia" w:hAnsiTheme="minorEastAsia" w:eastAsiaTheme="minorEastAsia"/>
                <w:color w:val="000000"/>
                <w:sz w:val="24"/>
                <w:u w:val="none"/>
              </w:rPr>
              <w:t>项目响应文件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截止时间：2021年1</w:t>
            </w:r>
            <w:r>
              <w:rPr>
                <w:rFonts w:hint="eastAsia" w:cs="宋体" w:asciiTheme="minorEastAsia" w:hAnsiTheme="minorEastAsia" w:eastAsiaTheme="minorEastAsia"/>
                <w:color w:val="000000"/>
                <w:sz w:val="24"/>
                <w:lang w:val="en-US" w:eastAsia="zh-CN"/>
              </w:rPr>
              <w:t>2</w:t>
            </w:r>
            <w:r>
              <w:rPr>
                <w:rFonts w:hint="eastAsia" w:cs="宋体" w:asciiTheme="minorEastAsia" w:hAnsiTheme="minorEastAsia" w:eastAsiaTheme="minorEastAsia"/>
                <w:color w:val="000000"/>
                <w:sz w:val="24"/>
              </w:rPr>
              <w:t xml:space="preserve"> 月 </w:t>
            </w:r>
            <w:r>
              <w:rPr>
                <w:rFonts w:hint="eastAsia" w:cs="宋体" w:asciiTheme="minorEastAsia" w:hAnsiTheme="minorEastAsia" w:eastAsiaTheme="minorEastAsia"/>
                <w:color w:val="000000"/>
                <w:sz w:val="24"/>
                <w:lang w:val="en-US" w:eastAsia="zh-CN"/>
              </w:rPr>
              <w:t>16</w:t>
            </w:r>
            <w:r>
              <w:rPr>
                <w:rFonts w:hint="eastAsia" w:cs="宋体" w:asciiTheme="minorEastAsia" w:hAnsiTheme="minorEastAsia" w:eastAsiaTheme="minorEastAsia"/>
                <w:color w:val="000000"/>
                <w:sz w:val="24"/>
              </w:rPr>
              <w:t xml:space="preserve"> 日</w:t>
            </w:r>
            <w:r>
              <w:rPr>
                <w:rFonts w:hint="eastAsia" w:cs="宋体" w:asciiTheme="minorEastAsia" w:hAnsiTheme="minorEastAsia" w:eastAsiaTheme="minorEastAsia"/>
                <w:color w:val="000000"/>
                <w:sz w:val="24"/>
                <w:lang w:val="en-US" w:eastAsia="zh-CN"/>
              </w:rPr>
              <w:t>12时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递交响应文件的地点：岳阳市岳阳楼区城陵矶长江路2号城港公司办公楼106室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自采购人收到供应商递交的书面通知之日起</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日内</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湖南省岳阳市运溪区沿江路 湖南省港务集团办公楼6楼</w:t>
            </w:r>
            <w:r>
              <w:rPr>
                <w:rFonts w:hint="eastAsia" w:cs="宋体" w:asciiTheme="minorEastAsia" w:hAnsiTheme="minorEastAsia" w:eastAsiaTheme="minorEastAsia"/>
                <w:color w:val="000000"/>
                <w:sz w:val="24"/>
                <w:lang w:val="en-US" w:eastAsia="zh-CN"/>
              </w:rPr>
              <w:t>602</w:t>
            </w:r>
            <w:r>
              <w:rPr>
                <w:rFonts w:hint="eastAsia" w:cs="宋体" w:asciiTheme="minorEastAsia" w:hAnsiTheme="minorEastAsia" w:eastAsiaTheme="minorEastAsia"/>
                <w:color w:val="000000"/>
                <w:sz w:val="24"/>
              </w:rPr>
              <w:t>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r>
              <w:rPr>
                <w:rStyle w:val="43"/>
                <w:rFonts w:cs="宋体" w:asciiTheme="minorEastAsia" w:hAnsiTheme="minorEastAsia" w:eastAsiaTheme="minorEastAsia"/>
                <w:color w:val="000000"/>
                <w:sz w:val="24"/>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w:t>
            </w:r>
            <w:r>
              <w:rPr>
                <w:rFonts w:hint="eastAsia" w:cs="宋体" w:asciiTheme="minorEastAsia" w:hAnsiTheme="minorEastAsia" w:eastAsiaTheme="minorEastAsia"/>
                <w:color w:val="000000"/>
                <w:sz w:val="24"/>
                <w:lang w:val="en-US" w:eastAsia="zh-CN"/>
              </w:rPr>
              <w:t>审</w:t>
            </w:r>
            <w:r>
              <w:rPr>
                <w:rFonts w:hint="eastAsia" w:cs="宋体" w:asciiTheme="minorEastAsia" w:hAnsiTheme="minorEastAsia" w:eastAsiaTheme="minorEastAsia"/>
                <w:color w:val="000000"/>
                <w:sz w:val="24"/>
              </w:rPr>
              <w:t>小组构成：3人。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评审专家确定方式：在湖南省湘水集团有限公司综合评标专家库中随机抽取。</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r>
              <w:rPr>
                <w:rStyle w:val="43"/>
                <w:rFonts w:cs="宋体" w:asciiTheme="minorEastAsia" w:hAnsiTheme="minorEastAsia" w:eastAsiaTheme="minorEastAsia"/>
                <w:color w:val="000000"/>
                <w:sz w:val="24"/>
              </w:rPr>
              <w:footnoteReference w:id="2"/>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cs="宋体" w:asciiTheme="minorEastAsia" w:hAnsiTheme="minorEastAsia" w:eastAsiaTheme="minorEastAsia"/>
                <w:b/>
                <w:bCs/>
                <w:color w:val="000000"/>
                <w:sz w:val="24"/>
              </w:rPr>
              <w:t xml:space="preserve"> </w:t>
            </w:r>
            <w:r>
              <w:rPr>
                <w:rFonts w:hint="eastAsia" w:cs="宋体" w:asciiTheme="minorEastAsia" w:hAnsiTheme="minorEastAsia" w:eastAsiaTheme="minorEastAsia"/>
                <w:b/>
                <w:bCs/>
                <w:color w:val="000000"/>
                <w:sz w:val="24"/>
                <w:lang w:val="en-US" w:eastAsia="zh-CN"/>
              </w:rPr>
              <w:t>1-3</w:t>
            </w:r>
            <w:r>
              <w:rPr>
                <w:rFonts w:cs="宋体" w:asciiTheme="minorEastAsia" w:hAnsiTheme="minorEastAsia" w:eastAsiaTheme="minorEastAsia"/>
                <w:b/>
                <w:bCs/>
                <w:color w:val="000000"/>
                <w:sz w:val="24"/>
              </w:rPr>
              <w:t xml:space="preserve"> </w:t>
            </w:r>
            <w:r>
              <w:rPr>
                <w:rFonts w:hint="eastAsia" w:cs="宋体" w:asciiTheme="minorEastAsia" w:hAnsiTheme="minorEastAsia" w:eastAsiaTheme="minorEastAsia"/>
                <w:color w:val="000000"/>
                <w:sz w:val="24"/>
              </w:rPr>
              <w:t>个（不超过3个），并标明推荐顺序。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公示媒介：</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w:t>
            </w:r>
            <w:r>
              <w:rPr>
                <w:rFonts w:hint="eastAsia" w:ascii="宋体" w:hAnsi="宋体" w:cs="宋体"/>
                <w:kern w:val="0"/>
                <w:sz w:val="24"/>
              </w:rPr>
              <w:t>湖南省港务集团有限公司网站（http://www.hnsgwjt.com/）</w:t>
            </w:r>
            <w:r>
              <w:rPr>
                <w:rFonts w:hint="eastAsia" w:ascii="宋体" w:hAnsi="宋体" w:cs="宋体"/>
                <w:sz w:val="24"/>
              </w:rPr>
              <w:t>上发布。</w:t>
            </w: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single"/>
              </w:rPr>
              <w:t>其他应公示的内容</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联系人：岳阳城陵矶港务有限责任公司纪委</w:t>
            </w:r>
          </w:p>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联系电话： 13975091229                                  </w:t>
            </w:r>
          </w:p>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通信地址：岳阳市岳阳楼区城陵矶长江路2号</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lang w:eastAsia="zh-CN"/>
              </w:rPr>
              <w:t>☑</w:t>
            </w:r>
            <w:r>
              <w:rPr>
                <w:rFonts w:hint="eastAsia" w:cs="宋体" w:asciiTheme="minorEastAsia" w:hAnsiTheme="minorEastAsia" w:eastAsiaTheme="minorEastAsia"/>
                <w:color w:val="000000"/>
                <w:sz w:val="24"/>
              </w:rPr>
              <w:t>不要求承担</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□要求承担</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费用标准或金额：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交费时间：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交费方式：</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无</w:t>
            </w:r>
          </w:p>
        </w:tc>
      </w:tr>
    </w:tbl>
    <w:p>
      <w:pPr>
        <w:spacing w:line="240" w:lineRule="auto"/>
        <w:jc w:val="center"/>
        <w:outlineLvl w:val="0"/>
        <w:rPr>
          <w:rFonts w:ascii="仿宋" w:hAnsi="仿宋" w:eastAsia="仿宋" w:cs="仿宋"/>
          <w:sz w:val="30"/>
          <w:szCs w:val="30"/>
        </w:rPr>
      </w:pPr>
      <w:r>
        <w:rPr>
          <w:rFonts w:ascii="仿宋" w:hAnsi="仿宋" w:eastAsia="仿宋" w:cs="仿宋"/>
          <w:b/>
          <w:bCs/>
          <w:sz w:val="30"/>
          <w:szCs w:val="30"/>
        </w:rPr>
        <w:br w:type="page"/>
      </w:r>
      <w:bookmarkStart w:id="11" w:name="_Toc27586"/>
      <w:r>
        <w:rPr>
          <w:rFonts w:hint="eastAsia" w:ascii="华文中宋" w:hAnsi="华文中宋" w:eastAsia="华文中宋" w:cs="仿宋"/>
          <w:b/>
          <w:bCs/>
          <w:sz w:val="30"/>
          <w:szCs w:val="30"/>
        </w:rPr>
        <w:t>第二章 供应商须知正文</w:t>
      </w:r>
      <w:bookmarkEnd w:id="11"/>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66"/>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0"/>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0"/>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0"/>
        <w:spacing w:line="312" w:lineRule="auto"/>
        <w:ind w:firstLine="453" w:firstLineChars="189"/>
        <w:rPr>
          <w:rFonts w:hAnsi="宋体" w:eastAsia="宋体" w:cs="仿宋"/>
          <w:sz w:val="24"/>
          <w:szCs w:val="24"/>
        </w:rPr>
      </w:pPr>
      <w:r>
        <w:rPr>
          <w:rFonts w:hint="eastAsia" w:hAnsi="宋体" w:eastAsia="宋体" w:cs="仿宋"/>
          <w:sz w:val="24"/>
          <w:szCs w:val="24"/>
        </w:rPr>
        <w:t>竞争性谈判采购，是指按照规定程序通过与符合资格要求的供应商谈判确定成交供应商的采购方式。</w:t>
      </w:r>
    </w:p>
    <w:p>
      <w:pPr>
        <w:pStyle w:val="60"/>
        <w:spacing w:line="312" w:lineRule="auto"/>
        <w:ind w:firstLine="453" w:firstLineChars="189"/>
        <w:rPr>
          <w:rFonts w:hAnsi="宋体" w:eastAsia="宋体" w:cs="仿宋"/>
          <w:sz w:val="24"/>
          <w:szCs w:val="24"/>
        </w:rPr>
      </w:pPr>
      <w:r>
        <w:rPr>
          <w:rFonts w:hint="eastAsia" w:hAnsi="宋体" w:eastAsia="宋体" w:cs="仿宋"/>
          <w:sz w:val="24"/>
          <w:szCs w:val="24"/>
        </w:rPr>
        <w:t>单一来源采购，是指按照规定程序向单一供应商直接购买的采购方式。</w:t>
      </w:r>
    </w:p>
    <w:p>
      <w:pPr>
        <w:pStyle w:val="60"/>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0"/>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pStyle w:val="60"/>
        <w:spacing w:line="312" w:lineRule="auto"/>
        <w:ind w:firstLine="453" w:firstLineChars="189"/>
        <w:rPr>
          <w:rFonts w:hAnsi="宋体" w:eastAsia="宋体" w:cs="仿宋"/>
          <w:sz w:val="24"/>
          <w:szCs w:val="24"/>
        </w:rPr>
      </w:pPr>
      <w:r>
        <w:rPr>
          <w:rFonts w:hint="eastAsia" w:hAnsi="宋体" w:eastAsia="宋体" w:cs="仿宋"/>
          <w:sz w:val="24"/>
          <w:szCs w:val="24"/>
        </w:rPr>
        <w:t>同质比价法，遵循最低价法评审原则，在资质、业绩、信誉等条件均满足询价文件要求的前提下，按价格最低原则确定成交供应商。</w:t>
      </w:r>
    </w:p>
    <w:p>
      <w:pPr>
        <w:pStyle w:val="60"/>
        <w:spacing w:line="312" w:lineRule="auto"/>
        <w:ind w:firstLine="453" w:firstLineChars="189"/>
        <w:rPr>
          <w:rFonts w:hAnsi="宋体" w:eastAsia="宋体" w:cs="仿宋"/>
          <w:sz w:val="24"/>
          <w:szCs w:val="24"/>
        </w:rPr>
      </w:pPr>
      <w:r>
        <w:rPr>
          <w:rFonts w:hint="eastAsia" w:hAnsi="宋体" w:eastAsia="宋体" w:cs="仿宋"/>
          <w:sz w:val="24"/>
          <w:szCs w:val="24"/>
        </w:rPr>
        <w:t>同价比质法，遵循最低价法评审原则，若报价相同，应选择质量、服务承诺及优惠条件较优的供应商。</w:t>
      </w:r>
    </w:p>
    <w:p>
      <w:pPr>
        <w:pStyle w:val="66"/>
        <w:spacing w:before="120" w:after="120" w:line="312" w:lineRule="auto"/>
        <w:ind w:left="0" w:firstLine="453" w:firstLineChars="189"/>
        <w:jc w:val="both"/>
        <w:rPr>
          <w:rFonts w:ascii="宋体" w:hAnsi="宋体" w:eastAsia="宋体" w:cs="仿宋"/>
          <w:sz w:val="24"/>
          <w:szCs w:val="24"/>
        </w:rPr>
      </w:pPr>
      <w:r>
        <w:rPr>
          <w:rFonts w:hint="eastAsia" w:ascii="宋体" w:hAnsi="宋体" w:eastAsia="宋体" w:cs="仿宋"/>
          <w:color w:val="000000"/>
          <w:sz w:val="24"/>
          <w:szCs w:val="24"/>
        </w:rPr>
        <w:t>综合评分法（性价比法），</w:t>
      </w:r>
      <w:r>
        <w:rPr>
          <w:rFonts w:hint="eastAsia" w:ascii="宋体" w:hAnsi="宋体" w:eastAsia="宋体" w:cs="仿宋"/>
          <w:sz w:val="24"/>
          <w:szCs w:val="24"/>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1.9分包(A、C)</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1.9主要材料和关键部件外购(B)</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(2)授权委托书(如有);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(3)联合体协议书(如有);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(4)响应保证金(如有);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(7)资格审查资料;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(8)响应方案;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hint="eastAsia" w:cs="宋体" w:asciiTheme="minorEastAsia" w:hAnsiTheme="minorEastAsia" w:eastAsiaTheme="minorEastAsia"/>
          <w:color w:val="000000"/>
          <w:sz w:val="24"/>
        </w:rPr>
      </w:pPr>
      <w:r>
        <w:rPr>
          <w:rFonts w:hint="eastAsia" w:ascii="宋体" w:hAnsi="宋体" w:cs="仿宋"/>
          <w:sz w:val="24"/>
        </w:rPr>
        <w:t>3.2.1供应商应按采购文件提供的格式(见第六章“响应文件格式”)在响应函和报价表中进行报价。</w:t>
      </w:r>
      <w:r>
        <w:rPr>
          <w:rFonts w:hint="eastAsia" w:cs="宋体" w:asciiTheme="minorEastAsia" w:hAnsiTheme="minorEastAsia" w:eastAsiaTheme="minorEastAsia"/>
          <w:color w:val="000000"/>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80" w:firstLineChars="200"/>
        <w:jc w:val="both"/>
        <w:rPr>
          <w:rFonts w:hint="eastAsia" w:ascii="宋体" w:hAnsi="宋体" w:eastAsia="宋体" w:cs="仿宋"/>
          <w:sz w:val="24"/>
        </w:rPr>
      </w:pPr>
      <w:r>
        <w:rPr>
          <w:rFonts w:hint="eastAsia" w:ascii="宋体" w:hAnsi="宋体" w:eastAsia="宋体" w:cs="仿宋"/>
          <w:sz w:val="24"/>
        </w:rPr>
        <w:t>采购人在本章第4.2.1项规定的递交响应文件的截止时间和地点公开开启响应文件，不邀请所有供应商的法定代表人(单位负责人)或其授权的代理人参加开启会议。</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r>
        <w:rPr>
          <w:rFonts w:hint="eastAsia" w:ascii="宋体" w:hAnsi="宋体" w:cs="仿宋"/>
          <w:sz w:val="24"/>
        </w:rPr>
        <w:br w:type="textWrapping"/>
      </w: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hint="eastAsia" w:ascii="宋体" w:hAnsi="宋体" w:eastAsia="宋体" w:cs="仿宋"/>
          <w:sz w:val="24"/>
        </w:rPr>
      </w:pPr>
      <w:r>
        <w:rPr>
          <w:rFonts w:hint="eastAsia" w:ascii="宋体" w:hAnsi="宋体" w:eastAsia="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6"/>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spacing w:line="600" w:lineRule="exact"/>
        <w:ind w:firstLine="8100" w:firstLineChars="27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2</w:t>
      </w:r>
      <w:r>
        <w:rPr>
          <w:rFonts w:hint="eastAsia" w:ascii="宋体" w:hAnsi="宋体" w:cs="仿宋"/>
          <w:sz w:val="30"/>
          <w:szCs w:val="30"/>
        </w:rPr>
        <w:t xml:space="preserve">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3</w:t>
      </w:r>
      <w:r>
        <w:rPr>
          <w:rFonts w:hint="eastAsia" w:ascii="宋体" w:hAnsi="宋体" w:cs="仿宋"/>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1"/>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outlineLvl w:val="0"/>
        <w:rPr>
          <w:rFonts w:ascii="黑体" w:hAnsi="黑体" w:eastAsia="黑体" w:cs="仿宋"/>
          <w:bCs/>
          <w:sz w:val="36"/>
          <w:szCs w:val="36"/>
        </w:rPr>
      </w:pPr>
      <w:bookmarkStart w:id="13" w:name="_Toc8616"/>
      <w:r>
        <w:rPr>
          <w:rFonts w:hint="eastAsia" w:ascii="黑体" w:hAnsi="黑体" w:eastAsia="黑体" w:cs="仿宋"/>
          <w:bCs/>
          <w:sz w:val="36"/>
          <w:szCs w:val="36"/>
        </w:rPr>
        <w:t>第三章 评审办法</w:t>
      </w:r>
      <w:bookmarkEnd w:id="13"/>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6"/>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76" w:type="dxa"/>
          </w:tcPr>
          <w:p>
            <w:pPr>
              <w:widowControl w:val="0"/>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ind w:firstLine="453" w:firstLineChars="189"/>
        <w:jc w:val="both"/>
        <w:rPr>
          <w:rFonts w:ascii="宋体" w:hAnsi="宋体" w:cs="仿宋"/>
          <w:sz w:val="24"/>
        </w:rPr>
      </w:pP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9"/>
        <w:rPr>
          <w:rFonts w:ascii="黑体" w:hAnsi="黑体" w:eastAsia="黑体" w:cs="宋体"/>
          <w:kern w:val="44"/>
          <w:sz w:val="32"/>
          <w:szCs w:val="32"/>
        </w:rPr>
      </w:pPr>
      <w:bookmarkStart w:id="14" w:name="_Toc77254130"/>
      <w:bookmarkStart w:id="15" w:name="_Toc76635709"/>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bookmarkEnd w:id="14"/>
    <w:bookmarkEnd w:id="15"/>
    <w:p>
      <w:pPr>
        <w:pStyle w:val="71"/>
        <w:spacing w:line="600" w:lineRule="exact"/>
        <w:ind w:left="420" w:firstLine="0" w:firstLineChars="0"/>
        <w:jc w:val="center"/>
        <w:rPr>
          <w:rFonts w:ascii="黑体" w:hAnsi="黑体" w:eastAsia="黑体" w:cs="仿宋"/>
          <w:b/>
          <w:color w:val="000000"/>
          <w:sz w:val="36"/>
          <w:szCs w:val="36"/>
        </w:rPr>
      </w:pPr>
    </w:p>
    <w:p>
      <w:pPr>
        <w:pStyle w:val="71"/>
        <w:spacing w:line="600" w:lineRule="exact"/>
        <w:ind w:left="420" w:firstLine="0" w:firstLineChars="0"/>
        <w:jc w:val="center"/>
        <w:rPr>
          <w:rFonts w:ascii="黑体" w:hAnsi="黑体" w:eastAsia="黑体" w:cs="仿宋"/>
          <w:b/>
          <w:color w:val="000000"/>
          <w:sz w:val="36"/>
          <w:szCs w:val="36"/>
        </w:rPr>
      </w:pPr>
    </w:p>
    <w:p>
      <w:pPr>
        <w:pStyle w:val="71"/>
        <w:spacing w:line="600" w:lineRule="exact"/>
        <w:ind w:left="420" w:firstLine="0" w:firstLineChars="0"/>
        <w:jc w:val="center"/>
        <w:outlineLvl w:val="0"/>
        <w:rPr>
          <w:rFonts w:ascii="黑体" w:hAnsi="黑体" w:eastAsia="黑体" w:cs="仿宋"/>
          <w:b/>
          <w:color w:val="000000"/>
          <w:sz w:val="36"/>
          <w:szCs w:val="36"/>
        </w:rPr>
      </w:pPr>
      <w:bookmarkStart w:id="16" w:name="_Toc1064"/>
      <w:r>
        <w:rPr>
          <w:rFonts w:hint="eastAsia" w:ascii="黑体" w:hAnsi="黑体" w:eastAsia="黑体" w:cs="仿宋"/>
          <w:b/>
          <w:color w:val="000000"/>
          <w:sz w:val="36"/>
          <w:szCs w:val="36"/>
        </w:rPr>
        <w:t>第四章  合同条款及格式</w:t>
      </w:r>
      <w:bookmarkEnd w:id="16"/>
    </w:p>
    <w:p>
      <w:pPr>
        <w:spacing w:line="312" w:lineRule="auto"/>
        <w:ind w:firstLine="544" w:firstLineChars="227"/>
        <w:jc w:val="both"/>
        <w:rPr>
          <w:rFonts w:cs="仿宋" w:asciiTheme="minorEastAsia" w:hAnsiTheme="minorEastAsia" w:eastAsiaTheme="minorEastAsia"/>
          <w:sz w:val="24"/>
        </w:rPr>
      </w:pPr>
    </w:p>
    <w:p>
      <w:pPr>
        <w:spacing w:line="312" w:lineRule="auto"/>
        <w:ind w:firstLine="544" w:firstLineChars="227"/>
        <w:jc w:val="both"/>
        <w:rPr>
          <w:rFonts w:cs="仿宋" w:asciiTheme="minorEastAsia" w:hAnsiTheme="minorEastAsia" w:eastAsiaTheme="minorEastAsia"/>
          <w:sz w:val="24"/>
        </w:rPr>
      </w:pPr>
    </w:p>
    <w:p>
      <w:pPr>
        <w:spacing w:line="312" w:lineRule="auto"/>
        <w:ind w:firstLine="544" w:firstLineChars="227"/>
        <w:jc w:val="both"/>
        <w:rPr>
          <w:rFonts w:cs="仿宋" w:asciiTheme="minorEastAsia" w:hAnsiTheme="minorEastAsia" w:eastAsiaTheme="minorEastAsia"/>
          <w:b/>
          <w:color w:val="000000"/>
          <w:sz w:val="24"/>
        </w:rPr>
      </w:pPr>
      <w:r>
        <w:rPr>
          <w:rFonts w:cs="仿宋" w:asciiTheme="minorEastAsia" w:hAnsiTheme="minorEastAsia" w:eastAsiaTheme="minorEastAsia"/>
          <w:sz w:val="24"/>
        </w:rPr>
        <w:t>采购人应当依据《</w:t>
      </w:r>
      <w:r>
        <w:rPr>
          <w:rFonts w:hint="eastAsia" w:cs="仿宋" w:asciiTheme="minorEastAsia" w:hAnsiTheme="minorEastAsia" w:eastAsiaTheme="minorEastAsia"/>
          <w:sz w:val="24"/>
        </w:rPr>
        <w:t>民法典</w:t>
      </w:r>
      <w:r>
        <w:rPr>
          <w:rFonts w:cs="仿宋" w:asciiTheme="minorEastAsia" w:hAnsiTheme="minorEastAsia" w:eastAsiaTheme="minorEastAsia"/>
          <w:sz w:val="24"/>
        </w:rPr>
        <w:t>》等有关法律法规和政策要求，结合采购项目合同类型和特点，规范拟定和签署项目采购合同。在拟定合同文本时，应优先选择</w:t>
      </w:r>
      <w:r>
        <w:rPr>
          <w:rFonts w:hint="eastAsia" w:cs="仿宋" w:asciiTheme="minorEastAsia" w:hAnsiTheme="minorEastAsia" w:eastAsiaTheme="minorEastAsia"/>
          <w:sz w:val="24"/>
        </w:rPr>
        <w:t>《湘水集团招标文件示范文本》</w:t>
      </w:r>
      <w:r>
        <w:rPr>
          <w:rFonts w:cs="仿宋" w:asciiTheme="minorEastAsia" w:hAnsiTheme="minorEastAsia" w:eastAsiaTheme="minorEastAsia"/>
          <w:sz w:val="24"/>
        </w:rPr>
        <w:t>中的合同文本。</w:t>
      </w:r>
    </w:p>
    <w:p>
      <w:pPr>
        <w:pStyle w:val="71"/>
        <w:spacing w:line="600" w:lineRule="exact"/>
        <w:ind w:left="420" w:firstLine="0" w:firstLineChars="0"/>
        <w:jc w:val="both"/>
        <w:rPr>
          <w:rFonts w:ascii="黑体" w:hAnsi="黑体" w:eastAsia="黑体" w:cs="仿宋"/>
          <w:b/>
          <w:color w:val="000000"/>
          <w:sz w:val="44"/>
          <w:szCs w:val="44"/>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outlineLvl w:val="0"/>
        <w:rPr>
          <w:rFonts w:ascii="黑体" w:hAnsi="黑体" w:eastAsia="黑体" w:cs="仿宋"/>
          <w:b/>
          <w:color w:val="000000"/>
          <w:sz w:val="36"/>
          <w:szCs w:val="36"/>
        </w:rPr>
      </w:pPr>
      <w:bookmarkStart w:id="17" w:name="_Toc22208"/>
      <w:r>
        <w:rPr>
          <w:rFonts w:hint="eastAsia" w:ascii="黑体" w:hAnsi="黑体" w:eastAsia="黑体" w:cs="仿宋"/>
          <w:b/>
          <w:color w:val="000000"/>
          <w:sz w:val="36"/>
          <w:szCs w:val="36"/>
        </w:rPr>
        <w:t>第五章  采购需求</w:t>
      </w:r>
      <w:bookmarkEnd w:id="17"/>
    </w:p>
    <w:p>
      <w:pPr>
        <w:adjustRightInd w:val="0"/>
        <w:snapToGrid w:val="0"/>
        <w:spacing w:line="312" w:lineRule="auto"/>
        <w:rPr>
          <w:rFonts w:ascii="宋体" w:hAnsi="宋体"/>
          <w:b/>
          <w:sz w:val="24"/>
        </w:rPr>
      </w:pPr>
      <w:r>
        <w:rPr>
          <w:rFonts w:hint="eastAsia" w:ascii="宋体" w:hAnsi="宋体"/>
          <w:b/>
          <w:sz w:val="24"/>
        </w:rPr>
        <w:t xml:space="preserve">服务类项目参考编制提纲： </w:t>
      </w:r>
    </w:p>
    <w:p>
      <w:pPr>
        <w:adjustRightInd w:val="0"/>
        <w:snapToGrid w:val="0"/>
        <w:spacing w:line="312" w:lineRule="auto"/>
        <w:ind w:firstLine="480" w:firstLineChars="200"/>
        <w:rPr>
          <w:rFonts w:ascii="宋体" w:hAnsi="宋体"/>
          <w:sz w:val="24"/>
        </w:rPr>
      </w:pPr>
      <w:r>
        <w:rPr>
          <w:rFonts w:hint="eastAsia" w:ascii="宋体" w:hAnsi="宋体"/>
          <w:sz w:val="24"/>
        </w:rPr>
        <w:t>（一</w:t>
      </w:r>
      <w:r>
        <w:rPr>
          <w:rFonts w:ascii="宋体" w:hAnsi="宋体"/>
          <w:sz w:val="24"/>
        </w:rPr>
        <w:t>）</w:t>
      </w:r>
      <w:r>
        <w:rPr>
          <w:rFonts w:hint="eastAsia" w:ascii="宋体" w:hAnsi="宋体"/>
          <w:sz w:val="24"/>
        </w:rPr>
        <w:t xml:space="preserve">采购项目名称 </w:t>
      </w:r>
    </w:p>
    <w:p>
      <w:pPr>
        <w:adjustRightInd w:val="0"/>
        <w:snapToGrid w:val="0"/>
        <w:spacing w:line="312" w:lineRule="auto"/>
        <w:ind w:firstLine="480" w:firstLineChars="200"/>
        <w:rPr>
          <w:rFonts w:ascii="宋体" w:hAnsi="宋体"/>
          <w:sz w:val="24"/>
        </w:rPr>
      </w:pPr>
      <w:r>
        <w:rPr>
          <w:rFonts w:hint="eastAsia" w:ascii="宋体" w:hAnsi="宋体"/>
          <w:sz w:val="24"/>
        </w:rPr>
        <w:t>（二</w:t>
      </w:r>
      <w:r>
        <w:rPr>
          <w:rFonts w:ascii="宋体" w:hAnsi="宋体"/>
          <w:sz w:val="24"/>
        </w:rPr>
        <w:t>）</w:t>
      </w:r>
      <w:r>
        <w:rPr>
          <w:rFonts w:hint="eastAsia" w:ascii="宋体" w:hAnsi="宋体"/>
          <w:sz w:val="24"/>
        </w:rPr>
        <w:t>项目概况及主要数据</w:t>
      </w:r>
    </w:p>
    <w:p>
      <w:pPr>
        <w:adjustRightInd w:val="0"/>
        <w:snapToGrid w:val="0"/>
        <w:spacing w:line="312" w:lineRule="auto"/>
        <w:ind w:firstLine="480" w:firstLineChars="200"/>
        <w:rPr>
          <w:rFonts w:ascii="宋体" w:hAnsi="宋体"/>
          <w:sz w:val="24"/>
        </w:rPr>
      </w:pPr>
      <w:r>
        <w:rPr>
          <w:rFonts w:hint="eastAsia" w:ascii="宋体" w:hAnsi="宋体"/>
          <w:sz w:val="24"/>
        </w:rPr>
        <w:t>（三</w:t>
      </w:r>
      <w:r>
        <w:rPr>
          <w:rFonts w:ascii="宋体" w:hAnsi="宋体"/>
          <w:sz w:val="24"/>
        </w:rPr>
        <w:t>）</w:t>
      </w:r>
      <w:r>
        <w:rPr>
          <w:rFonts w:hint="eastAsia" w:ascii="宋体" w:hAnsi="宋体"/>
          <w:sz w:val="24"/>
        </w:rPr>
        <w:t>服务承包范围</w:t>
      </w:r>
    </w:p>
    <w:p>
      <w:pPr>
        <w:adjustRightInd w:val="0"/>
        <w:snapToGrid w:val="0"/>
        <w:spacing w:line="312" w:lineRule="auto"/>
        <w:ind w:firstLine="480" w:firstLineChars="200"/>
        <w:rPr>
          <w:rFonts w:ascii="宋体" w:hAnsi="宋体"/>
          <w:sz w:val="24"/>
        </w:rPr>
      </w:pPr>
      <w:r>
        <w:rPr>
          <w:rFonts w:hint="eastAsia" w:ascii="宋体" w:hAnsi="宋体"/>
          <w:sz w:val="24"/>
        </w:rPr>
        <w:t>（四</w:t>
      </w:r>
      <w:r>
        <w:rPr>
          <w:rFonts w:ascii="宋体" w:hAnsi="宋体"/>
          <w:sz w:val="24"/>
        </w:rPr>
        <w:t>）</w:t>
      </w:r>
      <w:r>
        <w:rPr>
          <w:rFonts w:hint="eastAsia" w:ascii="宋体" w:hAnsi="宋体"/>
          <w:sz w:val="24"/>
        </w:rPr>
        <w:t>服务要求、质量和标准</w:t>
      </w:r>
    </w:p>
    <w:p>
      <w:pPr>
        <w:adjustRightInd w:val="0"/>
        <w:snapToGrid w:val="0"/>
        <w:spacing w:line="312" w:lineRule="auto"/>
        <w:ind w:firstLine="480" w:firstLineChars="200"/>
        <w:rPr>
          <w:rFonts w:ascii="宋体" w:hAnsi="宋体"/>
          <w:sz w:val="24"/>
        </w:rPr>
      </w:pPr>
      <w:r>
        <w:rPr>
          <w:rFonts w:hint="eastAsia" w:ascii="宋体" w:hAnsi="宋体"/>
          <w:sz w:val="24"/>
        </w:rPr>
        <w:t>（五</w:t>
      </w:r>
      <w:r>
        <w:rPr>
          <w:rFonts w:ascii="宋体" w:hAnsi="宋体"/>
          <w:sz w:val="24"/>
        </w:rPr>
        <w:t>）</w:t>
      </w:r>
      <w:r>
        <w:rPr>
          <w:rFonts w:hint="eastAsia" w:ascii="宋体" w:hAnsi="宋体"/>
          <w:sz w:val="24"/>
        </w:rPr>
        <w:t>工期及验收</w:t>
      </w:r>
    </w:p>
    <w:p>
      <w:pPr>
        <w:adjustRightInd w:val="0"/>
        <w:snapToGrid w:val="0"/>
        <w:spacing w:line="312" w:lineRule="auto"/>
        <w:ind w:firstLine="480" w:firstLineChars="200"/>
        <w:rPr>
          <w:rFonts w:ascii="宋体" w:hAnsi="宋体"/>
          <w:sz w:val="24"/>
        </w:rPr>
      </w:pPr>
      <w:r>
        <w:rPr>
          <w:rFonts w:hint="eastAsia" w:ascii="宋体" w:hAnsi="宋体"/>
          <w:sz w:val="24"/>
        </w:rPr>
        <w:t>（六</w:t>
      </w:r>
      <w:r>
        <w:rPr>
          <w:rFonts w:ascii="宋体" w:hAnsi="宋体"/>
          <w:sz w:val="24"/>
        </w:rPr>
        <w:t>）适用法规政策目录</w:t>
      </w:r>
    </w:p>
    <w:p>
      <w:pPr>
        <w:adjustRightInd w:val="0"/>
        <w:snapToGrid w:val="0"/>
        <w:spacing w:line="312" w:lineRule="auto"/>
        <w:ind w:firstLine="480" w:firstLineChars="200"/>
        <w:rPr>
          <w:rFonts w:ascii="宋体" w:hAnsi="宋体"/>
          <w:sz w:val="24"/>
        </w:rPr>
      </w:pPr>
      <w:r>
        <w:rPr>
          <w:rFonts w:hint="eastAsia" w:ascii="宋体" w:hAnsi="宋体"/>
          <w:sz w:val="24"/>
        </w:rPr>
        <w:t>（七</w:t>
      </w:r>
      <w:r>
        <w:rPr>
          <w:rFonts w:ascii="宋体" w:hAnsi="宋体"/>
          <w:sz w:val="24"/>
        </w:rPr>
        <w:t>）</w:t>
      </w:r>
      <w:r>
        <w:rPr>
          <w:rFonts w:hint="eastAsia" w:ascii="宋体" w:hAnsi="宋体"/>
          <w:sz w:val="24"/>
        </w:rPr>
        <w:t>其它需要说明的事项</w:t>
      </w:r>
    </w:p>
    <w:p>
      <w:pPr>
        <w:spacing w:line="312" w:lineRule="auto"/>
        <w:jc w:val="center"/>
        <w:outlineLvl w:val="0"/>
        <w:rPr>
          <w:rFonts w:ascii="黑体" w:hAnsi="黑体" w:eastAsia="黑体" w:cs="仿宋"/>
          <w:b/>
          <w:color w:val="000000"/>
          <w:sz w:val="36"/>
          <w:szCs w:val="36"/>
        </w:rPr>
      </w:pPr>
      <w:r>
        <w:rPr>
          <w:rFonts w:ascii="仿宋" w:hAnsi="仿宋" w:eastAsia="仿宋" w:cs="仿宋"/>
          <w:sz w:val="30"/>
          <w:szCs w:val="30"/>
        </w:rPr>
        <w:br w:type="page"/>
      </w:r>
      <w:bookmarkStart w:id="18" w:name="_Toc7323"/>
      <w:r>
        <w:rPr>
          <w:rFonts w:hint="eastAsia" w:ascii="黑体" w:hAnsi="黑体" w:eastAsia="黑体" w:cs="仿宋"/>
          <w:b/>
          <w:color w:val="000000"/>
          <w:sz w:val="36"/>
          <w:szCs w:val="36"/>
        </w:rPr>
        <w:t>第六章  响应文件格式</w:t>
      </w:r>
      <w:bookmarkEnd w:id="18"/>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outlineLvl w:val="0"/>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bookmarkStart w:id="19" w:name="_Toc20055"/>
      <w:r>
        <w:rPr>
          <w:rFonts w:hint="eastAsia" w:eastAsia="方正小标宋_GBK"/>
          <w:b/>
          <w:bCs/>
          <w:sz w:val="40"/>
          <w:szCs w:val="36"/>
        </w:rPr>
        <w:t>项目</w:t>
      </w:r>
      <w:bookmarkEnd w:id="19"/>
    </w:p>
    <w:p>
      <w:pPr>
        <w:widowControl w:val="0"/>
        <w:spacing w:before="240" w:beforeLines="100" w:after="240" w:afterLines="100" w:line="240" w:lineRule="auto"/>
        <w:jc w:val="center"/>
        <w:outlineLvl w:val="0"/>
        <w:rPr>
          <w:rFonts w:eastAsia="楷体_GB2312"/>
          <w:b/>
          <w:bCs/>
          <w:sz w:val="28"/>
          <w:szCs w:val="28"/>
        </w:rPr>
      </w:pPr>
      <w:bookmarkStart w:id="20" w:name="_Toc15023"/>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bookmarkEnd w:id="20"/>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outlineLvl w:val="0"/>
        <w:rPr>
          <w:rFonts w:eastAsia="方正小标宋_GBK"/>
          <w:b/>
          <w:bCs/>
          <w:spacing w:val="160"/>
          <w:sz w:val="72"/>
          <w:szCs w:val="72"/>
        </w:rPr>
      </w:pPr>
      <w:bookmarkStart w:id="21" w:name="_Toc3762"/>
      <w:r>
        <w:rPr>
          <w:rFonts w:hint="eastAsia" w:eastAsia="方正小标宋_GBK"/>
          <w:b/>
          <w:bCs/>
          <w:spacing w:val="160"/>
          <w:sz w:val="72"/>
          <w:szCs w:val="72"/>
        </w:rPr>
        <w:t>响应</w:t>
      </w:r>
      <w:r>
        <w:rPr>
          <w:rFonts w:eastAsia="方正小标宋_GBK"/>
          <w:b/>
          <w:bCs/>
          <w:spacing w:val="160"/>
          <w:sz w:val="72"/>
          <w:szCs w:val="72"/>
        </w:rPr>
        <w:t>文件</w:t>
      </w:r>
      <w:bookmarkEnd w:id="21"/>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outlineLvl w:val="0"/>
        <w:rPr>
          <w:rFonts w:eastAsia="黑体"/>
          <w:bCs/>
          <w:sz w:val="30"/>
          <w:szCs w:val="30"/>
        </w:rPr>
      </w:pPr>
      <w:bookmarkStart w:id="22" w:name="_Toc11889"/>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全称并盖单位公章</w:t>
      </w:r>
      <w:bookmarkEnd w:id="22"/>
      <w:r>
        <w:rPr>
          <w:rFonts w:eastAsia="黑体"/>
          <w:bCs/>
          <w:sz w:val="30"/>
          <w:szCs w:val="30"/>
          <w:u w:val="single"/>
        </w:rPr>
        <w:t xml:space="preserve"> </w:t>
      </w:r>
    </w:p>
    <w:p>
      <w:pPr>
        <w:spacing w:line="900" w:lineRule="exact"/>
        <w:jc w:val="center"/>
        <w:outlineLvl w:val="0"/>
        <w:rPr>
          <w:rFonts w:eastAsia="黑体"/>
          <w:sz w:val="30"/>
          <w:szCs w:val="30"/>
        </w:rPr>
      </w:pPr>
      <w:bookmarkStart w:id="23" w:name="_Toc1802"/>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bookmarkEnd w:id="23"/>
    </w:p>
    <w:p>
      <w:pPr>
        <w:adjustRightInd w:val="0"/>
        <w:snapToGrid w:val="0"/>
        <w:spacing w:line="600" w:lineRule="exact"/>
        <w:jc w:val="center"/>
        <w:outlineLvl w:val="0"/>
        <w:rPr>
          <w:rFonts w:ascii="黑体" w:hAnsi="黑体" w:eastAsia="黑体" w:cs="仿宋"/>
          <w:sz w:val="36"/>
          <w:szCs w:val="36"/>
        </w:rPr>
      </w:pPr>
      <w:bookmarkStart w:id="24" w:name="_Toc29746"/>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24"/>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ascii="宋体" w:hAnsi="宋体" w:cs="仿宋"/>
          <w:sz w:val="24"/>
        </w:rPr>
      </w:pPr>
      <w:r>
        <w:rPr>
          <w:rFonts w:hint="eastAsia" w:ascii="宋体" w:hAnsi="宋体" w:cs="仿宋"/>
          <w:sz w:val="24"/>
        </w:rPr>
        <w:t>一、响应函</w:t>
      </w:r>
      <w:r>
        <w:rPr>
          <w:rFonts w:hint="eastAsia" w:ascii="宋体" w:hAnsi="宋体" w:cs="仿宋"/>
          <w:sz w:val="24"/>
        </w:rPr>
        <w:br w:type="textWrapping"/>
      </w:r>
      <w:r>
        <w:rPr>
          <w:rFonts w:hint="eastAsia" w:ascii="宋体" w:hAnsi="宋体" w:cs="仿宋"/>
          <w:sz w:val="24"/>
        </w:rPr>
        <w:t>二、授权委托书(适用于有委托代理人的情况)</w:t>
      </w:r>
      <w:r>
        <w:rPr>
          <w:rFonts w:hint="eastAsia" w:ascii="宋体" w:hAnsi="宋体" w:cs="仿宋"/>
          <w:sz w:val="24"/>
        </w:rPr>
        <w:br w:type="textWrapping"/>
      </w:r>
      <w:r>
        <w:rPr>
          <w:rFonts w:hint="eastAsia" w:ascii="宋体" w:hAnsi="宋体" w:cs="仿宋"/>
          <w:sz w:val="24"/>
        </w:rPr>
        <w:t>三、联合体协议书(适用于供应商组成联合体的情况)</w:t>
      </w:r>
    </w:p>
    <w:p>
      <w:pPr>
        <w:adjustRightInd w:val="0"/>
        <w:snapToGrid w:val="0"/>
        <w:spacing w:line="600" w:lineRule="exact"/>
        <w:jc w:val="both"/>
        <w:outlineLvl w:val="0"/>
        <w:rPr>
          <w:rFonts w:hint="eastAsia" w:ascii="宋体" w:hAnsi="宋体" w:cs="仿宋"/>
          <w:sz w:val="24"/>
        </w:rPr>
      </w:pPr>
      <w:bookmarkStart w:id="25" w:name="_Toc11413"/>
      <w:r>
        <w:rPr>
          <w:rFonts w:hint="eastAsia" w:ascii="宋体" w:hAnsi="宋体" w:cs="仿宋"/>
          <w:sz w:val="24"/>
        </w:rPr>
        <w:t>四、响应保证金(适用于递交响应保证金的情况)</w:t>
      </w:r>
      <w:r>
        <w:rPr>
          <w:rFonts w:hint="eastAsia" w:ascii="宋体" w:hAnsi="宋体" w:cs="仿宋"/>
          <w:sz w:val="24"/>
        </w:rPr>
        <w:br w:type="textWrapping"/>
      </w:r>
      <w:r>
        <w:rPr>
          <w:rFonts w:hint="eastAsia" w:ascii="宋体" w:hAnsi="宋体" w:cs="仿宋"/>
          <w:sz w:val="24"/>
        </w:rPr>
        <w:t>五、商务和技术偏差表</w:t>
      </w:r>
      <w:r>
        <w:rPr>
          <w:rFonts w:hint="eastAsia" w:ascii="宋体" w:hAnsi="宋体" w:cs="仿宋"/>
          <w:sz w:val="24"/>
        </w:rPr>
        <w:br w:type="textWrapping"/>
      </w:r>
      <w:r>
        <w:rPr>
          <w:rFonts w:hint="eastAsia" w:ascii="宋体" w:hAnsi="宋体" w:cs="仿宋"/>
          <w:sz w:val="24"/>
        </w:rPr>
        <w:t>六、报价表</w:t>
      </w:r>
      <w:bookmarkEnd w:id="25"/>
    </w:p>
    <w:p>
      <w:pPr>
        <w:adjustRightInd w:val="0"/>
        <w:snapToGrid w:val="0"/>
        <w:spacing w:line="600" w:lineRule="exact"/>
        <w:jc w:val="both"/>
        <w:outlineLvl w:val="0"/>
        <w:rPr>
          <w:rFonts w:hint="eastAsia" w:ascii="宋体" w:hAnsi="宋体" w:cs="仿宋"/>
          <w:sz w:val="24"/>
        </w:rPr>
      </w:pPr>
      <w:bookmarkStart w:id="26" w:name="_Toc5578"/>
      <w:r>
        <w:rPr>
          <w:rFonts w:hint="eastAsia" w:ascii="宋体" w:hAnsi="宋体" w:cs="仿宋"/>
          <w:sz w:val="24"/>
        </w:rPr>
        <w:t>七、资格审查资料</w:t>
      </w:r>
      <w:bookmarkEnd w:id="26"/>
    </w:p>
    <w:p>
      <w:pPr>
        <w:adjustRightInd w:val="0"/>
        <w:snapToGrid w:val="0"/>
        <w:spacing w:line="600" w:lineRule="exact"/>
        <w:jc w:val="both"/>
        <w:outlineLvl w:val="0"/>
        <w:rPr>
          <w:rFonts w:ascii="宋体" w:hAnsi="宋体" w:cs="仿宋"/>
          <w:sz w:val="24"/>
        </w:rPr>
      </w:pPr>
      <w:bookmarkStart w:id="27" w:name="_Toc11587"/>
      <w:r>
        <w:rPr>
          <w:rFonts w:hint="eastAsia" w:ascii="宋体" w:hAnsi="宋体" w:cs="仿宋"/>
          <w:sz w:val="24"/>
        </w:rPr>
        <w:t>八、响应方案</w:t>
      </w:r>
      <w:r>
        <w:rPr>
          <w:rFonts w:hint="eastAsia" w:ascii="宋体" w:hAnsi="宋体" w:cs="仿宋"/>
          <w:sz w:val="24"/>
        </w:rPr>
        <w:br w:type="textWrapping"/>
      </w:r>
      <w:r>
        <w:rPr>
          <w:rFonts w:hint="eastAsia" w:ascii="宋体" w:hAnsi="宋体" w:cs="仿宋"/>
          <w:sz w:val="24"/>
        </w:rPr>
        <w:t>九、其他资料</w:t>
      </w:r>
      <w:bookmarkEnd w:id="27"/>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2"/>
        </w:numPr>
        <w:adjustRightInd w:val="0"/>
        <w:snapToGrid w:val="0"/>
        <w:spacing w:line="600" w:lineRule="exact"/>
        <w:jc w:val="center"/>
        <w:outlineLvl w:val="0"/>
        <w:rPr>
          <w:rFonts w:ascii="黑体" w:hAnsi="黑体" w:eastAsia="黑体" w:cs="仿宋"/>
          <w:sz w:val="36"/>
          <w:szCs w:val="36"/>
        </w:rPr>
      </w:pPr>
      <w:bookmarkStart w:id="28" w:name="_Toc3834"/>
      <w:r>
        <w:rPr>
          <w:rFonts w:hint="eastAsia" w:ascii="黑体" w:hAnsi="黑体" w:eastAsia="黑体" w:cs="仿宋"/>
          <w:sz w:val="36"/>
          <w:szCs w:val="36"/>
        </w:rPr>
        <w:t>响应函</w:t>
      </w:r>
      <w:bookmarkEnd w:id="28"/>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(3)联合体协议书(如有);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(4)响应保证金(如有);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(8)响应方案;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3"/>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3"/>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0"/>
        <w:rPr>
          <w:rFonts w:ascii="黑体" w:hAnsi="黑体" w:eastAsia="黑体" w:cs="仿宋"/>
          <w:sz w:val="36"/>
          <w:szCs w:val="36"/>
        </w:rPr>
      </w:pPr>
      <w:r>
        <w:rPr>
          <w:rFonts w:hint="eastAsia" w:cs="仿宋" w:asciiTheme="minorEastAsia" w:hAnsiTheme="minorEastAsia" w:eastAsiaTheme="minorEastAsia"/>
          <w:sz w:val="24"/>
        </w:rPr>
        <w:br w:type="page"/>
      </w:r>
      <w:bookmarkStart w:id="29" w:name="_Toc19740"/>
      <w:r>
        <w:rPr>
          <w:rFonts w:hint="eastAsia" w:ascii="黑体" w:hAnsi="黑体" w:eastAsia="黑体" w:cs="仿宋"/>
          <w:sz w:val="36"/>
          <w:szCs w:val="36"/>
        </w:rPr>
        <w:t>二、授权委托书</w:t>
      </w:r>
      <w:bookmarkEnd w:id="29"/>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30" w:name="_Toc5586"/>
      <w:r>
        <w:rPr>
          <w:rFonts w:hint="eastAsia" w:ascii="黑体" w:hAnsi="黑体" w:eastAsia="黑体" w:cs="仿宋"/>
          <w:sz w:val="36"/>
          <w:szCs w:val="36"/>
        </w:rPr>
        <w:t>三、响应保证金</w:t>
      </w:r>
      <w:bookmarkEnd w:id="30"/>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(适用于递交响应保证金的情况)</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采用转账方式的，供应商应在此提供转账凭证复印件。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采用支票、汇票等方式的，供应商应在此提供支票、汇票等的复印件，原件应单独递交。</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采用银行或担保机构担保函方式的，格式如下:</w:t>
      </w:r>
      <w:r>
        <w:rPr>
          <w:rFonts w:hint="eastAsia" w:cs="仿宋" w:asciiTheme="minorEastAsia" w:hAnsiTheme="minorEastAsia" w:eastAsiaTheme="minorEastAsia"/>
          <w:sz w:val="24"/>
        </w:rPr>
        <w:br w:type="textWrapping"/>
      </w:r>
      <w:r>
        <w:rPr>
          <w:rFonts w:hint="eastAsia" w:cs="仿宋" w:asciiTheme="minorEastAsia" w:hAnsiTheme="minorEastAsia" w:eastAsiaTheme="minorEastAsia"/>
          <w:sz w:val="24"/>
        </w:rPr>
        <w:t>(采购人名称):</w:t>
      </w:r>
      <w:r>
        <w:rPr>
          <w:rFonts w:hint="eastAsia" w:cs="仿宋" w:asciiTheme="minorEastAsia" w:hAnsiTheme="minorEastAsia" w:eastAsiaTheme="minorEastAsia"/>
          <w:sz w:val="24"/>
        </w:rPr>
        <w:br w:type="textWrapping"/>
      </w:r>
      <w:r>
        <w:rPr>
          <w:rFonts w:hint="eastAsia" w:cs="仿宋" w:asciiTheme="minorEastAsia" w:hAnsiTheme="minorEastAsia" w:eastAsiaTheme="minorEastAsia"/>
          <w:sz w:val="24"/>
        </w:rPr>
        <w:br w:type="textWrapping"/>
      </w:r>
      <w:r>
        <w:rPr>
          <w:rFonts w:hint="eastAsia" w:cs="仿宋" w:asciiTheme="minorEastAsia" w:hAnsiTheme="minorEastAsia" w:eastAsiaTheme="minorEastAsia"/>
          <w:sz w:val="24"/>
        </w:rPr>
        <w:t>鉴于(供应商名称)(以下称“供应商")于年月日参加(项目名称)采购活动，</w:t>
      </w:r>
      <w:r>
        <w:rPr>
          <w:rFonts w:hint="eastAsia" w:cs="仿宋" w:asciiTheme="minorEastAsia" w:hAnsiTheme="minorEastAsia" w:eastAsiaTheme="minorEastAsia"/>
          <w:sz w:val="24"/>
        </w:rPr>
        <w:br w:type="textWrapping"/>
      </w:r>
      <w:r>
        <w:rPr>
          <w:rFonts w:hint="eastAsia" w:cs="仿宋" w:asciiTheme="minorEastAsia" w:hAnsiTheme="minorEastAsia" w:eastAsiaTheme="minorEastAsia"/>
          <w:sz w:val="24"/>
        </w:rPr>
        <w:t>(担保人名称)(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本保函在响应文件有效期内保持有效。要求我方承担保证责任的通知应在响应文件有效期内送达我方。</w:t>
      </w:r>
    </w:p>
    <w:p>
      <w:pPr>
        <w:spacing w:line="600" w:lineRule="exact"/>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担保人名称:(盖单位章)</w:t>
      </w:r>
    </w:p>
    <w:p>
      <w:pPr>
        <w:spacing w:line="600" w:lineRule="exact"/>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地址:</w:t>
      </w:r>
      <w:r>
        <w:rPr>
          <w:rFonts w:hint="eastAsia" w:cs="仿宋" w:asciiTheme="minorEastAsia" w:hAnsiTheme="minorEastAsia" w:eastAsiaTheme="minorEastAsia"/>
          <w:sz w:val="24"/>
          <w:u w:val="single"/>
        </w:rPr>
        <w:t xml:space="preserve">                       </w:t>
      </w:r>
    </w:p>
    <w:p>
      <w:pPr>
        <w:spacing w:line="600" w:lineRule="exact"/>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邮政编码:</w:t>
      </w:r>
      <w:r>
        <w:rPr>
          <w:rFonts w:hint="eastAsia" w:cs="仿宋" w:asciiTheme="minorEastAsia" w:hAnsiTheme="minorEastAsia" w:eastAsiaTheme="minorEastAsia"/>
          <w:sz w:val="24"/>
          <w:u w:val="single"/>
        </w:rPr>
        <w:t xml:space="preserve">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w:t>
      </w:r>
      <w:r>
        <w:rPr>
          <w:rFonts w:hint="eastAsia" w:cs="仿宋" w:asciiTheme="minorEastAsia" w:hAnsiTheme="minorEastAsia" w:eastAsiaTheme="minorEastAsia"/>
          <w:sz w:val="24"/>
          <w:u w:val="single"/>
        </w:rPr>
        <w:t xml:space="preserve">                       </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31" w:name="_Toc27530"/>
      <w:r>
        <w:rPr>
          <w:rFonts w:hint="eastAsia" w:ascii="黑体" w:hAnsi="黑体" w:eastAsia="黑体" w:cs="仿宋"/>
          <w:sz w:val="36"/>
          <w:szCs w:val="36"/>
        </w:rPr>
        <w:t>四、商务和技术偏差表</w:t>
      </w:r>
      <w:bookmarkEnd w:id="31"/>
    </w:p>
    <w:p>
      <w:pPr>
        <w:spacing w:line="600" w:lineRule="exact"/>
        <w:jc w:val="center"/>
        <w:rPr>
          <w:rFonts w:cs="仿宋" w:asciiTheme="minorEastAsia" w:hAnsiTheme="minorEastAsia" w:eastAsiaTheme="minorEastAsia"/>
          <w:sz w:val="24"/>
        </w:rPr>
      </w:pP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jc w:val="both"/>
        <w:rPr>
          <w:rFonts w:cs="仿宋" w:asciiTheme="minorEastAsia" w:hAnsiTheme="minorEastAsia" w:eastAsiaTheme="minorEastAsia"/>
          <w:sz w:val="24"/>
        </w:rPr>
      </w:pPr>
    </w:p>
    <w:p>
      <w:pPr>
        <w:spacing w:line="600" w:lineRule="exact"/>
        <w:ind w:left="420"/>
        <w:jc w:val="center"/>
        <w:outlineLvl w:val="0"/>
        <w:rPr>
          <w:rFonts w:ascii="黑体" w:hAnsi="黑体" w:eastAsia="黑体" w:cs="仿宋"/>
          <w:sz w:val="36"/>
          <w:szCs w:val="36"/>
        </w:rPr>
      </w:pPr>
      <w:bookmarkStart w:id="32" w:name="_Toc28483"/>
      <w:r>
        <w:rPr>
          <w:rFonts w:hint="eastAsia" w:ascii="黑体" w:hAnsi="黑体" w:eastAsia="黑体" w:cs="仿宋"/>
          <w:sz w:val="36"/>
          <w:szCs w:val="36"/>
        </w:rPr>
        <w:t>五、报价表（C）</w:t>
      </w:r>
      <w:bookmarkEnd w:id="32"/>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95"/>
        <w:gridCol w:w="627"/>
        <w:gridCol w:w="961"/>
        <w:gridCol w:w="627"/>
        <w:gridCol w:w="850"/>
        <w:gridCol w:w="1706"/>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95"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服务费用分项名称</w:t>
            </w:r>
          </w:p>
        </w:tc>
        <w:tc>
          <w:tcPr>
            <w:tcW w:w="627"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数量 </w:t>
            </w:r>
          </w:p>
        </w:tc>
        <w:tc>
          <w:tcPr>
            <w:tcW w:w="2438" w:type="dxa"/>
            <w:gridSpan w:val="3"/>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单价</w:t>
            </w:r>
          </w:p>
        </w:tc>
        <w:tc>
          <w:tcPr>
            <w:tcW w:w="1706" w:type="dxa"/>
            <w:vMerge w:val="restart"/>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计算依据、过程和公式</w:t>
            </w:r>
          </w:p>
        </w:tc>
        <w:tc>
          <w:tcPr>
            <w:tcW w:w="2438" w:type="dxa"/>
            <w:gridSpan w:val="3"/>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总价</w:t>
            </w:r>
          </w:p>
        </w:tc>
        <w:tc>
          <w:tcPr>
            <w:tcW w:w="627"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Pr>
          <w:p>
            <w:pPr>
              <w:widowControl/>
              <w:spacing w:line="312" w:lineRule="auto"/>
              <w:jc w:val="both"/>
              <w:rPr>
                <w:rFonts w:cs="仿宋" w:asciiTheme="minorEastAsia" w:hAnsiTheme="minorEastAsia" w:eastAsiaTheme="minorEastAsia"/>
                <w:sz w:val="24"/>
              </w:rPr>
            </w:pPr>
          </w:p>
        </w:tc>
        <w:tc>
          <w:tcPr>
            <w:tcW w:w="1295" w:type="dxa"/>
            <w:vMerge w:val="continue"/>
          </w:tcPr>
          <w:p>
            <w:pPr>
              <w:widowControl/>
              <w:spacing w:line="312" w:lineRule="auto"/>
              <w:jc w:val="both"/>
              <w:rPr>
                <w:rFonts w:cs="仿宋" w:asciiTheme="minorEastAsia" w:hAnsiTheme="minorEastAsia" w:eastAsiaTheme="minorEastAsia"/>
                <w:sz w:val="24"/>
              </w:rPr>
            </w:pPr>
          </w:p>
        </w:tc>
        <w:tc>
          <w:tcPr>
            <w:tcW w:w="627" w:type="dxa"/>
            <w:vMerge w:val="continue"/>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1706" w:type="dxa"/>
            <w:vMerge w:val="continue"/>
          </w:tcPr>
          <w:p>
            <w:pPr>
              <w:widowControl/>
              <w:spacing w:line="312" w:lineRule="auto"/>
              <w:jc w:val="center"/>
              <w:rPr>
                <w:rFonts w:cs="仿宋" w:asciiTheme="minorEastAsia" w:hAnsiTheme="minorEastAsia" w:eastAsiaTheme="minorEastAsia"/>
                <w:sz w:val="24"/>
              </w:rPr>
            </w:pPr>
          </w:p>
        </w:tc>
        <w:tc>
          <w:tcPr>
            <w:tcW w:w="961"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627" w:type="dxa"/>
            <w:vMerge w:val="continue"/>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295"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850" w:type="dxa"/>
          </w:tcPr>
          <w:p>
            <w:pPr>
              <w:widowControl/>
              <w:spacing w:line="312" w:lineRule="auto"/>
              <w:jc w:val="both"/>
              <w:rPr>
                <w:rFonts w:cs="仿宋" w:asciiTheme="minorEastAsia" w:hAnsiTheme="minorEastAsia" w:eastAsiaTheme="minorEastAsia"/>
                <w:sz w:val="24"/>
              </w:rPr>
            </w:pPr>
          </w:p>
        </w:tc>
        <w:tc>
          <w:tcPr>
            <w:tcW w:w="1706" w:type="dxa"/>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850"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1706"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1706"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1706"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1706"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3" w:type="dxa"/>
            <w:gridSpan w:val="6"/>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合计报价</w:t>
            </w:r>
          </w:p>
        </w:tc>
        <w:tc>
          <w:tcPr>
            <w:tcW w:w="1706"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注：若分项费用的计算依据、过程和公式不便在表中表述，可单独另附表格或描述进行说明。</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33" w:name="_Toc22566"/>
      <w:r>
        <w:rPr>
          <w:rFonts w:hint="eastAsia" w:ascii="黑体" w:hAnsi="黑体" w:eastAsia="黑体" w:cs="仿宋"/>
          <w:sz w:val="36"/>
          <w:szCs w:val="36"/>
        </w:rPr>
        <w:t>六、资格审查资料（C）</w:t>
      </w:r>
      <w:bookmarkEnd w:id="33"/>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（四）拟委任的主要人员汇总表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jc w:val="both"/>
        <w:rPr>
          <w:rFonts w:asciiTheme="minorEastAsia" w:hAnsiTheme="minorEastAsia" w:eastAsiaTheme="minorEastAsia"/>
          <w:sz w:val="24"/>
        </w:rPr>
      </w:pPr>
      <w:r>
        <w:rPr>
          <w:rFonts w:asciiTheme="minorEastAsia" w:hAnsiTheme="minorEastAsia" w:eastAsiaTheme="minorEastAsia"/>
          <w:sz w:val="24"/>
        </w:rPr>
        <w:br w:type="page"/>
      </w:r>
    </w:p>
    <w:p>
      <w:pPr>
        <w:pStyle w:val="4"/>
        <w:spacing w:before="0" w:after="0" w:line="380" w:lineRule="atLeast"/>
        <w:jc w:val="both"/>
        <w:rPr>
          <w:rFonts w:asciiTheme="minorEastAsia" w:hAnsiTheme="minorEastAsia" w:eastAsiaTheme="minorEastAsia"/>
          <w:b w:val="0"/>
          <w:sz w:val="24"/>
          <w:szCs w:val="24"/>
        </w:rPr>
      </w:pPr>
      <w:bookmarkStart w:id="34" w:name="_Toc31046"/>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bookmarkEnd w:id="34"/>
    </w:p>
    <w:p>
      <w:pPr>
        <w:autoSpaceDE w:val="0"/>
        <w:autoSpaceDN w:val="0"/>
        <w:spacing w:line="400" w:lineRule="atLeast"/>
        <w:jc w:val="both"/>
        <w:textAlignment w:val="bottom"/>
        <w:rPr>
          <w:rFonts w:asciiTheme="minorEastAsia" w:hAnsiTheme="minorEastAsia" w:eastAsiaTheme="minorEastAsia"/>
          <w:sz w:val="24"/>
        </w:rPr>
      </w:pPr>
    </w:p>
    <w:tbl>
      <w:tblPr>
        <w:tblStyle w:val="35"/>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288" w:lineRule="auto"/>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78"/>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78"/>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ascii="黑体" w:hAnsi="黑体" w:eastAsia="黑体" w:cs="仿宋"/>
          <w:sz w:val="36"/>
          <w:szCs w:val="36"/>
        </w:rPr>
      </w:pPr>
      <w:bookmarkStart w:id="35" w:name="_Toc6846"/>
      <w:r>
        <w:rPr>
          <w:rFonts w:hint="eastAsia" w:ascii="黑体" w:hAnsi="黑体" w:eastAsia="黑体" w:cs="仿宋"/>
          <w:sz w:val="36"/>
          <w:szCs w:val="36"/>
        </w:rPr>
        <w:t>七、响应方案(C)</w:t>
      </w:r>
      <w:r>
        <w:rPr>
          <w:rFonts w:hint="eastAsia" w:ascii="黑体" w:hAnsi="黑体" w:eastAsia="黑体" w:cs="仿宋"/>
          <w:sz w:val="36"/>
          <w:szCs w:val="36"/>
        </w:rPr>
        <w:br w:type="textWrapping"/>
      </w:r>
      <w:bookmarkEnd w:id="35"/>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(2)服务范围及内容;</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(3)服务工作的依据、工作目标;</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(4)服务机构设置(框图)、岗位职责;</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(5)拟投入本项目的服务人员及主要人员简历;</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(6)拟分包计划及情况说明;</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(7)服务质量、进度、保密等保证措施;</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(8)服务工作重点、难点分析;</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(9)对本项目的合理化建议。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ascii="黑体" w:hAnsi="黑体" w:eastAsia="黑体" w:cs="仿宋"/>
          <w:sz w:val="36"/>
          <w:szCs w:val="36"/>
        </w:rPr>
      </w:pPr>
      <w:bookmarkStart w:id="36" w:name="_Toc8000"/>
      <w:r>
        <w:rPr>
          <w:rFonts w:hint="eastAsia" w:ascii="黑体" w:hAnsi="黑体" w:eastAsia="黑体" w:cs="仿宋"/>
          <w:sz w:val="36"/>
          <w:szCs w:val="36"/>
        </w:rPr>
        <w:t>八、其他资料</w:t>
      </w:r>
      <w:bookmarkEnd w:id="36"/>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6" w:type="default"/>
      <w:pgSz w:w="11906" w:h="16838"/>
      <w:pgMar w:top="1440" w:right="1080" w:bottom="1440" w:left="1080" w:header="851" w:footer="1344"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before="120" w:after="120"/>
      <w:jc w:val="center"/>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1"/>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pPr>
        <w:pStyle w:val="26"/>
        <w:spacing w:line="280" w:lineRule="atLeast"/>
        <w:ind w:left="180" w:hanging="180" w:hangingChars="100"/>
      </w:pPr>
      <w:r>
        <w:rPr>
          <w:rStyle w:val="43"/>
        </w:rPr>
        <w:footnoteRef/>
      </w:r>
      <w:r>
        <w:t xml:space="preserve"> </w:t>
      </w:r>
      <w:r>
        <w:rPr>
          <w:rFonts w:hint="eastAsia"/>
        </w:rPr>
        <w:t>a.“供应商须知前附表”用于进一步明确正文中的未尽事宜，由采购人根据采购项目具体特点和实际需要编制和填写，且</w:t>
      </w:r>
      <w:r>
        <w:t>应</w:t>
      </w:r>
      <w:r>
        <w:rPr>
          <w:rFonts w:hint="eastAsia"/>
        </w:rPr>
        <w:t>与采购文件中其他章节相衔接，并不得与本章正文内容相抵触。</w:t>
      </w:r>
    </w:p>
    <w:p>
      <w:pPr>
        <w:pStyle w:val="26"/>
        <w:spacing w:line="280" w:lineRule="atLeast"/>
        <w:ind w:left="0" w:firstLine="0"/>
      </w:pPr>
      <w:r>
        <w:rPr>
          <w:rFonts w:hint="eastAsia"/>
        </w:rPr>
        <w:t>b.</w:t>
      </w:r>
      <w:r>
        <w:rPr>
          <w:rFonts w:hint="eastAsia" w:hAnsi="宋体" w:cs="宋体-18030"/>
        </w:rPr>
        <w:t>“供应商须知前附表”中的附录表格同属“供应商须知前附表”内容，具有同等效力。</w:t>
      </w:r>
    </w:p>
  </w:footnote>
  <w:footnote w:id="1">
    <w:p>
      <w:pPr>
        <w:pStyle w:val="26"/>
        <w:ind w:left="0" w:leftChars="0" w:firstLine="0" w:firstLineChars="0"/>
        <w:rPr>
          <w:sz w:val="24"/>
          <w:szCs w:val="24"/>
        </w:rPr>
      </w:pPr>
    </w:p>
  </w:footnote>
  <w:footnote w:id="2">
    <w:p>
      <w:pPr>
        <w:pStyle w:val="26"/>
        <w:ind w:left="0" w:leftChars="0" w:firstLine="0" w:firstLineChars="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CED67"/>
    <w:multiLevelType w:val="singleLevel"/>
    <w:tmpl w:val="03ECED67"/>
    <w:lvl w:ilvl="0" w:tentative="0">
      <w:start w:val="4"/>
      <w:numFmt w:val="decimal"/>
      <w:lvlText w:val="%1."/>
      <w:lvlJc w:val="left"/>
      <w:pPr>
        <w:tabs>
          <w:tab w:val="left" w:pos="312"/>
        </w:tabs>
      </w:pPr>
    </w:lvl>
  </w:abstractNum>
  <w:abstractNum w:abstractNumId="1">
    <w:nsid w:val="3601A173"/>
    <w:multiLevelType w:val="singleLevel"/>
    <w:tmpl w:val="3601A173"/>
    <w:lvl w:ilvl="0" w:tentative="0">
      <w:start w:val="1"/>
      <w:numFmt w:val="chineseCounting"/>
      <w:suff w:val="nothing"/>
      <w:lvlText w:val="%1、"/>
      <w:lvlJc w:val="left"/>
      <w:rPr>
        <w:rFonts w:hint="eastAsia"/>
      </w:rPr>
    </w:lvl>
  </w:abstractNum>
  <w:abstractNum w:abstractNumId="2">
    <w:nsid w:val="4851542D"/>
    <w:multiLevelType w:val="singleLevel"/>
    <w:tmpl w:val="4851542D"/>
    <w:lvl w:ilvl="0" w:tentative="0">
      <w:start w:val="1"/>
      <w:numFmt w:val="decimal"/>
      <w:lvlText w:val="%1."/>
      <w:lvlJc w:val="left"/>
      <w:pPr>
        <w:tabs>
          <w:tab w:val="left" w:pos="312"/>
        </w:tabs>
      </w:pPr>
    </w:lvl>
  </w:abstractNum>
  <w:abstractNum w:abstractNumId="3">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hideSpellingErrors/>
  <w:documentProtection w:edit="trackedChanges" w:formatting="1"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359DC"/>
    <w:rsid w:val="00240105"/>
    <w:rsid w:val="00244E9B"/>
    <w:rsid w:val="00255E57"/>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0F81"/>
    <w:rsid w:val="003C71AC"/>
    <w:rsid w:val="003E7A6F"/>
    <w:rsid w:val="004179C4"/>
    <w:rsid w:val="004212E9"/>
    <w:rsid w:val="00445025"/>
    <w:rsid w:val="004477E9"/>
    <w:rsid w:val="004528FC"/>
    <w:rsid w:val="004529AE"/>
    <w:rsid w:val="00460D9C"/>
    <w:rsid w:val="00464986"/>
    <w:rsid w:val="00470510"/>
    <w:rsid w:val="00474349"/>
    <w:rsid w:val="00477005"/>
    <w:rsid w:val="00480E54"/>
    <w:rsid w:val="00480FFB"/>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6F1442"/>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9F1AAA"/>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AC7279"/>
    <w:rsid w:val="05EF1FFE"/>
    <w:rsid w:val="071C2DD7"/>
    <w:rsid w:val="09C6304D"/>
    <w:rsid w:val="0AED2D32"/>
    <w:rsid w:val="0C905B62"/>
    <w:rsid w:val="0DB759FC"/>
    <w:rsid w:val="0E032662"/>
    <w:rsid w:val="0E891CDE"/>
    <w:rsid w:val="119E5E08"/>
    <w:rsid w:val="1280127A"/>
    <w:rsid w:val="15C77B32"/>
    <w:rsid w:val="160806BA"/>
    <w:rsid w:val="16314BAD"/>
    <w:rsid w:val="17594306"/>
    <w:rsid w:val="17D539F2"/>
    <w:rsid w:val="19097045"/>
    <w:rsid w:val="1A252605"/>
    <w:rsid w:val="1DF50277"/>
    <w:rsid w:val="1E1F3B60"/>
    <w:rsid w:val="1EB5014B"/>
    <w:rsid w:val="1F2E0BFF"/>
    <w:rsid w:val="1FBF76D7"/>
    <w:rsid w:val="212E078A"/>
    <w:rsid w:val="240204A4"/>
    <w:rsid w:val="264E6DB9"/>
    <w:rsid w:val="26A05072"/>
    <w:rsid w:val="2872440F"/>
    <w:rsid w:val="2BF10955"/>
    <w:rsid w:val="2D6048F2"/>
    <w:rsid w:val="2E41641E"/>
    <w:rsid w:val="2E944985"/>
    <w:rsid w:val="2FD26F55"/>
    <w:rsid w:val="30096558"/>
    <w:rsid w:val="30DE2DAE"/>
    <w:rsid w:val="32756EB2"/>
    <w:rsid w:val="339248A7"/>
    <w:rsid w:val="34874156"/>
    <w:rsid w:val="35032B89"/>
    <w:rsid w:val="379B30ED"/>
    <w:rsid w:val="37E36BED"/>
    <w:rsid w:val="3A781DB6"/>
    <w:rsid w:val="3A807AD9"/>
    <w:rsid w:val="3B2B40CB"/>
    <w:rsid w:val="3FB93C81"/>
    <w:rsid w:val="44D14A1F"/>
    <w:rsid w:val="4503099B"/>
    <w:rsid w:val="453D7EFA"/>
    <w:rsid w:val="45AB75B0"/>
    <w:rsid w:val="46480423"/>
    <w:rsid w:val="46C44BD5"/>
    <w:rsid w:val="46FD0ED7"/>
    <w:rsid w:val="47D44A52"/>
    <w:rsid w:val="4BB73BE9"/>
    <w:rsid w:val="4BEB2031"/>
    <w:rsid w:val="4E5F0909"/>
    <w:rsid w:val="4E6200BB"/>
    <w:rsid w:val="50203001"/>
    <w:rsid w:val="55904073"/>
    <w:rsid w:val="56820D5B"/>
    <w:rsid w:val="57096D7C"/>
    <w:rsid w:val="5E007081"/>
    <w:rsid w:val="5FC5301A"/>
    <w:rsid w:val="62525166"/>
    <w:rsid w:val="63310F09"/>
    <w:rsid w:val="63B84F56"/>
    <w:rsid w:val="663E10C6"/>
    <w:rsid w:val="671322CA"/>
    <w:rsid w:val="67DB2C51"/>
    <w:rsid w:val="68562B5B"/>
    <w:rsid w:val="686B311E"/>
    <w:rsid w:val="6B533C17"/>
    <w:rsid w:val="6EB04D47"/>
    <w:rsid w:val="6FD45398"/>
    <w:rsid w:val="73BC5AD9"/>
    <w:rsid w:val="764D1C01"/>
    <w:rsid w:val="7DB1356C"/>
    <w:rsid w:val="7F543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2"/>
    <w:link w:val="45"/>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9"/>
    <w:pPr>
      <w:keepNext/>
      <w:keepLines/>
      <w:spacing w:after="281" w:line="265" w:lineRule="auto"/>
      <w:ind w:left="10" w:right="53" w:hanging="10"/>
      <w:outlineLvl w:val="2"/>
    </w:pPr>
    <w:rPr>
      <w:rFonts w:ascii="黑体" w:hAnsi="黑体" w:eastAsia="黑体" w:cs="黑体"/>
      <w:color w:val="000000"/>
      <w:sz w:val="28"/>
      <w:szCs w:val="22"/>
    </w:rPr>
  </w:style>
  <w:style w:type="paragraph" w:styleId="5">
    <w:name w:val="heading 4"/>
    <w:basedOn w:val="1"/>
    <w:next w:val="1"/>
    <w:link w:val="18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680" w:hanging="210"/>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pPr>
    <w:rPr>
      <w:rFonts w:ascii="Calibri" w:hAnsi="Calibri"/>
      <w:sz w:val="20"/>
      <w:szCs w:val="20"/>
    </w:rPr>
  </w:style>
  <w:style w:type="paragraph" w:styleId="9">
    <w:name w:val="Document Map"/>
    <w:basedOn w:val="1"/>
    <w:link w:val="165"/>
    <w:semiHidden/>
    <w:qFormat/>
    <w:uiPriority w:val="0"/>
    <w:pPr>
      <w:shd w:val="clear" w:color="auto" w:fill="000080"/>
    </w:pPr>
    <w:rPr>
      <w:rFonts w:asciiTheme="minorHAnsi" w:hAnsiTheme="minorHAnsi" w:eastAsiaTheme="minorEastAsia" w:cstheme="minorBidi"/>
    </w:rPr>
  </w:style>
  <w:style w:type="paragraph" w:styleId="10">
    <w:name w:val="annotation text"/>
    <w:basedOn w:val="1"/>
    <w:link w:val="162"/>
    <w:semiHidden/>
    <w:qFormat/>
    <w:uiPriority w:val="0"/>
    <w:rPr>
      <w:rFonts w:asciiTheme="minorHAnsi" w:hAnsiTheme="minorHAnsi" w:eastAsiaTheme="minorEastAsia" w:cstheme="minorBidi"/>
    </w:rPr>
  </w:style>
  <w:style w:type="paragraph" w:styleId="11">
    <w:name w:val="index 6"/>
    <w:basedOn w:val="1"/>
    <w:next w:val="1"/>
    <w:qFormat/>
    <w:uiPriority w:val="0"/>
    <w:pPr>
      <w:ind w:left="1260" w:hanging="210"/>
    </w:pPr>
    <w:rPr>
      <w:rFonts w:ascii="Calibri" w:hAnsi="Calibri"/>
      <w:sz w:val="20"/>
      <w:szCs w:val="20"/>
    </w:rPr>
  </w:style>
  <w:style w:type="paragraph" w:styleId="12">
    <w:name w:val="Body Text 3"/>
    <w:basedOn w:val="1"/>
    <w:link w:val="173"/>
    <w:semiHidden/>
    <w:unhideWhenUsed/>
    <w:qFormat/>
    <w:uiPriority w:val="99"/>
    <w:pPr>
      <w:spacing w:after="120"/>
    </w:pPr>
    <w:rPr>
      <w:sz w:val="16"/>
      <w:szCs w:val="16"/>
    </w:rPr>
  </w:style>
  <w:style w:type="paragraph" w:styleId="13">
    <w:name w:val="Body Text"/>
    <w:basedOn w:val="1"/>
    <w:link w:val="179"/>
    <w:unhideWhenUsed/>
    <w:qFormat/>
    <w:uiPriority w:val="99"/>
    <w:pPr>
      <w:spacing w:after="120"/>
    </w:pPr>
  </w:style>
  <w:style w:type="paragraph" w:styleId="14">
    <w:name w:val="index 4"/>
    <w:basedOn w:val="1"/>
    <w:next w:val="1"/>
    <w:qFormat/>
    <w:uiPriority w:val="0"/>
    <w:pPr>
      <w:ind w:left="840" w:hanging="210"/>
    </w:pPr>
    <w:rPr>
      <w:rFonts w:ascii="Calibri" w:hAnsi="Calibri"/>
      <w:sz w:val="20"/>
      <w:szCs w:val="20"/>
    </w:rPr>
  </w:style>
  <w:style w:type="paragraph" w:styleId="15">
    <w:name w:val="Plain Text"/>
    <w:basedOn w:val="1"/>
    <w:link w:val="176"/>
    <w:unhideWhenUsed/>
    <w:qFormat/>
    <w:uiPriority w:val="99"/>
    <w:pPr>
      <w:widowControl w:val="0"/>
      <w:spacing w:line="240" w:lineRule="auto"/>
      <w:jc w:val="both"/>
    </w:pPr>
    <w:rPr>
      <w:rFonts w:ascii="宋体" w:hAnsi="Courier New" w:cs="Courier New"/>
      <w:szCs w:val="21"/>
    </w:rPr>
  </w:style>
  <w:style w:type="paragraph" w:styleId="16">
    <w:name w:val="index 3"/>
    <w:basedOn w:val="1"/>
    <w:next w:val="1"/>
    <w:qFormat/>
    <w:uiPriority w:val="0"/>
    <w:pPr>
      <w:ind w:left="630" w:hanging="210"/>
    </w:pPr>
    <w:rPr>
      <w:rFonts w:ascii="Calibri" w:hAnsi="Calibri"/>
      <w:sz w:val="20"/>
      <w:szCs w:val="20"/>
    </w:rPr>
  </w:style>
  <w:style w:type="paragraph" w:styleId="17">
    <w:name w:val="Date"/>
    <w:basedOn w:val="1"/>
    <w:next w:val="1"/>
    <w:link w:val="164"/>
    <w:qFormat/>
    <w:uiPriority w:val="99"/>
    <w:pPr>
      <w:ind w:left="100" w:leftChars="2500"/>
    </w:pPr>
    <w:rPr>
      <w:rFonts w:asciiTheme="minorHAnsi" w:hAnsiTheme="minorHAnsi" w:eastAsiaTheme="minorEastAsia" w:cstheme="minorBidi"/>
    </w:rPr>
  </w:style>
  <w:style w:type="paragraph" w:styleId="18">
    <w:name w:val="Body Text Indent 2"/>
    <w:basedOn w:val="1"/>
    <w:link w:val="154"/>
    <w:qFormat/>
    <w:uiPriority w:val="99"/>
    <w:pPr>
      <w:spacing w:after="120" w:line="480" w:lineRule="auto"/>
      <w:ind w:left="420" w:leftChars="200"/>
    </w:pPr>
    <w:rPr>
      <w:rFonts w:asciiTheme="minorHAnsi" w:hAnsiTheme="minorHAnsi" w:eastAsiaTheme="minorEastAsia" w:cstheme="minorBidi"/>
    </w:rPr>
  </w:style>
  <w:style w:type="paragraph" w:styleId="19">
    <w:name w:val="endnote text"/>
    <w:basedOn w:val="1"/>
    <w:link w:val="171"/>
    <w:semiHidden/>
    <w:qFormat/>
    <w:uiPriority w:val="0"/>
    <w:pPr>
      <w:snapToGrid w:val="0"/>
    </w:pPr>
    <w:rPr>
      <w:rFonts w:asciiTheme="minorHAnsi" w:hAnsiTheme="minorHAnsi" w:eastAsiaTheme="minorEastAsia" w:cstheme="minorBidi"/>
    </w:rPr>
  </w:style>
  <w:style w:type="paragraph" w:styleId="20">
    <w:name w:val="Balloon Text"/>
    <w:basedOn w:val="1"/>
    <w:link w:val="140"/>
    <w:qFormat/>
    <w:uiPriority w:val="99"/>
    <w:rPr>
      <w:rFonts w:asciiTheme="minorHAnsi" w:hAnsiTheme="minorHAnsi" w:eastAsiaTheme="minorEastAsia" w:cstheme="minorBidi"/>
      <w:sz w:val="18"/>
      <w:szCs w:val="18"/>
    </w:rPr>
  </w:style>
  <w:style w:type="paragraph" w:styleId="21">
    <w:name w:val="footer"/>
    <w:basedOn w:val="1"/>
    <w:link w:val="161"/>
    <w:qFormat/>
    <w:uiPriority w:val="99"/>
    <w:pPr>
      <w:snapToGrid w:val="0"/>
      <w:ind w:right="210" w:rightChars="100"/>
      <w:jc w:val="right"/>
    </w:pPr>
    <w:rPr>
      <w:rFonts w:asciiTheme="minorHAnsi" w:hAnsiTheme="minorHAnsi" w:eastAsiaTheme="minorEastAsia" w:cstheme="minorBidi"/>
      <w:sz w:val="18"/>
      <w:szCs w:val="18"/>
    </w:rPr>
  </w:style>
  <w:style w:type="paragraph" w:styleId="22">
    <w:name w:val="header"/>
    <w:basedOn w:val="1"/>
    <w:link w:val="143"/>
    <w:qFormat/>
    <w:uiPriority w:val="99"/>
    <w:pPr>
      <w:snapToGrid w:val="0"/>
    </w:pPr>
    <w:rPr>
      <w:rFonts w:asciiTheme="minorHAnsi" w:hAnsiTheme="minorHAnsi" w:eastAsiaTheme="minorEastAsia" w:cstheme="minorBidi"/>
      <w:sz w:val="18"/>
      <w:szCs w:val="18"/>
    </w:rPr>
  </w:style>
  <w:style w:type="paragraph" w:styleId="23">
    <w:name w:val="toc 1"/>
    <w:basedOn w:val="1"/>
    <w:next w:val="1"/>
    <w:semiHidden/>
    <w:qFormat/>
    <w:uiPriority w:val="0"/>
    <w:pPr>
      <w:tabs>
        <w:tab w:val="right" w:leader="dot" w:pos="9242"/>
      </w:tabs>
      <w:spacing w:beforeLines="25" w:afterLines="25"/>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1"/>
    <w:unhideWhenUsed/>
    <w:qFormat/>
    <w:uiPriority w:val="0"/>
  </w:style>
  <w:style w:type="paragraph" w:styleId="26">
    <w:name w:val="footnote text"/>
    <w:basedOn w:val="1"/>
    <w:link w:val="150"/>
    <w:qFormat/>
    <w:uiPriority w:val="0"/>
    <w:pPr>
      <w:tabs>
        <w:tab w:val="left" w:pos="0"/>
      </w:tabs>
      <w:snapToGrid w:val="0"/>
      <w:ind w:left="720" w:hanging="357"/>
    </w:pPr>
    <w:rPr>
      <w:rFonts w:ascii="宋体" w:hAnsiTheme="minorHAnsi" w:eastAsiaTheme="minorEastAsia" w:cstheme="minorBidi"/>
      <w:sz w:val="18"/>
      <w:szCs w:val="18"/>
    </w:rPr>
  </w:style>
  <w:style w:type="paragraph" w:styleId="27">
    <w:name w:val="index 7"/>
    <w:basedOn w:val="1"/>
    <w:next w:val="1"/>
    <w:qFormat/>
    <w:uiPriority w:val="0"/>
    <w:pPr>
      <w:ind w:left="1470" w:hanging="210"/>
    </w:pPr>
    <w:rPr>
      <w:rFonts w:ascii="Calibri" w:hAnsi="Calibri"/>
      <w:sz w:val="20"/>
      <w:szCs w:val="20"/>
    </w:rPr>
  </w:style>
  <w:style w:type="paragraph" w:styleId="28">
    <w:name w:val="index 9"/>
    <w:basedOn w:val="1"/>
    <w:next w:val="1"/>
    <w:qFormat/>
    <w:uiPriority w:val="0"/>
    <w:pPr>
      <w:ind w:left="1890" w:hanging="210"/>
    </w:pPr>
    <w:rPr>
      <w:rFonts w:ascii="Calibri" w:hAnsi="Calibri"/>
      <w:sz w:val="20"/>
      <w:szCs w:val="20"/>
    </w:rPr>
  </w:style>
  <w:style w:type="paragraph" w:styleId="29">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0">
    <w:name w:val="HTML Preformatted"/>
    <w:basedOn w:val="1"/>
    <w:link w:val="148"/>
    <w:qFormat/>
    <w:uiPriority w:val="0"/>
    <w:rPr>
      <w:rFonts w:ascii="Courier New" w:hAnsi="Courier New" w:cs="Courier New" w:eastAsiaTheme="minorEastAsia"/>
      <w:szCs w:val="22"/>
    </w:rPr>
  </w:style>
  <w:style w:type="paragraph" w:styleId="31">
    <w:name w:val="Normal (Web)"/>
    <w:basedOn w:val="1"/>
    <w:unhideWhenUsed/>
    <w:qFormat/>
    <w:uiPriority w:val="99"/>
    <w:pPr>
      <w:spacing w:before="100" w:beforeAutospacing="1" w:after="100" w:afterAutospacing="1"/>
    </w:pPr>
    <w:rPr>
      <w:rFonts w:ascii="宋体" w:hAnsi="宋体" w:cs="宋体"/>
      <w:kern w:val="0"/>
      <w:sz w:val="24"/>
    </w:rPr>
  </w:style>
  <w:style w:type="paragraph" w:styleId="32">
    <w:name w:val="index 2"/>
    <w:basedOn w:val="1"/>
    <w:next w:val="1"/>
    <w:qFormat/>
    <w:uiPriority w:val="0"/>
    <w:pPr>
      <w:ind w:left="420" w:hanging="210"/>
    </w:pPr>
    <w:rPr>
      <w:rFonts w:ascii="Calibri" w:hAnsi="Calibri"/>
      <w:sz w:val="20"/>
      <w:szCs w:val="20"/>
    </w:rPr>
  </w:style>
  <w:style w:type="paragraph" w:styleId="33">
    <w:name w:val="Title"/>
    <w:basedOn w:val="1"/>
    <w:link w:val="174"/>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0"/>
    <w:next w:val="10"/>
    <w:link w:val="170"/>
    <w:semiHidden/>
    <w:qFormat/>
    <w:uiPriority w:val="0"/>
    <w:rPr>
      <w:b/>
      <w:bCs/>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99"/>
    <w:rPr>
      <w:rFonts w:ascii="Times New Roman" w:hAnsi="Times New Roman" w:eastAsia="宋体"/>
      <w:sz w:val="18"/>
    </w:rPr>
  </w:style>
  <w:style w:type="character" w:styleId="40">
    <w:name w:val="FollowedHyperlink"/>
    <w:qFormat/>
    <w:uiPriority w:val="0"/>
    <w:rPr>
      <w:color w:val="800080"/>
      <w:u w:val="single"/>
    </w:rPr>
  </w:style>
  <w:style w:type="character" w:styleId="41">
    <w:name w:val="Emphasis"/>
    <w:qFormat/>
    <w:uiPriority w:val="20"/>
    <w:rPr>
      <w:color w:val="CC0000"/>
    </w:rPr>
  </w:style>
  <w:style w:type="character" w:styleId="42">
    <w:name w:val="Hyperlink"/>
    <w:qFormat/>
    <w:uiPriority w:val="99"/>
    <w:rPr>
      <w:color w:val="0000FF"/>
      <w:spacing w:val="0"/>
      <w:w w:val="100"/>
      <w:szCs w:val="21"/>
      <w:u w:val="single"/>
      <w:lang w:val="en-US" w:eastAsia="zh-CN"/>
    </w:rPr>
  </w:style>
  <w:style w:type="character" w:styleId="43">
    <w:name w:val="footnote reference"/>
    <w:qFormat/>
    <w:uiPriority w:val="0"/>
    <w:rPr>
      <w:vertAlign w:val="superscript"/>
    </w:rPr>
  </w:style>
  <w:style w:type="character" w:customStyle="1" w:styleId="44">
    <w:name w:val="标题 1 字符"/>
    <w:basedOn w:val="37"/>
    <w:link w:val="4"/>
    <w:qFormat/>
    <w:uiPriority w:val="0"/>
    <w:rPr>
      <w:rFonts w:ascii="Times New Roman" w:hAnsi="Times New Roman" w:eastAsia="宋体" w:cs="Times New Roman"/>
      <w:b/>
      <w:bCs/>
      <w:kern w:val="44"/>
      <w:sz w:val="44"/>
      <w:szCs w:val="44"/>
    </w:rPr>
  </w:style>
  <w:style w:type="character" w:customStyle="1" w:styleId="45">
    <w:name w:val="标题 2 字符"/>
    <w:basedOn w:val="37"/>
    <w:link w:val="3"/>
    <w:qFormat/>
    <w:uiPriority w:val="0"/>
    <w:rPr>
      <w:rFonts w:ascii="宋体" w:hAnsi="宋体" w:eastAsia="宋体" w:cs="Times New Roman"/>
      <w:b/>
      <w:bCs/>
      <w:kern w:val="0"/>
      <w:sz w:val="36"/>
      <w:szCs w:val="36"/>
    </w:rPr>
  </w:style>
  <w:style w:type="character" w:customStyle="1" w:styleId="46">
    <w:name w:val="批注文字 Char"/>
    <w:semiHidden/>
    <w:qFormat/>
    <w:uiPriority w:val="0"/>
    <w:rPr>
      <w:szCs w:val="24"/>
    </w:rPr>
  </w:style>
  <w:style w:type="character" w:customStyle="1" w:styleId="47">
    <w:name w:val="批注主题 Char"/>
    <w:semiHidden/>
    <w:qFormat/>
    <w:uiPriority w:val="0"/>
    <w:rPr>
      <w:b/>
      <w:bCs/>
      <w:szCs w:val="24"/>
    </w:rPr>
  </w:style>
  <w:style w:type="character" w:customStyle="1" w:styleId="48">
    <w:name w:val="文档结构图 Char"/>
    <w:semiHidden/>
    <w:qFormat/>
    <w:uiPriority w:val="0"/>
    <w:rPr>
      <w:szCs w:val="24"/>
      <w:shd w:val="clear" w:color="auto" w:fill="000080"/>
    </w:rPr>
  </w:style>
  <w:style w:type="character" w:customStyle="1" w:styleId="49">
    <w:name w:val="脚注文本 Char"/>
    <w:qFormat/>
    <w:uiPriority w:val="0"/>
    <w:rPr>
      <w:rFonts w:ascii="宋体"/>
      <w:sz w:val="18"/>
      <w:szCs w:val="18"/>
    </w:rPr>
  </w:style>
  <w:style w:type="character" w:customStyle="1" w:styleId="50">
    <w:name w:val="con"/>
    <w:qFormat/>
    <w:uiPriority w:val="0"/>
  </w:style>
  <w:style w:type="character" w:customStyle="1" w:styleId="51">
    <w:name w:val="bar-label2"/>
    <w:qFormat/>
    <w:uiPriority w:val="99"/>
  </w:style>
  <w:style w:type="character" w:customStyle="1" w:styleId="52">
    <w:name w:val="正文文本缩进 2 Char"/>
    <w:qFormat/>
    <w:uiPriority w:val="99"/>
    <w:rPr>
      <w:szCs w:val="24"/>
    </w:rPr>
  </w:style>
  <w:style w:type="character" w:customStyle="1" w:styleId="53">
    <w:name w:val="日期 Char"/>
    <w:qFormat/>
    <w:uiPriority w:val="99"/>
    <w:rPr>
      <w:szCs w:val="24"/>
    </w:rPr>
  </w:style>
  <w:style w:type="character" w:customStyle="1" w:styleId="54">
    <w:name w:val="页脚 Char"/>
    <w:qFormat/>
    <w:locked/>
    <w:uiPriority w:val="99"/>
    <w:rPr>
      <w:sz w:val="18"/>
      <w:szCs w:val="18"/>
    </w:rPr>
  </w:style>
  <w:style w:type="character" w:customStyle="1" w:styleId="55">
    <w:name w:val="apple-converted-space"/>
    <w:basedOn w:val="37"/>
    <w:qFormat/>
    <w:uiPriority w:val="0"/>
  </w:style>
  <w:style w:type="character" w:customStyle="1" w:styleId="56">
    <w:name w:val="批注框文本 Char"/>
    <w:qFormat/>
    <w:uiPriority w:val="99"/>
    <w:rPr>
      <w:sz w:val="18"/>
      <w:szCs w:val="18"/>
    </w:rPr>
  </w:style>
  <w:style w:type="character" w:customStyle="1" w:styleId="57">
    <w:name w:val="页眉 Char"/>
    <w:qFormat/>
    <w:locked/>
    <w:uiPriority w:val="99"/>
    <w:rPr>
      <w:sz w:val="18"/>
      <w:szCs w:val="18"/>
    </w:rPr>
  </w:style>
  <w:style w:type="character" w:customStyle="1" w:styleId="58">
    <w:name w:val="首示例 Char"/>
    <w:link w:val="59"/>
    <w:qFormat/>
    <w:uiPriority w:val="0"/>
    <w:rPr>
      <w:rFonts w:ascii="宋体" w:hAnsi="宋体"/>
      <w:sz w:val="18"/>
      <w:szCs w:val="18"/>
    </w:rPr>
  </w:style>
  <w:style w:type="paragraph" w:customStyle="1" w:styleId="59">
    <w:name w:val="首示例"/>
    <w:next w:val="60"/>
    <w:link w:val="58"/>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0">
    <w:name w:val="段"/>
    <w:link w:val="61"/>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1">
    <w:name w:val="段 Char"/>
    <w:link w:val="60"/>
    <w:qFormat/>
    <w:uiPriority w:val="0"/>
    <w:rPr>
      <w:rFonts w:ascii="宋体"/>
    </w:rPr>
  </w:style>
  <w:style w:type="character" w:customStyle="1" w:styleId="62">
    <w:name w:val="附录公式 Char"/>
    <w:basedOn w:val="61"/>
    <w:link w:val="63"/>
    <w:qFormat/>
    <w:uiPriority w:val="0"/>
    <w:rPr>
      <w:rFonts w:ascii="宋体"/>
    </w:rPr>
  </w:style>
  <w:style w:type="paragraph" w:customStyle="1" w:styleId="63">
    <w:name w:val="附录公式"/>
    <w:basedOn w:val="60"/>
    <w:next w:val="60"/>
    <w:link w:val="62"/>
    <w:qFormat/>
    <w:uiPriority w:val="0"/>
  </w:style>
  <w:style w:type="character" w:customStyle="1" w:styleId="64">
    <w:name w:val="发布"/>
    <w:qFormat/>
    <w:uiPriority w:val="0"/>
    <w:rPr>
      <w:rFonts w:ascii="黑体" w:eastAsia="黑体"/>
      <w:spacing w:val="85"/>
      <w:w w:val="100"/>
      <w:position w:val="3"/>
      <w:sz w:val="28"/>
      <w:szCs w:val="28"/>
    </w:rPr>
  </w:style>
  <w:style w:type="character" w:customStyle="1" w:styleId="65">
    <w:name w:val="一级条标题 Char"/>
    <w:link w:val="66"/>
    <w:qFormat/>
    <w:uiPriority w:val="0"/>
    <w:rPr>
      <w:rFonts w:ascii="黑体" w:eastAsia="黑体"/>
      <w:szCs w:val="21"/>
    </w:rPr>
  </w:style>
  <w:style w:type="paragraph" w:customStyle="1" w:styleId="66">
    <w:name w:val="一级条标题"/>
    <w:next w:val="60"/>
    <w:link w:val="65"/>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7">
    <w:name w:val="HTML 预设格式 Char"/>
    <w:qFormat/>
    <w:uiPriority w:val="0"/>
    <w:rPr>
      <w:rFonts w:ascii="Courier New" w:hAnsi="Courier New" w:cs="Courier New"/>
    </w:rPr>
  </w:style>
  <w:style w:type="character" w:customStyle="1" w:styleId="68">
    <w:name w:val="尾注文本 Char"/>
    <w:semiHidden/>
    <w:qFormat/>
    <w:uiPriority w:val="0"/>
    <w:rPr>
      <w:szCs w:val="24"/>
    </w:rPr>
  </w:style>
  <w:style w:type="paragraph" w:customStyle="1" w:styleId="69">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0">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1">
    <w:name w:val="List Paragraph"/>
    <w:basedOn w:val="1"/>
    <w:qFormat/>
    <w:uiPriority w:val="34"/>
    <w:pPr>
      <w:ind w:firstLine="420" w:firstLineChars="200"/>
    </w:pPr>
    <w:rPr>
      <w:rFonts w:ascii="宋体" w:hAnsi="宋体" w:cs="宋体"/>
      <w:kern w:val="0"/>
      <w:sz w:val="24"/>
    </w:rPr>
  </w:style>
  <w:style w:type="paragraph" w:customStyle="1" w:styleId="72">
    <w:name w:val="封面一致性程度标识2"/>
    <w:basedOn w:val="73"/>
    <w:qFormat/>
    <w:uiPriority w:val="0"/>
    <w:pPr>
      <w:framePr w:wrap="around" w:y="4469"/>
    </w:pPr>
  </w:style>
  <w:style w:type="paragraph" w:customStyle="1" w:styleId="73">
    <w:name w:val="封面一致性程度标识"/>
    <w:basedOn w:val="74"/>
    <w:qFormat/>
    <w:uiPriority w:val="0"/>
    <w:pPr>
      <w:framePr w:wrap="around"/>
      <w:spacing w:before="440"/>
    </w:pPr>
    <w:rPr>
      <w:rFonts w:ascii="宋体" w:eastAsia="宋体"/>
    </w:rPr>
  </w:style>
  <w:style w:type="paragraph" w:customStyle="1" w:styleId="74">
    <w:name w:val="封面标准英文名称"/>
    <w:basedOn w:val="75"/>
    <w:qFormat/>
    <w:uiPriority w:val="0"/>
    <w:pPr>
      <w:framePr w:wrap="around"/>
      <w:spacing w:before="370" w:line="400" w:lineRule="exact"/>
    </w:pPr>
    <w:rPr>
      <w:rFonts w:ascii="Times New Roman"/>
      <w:sz w:val="28"/>
      <w:szCs w:val="28"/>
    </w:rPr>
  </w:style>
  <w:style w:type="paragraph" w:customStyle="1" w:styleId="7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标准英文名称2"/>
    <w:basedOn w:val="74"/>
    <w:qFormat/>
    <w:uiPriority w:val="0"/>
    <w:pPr>
      <w:framePr w:wrap="around" w:y="4469"/>
    </w:pPr>
  </w:style>
  <w:style w:type="paragraph" w:customStyle="1" w:styleId="77">
    <w:name w:val="其他发布日期"/>
    <w:basedOn w:val="78"/>
    <w:qFormat/>
    <w:uiPriority w:val="0"/>
    <w:pPr>
      <w:framePr w:wrap="around" w:vAnchor="page" w:hAnchor="text" w:x="1419"/>
    </w:pPr>
  </w:style>
  <w:style w:type="paragraph" w:customStyle="1" w:styleId="78">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79">
    <w:name w:val="正文公式编号制表符"/>
    <w:basedOn w:val="60"/>
    <w:next w:val="60"/>
    <w:qFormat/>
    <w:uiPriority w:val="0"/>
    <w:pPr>
      <w:ind w:firstLine="0" w:firstLineChars="0"/>
    </w:pPr>
  </w:style>
  <w:style w:type="paragraph" w:customStyle="1" w:styleId="80">
    <w:name w:val="正文表标题"/>
    <w:next w:val="60"/>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1">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2">
    <w:name w:val="一级无"/>
    <w:basedOn w:val="66"/>
    <w:qFormat/>
    <w:uiPriority w:val="0"/>
  </w:style>
  <w:style w:type="paragraph" w:customStyle="1" w:styleId="83">
    <w:name w:val="图的脚注"/>
    <w:next w:val="60"/>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4">
    <w:name w:val="图标脚注说明"/>
    <w:basedOn w:val="60"/>
    <w:qFormat/>
    <w:uiPriority w:val="0"/>
    <w:pPr>
      <w:ind w:left="840" w:hanging="420" w:firstLineChars="0"/>
    </w:pPr>
    <w:rPr>
      <w:sz w:val="18"/>
      <w:szCs w:val="18"/>
    </w:rPr>
  </w:style>
  <w:style w:type="paragraph" w:customStyle="1" w:styleId="85">
    <w:name w:val="示例后文字"/>
    <w:basedOn w:val="60"/>
    <w:next w:val="60"/>
    <w:qFormat/>
    <w:uiPriority w:val="0"/>
    <w:pPr>
      <w:ind w:firstLine="360"/>
    </w:pPr>
    <w:rPr>
      <w:sz w:val="18"/>
    </w:rPr>
  </w:style>
  <w:style w:type="paragraph" w:customStyle="1" w:styleId="86">
    <w:name w:val="实施日期"/>
    <w:basedOn w:val="78"/>
    <w:qFormat/>
    <w:uiPriority w:val="0"/>
    <w:pPr>
      <w:framePr w:wrap="around" w:vAnchor="page" w:hAnchor="text"/>
      <w:jc w:val="right"/>
    </w:pPr>
  </w:style>
  <w:style w:type="paragraph" w:customStyle="1" w:styleId="87">
    <w:name w:val="前言、引言标题"/>
    <w:next w:val="60"/>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8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0">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1">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2">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3">
    <w:name w:val="条文脚注"/>
    <w:basedOn w:val="26"/>
    <w:qFormat/>
    <w:uiPriority w:val="0"/>
    <w:pPr>
      <w:ind w:left="0" w:firstLine="0"/>
      <w:jc w:val="both"/>
    </w:pPr>
  </w:style>
  <w:style w:type="paragraph" w:customStyle="1" w:styleId="94">
    <w:name w:val="附录一级无"/>
    <w:basedOn w:val="95"/>
    <w:qFormat/>
    <w:uiPriority w:val="0"/>
    <w:pPr>
      <w:tabs>
        <w:tab w:val="left" w:pos="360"/>
      </w:tabs>
      <w:spacing w:beforeLines="0" w:afterLines="0"/>
    </w:pPr>
    <w:rPr>
      <w:rFonts w:ascii="宋体" w:eastAsia="宋体"/>
      <w:szCs w:val="21"/>
    </w:rPr>
  </w:style>
  <w:style w:type="paragraph" w:customStyle="1" w:styleId="95">
    <w:name w:val="附录一级条标题"/>
    <w:basedOn w:val="96"/>
    <w:next w:val="60"/>
    <w:qFormat/>
    <w:uiPriority w:val="0"/>
    <w:pPr>
      <w:tabs>
        <w:tab w:val="left" w:pos="360"/>
      </w:tabs>
      <w:autoSpaceDN w:val="0"/>
      <w:spacing w:beforeLines="50" w:afterLines="50"/>
      <w:outlineLvl w:val="2"/>
    </w:pPr>
  </w:style>
  <w:style w:type="paragraph" w:customStyle="1" w:styleId="96">
    <w:name w:val="附录章标题"/>
    <w:next w:val="60"/>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附录五级无"/>
    <w:basedOn w:val="98"/>
    <w:qFormat/>
    <w:uiPriority w:val="0"/>
    <w:pPr>
      <w:tabs>
        <w:tab w:val="left" w:pos="360"/>
      </w:tabs>
      <w:spacing w:beforeLines="0" w:afterLines="0"/>
    </w:pPr>
    <w:rPr>
      <w:rFonts w:ascii="宋体" w:eastAsia="宋体"/>
      <w:szCs w:val="21"/>
    </w:rPr>
  </w:style>
  <w:style w:type="paragraph" w:customStyle="1" w:styleId="98">
    <w:name w:val="附录五级条标题"/>
    <w:basedOn w:val="99"/>
    <w:next w:val="60"/>
    <w:qFormat/>
    <w:uiPriority w:val="0"/>
    <w:pPr>
      <w:tabs>
        <w:tab w:val="left" w:pos="360"/>
      </w:tabs>
      <w:outlineLvl w:val="6"/>
    </w:pPr>
  </w:style>
  <w:style w:type="paragraph" w:customStyle="1" w:styleId="99">
    <w:name w:val="附录四级条标题"/>
    <w:basedOn w:val="100"/>
    <w:next w:val="60"/>
    <w:qFormat/>
    <w:uiPriority w:val="0"/>
    <w:pPr>
      <w:tabs>
        <w:tab w:val="left" w:pos="360"/>
      </w:tabs>
    </w:pPr>
  </w:style>
  <w:style w:type="paragraph" w:customStyle="1" w:styleId="100">
    <w:name w:val="附录三级条标题"/>
    <w:basedOn w:val="101"/>
    <w:next w:val="60"/>
    <w:qFormat/>
    <w:uiPriority w:val="0"/>
    <w:pPr>
      <w:tabs>
        <w:tab w:val="left" w:pos="360"/>
      </w:tabs>
    </w:pPr>
  </w:style>
  <w:style w:type="paragraph" w:customStyle="1" w:styleId="101">
    <w:name w:val="附录二级条标题"/>
    <w:basedOn w:val="1"/>
    <w:next w:val="60"/>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2">
    <w:name w:val="附录图标题"/>
    <w:basedOn w:val="1"/>
    <w:next w:val="60"/>
    <w:qFormat/>
    <w:uiPriority w:val="0"/>
    <w:pPr>
      <w:tabs>
        <w:tab w:val="left" w:pos="363"/>
      </w:tabs>
      <w:spacing w:beforeLines="50" w:afterLines="50"/>
      <w:jc w:val="center"/>
    </w:pPr>
    <w:rPr>
      <w:rFonts w:ascii="黑体" w:eastAsia="黑体"/>
      <w:szCs w:val="21"/>
    </w:rPr>
  </w:style>
  <w:style w:type="paragraph" w:customStyle="1" w:styleId="103">
    <w:name w:val="附录图标号"/>
    <w:basedOn w:val="1"/>
    <w:qFormat/>
    <w:uiPriority w:val="0"/>
    <w:pPr>
      <w:keepNext/>
      <w:pageBreakBefore/>
      <w:spacing w:line="14" w:lineRule="exact"/>
      <w:ind w:firstLine="363"/>
      <w:jc w:val="center"/>
      <w:outlineLvl w:val="0"/>
    </w:pPr>
    <w:rPr>
      <w:color w:val="FFFFFF"/>
    </w:rPr>
  </w:style>
  <w:style w:type="paragraph" w:customStyle="1" w:styleId="104">
    <w:name w:val="附录四级无"/>
    <w:basedOn w:val="99"/>
    <w:qFormat/>
    <w:uiPriority w:val="0"/>
    <w:pPr>
      <w:tabs>
        <w:tab w:val="clear" w:pos="360"/>
      </w:tabs>
      <w:spacing w:beforeLines="0" w:afterLines="0"/>
      <w:outlineLvl w:val="5"/>
    </w:pPr>
    <w:rPr>
      <w:rFonts w:ascii="宋体" w:eastAsia="宋体"/>
      <w:szCs w:val="21"/>
    </w:rPr>
  </w:style>
  <w:style w:type="paragraph" w:customStyle="1" w:styleId="105">
    <w:name w:val="附录三级无"/>
    <w:basedOn w:val="100"/>
    <w:qFormat/>
    <w:uiPriority w:val="0"/>
  </w:style>
  <w:style w:type="paragraph" w:customStyle="1" w:styleId="106">
    <w:name w:val="注："/>
    <w:next w:val="60"/>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7">
    <w:name w:val="附录公式编号制表符"/>
    <w:basedOn w:val="1"/>
    <w:next w:val="60"/>
    <w:qFormat/>
    <w:uiPriority w:val="0"/>
    <w:pPr>
      <w:tabs>
        <w:tab w:val="center" w:pos="4201"/>
        <w:tab w:val="right" w:leader="dot" w:pos="9298"/>
      </w:tabs>
      <w:autoSpaceDE w:val="0"/>
      <w:autoSpaceDN w:val="0"/>
    </w:pPr>
    <w:rPr>
      <w:rFonts w:ascii="宋体"/>
      <w:kern w:val="0"/>
      <w:szCs w:val="20"/>
    </w:rPr>
  </w:style>
  <w:style w:type="paragraph" w:customStyle="1" w:styleId="108">
    <w:name w:val="附录二级无"/>
    <w:basedOn w:val="101"/>
    <w:qFormat/>
    <w:uiPriority w:val="0"/>
  </w:style>
  <w:style w:type="paragraph" w:customStyle="1" w:styleId="109">
    <w:name w:val="附录标题"/>
    <w:basedOn w:val="60"/>
    <w:next w:val="60"/>
    <w:qFormat/>
    <w:uiPriority w:val="0"/>
    <w:pPr>
      <w:ind w:firstLine="0" w:firstLineChars="0"/>
      <w:jc w:val="center"/>
    </w:pPr>
    <w:rPr>
      <w:rFonts w:ascii="黑体" w:eastAsia="黑体"/>
    </w:rPr>
  </w:style>
  <w:style w:type="paragraph" w:customStyle="1" w:styleId="110">
    <w:name w:val="参考文献"/>
    <w:basedOn w:val="1"/>
    <w:next w:val="60"/>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1">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2">
    <w:name w:val="封面标准文稿类别"/>
    <w:basedOn w:val="73"/>
    <w:qFormat/>
    <w:uiPriority w:val="0"/>
    <w:pPr>
      <w:framePr w:wrap="around"/>
      <w:spacing w:after="160" w:line="240" w:lineRule="auto"/>
    </w:pPr>
    <w:rPr>
      <w:sz w:val="24"/>
    </w:rPr>
  </w:style>
  <w:style w:type="paragraph" w:customStyle="1" w:styleId="113">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4">
    <w:name w:val="其他实施日期"/>
    <w:basedOn w:val="86"/>
    <w:qFormat/>
    <w:uiPriority w:val="0"/>
    <w:pPr>
      <w:framePr w:wrap="around" w:vAnchor="margin" w:hAnchor="page"/>
    </w:pPr>
  </w:style>
  <w:style w:type="paragraph" w:customStyle="1" w:styleId="11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6">
    <w:name w:val="发布部门"/>
    <w:next w:val="60"/>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7">
    <w:name w:val="注：（正文）"/>
    <w:basedOn w:val="106"/>
    <w:next w:val="60"/>
    <w:qFormat/>
    <w:uiPriority w:val="0"/>
  </w:style>
  <w:style w:type="paragraph" w:customStyle="1" w:styleId="118">
    <w:name w:val="参考文献、索引标题"/>
    <w:basedOn w:val="1"/>
    <w:next w:val="60"/>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1">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2">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3">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4">
    <w:name w:val="示例×："/>
    <w:basedOn w:val="125"/>
    <w:qFormat/>
    <w:uiPriority w:val="0"/>
    <w:pPr>
      <w:spacing w:beforeLines="0" w:afterLines="0"/>
      <w:ind w:firstLine="363"/>
      <w:outlineLvl w:val="9"/>
    </w:pPr>
    <w:rPr>
      <w:rFonts w:ascii="宋体" w:eastAsia="宋体"/>
      <w:sz w:val="18"/>
      <w:szCs w:val="18"/>
    </w:rPr>
  </w:style>
  <w:style w:type="paragraph" w:customStyle="1" w:styleId="125">
    <w:name w:val="章标题"/>
    <w:next w:val="60"/>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6">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7">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8">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29">
    <w:name w:val="五级无"/>
    <w:basedOn w:val="130"/>
    <w:qFormat/>
    <w:uiPriority w:val="0"/>
    <w:pPr>
      <w:spacing w:beforeLines="0" w:afterLines="0"/>
      <w:outlineLvl w:val="6"/>
    </w:pPr>
    <w:rPr>
      <w:rFonts w:ascii="宋体" w:eastAsia="宋体"/>
    </w:rPr>
  </w:style>
  <w:style w:type="paragraph" w:customStyle="1" w:styleId="130">
    <w:name w:val="五级条标题"/>
    <w:basedOn w:val="131"/>
    <w:next w:val="60"/>
    <w:qFormat/>
    <w:uiPriority w:val="0"/>
  </w:style>
  <w:style w:type="paragraph" w:customStyle="1" w:styleId="131">
    <w:name w:val="四级条标题"/>
    <w:basedOn w:val="132"/>
    <w:next w:val="60"/>
    <w:qFormat/>
    <w:uiPriority w:val="0"/>
  </w:style>
  <w:style w:type="paragraph" w:customStyle="1" w:styleId="132">
    <w:name w:val="三级条标题"/>
    <w:basedOn w:val="133"/>
    <w:next w:val="60"/>
    <w:qFormat/>
    <w:uiPriority w:val="0"/>
  </w:style>
  <w:style w:type="paragraph" w:customStyle="1" w:styleId="133">
    <w:name w:val="二级条标题"/>
    <w:basedOn w:val="66"/>
    <w:next w:val="60"/>
    <w:qFormat/>
    <w:uiPriority w:val="0"/>
  </w:style>
  <w:style w:type="paragraph" w:customStyle="1" w:styleId="134">
    <w:name w:val="四级无"/>
    <w:basedOn w:val="131"/>
    <w:qFormat/>
    <w:uiPriority w:val="0"/>
  </w:style>
  <w:style w:type="paragraph" w:customStyle="1" w:styleId="135">
    <w:name w:val="三级无"/>
    <w:basedOn w:val="132"/>
    <w:qFormat/>
    <w:uiPriority w:val="0"/>
  </w:style>
  <w:style w:type="paragraph" w:customStyle="1" w:styleId="136">
    <w:name w:val="其他标准标志"/>
    <w:basedOn w:val="120"/>
    <w:qFormat/>
    <w:uiPriority w:val="0"/>
    <w:pPr>
      <w:framePr w:w="6101" w:wrap="around" w:vAnchor="page" w:hAnchor="page" w:x="4673" w:y="942"/>
    </w:pPr>
    <w:rPr>
      <w:w w:val="130"/>
    </w:rPr>
  </w:style>
  <w:style w:type="paragraph" w:customStyle="1" w:styleId="137">
    <w:name w:val="目次、标准名称标题"/>
    <w:basedOn w:val="1"/>
    <w:next w:val="60"/>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3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0">
    <w:name w:val="批注框文本 字符"/>
    <w:basedOn w:val="37"/>
    <w:link w:val="20"/>
    <w:semiHidden/>
    <w:qFormat/>
    <w:uiPriority w:val="99"/>
    <w:rPr>
      <w:rFonts w:ascii="Times New Roman" w:hAnsi="Times New Roman" w:eastAsia="宋体" w:cs="Times New Roman"/>
      <w:sz w:val="18"/>
      <w:szCs w:val="18"/>
    </w:rPr>
  </w:style>
  <w:style w:type="paragraph" w:customStyle="1" w:styleId="141">
    <w:name w:val="列项◆（三级）"/>
    <w:basedOn w:val="1"/>
    <w:qFormat/>
    <w:uiPriority w:val="99"/>
    <w:pPr>
      <w:tabs>
        <w:tab w:val="left" w:pos="969"/>
      </w:tabs>
      <w:ind w:left="969" w:hanging="414"/>
    </w:pPr>
    <w:rPr>
      <w:rFonts w:ascii="宋体"/>
      <w:szCs w:val="21"/>
    </w:rPr>
  </w:style>
  <w:style w:type="paragraph" w:customStyle="1" w:styleId="142">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3">
    <w:name w:val="页眉 字符"/>
    <w:basedOn w:val="37"/>
    <w:link w:val="22"/>
    <w:semiHidden/>
    <w:qFormat/>
    <w:uiPriority w:val="99"/>
    <w:rPr>
      <w:rFonts w:ascii="Times New Roman" w:hAnsi="Times New Roman" w:eastAsia="宋体" w:cs="Times New Roman"/>
      <w:sz w:val="18"/>
      <w:szCs w:val="18"/>
    </w:rPr>
  </w:style>
  <w:style w:type="paragraph" w:customStyle="1" w:styleId="144">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5">
    <w:name w:val="其他发布部门"/>
    <w:basedOn w:val="116"/>
    <w:qFormat/>
    <w:uiPriority w:val="0"/>
    <w:pPr>
      <w:framePr w:wrap="around" w:y="15310"/>
      <w:spacing w:line="0" w:lineRule="atLeast"/>
    </w:pPr>
    <w:rPr>
      <w:rFonts w:ascii="黑体" w:eastAsia="黑体"/>
      <w:b w:val="0"/>
    </w:rPr>
  </w:style>
  <w:style w:type="paragraph" w:customStyle="1" w:styleId="146">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7">
    <w:name w:val="正文图标题"/>
    <w:next w:val="60"/>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48">
    <w:name w:val="HTML 预设格式 字符"/>
    <w:basedOn w:val="37"/>
    <w:link w:val="30"/>
    <w:semiHidden/>
    <w:qFormat/>
    <w:uiPriority w:val="99"/>
    <w:rPr>
      <w:rFonts w:ascii="Courier New" w:hAnsi="Courier New" w:eastAsia="宋体" w:cs="Courier New"/>
      <w:sz w:val="20"/>
      <w:szCs w:val="20"/>
    </w:rPr>
  </w:style>
  <w:style w:type="paragraph" w:customStyle="1" w:styleId="149">
    <w:name w:val="附录标识"/>
    <w:basedOn w:val="1"/>
    <w:next w:val="60"/>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0">
    <w:name w:val="脚注文本 字符"/>
    <w:basedOn w:val="37"/>
    <w:link w:val="26"/>
    <w:semiHidden/>
    <w:qFormat/>
    <w:uiPriority w:val="99"/>
    <w:rPr>
      <w:rFonts w:ascii="Times New Roman" w:hAnsi="Times New Roman" w:eastAsia="宋体" w:cs="Times New Roman"/>
      <w:sz w:val="18"/>
      <w:szCs w:val="18"/>
    </w:rPr>
  </w:style>
  <w:style w:type="paragraph" w:customStyle="1" w:styleId="151">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2">
    <w:name w:val="二级无"/>
    <w:basedOn w:val="133"/>
    <w:qFormat/>
    <w:uiPriority w:val="0"/>
  </w:style>
  <w:style w:type="paragraph" w:customStyle="1" w:styleId="153">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4">
    <w:name w:val="正文文本缩进 2 字符"/>
    <w:basedOn w:val="37"/>
    <w:link w:val="18"/>
    <w:semiHidden/>
    <w:qFormat/>
    <w:uiPriority w:val="99"/>
    <w:rPr>
      <w:rFonts w:ascii="Times New Roman" w:hAnsi="Times New Roman" w:eastAsia="宋体" w:cs="Times New Roman"/>
      <w:szCs w:val="24"/>
    </w:rPr>
  </w:style>
  <w:style w:type="paragraph" w:customStyle="1" w:styleId="155">
    <w:name w:val="封面标准文稿编辑信息2"/>
    <w:basedOn w:val="156"/>
    <w:qFormat/>
    <w:uiPriority w:val="0"/>
    <w:pPr>
      <w:framePr w:wrap="around" w:y="4469"/>
    </w:pPr>
  </w:style>
  <w:style w:type="paragraph" w:customStyle="1" w:styleId="156">
    <w:name w:val="封面标准文稿编辑信息"/>
    <w:basedOn w:val="112"/>
    <w:qFormat/>
    <w:uiPriority w:val="0"/>
    <w:pPr>
      <w:framePr w:wrap="around"/>
      <w:spacing w:before="180" w:line="180" w:lineRule="exact"/>
    </w:pPr>
    <w:rPr>
      <w:sz w:val="21"/>
    </w:rPr>
  </w:style>
  <w:style w:type="paragraph" w:customStyle="1" w:styleId="157">
    <w:name w:val="附录表标题"/>
    <w:basedOn w:val="1"/>
    <w:next w:val="60"/>
    <w:qFormat/>
    <w:uiPriority w:val="0"/>
    <w:pPr>
      <w:tabs>
        <w:tab w:val="left" w:pos="180"/>
      </w:tabs>
      <w:spacing w:beforeLines="50" w:afterLines="50"/>
      <w:jc w:val="center"/>
    </w:pPr>
    <w:rPr>
      <w:rFonts w:ascii="黑体" w:eastAsia="黑体"/>
      <w:szCs w:val="21"/>
    </w:rPr>
  </w:style>
  <w:style w:type="paragraph" w:customStyle="1" w:styleId="158">
    <w:name w:val="标准书眉_偶数页"/>
    <w:basedOn w:val="142"/>
    <w:next w:val="1"/>
    <w:qFormat/>
    <w:uiPriority w:val="0"/>
    <w:pPr>
      <w:jc w:val="left"/>
    </w:pPr>
  </w:style>
  <w:style w:type="paragraph" w:customStyle="1" w:styleId="159">
    <w:name w:val="附录表标号"/>
    <w:basedOn w:val="1"/>
    <w:next w:val="60"/>
    <w:qFormat/>
    <w:uiPriority w:val="0"/>
    <w:pPr>
      <w:spacing w:line="14" w:lineRule="exact"/>
      <w:ind w:left="811" w:hanging="448"/>
      <w:jc w:val="center"/>
      <w:outlineLvl w:val="0"/>
    </w:pPr>
    <w:rPr>
      <w:color w:val="FFFFFF"/>
    </w:rPr>
  </w:style>
  <w:style w:type="paragraph" w:customStyle="1" w:styleId="160">
    <w:name w:val="图表脚注说明"/>
    <w:basedOn w:val="1"/>
    <w:qFormat/>
    <w:uiPriority w:val="0"/>
    <w:pPr>
      <w:ind w:left="544" w:hanging="181"/>
    </w:pPr>
    <w:rPr>
      <w:rFonts w:ascii="宋体"/>
      <w:sz w:val="18"/>
      <w:szCs w:val="18"/>
    </w:rPr>
  </w:style>
  <w:style w:type="character" w:customStyle="1" w:styleId="161">
    <w:name w:val="页脚 字符"/>
    <w:basedOn w:val="37"/>
    <w:link w:val="21"/>
    <w:semiHidden/>
    <w:qFormat/>
    <w:uiPriority w:val="99"/>
    <w:rPr>
      <w:rFonts w:ascii="Times New Roman" w:hAnsi="Times New Roman" w:eastAsia="宋体" w:cs="Times New Roman"/>
      <w:sz w:val="18"/>
      <w:szCs w:val="18"/>
    </w:rPr>
  </w:style>
  <w:style w:type="character" w:customStyle="1" w:styleId="162">
    <w:name w:val="批注文字 字符"/>
    <w:basedOn w:val="37"/>
    <w:link w:val="10"/>
    <w:semiHidden/>
    <w:qFormat/>
    <w:uiPriority w:val="99"/>
    <w:rPr>
      <w:rFonts w:ascii="Times New Roman" w:hAnsi="Times New Roman" w:eastAsia="宋体" w:cs="Times New Roman"/>
      <w:szCs w:val="24"/>
    </w:rPr>
  </w:style>
  <w:style w:type="paragraph" w:customStyle="1" w:styleId="163">
    <w:name w:val="封面标准名称2"/>
    <w:basedOn w:val="75"/>
    <w:qFormat/>
    <w:uiPriority w:val="0"/>
    <w:pPr>
      <w:framePr w:wrap="around" w:y="4469"/>
      <w:spacing w:beforeLines="630"/>
    </w:pPr>
  </w:style>
  <w:style w:type="character" w:customStyle="1" w:styleId="164">
    <w:name w:val="日期 字符"/>
    <w:basedOn w:val="37"/>
    <w:link w:val="17"/>
    <w:semiHidden/>
    <w:qFormat/>
    <w:uiPriority w:val="99"/>
    <w:rPr>
      <w:rFonts w:ascii="Times New Roman" w:hAnsi="Times New Roman" w:eastAsia="宋体" w:cs="Times New Roman"/>
      <w:szCs w:val="24"/>
    </w:rPr>
  </w:style>
  <w:style w:type="character" w:customStyle="1" w:styleId="165">
    <w:name w:val="文档结构图 字符"/>
    <w:basedOn w:val="37"/>
    <w:link w:val="9"/>
    <w:semiHidden/>
    <w:qFormat/>
    <w:uiPriority w:val="99"/>
    <w:rPr>
      <w:rFonts w:ascii="宋体" w:hAnsi="Times New Roman" w:eastAsia="宋体" w:cs="Times New Roman"/>
      <w:sz w:val="18"/>
      <w:szCs w:val="18"/>
    </w:rPr>
  </w:style>
  <w:style w:type="paragraph" w:customStyle="1" w:styleId="166">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7">
    <w:name w:val="封面标准文稿类别2"/>
    <w:basedOn w:val="112"/>
    <w:qFormat/>
    <w:uiPriority w:val="0"/>
    <w:pPr>
      <w:framePr w:wrap="around" w:y="4469"/>
    </w:pPr>
  </w:style>
  <w:style w:type="paragraph" w:customStyle="1" w:styleId="168">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69">
    <w:name w:val="终结线"/>
    <w:basedOn w:val="1"/>
    <w:qFormat/>
    <w:uiPriority w:val="0"/>
    <w:pPr>
      <w:framePr w:hSpace="181" w:vSpace="181" w:wrap="around" w:vAnchor="text" w:hAnchor="margin" w:xAlign="center" w:y="285"/>
    </w:pPr>
  </w:style>
  <w:style w:type="character" w:customStyle="1" w:styleId="170">
    <w:name w:val="批注主题 字符"/>
    <w:basedOn w:val="162"/>
    <w:link w:val="34"/>
    <w:semiHidden/>
    <w:qFormat/>
    <w:uiPriority w:val="99"/>
    <w:rPr>
      <w:rFonts w:ascii="Times New Roman" w:hAnsi="Times New Roman" w:eastAsia="宋体" w:cs="Times New Roman"/>
      <w:b/>
      <w:bCs/>
      <w:szCs w:val="24"/>
    </w:rPr>
  </w:style>
  <w:style w:type="character" w:customStyle="1" w:styleId="171">
    <w:name w:val="尾注文本 字符"/>
    <w:basedOn w:val="37"/>
    <w:link w:val="19"/>
    <w:semiHidden/>
    <w:qFormat/>
    <w:uiPriority w:val="99"/>
    <w:rPr>
      <w:rFonts w:ascii="Times New Roman" w:hAnsi="Times New Roman" w:eastAsia="宋体" w:cs="Times New Roman"/>
      <w:szCs w:val="24"/>
    </w:rPr>
  </w:style>
  <w:style w:type="paragraph" w:customStyle="1" w:styleId="172">
    <w:name w:val="示例"/>
    <w:next w:val="123"/>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3">
    <w:name w:val="正文文本 3 字符"/>
    <w:basedOn w:val="37"/>
    <w:link w:val="12"/>
    <w:semiHidden/>
    <w:qFormat/>
    <w:uiPriority w:val="99"/>
    <w:rPr>
      <w:rFonts w:ascii="Times New Roman" w:hAnsi="Times New Roman" w:eastAsia="宋体" w:cs="Times New Roman"/>
      <w:sz w:val="16"/>
      <w:szCs w:val="16"/>
    </w:rPr>
  </w:style>
  <w:style w:type="character" w:customStyle="1" w:styleId="174">
    <w:name w:val="标题 字符"/>
    <w:basedOn w:val="37"/>
    <w:link w:val="33"/>
    <w:qFormat/>
    <w:uiPriority w:val="0"/>
    <w:rPr>
      <w:rFonts w:ascii="Arial" w:hAnsi="Arial" w:eastAsia="宋体" w:cs="Times New Roman"/>
      <w:b/>
      <w:kern w:val="0"/>
      <w:sz w:val="32"/>
      <w:szCs w:val="20"/>
    </w:rPr>
  </w:style>
  <w:style w:type="paragraph" w:customStyle="1" w:styleId="175">
    <w:name w:val="p0"/>
    <w:basedOn w:val="1"/>
    <w:qFormat/>
    <w:uiPriority w:val="0"/>
    <w:pPr>
      <w:spacing w:line="240" w:lineRule="auto"/>
      <w:jc w:val="both"/>
    </w:pPr>
    <w:rPr>
      <w:kern w:val="0"/>
      <w:szCs w:val="21"/>
    </w:rPr>
  </w:style>
  <w:style w:type="character" w:customStyle="1" w:styleId="176">
    <w:name w:val="纯文本 字符"/>
    <w:basedOn w:val="37"/>
    <w:link w:val="15"/>
    <w:qFormat/>
    <w:uiPriority w:val="99"/>
    <w:rPr>
      <w:rFonts w:ascii="宋体" w:hAnsi="Courier New" w:eastAsia="宋体" w:cs="Courier New"/>
      <w:szCs w:val="21"/>
    </w:rPr>
  </w:style>
  <w:style w:type="paragraph" w:customStyle="1" w:styleId="177">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customStyle="1" w:styleId="1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79">
    <w:name w:val="正文文本 字符"/>
    <w:basedOn w:val="37"/>
    <w:link w:val="13"/>
    <w:qFormat/>
    <w:uiPriority w:val="99"/>
    <w:rPr>
      <w:kern w:val="2"/>
      <w:sz w:val="21"/>
      <w:szCs w:val="24"/>
    </w:rPr>
  </w:style>
  <w:style w:type="paragraph" w:customStyle="1" w:styleId="180">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1">
    <w:name w:val="标题 4 字符"/>
    <w:basedOn w:val="37"/>
    <w:link w:val="5"/>
    <w:semiHidden/>
    <w:qFormat/>
    <w:uiPriority w:val="9"/>
    <w:rPr>
      <w:rFonts w:asciiTheme="majorHAnsi" w:hAnsiTheme="majorHAnsi" w:eastAsiaTheme="majorEastAsia" w:cstheme="majorBidi"/>
      <w:b/>
      <w:bCs/>
      <w:kern w:val="2"/>
      <w:sz w:val="28"/>
      <w:szCs w:val="28"/>
    </w:rPr>
  </w:style>
  <w:style w:type="paragraph" w:customStyle="1" w:styleId="182">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8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8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312DD-0A11-47BF-848C-E81F3A827B9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16901</Words>
  <Characters>15906</Characters>
  <Lines>132</Lines>
  <Paragraphs>65</Paragraphs>
  <TotalTime>27</TotalTime>
  <ScaleCrop>false</ScaleCrop>
  <LinksUpToDate>false</LinksUpToDate>
  <CharactersWithSpaces>32742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2021-11-11T07:45:00Z</dcterms:created>
  <dc:creator>杨玲</dc:creator>
  <cp:lastModifiedBy>lenovo</cp:lastModifiedBy>
  <cp:lastPrinted>2021-09-06T09:12:00Z</cp:lastPrinted>
  <dcterms:modified xsi:type="dcterms:W3CDTF">2021-12-06T07:24:36Z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20187E4216284010B8E0511CEEBBDBFD</vt:lpwstr>
  </property>
</Properties>
</file>