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hint="eastAsia" w:ascii="楷体" w:hAnsi="楷体" w:eastAsia="楷体" w:cs="微软雅黑"/>
          <w:b/>
          <w:sz w:val="44"/>
          <w:szCs w:val="44"/>
          <w:lang w:val="en-US" w:eastAsia="zh-CN"/>
        </w:rPr>
      </w:pPr>
      <w:r>
        <w:rPr>
          <w:rFonts w:hint="eastAsia" w:ascii="楷体" w:hAnsi="楷体" w:eastAsia="楷体" w:cs="微软雅黑"/>
          <w:b/>
          <w:sz w:val="44"/>
          <w:szCs w:val="44"/>
          <w:lang w:val="en-US" w:eastAsia="zh-CN"/>
        </w:rPr>
        <w:t xml:space="preserve"> </w:t>
      </w:r>
    </w:p>
    <w:p>
      <w:pPr>
        <w:snapToGrid w:val="0"/>
        <w:spacing w:line="900" w:lineRule="exact"/>
        <w:jc w:val="center"/>
        <w:rPr>
          <w:rFonts w:hint="eastAsia" w:ascii="黑体" w:hAnsi="黑体" w:eastAsia="黑体"/>
          <w:b/>
          <w:bCs/>
          <w:sz w:val="52"/>
          <w:szCs w:val="52"/>
        </w:rPr>
      </w:pPr>
      <w:r>
        <w:rPr>
          <w:rFonts w:hint="eastAsia" w:ascii="黑体" w:hAnsi="黑体" w:eastAsia="黑体"/>
          <w:b/>
          <w:bCs/>
          <w:sz w:val="44"/>
          <w:szCs w:val="44"/>
          <w:lang w:val="en-US" w:eastAsia="zh-CN"/>
        </w:rPr>
        <w:t>长沙集星集装箱码头</w:t>
      </w:r>
      <w:r>
        <w:rPr>
          <w:rFonts w:hint="eastAsia" w:ascii="黑体" w:hAnsi="黑体" w:eastAsia="黑体"/>
          <w:b/>
          <w:bCs/>
          <w:sz w:val="44"/>
          <w:szCs w:val="44"/>
        </w:rPr>
        <w:t>有限公司</w:t>
      </w:r>
    </w:p>
    <w:p>
      <w:pPr>
        <w:snapToGrid w:val="0"/>
        <w:spacing w:line="900" w:lineRule="exact"/>
        <w:jc w:val="center"/>
        <w:rPr>
          <w:rFonts w:hint="eastAsia" w:ascii="黑体" w:hAnsi="黑体" w:eastAsia="黑体"/>
          <w:b/>
          <w:bCs/>
          <w:sz w:val="44"/>
          <w:szCs w:val="44"/>
          <w:lang w:val="en-US" w:eastAsia="zh-CN"/>
        </w:rPr>
      </w:pPr>
      <w:r>
        <w:rPr>
          <w:rFonts w:hint="eastAsia" w:ascii="黑体" w:hAnsi="黑体" w:eastAsia="黑体"/>
          <w:b/>
          <w:bCs/>
          <w:sz w:val="44"/>
          <w:szCs w:val="44"/>
          <w:lang w:val="en-US" w:eastAsia="zh-CN"/>
        </w:rPr>
        <w:t>水运口岸配套工程H986设备辐射环境影响评价报告等编制服务</w:t>
      </w:r>
    </w:p>
    <w:p>
      <w:pPr>
        <w:snapToGrid w:val="0"/>
        <w:spacing w:line="900" w:lineRule="exact"/>
        <w:jc w:val="center"/>
        <w:rPr>
          <w:rFonts w:hint="default" w:ascii="黑体" w:hAnsi="黑体" w:eastAsia="黑体"/>
          <w:b/>
          <w:bCs/>
          <w:sz w:val="44"/>
          <w:szCs w:val="44"/>
          <w:lang w:val="en-US" w:eastAsia="zh-CN"/>
        </w:rPr>
      </w:pPr>
      <w:r>
        <w:rPr>
          <w:rFonts w:hint="eastAsia" w:ascii="黑体" w:hAnsi="黑体" w:eastAsia="黑体"/>
          <w:b/>
          <w:bCs/>
          <w:sz w:val="44"/>
          <w:szCs w:val="44"/>
          <w:lang w:val="en-US" w:eastAsia="zh-CN"/>
        </w:rPr>
        <w:t>询 价 文 件</w:t>
      </w:r>
    </w:p>
    <w:p>
      <w:pPr>
        <w:snapToGrid w:val="0"/>
        <w:spacing w:line="480" w:lineRule="auto"/>
        <w:jc w:val="center"/>
        <w:rPr>
          <w:rFonts w:hint="eastAsia" w:ascii="黑体" w:hAnsi="黑体" w:eastAsia="黑体" w:cs="黑体"/>
          <w:b w:val="0"/>
          <w:bCs w:val="0"/>
          <w:sz w:val="28"/>
          <w:szCs w:val="28"/>
          <w:lang w:val="en-US" w:eastAsia="zh-CN"/>
        </w:rPr>
      </w:pPr>
    </w:p>
    <w:p>
      <w:pPr>
        <w:snapToGrid w:val="0"/>
        <w:spacing w:line="480" w:lineRule="auto"/>
        <w:jc w:val="center"/>
        <w:rPr>
          <w:b/>
          <w:bCs/>
          <w:sz w:val="48"/>
          <w:szCs w:val="48"/>
        </w:rPr>
      </w:pPr>
      <w:r>
        <w:rPr>
          <w:rFonts w:hint="eastAsia" w:ascii="黑体" w:hAnsi="黑体" w:eastAsia="黑体" w:cs="黑体"/>
          <w:b w:val="0"/>
          <w:bCs w:val="0"/>
          <w:sz w:val="28"/>
          <w:szCs w:val="28"/>
          <w:lang w:val="en-US" w:eastAsia="zh-CN"/>
        </w:rPr>
        <w:t>采购编号：省港服（2021）年询第17号【集星】</w:t>
      </w:r>
    </w:p>
    <w:p>
      <w:pPr>
        <w:spacing w:line="600" w:lineRule="exact"/>
      </w:pPr>
    </w:p>
    <w:p>
      <w:pPr>
        <w:spacing w:line="600" w:lineRule="exact"/>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spacing w:line="600" w:lineRule="exact"/>
      </w:pPr>
    </w:p>
    <w:p>
      <w:pPr>
        <w:spacing w:line="600" w:lineRule="exact"/>
      </w:pPr>
    </w:p>
    <w:p>
      <w:pPr>
        <w:tabs>
          <w:tab w:val="left" w:pos="0"/>
          <w:tab w:val="left" w:pos="4185"/>
        </w:tabs>
        <w:spacing w:line="288" w:lineRule="auto"/>
        <w:ind w:right="-6"/>
        <w:jc w:val="center"/>
        <w:rPr>
          <w:rFonts w:hint="eastAsia" w:ascii="黑体" w:hAnsi="黑体" w:eastAsia="黑体"/>
          <w:bCs/>
          <w:sz w:val="44"/>
          <w:szCs w:val="44"/>
        </w:rPr>
      </w:pPr>
      <w:r>
        <w:rPr>
          <w:rFonts w:hint="eastAsia" w:ascii="黑体" w:hAnsi="黑体" w:eastAsia="黑体"/>
          <w:bCs/>
          <w:sz w:val="44"/>
          <w:szCs w:val="44"/>
        </w:rPr>
        <w:t>二О二一年</w:t>
      </w:r>
      <w:r>
        <w:rPr>
          <w:rFonts w:hint="eastAsia" w:ascii="黑体" w:hAnsi="黑体" w:eastAsia="黑体"/>
          <w:bCs/>
          <w:sz w:val="44"/>
          <w:szCs w:val="44"/>
          <w:lang w:val="en-US" w:eastAsia="zh-CN"/>
        </w:rPr>
        <w:t>十一</w:t>
      </w:r>
      <w:r>
        <w:rPr>
          <w:rFonts w:hint="eastAsia" w:ascii="黑体" w:hAnsi="黑体" w:eastAsia="黑体"/>
          <w:bCs/>
          <w:sz w:val="44"/>
          <w:szCs w:val="44"/>
        </w:rPr>
        <w:t>月</w:t>
      </w:r>
    </w:p>
    <w:p>
      <w:pPr>
        <w:sectPr>
          <w:pgSz w:w="11906" w:h="16838"/>
          <w:pgMar w:top="1440" w:right="1800" w:bottom="1440" w:left="1800" w:header="851" w:footer="992" w:gutter="0"/>
          <w:cols w:space="425" w:num="1"/>
          <w:docGrid w:type="lines" w:linePitch="312" w:charSpace="0"/>
        </w:sectPr>
      </w:pPr>
    </w:p>
    <w:p>
      <w:pPr>
        <w:pStyle w:val="3"/>
        <w:numPr>
          <w:ilvl w:val="0"/>
          <w:numId w:val="0"/>
        </w:numPr>
        <w:ind w:leftChars="0"/>
      </w:pPr>
    </w:p>
    <w:p>
      <w:pPr>
        <w:pStyle w:val="20"/>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TOC \o "1-1" \h \u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_Toc8777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val="en-US" w:eastAsia="zh-CN"/>
        </w:rPr>
        <w:t>询价</w:t>
      </w:r>
      <w:r>
        <w:rPr>
          <w:rFonts w:hint="eastAsia" w:ascii="宋体" w:hAnsi="宋体" w:eastAsia="宋体" w:cs="宋体"/>
          <w:sz w:val="28"/>
          <w:szCs w:val="28"/>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_Toc8777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_Toc12431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_Toc12431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_Toc805 </w:instrText>
      </w:r>
      <w:r>
        <w:rPr>
          <w:rFonts w:hint="eastAsia" w:ascii="宋体" w:hAnsi="宋体" w:eastAsia="宋体" w:cs="宋体"/>
          <w:sz w:val="28"/>
          <w:szCs w:val="28"/>
          <w:lang w:val="zh-CN"/>
        </w:rPr>
        <w:fldChar w:fldCharType="separate"/>
      </w:r>
      <w:r>
        <w:rPr>
          <w:rFonts w:hint="eastAsia" w:ascii="宋体" w:hAnsi="宋体" w:eastAsia="宋体" w:cs="宋体"/>
          <w:bCs/>
          <w:sz w:val="28"/>
          <w:szCs w:val="28"/>
        </w:rPr>
        <w:t>第三章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_Toc805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_Toc17947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第四章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_Toc17947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_Toc7863 </w:instrText>
      </w:r>
      <w:r>
        <w:rPr>
          <w:rFonts w:hint="eastAsia" w:ascii="宋体" w:hAnsi="宋体" w:eastAsia="宋体" w:cs="宋体"/>
          <w:sz w:val="28"/>
          <w:szCs w:val="28"/>
          <w:lang w:val="zh-CN"/>
        </w:rPr>
        <w:fldChar w:fldCharType="separate"/>
      </w:r>
      <w:r>
        <w:rPr>
          <w:rFonts w:hint="eastAsia" w:ascii="宋体" w:hAnsi="宋体" w:eastAsia="宋体" w:cs="宋体"/>
          <w:kern w:val="0"/>
          <w:sz w:val="28"/>
          <w:szCs w:val="28"/>
          <w:lang w:val="en-US" w:eastAsia="zh-CN" w:bidi="ar-SA"/>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_Toc7863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_Toc12621 </w:instrText>
      </w:r>
      <w:r>
        <w:rPr>
          <w:rFonts w:hint="eastAsia" w:ascii="宋体" w:hAnsi="宋体" w:eastAsia="宋体" w:cs="宋体"/>
          <w:sz w:val="28"/>
          <w:szCs w:val="28"/>
          <w:lang w:val="zh-CN"/>
        </w:rPr>
        <w:fldChar w:fldCharType="separate"/>
      </w:r>
      <w:r>
        <w:rPr>
          <w:rFonts w:hint="eastAsia" w:ascii="宋体" w:hAnsi="宋体" w:eastAsia="宋体" w:cs="宋体"/>
          <w:kern w:val="0"/>
          <w:sz w:val="28"/>
          <w:szCs w:val="28"/>
          <w:lang w:val="en-US" w:eastAsia="zh-CN" w:bidi="ar-SA"/>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_Toc12621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_Toc25828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一、响应函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_Toc25828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_Toc2621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二、授权委托书(适用于有委托代理人的情况)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_Toc2621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_Toc17305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三、商务和技术偏差表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_Toc17305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_Toc19839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eastAsia="zh-CN"/>
        </w:rPr>
        <w:t>四</w:t>
      </w:r>
      <w:r>
        <w:rPr>
          <w:rFonts w:hint="eastAsia" w:ascii="宋体" w:hAnsi="宋体" w:eastAsia="宋体" w:cs="宋体"/>
          <w:sz w:val="28"/>
          <w:szCs w:val="28"/>
        </w:rPr>
        <w:t>、报价表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_Toc19839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_Toc14155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eastAsia="zh-CN"/>
        </w:rPr>
        <w:t>五</w:t>
      </w:r>
      <w:r>
        <w:rPr>
          <w:rFonts w:hint="eastAsia" w:ascii="宋体" w:hAnsi="宋体" w:eastAsia="宋体" w:cs="宋体"/>
          <w:sz w:val="28"/>
          <w:szCs w:val="28"/>
        </w:rPr>
        <w:t>、资格审查资料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_Toc14155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_Toc10014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eastAsia="zh-CN"/>
        </w:rPr>
        <w:t>六</w:t>
      </w:r>
      <w:r>
        <w:rPr>
          <w:rFonts w:hint="eastAsia" w:ascii="宋体" w:hAnsi="宋体" w:eastAsia="宋体" w:cs="宋体"/>
          <w:sz w:val="28"/>
          <w:szCs w:val="28"/>
        </w:rPr>
        <w:t>、响应方案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_Toc10014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_Toc17645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eastAsia="zh-CN"/>
        </w:rPr>
        <w:t>七</w:t>
      </w:r>
      <w:r>
        <w:rPr>
          <w:rFonts w:hint="eastAsia" w:ascii="宋体" w:hAnsi="宋体" w:eastAsia="宋体" w:cs="宋体"/>
          <w:sz w:val="28"/>
          <w:szCs w:val="28"/>
        </w:rPr>
        <w:t>、其他资料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_Toc17645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_Toc1245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一、响应函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_Toc1245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_Toc5478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二、授权委托书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_Toc5478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_Toc23914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eastAsia="zh-CN"/>
        </w:rPr>
        <w:t>三、</w:t>
      </w:r>
      <w:r>
        <w:rPr>
          <w:rFonts w:hint="eastAsia" w:ascii="宋体" w:hAnsi="宋体" w:eastAsia="宋体" w:cs="宋体"/>
          <w:sz w:val="28"/>
          <w:szCs w:val="28"/>
        </w:rPr>
        <w:t>商务和技术偏差表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_Toc23914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_Toc6256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eastAsia="zh-CN"/>
        </w:rPr>
        <w:t>四、报价</w:t>
      </w:r>
      <w:r>
        <w:rPr>
          <w:rFonts w:hint="eastAsia" w:ascii="宋体" w:hAnsi="宋体" w:eastAsia="宋体" w:cs="宋体"/>
          <w:sz w:val="28"/>
          <w:szCs w:val="28"/>
        </w:rPr>
        <w:t>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_Toc6256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_Toc28248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eastAsia="zh-CN"/>
        </w:rPr>
        <w:t>五、</w:t>
      </w:r>
      <w:r>
        <w:rPr>
          <w:rFonts w:hint="eastAsia" w:ascii="宋体" w:hAnsi="宋体" w:eastAsia="宋体" w:cs="宋体"/>
          <w:sz w:val="28"/>
          <w:szCs w:val="28"/>
        </w:rPr>
        <w:t>资格审查资料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_Toc28248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_Toc22310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val="zh-CN"/>
        </w:rPr>
        <w:t>六、</w:t>
      </w:r>
      <w:r>
        <w:rPr>
          <w:rFonts w:hint="eastAsia" w:ascii="宋体" w:hAnsi="宋体" w:eastAsia="宋体" w:cs="宋体"/>
          <w:sz w:val="28"/>
          <w:szCs w:val="28"/>
        </w:rPr>
        <w:t>响应方案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_Toc22310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pStyle w:val="10"/>
        <w:tabs>
          <w:tab w:val="right" w:leader="dot" w:pos="8306"/>
          <w:tab w:val="clear" w:pos="9242"/>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_Toc7902 </w:instrText>
      </w:r>
      <w:r>
        <w:rPr>
          <w:rFonts w:hint="eastAsia" w:ascii="宋体" w:hAnsi="宋体" w:eastAsia="宋体" w:cs="宋体"/>
          <w:sz w:val="28"/>
          <w:szCs w:val="28"/>
          <w:lang w:val="zh-CN"/>
        </w:rPr>
        <w:fldChar w:fldCharType="separate"/>
      </w:r>
      <w:r>
        <w:rPr>
          <w:rFonts w:hint="eastAsia" w:ascii="宋体" w:hAnsi="宋体" w:eastAsia="宋体" w:cs="宋体"/>
          <w:bCs w:val="0"/>
          <w:sz w:val="28"/>
          <w:szCs w:val="28"/>
          <w:lang w:eastAsia="zh-CN"/>
        </w:rPr>
        <w:t>七、其他资料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_Toc7902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pPr>
        <w:rPr>
          <w:rFonts w:hint="eastAsia" w:ascii="宋体" w:hAnsi="宋体" w:eastAsia="宋体" w:cs="宋体"/>
          <w:sz w:val="28"/>
          <w:szCs w:val="28"/>
          <w:lang w:val="zh-CN"/>
        </w:rPr>
      </w:pPr>
      <w:r>
        <w:rPr>
          <w:rFonts w:hint="eastAsia" w:ascii="宋体" w:hAnsi="宋体" w:eastAsia="宋体" w:cs="宋体"/>
          <w:sz w:val="28"/>
          <w:szCs w:val="28"/>
          <w:lang w:val="zh-CN"/>
        </w:rPr>
        <w:fldChar w:fldCharType="end"/>
      </w:r>
    </w:p>
    <w:p>
      <w:pPr>
        <w:pStyle w:val="21"/>
        <w:numPr>
          <w:ilvl w:val="0"/>
          <w:numId w:val="2"/>
        </w:numPr>
        <w:spacing w:line="600" w:lineRule="exact"/>
        <w:ind w:firstLineChars="0"/>
        <w:jc w:val="center"/>
        <w:rPr>
          <w:rFonts w:hint="eastAsia" w:ascii="宋体" w:hAnsi="宋体" w:eastAsia="宋体" w:cs="宋体"/>
          <w:b/>
          <w:color w:val="000000"/>
          <w:sz w:val="28"/>
          <w:szCs w:val="28"/>
        </w:rPr>
        <w:sectPr>
          <w:footerReference r:id="rId5" w:type="default"/>
          <w:pgSz w:w="11906" w:h="16838"/>
          <w:pgMar w:top="1440" w:right="1800" w:bottom="1440" w:left="1800" w:header="851" w:footer="992" w:gutter="0"/>
          <w:pgNumType w:start="1"/>
          <w:cols w:space="425" w:num="1"/>
          <w:docGrid w:type="lines" w:linePitch="312" w:charSpace="0"/>
        </w:sectPr>
      </w:pPr>
    </w:p>
    <w:p>
      <w:pPr>
        <w:pStyle w:val="21"/>
        <w:numPr>
          <w:ilvl w:val="0"/>
          <w:numId w:val="2"/>
        </w:numPr>
        <w:spacing w:line="600" w:lineRule="exact"/>
        <w:ind w:firstLineChars="0"/>
        <w:jc w:val="center"/>
        <w:outlineLvl w:val="0"/>
        <w:rPr>
          <w:rFonts w:ascii="黑体" w:hAnsi="黑体" w:eastAsia="黑体" w:cs="仿宋"/>
          <w:b/>
          <w:color w:val="000000"/>
          <w:sz w:val="44"/>
          <w:szCs w:val="44"/>
        </w:rPr>
      </w:pPr>
      <w:bookmarkStart w:id="0" w:name="_Toc8777"/>
      <w:r>
        <w:rPr>
          <w:rFonts w:hint="eastAsia" w:ascii="黑体" w:hAnsi="黑体" w:eastAsia="黑体" w:cs="仿宋"/>
          <w:b/>
          <w:color w:val="000000"/>
          <w:sz w:val="44"/>
          <w:szCs w:val="44"/>
          <w:lang w:val="en-US" w:eastAsia="zh-CN"/>
        </w:rPr>
        <w:t>询价</w:t>
      </w:r>
      <w:r>
        <w:rPr>
          <w:rFonts w:hint="eastAsia" w:ascii="黑体" w:hAnsi="黑体" w:eastAsia="黑体" w:cs="仿宋"/>
          <w:b/>
          <w:color w:val="000000"/>
          <w:sz w:val="44"/>
          <w:szCs w:val="44"/>
        </w:rPr>
        <w:t>公告</w:t>
      </w:r>
      <w:bookmarkEnd w:id="0"/>
    </w:p>
    <w:p>
      <w:pPr>
        <w:snapToGrid w:val="0"/>
        <w:spacing w:line="900" w:lineRule="exact"/>
        <w:jc w:val="center"/>
        <w:rPr>
          <w:rFonts w:hint="eastAsia" w:ascii="黑体" w:hAnsi="黑体" w:eastAsia="黑体"/>
          <w:b w:val="0"/>
          <w:bCs w:val="0"/>
          <w:sz w:val="32"/>
          <w:szCs w:val="32"/>
        </w:rPr>
      </w:pPr>
      <w:r>
        <w:rPr>
          <w:rFonts w:hint="eastAsia" w:ascii="黑体" w:hAnsi="黑体" w:eastAsia="黑体"/>
          <w:b w:val="0"/>
          <w:bCs w:val="0"/>
          <w:sz w:val="32"/>
          <w:szCs w:val="32"/>
          <w:lang w:val="en-US" w:eastAsia="zh-CN"/>
        </w:rPr>
        <w:t>长沙集星集装箱码头</w:t>
      </w:r>
      <w:r>
        <w:rPr>
          <w:rFonts w:hint="eastAsia" w:ascii="黑体" w:hAnsi="黑体" w:eastAsia="黑体"/>
          <w:b w:val="0"/>
          <w:bCs w:val="0"/>
          <w:sz w:val="32"/>
          <w:szCs w:val="32"/>
        </w:rPr>
        <w:t>有限公司</w:t>
      </w:r>
    </w:p>
    <w:p>
      <w:pPr>
        <w:spacing w:line="480" w:lineRule="auto"/>
        <w:jc w:val="center"/>
        <w:rPr>
          <w:rFonts w:ascii="黑体" w:hAnsi="黑体" w:eastAsia="黑体"/>
          <w:sz w:val="32"/>
          <w:szCs w:val="32"/>
        </w:rPr>
      </w:pPr>
      <w:r>
        <w:rPr>
          <w:rFonts w:hint="eastAsia" w:ascii="黑体" w:hAnsi="黑体" w:eastAsia="黑体"/>
          <w:b w:val="0"/>
          <w:bCs w:val="0"/>
          <w:sz w:val="32"/>
          <w:szCs w:val="32"/>
          <w:lang w:val="en-US" w:eastAsia="zh-CN"/>
        </w:rPr>
        <w:t>长沙港霞凝港区三期工程南片区水运口岸配套工程H986设备</w:t>
      </w:r>
      <w:r>
        <w:rPr>
          <w:rFonts w:hint="eastAsia" w:ascii="黑体" w:hAnsi="黑体" w:eastAsia="黑体" w:cs="黑体"/>
          <w:b w:val="0"/>
          <w:bCs w:val="0"/>
          <w:sz w:val="32"/>
          <w:szCs w:val="32"/>
        </w:rPr>
        <w:t>辐射环境影响评价</w:t>
      </w:r>
      <w:r>
        <w:rPr>
          <w:rFonts w:hint="eastAsia" w:ascii="黑体" w:hAnsi="黑体" w:eastAsia="黑体" w:cs="黑体"/>
          <w:b w:val="0"/>
          <w:bCs w:val="0"/>
          <w:sz w:val="32"/>
          <w:szCs w:val="32"/>
          <w:lang w:eastAsia="zh-CN"/>
        </w:rPr>
        <w:t>报告等编制服务询价采购公告</w:t>
      </w:r>
    </w:p>
    <w:p>
      <w:pPr>
        <w:pStyle w:val="13"/>
        <w:spacing w:before="0" w:beforeAutospacing="0" w:after="0" w:afterAutospacing="0"/>
        <w:ind w:firstLine="2880" w:firstLineChars="1200"/>
        <w:jc w:val="both"/>
      </w:pPr>
      <w:r>
        <w:rPr>
          <w:rFonts w:hint="eastAsia"/>
        </w:rPr>
        <w:t xml:space="preserve"> </w:t>
      </w:r>
    </w:p>
    <w:p>
      <w:pPr>
        <w:autoSpaceDE w:val="0"/>
        <w:spacing w:line="400" w:lineRule="exact"/>
        <w:ind w:firstLine="240" w:firstLineChars="100"/>
        <w:jc w:val="both"/>
        <w:rPr>
          <w:rFonts w:hint="eastAsia" w:ascii="宋体" w:hAnsi="宋体"/>
          <w:sz w:val="24"/>
        </w:rPr>
      </w:pPr>
      <w:r>
        <w:rPr>
          <w:rFonts w:hint="eastAsia" w:ascii="宋体" w:hAnsi="宋体" w:eastAsia="宋体" w:cs="宋体"/>
          <w:sz w:val="24"/>
          <w:szCs w:val="24"/>
        </w:rPr>
        <w:t xml:space="preserve">   </w:t>
      </w:r>
      <w:r>
        <w:rPr>
          <w:rFonts w:hint="eastAsia" w:ascii="宋体" w:hAnsi="宋体"/>
          <w:sz w:val="24"/>
          <w:lang w:val="en-US" w:eastAsia="zh-CN"/>
        </w:rPr>
        <w:t>长沙集星集装箱码头有限公司长沙港霞凝港区三期工程南片区水运口岸配套工程H986设备辐射环境影响评价报告等编制服务项目</w:t>
      </w:r>
      <w:r>
        <w:rPr>
          <w:rFonts w:hint="eastAsia" w:ascii="宋体" w:hAnsi="宋体"/>
          <w:sz w:val="24"/>
        </w:rPr>
        <w:t>已具备采购条件</w:t>
      </w:r>
      <w:r>
        <w:rPr>
          <w:rFonts w:hint="eastAsia" w:ascii="宋体" w:hAnsi="宋体"/>
          <w:sz w:val="24"/>
          <w:lang w:eastAsia="zh-CN"/>
        </w:rPr>
        <w:t>，</w:t>
      </w:r>
      <w:r>
        <w:rPr>
          <w:rFonts w:hint="eastAsia" w:ascii="宋体" w:hAnsi="宋体"/>
          <w:sz w:val="24"/>
        </w:rPr>
        <w:t>现</w:t>
      </w:r>
      <w:r>
        <w:rPr>
          <w:rFonts w:hint="eastAsia" w:ascii="宋体" w:hAnsi="宋体"/>
          <w:sz w:val="24"/>
          <w:lang w:val="en-US" w:eastAsia="zh-CN"/>
        </w:rPr>
        <w:t>公开</w:t>
      </w:r>
      <w:r>
        <w:rPr>
          <w:rFonts w:hint="eastAsia" w:ascii="宋体" w:hAnsi="宋体"/>
          <w:sz w:val="24"/>
        </w:rPr>
        <w:t xml:space="preserve">邀请供应商参加采购活动。 </w:t>
      </w:r>
    </w:p>
    <w:p>
      <w:pPr>
        <w:autoSpaceDE w:val="0"/>
        <w:spacing w:line="400" w:lineRule="exact"/>
        <w:ind w:firstLine="241" w:firstLineChars="100"/>
        <w:jc w:val="both"/>
        <w:rPr>
          <w:rFonts w:hint="eastAsia" w:ascii="宋体" w:hAnsi="宋体"/>
          <w:b/>
          <w:bCs/>
          <w:sz w:val="24"/>
        </w:rPr>
      </w:pPr>
      <w:r>
        <w:rPr>
          <w:rFonts w:hint="eastAsia" w:ascii="宋体" w:hAnsi="宋体"/>
          <w:b/>
          <w:bCs/>
          <w:sz w:val="24"/>
          <w:lang w:val="en-US" w:eastAsia="zh-CN"/>
        </w:rPr>
        <w:t>一、</w:t>
      </w:r>
      <w:r>
        <w:rPr>
          <w:rFonts w:hint="eastAsia" w:ascii="宋体" w:hAnsi="宋体"/>
          <w:b/>
          <w:bCs/>
          <w:sz w:val="24"/>
        </w:rPr>
        <w:t xml:space="preserve"> 采购项目简介 </w:t>
      </w:r>
    </w:p>
    <w:p>
      <w:pPr>
        <w:autoSpaceDE w:val="0"/>
        <w:spacing w:line="400" w:lineRule="exact"/>
        <w:ind w:firstLine="240" w:firstLineChars="1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 xml:space="preserve"> 采购项目名称:</w:t>
      </w:r>
      <w:r>
        <w:rPr>
          <w:rFonts w:hint="eastAsia" w:ascii="宋体" w:hAnsi="宋体"/>
          <w:sz w:val="24"/>
          <w:lang w:val="en-US" w:eastAsia="zh-CN"/>
        </w:rPr>
        <w:t>长沙集星集装箱码头有限公司长沙港霞凝港区三期工程南片区水运口岸配套工程H986设备辐射环境影响评价报告等编制服务项目</w:t>
      </w:r>
      <w:r>
        <w:rPr>
          <w:rFonts w:hint="eastAsia" w:ascii="宋体" w:hAnsi="宋体"/>
          <w:sz w:val="24"/>
          <w:lang w:val="zh-CN"/>
        </w:rPr>
        <w:t>。</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 xml:space="preserve">采购人: </w:t>
      </w:r>
      <w:r>
        <w:rPr>
          <w:rFonts w:hint="eastAsia" w:ascii="宋体" w:hAnsi="宋体"/>
          <w:sz w:val="24"/>
          <w:lang w:val="en-US" w:eastAsia="zh-CN"/>
        </w:rPr>
        <w:t>长沙集星集装箱码头</w:t>
      </w:r>
      <w:r>
        <w:rPr>
          <w:rFonts w:hint="eastAsia" w:ascii="宋体" w:hAnsi="宋体"/>
          <w:sz w:val="24"/>
        </w:rPr>
        <w:t>有限公司</w:t>
      </w:r>
      <w:r>
        <w:rPr>
          <w:rFonts w:hint="eastAsia" w:ascii="宋体" w:hAnsi="宋体"/>
          <w:sz w:val="24"/>
          <w:lang w:eastAsia="zh-CN"/>
        </w:rPr>
        <w:t>。</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采购代理机构:</w:t>
      </w:r>
      <w:r>
        <w:rPr>
          <w:rFonts w:hint="eastAsia" w:ascii="宋体" w:hAnsi="宋体"/>
          <w:sz w:val="24"/>
          <w:lang w:eastAsia="zh-CN"/>
        </w:rPr>
        <w:t>无</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四</w:t>
      </w:r>
      <w:r>
        <w:rPr>
          <w:rFonts w:hint="eastAsia" w:ascii="宋体" w:hAnsi="宋体"/>
          <w:sz w:val="24"/>
          <w:lang w:eastAsia="zh-CN"/>
        </w:rPr>
        <w:t>）</w:t>
      </w:r>
      <w:r>
        <w:rPr>
          <w:rFonts w:hint="eastAsia" w:ascii="宋体" w:hAnsi="宋体"/>
          <w:sz w:val="24"/>
        </w:rPr>
        <w:t>采购项目资金落实情况:</w:t>
      </w:r>
      <w:r>
        <w:rPr>
          <w:rFonts w:hint="eastAsia" w:ascii="宋体" w:hAnsi="宋体"/>
          <w:sz w:val="24"/>
          <w:lang w:eastAsia="zh-CN"/>
        </w:rPr>
        <w:t>企业自筹，已落实。</w:t>
      </w:r>
    </w:p>
    <w:p>
      <w:pPr>
        <w:autoSpaceDE w:val="0"/>
        <w:spacing w:line="400" w:lineRule="exact"/>
        <w:ind w:firstLine="240" w:firstLineChars="100"/>
        <w:jc w:val="both"/>
        <w:rPr>
          <w:rFonts w:hint="eastAsia" w:ascii="宋体" w:hAnsi="宋体" w:eastAsia="宋体" w:cs="宋体"/>
          <w:sz w:val="24"/>
          <w:szCs w:val="24"/>
          <w:lang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采购项目概况: </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长沙集星集装箱码头有限公司长沙港霞凝港区三期工程南片区水运口岸配套工程位于长沙港霞凝港区，海关总署从江门海关调拨一台</w:t>
      </w:r>
      <w:r>
        <w:rPr>
          <w:rFonts w:hint="eastAsia" w:asciiTheme="minorEastAsia" w:hAnsiTheme="minorEastAsia" w:eastAsiaTheme="minorEastAsia" w:cstheme="minorEastAsia"/>
          <w:color w:val="auto"/>
          <w:sz w:val="24"/>
          <w:szCs w:val="24"/>
          <w:u w:val="none"/>
          <w:shd w:val="clear" w:color="auto" w:fill="auto"/>
          <w:lang w:val="en-US" w:eastAsia="zh-CN"/>
        </w:rPr>
        <w:t>H986查验设备交付长沙霞凝港使用，本次询价采购为H986查验设备辐射环境影响评价报告等编制服务。</w:t>
      </w:r>
    </w:p>
    <w:p>
      <w:pPr>
        <w:autoSpaceDE w:val="0"/>
        <w:spacing w:line="400" w:lineRule="exact"/>
        <w:ind w:firstLine="241" w:firstLineChars="100"/>
        <w:jc w:val="both"/>
        <w:rPr>
          <w:rFonts w:hint="eastAsia" w:ascii="宋体" w:hAnsi="宋体"/>
          <w:b/>
          <w:bCs/>
          <w:sz w:val="24"/>
        </w:rPr>
      </w:pPr>
      <w:r>
        <w:rPr>
          <w:rFonts w:hint="eastAsia" w:ascii="宋体" w:hAnsi="宋体"/>
          <w:b/>
          <w:bCs/>
          <w:sz w:val="24"/>
          <w:lang w:val="en-US" w:eastAsia="zh-CN"/>
        </w:rPr>
        <w:t>二、</w:t>
      </w:r>
      <w:r>
        <w:rPr>
          <w:rFonts w:hint="eastAsia" w:ascii="宋体" w:hAnsi="宋体"/>
          <w:b/>
          <w:bCs/>
          <w:sz w:val="24"/>
        </w:rPr>
        <w:t xml:space="preserve">采购范围及相关要求 </w:t>
      </w:r>
    </w:p>
    <w:p>
      <w:pPr>
        <w:autoSpaceDE w:val="0"/>
        <w:spacing w:line="400" w:lineRule="exact"/>
        <w:ind w:firstLine="240" w:firstLineChars="1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 xml:space="preserve"> 采购范围: </w:t>
      </w:r>
      <w:r>
        <w:rPr>
          <w:rFonts w:hint="eastAsia" w:ascii="宋体" w:hAnsi="宋体" w:eastAsia="宋体" w:cs="宋体"/>
          <w:bCs/>
          <w:sz w:val="24"/>
          <w:szCs w:val="24"/>
        </w:rPr>
        <w:t>长沙港霞凝港区三期工程</w:t>
      </w:r>
      <w:r>
        <w:rPr>
          <w:rFonts w:hint="eastAsia" w:ascii="宋体" w:hAnsi="宋体" w:eastAsia="宋体" w:cs="宋体"/>
          <w:bCs/>
          <w:sz w:val="24"/>
          <w:szCs w:val="24"/>
          <w:lang w:eastAsia="zh-CN"/>
        </w:rPr>
        <w:t>南片区水运口岸配套工程</w:t>
      </w:r>
      <w:r>
        <w:rPr>
          <w:rFonts w:hint="eastAsia" w:ascii="宋体" w:hAnsi="宋体" w:eastAsia="宋体" w:cs="宋体"/>
          <w:bCs/>
          <w:sz w:val="24"/>
          <w:szCs w:val="24"/>
        </w:rPr>
        <w:t>H986设备辐射环境影响评价、竣工环境保护验收、职业病危害放射防护预评价、职业病危害放射防护控制效果评价</w:t>
      </w:r>
      <w:r>
        <w:rPr>
          <w:rFonts w:hint="eastAsia" w:ascii="宋体" w:hAnsi="宋体"/>
          <w:sz w:val="24"/>
        </w:rPr>
        <w:t xml:space="preserve"> </w:t>
      </w:r>
    </w:p>
    <w:p>
      <w:pPr>
        <w:autoSpaceDE w:val="0"/>
        <w:spacing w:line="400" w:lineRule="exact"/>
        <w:ind w:firstLine="240" w:firstLineChars="100"/>
        <w:jc w:val="both"/>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 xml:space="preserve">服务期限: </w:t>
      </w:r>
      <w:r>
        <w:rPr>
          <w:rFonts w:hint="eastAsia" w:ascii="宋体" w:hAnsi="宋体"/>
          <w:sz w:val="24"/>
          <w:lang w:eastAsia="zh-CN"/>
        </w:rPr>
        <w:t>项目实施期间</w:t>
      </w:r>
    </w:p>
    <w:p>
      <w:pPr>
        <w:autoSpaceDE w:val="0"/>
        <w:spacing w:line="400" w:lineRule="exact"/>
        <w:ind w:firstLine="240" w:firstLineChars="1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 xml:space="preserve">服务地点: </w:t>
      </w:r>
      <w:r>
        <w:rPr>
          <w:rFonts w:hint="eastAsia" w:ascii="宋体" w:hAnsi="宋体"/>
          <w:sz w:val="24"/>
          <w:lang w:val="en-US" w:eastAsia="zh-CN"/>
        </w:rPr>
        <w:t>长沙集星集装箱码头</w:t>
      </w:r>
      <w:r>
        <w:rPr>
          <w:rFonts w:hint="eastAsia" w:ascii="宋体" w:hAnsi="宋体"/>
          <w:sz w:val="24"/>
        </w:rPr>
        <w:t>有限公司</w:t>
      </w:r>
    </w:p>
    <w:p>
      <w:pPr>
        <w:autoSpaceDE w:val="0"/>
        <w:spacing w:line="400" w:lineRule="exact"/>
        <w:ind w:firstLine="240" w:firstLineChars="1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四</w:t>
      </w:r>
      <w:r>
        <w:rPr>
          <w:rFonts w:hint="eastAsia" w:ascii="宋体" w:hAnsi="宋体"/>
          <w:sz w:val="24"/>
          <w:lang w:eastAsia="zh-CN"/>
        </w:rPr>
        <w:t>）</w:t>
      </w:r>
      <w:r>
        <w:rPr>
          <w:rFonts w:hint="eastAsia" w:ascii="宋体" w:hAnsi="宋体"/>
          <w:sz w:val="24"/>
        </w:rPr>
        <w:t xml:space="preserve">质量要求或服务标准: </w:t>
      </w:r>
    </w:p>
    <w:p>
      <w:pPr>
        <w:autoSpaceDE w:val="0"/>
        <w:spacing w:line="400" w:lineRule="exact"/>
        <w:ind w:firstLine="240" w:firstLineChars="100"/>
        <w:jc w:val="both"/>
        <w:rPr>
          <w:rFonts w:hint="eastAsia" w:ascii="宋体" w:hAnsi="宋体"/>
          <w:sz w:val="24"/>
          <w:lang w:val="en-US" w:eastAsia="zh-CN"/>
        </w:rPr>
      </w:pPr>
      <w:r>
        <w:rPr>
          <w:rFonts w:hint="eastAsia" w:ascii="宋体" w:hAnsi="宋体"/>
          <w:sz w:val="24"/>
          <w:lang w:val="en-US" w:eastAsia="zh-CN"/>
        </w:rPr>
        <w:t>详见询价文件第三章“采购需求”</w:t>
      </w:r>
    </w:p>
    <w:p>
      <w:pPr>
        <w:autoSpaceDE w:val="0"/>
        <w:spacing w:line="400" w:lineRule="exact"/>
        <w:ind w:firstLine="241" w:firstLineChars="100"/>
        <w:jc w:val="both"/>
        <w:rPr>
          <w:rFonts w:hint="eastAsia" w:ascii="宋体" w:hAnsi="宋体"/>
          <w:b/>
          <w:bCs/>
          <w:sz w:val="24"/>
        </w:rPr>
      </w:pPr>
      <w:r>
        <w:rPr>
          <w:rFonts w:hint="eastAsia" w:ascii="宋体" w:hAnsi="宋体"/>
          <w:b/>
          <w:bCs/>
          <w:sz w:val="24"/>
          <w:lang w:val="en-US" w:eastAsia="zh-CN"/>
        </w:rPr>
        <w:t>三、</w:t>
      </w:r>
      <w:r>
        <w:rPr>
          <w:rFonts w:hint="eastAsia" w:ascii="宋体" w:hAnsi="宋体"/>
          <w:b/>
          <w:bCs/>
          <w:sz w:val="24"/>
        </w:rPr>
        <w:t>供应商资格要求</w:t>
      </w:r>
    </w:p>
    <w:p>
      <w:pPr>
        <w:autoSpaceDE w:val="0"/>
        <w:spacing w:line="400" w:lineRule="exact"/>
        <w:ind w:firstLine="240" w:firstLineChars="1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供应商不得存在下列情形之一:</w:t>
      </w:r>
    </w:p>
    <w:p>
      <w:pPr>
        <w:autoSpaceDE w:val="0"/>
        <w:spacing w:line="400" w:lineRule="exact"/>
        <w:ind w:firstLine="240" w:firstLineChars="100"/>
        <w:jc w:val="both"/>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处于被责令停产停业、暂扣或者吊销执照、暂扣或者吊销许可证、吊销资质证书状态;</w:t>
      </w:r>
    </w:p>
    <w:p>
      <w:pPr>
        <w:autoSpaceDE w:val="0"/>
        <w:spacing w:line="400" w:lineRule="exact"/>
        <w:ind w:firstLine="240" w:firstLineChars="100"/>
        <w:jc w:val="both"/>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进入清算程序，或被宣告破产，或其他丧失履约能力的情形;</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rPr>
        <w:t>3</w:t>
      </w:r>
      <w:r>
        <w:rPr>
          <w:rFonts w:hint="eastAsia" w:ascii="宋体" w:hAnsi="宋体"/>
          <w:sz w:val="24"/>
          <w:lang w:val="en-US" w:eastAsia="zh-CN"/>
        </w:rPr>
        <w:t>.</w:t>
      </w:r>
      <w:r>
        <w:rPr>
          <w:rFonts w:hint="eastAsia" w:ascii="宋体" w:hAnsi="宋体"/>
          <w:sz w:val="24"/>
        </w:rPr>
        <w:t>被采购人或采购人上级单位纳入黑名单</w:t>
      </w:r>
      <w:r>
        <w:rPr>
          <w:rFonts w:hint="eastAsia" w:ascii="宋体" w:hAnsi="宋体"/>
          <w:sz w:val="24"/>
          <w:lang w:eastAsia="zh-CN"/>
        </w:rPr>
        <w:t>；</w:t>
      </w:r>
    </w:p>
    <w:p>
      <w:pPr>
        <w:autoSpaceDE w:val="0"/>
        <w:spacing w:line="400" w:lineRule="exact"/>
        <w:ind w:firstLine="240" w:firstLineChars="100"/>
        <w:jc w:val="both"/>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为投资参股本项目的法人单位；</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lang w:val="en-US" w:eastAsia="zh-CN"/>
        </w:rPr>
        <w:t>5.</w:t>
      </w:r>
      <w:r>
        <w:rPr>
          <w:rFonts w:hint="eastAsia" w:ascii="宋体" w:hAnsi="宋体"/>
          <w:sz w:val="24"/>
        </w:rPr>
        <w:t>被省级及以上交通主管部门取消项目所在地的投标资格或禁止进入该区域水运建设市场且处于有效期内；</w:t>
      </w:r>
    </w:p>
    <w:p>
      <w:pPr>
        <w:autoSpaceDE w:val="0"/>
        <w:spacing w:line="400" w:lineRule="exact"/>
        <w:ind w:firstLine="240" w:firstLineChars="100"/>
        <w:jc w:val="both"/>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供应商应满足如下要求:</w:t>
      </w:r>
    </w:p>
    <w:tbl>
      <w:tblPr>
        <w:tblStyle w:val="15"/>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639"/>
        <w:gridCol w:w="4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42" w:type="dxa"/>
          </w:tcPr>
          <w:p>
            <w:pPr>
              <w:widowControl w:val="0"/>
              <w:spacing w:line="320" w:lineRule="exact"/>
              <w:jc w:val="center"/>
              <w:rPr>
                <w:rFonts w:ascii="宋体" w:hAnsi="宋体"/>
                <w:sz w:val="24"/>
              </w:rPr>
            </w:pPr>
            <w:r>
              <w:rPr>
                <w:rFonts w:hint="eastAsia" w:ascii="宋体" w:hAnsi="宋体"/>
                <w:sz w:val="24"/>
              </w:rPr>
              <w:t>资格条件</w:t>
            </w:r>
          </w:p>
        </w:tc>
        <w:tc>
          <w:tcPr>
            <w:tcW w:w="1639" w:type="dxa"/>
          </w:tcPr>
          <w:p>
            <w:pPr>
              <w:widowControl w:val="0"/>
              <w:spacing w:line="320" w:lineRule="exact"/>
              <w:jc w:val="center"/>
              <w:rPr>
                <w:rFonts w:ascii="宋体" w:hAnsi="宋体"/>
                <w:sz w:val="24"/>
              </w:rPr>
            </w:pPr>
            <w:r>
              <w:rPr>
                <w:rFonts w:hint="eastAsia" w:ascii="宋体" w:hAnsi="宋体"/>
                <w:sz w:val="24"/>
              </w:rPr>
              <w:t>对供应商要求</w:t>
            </w:r>
          </w:p>
        </w:tc>
        <w:tc>
          <w:tcPr>
            <w:tcW w:w="4997"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sz w:val="24"/>
              </w:rPr>
            </w:pPr>
            <w:r>
              <w:rPr>
                <w:rFonts w:hint="eastAsia" w:ascii="宋体" w:hAnsi="宋体"/>
                <w:b w:val="0"/>
                <w:bCs w:val="0"/>
                <w:sz w:val="24"/>
              </w:rPr>
              <w:t>（1）依法设立</w:t>
            </w:r>
          </w:p>
        </w:tc>
        <w:tc>
          <w:tcPr>
            <w:tcW w:w="1639" w:type="dxa"/>
          </w:tcPr>
          <w:p>
            <w:pPr>
              <w:widowControl w:val="0"/>
              <w:spacing w:line="320" w:lineRule="exact"/>
              <w:jc w:val="both"/>
              <w:rPr>
                <w:rStyle w:val="17"/>
                <w:b w:val="0"/>
                <w:bCs w:val="0"/>
                <w:u w:val="single"/>
              </w:rPr>
            </w:pPr>
            <w:r>
              <w:rPr>
                <w:rStyle w:val="17"/>
                <w:rFonts w:hint="eastAsia"/>
                <w:b w:val="0"/>
                <w:bCs w:val="0"/>
                <w:u w:val="single"/>
              </w:rPr>
              <w:t xml:space="preserve">□不适用  </w:t>
            </w:r>
          </w:p>
          <w:p>
            <w:pPr>
              <w:widowControl w:val="0"/>
              <w:spacing w:line="320" w:lineRule="exact"/>
              <w:jc w:val="both"/>
              <w:rPr>
                <w:rFonts w:ascii="宋体" w:hAnsi="宋体"/>
                <w:b w:val="0"/>
                <w:bCs w:val="0"/>
                <w:sz w:val="24"/>
              </w:rPr>
            </w:pPr>
            <w:r>
              <w:rPr>
                <w:rStyle w:val="17"/>
                <w:rFonts w:hint="eastAsia"/>
                <w:b w:val="0"/>
                <w:bCs w:val="0"/>
                <w:u w:val="single"/>
                <w:lang w:eastAsia="zh-CN"/>
              </w:rPr>
              <w:t>☑</w:t>
            </w:r>
            <w:r>
              <w:rPr>
                <w:rStyle w:val="17"/>
                <w:rFonts w:hint="eastAsia"/>
                <w:b w:val="0"/>
                <w:bCs w:val="0"/>
                <w:u w:val="single"/>
              </w:rPr>
              <w:t>适用</w:t>
            </w:r>
          </w:p>
        </w:tc>
        <w:tc>
          <w:tcPr>
            <w:tcW w:w="4997" w:type="dxa"/>
          </w:tcPr>
          <w:p>
            <w:pPr>
              <w:widowControl w:val="0"/>
              <w:spacing w:line="320" w:lineRule="exact"/>
              <w:jc w:val="both"/>
              <w:rPr>
                <w:rStyle w:val="17"/>
                <w:rFonts w:hint="eastAsia"/>
                <w:b w:val="0"/>
                <w:bCs w:val="0"/>
                <w:u w:val="none"/>
              </w:rPr>
            </w:pPr>
            <w:r>
              <w:rPr>
                <w:rStyle w:val="17"/>
                <w:rFonts w:hint="eastAsia"/>
                <w:b w:val="0"/>
                <w:bCs w:val="0"/>
                <w:u w:val="none"/>
              </w:rPr>
              <w:t>供应商应提供市场监管部门或其他行政机关颁发的可以合法开展业务的执照或证书。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（2）资质要求</w:t>
            </w:r>
          </w:p>
        </w:tc>
        <w:tc>
          <w:tcPr>
            <w:tcW w:w="1639" w:type="dxa"/>
          </w:tcPr>
          <w:p>
            <w:pPr>
              <w:widowControl w:val="0"/>
              <w:spacing w:line="320" w:lineRule="exact"/>
              <w:jc w:val="both"/>
              <w:rPr>
                <w:rStyle w:val="17"/>
                <w:b w:val="0"/>
                <w:bCs w:val="0"/>
                <w:color w:val="auto"/>
                <w:u w:val="single"/>
              </w:rPr>
            </w:pPr>
            <w:r>
              <w:rPr>
                <w:rStyle w:val="17"/>
                <w:rFonts w:hint="eastAsia"/>
                <w:b w:val="0"/>
                <w:bCs w:val="0"/>
                <w:color w:val="auto"/>
                <w:u w:val="single"/>
                <w:lang w:eastAsia="zh-CN"/>
              </w:rPr>
              <w:t>□</w:t>
            </w: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lang w:eastAsia="zh-CN"/>
              </w:rPr>
              <w:t>☑</w:t>
            </w:r>
            <w:r>
              <w:rPr>
                <w:rStyle w:val="17"/>
                <w:rFonts w:hint="eastAsia"/>
                <w:b w:val="0"/>
                <w:bCs w:val="0"/>
                <w:color w:val="auto"/>
                <w:u w:val="single"/>
              </w:rPr>
              <w:t>适用</w:t>
            </w:r>
          </w:p>
        </w:tc>
        <w:tc>
          <w:tcPr>
            <w:tcW w:w="4997" w:type="dxa"/>
          </w:tcPr>
          <w:p>
            <w:pPr>
              <w:widowControl w:val="0"/>
              <w:spacing w:line="320" w:lineRule="exact"/>
              <w:jc w:val="both"/>
              <w:rPr>
                <w:rStyle w:val="17"/>
                <w:b w:val="0"/>
                <w:bCs w:val="0"/>
                <w:color w:val="auto"/>
                <w:u w:val="none"/>
              </w:rPr>
            </w:pPr>
            <w:r>
              <w:rPr>
                <w:rStyle w:val="17"/>
                <w:rFonts w:hint="eastAsia"/>
                <w:b w:val="0"/>
                <w:bCs w:val="0"/>
                <w:color w:val="auto"/>
                <w:u w:val="none"/>
                <w:lang w:eastAsia="zh-CN"/>
              </w:rPr>
              <w:t>□</w:t>
            </w:r>
            <w:r>
              <w:rPr>
                <w:rStyle w:val="17"/>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7"/>
                <w:rFonts w:hint="eastAsia"/>
                <w:b w:val="0"/>
                <w:bCs w:val="0"/>
                <w:color w:val="auto"/>
                <w:u w:val="none"/>
                <w:lang w:eastAsia="zh-CN"/>
              </w:rPr>
              <w:t>☑</w:t>
            </w:r>
            <w:r>
              <w:rPr>
                <w:rStyle w:val="17"/>
                <w:rFonts w:hint="eastAsia"/>
                <w:b w:val="0"/>
                <w:bCs w:val="0"/>
                <w:color w:val="auto"/>
                <w:u w:val="none"/>
              </w:rPr>
              <w:t>适用,</w:t>
            </w:r>
            <w:r>
              <w:rPr>
                <w:rFonts w:hint="eastAsia" w:cs="宋体" w:asciiTheme="minorEastAsia" w:hAnsiTheme="minorEastAsia" w:eastAsiaTheme="minorEastAsia"/>
                <w:color w:val="auto"/>
                <w:sz w:val="21"/>
                <w:szCs w:val="21"/>
              </w:rPr>
              <w:t>供应商应提供相关</w:t>
            </w:r>
            <w:r>
              <w:rPr>
                <w:rFonts w:hint="eastAsia" w:cs="宋体" w:asciiTheme="minorEastAsia" w:hAnsiTheme="minorEastAsia" w:eastAsiaTheme="minorEastAsia"/>
                <w:color w:val="auto"/>
                <w:sz w:val="21"/>
                <w:szCs w:val="21"/>
                <w:lang w:eastAsia="zh-CN"/>
              </w:rPr>
              <w:t>建设项目环境影响评价</w:t>
            </w:r>
            <w:r>
              <w:rPr>
                <w:rFonts w:hint="eastAsia" w:cs="宋体" w:asciiTheme="minorEastAsia" w:hAnsiTheme="minorEastAsia" w:eastAsiaTheme="minorEastAsia"/>
                <w:color w:val="auto"/>
                <w:sz w:val="21"/>
                <w:szCs w:val="21"/>
              </w:rPr>
              <w:t>资质证书</w:t>
            </w:r>
            <w:r>
              <w:rPr>
                <w:rFonts w:hint="eastAsia" w:cs="宋体" w:asciiTheme="minorEastAsia" w:hAnsiTheme="minorEastAsia" w:eastAsiaTheme="minorEastAsia"/>
                <w:color w:val="auto"/>
                <w:sz w:val="21"/>
                <w:szCs w:val="21"/>
                <w:lang w:eastAsia="zh-CN"/>
              </w:rPr>
              <w:t>、职业卫生技术服务机构资质证书</w:t>
            </w:r>
            <w:r>
              <w:rPr>
                <w:rFonts w:hint="eastAsia" w:cs="宋体" w:asciiTheme="minorEastAsia" w:hAnsiTheme="minorEastAsia" w:eastAsiaTheme="minorEastAsia"/>
                <w:color w:val="auto"/>
                <w:sz w:val="21"/>
                <w:szCs w:val="21"/>
              </w:rPr>
              <w:t>的复印件</w:t>
            </w:r>
            <w:r>
              <w:rPr>
                <w:rFonts w:hint="eastAsia" w:cs="宋体" w:asciiTheme="minorEastAsia" w:hAnsiTheme="minorEastAsia" w:eastAsiaTheme="minorEastAsia"/>
                <w:color w:val="auto"/>
                <w:sz w:val="21"/>
                <w:szCs w:val="21"/>
                <w:lang w:eastAsia="zh-CN"/>
              </w:rPr>
              <w:t>并加盖公章</w:t>
            </w:r>
            <w:r>
              <w:rPr>
                <w:rFonts w:hint="eastAsia" w:cs="宋体" w:asciiTheme="minorEastAsia" w:hAnsiTheme="minorEastAsia" w:eastAsiaTheme="minorEastAsia"/>
                <w:color w:val="auto"/>
                <w:sz w:val="21"/>
                <w:szCs w:val="21"/>
              </w:rPr>
              <w:t>，以证明供应商具有承担本项目要求的资质。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sz w:val="24"/>
              </w:rPr>
            </w:pPr>
            <w:r>
              <w:rPr>
                <w:rFonts w:hint="eastAsia" w:ascii="宋体" w:hAnsi="宋体"/>
                <w:b w:val="0"/>
                <w:bCs w:val="0"/>
                <w:sz w:val="24"/>
              </w:rPr>
              <w:t>（3）财务要求</w:t>
            </w:r>
          </w:p>
        </w:tc>
        <w:tc>
          <w:tcPr>
            <w:tcW w:w="1639" w:type="dxa"/>
          </w:tcPr>
          <w:p>
            <w:pPr>
              <w:widowControl w:val="0"/>
              <w:spacing w:line="320" w:lineRule="exact"/>
              <w:jc w:val="both"/>
              <w:rPr>
                <w:rStyle w:val="17"/>
                <w:b w:val="0"/>
                <w:bCs w:val="0"/>
                <w:u w:val="single"/>
              </w:rPr>
            </w:pPr>
            <w:r>
              <w:rPr>
                <w:rStyle w:val="17"/>
                <w:rFonts w:hint="eastAsia"/>
                <w:b w:val="0"/>
                <w:bCs w:val="0"/>
                <w:u w:val="single"/>
                <w:lang w:eastAsia="zh-CN"/>
              </w:rPr>
              <w:t>☑</w:t>
            </w:r>
            <w:r>
              <w:rPr>
                <w:rStyle w:val="17"/>
                <w:rFonts w:hint="eastAsia"/>
                <w:b w:val="0"/>
                <w:bCs w:val="0"/>
                <w:u w:val="single"/>
              </w:rPr>
              <w:t xml:space="preserve">不适用  </w:t>
            </w:r>
          </w:p>
          <w:p>
            <w:pPr>
              <w:widowControl w:val="0"/>
              <w:spacing w:line="320" w:lineRule="exact"/>
              <w:jc w:val="both"/>
              <w:rPr>
                <w:rFonts w:ascii="宋体" w:hAnsi="宋体"/>
                <w:b w:val="0"/>
                <w:bCs w:val="0"/>
                <w:sz w:val="24"/>
              </w:rPr>
            </w:pPr>
            <w:r>
              <w:rPr>
                <w:rStyle w:val="17"/>
                <w:rFonts w:hint="eastAsia"/>
                <w:b w:val="0"/>
                <w:bCs w:val="0"/>
                <w:u w:val="single"/>
              </w:rPr>
              <w:t>□适用</w:t>
            </w:r>
          </w:p>
        </w:tc>
        <w:tc>
          <w:tcPr>
            <w:tcW w:w="4997" w:type="dxa"/>
          </w:tcPr>
          <w:p>
            <w:pPr>
              <w:widowControl w:val="0"/>
              <w:spacing w:line="320" w:lineRule="exact"/>
              <w:jc w:val="both"/>
              <w:rPr>
                <w:rStyle w:val="17"/>
                <w:rFonts w:hint="eastAsia"/>
                <w:b w:val="0"/>
                <w:bCs w:val="0"/>
                <w:u w:val="none"/>
              </w:rPr>
            </w:pPr>
            <w:r>
              <w:rPr>
                <w:rStyle w:val="17"/>
                <w:rFonts w:hint="eastAsia"/>
                <w:b w:val="0"/>
                <w:bCs w:val="0"/>
                <w:u w:val="single"/>
                <w:lang w:eastAsia="zh-CN"/>
              </w:rPr>
              <w:t>☑</w:t>
            </w:r>
            <w:r>
              <w:rPr>
                <w:rStyle w:val="17"/>
                <w:rFonts w:hint="eastAsia"/>
                <w:b w:val="0"/>
                <w:bCs w:val="0"/>
                <w:u w:val="single"/>
              </w:rPr>
              <w:t>不</w:t>
            </w:r>
            <w:r>
              <w:rPr>
                <w:rStyle w:val="17"/>
                <w:rFonts w:hint="eastAsia"/>
                <w:b w:val="0"/>
                <w:bCs w:val="0"/>
                <w:u w:val="none"/>
              </w:rPr>
              <w:t xml:space="preserve">适用  </w:t>
            </w:r>
          </w:p>
          <w:p>
            <w:pPr>
              <w:widowControl w:val="0"/>
              <w:spacing w:line="320" w:lineRule="exact"/>
              <w:jc w:val="both"/>
              <w:rPr>
                <w:rFonts w:ascii="宋体" w:hAnsi="宋体"/>
                <w:b w:val="0"/>
                <w:bCs w:val="0"/>
                <w:sz w:val="24"/>
                <w:u w:val="single"/>
              </w:rPr>
            </w:pPr>
            <w:r>
              <w:rPr>
                <w:rStyle w:val="17"/>
                <w:rFonts w:hint="eastAsia"/>
                <w:b w:val="0"/>
                <w:bCs w:val="0"/>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sz w:val="24"/>
              </w:rPr>
            </w:pPr>
            <w:r>
              <w:rPr>
                <w:rFonts w:hint="eastAsia" w:ascii="宋体" w:hAnsi="宋体"/>
                <w:b w:val="0"/>
                <w:bCs w:val="0"/>
                <w:sz w:val="24"/>
              </w:rPr>
              <w:t>（4）业绩要求</w:t>
            </w:r>
          </w:p>
        </w:tc>
        <w:tc>
          <w:tcPr>
            <w:tcW w:w="1639" w:type="dxa"/>
          </w:tcPr>
          <w:p>
            <w:pPr>
              <w:widowControl w:val="0"/>
              <w:spacing w:line="320" w:lineRule="exact"/>
              <w:jc w:val="both"/>
              <w:rPr>
                <w:rStyle w:val="17"/>
                <w:b w:val="0"/>
                <w:bCs w:val="0"/>
                <w:u w:val="single"/>
              </w:rPr>
            </w:pPr>
            <w:r>
              <w:rPr>
                <w:rStyle w:val="17"/>
                <w:rFonts w:hint="eastAsia"/>
                <w:b w:val="0"/>
                <w:bCs w:val="0"/>
                <w:u w:val="single"/>
              </w:rPr>
              <w:t xml:space="preserve">□不适用  </w:t>
            </w:r>
          </w:p>
          <w:p>
            <w:pPr>
              <w:widowControl w:val="0"/>
              <w:spacing w:line="320" w:lineRule="exact"/>
              <w:jc w:val="both"/>
              <w:rPr>
                <w:rFonts w:ascii="宋体" w:hAnsi="宋体"/>
                <w:b w:val="0"/>
                <w:bCs w:val="0"/>
                <w:sz w:val="24"/>
              </w:rPr>
            </w:pPr>
            <w:r>
              <w:rPr>
                <w:rStyle w:val="17"/>
                <w:rFonts w:hint="eastAsia"/>
                <w:b w:val="0"/>
                <w:bCs w:val="0"/>
                <w:u w:val="single"/>
                <w:lang w:eastAsia="zh-CN"/>
              </w:rPr>
              <w:t>☑</w:t>
            </w:r>
            <w:r>
              <w:rPr>
                <w:rStyle w:val="17"/>
                <w:rFonts w:hint="eastAsia"/>
                <w:b w:val="0"/>
                <w:bCs w:val="0"/>
                <w:u w:val="single"/>
              </w:rPr>
              <w:t>适用</w:t>
            </w:r>
          </w:p>
        </w:tc>
        <w:tc>
          <w:tcPr>
            <w:tcW w:w="4997" w:type="dxa"/>
          </w:tcPr>
          <w:p>
            <w:pPr>
              <w:widowControl w:val="0"/>
              <w:spacing w:line="320" w:lineRule="exact"/>
              <w:jc w:val="both"/>
              <w:rPr>
                <w:rFonts w:ascii="宋体" w:hAnsi="宋体"/>
                <w:b w:val="0"/>
                <w:bCs w:val="0"/>
                <w:sz w:val="24"/>
                <w:u w:val="none"/>
              </w:rPr>
            </w:pPr>
            <w:r>
              <w:rPr>
                <w:rStyle w:val="17"/>
                <w:rFonts w:hint="eastAsia"/>
                <w:b w:val="0"/>
                <w:bCs w:val="0"/>
                <w:u w:val="none"/>
              </w:rPr>
              <w:t>提供近</w:t>
            </w:r>
            <w:r>
              <w:rPr>
                <w:rStyle w:val="17"/>
                <w:rFonts w:hint="eastAsia"/>
                <w:b w:val="0"/>
                <w:bCs w:val="0"/>
                <w:u w:val="none"/>
                <w:lang w:val="en-US" w:eastAsia="zh-CN"/>
              </w:rPr>
              <w:t>2</w:t>
            </w:r>
            <w:r>
              <w:rPr>
                <w:rStyle w:val="17"/>
                <w:rFonts w:hint="eastAsia"/>
                <w:b w:val="0"/>
                <w:bCs w:val="0"/>
                <w:u w:val="none"/>
              </w:rPr>
              <w:t>年的类似项目情况表</w:t>
            </w:r>
            <w:r>
              <w:rPr>
                <w:rStyle w:val="17"/>
                <w:rFonts w:hint="eastAsia"/>
                <w:b w:val="0"/>
                <w:bCs w:val="0"/>
                <w:u w:val="none"/>
                <w:lang w:eastAsia="zh-CN"/>
              </w:rPr>
              <w:t>，提供</w:t>
            </w:r>
            <w:r>
              <w:rPr>
                <w:rStyle w:val="17"/>
                <w:rFonts w:hint="eastAsia"/>
                <w:b w:val="0"/>
                <w:bCs w:val="0"/>
                <w:u w:val="none"/>
                <w:lang w:val="en-US" w:eastAsia="zh-CN"/>
              </w:rPr>
              <w:t>2个项目的合同</w:t>
            </w:r>
            <w:r>
              <w:rPr>
                <w:rStyle w:val="17"/>
                <w:rFonts w:hint="eastAsia"/>
                <w:b w:val="0"/>
                <w:bCs w:val="0"/>
                <w:u w:val="none"/>
                <w:lang w:eastAsia="zh-CN"/>
              </w:rPr>
              <w:t>复印件加盖单位公章</w:t>
            </w:r>
            <w:r>
              <w:rPr>
                <w:rStyle w:val="17"/>
                <w:rFonts w:hint="eastAsia"/>
                <w:b w:val="0"/>
                <w:bCs w:val="0"/>
                <w:u w:val="none"/>
              </w:rPr>
              <w:t xml:space="preserve">      </w:t>
            </w:r>
            <w:r>
              <w:rPr>
                <w:rFonts w:hint="eastAsia" w:cs="宋体" w:asciiTheme="minorEastAsia" w:hAnsiTheme="minorEastAsia" w:eastAsiaTheme="minorEastAsia"/>
                <w:color w:val="5B9BD5" w:themeColor="accent1"/>
                <w:sz w:val="24"/>
                <w:u w:val="none"/>
                <w14:textFill>
                  <w14:solidFill>
                    <w14:schemeClr w14:val="accent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sz w:val="24"/>
              </w:rPr>
            </w:pPr>
            <w:r>
              <w:rPr>
                <w:rFonts w:hint="eastAsia" w:ascii="宋体" w:hAnsi="宋体"/>
                <w:b w:val="0"/>
                <w:bCs w:val="0"/>
                <w:sz w:val="24"/>
              </w:rPr>
              <w:t>（5）信誉要求</w:t>
            </w:r>
          </w:p>
        </w:tc>
        <w:tc>
          <w:tcPr>
            <w:tcW w:w="1639" w:type="dxa"/>
          </w:tcPr>
          <w:p>
            <w:pPr>
              <w:widowControl w:val="0"/>
              <w:spacing w:line="320" w:lineRule="exact"/>
              <w:jc w:val="both"/>
              <w:rPr>
                <w:rStyle w:val="17"/>
                <w:b w:val="0"/>
                <w:bCs w:val="0"/>
                <w:u w:val="single"/>
              </w:rPr>
            </w:pPr>
            <w:r>
              <w:rPr>
                <w:rStyle w:val="17"/>
                <w:rFonts w:hint="eastAsia"/>
                <w:b w:val="0"/>
                <w:bCs w:val="0"/>
                <w:u w:val="single"/>
                <w:lang w:eastAsia="zh-CN"/>
              </w:rPr>
              <w:t>☑</w:t>
            </w:r>
            <w:r>
              <w:rPr>
                <w:rStyle w:val="17"/>
                <w:rFonts w:hint="eastAsia"/>
                <w:b w:val="0"/>
                <w:bCs w:val="0"/>
                <w:u w:val="single"/>
              </w:rPr>
              <w:t xml:space="preserve">不适用  </w:t>
            </w:r>
          </w:p>
          <w:p>
            <w:pPr>
              <w:widowControl w:val="0"/>
              <w:spacing w:line="320" w:lineRule="exact"/>
              <w:jc w:val="both"/>
              <w:rPr>
                <w:rFonts w:ascii="宋体" w:hAnsi="宋体"/>
                <w:b w:val="0"/>
                <w:bCs w:val="0"/>
                <w:sz w:val="24"/>
              </w:rPr>
            </w:pPr>
            <w:r>
              <w:rPr>
                <w:rStyle w:val="17"/>
                <w:rFonts w:hint="eastAsia"/>
                <w:b w:val="0"/>
                <w:bCs w:val="0"/>
                <w:u w:val="single"/>
              </w:rPr>
              <w:t>□适用</w:t>
            </w:r>
          </w:p>
        </w:tc>
        <w:tc>
          <w:tcPr>
            <w:tcW w:w="4997" w:type="dxa"/>
          </w:tcPr>
          <w:p>
            <w:pPr>
              <w:widowControl w:val="0"/>
              <w:spacing w:line="320" w:lineRule="exact"/>
              <w:jc w:val="both"/>
              <w:rPr>
                <w:rStyle w:val="17"/>
                <w:b w:val="0"/>
                <w:bCs w:val="0"/>
                <w:u w:val="none"/>
              </w:rPr>
            </w:pPr>
            <w:r>
              <w:rPr>
                <w:rStyle w:val="17"/>
                <w:rFonts w:hint="eastAsia"/>
                <w:b w:val="0"/>
                <w:bCs w:val="0"/>
                <w:u w:val="none"/>
                <w:lang w:eastAsia="zh-CN"/>
              </w:rPr>
              <w:t>☑</w:t>
            </w:r>
            <w:r>
              <w:rPr>
                <w:rStyle w:val="17"/>
                <w:rFonts w:hint="eastAsia"/>
                <w:b w:val="0"/>
                <w:bCs w:val="0"/>
                <w:u w:val="none"/>
              </w:rPr>
              <w:t xml:space="preserve">不适用  </w:t>
            </w:r>
          </w:p>
          <w:p>
            <w:pPr>
              <w:widowControl w:val="0"/>
              <w:spacing w:line="320" w:lineRule="exact"/>
              <w:jc w:val="both"/>
              <w:rPr>
                <w:rFonts w:ascii="宋体" w:hAnsi="宋体"/>
                <w:b w:val="0"/>
                <w:bCs w:val="0"/>
                <w:sz w:val="24"/>
                <w:u w:val="none"/>
              </w:rPr>
            </w:pPr>
            <w:r>
              <w:rPr>
                <w:rStyle w:val="17"/>
                <w:rFonts w:hint="eastAsia"/>
                <w:b w:val="0"/>
                <w:bCs w:val="0"/>
                <w:u w:val="non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42" w:type="dxa"/>
          </w:tcPr>
          <w:p>
            <w:pPr>
              <w:widowControl w:val="0"/>
              <w:spacing w:line="288" w:lineRule="auto"/>
              <w:jc w:val="both"/>
              <w:rPr>
                <w:rFonts w:ascii="宋体" w:hAnsi="宋体"/>
                <w:b w:val="0"/>
                <w:bCs w:val="0"/>
                <w:sz w:val="24"/>
              </w:rPr>
            </w:pPr>
            <w:r>
              <w:rPr>
                <w:rFonts w:hint="eastAsia" w:ascii="宋体" w:hAnsi="宋体"/>
                <w:b w:val="0"/>
                <w:bCs w:val="0"/>
                <w:sz w:val="24"/>
              </w:rPr>
              <w:t>（6）承担本项目的主要人员要求</w:t>
            </w:r>
          </w:p>
        </w:tc>
        <w:tc>
          <w:tcPr>
            <w:tcW w:w="1639" w:type="dxa"/>
          </w:tcPr>
          <w:p>
            <w:pPr>
              <w:widowControl w:val="0"/>
              <w:spacing w:line="320" w:lineRule="exact"/>
              <w:jc w:val="both"/>
              <w:rPr>
                <w:rStyle w:val="17"/>
                <w:b w:val="0"/>
                <w:bCs w:val="0"/>
                <w:u w:val="single"/>
              </w:rPr>
            </w:pPr>
            <w:r>
              <w:rPr>
                <w:rStyle w:val="17"/>
                <w:rFonts w:hint="eastAsia"/>
                <w:b w:val="0"/>
                <w:bCs w:val="0"/>
                <w:u w:val="single"/>
                <w:lang w:eastAsia="zh-CN"/>
              </w:rPr>
              <w:t>□</w:t>
            </w:r>
            <w:r>
              <w:rPr>
                <w:rStyle w:val="17"/>
                <w:rFonts w:hint="eastAsia"/>
                <w:b w:val="0"/>
                <w:bCs w:val="0"/>
                <w:u w:val="single"/>
              </w:rPr>
              <w:t xml:space="preserve">不适用  </w:t>
            </w:r>
          </w:p>
          <w:p>
            <w:pPr>
              <w:widowControl w:val="0"/>
              <w:spacing w:line="320" w:lineRule="exact"/>
              <w:jc w:val="both"/>
              <w:rPr>
                <w:rFonts w:ascii="宋体" w:hAnsi="宋体"/>
                <w:b w:val="0"/>
                <w:bCs w:val="0"/>
                <w:sz w:val="24"/>
              </w:rPr>
            </w:pPr>
            <w:r>
              <w:rPr>
                <w:rStyle w:val="17"/>
                <w:rFonts w:hint="eastAsia"/>
                <w:b w:val="0"/>
                <w:bCs w:val="0"/>
                <w:u w:val="single"/>
                <w:lang w:eastAsia="zh-CN"/>
              </w:rPr>
              <w:t>☑</w:t>
            </w:r>
            <w:r>
              <w:rPr>
                <w:rStyle w:val="17"/>
                <w:rFonts w:hint="eastAsia"/>
                <w:b w:val="0"/>
                <w:bCs w:val="0"/>
                <w:u w:val="single"/>
              </w:rPr>
              <w:t>适用</w:t>
            </w:r>
          </w:p>
        </w:tc>
        <w:tc>
          <w:tcPr>
            <w:tcW w:w="4997" w:type="dxa"/>
          </w:tcPr>
          <w:p>
            <w:pPr>
              <w:widowControl w:val="0"/>
              <w:spacing w:line="320" w:lineRule="exact"/>
              <w:jc w:val="both"/>
              <w:rPr>
                <w:rStyle w:val="17"/>
                <w:b w:val="0"/>
                <w:bCs w:val="0"/>
                <w:u w:val="none"/>
              </w:rPr>
            </w:pPr>
            <w:r>
              <w:rPr>
                <w:rStyle w:val="17"/>
                <w:rFonts w:hint="eastAsia"/>
                <w:b w:val="0"/>
                <w:bCs w:val="0"/>
                <w:u w:val="none"/>
                <w:lang w:eastAsia="zh-CN"/>
              </w:rPr>
              <w:t>□</w:t>
            </w:r>
            <w:r>
              <w:rPr>
                <w:rStyle w:val="17"/>
                <w:rFonts w:hint="eastAsia"/>
                <w:b w:val="0"/>
                <w:bCs w:val="0"/>
                <w:u w:val="none"/>
              </w:rPr>
              <w:t xml:space="preserve">不适用  </w:t>
            </w:r>
          </w:p>
          <w:p>
            <w:pPr>
              <w:widowControl w:val="0"/>
              <w:spacing w:line="320" w:lineRule="exact"/>
              <w:jc w:val="both"/>
              <w:rPr>
                <w:rFonts w:ascii="宋体" w:hAnsi="宋体"/>
                <w:b w:val="0"/>
                <w:bCs w:val="0"/>
                <w:sz w:val="24"/>
                <w:u w:val="none"/>
              </w:rPr>
            </w:pPr>
            <w:r>
              <w:rPr>
                <w:rStyle w:val="17"/>
                <w:rFonts w:hint="eastAsia"/>
                <w:b w:val="0"/>
                <w:bCs w:val="0"/>
                <w:u w:val="none"/>
                <w:lang w:eastAsia="zh-CN"/>
              </w:rPr>
              <w:t>☑</w:t>
            </w:r>
            <w:r>
              <w:rPr>
                <w:rStyle w:val="17"/>
                <w:rFonts w:hint="eastAsia"/>
                <w:b w:val="0"/>
                <w:bCs w:val="0"/>
                <w:u w:val="none"/>
              </w:rPr>
              <w:t>适用,</w:t>
            </w:r>
            <w:r>
              <w:rPr>
                <w:rFonts w:hint="eastAsia" w:cs="宋体" w:asciiTheme="minorEastAsia" w:hAnsiTheme="minorEastAsia" w:eastAsiaTheme="minorEastAsia"/>
                <w:color w:val="000000"/>
                <w:sz w:val="21"/>
                <w:szCs w:val="21"/>
              </w:rPr>
              <w:t>供应商项目负责人</w:t>
            </w:r>
            <w:r>
              <w:rPr>
                <w:rFonts w:hint="eastAsia" w:cs="宋体" w:asciiTheme="minorEastAsia" w:hAnsiTheme="minorEastAsia" w:eastAsiaTheme="minorEastAsia"/>
                <w:color w:val="000000"/>
                <w:sz w:val="21"/>
                <w:szCs w:val="21"/>
                <w:lang w:eastAsia="zh-CN"/>
              </w:rPr>
              <w:t>应为</w:t>
            </w:r>
            <w:r>
              <w:rPr>
                <w:rFonts w:hint="eastAsia" w:ascii="宋体" w:hAnsi="宋体" w:eastAsia="宋体" w:cs="宋体"/>
                <w:kern w:val="2"/>
                <w:sz w:val="21"/>
                <w:szCs w:val="21"/>
                <w:lang w:val="en-US" w:eastAsia="zh-CN"/>
              </w:rPr>
              <w:t>注册环境影响评价工程师</w:t>
            </w:r>
            <w:r>
              <w:rPr>
                <w:rFonts w:hint="eastAsia" w:cs="宋体" w:asciiTheme="minorEastAsia" w:hAnsiTheme="minorEastAsia" w:eastAsiaTheme="minorEastAsia"/>
                <w:color w:val="000000"/>
                <w:sz w:val="21"/>
                <w:szCs w:val="21"/>
                <w:u w:val="single"/>
              </w:rPr>
              <w:t xml:space="preserve"> </w:t>
            </w:r>
            <w:r>
              <w:rPr>
                <w:rFonts w:hint="eastAsia" w:cs="宋体" w:asciiTheme="minorEastAsia" w:hAnsiTheme="minorEastAsia" w:eastAsiaTheme="minorEastAsia"/>
                <w:color w:val="000000"/>
                <w:sz w:val="21"/>
                <w:szCs w:val="21"/>
                <w:u w:val="single"/>
                <w:lang w:eastAsia="zh-CN"/>
              </w:rPr>
              <w:t>提供证书复印件并加盖公章</w:t>
            </w:r>
            <w:r>
              <w:rPr>
                <w:rStyle w:val="17"/>
                <w:rFonts w:hint="eastAsia"/>
                <w:b w:val="0"/>
                <w:bCs w:val="0"/>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sz w:val="24"/>
              </w:rPr>
            </w:pPr>
            <w:r>
              <w:rPr>
                <w:rFonts w:hint="eastAsia" w:ascii="宋体" w:hAnsi="宋体"/>
                <w:b w:val="0"/>
                <w:bCs w:val="0"/>
                <w:sz w:val="24"/>
              </w:rPr>
              <w:t>（7）其他要求</w:t>
            </w:r>
          </w:p>
        </w:tc>
        <w:tc>
          <w:tcPr>
            <w:tcW w:w="1639" w:type="dxa"/>
          </w:tcPr>
          <w:p>
            <w:pPr>
              <w:widowControl w:val="0"/>
              <w:spacing w:line="320" w:lineRule="exact"/>
              <w:jc w:val="both"/>
              <w:rPr>
                <w:rStyle w:val="17"/>
                <w:b w:val="0"/>
                <w:bCs w:val="0"/>
                <w:u w:val="single"/>
              </w:rPr>
            </w:pPr>
            <w:r>
              <w:rPr>
                <w:rStyle w:val="17"/>
                <w:rFonts w:hint="eastAsia"/>
                <w:b w:val="0"/>
                <w:bCs w:val="0"/>
                <w:u w:val="single"/>
                <w:lang w:eastAsia="zh-CN"/>
              </w:rPr>
              <w:t>☑</w:t>
            </w:r>
            <w:r>
              <w:rPr>
                <w:rStyle w:val="17"/>
                <w:rFonts w:hint="eastAsia"/>
                <w:b w:val="0"/>
                <w:bCs w:val="0"/>
                <w:u w:val="single"/>
              </w:rPr>
              <w:t xml:space="preserve">不适用  </w:t>
            </w:r>
          </w:p>
          <w:p>
            <w:pPr>
              <w:widowControl w:val="0"/>
              <w:spacing w:line="320" w:lineRule="exact"/>
              <w:jc w:val="both"/>
              <w:rPr>
                <w:rFonts w:ascii="宋体" w:hAnsi="宋体"/>
                <w:b w:val="0"/>
                <w:bCs w:val="0"/>
                <w:sz w:val="24"/>
              </w:rPr>
            </w:pPr>
            <w:r>
              <w:rPr>
                <w:rStyle w:val="17"/>
                <w:rFonts w:hint="eastAsia"/>
                <w:b w:val="0"/>
                <w:bCs w:val="0"/>
                <w:u w:val="single"/>
              </w:rPr>
              <w:t>□适用</w:t>
            </w:r>
          </w:p>
        </w:tc>
        <w:tc>
          <w:tcPr>
            <w:tcW w:w="4997" w:type="dxa"/>
          </w:tcPr>
          <w:p>
            <w:pPr>
              <w:widowControl w:val="0"/>
              <w:spacing w:line="320" w:lineRule="exact"/>
              <w:jc w:val="both"/>
              <w:rPr>
                <w:rStyle w:val="17"/>
                <w:b w:val="0"/>
                <w:bCs w:val="0"/>
                <w:u w:val="none"/>
              </w:rPr>
            </w:pPr>
            <w:r>
              <w:rPr>
                <w:rStyle w:val="17"/>
                <w:rFonts w:hint="eastAsia"/>
                <w:b w:val="0"/>
                <w:bCs w:val="0"/>
                <w:u w:val="none"/>
                <w:lang w:eastAsia="zh-CN"/>
              </w:rPr>
              <w:t>☑</w:t>
            </w:r>
            <w:r>
              <w:rPr>
                <w:rStyle w:val="17"/>
                <w:rFonts w:hint="eastAsia"/>
                <w:b w:val="0"/>
                <w:bCs w:val="0"/>
                <w:u w:val="none"/>
              </w:rPr>
              <w:t xml:space="preserve">不适用  </w:t>
            </w:r>
          </w:p>
          <w:p>
            <w:pPr>
              <w:widowControl w:val="0"/>
              <w:spacing w:line="320" w:lineRule="exact"/>
              <w:jc w:val="both"/>
              <w:rPr>
                <w:rFonts w:ascii="宋体" w:hAnsi="宋体"/>
                <w:b w:val="0"/>
                <w:bCs w:val="0"/>
                <w:sz w:val="24"/>
                <w:u w:val="none"/>
              </w:rPr>
            </w:pPr>
            <w:r>
              <w:rPr>
                <w:rStyle w:val="17"/>
                <w:rFonts w:hint="eastAsia"/>
                <w:b w:val="0"/>
                <w:bCs w:val="0"/>
                <w:u w:val="non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442" w:type="dxa"/>
            <w:vAlign w:val="center"/>
          </w:tcPr>
          <w:p>
            <w:pPr>
              <w:widowControl w:val="0"/>
              <w:spacing w:line="288" w:lineRule="auto"/>
              <w:jc w:val="both"/>
              <w:rPr>
                <w:rFonts w:ascii="宋体" w:hAnsi="宋体"/>
                <w:b w:val="0"/>
                <w:bCs w:val="0"/>
                <w:color w:val="auto"/>
                <w:sz w:val="24"/>
              </w:rPr>
            </w:pPr>
            <w:r>
              <w:rPr>
                <w:rFonts w:hint="eastAsia" w:ascii="宋体" w:hAnsi="宋体"/>
                <w:b w:val="0"/>
                <w:bCs w:val="0"/>
                <w:color w:val="auto"/>
                <w:sz w:val="24"/>
              </w:rPr>
              <w:t>（8）供应商不存在第一章3.1款情形的证明材料</w:t>
            </w:r>
          </w:p>
        </w:tc>
        <w:tc>
          <w:tcPr>
            <w:tcW w:w="1639" w:type="dxa"/>
          </w:tcPr>
          <w:p>
            <w:pPr>
              <w:widowControl w:val="0"/>
              <w:spacing w:line="320" w:lineRule="exact"/>
              <w:jc w:val="both"/>
              <w:rPr>
                <w:rStyle w:val="17"/>
                <w:b w:val="0"/>
                <w:bCs w:val="0"/>
                <w:color w:val="auto"/>
                <w:u w:val="single"/>
              </w:rPr>
            </w:pPr>
            <w:r>
              <w:rPr>
                <w:rStyle w:val="17"/>
                <w:rFonts w:hint="eastAsia"/>
                <w:b w:val="0"/>
                <w:bCs w:val="0"/>
                <w:color w:val="auto"/>
                <w:u w:val="single"/>
                <w:lang w:eastAsia="zh-CN"/>
              </w:rPr>
              <w:t>□</w:t>
            </w: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lang w:eastAsia="zh-CN"/>
              </w:rPr>
              <w:t>☑</w:t>
            </w:r>
            <w:r>
              <w:rPr>
                <w:rStyle w:val="17"/>
                <w:rFonts w:hint="eastAsia"/>
                <w:b w:val="0"/>
                <w:bCs w:val="0"/>
                <w:color w:val="auto"/>
                <w:u w:val="single"/>
              </w:rPr>
              <w:t>适用</w:t>
            </w:r>
          </w:p>
        </w:tc>
        <w:tc>
          <w:tcPr>
            <w:tcW w:w="4997" w:type="dxa"/>
          </w:tcPr>
          <w:p>
            <w:pPr>
              <w:widowControl w:val="0"/>
              <w:spacing w:line="320" w:lineRule="exact"/>
              <w:jc w:val="both"/>
              <w:rPr>
                <w:rStyle w:val="17"/>
                <w:b w:val="0"/>
                <w:bCs w:val="0"/>
                <w:color w:val="auto"/>
                <w:u w:val="none"/>
              </w:rPr>
            </w:pPr>
            <w:r>
              <w:rPr>
                <w:rStyle w:val="17"/>
                <w:rFonts w:hint="eastAsia"/>
                <w:b w:val="0"/>
                <w:bCs w:val="0"/>
                <w:color w:val="auto"/>
                <w:u w:val="none"/>
                <w:lang w:eastAsia="zh-CN"/>
              </w:rPr>
              <w:t>□</w:t>
            </w:r>
            <w:r>
              <w:rPr>
                <w:rStyle w:val="17"/>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7"/>
                <w:rFonts w:hint="eastAsia"/>
                <w:b w:val="0"/>
                <w:bCs w:val="0"/>
                <w:color w:val="auto"/>
                <w:u w:val="none"/>
                <w:lang w:eastAsia="zh-CN"/>
              </w:rPr>
              <w:t>☑</w:t>
            </w:r>
            <w:r>
              <w:rPr>
                <w:rStyle w:val="17"/>
                <w:rFonts w:hint="eastAsia"/>
                <w:b w:val="0"/>
                <w:bCs w:val="0"/>
                <w:color w:val="auto"/>
                <w:u w:val="none"/>
              </w:rPr>
              <w:t>适用,见采购文件供应商须知前附表3.5（8）。</w:t>
            </w:r>
          </w:p>
        </w:tc>
      </w:tr>
    </w:tbl>
    <w:p>
      <w:pPr>
        <w:autoSpaceDE w:val="0"/>
        <w:spacing w:line="400" w:lineRule="exact"/>
        <w:ind w:firstLine="241" w:firstLineChars="100"/>
        <w:jc w:val="both"/>
        <w:rPr>
          <w:rFonts w:hint="eastAsia" w:ascii="宋体" w:hAnsi="宋体"/>
          <w:b/>
          <w:bCs/>
          <w:sz w:val="24"/>
        </w:rPr>
      </w:pPr>
      <w:r>
        <w:rPr>
          <w:rFonts w:hint="eastAsia" w:ascii="宋体" w:hAnsi="宋体"/>
          <w:b/>
          <w:bCs/>
          <w:sz w:val="24"/>
          <w:lang w:val="en-US" w:eastAsia="zh-CN"/>
        </w:rPr>
        <w:t>四、</w:t>
      </w:r>
      <w:r>
        <w:rPr>
          <w:rFonts w:hint="eastAsia" w:ascii="宋体" w:hAnsi="宋体"/>
          <w:b/>
          <w:bCs/>
          <w:sz w:val="24"/>
        </w:rPr>
        <w:t xml:space="preserve"> 响应保证金</w:t>
      </w:r>
    </w:p>
    <w:tbl>
      <w:tblPr>
        <w:tblStyle w:val="15"/>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3351"/>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68"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351"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2950"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2768" w:type="dxa"/>
          </w:tcPr>
          <w:p>
            <w:pPr>
              <w:widowControl w:val="0"/>
              <w:autoSpaceDE w:val="0"/>
              <w:spacing w:line="400" w:lineRule="exact"/>
              <w:jc w:val="both"/>
              <w:rPr>
                <w:rFonts w:ascii="宋体" w:hAnsi="宋体"/>
                <w:sz w:val="24"/>
              </w:rPr>
            </w:pPr>
            <w:r>
              <w:rPr>
                <w:rStyle w:val="17"/>
                <w:rFonts w:hint="eastAsia"/>
                <w:lang w:eastAsia="zh-CN"/>
              </w:rPr>
              <w:t>☑</w:t>
            </w:r>
            <w:r>
              <w:rPr>
                <w:rFonts w:hint="eastAsia" w:ascii="宋体" w:hAnsi="宋体"/>
                <w:sz w:val="24"/>
              </w:rPr>
              <w:t>不要求递交</w:t>
            </w:r>
          </w:p>
          <w:p>
            <w:pPr>
              <w:widowControl w:val="0"/>
              <w:autoSpaceDE w:val="0"/>
              <w:spacing w:line="400" w:lineRule="exact"/>
              <w:jc w:val="both"/>
              <w:rPr>
                <w:rFonts w:ascii="宋体" w:hAnsi="宋体"/>
                <w:sz w:val="24"/>
              </w:rPr>
            </w:pPr>
            <w:r>
              <w:rPr>
                <w:rStyle w:val="17"/>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351" w:type="dxa"/>
          </w:tcPr>
          <w:p>
            <w:pPr>
              <w:widowControl w:val="0"/>
              <w:autoSpaceDE w:val="0"/>
              <w:spacing w:line="400" w:lineRule="exact"/>
              <w:jc w:val="both"/>
              <w:rPr>
                <w:rFonts w:ascii="宋体" w:hAnsi="宋体"/>
                <w:sz w:val="24"/>
              </w:rPr>
            </w:pPr>
            <w:r>
              <w:rPr>
                <w:rStyle w:val="17"/>
                <w:rFonts w:hint="eastAsia"/>
                <w:lang w:eastAsia="zh-CN"/>
              </w:rPr>
              <w:t>☑</w:t>
            </w:r>
            <w:r>
              <w:rPr>
                <w:rStyle w:val="17"/>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17"/>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2950" w:type="dxa"/>
          </w:tcPr>
          <w:p>
            <w:pPr>
              <w:widowControl w:val="0"/>
              <w:autoSpaceDE w:val="0"/>
              <w:spacing w:line="400" w:lineRule="exact"/>
              <w:jc w:val="both"/>
              <w:rPr>
                <w:rFonts w:ascii="宋体" w:hAnsi="宋体"/>
                <w:sz w:val="24"/>
              </w:rPr>
            </w:pPr>
            <w:r>
              <w:rPr>
                <w:rStyle w:val="17"/>
                <w:rFonts w:hint="eastAsia"/>
                <w:lang w:eastAsia="zh-CN"/>
              </w:rPr>
              <w:t>☑</w:t>
            </w:r>
            <w:r>
              <w:rPr>
                <w:rFonts w:hint="eastAsia" w:ascii="宋体" w:hAnsi="宋体"/>
                <w:sz w:val="24"/>
              </w:rPr>
              <w:t>不适用</w:t>
            </w:r>
          </w:p>
          <w:p>
            <w:pPr>
              <w:widowControl w:val="0"/>
              <w:autoSpaceDE w:val="0"/>
              <w:spacing w:line="400" w:lineRule="exact"/>
              <w:jc w:val="both"/>
              <w:rPr>
                <w:rFonts w:ascii="宋体" w:hAnsi="宋体"/>
                <w:sz w:val="24"/>
              </w:rPr>
            </w:pPr>
            <w:r>
              <w:rPr>
                <w:rStyle w:val="17"/>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autoSpaceDE w:val="0"/>
        <w:spacing w:line="400" w:lineRule="exact"/>
        <w:ind w:firstLine="241" w:firstLineChars="100"/>
        <w:jc w:val="both"/>
        <w:rPr>
          <w:rFonts w:hint="eastAsia" w:ascii="宋体" w:hAnsi="宋体"/>
          <w:b/>
          <w:bCs/>
          <w:sz w:val="24"/>
        </w:rPr>
      </w:pPr>
      <w:r>
        <w:rPr>
          <w:rFonts w:hint="eastAsia" w:ascii="宋体" w:hAnsi="宋体"/>
          <w:b/>
          <w:bCs/>
          <w:sz w:val="24"/>
          <w:lang w:val="en-US" w:eastAsia="zh-CN"/>
        </w:rPr>
        <w:t>五、</w:t>
      </w:r>
      <w:r>
        <w:rPr>
          <w:rFonts w:hint="eastAsia" w:ascii="宋体" w:hAnsi="宋体"/>
          <w:b/>
          <w:bCs/>
          <w:sz w:val="24"/>
        </w:rPr>
        <w:t xml:space="preserve"> 确定成交供应商的方法</w:t>
      </w:r>
    </w:p>
    <w:p>
      <w:pPr>
        <w:autoSpaceDE w:val="0"/>
        <w:spacing w:line="400" w:lineRule="exact"/>
        <w:ind w:firstLine="240" w:firstLineChars="100"/>
        <w:jc w:val="both"/>
        <w:rPr>
          <w:rFonts w:hint="eastAsia" w:ascii="宋体" w:hAnsi="宋体"/>
          <w:b w:val="0"/>
          <w:bCs w:val="0"/>
          <w:sz w:val="24"/>
          <w:lang w:eastAsia="zh-CN"/>
        </w:rPr>
      </w:pPr>
      <w:r>
        <w:rPr>
          <w:rFonts w:hint="eastAsia" w:ascii="宋体" w:hAnsi="宋体"/>
          <w:b w:val="0"/>
          <w:bCs w:val="0"/>
          <w:sz w:val="24"/>
          <w:lang w:val="en-US" w:eastAsia="zh-CN"/>
        </w:rPr>
        <w:t>（一）</w:t>
      </w:r>
      <w:r>
        <w:rPr>
          <w:rFonts w:hint="eastAsia" w:ascii="宋体" w:hAnsi="宋体"/>
          <w:b w:val="0"/>
          <w:bCs w:val="0"/>
          <w:sz w:val="24"/>
          <w:lang w:eastAsia="zh-CN"/>
        </w:rPr>
        <w:t>综合评分法</w:t>
      </w:r>
    </w:p>
    <w:p>
      <w:pPr>
        <w:autoSpaceDE w:val="0"/>
        <w:spacing w:line="400" w:lineRule="exact"/>
        <w:ind w:firstLine="240" w:firstLineChars="100"/>
        <w:jc w:val="both"/>
        <w:rPr>
          <w:rFonts w:hint="eastAsia" w:ascii="宋体" w:hAnsi="宋体"/>
          <w:b w:val="0"/>
          <w:bCs w:val="0"/>
          <w:sz w:val="24"/>
          <w:lang w:val="en-US" w:eastAsia="zh-CN"/>
        </w:rPr>
      </w:pPr>
      <w:r>
        <w:rPr>
          <w:rFonts w:hint="eastAsia" w:ascii="宋体" w:hAnsi="宋体"/>
          <w:b w:val="0"/>
          <w:bCs w:val="0"/>
          <w:sz w:val="24"/>
          <w:lang w:val="en-US" w:eastAsia="zh-CN"/>
        </w:rPr>
        <w:t>（二）</w:t>
      </w:r>
      <w:r>
        <w:rPr>
          <w:rFonts w:hint="eastAsia" w:ascii="宋体" w:hAnsi="宋体"/>
          <w:b w:val="0"/>
          <w:bCs w:val="0"/>
          <w:sz w:val="24"/>
        </w:rPr>
        <w:t>采购人应当确定排名第一的成交候选供应商为成交供应商。若排名第一的</w:t>
      </w:r>
      <w:r>
        <w:rPr>
          <w:rFonts w:hint="eastAsia" w:ascii="宋体" w:hAnsi="宋体"/>
          <w:b w:val="0"/>
          <w:bCs w:val="0"/>
          <w:sz w:val="24"/>
          <w:lang w:val="en-US" w:eastAsia="zh-CN"/>
        </w:rPr>
        <w:t xml:space="preserve">成交候选供应商未通过履约能力和报价核查，采购人应按推荐的名单排序依次确定其他成交候选供应商为成交供应商。 </w:t>
      </w:r>
    </w:p>
    <w:p>
      <w:pPr>
        <w:autoSpaceDE w:val="0"/>
        <w:spacing w:line="400" w:lineRule="exact"/>
        <w:ind w:firstLine="241" w:firstLineChars="100"/>
        <w:jc w:val="both"/>
        <w:rPr>
          <w:rFonts w:hint="eastAsia" w:ascii="宋体" w:hAnsi="宋体"/>
          <w:b/>
          <w:bCs/>
          <w:sz w:val="24"/>
          <w:lang w:val="en-US" w:eastAsia="zh-CN"/>
        </w:rPr>
      </w:pPr>
      <w:r>
        <w:rPr>
          <w:rFonts w:hint="eastAsia" w:ascii="宋体" w:hAnsi="宋体"/>
          <w:b/>
          <w:bCs/>
          <w:sz w:val="24"/>
          <w:lang w:val="en-US" w:eastAsia="zh-CN"/>
        </w:rPr>
        <w:t>六、询价文件获取</w:t>
      </w:r>
    </w:p>
    <w:p>
      <w:pPr>
        <w:autoSpaceDE w:val="0"/>
        <w:spacing w:line="400" w:lineRule="exact"/>
        <w:ind w:firstLine="240" w:firstLineChars="100"/>
        <w:jc w:val="both"/>
        <w:rPr>
          <w:rFonts w:hint="eastAsia" w:ascii="宋体" w:hAnsi="宋体" w:eastAsia="宋体" w:cs="宋体"/>
          <w:sz w:val="24"/>
          <w:szCs w:val="24"/>
          <w:lang w:eastAsia="zh-CN"/>
        </w:rPr>
      </w:pPr>
      <w:r>
        <w:rPr>
          <w:rFonts w:hint="eastAsia" w:ascii="宋体" w:hAnsi="宋体"/>
          <w:b w:val="0"/>
          <w:bCs w:val="0"/>
          <w:sz w:val="24"/>
          <w:lang w:val="en-US" w:eastAsia="zh-CN"/>
        </w:rPr>
        <w:t>（一）供应商应当于2021年11月 22 日16时00分至2021年11月 27 日17时30分，在</w:t>
      </w:r>
      <w:r>
        <w:rPr>
          <w:rFonts w:hint="eastAsia" w:ascii="宋体" w:hAnsi="宋体" w:eastAsia="宋体" w:cs="宋体"/>
          <w:sz w:val="24"/>
          <w:szCs w:val="24"/>
          <w:lang w:val="en-US" w:eastAsia="zh-CN"/>
        </w:rPr>
        <w:t>网站上</w:t>
      </w:r>
      <w:r>
        <w:rPr>
          <w:rFonts w:hint="eastAsia" w:ascii="宋体" w:hAnsi="宋体" w:eastAsia="宋体" w:cs="宋体"/>
          <w:sz w:val="24"/>
          <w:szCs w:val="24"/>
        </w:rPr>
        <w:t>获取</w:t>
      </w:r>
      <w:r>
        <w:rPr>
          <w:rFonts w:hint="eastAsia" w:ascii="宋体" w:hAnsi="宋体" w:eastAsia="宋体" w:cs="宋体"/>
          <w:sz w:val="24"/>
          <w:szCs w:val="24"/>
          <w:lang w:val="en-US" w:eastAsia="zh-CN"/>
        </w:rPr>
        <w:t>询价</w:t>
      </w:r>
      <w:r>
        <w:rPr>
          <w:rFonts w:hint="eastAsia" w:ascii="宋体" w:hAnsi="宋体" w:eastAsia="宋体" w:cs="宋体"/>
          <w:sz w:val="24"/>
          <w:szCs w:val="24"/>
        </w:rPr>
        <w:t>文件</w:t>
      </w:r>
      <w:r>
        <w:rPr>
          <w:rFonts w:hint="eastAsia" w:ascii="宋体" w:hAnsi="宋体" w:eastAsia="宋体" w:cs="宋体"/>
          <w:sz w:val="24"/>
          <w:szCs w:val="24"/>
          <w:lang w:eastAsia="zh-CN"/>
        </w:rPr>
        <w:t>；</w:t>
      </w:r>
    </w:p>
    <w:p>
      <w:pPr>
        <w:autoSpaceDE w:val="0"/>
        <w:spacing w:line="400" w:lineRule="exact"/>
        <w:ind w:firstLine="240" w:firstLineChars="100"/>
        <w:jc w:val="both"/>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eastAsia="宋体" w:cs="宋体"/>
          <w:sz w:val="24"/>
          <w:szCs w:val="24"/>
        </w:rPr>
        <w:t>供应商若对本项目采购需求、资格要求等有疑问的，应当于</w:t>
      </w:r>
      <w:r>
        <w:rPr>
          <w:rFonts w:hint="eastAsia" w:ascii="宋体" w:hAnsi="宋体" w:eastAsia="宋体" w:cs="宋体"/>
          <w:sz w:val="24"/>
          <w:szCs w:val="24"/>
          <w:lang w:val="en-US" w:eastAsia="zh-CN"/>
        </w:rPr>
        <w:t>2021</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 xml:space="preserve"> 27 </w:t>
      </w:r>
      <w:r>
        <w:rPr>
          <w:rFonts w:hint="eastAsia" w:ascii="宋体" w:hAnsi="宋体" w:eastAsia="宋体" w:cs="宋体"/>
          <w:sz w:val="24"/>
          <w:szCs w:val="24"/>
        </w:rPr>
        <w:t>日</w:t>
      </w:r>
      <w:r>
        <w:rPr>
          <w:rFonts w:hint="eastAsia" w:ascii="宋体" w:hAnsi="宋体" w:eastAsia="宋体" w:cs="宋体"/>
          <w:sz w:val="24"/>
          <w:szCs w:val="24"/>
          <w:lang w:val="en-US" w:eastAsia="zh-CN"/>
        </w:rPr>
        <w:t>17</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分前向采购人提出澄清要求。</w:t>
      </w:r>
    </w:p>
    <w:p>
      <w:pPr>
        <w:autoSpaceDE w:val="0"/>
        <w:spacing w:line="400" w:lineRule="exact"/>
        <w:ind w:firstLine="241" w:firstLineChars="100"/>
        <w:jc w:val="both"/>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 xml:space="preserve"> 发布公告的媒介</w:t>
      </w:r>
    </w:p>
    <w:p>
      <w:pPr>
        <w:autoSpaceDE w:val="0"/>
        <w:spacing w:line="400" w:lineRule="exact"/>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本次采购公告发布的媒介: </w:t>
      </w:r>
      <w:r>
        <w:rPr>
          <w:rFonts w:hint="eastAsia" w:ascii="宋体" w:hAnsi="宋体" w:cs="宋体"/>
          <w:sz w:val="24"/>
        </w:rPr>
        <w:t>中国招标投标公共服务平台（http：//www.cebpubservice.com</w:t>
      </w:r>
      <w:r>
        <w:rPr>
          <w:rFonts w:hint="eastAsia" w:ascii="宋体" w:hAnsi="宋体" w:cs="宋体"/>
          <w:sz w:val="24"/>
          <w:lang w:eastAsia="zh-CN"/>
        </w:rPr>
        <w:t>；</w:t>
      </w:r>
      <w:r>
        <w:rPr>
          <w:rFonts w:hint="eastAsia" w:ascii="宋体" w:hAnsi="宋体" w:eastAsia="宋体" w:cs="宋体"/>
          <w:sz w:val="24"/>
          <w:szCs w:val="24"/>
          <w:lang w:val="en-US" w:eastAsia="zh-CN"/>
        </w:rPr>
        <w:t>湖南省湘水集团有限公司网站（http：//www.hnsxsjt.com）</w:t>
      </w:r>
      <w:r>
        <w:rPr>
          <w:rFonts w:hint="eastAsia" w:ascii="宋体" w:hAnsi="宋体" w:cs="宋体"/>
          <w:sz w:val="24"/>
          <w:szCs w:val="24"/>
          <w:lang w:val="en-US" w:eastAsia="zh-CN"/>
        </w:rPr>
        <w:t>；</w:t>
      </w:r>
      <w:r>
        <w:rPr>
          <w:rFonts w:hint="eastAsia" w:ascii="宋体" w:hAnsi="宋体" w:eastAsia="宋体"/>
          <w:sz w:val="24"/>
          <w:szCs w:val="24"/>
        </w:rPr>
        <w:t>湖南省港务集团公司网站（http://www.hnsgwjt.com/）上发布</w:t>
      </w:r>
      <w:r>
        <w:rPr>
          <w:rFonts w:hint="eastAsia" w:ascii="宋体" w:hAnsi="宋体" w:eastAsia="宋体" w:cs="宋体"/>
          <w:sz w:val="24"/>
          <w:szCs w:val="24"/>
          <w:lang w:val="en-US" w:eastAsia="zh-CN"/>
        </w:rPr>
        <w:t>。</w:t>
      </w:r>
    </w:p>
    <w:p>
      <w:pPr>
        <w:autoSpaceDE w:val="0"/>
        <w:spacing w:line="400" w:lineRule="exact"/>
        <w:ind w:firstLine="241" w:firstLineChars="100"/>
        <w:jc w:val="both"/>
        <w:rPr>
          <w:rFonts w:hint="eastAsia" w:ascii="宋体" w:hAnsi="宋体" w:eastAsia="宋体" w:cs="宋体"/>
          <w:b/>
          <w:bCs/>
          <w:sz w:val="24"/>
          <w:szCs w:val="24"/>
        </w:rPr>
      </w:pPr>
      <w:bookmarkStart w:id="1" w:name="_Toc77254104"/>
      <w:bookmarkStart w:id="2" w:name="_Toc512257471"/>
      <w:bookmarkStart w:id="3" w:name="_Toc76635692"/>
      <w:bookmarkStart w:id="4" w:name="_Toc79596547"/>
      <w:r>
        <w:rPr>
          <w:rFonts w:hint="eastAsia" w:ascii="宋体" w:hAnsi="宋体" w:cs="宋体"/>
          <w:b/>
          <w:bCs/>
          <w:sz w:val="24"/>
          <w:szCs w:val="24"/>
          <w:lang w:val="en-US" w:eastAsia="zh-CN"/>
        </w:rPr>
        <w:t>八、</w:t>
      </w:r>
      <w:r>
        <w:rPr>
          <w:rFonts w:hint="eastAsia" w:ascii="宋体" w:hAnsi="宋体" w:eastAsia="宋体" w:cs="宋体"/>
          <w:b/>
          <w:bCs/>
          <w:sz w:val="24"/>
          <w:szCs w:val="24"/>
        </w:rPr>
        <w:t>监督</w:t>
      </w:r>
      <w:bookmarkEnd w:id="1"/>
      <w:bookmarkEnd w:id="2"/>
      <w:bookmarkEnd w:id="3"/>
      <w:r>
        <w:rPr>
          <w:rFonts w:hint="eastAsia" w:ascii="宋体" w:hAnsi="宋体" w:eastAsia="宋体" w:cs="宋体"/>
          <w:b/>
          <w:bCs/>
          <w:sz w:val="24"/>
          <w:szCs w:val="24"/>
        </w:rPr>
        <w:t>部门</w:t>
      </w:r>
      <w:bookmarkEnd w:id="4"/>
    </w:p>
    <w:p>
      <w:pPr>
        <w:autoSpaceDE w:val="0"/>
        <w:spacing w:line="40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本次采购监督部门为</w:t>
      </w:r>
      <w:r>
        <w:rPr>
          <w:rFonts w:hint="eastAsia" w:ascii="宋体" w:hAnsi="宋体" w:eastAsia="宋体" w:cs="宋体"/>
          <w:sz w:val="24"/>
          <w:szCs w:val="24"/>
          <w:lang w:val="en-US" w:eastAsia="zh-CN"/>
        </w:rPr>
        <w:t>长沙集星集装箱码头有限公司党群工作部</w:t>
      </w:r>
    </w:p>
    <w:p>
      <w:pPr>
        <w:autoSpaceDE w:val="0"/>
        <w:spacing w:line="40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13507318311</w:t>
      </w:r>
      <w:r>
        <w:rPr>
          <w:rFonts w:hint="eastAsia" w:ascii="宋体" w:hAnsi="宋体" w:eastAsia="宋体" w:cs="宋体"/>
          <w:sz w:val="24"/>
          <w:szCs w:val="24"/>
        </w:rPr>
        <w:t>。</w:t>
      </w:r>
    </w:p>
    <w:p>
      <w:pPr>
        <w:autoSpaceDE w:val="0"/>
        <w:spacing w:line="400" w:lineRule="exact"/>
        <w:ind w:firstLine="241" w:firstLineChars="100"/>
        <w:jc w:val="both"/>
        <w:rPr>
          <w:rFonts w:hint="eastAsia" w:ascii="宋体" w:hAnsi="宋体" w:eastAsia="宋体" w:cs="宋体"/>
          <w:b/>
          <w:bCs/>
          <w:sz w:val="24"/>
          <w:szCs w:val="24"/>
        </w:rPr>
      </w:pPr>
      <w:r>
        <w:rPr>
          <w:rFonts w:hint="eastAsia" w:ascii="宋体" w:hAnsi="宋体" w:cs="宋体"/>
          <w:b/>
          <w:bCs/>
          <w:sz w:val="24"/>
          <w:szCs w:val="24"/>
          <w:lang w:val="en-US" w:eastAsia="zh-CN"/>
        </w:rPr>
        <w:t>九、</w:t>
      </w:r>
      <w:r>
        <w:rPr>
          <w:rFonts w:hint="eastAsia" w:ascii="宋体" w:hAnsi="宋体" w:eastAsia="宋体" w:cs="宋体"/>
          <w:b/>
          <w:bCs/>
          <w:sz w:val="24"/>
          <w:szCs w:val="24"/>
        </w:rPr>
        <w:t>联系方式</w:t>
      </w:r>
    </w:p>
    <w:p>
      <w:pPr>
        <w:autoSpaceDE w:val="0"/>
        <w:spacing w:line="400" w:lineRule="exact"/>
        <w:ind w:firstLine="240" w:firstLineChars="100"/>
        <w:jc w:val="both"/>
        <w:rPr>
          <w:rFonts w:hint="default" w:ascii="宋体" w:hAnsi="宋体" w:eastAsia="宋体" w:cs="宋体"/>
          <w:sz w:val="24"/>
          <w:szCs w:val="24"/>
          <w:lang w:val="en-US"/>
        </w:rPr>
      </w:pPr>
      <w:r>
        <w:rPr>
          <w:rFonts w:hint="eastAsia" w:ascii="宋体" w:hAnsi="宋体" w:cs="宋体"/>
          <w:sz w:val="24"/>
          <w:szCs w:val="24"/>
          <w:lang w:val="en-US" w:eastAsia="zh-CN"/>
        </w:rPr>
        <w:t>（一）</w:t>
      </w:r>
      <w:r>
        <w:rPr>
          <w:rFonts w:hint="eastAsia" w:ascii="宋体" w:hAnsi="宋体" w:eastAsia="宋体" w:cs="宋体"/>
          <w:sz w:val="24"/>
          <w:szCs w:val="24"/>
        </w:rPr>
        <w:t>询价人：</w:t>
      </w:r>
      <w:r>
        <w:rPr>
          <w:rFonts w:hint="eastAsia" w:ascii="宋体" w:hAnsi="宋体" w:eastAsia="宋体" w:cs="宋体"/>
          <w:sz w:val="24"/>
          <w:szCs w:val="24"/>
          <w:lang w:val="en-US" w:eastAsia="zh-CN"/>
        </w:rPr>
        <w:t>长沙集星集装箱码头有限公司</w:t>
      </w:r>
    </w:p>
    <w:p>
      <w:pPr>
        <w:autoSpaceDE w:val="0"/>
        <w:spacing w:line="400" w:lineRule="exact"/>
        <w:ind w:firstLine="240" w:firstLineChars="10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址：湖南省</w:t>
      </w:r>
      <w:r>
        <w:rPr>
          <w:rFonts w:hint="eastAsia" w:ascii="宋体" w:hAnsi="宋体" w:eastAsia="宋体" w:cs="宋体"/>
          <w:sz w:val="24"/>
          <w:szCs w:val="24"/>
          <w:lang w:val="en-US" w:eastAsia="zh-CN"/>
        </w:rPr>
        <w:t>长沙市开福区新港镇新港路80号</w:t>
      </w:r>
    </w:p>
    <w:p>
      <w:pPr>
        <w:autoSpaceDE w:val="0"/>
        <w:spacing w:line="400" w:lineRule="exact"/>
        <w:ind w:firstLine="240" w:firstLineChars="100"/>
        <w:jc w:val="both"/>
        <w:rPr>
          <w:rFonts w:hint="eastAsia" w:ascii="宋体" w:hAnsi="宋体" w:eastAsia="宋体" w:cs="宋体"/>
          <w:sz w:val="24"/>
          <w:szCs w:val="24"/>
          <w:lang w:eastAsia="zh-CN"/>
        </w:rPr>
      </w:pPr>
      <w:r>
        <w:rPr>
          <w:rFonts w:hint="eastAsia" w:ascii="宋体" w:hAnsi="宋体" w:cs="宋体"/>
          <w:sz w:val="24"/>
          <w:szCs w:val="24"/>
          <w:lang w:val="en-US" w:eastAsia="zh-CN"/>
        </w:rPr>
        <w:t>（三）</w:t>
      </w:r>
      <w:r>
        <w:rPr>
          <w:rFonts w:hint="eastAsia" w:ascii="宋体" w:hAnsi="宋体" w:eastAsia="宋体" w:cs="宋体"/>
          <w:sz w:val="24"/>
          <w:szCs w:val="24"/>
        </w:rPr>
        <w:t>收件人：</w:t>
      </w:r>
      <w:r>
        <w:rPr>
          <w:rFonts w:hint="eastAsia" w:ascii="宋体" w:hAnsi="宋体" w:cs="宋体"/>
          <w:sz w:val="24"/>
          <w:szCs w:val="24"/>
          <w:lang w:val="en-US" w:eastAsia="zh-CN"/>
        </w:rPr>
        <w:t>唐瑶</w:t>
      </w:r>
    </w:p>
    <w:p>
      <w:pPr>
        <w:autoSpaceDE w:val="0"/>
        <w:spacing w:line="400" w:lineRule="exact"/>
        <w:ind w:firstLine="240" w:firstLineChars="10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eastAsia="宋体" w:cs="宋体"/>
          <w:sz w:val="24"/>
          <w:szCs w:val="24"/>
        </w:rPr>
        <w:t>联系电话：</w:t>
      </w:r>
      <w:r>
        <w:rPr>
          <w:rFonts w:hint="eastAsia" w:ascii="宋体" w:hAnsi="宋体" w:cs="宋体"/>
          <w:sz w:val="24"/>
          <w:szCs w:val="24"/>
          <w:lang w:val="en-US" w:eastAsia="zh-CN"/>
        </w:rPr>
        <w:t>13637494623</w:t>
      </w:r>
    </w:p>
    <w:p>
      <w:pPr>
        <w:autoSpaceDE w:val="0"/>
        <w:spacing w:line="400" w:lineRule="exact"/>
        <w:ind w:firstLine="240"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br w:type="page"/>
      </w:r>
    </w:p>
    <w:p>
      <w:pPr>
        <w:spacing w:line="600" w:lineRule="exact"/>
        <w:jc w:val="center"/>
        <w:outlineLvl w:val="0"/>
        <w:rPr>
          <w:rFonts w:ascii="黑体" w:hAnsi="黑体" w:eastAsia="黑体"/>
          <w:sz w:val="32"/>
          <w:szCs w:val="32"/>
        </w:rPr>
      </w:pPr>
      <w:bookmarkStart w:id="5" w:name="_Toc12431"/>
      <w:r>
        <w:rPr>
          <w:rFonts w:hint="eastAsia" w:ascii="黑体" w:hAnsi="黑体" w:eastAsia="黑体"/>
          <w:sz w:val="32"/>
          <w:szCs w:val="32"/>
        </w:rPr>
        <w:t>第二章  供应商须知</w:t>
      </w:r>
      <w:bookmarkEnd w:id="5"/>
    </w:p>
    <w:p>
      <w:pPr>
        <w:pStyle w:val="5"/>
        <w:spacing w:before="240" w:after="240" w:line="600" w:lineRule="exact"/>
        <w:jc w:val="both"/>
        <w:rPr>
          <w:rFonts w:ascii="仿宋" w:hAnsi="仿宋" w:eastAsia="仿宋" w:cs="仿宋"/>
          <w:sz w:val="30"/>
          <w:szCs w:val="30"/>
        </w:rPr>
      </w:pPr>
      <w:bookmarkStart w:id="6" w:name="_Toc16315"/>
      <w:bookmarkStart w:id="7" w:name="_Toc234832862"/>
      <w:bookmarkStart w:id="8" w:name="_Toc517787495"/>
      <w:r>
        <w:rPr>
          <w:rFonts w:hint="eastAsia" w:ascii="宋体" w:hAnsi="宋体" w:eastAsia="宋体" w:cs="宋体"/>
          <w:b w:val="0"/>
          <w:bCs w:val="0"/>
          <w:kern w:val="2"/>
          <w:sz w:val="24"/>
          <w:szCs w:val="24"/>
          <w:lang w:val="en-US" w:eastAsia="zh-CN" w:bidi="ar-SA"/>
        </w:rPr>
        <w:t>供应商须知前附表</w:t>
      </w:r>
      <w:r>
        <w:rPr>
          <w:rStyle w:val="19"/>
          <w:rFonts w:hint="eastAsia" w:ascii="仿宋" w:hAnsi="仿宋" w:eastAsia="仿宋" w:cs="仿宋"/>
          <w:sz w:val="30"/>
          <w:szCs w:val="30"/>
        </w:rPr>
        <w:footnoteReference w:id="0"/>
      </w:r>
      <w:bookmarkEnd w:id="6"/>
      <w:bookmarkEnd w:id="7"/>
      <w:bookmarkEnd w:id="8"/>
    </w:p>
    <w:tbl>
      <w:tblPr>
        <w:tblStyle w:val="14"/>
        <w:tblW w:w="8779" w:type="dxa"/>
        <w:tblInd w:w="0" w:type="dxa"/>
        <w:tblLayout w:type="fixed"/>
        <w:tblCellMar>
          <w:top w:w="0" w:type="dxa"/>
          <w:left w:w="108" w:type="dxa"/>
          <w:bottom w:w="0" w:type="dxa"/>
          <w:right w:w="108" w:type="dxa"/>
        </w:tblCellMar>
      </w:tblPr>
      <w:tblGrid>
        <w:gridCol w:w="1260"/>
        <w:gridCol w:w="2684"/>
        <w:gridCol w:w="4835"/>
      </w:tblGrid>
      <w:tr>
        <w:tblPrEx>
          <w:tblCellMar>
            <w:top w:w="0" w:type="dxa"/>
            <w:left w:w="108" w:type="dxa"/>
            <w:bottom w:w="0" w:type="dxa"/>
            <w:right w:w="108" w:type="dxa"/>
          </w:tblCellMar>
        </w:tblPrEx>
        <w:trPr>
          <w:trHeight w:val="469"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最低价法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综合评分法</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p>
            <w:pPr>
              <w:spacing w:line="288" w:lineRule="auto"/>
              <w:jc w:val="both"/>
              <w:rPr>
                <w:rFonts w:cs="仿宋" w:asciiTheme="minorEastAsia" w:hAnsiTheme="minorEastAsia" w:eastAsiaTheme="minorEastAsia"/>
                <w:sz w:val="24"/>
              </w:rPr>
            </w:pP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不得分包的内容：</w:t>
            </w:r>
            <w:r>
              <w:rPr>
                <w:rFonts w:hint="eastAsia" w:cs="仿宋" w:asciiTheme="minorEastAsia" w:hAnsiTheme="minorEastAsia" w:eastAsiaTheme="minorEastAsia"/>
                <w:sz w:val="24"/>
                <w:lang w:eastAsia="zh-CN"/>
              </w:rPr>
              <w:t>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r>
              <w:rPr>
                <w:rFonts w:hint="eastAsia" w:cs="仿宋" w:asciiTheme="minorEastAsia" w:hAnsiTheme="minorEastAsia" w:eastAsiaTheme="minorEastAsia"/>
                <w:sz w:val="24"/>
                <w:lang w:eastAsia="zh-CN"/>
              </w:rPr>
              <w:t>不允许分包</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226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允许偏差的范围：</w:t>
            </w:r>
            <w:r>
              <w:rPr>
                <w:rFonts w:hint="eastAsia" w:ascii="宋体" w:hAnsi="宋体" w:eastAsia="宋体" w:cs="宋体"/>
                <w:sz w:val="24"/>
                <w:szCs w:val="24"/>
              </w:rPr>
              <w:t>投标文件在实质上响应招标文件要求，但存在含义不明确的内容、明显文字或计算错误等情况</w:t>
            </w:r>
            <w:r>
              <w:rPr>
                <w:rFonts w:hint="eastAsia" w:ascii="宋体" w:hAnsi="宋体" w:cs="宋体"/>
                <w:sz w:val="24"/>
                <w:szCs w:val="24"/>
                <w:lang w:eastAsia="zh-CN"/>
              </w:rPr>
              <w:t>，此条件下允许供应商进行澄清解释。</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允许偏差的项数：</w:t>
            </w:r>
            <w:r>
              <w:rPr>
                <w:rFonts w:hint="eastAsia" w:cs="仿宋" w:asciiTheme="minorEastAsia" w:hAnsiTheme="minorEastAsia" w:eastAsiaTheme="minorEastAsia"/>
                <w:sz w:val="24"/>
                <w:lang w:val="en-US" w:eastAsia="zh-CN"/>
              </w:rPr>
              <w:t>3项</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color w:val="auto"/>
                <w:sz w:val="24"/>
                <w:highlight w:val="none"/>
              </w:rPr>
              <w:t>截止时间：</w:t>
            </w:r>
            <w:r>
              <w:rPr>
                <w:rFonts w:hint="eastAsia" w:cs="仿宋" w:asciiTheme="minorEastAsia" w:hAnsiTheme="minorEastAsia" w:eastAsiaTheme="minorEastAsia"/>
                <w:color w:val="auto"/>
                <w:sz w:val="24"/>
                <w:highlight w:val="none"/>
                <w:lang w:val="en-US" w:eastAsia="zh-CN"/>
              </w:rPr>
              <w:t xml:space="preserve">2021年11月 27 </w:t>
            </w:r>
            <w:r>
              <w:rPr>
                <w:rFonts w:hint="eastAsia" w:cs="仿宋" w:asciiTheme="minorEastAsia" w:hAnsiTheme="minorEastAsia" w:eastAsiaTheme="minorEastAsia"/>
                <w:color w:val="auto"/>
                <w:sz w:val="24"/>
                <w:highlight w:val="none"/>
                <w:lang w:eastAsia="zh-CN"/>
              </w:rPr>
              <w:t>日</w:t>
            </w:r>
            <w:r>
              <w:rPr>
                <w:rFonts w:hint="eastAsia"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none"/>
                <w:lang w:val="en-US" w:eastAsia="zh-CN"/>
              </w:rPr>
              <w:t>17时30分</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确认的最晚时间：</w:t>
            </w:r>
            <w:r>
              <w:rPr>
                <w:rFonts w:hint="eastAsia" w:cs="仿宋" w:asciiTheme="minorEastAsia" w:hAnsiTheme="minorEastAsia" w:eastAsiaTheme="minorEastAsia"/>
                <w:sz w:val="24"/>
                <w:lang w:eastAsia="zh-CN"/>
              </w:rPr>
              <w:t>无</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确定的方式：</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3.1.1（9）</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构成响应文件的其他资料</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FF"/>
                <w:sz w:val="24"/>
              </w:rPr>
            </w:pPr>
            <w:r>
              <w:rPr>
                <w:rFonts w:hint="eastAsia" w:cs="仿宋" w:asciiTheme="minorEastAsia" w:hAnsiTheme="minorEastAsia" w:eastAsiaTheme="minorEastAsia"/>
                <w:color w:val="0000FF"/>
                <w:sz w:val="24"/>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无</w:t>
            </w:r>
          </w:p>
          <w:p>
            <w:pPr>
              <w:spacing w:line="288"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有，最高限价或其计算方法：</w:t>
            </w:r>
          </w:p>
          <w:p>
            <w:pPr>
              <w:spacing w:line="288" w:lineRule="auto"/>
              <w:jc w:val="both"/>
              <w:rPr>
                <w:rFonts w:cs="仿宋" w:asciiTheme="minorEastAsia" w:hAnsiTheme="minorEastAsia" w:eastAsiaTheme="minorEastAsia"/>
                <w:sz w:val="24"/>
              </w:rPr>
            </w:pPr>
            <w:r>
              <w:rPr>
                <w:rFonts w:ascii="Times New Roman" w:hAnsi="Times New Roman" w:cs="Times New Roman"/>
                <w:sz w:val="24"/>
                <w:szCs w:val="24"/>
              </w:rPr>
              <w:t>本项目最高限价为：人民币¥</w:t>
            </w:r>
            <w:r>
              <w:rPr>
                <w:rFonts w:hint="eastAsia" w:cs="Times New Roman"/>
                <w:sz w:val="24"/>
                <w:szCs w:val="24"/>
                <w:lang w:val="en-US" w:eastAsia="zh-CN"/>
              </w:rPr>
              <w:t>3</w:t>
            </w:r>
            <w:r>
              <w:rPr>
                <w:rFonts w:hint="eastAsia" w:cs="Times New Roman"/>
                <w:sz w:val="24"/>
                <w:szCs w:val="24"/>
                <w:u w:val="single"/>
                <w:lang w:val="en-US" w:eastAsia="zh-CN"/>
              </w:rPr>
              <w:t>0</w:t>
            </w:r>
            <w:r>
              <w:rPr>
                <w:rFonts w:hint="eastAsia" w:ascii="Times New Roman" w:hAnsi="Times New Roman" w:cs="Times New Roman"/>
                <w:sz w:val="24"/>
                <w:szCs w:val="24"/>
                <w:u w:val="single"/>
              </w:rPr>
              <w:t>0，000</w:t>
            </w:r>
            <w:r>
              <w:rPr>
                <w:rFonts w:hint="eastAsia" w:cs="Times New Roman"/>
                <w:sz w:val="24"/>
                <w:szCs w:val="24"/>
                <w:lang w:val="en-US" w:eastAsia="zh-CN"/>
              </w:rPr>
              <w:t>.00</w:t>
            </w:r>
            <w:bookmarkStart w:id="42" w:name="_GoBack"/>
            <w:bookmarkEnd w:id="42"/>
            <w:r>
              <w:rPr>
                <w:rFonts w:hint="eastAsia" w:cs="Times New Roman"/>
                <w:sz w:val="24"/>
                <w:szCs w:val="24"/>
                <w:lang w:eastAsia="zh-CN"/>
              </w:rPr>
              <w:t>（含</w:t>
            </w:r>
            <w:r>
              <w:rPr>
                <w:rFonts w:hint="eastAsia" w:ascii="宋体" w:hAnsi="宋体" w:cs="仿宋"/>
                <w:color w:val="auto"/>
                <w:sz w:val="24"/>
                <w:lang w:val="en-US" w:eastAsia="zh-CN"/>
              </w:rPr>
              <w:t>6%增值</w:t>
            </w:r>
            <w:r>
              <w:rPr>
                <w:rFonts w:hint="eastAsia" w:cs="Times New Roman"/>
                <w:sz w:val="24"/>
                <w:szCs w:val="24"/>
                <w:lang w:val="en-US" w:eastAsia="zh-CN"/>
              </w:rPr>
              <w:t>税），参考类似项目，结合工程实际估算</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报价的其他要求</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ascii="宋体" w:hAnsi="宋体" w:eastAsia="宋体" w:cs="仿宋"/>
                <w:color w:val="auto"/>
                <w:sz w:val="24"/>
                <w:lang w:val="en-US" w:eastAsia="zh-CN"/>
              </w:rPr>
              <w:t>报价应为</w:t>
            </w:r>
            <w:r>
              <w:rPr>
                <w:rFonts w:hint="eastAsia" w:ascii="宋体" w:hAnsi="宋体" w:cs="仿宋"/>
                <w:color w:val="auto"/>
                <w:sz w:val="24"/>
                <w:lang w:val="en-US" w:eastAsia="zh-CN"/>
              </w:rPr>
              <w:t>6%</w:t>
            </w:r>
            <w:r>
              <w:rPr>
                <w:rFonts w:hint="eastAsia" w:ascii="宋体" w:hAnsi="宋体" w:eastAsia="宋体" w:cs="仿宋"/>
                <w:color w:val="auto"/>
                <w:sz w:val="24"/>
                <w:lang w:val="en-US" w:eastAsia="zh-CN"/>
              </w:rPr>
              <w:t>含税价，</w:t>
            </w:r>
            <w:r>
              <w:rPr>
                <w:rFonts w:hint="eastAsia" w:ascii="宋体" w:hAnsi="宋体" w:cs="仿宋"/>
                <w:color w:val="auto"/>
                <w:sz w:val="24"/>
                <w:lang w:val="en-US" w:eastAsia="zh-CN"/>
              </w:rPr>
              <w:t>可</w:t>
            </w:r>
            <w:r>
              <w:rPr>
                <w:rFonts w:hint="eastAsia" w:ascii="宋体" w:hAnsi="宋体" w:eastAsia="宋体" w:cs="仿宋"/>
                <w:color w:val="auto"/>
                <w:sz w:val="24"/>
                <w:lang w:val="en-US" w:eastAsia="zh-CN"/>
              </w:rPr>
              <w:t>提供</w:t>
            </w:r>
            <w:r>
              <w:rPr>
                <w:rFonts w:hint="eastAsia" w:ascii="宋体" w:hAnsi="宋体" w:cs="仿宋"/>
                <w:color w:val="auto"/>
                <w:sz w:val="24"/>
                <w:lang w:val="en-US" w:eastAsia="zh-CN"/>
              </w:rPr>
              <w:t>其他税率的</w:t>
            </w:r>
            <w:r>
              <w:rPr>
                <w:rFonts w:hint="eastAsia" w:ascii="宋体" w:hAnsi="宋体" w:eastAsia="宋体" w:cs="仿宋"/>
                <w:color w:val="auto"/>
                <w:sz w:val="24"/>
                <w:lang w:val="en-US" w:eastAsia="zh-CN"/>
              </w:rPr>
              <w:t>增值税</w:t>
            </w:r>
            <w:r>
              <w:rPr>
                <w:rFonts w:hint="eastAsia" w:ascii="宋体" w:hAnsi="宋体" w:cs="仿宋"/>
                <w:color w:val="auto"/>
                <w:sz w:val="24"/>
                <w:lang w:val="en-US" w:eastAsia="zh-CN"/>
              </w:rPr>
              <w:t>专用</w:t>
            </w:r>
            <w:r>
              <w:rPr>
                <w:rFonts w:hint="eastAsia" w:ascii="宋体" w:hAnsi="宋体" w:eastAsia="宋体" w:cs="仿宋"/>
                <w:color w:val="auto"/>
                <w:sz w:val="24"/>
                <w:lang w:val="en-US" w:eastAsia="zh-CN"/>
              </w:rPr>
              <w:t>发票</w:t>
            </w:r>
            <w:r>
              <w:rPr>
                <w:rFonts w:hint="eastAsia" w:ascii="宋体" w:hAnsi="宋体" w:cs="仿宋"/>
                <w:color w:val="auto"/>
                <w:sz w:val="24"/>
                <w:lang w:val="en-US" w:eastAsia="zh-CN"/>
              </w:rPr>
              <w:t>，但评审时按不含税价由低到高排序</w:t>
            </w:r>
            <w:r>
              <w:rPr>
                <w:rFonts w:hint="eastAsia" w:ascii="宋体" w:hAnsi="宋体" w:eastAsia="宋体" w:cs="仿宋"/>
                <w:color w:val="auto"/>
                <w:sz w:val="24"/>
                <w:lang w:val="en-US" w:eastAsia="zh-CN"/>
              </w:rPr>
              <w:t>。</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lang w:eastAsia="zh-CN"/>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lang w:eastAsia="zh-CN"/>
              </w:rPr>
              <w:t>无</w:t>
            </w:r>
          </w:p>
        </w:tc>
      </w:tr>
      <w:tr>
        <w:tblPrEx>
          <w:tblCellMar>
            <w:top w:w="0" w:type="dxa"/>
            <w:left w:w="108" w:type="dxa"/>
            <w:bottom w:w="0" w:type="dxa"/>
            <w:right w:w="108" w:type="dxa"/>
          </w:tblCellMar>
        </w:tblPrEx>
        <w:trPr>
          <w:trHeight w:val="16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7"/>
                <w:rFonts w:asciiTheme="minorEastAsia" w:hAnsiTheme="minorEastAsia" w:eastAsiaTheme="minorEastAsia"/>
                <w:b w:val="0"/>
                <w:color w:val="000000"/>
                <w:sz w:val="24"/>
              </w:rPr>
            </w:pPr>
            <w:r>
              <w:rPr>
                <w:rStyle w:val="17"/>
                <w:rFonts w:hint="eastAsia" w:asciiTheme="minorEastAsia" w:hAnsiTheme="minorEastAsia" w:eastAsiaTheme="minorEastAsia"/>
                <w:b w:val="0"/>
                <w:color w:val="000000"/>
                <w:sz w:val="24"/>
              </w:rPr>
              <w:t>依法设立的证明材料</w:t>
            </w:r>
          </w:p>
        </w:tc>
        <w:tc>
          <w:tcPr>
            <w:tcW w:w="4835"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hint="eastAsia" w:asciiTheme="minorEastAsia" w:hAnsiTheme="minorEastAsia" w:eastAsiaTheme="minorEastAsia"/>
                <w:color w:val="000000"/>
                <w:sz w:val="24"/>
                <w:lang w:eastAsia="zh-CN"/>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供应商应提供市场监管部门或其他行政机关颁发的可以合法开展业务的执照或证书</w:t>
            </w:r>
            <w:r>
              <w:rPr>
                <w:rFonts w:hint="eastAsia" w:asciiTheme="minorEastAsia" w:hAnsiTheme="minorEastAsia" w:eastAsiaTheme="minorEastAsia"/>
                <w:color w:val="000000"/>
                <w:sz w:val="24"/>
                <w:lang w:eastAsia="zh-CN"/>
              </w:rPr>
              <w:t>（提供执照或证书复印件并加盖公章）</w:t>
            </w:r>
          </w:p>
        </w:tc>
      </w:tr>
      <w:tr>
        <w:tblPrEx>
          <w:tblCellMar>
            <w:top w:w="0" w:type="dxa"/>
            <w:left w:w="108" w:type="dxa"/>
            <w:bottom w:w="0" w:type="dxa"/>
            <w:right w:w="108" w:type="dxa"/>
          </w:tblCellMar>
        </w:tblPrEx>
        <w:trPr>
          <w:trHeight w:val="152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Style w:val="17"/>
                <w:rFonts w:hint="eastAsia" w:asciiTheme="minorEastAsia" w:hAnsiTheme="minorEastAsia" w:eastAsiaTheme="minorEastAsia"/>
                <w:b w:val="0"/>
                <w:color w:val="auto"/>
                <w:sz w:val="24"/>
              </w:rPr>
              <w:t>资质要求证明材料</w:t>
            </w:r>
          </w:p>
        </w:tc>
        <w:tc>
          <w:tcPr>
            <w:tcW w:w="4835"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适用。供应商应提供相关</w:t>
            </w:r>
            <w:r>
              <w:rPr>
                <w:rFonts w:hint="eastAsia" w:cs="宋体" w:asciiTheme="minorEastAsia" w:hAnsiTheme="minorEastAsia" w:eastAsiaTheme="minorEastAsia"/>
                <w:color w:val="auto"/>
                <w:sz w:val="24"/>
                <w:lang w:eastAsia="zh-CN"/>
              </w:rPr>
              <w:t>建设项目环境影响评价</w:t>
            </w:r>
            <w:r>
              <w:rPr>
                <w:rFonts w:hint="eastAsia" w:cs="宋体" w:asciiTheme="minorEastAsia" w:hAnsiTheme="minorEastAsia" w:eastAsiaTheme="minorEastAsia"/>
                <w:color w:val="auto"/>
                <w:sz w:val="24"/>
              </w:rPr>
              <w:t>资质证书</w:t>
            </w:r>
            <w:r>
              <w:rPr>
                <w:rFonts w:hint="eastAsia" w:cs="宋体" w:asciiTheme="minorEastAsia" w:hAnsiTheme="minorEastAsia" w:eastAsiaTheme="minorEastAsia"/>
                <w:color w:val="auto"/>
                <w:sz w:val="24"/>
                <w:lang w:eastAsia="zh-CN"/>
              </w:rPr>
              <w:t>、职业卫生技术服务机构资质证书</w:t>
            </w:r>
            <w:r>
              <w:rPr>
                <w:rFonts w:hint="eastAsia" w:cs="宋体" w:asciiTheme="minorEastAsia" w:hAnsiTheme="minorEastAsia" w:eastAsiaTheme="minorEastAsia"/>
                <w:color w:val="auto"/>
                <w:sz w:val="24"/>
              </w:rPr>
              <w:t>的复印件</w:t>
            </w:r>
            <w:r>
              <w:rPr>
                <w:rFonts w:hint="eastAsia" w:cs="宋体" w:asciiTheme="minorEastAsia" w:hAnsiTheme="minorEastAsia" w:eastAsiaTheme="minorEastAsia"/>
                <w:color w:val="auto"/>
                <w:sz w:val="24"/>
                <w:lang w:eastAsia="zh-CN"/>
              </w:rPr>
              <w:t>并加盖公章</w:t>
            </w:r>
            <w:r>
              <w:rPr>
                <w:rFonts w:hint="eastAsia" w:cs="宋体" w:asciiTheme="minorEastAsia" w:hAnsiTheme="minorEastAsia" w:eastAsiaTheme="minorEastAsia"/>
                <w:color w:val="auto"/>
                <w:sz w:val="24"/>
              </w:rPr>
              <w:t>，以证明供应商具有承担本项目要求的资质。</w:t>
            </w:r>
          </w:p>
        </w:tc>
      </w:tr>
      <w:tr>
        <w:tblPrEx>
          <w:tblCellMar>
            <w:top w:w="0" w:type="dxa"/>
            <w:left w:w="108" w:type="dxa"/>
            <w:bottom w:w="0" w:type="dxa"/>
            <w:right w:w="108" w:type="dxa"/>
          </w:tblCellMar>
        </w:tblPrEx>
        <w:trPr>
          <w:trHeight w:val="521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7"/>
                <w:rFonts w:asciiTheme="minorEastAsia" w:hAnsiTheme="minorEastAsia" w:eastAsiaTheme="minorEastAsia"/>
                <w:b w:val="0"/>
                <w:color w:val="000000"/>
                <w:sz w:val="24"/>
              </w:rPr>
            </w:pPr>
            <w:r>
              <w:rPr>
                <w:rStyle w:val="17"/>
                <w:rFonts w:hint="eastAsia" w:asciiTheme="minorEastAsia" w:hAnsiTheme="minorEastAsia" w:eastAsiaTheme="minorEastAsia"/>
                <w:b w:val="0"/>
                <w:color w:val="000000"/>
                <w:sz w:val="24"/>
              </w:rPr>
              <w:t>财务要求证明材料</w:t>
            </w:r>
          </w:p>
        </w:tc>
        <w:tc>
          <w:tcPr>
            <w:tcW w:w="4835"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tr>
        <w:tblPrEx>
          <w:tblCellMar>
            <w:top w:w="0" w:type="dxa"/>
            <w:left w:w="108" w:type="dxa"/>
            <w:bottom w:w="0" w:type="dxa"/>
            <w:right w:w="108" w:type="dxa"/>
          </w:tblCellMar>
        </w:tblPrEx>
        <w:trPr>
          <w:trHeight w:val="6437"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auto"/>
                <w:sz w:val="24"/>
              </w:rPr>
              <w:t>适用。供应商应提供近年的类似项目情况表（格式见第六章“响应文件格式”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、资格审查资料（</w:t>
            </w:r>
            <w:r>
              <w:rPr>
                <w:rFonts w:hint="eastAsia" w:cs="宋体" w:asciiTheme="minorEastAsia" w:hAnsiTheme="minorEastAsia" w:eastAsiaTheme="minorEastAsia"/>
                <w:color w:val="auto"/>
                <w:sz w:val="24"/>
                <w:lang w:val="en-US" w:eastAsia="zh-CN"/>
              </w:rPr>
              <w:t>二</w:t>
            </w:r>
            <w:r>
              <w:rPr>
                <w:rFonts w:hint="eastAsia" w:cs="宋体" w:asciiTheme="minorEastAsia" w:hAnsiTheme="minorEastAsia" w:eastAsiaTheme="minorEastAsia"/>
                <w:color w:val="auto"/>
                <w:sz w:val="24"/>
              </w:rPr>
              <w:t>）近</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年的类似项目情况表），以证明供应商具有承担本项目要求的业绩。近年是指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2019年</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lang w:val="en-US" w:eastAsia="zh-CN"/>
              </w:rPr>
              <w:t>2021</w:t>
            </w:r>
            <w:r>
              <w:rPr>
                <w:rFonts w:hint="eastAsia" w:cs="宋体" w:asciiTheme="minorEastAsia" w:hAnsiTheme="minorEastAsia" w:eastAsiaTheme="minorEastAsia"/>
                <w:color w:val="auto"/>
                <w:sz w:val="24"/>
                <w:u w:val="single"/>
              </w:rPr>
              <w:t>年</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合同/订单</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□中标通知书/成交通知书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□竣工 验收报告/验收证明</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□业主证明</w:t>
            </w:r>
          </w:p>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□其他材料：</w:t>
            </w:r>
            <w:r>
              <w:rPr>
                <w:rFonts w:hint="eastAsia" w:cs="宋体" w:asciiTheme="minorEastAsia" w:hAnsiTheme="minorEastAsia" w:eastAsiaTheme="minorEastAsia"/>
                <w:color w:val="auto"/>
                <w:sz w:val="24"/>
                <w:u w:val="single"/>
              </w:rPr>
              <w:t xml:space="preserve">                    </w:t>
            </w:r>
          </w:p>
          <w:p>
            <w:pPr>
              <w:spacing w:line="288" w:lineRule="auto"/>
              <w:jc w:val="both"/>
              <w:rPr>
                <w:rFonts w:hint="eastAsia" w:cs="宋体" w:asciiTheme="minorEastAsia" w:hAnsiTheme="minorEastAsia" w:eastAsiaTheme="minorEastAsia"/>
                <w:color w:val="auto"/>
                <w:sz w:val="24"/>
              </w:rPr>
            </w:pP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业绩证明材料种类要求：</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其他要求：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eastAsia="zh-CN"/>
              </w:rPr>
              <w:t>提供</w:t>
            </w:r>
            <w:r>
              <w:rPr>
                <w:rFonts w:hint="eastAsia" w:cs="宋体" w:asciiTheme="minorEastAsia" w:hAnsiTheme="minorEastAsia" w:eastAsiaTheme="minorEastAsia"/>
                <w:color w:val="auto"/>
                <w:sz w:val="24"/>
                <w:u w:val="single"/>
                <w:lang w:val="en-US" w:eastAsia="zh-CN"/>
              </w:rPr>
              <w:t>1个项目的</w:t>
            </w:r>
            <w:r>
              <w:rPr>
                <w:rFonts w:hint="eastAsia" w:cs="宋体" w:asciiTheme="minorEastAsia" w:hAnsiTheme="minorEastAsia" w:eastAsiaTheme="minorEastAsia"/>
                <w:color w:val="auto"/>
                <w:sz w:val="24"/>
                <w:u w:val="single"/>
                <w:lang w:eastAsia="zh-CN"/>
              </w:rPr>
              <w:t>复印件加盖单位公章</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□适用。供应商应提供相关信誉情况的证明材料，包括：</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61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适用。供应商应提供拟委任的主要人员汇总表和主要人员简历表（格式见第六章“响应文件格式”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、资格审查资料（四）拟委任的主要人员汇总表和（五）主要人员简历表）。供应商项目负责人</w:t>
            </w:r>
            <w:r>
              <w:rPr>
                <w:rFonts w:hint="eastAsia" w:cs="宋体" w:asciiTheme="minorEastAsia" w:hAnsiTheme="minorEastAsia" w:eastAsiaTheme="minorEastAsia"/>
                <w:color w:val="000000"/>
                <w:sz w:val="24"/>
                <w:lang w:eastAsia="zh-CN"/>
              </w:rPr>
              <w:t>应为</w:t>
            </w:r>
            <w:r>
              <w:rPr>
                <w:rFonts w:hint="eastAsia" w:ascii="宋体" w:hAnsi="宋体" w:eastAsia="宋体" w:cs="宋体"/>
                <w:kern w:val="2"/>
                <w:sz w:val="24"/>
                <w:szCs w:val="24"/>
                <w:lang w:val="en-US" w:eastAsia="zh-CN"/>
              </w:rPr>
              <w:t>注册环境影响评价工程师</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eastAsia="zh-CN"/>
              </w:rPr>
              <w:t>提供证书复印件并加盖公章</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rPr>
              <w:t>3.5（8）</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rPr>
              <w:t>供应商不存在第一章3.1款情形的证明材料</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不需要提供证明材料</w:t>
            </w:r>
          </w:p>
          <w:p>
            <w:pPr>
              <w:pStyle w:val="7"/>
              <w:spacing w:after="0" w:line="312" w:lineRule="auto"/>
              <w:ind w:left="0" w:leftChars="0" w:firstLine="0" w:firstLineChars="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需要提供证明材料，包括：</w:t>
            </w:r>
          </w:p>
          <w:p>
            <w:pPr>
              <w:pStyle w:val="7"/>
              <w:spacing w:after="0" w:line="312" w:lineRule="auto"/>
              <w:ind w:left="0" w:leftChars="0" w:firstLine="0" w:firstLineChars="0"/>
              <w:rPr>
                <w:rFonts w:hint="eastAsia" w:ascii="宋体" w:hAnsi="宋体" w:cs="宋体"/>
                <w:color w:val="auto"/>
                <w:sz w:val="24"/>
              </w:rPr>
            </w:pPr>
            <w:r>
              <w:rPr>
                <w:rFonts w:hint="eastAsia" w:cs="宋体" w:asciiTheme="minorEastAsia" w:hAnsiTheme="minorEastAsia" w:eastAsiaTheme="minorEastAsia"/>
                <w:color w:val="auto"/>
                <w:sz w:val="24"/>
                <w:lang w:val="en-US" w:eastAsia="zh-CN"/>
              </w:rPr>
              <w:t>1.</w:t>
            </w:r>
            <w:r>
              <w:rPr>
                <w:rFonts w:hint="eastAsia" w:ascii="宋体" w:hAnsi="宋体" w:cs="宋体"/>
                <w:color w:val="auto"/>
                <w:sz w:val="24"/>
              </w:rPr>
              <w:t>全国企业信用信息公示系统中未列入严重违法失信企业名单的网页截图</w:t>
            </w:r>
          </w:p>
          <w:p>
            <w:pPr>
              <w:pStyle w:val="7"/>
              <w:spacing w:after="0" w:line="312" w:lineRule="auto"/>
              <w:ind w:left="0" w:leftChars="0" w:firstLine="0" w:firstLineChars="0"/>
              <w:rPr>
                <w:rFonts w:hint="eastAsia" w:cs="宋体" w:asciiTheme="minorEastAsia" w:hAnsiTheme="minorEastAsia" w:eastAsiaTheme="minorEastAsia"/>
                <w:color w:val="auto"/>
                <w:kern w:val="2"/>
                <w:sz w:val="24"/>
                <w:szCs w:val="24"/>
                <w:lang w:val="en-US" w:eastAsia="zh-CN" w:bidi="ar-SA"/>
              </w:rPr>
            </w:pPr>
            <w:r>
              <w:rPr>
                <w:rFonts w:hint="eastAsia" w:ascii="宋体" w:hAnsi="宋体" w:cs="宋体"/>
                <w:color w:val="auto"/>
                <w:sz w:val="24"/>
              </w:rPr>
              <w:t>2．被最高人民法院在“信用中国”网站（www.creditchina.gov.cn）中未列入失信被执行人名单的网页截图</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供应商只能提出唯一响应方案</w:t>
            </w:r>
          </w:p>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left"/>
              <w:rPr>
                <w:rFonts w:hint="default" w:cs="宋体" w:asciiTheme="minorEastAsia" w:hAnsiTheme="minorEastAsia" w:eastAsiaTheme="minorEastAsia"/>
                <w:color w:val="000000"/>
                <w:sz w:val="24"/>
                <w:lang w:val="en-US"/>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适用，供应商名称：</w:t>
            </w:r>
            <w:r>
              <w:rPr>
                <w:rFonts w:hint="eastAsia" w:ascii="宋体" w:hAnsi="宋体" w:cs="宋体"/>
                <w:sz w:val="24"/>
                <w:szCs w:val="24"/>
                <w:u w:val="single"/>
                <w:lang w:val="en-US" w:eastAsia="zh-CN"/>
              </w:rPr>
              <w:t>长沙集星集装箱码头有限公司长沙港霞凝港区三期工程南片区水运口岸配套工程H986设备辐射环境影响评价等编制报告服务项目</w:t>
            </w:r>
          </w:p>
        </w:tc>
      </w:tr>
      <w:tr>
        <w:tblPrEx>
          <w:tblCellMar>
            <w:top w:w="0" w:type="dxa"/>
            <w:left w:w="108" w:type="dxa"/>
            <w:bottom w:w="0" w:type="dxa"/>
            <w:right w:w="108" w:type="dxa"/>
          </w:tblCellMar>
        </w:tblPrEx>
        <w:trPr>
          <w:trHeight w:val="182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000000"/>
                <w:sz w:val="24"/>
                <w:highlight w:val="none"/>
                <w:u w:val="single"/>
                <w:lang w:val="en-US" w:eastAsia="zh-CN"/>
              </w:rPr>
              <w:t>2021年11月 28 日10：00分</w:t>
            </w:r>
            <w:r>
              <w:rPr>
                <w:rFonts w:hint="eastAsia" w:cs="宋体" w:asciiTheme="minorEastAsia" w:hAnsiTheme="minorEastAsia" w:eastAsiaTheme="minorEastAsia"/>
                <w:color w:val="000000"/>
                <w:sz w:val="24"/>
                <w:highlight w:val="none"/>
                <w:u w:val="single"/>
              </w:rPr>
              <w:t xml:space="preserve"> </w:t>
            </w:r>
          </w:p>
          <w:p>
            <w:pPr>
              <w:spacing w:line="440" w:lineRule="exact"/>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eastAsiaTheme="minorEastAsia"/>
                <w:color w:val="000000" w:themeColor="text1"/>
                <w:sz w:val="24"/>
                <w:szCs w:val="24"/>
                <w:u w:val="single"/>
                <w:lang w:val="en-US" w:eastAsia="zh-CN"/>
                <w14:textFill>
                  <w14:solidFill>
                    <w14:schemeClr w14:val="tx1"/>
                  </w14:solidFill>
                </w14:textFill>
              </w:rPr>
              <w:t>长沙集星集装箱码头有限公司319室</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1215"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Theme="minorHAnsi" w:hAnsiTheme="minorHAnsi" w:eastAsiaTheme="minorEastAsia" w:cstheme="minorBidi"/>
                <w:sz w:val="24"/>
                <w:szCs w:val="24"/>
                <w:lang w:val="en-US" w:eastAsia="zh-CN"/>
              </w:rPr>
              <w:t>湖南省港务集团有限公司六楼602开标室</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eastAsia="zh-CN"/>
              </w:rPr>
              <w:t>无</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评审</w:t>
            </w:r>
            <w:r>
              <w:rPr>
                <w:rFonts w:hint="eastAsia" w:cs="宋体" w:asciiTheme="minorEastAsia" w:hAnsiTheme="minorEastAsia" w:eastAsiaTheme="minorEastAsia"/>
                <w:color w:val="000000"/>
                <w:sz w:val="24"/>
              </w:rPr>
              <w:t>小组的组建</w:t>
            </w:r>
            <w:r>
              <w:rPr>
                <w:rStyle w:val="19"/>
                <w:rFonts w:cs="宋体" w:asciiTheme="minorEastAsia" w:hAnsiTheme="minorEastAsia" w:eastAsiaTheme="minorEastAsia"/>
                <w:color w:val="000000"/>
                <w:sz w:val="24"/>
              </w:rPr>
              <w:footnoteReference w:id="1"/>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评审</w:t>
            </w:r>
            <w:r>
              <w:rPr>
                <w:rFonts w:hint="eastAsia" w:cs="宋体" w:asciiTheme="minorEastAsia" w:hAnsiTheme="minorEastAsia" w:eastAsiaTheme="minorEastAsia"/>
                <w:color w:val="000000"/>
                <w:sz w:val="24"/>
              </w:rPr>
              <w:t>小组构成：</w:t>
            </w:r>
            <w:r>
              <w:rPr>
                <w:rFonts w:hint="eastAsia" w:cs="宋体" w:asciiTheme="minorEastAsia" w:hAnsiTheme="minorEastAsia" w:eastAsiaTheme="minorEastAsia"/>
                <w:color w:val="000000"/>
                <w:sz w:val="24"/>
                <w:u w:val="single"/>
                <w:lang w:val="en-US" w:eastAsia="zh-CN"/>
              </w:rPr>
              <w:t>3</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评审</w:t>
            </w:r>
            <w:r>
              <w:rPr>
                <w:rFonts w:hint="eastAsia" w:cs="宋体" w:asciiTheme="minorEastAsia" w:hAnsiTheme="minorEastAsia" w:eastAsiaTheme="minorEastAsia"/>
                <w:color w:val="000000"/>
                <w:sz w:val="24"/>
              </w:rPr>
              <w:t>专家确定方式：在湖南省湘水集团有限公司综合评标专家库中随机抽取。</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6.6</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是否公开开启最终报价</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3</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9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公示媒介：</w:t>
            </w:r>
            <w:bookmarkStart w:id="9" w:name="_Toc20487"/>
            <w:bookmarkStart w:id="10" w:name="_Toc9276"/>
            <w:r>
              <w:rPr>
                <w:rFonts w:hint="eastAsia" w:cs="宋体" w:asciiTheme="minorEastAsia" w:hAnsiTheme="minorEastAsia" w:eastAsiaTheme="minorEastAsia"/>
                <w:color w:val="000000"/>
                <w:sz w:val="24"/>
              </w:rPr>
              <w:t>本次招标公告同时在中国招标投标公共服务平台（</w:t>
            </w:r>
            <w:r>
              <w:rPr>
                <w:rFonts w:hint="eastAsia" w:cs="宋体" w:asciiTheme="minorEastAsia" w:hAnsiTheme="minorEastAsia" w:eastAsiaTheme="minorEastAsia"/>
                <w:color w:val="000000"/>
                <w:sz w:val="24"/>
              </w:rPr>
              <w:fldChar w:fldCharType="begin"/>
            </w:r>
            <w:r>
              <w:rPr>
                <w:rFonts w:hint="eastAsia" w:cs="宋体" w:asciiTheme="minorEastAsia" w:hAnsiTheme="minorEastAsia" w:eastAsiaTheme="minorEastAsia"/>
                <w:color w:val="000000"/>
                <w:sz w:val="24"/>
              </w:rPr>
              <w:instrText xml:space="preserve"> HYPERLINK "http://www.chinabidding.com.cn" </w:instrText>
            </w:r>
            <w:r>
              <w:rPr>
                <w:rFonts w:hint="eastAsia" w:cs="宋体" w:asciiTheme="minorEastAsia" w:hAnsiTheme="minorEastAsia" w:eastAsiaTheme="minorEastAsia"/>
                <w:color w:val="000000"/>
                <w:sz w:val="24"/>
              </w:rPr>
              <w:fldChar w:fldCharType="separate"/>
            </w:r>
            <w:r>
              <w:rPr>
                <w:rFonts w:hint="eastAsia" w:cs="宋体" w:asciiTheme="minorEastAsia" w:hAnsiTheme="minorEastAsia" w:eastAsiaTheme="minorEastAsia"/>
                <w:color w:val="000000"/>
                <w:sz w:val="24"/>
              </w:rPr>
              <w:t>www.cebpubservice.com</w:t>
            </w:r>
            <w:r>
              <w:rPr>
                <w:rFonts w:hint="eastAsia" w:cs="宋体" w:asciiTheme="minorEastAsia" w:hAnsiTheme="minorEastAsia" w:eastAsiaTheme="minorEastAsia"/>
                <w:color w:val="000000"/>
                <w:sz w:val="24"/>
              </w:rPr>
              <w:fldChar w:fldCharType="end"/>
            </w:r>
            <w:r>
              <w:rPr>
                <w:rFonts w:hint="eastAsia" w:cs="宋体" w:asciiTheme="minorEastAsia" w:hAnsiTheme="minorEastAsia" w:eastAsiaTheme="minorEastAsia"/>
                <w:color w:val="000000"/>
                <w:sz w:val="24"/>
              </w:rPr>
              <w:t>）、湖南省湘水集团有限公司（http://www.hnsxsjt.com）、湖南省港务集团公司网站（http://www.hnsgwjt.com/）上发布。</w:t>
            </w:r>
            <w:bookmarkEnd w:id="9"/>
            <w:bookmarkEnd w:id="10"/>
          </w:p>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公示期限：  </w:t>
            </w:r>
            <w:r>
              <w:rPr>
                <w:rFonts w:hint="eastAsia" w:cs="宋体" w:asciiTheme="minorEastAsia" w:hAnsiTheme="minorEastAsia" w:eastAsiaTheme="minorEastAsia"/>
                <w:color w:val="000000"/>
                <w:sz w:val="24"/>
                <w:lang w:val="en-US" w:eastAsia="zh-CN"/>
              </w:rPr>
              <w:t>3个工作日</w:t>
            </w:r>
            <w:r>
              <w:rPr>
                <w:rFonts w:hint="eastAsia" w:cs="宋体" w:asciiTheme="minorEastAsia" w:hAnsiTheme="minorEastAsia" w:eastAsiaTheme="minorEastAsia"/>
                <w:color w:val="000000"/>
                <w:sz w:val="24"/>
              </w:rPr>
              <w:t xml:space="preserve">   </w:t>
            </w:r>
          </w:p>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其他应公示的内容：  </w:t>
            </w:r>
            <w:r>
              <w:rPr>
                <w:rFonts w:hint="eastAsia" w:cs="宋体" w:asciiTheme="minorEastAsia" w:hAnsiTheme="minorEastAsia" w:eastAsiaTheme="minorEastAsia"/>
                <w:color w:val="000000"/>
                <w:sz w:val="24"/>
                <w:lang w:val="en-US" w:eastAsia="zh-CN"/>
              </w:rPr>
              <w:t>无</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16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183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异议渠道</w:t>
            </w:r>
          </w:p>
        </w:tc>
        <w:tc>
          <w:tcPr>
            <w:tcW w:w="483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szCs w:val="24"/>
                <w:u w:val="single"/>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杨曼</w:t>
            </w:r>
            <w:r>
              <w:rPr>
                <w:rFonts w:hint="eastAsia" w:ascii="宋体" w:hAnsi="宋体" w:eastAsia="宋体" w:cs="宋体"/>
                <w:color w:val="000000"/>
                <w:sz w:val="24"/>
                <w:szCs w:val="24"/>
                <w:u w:val="single"/>
              </w:rPr>
              <w:t xml:space="preserve">  </w:t>
            </w:r>
          </w:p>
          <w:p>
            <w:pPr>
              <w:pStyle w:val="2"/>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sz w:val="24"/>
                <w:szCs w:val="24"/>
                <w:u w:val="single"/>
                <w:lang w:val="en-US" w:eastAsia="zh-CN"/>
              </w:rPr>
              <w:t>13507318311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288"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cs="宋体"/>
                <w:bCs/>
                <w:i w:val="0"/>
                <w:caps w:val="0"/>
                <w:color w:val="auto"/>
                <w:spacing w:val="0"/>
                <w:kern w:val="0"/>
                <w:sz w:val="24"/>
                <w:szCs w:val="24"/>
                <w:u w:val="single"/>
                <w:lang w:val="en-US" w:eastAsia="zh-CN" w:bidi="ar"/>
              </w:rPr>
              <w:t>长沙集星集装箱码头有限公司303室</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tc>
      </w:tr>
    </w:tbl>
    <w:p>
      <w:pPr>
        <w:rPr>
          <w:rFonts w:hint="eastAsia" w:ascii="华文中宋" w:hAnsi="华文中宋" w:eastAsia="华文中宋" w:cs="仿宋"/>
          <w:b/>
          <w:bCs/>
          <w:sz w:val="30"/>
          <w:szCs w:val="30"/>
        </w:rPr>
      </w:pPr>
      <w:r>
        <w:rPr>
          <w:rFonts w:hint="eastAsia" w:ascii="华文中宋" w:hAnsi="华文中宋" w:eastAsia="华文中宋" w:cs="仿宋"/>
          <w:b/>
          <w:bCs/>
          <w:sz w:val="30"/>
          <w:szCs w:val="30"/>
        </w:rPr>
        <w:br w:type="page"/>
      </w:r>
    </w:p>
    <w:p>
      <w:pPr>
        <w:spacing w:line="240" w:lineRule="auto"/>
        <w:jc w:val="center"/>
        <w:outlineLvl w:val="0"/>
        <w:rPr>
          <w:rFonts w:ascii="仿宋" w:hAnsi="仿宋" w:eastAsia="仿宋" w:cs="仿宋"/>
          <w:sz w:val="30"/>
          <w:szCs w:val="30"/>
        </w:rPr>
      </w:pPr>
      <w:bookmarkStart w:id="11" w:name="_Toc27630"/>
      <w:r>
        <w:rPr>
          <w:rFonts w:hint="eastAsia" w:ascii="华文中宋" w:hAnsi="华文中宋" w:eastAsia="华文中宋" w:cs="仿宋"/>
          <w:b/>
          <w:bCs/>
          <w:sz w:val="30"/>
          <w:szCs w:val="30"/>
        </w:rPr>
        <w:t>第二章 供应商须知正文</w:t>
      </w:r>
      <w:bookmarkEnd w:id="11"/>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22"/>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23"/>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23"/>
        <w:spacing w:line="312" w:lineRule="auto"/>
        <w:ind w:firstLine="453" w:firstLineChars="189"/>
        <w:rPr>
          <w:rFonts w:hAnsi="宋体" w:eastAsia="宋体" w:cs="仿宋"/>
          <w:sz w:val="24"/>
          <w:szCs w:val="24"/>
        </w:rPr>
      </w:pPr>
      <w:r>
        <w:rPr>
          <w:rFonts w:hint="eastAsia" w:hAnsi="宋体" w:eastAsia="宋体" w:cs="仿宋"/>
          <w:sz w:val="24"/>
          <w:szCs w:val="24"/>
        </w:rPr>
        <w:t>竞争性谈判采购，是指按照规定程序通过与符合资格要求的供应商谈判确定成交供应商的采购方式。</w:t>
      </w:r>
    </w:p>
    <w:p>
      <w:pPr>
        <w:pStyle w:val="23"/>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22"/>
        <w:spacing w:before="120" w:after="120" w:line="312" w:lineRule="auto"/>
        <w:ind w:left="0" w:firstLine="453" w:firstLineChars="189"/>
        <w:jc w:val="both"/>
        <w:rPr>
          <w:rFonts w:ascii="宋体" w:hAnsi="宋体" w:eastAsia="宋体" w:cs="仿宋"/>
          <w:color w:val="auto"/>
          <w:sz w:val="24"/>
          <w:szCs w:val="24"/>
          <w:shd w:val="clear" w:color="auto" w:fill="auto"/>
        </w:rPr>
      </w:pPr>
      <w:r>
        <w:rPr>
          <w:rFonts w:hint="eastAsia" w:ascii="宋体" w:hAnsi="宋体" w:eastAsia="宋体" w:cs="仿宋"/>
          <w:color w:val="000000"/>
          <w:sz w:val="24"/>
          <w:szCs w:val="24"/>
          <w:shd w:val="clear" w:color="auto" w:fill="auto"/>
        </w:rPr>
        <w:t>综合评分法（性价比法），</w:t>
      </w:r>
      <w:r>
        <w:rPr>
          <w:rFonts w:hint="eastAsia" w:ascii="宋体" w:hAnsi="宋体" w:eastAsia="宋体" w:cs="仿宋"/>
          <w:color w:val="auto"/>
          <w:sz w:val="24"/>
          <w:szCs w:val="24"/>
          <w:shd w:val="clear" w:color="auto" w:fill="auto"/>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w:t>
      </w:r>
      <w:r>
        <w:rPr>
          <w:rFonts w:hint="eastAsia" w:ascii="宋体" w:hAnsi="宋体" w:cs="仿宋"/>
          <w:sz w:val="24"/>
          <w:lang w:val="en-US" w:eastAsia="zh-CN"/>
        </w:rPr>
        <w:t>询价</w:t>
      </w:r>
      <w:r>
        <w:rPr>
          <w:rFonts w:hint="eastAsia" w:ascii="宋体" w:hAnsi="宋体" w:cs="仿宋"/>
          <w:sz w:val="24"/>
        </w:rPr>
        <w:t>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r>
        <w:rPr>
          <w:rFonts w:hint="eastAsia" w:ascii="宋体" w:hAnsi="宋体" w:cs="仿宋"/>
          <w:b/>
          <w:bCs/>
          <w:sz w:val="24"/>
          <w:lang w:eastAsia="zh-CN"/>
        </w:rPr>
        <w:t>不组织</w:t>
      </w:r>
      <w:r>
        <w:rPr>
          <w:rFonts w:hint="eastAsia" w:ascii="宋体" w:hAnsi="宋体" w:cs="仿宋"/>
          <w:b/>
          <w:bCs/>
          <w:sz w:val="24"/>
        </w:rPr>
        <w:t>)</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r>
        <w:rPr>
          <w:rFonts w:hint="eastAsia" w:ascii="宋体" w:hAnsi="宋体" w:cs="仿宋"/>
          <w:b/>
          <w:bCs/>
          <w:sz w:val="24"/>
          <w:lang w:eastAsia="zh-CN"/>
        </w:rPr>
        <w:t>不组织</w:t>
      </w:r>
      <w:r>
        <w:rPr>
          <w:rFonts w:hint="eastAsia" w:ascii="宋体" w:hAnsi="宋体" w:cs="仿宋"/>
          <w:b/>
          <w:bCs/>
          <w:sz w:val="24"/>
        </w:rPr>
        <w:t>)</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r>
        <w:rPr>
          <w:rFonts w:hint="eastAsia" w:ascii="宋体" w:hAnsi="宋体" w:cs="仿宋"/>
          <w:b/>
          <w:bCs/>
          <w:sz w:val="24"/>
          <w:lang w:eastAsia="zh-CN"/>
        </w:rPr>
        <w:t>不允许</w:t>
      </w:r>
      <w:r>
        <w:rPr>
          <w:rFonts w:hint="eastAsia" w:ascii="宋体" w:hAnsi="宋体" w:cs="仿宋"/>
          <w:b/>
          <w:bCs/>
          <w:sz w:val="24"/>
        </w:rPr>
        <w:t>)</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 xml:space="preserve"> (</w:t>
      </w:r>
      <w:r>
        <w:rPr>
          <w:rFonts w:hint="eastAsia" w:ascii="宋体" w:hAnsi="宋体" w:cs="仿宋"/>
          <w:sz w:val="24"/>
          <w:lang w:val="en-US" w:eastAsia="zh-CN"/>
        </w:rPr>
        <w:t>3</w:t>
      </w:r>
      <w:r>
        <w:rPr>
          <w:rFonts w:hint="eastAsia" w:ascii="宋体" w:hAnsi="宋体" w:cs="仿宋"/>
          <w:sz w:val="24"/>
        </w:rPr>
        <w:t>)商务和技术偏差表;</w:t>
      </w:r>
    </w:p>
    <w:p>
      <w:pPr>
        <w:keepNext w:val="0"/>
        <w:keepLines w:val="0"/>
        <w:pageBreakBefore w:val="0"/>
        <w:widowControl/>
        <w:kinsoku/>
        <w:wordWrap/>
        <w:overflowPunct/>
        <w:topLinePunct w:val="0"/>
        <w:autoSpaceDE/>
        <w:autoSpaceDN/>
        <w:bidi w:val="0"/>
        <w:adjustRightInd w:val="0"/>
        <w:snapToGrid w:val="0"/>
        <w:spacing w:line="312" w:lineRule="auto"/>
        <w:ind w:leftChars="100" w:firstLine="360" w:firstLineChars="150"/>
        <w:jc w:val="both"/>
        <w:textAlignment w:val="auto"/>
        <w:rPr>
          <w:rFonts w:ascii="宋体" w:hAnsi="宋体" w:cs="仿宋"/>
          <w:sz w:val="24"/>
        </w:rPr>
      </w:pPr>
      <w:r>
        <w:rPr>
          <w:rFonts w:hint="eastAsia" w:ascii="宋体" w:hAnsi="宋体" w:cs="仿宋"/>
          <w:sz w:val="24"/>
        </w:rPr>
        <w:t>(</w:t>
      </w:r>
      <w:r>
        <w:rPr>
          <w:rFonts w:hint="eastAsia" w:ascii="宋体" w:hAnsi="宋体" w:cs="仿宋"/>
          <w:sz w:val="24"/>
          <w:lang w:val="en-US" w:eastAsia="zh-CN"/>
        </w:rPr>
        <w:t>4</w:t>
      </w:r>
      <w:r>
        <w:rPr>
          <w:rFonts w:hint="eastAsia" w:ascii="宋体" w:hAnsi="宋体" w:cs="仿宋"/>
          <w:sz w:val="24"/>
        </w:rPr>
        <w:t>)报价表;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w:t>
      </w:r>
      <w:r>
        <w:rPr>
          <w:rFonts w:hint="eastAsia" w:ascii="宋体" w:hAnsi="宋体" w:cs="仿宋"/>
          <w:sz w:val="24"/>
          <w:lang w:val="en-US" w:eastAsia="zh-CN"/>
        </w:rPr>
        <w:t>5</w:t>
      </w:r>
      <w:r>
        <w:rPr>
          <w:rFonts w:hint="eastAsia" w:ascii="宋体" w:hAnsi="宋体" w:cs="仿宋"/>
          <w:sz w:val="24"/>
        </w:rPr>
        <w:t>)资格审查资料;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w:t>
      </w:r>
      <w:r>
        <w:rPr>
          <w:rFonts w:hint="eastAsia" w:ascii="宋体" w:hAnsi="宋体" w:cs="仿宋"/>
          <w:sz w:val="24"/>
          <w:lang w:val="en-US" w:eastAsia="zh-CN"/>
        </w:rPr>
        <w:t>6</w:t>
      </w:r>
      <w:r>
        <w:rPr>
          <w:rFonts w:hint="eastAsia" w:ascii="宋体" w:hAnsi="宋体" w:cs="仿宋"/>
          <w:sz w:val="24"/>
        </w:rPr>
        <w:t>)响应方案;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w:t>
      </w:r>
      <w:r>
        <w:rPr>
          <w:rFonts w:hint="eastAsia" w:ascii="宋体" w:hAnsi="宋体" w:cs="仿宋"/>
          <w:sz w:val="24"/>
          <w:lang w:val="en-US" w:eastAsia="zh-CN"/>
        </w:rPr>
        <w:t>7</w:t>
      </w:r>
      <w:r>
        <w:rPr>
          <w:rFonts w:hint="eastAsia" w:ascii="宋体" w:hAnsi="宋体" w:cs="仿宋"/>
          <w:sz w:val="24"/>
        </w:rPr>
        <w:t>)供应商须知前附表规定的其他资料。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w:t>
      </w:r>
      <w:r>
        <w:rPr>
          <w:rFonts w:hint="eastAsia" w:ascii="宋体" w:hAnsi="宋体" w:cs="仿宋"/>
          <w:sz w:val="24"/>
          <w:lang w:eastAsia="zh-CN"/>
        </w:rPr>
        <w:t>邀请</w:t>
      </w:r>
      <w:r>
        <w:rPr>
          <w:rFonts w:hint="eastAsia" w:ascii="宋体" w:hAnsi="宋体" w:cs="仿宋"/>
          <w:sz w:val="24"/>
        </w:rPr>
        <w:t>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sz w:val="24"/>
          <w:lang w:eastAsia="zh-CN"/>
        </w:rPr>
      </w:pPr>
      <w:r>
        <w:rPr>
          <w:rFonts w:hint="eastAsia" w:ascii="宋体" w:hAnsi="宋体" w:cs="仿宋"/>
          <w:b/>
          <w:bCs/>
          <w:sz w:val="24"/>
        </w:rPr>
        <w:t>3.4响应保证金</w:t>
      </w:r>
      <w:r>
        <w:rPr>
          <w:rFonts w:hint="eastAsia" w:ascii="宋体" w:hAnsi="宋体" w:cs="仿宋"/>
          <w:b/>
          <w:bCs/>
          <w:sz w:val="24"/>
          <w:lang w:eastAsia="zh-CN"/>
        </w:rPr>
        <w:t>（不递交）</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w:t>
      </w:r>
      <w:r>
        <w:rPr>
          <w:rFonts w:hint="eastAsia" w:ascii="宋体" w:hAnsi="宋体" w:cs="仿宋"/>
          <w:sz w:val="24"/>
          <w:lang w:eastAsia="zh-CN"/>
        </w:rPr>
        <w:t>两</w:t>
      </w:r>
      <w:r>
        <w:rPr>
          <w:rFonts w:hint="eastAsia" w:ascii="宋体" w:hAnsi="宋体" w:cs="仿宋"/>
          <w:sz w:val="24"/>
        </w:rPr>
        <w:t>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hint="eastAsia"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hint="default" w:ascii="宋体" w:hAnsi="宋体" w:eastAsia="宋体" w:cs="仿宋"/>
          <w:sz w:val="24"/>
          <w:lang w:val="en-US" w:eastAsia="zh-CN"/>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r>
        <w:rPr>
          <w:rFonts w:hint="eastAsia" w:ascii="宋体" w:hAnsi="宋体" w:cs="仿宋"/>
          <w:sz w:val="24"/>
          <w:lang w:val="en-US" w:eastAsia="zh-CN"/>
        </w:rPr>
        <w:t xml:space="preserve">  </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公示</w:t>
      </w:r>
      <w:r>
        <w:rPr>
          <w:rFonts w:hint="eastAsia" w:ascii="宋体" w:hAnsi="宋体" w:cs="宋体"/>
          <w:b/>
          <w:bCs/>
          <w:sz w:val="24"/>
          <w:lang w:eastAsia="zh-CN"/>
        </w:rPr>
        <w:t>（本项目不进行公示）</w:t>
      </w:r>
      <w:r>
        <w:rPr>
          <w:rFonts w:hint="eastAsia" w:ascii="宋体" w:hAnsi="宋体" w:cs="宋体"/>
          <w:b/>
          <w:bCs/>
          <w:sz w:val="24"/>
        </w:rPr>
        <w:t xml:space="preserve">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sz w:val="24"/>
        </w:rPr>
      </w:pPr>
      <w:r>
        <w:rPr>
          <w:rFonts w:hint="eastAsia" w:ascii="宋体" w:hAnsi="宋体" w:cs="仿宋"/>
          <w:b/>
          <w:bCs/>
          <w:sz w:val="24"/>
        </w:rPr>
        <w:t>10.1</w:t>
      </w:r>
      <w:r>
        <w:rPr>
          <w:rFonts w:hint="eastAsia" w:ascii="宋体" w:hAnsi="宋体" w:cs="仿宋"/>
          <w:sz w:val="24"/>
        </w:rPr>
        <w:t>需更补充的其他内容:见供应商须知前附表。</w:t>
      </w:r>
    </w:p>
    <w:p>
      <w:pPr>
        <w:rPr>
          <w:lang w:val="zh-CN"/>
        </w:rPr>
      </w:pPr>
      <w:r>
        <w:rPr>
          <w:lang w:val="zh-CN"/>
        </w:rPr>
        <w:br w:type="page"/>
      </w:r>
    </w:p>
    <w:p>
      <w:pPr>
        <w:adjustRightInd w:val="0"/>
        <w:snapToGrid w:val="0"/>
        <w:spacing w:line="600" w:lineRule="exact"/>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15"/>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9"/>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jc w:val="right"/>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jc w:val="right"/>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jc w:val="right"/>
        <w:rPr>
          <w:rFonts w:ascii="仿宋" w:hAnsi="仿宋" w:eastAsia="仿宋" w:cs="仿宋"/>
          <w:sz w:val="30"/>
          <w:szCs w:val="30"/>
        </w:rPr>
      </w:pPr>
    </w:p>
    <w:p>
      <w:pPr>
        <w:adjustRightInd w:val="0"/>
        <w:snapToGrid w:val="0"/>
        <w:spacing w:line="600" w:lineRule="exact"/>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21"/>
        <w:spacing w:line="600" w:lineRule="exact"/>
        <w:jc w:val="right"/>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rPr>
          <w:lang w:val="zh-CN"/>
        </w:rPr>
      </w:pPr>
      <w:r>
        <w:rPr>
          <w:lang w:val="zh-CN"/>
        </w:rPr>
        <w:br w:type="page"/>
      </w:r>
    </w:p>
    <w:p>
      <w:pPr>
        <w:adjustRightInd w:val="0"/>
        <w:snapToGrid w:val="0"/>
        <w:spacing w:line="600" w:lineRule="exact"/>
        <w:jc w:val="center"/>
        <w:outlineLvl w:val="0"/>
        <w:rPr>
          <w:rFonts w:ascii="黑体" w:hAnsi="黑体" w:eastAsia="黑体" w:cs="仿宋"/>
          <w:bCs/>
          <w:sz w:val="36"/>
          <w:szCs w:val="36"/>
        </w:rPr>
      </w:pPr>
      <w:bookmarkStart w:id="13" w:name="_Toc805"/>
      <w:r>
        <w:rPr>
          <w:rFonts w:hint="eastAsia" w:ascii="黑体" w:hAnsi="黑体" w:eastAsia="黑体" w:cs="仿宋"/>
          <w:bCs/>
          <w:sz w:val="36"/>
          <w:szCs w:val="36"/>
        </w:rPr>
        <w:t>第三章 评审办法</w:t>
      </w:r>
      <w:bookmarkEnd w:id="13"/>
    </w:p>
    <w:p>
      <w:pPr>
        <w:adjustRightInd w:val="0"/>
        <w:snapToGrid w:val="0"/>
        <w:spacing w:before="120" w:beforeLines="50" w:after="120" w:afterLines="50" w:line="312" w:lineRule="auto"/>
        <w:jc w:val="center"/>
        <w:rPr>
          <w:rFonts w:ascii="黑体" w:hAnsi="黑体" w:eastAsia="黑体" w:cs="仿宋"/>
          <w:bCs/>
          <w:color w:val="auto"/>
          <w:sz w:val="32"/>
          <w:szCs w:val="32"/>
          <w:shd w:val="clear" w:color="auto" w:fill="auto"/>
        </w:rPr>
      </w:pPr>
      <w:r>
        <w:rPr>
          <w:rFonts w:hint="eastAsia" w:ascii="黑体" w:hAnsi="黑体" w:eastAsia="黑体" w:cs="仿宋"/>
          <w:bCs/>
          <w:color w:val="auto"/>
          <w:sz w:val="32"/>
          <w:szCs w:val="32"/>
          <w:shd w:val="clear" w:color="auto" w:fill="auto"/>
        </w:rPr>
        <w:t>评审办法前附表</w:t>
      </w:r>
    </w:p>
    <w:tbl>
      <w:tblPr>
        <w:tblStyle w:val="15"/>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1</w:t>
            </w:r>
          </w:p>
        </w:tc>
        <w:tc>
          <w:tcPr>
            <w:tcW w:w="125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1"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2.1.1</w:t>
            </w:r>
          </w:p>
        </w:tc>
        <w:tc>
          <w:tcPr>
            <w:tcW w:w="125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供应商名称</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lang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响应文件签字盖章</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联合体协议书</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响应函中实质性内容</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lang w:eastAsia="zh-CN"/>
              </w:rPr>
              <w:t>提供的有关资格证明文件、合同、响应的采购需求等要与招标文件要求的条款、条件、规格相符并且没有重大偏差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1"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2.1.2</w:t>
            </w:r>
          </w:p>
        </w:tc>
        <w:tc>
          <w:tcPr>
            <w:tcW w:w="125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依法设立</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资质要求</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财务要求</w:t>
            </w:r>
          </w:p>
        </w:tc>
        <w:tc>
          <w:tcPr>
            <w:tcW w:w="5677"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业绩要求</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信誉要求</w:t>
            </w:r>
          </w:p>
        </w:tc>
        <w:tc>
          <w:tcPr>
            <w:tcW w:w="5677"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人员要求</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其他要求</w:t>
            </w:r>
          </w:p>
        </w:tc>
        <w:tc>
          <w:tcPr>
            <w:tcW w:w="5677"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不存在第一章第3.2款情形</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联合体供应商</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2.1.3</w:t>
            </w:r>
          </w:p>
        </w:tc>
        <w:tc>
          <w:tcPr>
            <w:tcW w:w="125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响应文件有效期</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响应保证金</w:t>
            </w:r>
          </w:p>
        </w:tc>
        <w:tc>
          <w:tcPr>
            <w:tcW w:w="5677"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响应方案</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质量标准</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完成期限</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合同条款</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对非关键条款的偏差</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2.2.2</w:t>
            </w:r>
          </w:p>
        </w:tc>
        <w:tc>
          <w:tcPr>
            <w:tcW w:w="125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评审价格</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1"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条款内容</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w:t>
            </w:r>
          </w:p>
        </w:tc>
        <w:tc>
          <w:tcPr>
            <w:tcW w:w="1573" w:type="dxa"/>
            <w:vAlign w:val="center"/>
          </w:tcPr>
          <w:p>
            <w:pPr>
              <w:widowControl w:val="0"/>
              <w:spacing w:line="288" w:lineRule="auto"/>
              <w:jc w:val="center"/>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报价</w:t>
            </w:r>
          </w:p>
        </w:tc>
        <w:tc>
          <w:tcPr>
            <w:tcW w:w="5677" w:type="dxa"/>
          </w:tcPr>
          <w:p>
            <w:pPr>
              <w:widowControl w:val="0"/>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根据</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条规定，</w:t>
            </w:r>
            <w:r>
              <w:rPr>
                <w:rFonts w:hint="eastAsia" w:cs="仿宋" w:asciiTheme="minorEastAsia" w:hAnsiTheme="minorEastAsia" w:eastAsiaTheme="minorEastAsia"/>
                <w:color w:val="auto"/>
                <w:szCs w:val="21"/>
                <w:shd w:val="clear" w:color="auto" w:fill="auto"/>
              </w:rPr>
              <w:t>按照评审价格由低到高的顺序推荐成交候选供应商。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3.1</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分值构成（总分100分）</w:t>
            </w:r>
          </w:p>
        </w:tc>
        <w:tc>
          <w:tcPr>
            <w:tcW w:w="5677" w:type="dxa"/>
          </w:tcPr>
          <w:p>
            <w:pPr>
              <w:widowControl/>
              <w:numPr>
                <w:ilvl w:val="0"/>
                <w:numId w:val="3"/>
              </w:numPr>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商务部分：</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u w:val="single"/>
                <w:shd w:val="clear" w:color="auto" w:fill="auto"/>
                <w:lang w:val="en-US" w:eastAsia="zh-CN"/>
              </w:rPr>
              <w:t>40</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shd w:val="clear" w:color="auto" w:fill="auto"/>
              </w:rPr>
              <w:t>分</w:t>
            </w:r>
          </w:p>
          <w:p>
            <w:pPr>
              <w:widowControl/>
              <w:numPr>
                <w:ilvl w:val="0"/>
                <w:numId w:val="3"/>
              </w:numPr>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技术部分：</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u w:val="single"/>
                <w:shd w:val="clear" w:color="auto" w:fill="auto"/>
                <w:lang w:val="en-US" w:eastAsia="zh-CN"/>
              </w:rPr>
              <w:t>20</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shd w:val="clear" w:color="auto" w:fill="auto"/>
              </w:rPr>
              <w:t>分</w:t>
            </w:r>
          </w:p>
          <w:p>
            <w:pPr>
              <w:widowControl/>
              <w:numPr>
                <w:ilvl w:val="0"/>
                <w:numId w:val="3"/>
              </w:numPr>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报价部分：</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u w:val="single"/>
                <w:shd w:val="clear" w:color="auto" w:fill="auto"/>
                <w:lang w:val="en-US" w:eastAsia="zh-CN"/>
              </w:rPr>
              <w:t>40</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3.2（2）</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评审基准价计算方法</w:t>
            </w:r>
          </w:p>
        </w:tc>
        <w:tc>
          <w:tcPr>
            <w:tcW w:w="5677"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69"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2825" w:type="dxa"/>
            <w:gridSpan w:val="2"/>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评分因素</w:t>
            </w:r>
          </w:p>
        </w:tc>
        <w:tc>
          <w:tcPr>
            <w:tcW w:w="5677" w:type="dxa"/>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3.3（1）</w:t>
            </w:r>
          </w:p>
        </w:tc>
        <w:tc>
          <w:tcPr>
            <w:tcW w:w="2825" w:type="dxa"/>
            <w:gridSpan w:val="2"/>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商务部分评分标准</w:t>
            </w:r>
          </w:p>
        </w:tc>
        <w:tc>
          <w:tcPr>
            <w:tcW w:w="5676" w:type="dxa"/>
            <w:vAlign w:val="center"/>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详见本章</w:t>
            </w:r>
            <w:r>
              <w:rPr>
                <w:rFonts w:hint="eastAsia" w:ascii="宋体" w:hAnsi="宋体"/>
                <w:b/>
                <w:color w:val="auto"/>
                <w:szCs w:val="21"/>
                <w:shd w:val="clear" w:color="auto" w:fill="auto"/>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3.3（2）</w:t>
            </w:r>
          </w:p>
        </w:tc>
        <w:tc>
          <w:tcPr>
            <w:tcW w:w="2825" w:type="dxa"/>
            <w:gridSpan w:val="2"/>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技术部分评分标准</w:t>
            </w:r>
          </w:p>
        </w:tc>
        <w:tc>
          <w:tcPr>
            <w:tcW w:w="5676" w:type="dxa"/>
            <w:vAlign w:val="center"/>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详见本章</w:t>
            </w:r>
            <w:r>
              <w:rPr>
                <w:rFonts w:hint="eastAsia" w:ascii="宋体" w:hAnsi="宋体"/>
                <w:b/>
                <w:color w:val="auto"/>
                <w:szCs w:val="21"/>
                <w:shd w:val="clear" w:color="auto" w:fill="auto"/>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3.3（3）</w:t>
            </w:r>
          </w:p>
        </w:tc>
        <w:tc>
          <w:tcPr>
            <w:tcW w:w="2825" w:type="dxa"/>
            <w:gridSpan w:val="2"/>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ascii="宋体" w:hAnsi="宋体"/>
                <w:color w:val="auto"/>
                <w:szCs w:val="21"/>
                <w:shd w:val="clear" w:color="auto" w:fill="auto"/>
              </w:rPr>
              <w:t>报价评分标准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通过初步评审的最低评审价格为评审基准价，其供应商报价分为满分。其他供应商的报价分统一按照下列公式计算：报价得分＝（评审基准价／评审价格）</w:t>
            </w:r>
            <w:r>
              <w:rPr>
                <w:rFonts w:asciiTheme="minorEastAsia" w:hAnsiTheme="minorEastAsia" w:eastAsiaTheme="minorEastAsia"/>
                <w:color w:val="auto"/>
                <w:szCs w:val="21"/>
                <w:shd w:val="clear" w:color="auto" w:fill="auto"/>
              </w:rPr>
              <w:t>×</w:t>
            </w:r>
            <w:r>
              <w:rPr>
                <w:rFonts w:hint="eastAsia" w:asciiTheme="minorEastAsia" w:hAnsiTheme="minorEastAsia" w:eastAsiaTheme="minorEastAsia"/>
                <w:color w:val="auto"/>
                <w:szCs w:val="21"/>
                <w:u w:val="single"/>
                <w:shd w:val="clear" w:color="auto" w:fill="auto"/>
              </w:rPr>
              <w:t xml:space="preserve">   </w:t>
            </w:r>
            <w:r>
              <w:rPr>
                <w:rFonts w:hint="eastAsia" w:asciiTheme="minorEastAsia" w:hAnsiTheme="minorEastAsia" w:eastAsiaTheme="minorEastAsia"/>
                <w:color w:val="auto"/>
                <w:szCs w:val="21"/>
                <w:u w:val="single"/>
                <w:shd w:val="clear" w:color="auto" w:fill="auto"/>
                <w:lang w:val="en-US" w:eastAsia="zh-CN"/>
              </w:rPr>
              <w:t>40</w:t>
            </w:r>
            <w:r>
              <w:rPr>
                <w:rFonts w:hint="eastAsia" w:asciiTheme="minorEastAsia" w:hAnsiTheme="minorEastAsia" w:eastAsiaTheme="minorEastAsia"/>
                <w:color w:val="auto"/>
                <w:szCs w:val="21"/>
                <w:u w:val="single"/>
                <w:shd w:val="clear" w:color="auto" w:fill="auto"/>
              </w:rPr>
              <w:t xml:space="preserve">   </w:t>
            </w:r>
            <w:r>
              <w:rPr>
                <w:rFonts w:hint="eastAsia" w:asciiTheme="minorEastAsia" w:hAnsiTheme="minorEastAsia" w:eastAsiaTheme="minorEastAsia"/>
                <w:color w:val="auto"/>
                <w:szCs w:val="21"/>
                <w:shd w:val="clear" w:color="auto" w:fill="auto"/>
              </w:rPr>
              <w:t>（投标报价分）。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 xml:space="preserve">3.4.1 </w:t>
            </w:r>
          </w:p>
        </w:tc>
        <w:tc>
          <w:tcPr>
            <w:tcW w:w="1252"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p>
        </w:tc>
        <w:tc>
          <w:tcPr>
            <w:tcW w:w="1573"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供应商最终得分的计算方法</w:t>
            </w:r>
          </w:p>
        </w:tc>
        <w:tc>
          <w:tcPr>
            <w:tcW w:w="5676"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供应商最终得分为商务部分、技术部分、投标报价3个方面评价得分之和。</w:t>
            </w:r>
          </w:p>
        </w:tc>
      </w:tr>
    </w:tbl>
    <w:p>
      <w:pPr>
        <w:rPr>
          <w:lang w:val="zh-CN"/>
        </w:rPr>
      </w:pPr>
      <w:r>
        <w:rPr>
          <w:lang w:val="zh-CN"/>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1评审方法(综合评分法)</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3详细评审标准和程序(综合评分法)</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3.1分值构成</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(1)商务部分:见评审办法前附表;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(2)技术部分:见评审办法前附表;</w:t>
      </w:r>
    </w:p>
    <w:p>
      <w:pPr>
        <w:adjustRightInd w:val="0"/>
        <w:snapToGrid w:val="0"/>
        <w:spacing w:line="312" w:lineRule="auto"/>
        <w:ind w:firstLine="321" w:firstLineChars="134"/>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(3)报价:见评审办法前附表;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3.2评分标准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(1)商务评分标准:见评审办法前附表;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(2)技术评分标准:见评审办法前附表;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(3)报价评分标准: 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3.3评分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3.4汇总</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3.5排序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4评审结果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4.1提交书面评审报告</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评审小组完成评审后，应当向采购人提交书面评审报告。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4.2推荐成交候选供应商排序要求及数量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bookmarkStart w:id="14" w:name="_Toc76635709"/>
      <w:bookmarkStart w:id="15" w:name="_Toc77254130"/>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9"/>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bookmarkStart w:id="16" w:name="_Toc12096"/>
      <w:r>
        <w:rPr>
          <w:rFonts w:hint="eastAsia" w:ascii="黑体" w:hAnsi="黑体" w:eastAsia="黑体" w:cs="宋体"/>
          <w:color w:val="auto"/>
          <w:kern w:val="44"/>
          <w:sz w:val="32"/>
          <w:szCs w:val="32"/>
          <w:shd w:val="clear" w:color="auto" w:fill="auto"/>
        </w:rPr>
        <w:t>附表1  商务</w:t>
      </w:r>
      <w:bookmarkEnd w:id="14"/>
      <w:bookmarkEnd w:id="15"/>
      <w:r>
        <w:rPr>
          <w:rFonts w:hint="eastAsia" w:ascii="黑体" w:hAnsi="黑体" w:eastAsia="黑体" w:cs="宋体"/>
          <w:color w:val="auto"/>
          <w:kern w:val="44"/>
          <w:sz w:val="32"/>
          <w:szCs w:val="32"/>
          <w:shd w:val="clear" w:color="auto" w:fill="auto"/>
        </w:rPr>
        <w:t>部分评分表</w:t>
      </w:r>
      <w:bookmarkEnd w:id="16"/>
    </w:p>
    <w:p>
      <w:pPr>
        <w:widowControl w:val="0"/>
        <w:spacing w:line="490" w:lineRule="exact"/>
        <w:jc w:val="both"/>
        <w:rPr>
          <w:rFonts w:ascii="宋体" w:hAnsi="宋体"/>
          <w:color w:val="auto"/>
          <w:sz w:val="24"/>
          <w:u w:val="single"/>
          <w:shd w:val="clear" w:color="auto" w:fill="auto"/>
        </w:rPr>
      </w:pPr>
      <w:r>
        <w:rPr>
          <w:rFonts w:hint="eastAsia" w:ascii="宋体" w:hAnsi="宋体"/>
          <w:color w:val="auto"/>
          <w:sz w:val="24"/>
          <w:shd w:val="clear" w:color="auto" w:fill="auto"/>
        </w:rPr>
        <w:t>项目名称：</w:t>
      </w:r>
      <w:r>
        <w:rPr>
          <w:rFonts w:hint="eastAsia" w:ascii="宋体" w:hAnsi="宋体" w:eastAsia="宋体" w:cs="宋体"/>
          <w:sz w:val="24"/>
          <w:szCs w:val="24"/>
        </w:rPr>
        <w:t xml:space="preserve"> </w:t>
      </w:r>
      <w:r>
        <w:rPr>
          <w:rFonts w:hint="eastAsia" w:ascii="宋体" w:hAnsi="宋体"/>
          <w:sz w:val="24"/>
          <w:lang w:val="en-US" w:eastAsia="zh-CN"/>
        </w:rPr>
        <w:t>长沙集星集装箱码头有限公司长沙港霞凝港区三期工程南片区水运口岸配套工程H986设备辐射环境影响评价报告等编制服务项目</w:t>
      </w:r>
    </w:p>
    <w:tbl>
      <w:tblPr>
        <w:tblStyle w:val="14"/>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56"/>
        <w:gridCol w:w="4819"/>
        <w:gridCol w:w="1121"/>
        <w:gridCol w:w="112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序号</w:t>
            </w:r>
          </w:p>
        </w:tc>
        <w:tc>
          <w:tcPr>
            <w:tcW w:w="1856"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评分因素</w:t>
            </w:r>
          </w:p>
        </w:tc>
        <w:tc>
          <w:tcPr>
            <w:tcW w:w="481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评价内容/分值</w:t>
            </w:r>
          </w:p>
        </w:tc>
        <w:tc>
          <w:tcPr>
            <w:tcW w:w="3254" w:type="dxa"/>
            <w:gridSpan w:val="3"/>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856"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481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1</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企业类似项目业绩（近</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3</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年）</w:t>
            </w:r>
          </w:p>
          <w:p>
            <w:pPr>
              <w:widowControl w:val="0"/>
              <w:spacing w:line="240" w:lineRule="auto"/>
              <w:jc w:val="center"/>
              <w:rPr>
                <w:rFonts w:ascii="宋体" w:hAnsi="宋体"/>
                <w:color w:val="auto"/>
                <w:kern w:val="0"/>
                <w:szCs w:val="21"/>
                <w:shd w:val="clear" w:color="auto" w:fill="auto"/>
              </w:rPr>
            </w:pPr>
            <w:r>
              <w:rPr>
                <w:rFonts w:hint="eastAsia" w:ascii="宋体" w:hAnsi="宋体"/>
                <w:color w:val="auto"/>
                <w:szCs w:val="21"/>
                <w:shd w:val="clear" w:color="auto" w:fill="auto"/>
              </w:rPr>
              <w:t xml:space="preserve">（ </w:t>
            </w:r>
            <w:r>
              <w:rPr>
                <w:rFonts w:hint="eastAsia" w:ascii="宋体" w:hAnsi="宋体"/>
                <w:color w:val="auto"/>
                <w:szCs w:val="21"/>
                <w:shd w:val="clear" w:color="auto" w:fill="auto"/>
                <w:lang w:val="en-US" w:eastAsia="zh-CN"/>
              </w:rPr>
              <w:t>12</w:t>
            </w:r>
            <w:r>
              <w:rPr>
                <w:rFonts w:hint="eastAsia" w:ascii="宋体" w:hAnsi="宋体"/>
                <w:color w:val="auto"/>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ascii="宋体" w:hAnsi="宋体"/>
                <w:color w:val="auto"/>
                <w:kern w:val="0"/>
                <w:szCs w:val="21"/>
                <w:shd w:val="clear" w:color="auto" w:fill="auto"/>
              </w:rPr>
            </w:pPr>
            <w:r>
              <w:rPr>
                <w:rFonts w:ascii="宋体" w:hAnsi="宋体"/>
                <w:color w:val="auto"/>
                <w:kern w:val="0"/>
                <w:szCs w:val="21"/>
                <w:shd w:val="clear" w:color="auto" w:fill="auto"/>
              </w:rPr>
              <w:t>满足资格审查业绩要求的，</w:t>
            </w:r>
            <w:r>
              <w:rPr>
                <w:rFonts w:hint="eastAsia" w:ascii="宋体" w:hAnsi="宋体"/>
                <w:color w:val="auto"/>
                <w:kern w:val="0"/>
                <w:szCs w:val="21"/>
                <w:shd w:val="clear" w:color="auto" w:fill="auto"/>
              </w:rPr>
              <w:t xml:space="preserve">得 </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8</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分，每增加一个类似项目业绩得</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1</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分，最多得</w:t>
            </w:r>
            <w:r>
              <w:rPr>
                <w:rFonts w:hint="eastAsia" w:ascii="宋体" w:hAnsi="宋体"/>
                <w:color w:val="auto"/>
                <w:kern w:val="0"/>
                <w:szCs w:val="21"/>
                <w:u w:val="single"/>
                <w:shd w:val="clear" w:color="auto" w:fill="auto"/>
                <w:lang w:val="en-US" w:eastAsia="zh-CN"/>
              </w:rPr>
              <w:t>12</w:t>
            </w:r>
            <w:r>
              <w:rPr>
                <w:rFonts w:hint="eastAsia" w:ascii="宋体" w:hAnsi="宋体"/>
                <w:color w:val="auto"/>
                <w:kern w:val="0"/>
                <w:szCs w:val="21"/>
                <w:shd w:val="clear" w:color="auto" w:fill="auto"/>
              </w:rPr>
              <w:t>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4</w:t>
            </w:r>
          </w:p>
        </w:tc>
        <w:tc>
          <w:tcPr>
            <w:tcW w:w="1856" w:type="dxa"/>
            <w:vMerge w:val="restart"/>
            <w:tcBorders>
              <w:top w:val="single" w:color="auto" w:sz="4" w:space="0"/>
              <w:left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 xml:space="preserve">项目负责人资历和业绩      （ </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宋体" w:hAnsi="宋体" w:eastAsia="宋体" w:cs="宋体"/>
                <w:sz w:val="21"/>
                <w:szCs w:val="21"/>
              </w:rPr>
            </w:pPr>
            <w:r>
              <w:rPr>
                <w:rFonts w:hint="eastAsia" w:ascii="宋体" w:hAnsi="宋体" w:eastAsia="宋体" w:cs="宋体"/>
                <w:color w:val="auto"/>
                <w:szCs w:val="21"/>
                <w:shd w:val="clear" w:color="auto" w:fill="auto"/>
              </w:rPr>
              <w:t>任职资格</w:t>
            </w:r>
            <w:r>
              <w:rPr>
                <w:rFonts w:hint="eastAsia" w:ascii="宋体" w:hAnsi="宋体" w:eastAsia="宋体" w:cs="宋体"/>
                <w:color w:val="auto"/>
                <w:szCs w:val="21"/>
                <w:shd w:val="clear" w:color="auto" w:fill="auto"/>
                <w:lang w:eastAsia="zh-CN"/>
              </w:rPr>
              <w:t>符合文件要求</w:t>
            </w:r>
            <w:r>
              <w:rPr>
                <w:rFonts w:hint="eastAsia" w:ascii="宋体" w:hAnsi="宋体" w:eastAsia="宋体" w:cs="宋体"/>
                <w:sz w:val="21"/>
                <w:szCs w:val="21"/>
              </w:rPr>
              <w:t>主要人员满足资格审查条件的计</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pPr>
              <w:widowControl w:val="0"/>
              <w:spacing w:line="240" w:lineRule="auto"/>
              <w:jc w:val="both"/>
              <w:rPr>
                <w:rFonts w:hint="default" w:ascii="宋体" w:hAnsi="宋体" w:eastAsia="宋体"/>
                <w:color w:val="auto"/>
                <w:szCs w:val="21"/>
                <w:shd w:val="clear" w:color="auto" w:fill="auto"/>
                <w:lang w:val="en-US" w:eastAsia="zh-CN"/>
              </w:rPr>
            </w:pPr>
            <w:r>
              <w:rPr>
                <w:rFonts w:hint="eastAsia" w:ascii="宋体" w:hAnsi="宋体" w:eastAsia="宋体" w:cs="宋体"/>
                <w:sz w:val="21"/>
                <w:szCs w:val="21"/>
              </w:rPr>
              <w:t>具有</w:t>
            </w:r>
            <w:r>
              <w:rPr>
                <w:rFonts w:hint="eastAsia" w:ascii="宋体" w:hAnsi="宋体" w:eastAsia="宋体" w:cs="宋体"/>
                <w:sz w:val="21"/>
                <w:szCs w:val="21"/>
                <w:lang w:val="en-US" w:eastAsia="zh-CN"/>
              </w:rPr>
              <w:t>环境保护相关专业中级职称或以上的</w:t>
            </w:r>
            <w:r>
              <w:rPr>
                <w:rFonts w:hint="eastAsia" w:ascii="宋体" w:hAnsi="宋体" w:eastAsia="宋体" w:cs="宋体"/>
                <w:sz w:val="21"/>
                <w:szCs w:val="21"/>
              </w:rPr>
              <w:t>加</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tcBorders>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856" w:type="dxa"/>
            <w:vMerge w:val="continue"/>
            <w:tcBorders>
              <w:left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rPr>
              <w:t>类似项目业绩。</w:t>
            </w:r>
            <w:r>
              <w:rPr>
                <w:rFonts w:hint="eastAsia" w:ascii="宋体" w:hAnsi="宋体"/>
                <w:color w:val="auto"/>
                <w:szCs w:val="21"/>
                <w:shd w:val="clear" w:color="auto" w:fill="auto"/>
                <w:lang w:eastAsia="zh-CN"/>
              </w:rPr>
              <w:t>项目负责人有一项</w:t>
            </w:r>
            <w:r>
              <w:rPr>
                <w:rFonts w:hint="eastAsia" w:ascii="宋体" w:hAnsi="宋体"/>
                <w:color w:val="auto"/>
                <w:szCs w:val="21"/>
                <w:shd w:val="clear" w:color="auto" w:fill="auto"/>
                <w:lang w:val="en-US" w:eastAsia="zh-CN"/>
              </w:rPr>
              <w:t>以上业绩得2分，没有不得分。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5</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lang w:eastAsia="zh-CN"/>
              </w:rPr>
              <w:t>报价</w:t>
            </w:r>
            <w:r>
              <w:rPr>
                <w:rFonts w:hint="eastAsia" w:ascii="宋体" w:hAnsi="宋体"/>
                <w:color w:val="auto"/>
                <w:kern w:val="0"/>
                <w:szCs w:val="21"/>
                <w:shd w:val="clear" w:color="auto" w:fill="auto"/>
              </w:rPr>
              <w:t>文件完整性</w:t>
            </w:r>
          </w:p>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s="宋体"/>
                <w:color w:val="auto"/>
                <w:kern w:val="0"/>
                <w:szCs w:val="21"/>
                <w:shd w:val="clear" w:color="auto" w:fill="auto"/>
              </w:rPr>
              <w:t>（</w:t>
            </w:r>
            <w:r>
              <w:rPr>
                <w:rFonts w:hint="eastAsia" w:ascii="宋体" w:hAnsi="宋体" w:cs="宋体"/>
                <w:color w:val="auto"/>
                <w:kern w:val="0"/>
                <w:szCs w:val="21"/>
                <w:shd w:val="clear" w:color="auto" w:fill="auto"/>
                <w:lang w:val="en-US" w:eastAsia="zh-CN"/>
              </w:rPr>
              <w:t>10</w:t>
            </w:r>
            <w:r>
              <w:rPr>
                <w:rFonts w:hint="eastAsia" w:ascii="宋体" w:hAnsi="宋体" w:cs="宋体"/>
                <w:color w:val="auto"/>
                <w:kern w:val="0"/>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left="1"/>
              <w:jc w:val="both"/>
              <w:rPr>
                <w:rFonts w:ascii="宋体" w:hAnsi="宋体"/>
                <w:color w:val="auto"/>
                <w:szCs w:val="21"/>
                <w:shd w:val="clear" w:color="auto" w:fill="auto"/>
              </w:rPr>
            </w:pPr>
            <w:r>
              <w:rPr>
                <w:rFonts w:hint="eastAsia" w:ascii="宋体" w:hAnsi="宋体"/>
                <w:color w:val="auto"/>
                <w:kern w:val="0"/>
                <w:szCs w:val="21"/>
                <w:shd w:val="clear" w:color="auto" w:fill="auto"/>
              </w:rPr>
              <w:t>符合招标文件要求,得</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shd w:val="clear" w:color="auto" w:fill="auto"/>
              </w:rPr>
              <w:t xml:space="preserve">  分；基本符合招标文件要求，得 </w:t>
            </w:r>
            <w:r>
              <w:rPr>
                <w:rFonts w:hint="eastAsia" w:ascii="宋体" w:hAnsi="宋体"/>
                <w:color w:val="auto"/>
                <w:kern w:val="0"/>
                <w:szCs w:val="21"/>
                <w:shd w:val="clear" w:color="auto" w:fill="auto"/>
                <w:lang w:val="en-US" w:eastAsia="zh-CN"/>
              </w:rPr>
              <w:t>6</w:t>
            </w:r>
            <w:r>
              <w:rPr>
                <w:rFonts w:hint="eastAsia" w:ascii="宋体" w:hAnsi="宋体"/>
                <w:color w:val="auto"/>
                <w:kern w:val="0"/>
                <w:szCs w:val="21"/>
                <w:shd w:val="clear" w:color="auto" w:fill="auto"/>
              </w:rPr>
              <w:t xml:space="preserve">  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6</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kinsoku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lang w:eastAsia="zh-CN"/>
              </w:rPr>
              <w:t>报价</w:t>
            </w:r>
            <w:r>
              <w:rPr>
                <w:rFonts w:ascii="宋体" w:hAnsi="宋体"/>
                <w:color w:val="auto"/>
                <w:szCs w:val="21"/>
                <w:shd w:val="clear" w:color="auto" w:fill="auto"/>
              </w:rPr>
              <w:t>报价完整性和合理性</w:t>
            </w:r>
          </w:p>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s="宋体"/>
                <w:color w:val="auto"/>
                <w:kern w:val="0"/>
                <w:szCs w:val="21"/>
                <w:shd w:val="clear" w:color="auto" w:fill="auto"/>
              </w:rPr>
              <w:t xml:space="preserve">（ </w:t>
            </w:r>
            <w:r>
              <w:rPr>
                <w:rFonts w:hint="eastAsia" w:ascii="宋体" w:hAnsi="宋体" w:cs="宋体"/>
                <w:color w:val="auto"/>
                <w:kern w:val="0"/>
                <w:szCs w:val="21"/>
                <w:shd w:val="clear" w:color="auto" w:fill="auto"/>
                <w:lang w:val="en-US" w:eastAsia="zh-CN"/>
              </w:rPr>
              <w:t>10</w:t>
            </w:r>
            <w:r>
              <w:rPr>
                <w:rFonts w:hint="eastAsia" w:ascii="宋体" w:hAnsi="宋体" w:cs="宋体"/>
                <w:color w:val="auto"/>
                <w:kern w:val="0"/>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olor w:val="auto"/>
                <w:szCs w:val="21"/>
                <w:shd w:val="clear" w:color="auto" w:fill="auto"/>
              </w:rPr>
            </w:pPr>
            <w:r>
              <w:rPr>
                <w:rFonts w:ascii="宋体" w:hAnsi="宋体"/>
                <w:color w:val="auto"/>
                <w:szCs w:val="21"/>
                <w:shd w:val="clear" w:color="auto" w:fill="auto"/>
              </w:rPr>
              <w:t>分项报价表完整、费用构成合理，计</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6</w:t>
            </w:r>
            <w:r>
              <w:rPr>
                <w:rFonts w:ascii="宋体" w:hAnsi="宋体"/>
                <w:color w:val="auto"/>
                <w:szCs w:val="21"/>
                <w:u w:val="single"/>
                <w:shd w:val="clear" w:color="auto" w:fill="auto"/>
              </w:rPr>
              <w:t xml:space="preserve">  </w:t>
            </w:r>
            <w:r>
              <w:rPr>
                <w:rFonts w:ascii="宋体" w:hAnsi="宋体"/>
                <w:color w:val="auto"/>
                <w:szCs w:val="21"/>
                <w:shd w:val="clear" w:color="auto" w:fill="auto"/>
              </w:rPr>
              <w:t xml:space="preserve"> 分；有缺漏项或不合理项，每项扣</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0.5</w:t>
            </w:r>
            <w:r>
              <w:rPr>
                <w:rFonts w:ascii="宋体" w:hAnsi="宋体"/>
                <w:color w:val="auto"/>
                <w:szCs w:val="21"/>
                <w:u w:val="single"/>
                <w:shd w:val="clear" w:color="auto" w:fill="auto"/>
              </w:rPr>
              <w:t xml:space="preserve">  </w:t>
            </w:r>
            <w:r>
              <w:rPr>
                <w:rFonts w:ascii="宋体" w:hAnsi="宋体"/>
                <w:color w:val="auto"/>
                <w:szCs w:val="21"/>
                <w:shd w:val="clear" w:color="auto" w:fill="auto"/>
              </w:rPr>
              <w:t>分，扣完为止。</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szCs w:val="21"/>
                <w:shd w:val="clear" w:color="auto" w:fill="auto"/>
              </w:rPr>
            </w:pPr>
            <w:r>
              <w:rPr>
                <w:rFonts w:hint="eastAsia" w:ascii="宋体" w:hAnsi="宋体"/>
                <w:b/>
                <w:color w:val="auto"/>
                <w:kern w:val="0"/>
                <w:szCs w:val="21"/>
                <w:shd w:val="clear" w:color="auto" w:fill="auto"/>
              </w:rPr>
              <w:t>合    计</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bl>
    <w:p>
      <w:pPr>
        <w:widowControl w:val="0"/>
        <w:adjustRightInd w:val="0"/>
        <w:snapToGrid w:val="0"/>
        <w:spacing w:line="312" w:lineRule="auto"/>
        <w:jc w:val="both"/>
        <w:rPr>
          <w:rFonts w:ascii="宋体" w:hAnsi="宋体"/>
          <w:color w:val="auto"/>
          <w:szCs w:val="21"/>
          <w:shd w:val="clear" w:color="auto" w:fill="auto"/>
        </w:rPr>
      </w:pPr>
      <w:r>
        <w:rPr>
          <w:rFonts w:hint="eastAsia" w:ascii="宋体" w:hAnsi="宋体"/>
          <w:b/>
          <w:color w:val="auto"/>
          <w:kern w:val="0"/>
          <w:szCs w:val="21"/>
          <w:shd w:val="clear" w:color="auto" w:fill="auto"/>
        </w:rPr>
        <w:t>注：</w:t>
      </w:r>
      <w:r>
        <w:rPr>
          <w:rFonts w:hint="eastAsia" w:ascii="宋体" w:hAnsi="宋体"/>
          <w:color w:val="auto"/>
          <w:kern w:val="0"/>
          <w:szCs w:val="21"/>
          <w:shd w:val="clear" w:color="auto" w:fill="auto"/>
        </w:rPr>
        <w:t xml:space="preserve"> 1、</w:t>
      </w:r>
      <w:r>
        <w:rPr>
          <w:rFonts w:hint="eastAsia" w:ascii="宋体" w:hAnsi="宋体"/>
          <w:color w:val="auto"/>
          <w:szCs w:val="21"/>
          <w:shd w:val="clear" w:color="auto" w:fill="auto"/>
        </w:rPr>
        <w:t>本表由评审（谈判）小组集体评议，统一计分。评审（谈判）小组成员中对结论有不同意见时，按少数服从多数的原则，确定得分。</w:t>
      </w:r>
    </w:p>
    <w:p>
      <w:pPr>
        <w:widowControl w:val="0"/>
        <w:adjustRightInd w:val="0"/>
        <w:snapToGrid w:val="0"/>
        <w:spacing w:line="312" w:lineRule="auto"/>
        <w:ind w:firstLine="525" w:firstLineChars="25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2、供应商信用等级得分以全国和省级行业建设市场主体信用评级机构评定的信用等级对应得分中较高的一个分数为准，如某供应商的信用等级（全国）为AAA级，信用等级（湖南省）为A-级，则其信用等级得分以信信用等级（全国）AAA得分为准。</w:t>
      </w:r>
    </w:p>
    <w:p>
      <w:pPr>
        <w:widowControl w:val="0"/>
        <w:adjustRightInd w:val="0"/>
        <w:snapToGrid w:val="0"/>
        <w:spacing w:line="312" w:lineRule="auto"/>
        <w:ind w:firstLine="525" w:firstLineChars="25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首次进入湖南省建设市场、未申请信用评价以及连续两年无在建项目的市场主体单位，其湖南省信用等级默认为B级；未取得全国行业建设市场主体信用评价证书的，在湖南省行业建设市场其全国信用等级视为B级。</w:t>
      </w:r>
    </w:p>
    <w:p>
      <w:pPr>
        <w:widowControl w:val="0"/>
        <w:adjustRightInd w:val="0"/>
        <w:snapToGrid w:val="0"/>
        <w:spacing w:line="312" w:lineRule="auto"/>
        <w:ind w:firstLine="420" w:firstLineChars="20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3、各评分因素中基本合理项的最低分值不得低于该评分因素和评分标准最高分值的60%。</w:t>
      </w:r>
      <w:r>
        <w:rPr>
          <w:rFonts w:hint="eastAsia" w:ascii="宋体" w:hAnsi="宋体"/>
          <w:color w:val="auto"/>
          <w:szCs w:val="21"/>
          <w:shd w:val="clear" w:color="auto" w:fill="auto"/>
        </w:rPr>
        <w:t>评审（谈判）小组</w:t>
      </w:r>
      <w:r>
        <w:rPr>
          <w:rFonts w:hint="eastAsia" w:ascii="宋体" w:hAnsi="宋体"/>
          <w:color w:val="auto"/>
          <w:kern w:val="0"/>
          <w:szCs w:val="21"/>
          <w:shd w:val="clear" w:color="auto" w:fill="auto"/>
        </w:rPr>
        <w:t>对某评分因素评审计分低于该评分因素和评分标准最高分值的60%的，评委应说明原因。</w:t>
      </w:r>
    </w:p>
    <w:p>
      <w:pPr>
        <w:widowControl w:val="0"/>
        <w:jc w:val="both"/>
        <w:rPr>
          <w:rFonts w:ascii="宋体" w:hAnsi="宋体"/>
          <w:color w:val="auto"/>
          <w:sz w:val="24"/>
          <w:shd w:val="clear" w:color="auto" w:fill="auto"/>
        </w:rPr>
      </w:pPr>
    </w:p>
    <w:p>
      <w:pPr>
        <w:widowControl w:val="0"/>
        <w:jc w:val="both"/>
        <w:rPr>
          <w:rFonts w:ascii="宋体" w:hAnsi="宋体"/>
          <w:color w:val="auto"/>
          <w:sz w:val="24"/>
          <w:shd w:val="clear" w:color="auto" w:fill="auto"/>
        </w:rPr>
      </w:pPr>
    </w:p>
    <w:p>
      <w:pPr>
        <w:widowControl w:val="0"/>
        <w:jc w:val="both"/>
        <w:rPr>
          <w:rFonts w:ascii="宋体" w:hAnsi="宋体"/>
          <w:bCs/>
          <w:color w:val="auto"/>
          <w:sz w:val="24"/>
          <w:shd w:val="clear" w:color="auto" w:fill="auto"/>
        </w:rPr>
      </w:pPr>
      <w:r>
        <w:rPr>
          <w:rFonts w:hint="eastAsia" w:ascii="宋体" w:hAnsi="宋体"/>
          <w:color w:val="auto"/>
          <w:sz w:val="24"/>
          <w:shd w:val="clear" w:color="auto" w:fill="auto"/>
        </w:rPr>
        <w:t>评审（谈判）小组</w:t>
      </w:r>
      <w:r>
        <w:rPr>
          <w:rFonts w:ascii="宋体" w:hAnsi="宋体"/>
          <w:color w:val="auto"/>
          <w:sz w:val="24"/>
          <w:shd w:val="clear" w:color="auto" w:fill="auto"/>
        </w:rPr>
        <w:t>全体成员签字：</w:t>
      </w:r>
    </w:p>
    <w:p>
      <w:pPr>
        <w:widowControl w:val="0"/>
        <w:snapToGrid w:val="0"/>
        <w:spacing w:line="240" w:lineRule="auto"/>
        <w:jc w:val="both"/>
        <w:outlineLvl w:val="9"/>
        <w:rPr>
          <w:rFonts w:ascii="黑体" w:hAnsi="黑体" w:eastAsia="黑体"/>
          <w:color w:val="auto"/>
          <w:sz w:val="32"/>
          <w:szCs w:val="32"/>
          <w:shd w:val="clear" w:color="auto" w:fill="auto"/>
        </w:rPr>
      </w:pPr>
      <w:bookmarkStart w:id="17" w:name="_Toc77254135"/>
      <w:bookmarkStart w:id="18" w:name="_Toc76635714"/>
    </w:p>
    <w:p>
      <w:pPr>
        <w:pStyle w:val="2"/>
        <w:numPr>
          <w:ilvl w:val="0"/>
          <w:numId w:val="0"/>
        </w:numPr>
        <w:autoSpaceDE w:val="0"/>
        <w:autoSpaceDN w:val="0"/>
        <w:adjustRightInd w:val="0"/>
        <w:spacing w:after="120" w:line="360" w:lineRule="exact"/>
        <w:jc w:val="left"/>
        <w:textAlignment w:val="baseline"/>
        <w:rPr>
          <w:rFonts w:ascii="黑体" w:hAnsi="黑体" w:eastAsia="黑体"/>
          <w:color w:val="auto"/>
          <w:sz w:val="32"/>
          <w:szCs w:val="32"/>
          <w:shd w:val="clear" w:color="auto" w:fill="auto"/>
        </w:rPr>
      </w:pPr>
    </w:p>
    <w:p>
      <w:pPr>
        <w:pStyle w:val="2"/>
        <w:numPr>
          <w:ilvl w:val="0"/>
          <w:numId w:val="0"/>
        </w:numPr>
        <w:autoSpaceDE w:val="0"/>
        <w:autoSpaceDN w:val="0"/>
        <w:adjustRightInd w:val="0"/>
        <w:spacing w:after="120" w:line="360" w:lineRule="exact"/>
        <w:jc w:val="left"/>
        <w:textAlignment w:val="baseline"/>
        <w:rPr>
          <w:rFonts w:ascii="黑体" w:hAnsi="黑体" w:eastAsia="黑体"/>
          <w:color w:val="auto"/>
          <w:sz w:val="32"/>
          <w:szCs w:val="32"/>
          <w:shd w:val="clear" w:color="auto" w:fill="auto"/>
        </w:rPr>
      </w:pPr>
    </w:p>
    <w:p>
      <w:pPr>
        <w:pStyle w:val="2"/>
        <w:numPr>
          <w:ilvl w:val="0"/>
          <w:numId w:val="0"/>
        </w:numPr>
        <w:autoSpaceDE w:val="0"/>
        <w:autoSpaceDN w:val="0"/>
        <w:adjustRightInd w:val="0"/>
        <w:spacing w:after="120" w:line="360" w:lineRule="exact"/>
        <w:jc w:val="left"/>
        <w:textAlignment w:val="baseline"/>
        <w:rPr>
          <w:rFonts w:ascii="黑体" w:hAnsi="黑体" w:eastAsia="黑体"/>
          <w:color w:val="auto"/>
          <w:sz w:val="32"/>
          <w:szCs w:val="32"/>
          <w:shd w:val="clear" w:color="auto" w:fill="auto"/>
        </w:rPr>
      </w:pPr>
    </w:p>
    <w:p>
      <w:pPr>
        <w:pStyle w:val="2"/>
        <w:numPr>
          <w:ilvl w:val="0"/>
          <w:numId w:val="0"/>
        </w:numPr>
        <w:autoSpaceDE w:val="0"/>
        <w:autoSpaceDN w:val="0"/>
        <w:adjustRightInd w:val="0"/>
        <w:spacing w:after="120" w:line="360" w:lineRule="exact"/>
        <w:jc w:val="left"/>
        <w:textAlignment w:val="baseline"/>
        <w:rPr>
          <w:rFonts w:ascii="黑体" w:hAnsi="黑体" w:eastAsia="黑体"/>
          <w:color w:val="auto"/>
          <w:sz w:val="32"/>
          <w:szCs w:val="32"/>
          <w:shd w:val="clear" w:color="auto" w:fill="auto"/>
        </w:rPr>
      </w:pPr>
    </w:p>
    <w:p>
      <w:pPr>
        <w:widowControl w:val="0"/>
        <w:snapToGrid w:val="0"/>
        <w:spacing w:line="240" w:lineRule="auto"/>
        <w:jc w:val="both"/>
        <w:outlineLvl w:val="9"/>
        <w:rPr>
          <w:rFonts w:ascii="黑体" w:hAnsi="黑体" w:eastAsia="黑体"/>
          <w:color w:val="auto"/>
          <w:sz w:val="32"/>
          <w:szCs w:val="32"/>
          <w:shd w:val="clear" w:color="auto" w:fill="auto"/>
        </w:rPr>
      </w:pPr>
    </w:p>
    <w:p>
      <w:pPr>
        <w:widowControl w:val="0"/>
        <w:snapToGrid w:val="0"/>
        <w:spacing w:line="240" w:lineRule="auto"/>
        <w:jc w:val="both"/>
        <w:outlineLvl w:val="9"/>
        <w:rPr>
          <w:rFonts w:ascii="黑体" w:hAnsi="黑体" w:eastAsia="黑体"/>
          <w:color w:val="auto"/>
          <w:sz w:val="32"/>
          <w:szCs w:val="32"/>
          <w:shd w:val="clear" w:color="auto" w:fill="auto"/>
        </w:rPr>
      </w:pPr>
    </w:p>
    <w:p>
      <w:pPr>
        <w:widowControl w:val="0"/>
        <w:snapToGrid w:val="0"/>
        <w:spacing w:line="240" w:lineRule="auto"/>
        <w:jc w:val="both"/>
        <w:outlineLvl w:val="9"/>
        <w:rPr>
          <w:rFonts w:ascii="黑体" w:hAnsi="黑体" w:eastAsia="黑体"/>
          <w:color w:val="auto"/>
          <w:sz w:val="32"/>
          <w:szCs w:val="32"/>
          <w:shd w:val="clear" w:color="auto" w:fill="auto"/>
        </w:rPr>
      </w:pPr>
    </w:p>
    <w:p>
      <w:pPr>
        <w:widowControl w:val="0"/>
        <w:snapToGrid w:val="0"/>
        <w:spacing w:line="240" w:lineRule="auto"/>
        <w:outlineLvl w:val="2"/>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 xml:space="preserve">附表2 </w:t>
      </w:r>
    </w:p>
    <w:p>
      <w:pPr>
        <w:widowControl w:val="0"/>
        <w:snapToGrid w:val="0"/>
        <w:spacing w:line="240" w:lineRule="auto"/>
        <w:jc w:val="center"/>
        <w:outlineLvl w:val="2"/>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技术</w:t>
      </w:r>
      <w:bookmarkEnd w:id="17"/>
      <w:bookmarkEnd w:id="18"/>
      <w:r>
        <w:rPr>
          <w:rFonts w:hint="eastAsia" w:ascii="黑体" w:hAnsi="黑体" w:eastAsia="黑体"/>
          <w:color w:val="auto"/>
          <w:sz w:val="32"/>
          <w:szCs w:val="32"/>
          <w:shd w:val="clear" w:color="auto" w:fill="auto"/>
        </w:rPr>
        <w:t>部分评分表</w:t>
      </w:r>
    </w:p>
    <w:p>
      <w:pPr>
        <w:widowControl w:val="0"/>
        <w:adjustRightInd w:val="0"/>
        <w:snapToGrid w:val="0"/>
        <w:spacing w:line="312" w:lineRule="auto"/>
        <w:jc w:val="both"/>
        <w:rPr>
          <w:rFonts w:ascii="宋体" w:hAnsi="宋体"/>
          <w:color w:val="auto"/>
          <w:kern w:val="0"/>
          <w:sz w:val="24"/>
          <w:shd w:val="clear" w:color="auto" w:fill="auto"/>
        </w:rPr>
      </w:pPr>
    </w:p>
    <w:p>
      <w:pPr>
        <w:widowControl w:val="0"/>
        <w:spacing w:line="490" w:lineRule="exact"/>
        <w:jc w:val="both"/>
        <w:rPr>
          <w:rFonts w:ascii="宋体" w:hAnsi="宋体"/>
          <w:color w:val="auto"/>
          <w:kern w:val="0"/>
          <w:sz w:val="24"/>
          <w:shd w:val="clear" w:color="auto" w:fill="auto"/>
        </w:rPr>
      </w:pPr>
      <w:r>
        <w:rPr>
          <w:rFonts w:hint="eastAsia" w:ascii="宋体" w:hAnsi="宋体"/>
          <w:color w:val="auto"/>
          <w:kern w:val="0"/>
          <w:sz w:val="24"/>
          <w:shd w:val="clear" w:color="auto" w:fill="auto"/>
        </w:rPr>
        <w:t>项目名称：</w:t>
      </w:r>
      <w:r>
        <w:rPr>
          <w:rFonts w:hint="eastAsia" w:ascii="宋体" w:hAnsi="宋体" w:eastAsia="宋体" w:cs="宋体"/>
          <w:sz w:val="24"/>
          <w:szCs w:val="24"/>
        </w:rPr>
        <w:t xml:space="preserve"> </w:t>
      </w:r>
      <w:r>
        <w:rPr>
          <w:rFonts w:hint="eastAsia" w:ascii="宋体" w:hAnsi="宋体"/>
          <w:sz w:val="24"/>
          <w:lang w:val="en-US" w:eastAsia="zh-CN"/>
        </w:rPr>
        <w:t>长沙集星集装箱码头有限公司长沙港霞凝港区三期工程南片区水运口岸配套工程H986设备辐射环境影响评价报告等编制服务项目</w:t>
      </w:r>
    </w:p>
    <w:tbl>
      <w:tblPr>
        <w:tblStyle w:val="14"/>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267"/>
        <w:gridCol w:w="2930"/>
        <w:gridCol w:w="737"/>
        <w:gridCol w:w="796"/>
        <w:gridCol w:w="7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序号</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评分因素</w:t>
            </w:r>
          </w:p>
        </w:tc>
        <w:tc>
          <w:tcPr>
            <w:tcW w:w="366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kern w:val="0"/>
                <w:szCs w:val="21"/>
                <w:shd w:val="clear" w:color="auto" w:fill="auto"/>
              </w:rPr>
              <w:t>评分标准</w:t>
            </w:r>
            <w:r>
              <w:rPr>
                <w:rFonts w:hint="eastAsia" w:ascii="宋体" w:hAnsi="宋体"/>
                <w:b/>
                <w:color w:val="auto"/>
                <w:szCs w:val="21"/>
                <w:shd w:val="clear" w:color="auto" w:fill="auto"/>
              </w:rPr>
              <w:t>/分值</w:t>
            </w:r>
          </w:p>
        </w:tc>
        <w:tc>
          <w:tcPr>
            <w:tcW w:w="2388"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366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1</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sz w:val="21"/>
                <w:szCs w:val="21"/>
              </w:rPr>
            </w:pPr>
            <w:r>
              <w:rPr>
                <w:rFonts w:hint="eastAsia" w:ascii="宋体" w:hAnsi="宋体"/>
                <w:sz w:val="21"/>
                <w:szCs w:val="21"/>
              </w:rPr>
              <w:t>对项目的理解</w:t>
            </w:r>
          </w:p>
          <w:p>
            <w:pPr>
              <w:widowControl w:val="0"/>
              <w:adjustRightInd w:val="0"/>
              <w:snapToGrid w:val="0"/>
              <w:spacing w:line="240" w:lineRule="auto"/>
              <w:jc w:val="center"/>
              <w:rPr>
                <w:rFonts w:hint="default" w:ascii="宋体" w:hAnsi="宋体"/>
                <w:color w:val="auto"/>
                <w:szCs w:val="21"/>
                <w:shd w:val="clear" w:color="auto" w:fill="auto"/>
                <w:lang w:val="en-US" w:eastAsia="zh-CN"/>
              </w:rPr>
            </w:pPr>
            <w:r>
              <w:rPr>
                <w:rFonts w:hint="eastAsia" w:ascii="宋体" w:hAnsi="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cs="宋体"/>
                <w:color w:val="000000"/>
                <w:sz w:val="21"/>
                <w:szCs w:val="21"/>
              </w:rPr>
              <w:t>0分）</w:t>
            </w:r>
          </w:p>
        </w:tc>
        <w:tc>
          <w:tcPr>
            <w:tcW w:w="3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主要评审投标人对项目的理解程度，对工作的特点、难点分析是否准确，对重点难点问题拟采取的措施的有效性和针对性。</w:t>
            </w:r>
          </w:p>
          <w:p>
            <w:pPr>
              <w:adjustRightInd w:val="0"/>
              <w:snapToGrid w:val="0"/>
              <w:spacing w:line="276" w:lineRule="auto"/>
              <w:jc w:val="both"/>
              <w:rPr>
                <w:rFonts w:hint="eastAsia" w:ascii="宋体" w:hAnsi="宋体"/>
                <w:sz w:val="21"/>
                <w:szCs w:val="21"/>
              </w:rPr>
            </w:pPr>
            <w:r>
              <w:rPr>
                <w:rFonts w:hint="eastAsia" w:ascii="宋体" w:hAnsi="宋体"/>
                <w:sz w:val="21"/>
                <w:szCs w:val="21"/>
              </w:rPr>
              <w:t>对项目的理解透彻，对工程重点、难点理解准确、清晰，措施有针对性，且有效。得</w:t>
            </w:r>
            <w:r>
              <w:rPr>
                <w:rFonts w:hint="eastAsia" w:ascii="宋体" w:hAnsi="宋体"/>
                <w:sz w:val="21"/>
                <w:szCs w:val="21"/>
                <w:lang w:val="en-US" w:eastAsia="zh-CN"/>
              </w:rPr>
              <w:t>9-</w:t>
            </w:r>
            <w:r>
              <w:rPr>
                <w:rFonts w:hint="eastAsia" w:ascii="宋体" w:hAnsi="宋体"/>
                <w:sz w:val="21"/>
                <w:szCs w:val="21"/>
              </w:rPr>
              <w:t>10分；</w:t>
            </w:r>
          </w:p>
          <w:p>
            <w:pPr>
              <w:adjustRightInd w:val="0"/>
              <w:snapToGrid w:val="0"/>
              <w:spacing w:line="276" w:lineRule="auto"/>
              <w:jc w:val="both"/>
              <w:rPr>
                <w:rFonts w:hint="eastAsia" w:ascii="宋体" w:hAnsi="宋体"/>
                <w:sz w:val="21"/>
                <w:szCs w:val="21"/>
              </w:rPr>
            </w:pPr>
            <w:r>
              <w:rPr>
                <w:rFonts w:hint="eastAsia" w:ascii="宋体" w:hAnsi="宋体"/>
                <w:sz w:val="21"/>
                <w:szCs w:val="21"/>
              </w:rPr>
              <w:t>对工程的理解比较透彻，对工程的理解比较准确，措施有针对性，措施基本有效。得</w:t>
            </w:r>
            <w:r>
              <w:rPr>
                <w:rFonts w:hint="eastAsia" w:ascii="宋体" w:hAnsi="宋体"/>
                <w:sz w:val="21"/>
                <w:szCs w:val="21"/>
                <w:lang w:val="en-US" w:eastAsia="zh-CN"/>
              </w:rPr>
              <w:t>7-8</w:t>
            </w:r>
            <w:r>
              <w:rPr>
                <w:rFonts w:hint="eastAsia" w:ascii="宋体" w:hAnsi="宋体"/>
                <w:sz w:val="21"/>
                <w:szCs w:val="21"/>
              </w:rPr>
              <w:t>分；</w:t>
            </w:r>
          </w:p>
          <w:p>
            <w:pPr>
              <w:adjustRightInd w:val="0"/>
              <w:snapToGrid w:val="0"/>
              <w:spacing w:line="276" w:lineRule="auto"/>
              <w:jc w:val="both"/>
              <w:rPr>
                <w:rFonts w:hint="eastAsia" w:ascii="宋体" w:hAnsi="宋体"/>
                <w:sz w:val="21"/>
                <w:szCs w:val="21"/>
              </w:rPr>
            </w:pPr>
            <w:r>
              <w:rPr>
                <w:rFonts w:hint="eastAsia" w:ascii="宋体" w:hAnsi="宋体"/>
                <w:sz w:val="21"/>
                <w:szCs w:val="21"/>
              </w:rPr>
              <w:t>对工程有一定的理解，对工程的重点、难点有一定的理解，能提出针对本工程的措施。得</w:t>
            </w:r>
            <w:r>
              <w:rPr>
                <w:rFonts w:hint="eastAsia" w:ascii="宋体" w:hAnsi="宋体"/>
                <w:sz w:val="21"/>
                <w:szCs w:val="21"/>
                <w:lang w:val="en-US" w:eastAsia="zh-CN"/>
              </w:rPr>
              <w:t>6</w:t>
            </w:r>
            <w:r>
              <w:rPr>
                <w:rFonts w:hint="eastAsia" w:ascii="宋体" w:hAnsi="宋体"/>
                <w:sz w:val="21"/>
                <w:szCs w:val="21"/>
              </w:rPr>
              <w:t>分；</w:t>
            </w:r>
          </w:p>
          <w:p>
            <w:pPr>
              <w:widowControl w:val="0"/>
              <w:adjustRightInd w:val="0"/>
              <w:snapToGrid w:val="0"/>
              <w:spacing w:line="240" w:lineRule="auto"/>
              <w:jc w:val="both"/>
              <w:rPr>
                <w:rFonts w:hint="eastAsia" w:ascii="宋体" w:hAnsi="宋体" w:eastAsia="宋体"/>
                <w:color w:val="auto"/>
                <w:szCs w:val="21"/>
                <w:shd w:val="clear" w:color="auto" w:fill="auto"/>
                <w:lang w:val="en-US" w:eastAsia="zh-CN"/>
              </w:rPr>
            </w:pPr>
            <w:r>
              <w:rPr>
                <w:rFonts w:hint="eastAsia" w:ascii="宋体" w:hAnsi="宋体"/>
                <w:sz w:val="21"/>
                <w:szCs w:val="21"/>
              </w:rPr>
              <w:t>否则得0分。</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2</w:t>
            </w:r>
          </w:p>
        </w:tc>
        <w:tc>
          <w:tcPr>
            <w:tcW w:w="22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color w:val="auto"/>
                <w:szCs w:val="21"/>
                <w:shd w:val="clear" w:color="auto" w:fill="auto"/>
                <w:lang w:eastAsia="zh-CN"/>
              </w:rPr>
            </w:pPr>
            <w:r>
              <w:rPr>
                <w:rFonts w:hint="eastAsia" w:ascii="宋体" w:hAnsi="宋体"/>
                <w:sz w:val="21"/>
                <w:szCs w:val="21"/>
              </w:rPr>
              <w:t>工作大纲</w:t>
            </w:r>
            <w:r>
              <w:rPr>
                <w:rFonts w:hint="eastAsia" w:ascii="宋体" w:hAnsi="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cs="宋体"/>
                <w:color w:val="000000"/>
                <w:sz w:val="21"/>
                <w:szCs w:val="21"/>
              </w:rPr>
              <w:t>0分）</w:t>
            </w:r>
          </w:p>
        </w:tc>
        <w:tc>
          <w:tcPr>
            <w:tcW w:w="366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val="en-US" w:eastAsia="zh-CN"/>
              </w:rPr>
            </w:pPr>
            <w:r>
              <w:rPr>
                <w:rFonts w:hint="eastAsia" w:ascii="宋体" w:hAnsi="宋体"/>
                <w:sz w:val="21"/>
                <w:szCs w:val="21"/>
              </w:rPr>
              <w:t>内容全面合理计</w:t>
            </w:r>
            <w:r>
              <w:rPr>
                <w:rFonts w:hint="eastAsia" w:ascii="宋体" w:hAnsi="宋体"/>
                <w:sz w:val="21"/>
                <w:szCs w:val="21"/>
                <w:lang w:val="en-US" w:eastAsia="zh-CN"/>
              </w:rPr>
              <w:t>9-</w:t>
            </w:r>
            <w:r>
              <w:rPr>
                <w:rFonts w:hint="eastAsia" w:ascii="宋体" w:hAnsi="宋体"/>
                <w:sz w:val="21"/>
                <w:szCs w:val="21"/>
              </w:rPr>
              <w:t>10分；内容较合理，计</w:t>
            </w:r>
            <w:r>
              <w:rPr>
                <w:rFonts w:hint="eastAsia" w:ascii="宋体" w:hAnsi="宋体"/>
                <w:sz w:val="21"/>
                <w:szCs w:val="21"/>
                <w:lang w:val="en-US" w:eastAsia="zh-CN"/>
              </w:rPr>
              <w:t>7-8</w:t>
            </w:r>
            <w:r>
              <w:rPr>
                <w:rFonts w:hint="eastAsia" w:ascii="宋体" w:hAnsi="宋体"/>
                <w:sz w:val="21"/>
                <w:szCs w:val="21"/>
              </w:rPr>
              <w:t>分；内容欠合理，计</w:t>
            </w:r>
            <w:r>
              <w:rPr>
                <w:rFonts w:hint="eastAsia" w:ascii="宋体" w:hAnsi="宋体"/>
                <w:sz w:val="21"/>
                <w:szCs w:val="21"/>
                <w:lang w:val="en-US" w:eastAsia="zh-CN"/>
              </w:rPr>
              <w:t>6</w:t>
            </w:r>
            <w:r>
              <w:rPr>
                <w:rFonts w:hint="eastAsia" w:ascii="宋体" w:hAnsi="宋体"/>
                <w:sz w:val="21"/>
                <w:szCs w:val="21"/>
              </w:rPr>
              <w:t>分。</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w:t>
            </w:r>
          </w:p>
        </w:tc>
        <w:tc>
          <w:tcPr>
            <w:tcW w:w="22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color w:val="auto"/>
                <w:szCs w:val="21"/>
                <w:shd w:val="clear" w:color="auto" w:fill="auto"/>
              </w:rPr>
            </w:pPr>
          </w:p>
        </w:tc>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b/>
                <w:color w:val="auto"/>
                <w:szCs w:val="21"/>
                <w:shd w:val="clear" w:color="auto" w:fill="auto"/>
              </w:rPr>
              <w:t>合计</w:t>
            </w:r>
          </w:p>
        </w:tc>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bl>
    <w:p>
      <w:pPr>
        <w:widowControl w:val="0"/>
        <w:adjustRightInd w:val="0"/>
        <w:snapToGrid w:val="0"/>
        <w:spacing w:line="312" w:lineRule="auto"/>
        <w:ind w:firstLine="315" w:firstLineChars="150"/>
        <w:rPr>
          <w:rFonts w:ascii="宋体" w:hAnsi="宋体"/>
          <w:color w:val="auto"/>
          <w:kern w:val="0"/>
          <w:szCs w:val="21"/>
          <w:shd w:val="clear" w:color="auto" w:fill="auto"/>
        </w:rPr>
      </w:pPr>
      <w:r>
        <w:rPr>
          <w:rFonts w:hint="eastAsia" w:ascii="宋体" w:hAnsi="宋体"/>
          <w:color w:val="auto"/>
          <w:kern w:val="0"/>
          <w:szCs w:val="21"/>
          <w:shd w:val="clear" w:color="auto" w:fill="auto"/>
        </w:rPr>
        <w:t>注：1、本表小计总分为</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20</w:t>
      </w:r>
      <w:r>
        <w:rPr>
          <w:rFonts w:ascii="宋体" w:hAnsi="宋体"/>
          <w:color w:val="auto"/>
          <w:szCs w:val="21"/>
          <w:u w:val="single"/>
          <w:shd w:val="clear" w:color="auto" w:fill="auto"/>
        </w:rPr>
        <w:t xml:space="preserve">   </w:t>
      </w:r>
      <w:r>
        <w:rPr>
          <w:rFonts w:hint="eastAsia" w:ascii="宋体" w:hAnsi="宋体"/>
          <w:color w:val="auto"/>
          <w:kern w:val="0"/>
          <w:szCs w:val="21"/>
          <w:shd w:val="clear" w:color="auto" w:fill="auto"/>
        </w:rPr>
        <w:t>分。</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2、技术文件中缺失某项评分因素的，该项评分因素计0分。</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3、该项评分内容计分，由</w:t>
      </w:r>
      <w:r>
        <w:rPr>
          <w:rFonts w:hint="eastAsia" w:ascii="宋体" w:hAnsi="宋体"/>
          <w:color w:val="auto"/>
          <w:szCs w:val="21"/>
          <w:shd w:val="clear" w:color="auto" w:fill="auto"/>
        </w:rPr>
        <w:t>评审（谈判）小组</w:t>
      </w:r>
      <w:r>
        <w:rPr>
          <w:rFonts w:hint="eastAsia" w:ascii="宋体" w:hAnsi="宋体"/>
          <w:color w:val="auto"/>
          <w:kern w:val="0"/>
          <w:szCs w:val="21"/>
          <w:shd w:val="clear" w:color="auto" w:fill="auto"/>
        </w:rPr>
        <w:t>集体评议，评委根据集体评议意见，自主评分。</w:t>
      </w:r>
      <w:r>
        <w:rPr>
          <w:rFonts w:hint="eastAsia" w:ascii="宋体" w:hAnsi="宋体"/>
          <w:b/>
          <w:color w:val="auto"/>
          <w:kern w:val="0"/>
          <w:szCs w:val="21"/>
          <w:shd w:val="clear" w:color="auto" w:fill="auto"/>
        </w:rPr>
        <w:t>技术文件得分为评委个人评审计分的算术平均值。</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4、采购人可根据项目的具体特点和需要设置合理的评分因素，项目没有具体需要的不得设置为评分因素内容。</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5、</w:t>
      </w:r>
      <w:r>
        <w:rPr>
          <w:rFonts w:hint="eastAsia" w:ascii="宋体" w:hAnsi="宋体"/>
          <w:b/>
          <w:color w:val="auto"/>
          <w:kern w:val="0"/>
          <w:szCs w:val="21"/>
          <w:shd w:val="clear" w:color="auto" w:fill="auto"/>
        </w:rPr>
        <w:t>各评分因素中基本合理项的最低分值不得低于该评分因素和评分标准最高分值的60%。评审（谈判）小组对某评分因素评审计分低于该评分因素和评分标准最高分值的60%的，评委应说明原因。</w:t>
      </w:r>
    </w:p>
    <w:p>
      <w:pPr>
        <w:widowControl w:val="0"/>
        <w:adjustRightInd w:val="0"/>
        <w:snapToGrid w:val="0"/>
        <w:spacing w:line="312" w:lineRule="auto"/>
        <w:ind w:firstLine="738" w:firstLineChars="350"/>
        <w:rPr>
          <w:rFonts w:ascii="宋体" w:hAnsi="宋体"/>
          <w:b/>
          <w:color w:val="auto"/>
          <w:kern w:val="0"/>
          <w:szCs w:val="21"/>
          <w:shd w:val="clear" w:color="auto" w:fill="auto"/>
        </w:rPr>
      </w:pPr>
    </w:p>
    <w:p>
      <w:pPr>
        <w:widowControl w:val="0"/>
        <w:adjustRightInd w:val="0"/>
        <w:snapToGrid w:val="0"/>
        <w:spacing w:line="312" w:lineRule="auto"/>
        <w:ind w:firstLine="738" w:firstLineChars="350"/>
        <w:rPr>
          <w:rFonts w:ascii="宋体" w:hAnsi="宋体"/>
          <w:b/>
          <w:color w:val="auto"/>
          <w:kern w:val="0"/>
          <w:szCs w:val="21"/>
          <w:shd w:val="clear" w:color="auto" w:fill="auto"/>
        </w:rPr>
      </w:pPr>
    </w:p>
    <w:p>
      <w:pPr>
        <w:widowControl w:val="0"/>
        <w:adjustRightInd w:val="0"/>
        <w:snapToGrid w:val="0"/>
        <w:spacing w:line="312" w:lineRule="auto"/>
        <w:ind w:firstLine="480" w:firstLineChars="200"/>
        <w:jc w:val="both"/>
        <w:rPr>
          <w:rFonts w:ascii="宋体" w:hAnsi="宋体"/>
          <w:color w:val="auto"/>
          <w:sz w:val="24"/>
          <w:shd w:val="clear" w:color="auto" w:fill="auto"/>
        </w:rPr>
      </w:pPr>
      <w:r>
        <w:rPr>
          <w:rFonts w:hint="eastAsia" w:ascii="宋体" w:hAnsi="宋体"/>
          <w:color w:val="auto"/>
          <w:sz w:val="24"/>
          <w:shd w:val="clear" w:color="auto" w:fill="auto"/>
        </w:rPr>
        <w:t>评审（谈判）小组</w:t>
      </w:r>
      <w:r>
        <w:rPr>
          <w:rFonts w:ascii="宋体" w:hAnsi="宋体"/>
          <w:color w:val="auto"/>
          <w:sz w:val="24"/>
          <w:shd w:val="clear" w:color="auto" w:fill="auto"/>
        </w:rPr>
        <w:t>全体成员签字：</w:t>
      </w:r>
    </w:p>
    <w:p>
      <w:pPr>
        <w:pStyle w:val="21"/>
        <w:spacing w:line="600" w:lineRule="exact"/>
        <w:ind w:left="420" w:firstLine="0" w:firstLineChars="0"/>
        <w:jc w:val="center"/>
        <w:outlineLvl w:val="0"/>
        <w:rPr>
          <w:rFonts w:ascii="黑体" w:hAnsi="黑体" w:eastAsia="黑体" w:cs="仿宋"/>
          <w:b/>
          <w:color w:val="FF0000"/>
          <w:sz w:val="36"/>
          <w:szCs w:val="36"/>
        </w:rPr>
      </w:pPr>
      <w:r>
        <w:rPr>
          <w:lang w:val="zh-CN"/>
        </w:rPr>
        <w:br w:type="page"/>
      </w:r>
      <w:bookmarkStart w:id="19" w:name="_Toc17947"/>
      <w:r>
        <w:rPr>
          <w:rFonts w:hint="eastAsia" w:ascii="黑体" w:hAnsi="黑体" w:eastAsia="黑体" w:cs="仿宋"/>
          <w:b/>
          <w:color w:val="auto"/>
          <w:sz w:val="36"/>
          <w:szCs w:val="36"/>
        </w:rPr>
        <w:t>第四章  合同条款及格式</w:t>
      </w:r>
      <w:bookmarkEnd w:id="19"/>
    </w:p>
    <w:p>
      <w:pPr>
        <w:jc w:val="center"/>
        <w:rPr>
          <w:lang w:val="zh-CN"/>
        </w:rPr>
      </w:pP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技 术 服 务 合 同</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委托方（甲方）：</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长沙集星集装箱码头有限公司</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受托方（乙方）：</w:t>
      </w:r>
      <w:r>
        <w:rPr>
          <w:rFonts w:hint="eastAsia" w:asciiTheme="minorEastAsia" w:hAnsiTheme="minorEastAsia" w:eastAsiaTheme="minorEastAsia" w:cstheme="minorEastAsia"/>
          <w:color w:val="000000"/>
          <w:sz w:val="24"/>
          <w:szCs w:val="24"/>
        </w:rPr>
        <w:tab/>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 订 时 间：</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 xml:space="preserve">     年      月     日</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 订 地 点：</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湖南省长沙市</w:t>
      </w:r>
    </w:p>
    <w:p>
      <w:pPr>
        <w:spacing w:line="360" w:lineRule="auto"/>
        <w:ind w:firstLine="480" w:firstLineChars="200"/>
        <w:rPr>
          <w:rFonts w:hint="eastAsia" w:asciiTheme="minorEastAsia" w:hAnsiTheme="minorEastAsia" w:eastAsiaTheme="minorEastAsia" w:cstheme="minorEastAsia"/>
          <w:b/>
          <w:color w:val="000000"/>
          <w:sz w:val="24"/>
          <w:szCs w:val="24"/>
          <w:u w:val="single"/>
        </w:rPr>
      </w:pPr>
      <w:r>
        <w:rPr>
          <w:rFonts w:hint="eastAsia" w:asciiTheme="minorEastAsia" w:hAnsiTheme="minorEastAsia" w:eastAsiaTheme="minorEastAsia" w:cstheme="minorEastAsia"/>
          <w:color w:val="000000"/>
          <w:sz w:val="24"/>
          <w:szCs w:val="24"/>
        </w:rPr>
        <w:t>本合同就甲方委托乙方进行</w:t>
      </w:r>
      <w:r>
        <w:rPr>
          <w:rFonts w:hint="eastAsia" w:asciiTheme="minorEastAsia" w:hAnsiTheme="minorEastAsia" w:eastAsiaTheme="minorEastAsia" w:cstheme="minorEastAsia"/>
          <w:b/>
          <w:bCs/>
          <w:color w:val="000000"/>
          <w:sz w:val="24"/>
          <w:szCs w:val="24"/>
          <w:u w:val="single"/>
        </w:rPr>
        <w:t>长沙港霞凝港区三期工程H986设备辐射环境影响评价、竣工环境保护验收、职业病危害放射防护预评价、职业病危害放射防护控制效果评价</w:t>
      </w:r>
      <w:r>
        <w:rPr>
          <w:rFonts w:hint="eastAsia" w:asciiTheme="minorEastAsia" w:hAnsiTheme="minorEastAsia" w:eastAsiaTheme="minorEastAsia" w:cstheme="minorEastAsia"/>
          <w:color w:val="000000"/>
          <w:sz w:val="24"/>
          <w:szCs w:val="24"/>
        </w:rPr>
        <w:t>并支付技术服务报酬事宜，经过双方平等协商，在真实、充分地表达各自意愿的基础上，根据《中华人民共和国民法典》的规定，达成如下协议，并由双方共同恪守。</w:t>
      </w:r>
    </w:p>
    <w:p>
      <w:pPr>
        <w:spacing w:line="560" w:lineRule="exact"/>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第一条 </w:t>
      </w:r>
      <w:r>
        <w:rPr>
          <w:rFonts w:hint="eastAsia" w:asciiTheme="minorEastAsia" w:hAnsiTheme="minorEastAsia" w:eastAsiaTheme="minorEastAsia" w:cstheme="minorEastAsia"/>
          <w:color w:val="000000"/>
          <w:sz w:val="24"/>
          <w:szCs w:val="24"/>
        </w:rPr>
        <w:t>乙方进行技术服务的内容、要求和方式：</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1．服务内容：甲方委托乙方完成</w:t>
      </w:r>
      <w:r>
        <w:rPr>
          <w:rFonts w:hint="eastAsia" w:asciiTheme="minorEastAsia" w:hAnsiTheme="minorEastAsia" w:eastAsiaTheme="minorEastAsia" w:cstheme="minorEastAsia"/>
          <w:color w:val="000000"/>
          <w:sz w:val="24"/>
          <w:szCs w:val="24"/>
          <w:u w:val="single"/>
        </w:rPr>
        <w:t>编制长沙港霞凝港区三期工程H986设备辐射环境影响评价、竣工环境保护验收、职业病危害放射防护预评价、职业病危害放射防护控制效果评价任务，乙方依据甲方提供的相关资料依法完成委托任务，编制辐射环境影响报告表、竣工环境保护验收监测报告表、职业病危害放射防护预评价报告、职业病危害放射防护控制效果评价报告，并协助办理取得环评批复、辐射安全许可证等。甲方委托的任务应具有合法性</w:t>
      </w:r>
      <w:r>
        <w:rPr>
          <w:rFonts w:hint="eastAsia" w:asciiTheme="minorEastAsia" w:hAnsiTheme="minorEastAsia" w:eastAsiaTheme="minorEastAsia" w:cstheme="minorEastAsia"/>
          <w:color w:val="000000"/>
          <w:sz w:val="24"/>
          <w:szCs w:val="24"/>
        </w:rPr>
        <w:t>。</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2．服务要求：</w:t>
      </w:r>
      <w:r>
        <w:rPr>
          <w:rFonts w:hint="eastAsia" w:asciiTheme="minorEastAsia" w:hAnsiTheme="minorEastAsia" w:eastAsiaTheme="minorEastAsia" w:cstheme="minorEastAsia"/>
          <w:color w:val="000000"/>
          <w:sz w:val="24"/>
          <w:szCs w:val="24"/>
        </w:rPr>
        <w:t>满足国家《环境影响评价相关法律法规》和《中华人民共和国职业病防治法》要求。</w:t>
      </w:r>
    </w:p>
    <w:p>
      <w:pPr>
        <w:spacing w:line="560" w:lineRule="exact"/>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第二条</w:t>
      </w:r>
      <w:r>
        <w:rPr>
          <w:rFonts w:hint="eastAsia" w:asciiTheme="minorEastAsia" w:hAnsiTheme="minorEastAsia" w:eastAsiaTheme="minorEastAsia" w:cstheme="minorEastAsia"/>
          <w:color w:val="000000"/>
          <w:sz w:val="24"/>
          <w:szCs w:val="24"/>
        </w:rPr>
        <w:t xml:space="preserve"> 乙方应当</w:t>
      </w:r>
      <w:r>
        <w:rPr>
          <w:rFonts w:hint="eastAsia" w:asciiTheme="minorEastAsia" w:hAnsiTheme="minorEastAsia" w:eastAsiaTheme="minorEastAsia" w:cstheme="minorEastAsia"/>
          <w:color w:val="000000"/>
          <w:sz w:val="24"/>
          <w:szCs w:val="24"/>
          <w:u w:val="single"/>
        </w:rPr>
        <w:t>①在所需资料提交完全，满足报告编写要求后，乙方在30个工作日完成辐射环评报告并向湖南省生态环境厅提交辐射环评报告；②在所需资料提交完全，满足报告编写要求后，乙方在30个工作日完成职业病危害放射防护预评价报告的编写，并协助甲方组织专家审查，提交职业病危害放射防护预评价报告备查稿；③在项目投入使用、满足验收要求，且资料提交完全后，乙方在30个工作日内分别完成环境保护竣工验收和职业病危害放射防护控制效果评价报告以及辐射安全许可证申报材料的编写，并组织验收会议和申请办证事项。</w:t>
      </w:r>
    </w:p>
    <w:p>
      <w:pPr>
        <w:spacing w:line="560" w:lineRule="exact"/>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第三条</w:t>
      </w:r>
      <w:r>
        <w:rPr>
          <w:rFonts w:hint="eastAsia" w:asciiTheme="minorEastAsia" w:hAnsiTheme="minorEastAsia" w:eastAsiaTheme="minorEastAsia" w:cstheme="minorEastAsia"/>
          <w:color w:val="000000"/>
          <w:sz w:val="24"/>
          <w:szCs w:val="24"/>
        </w:rPr>
        <w:t xml:space="preserve"> 为保证乙方有效进行技术服务工作，甲方应当向乙方提供下列协作事项：</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1．提供技术资料，具体如下：</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（1）辐射安全及辐射事故应急预案等制度；</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（2）辐射工作人员相关资料，包括个人剂量报告、个人职业健康体检报告、辐射安全与防护培训证书等；</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（3）工作场所屏蔽防护设计图纸；</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（4）本次评价的设备说明书、工作内容、工艺流程等；</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（5）现有工作场所的原有环评及验收资料。</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2．提供工作条件，协助现场资料收集。</w:t>
      </w:r>
    </w:p>
    <w:p>
      <w:pPr>
        <w:tabs>
          <w:tab w:val="left" w:pos="5535"/>
        </w:tabs>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3．其他：</w:t>
      </w:r>
      <w:r>
        <w:rPr>
          <w:rFonts w:hint="eastAsia" w:asciiTheme="minorEastAsia" w:hAnsiTheme="minorEastAsia" w:eastAsiaTheme="minorEastAsia" w:cstheme="minorEastAsia"/>
          <w:color w:val="000000"/>
          <w:sz w:val="24"/>
          <w:szCs w:val="24"/>
          <w:u w:val="single"/>
        </w:rPr>
        <w:t>未尽事宜，协商解决</w:t>
      </w:r>
    </w:p>
    <w:p>
      <w:pPr>
        <w:spacing w:line="560" w:lineRule="exact"/>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第四条</w:t>
      </w:r>
      <w:r>
        <w:rPr>
          <w:rFonts w:hint="eastAsia" w:asciiTheme="minorEastAsia" w:hAnsiTheme="minorEastAsia" w:eastAsiaTheme="minorEastAsia" w:cstheme="minorEastAsia"/>
          <w:color w:val="000000"/>
          <w:sz w:val="24"/>
          <w:szCs w:val="24"/>
        </w:rPr>
        <w:t xml:space="preserve"> 甲方向乙方支付技术服务报酬及支付方式为：</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1．技术服务报酬总额为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人民币小写：</w:t>
      </w:r>
      <w:r>
        <w:rPr>
          <w:rFonts w:hint="eastAsia" w:asciiTheme="minorEastAsia" w:hAnsiTheme="minorEastAsia" w:eastAsiaTheme="minorEastAsia" w:cstheme="minorEastAsia"/>
          <w:color w:val="000000"/>
          <w:sz w:val="24"/>
          <w:szCs w:val="24"/>
          <w:u w:val="single"/>
        </w:rPr>
        <w:t>（含税）</w:t>
      </w:r>
      <w:r>
        <w:rPr>
          <w:rFonts w:hint="eastAsia" w:asciiTheme="minorEastAsia" w:hAnsiTheme="minorEastAsia" w:eastAsiaTheme="minorEastAsia" w:cstheme="minorEastAsia"/>
          <w:color w:val="000000"/>
          <w:sz w:val="24"/>
          <w:szCs w:val="24"/>
        </w:rPr>
        <w:t>大写：</w:t>
      </w:r>
      <w:r>
        <w:rPr>
          <w:rFonts w:hint="eastAsia" w:asciiTheme="minorEastAsia" w:hAnsiTheme="minorEastAsia" w:eastAsiaTheme="minorEastAsia" w:cstheme="minorEastAsia"/>
          <w:color w:val="000000"/>
          <w:sz w:val="24"/>
          <w:szCs w:val="24"/>
          <w:u w:val="single"/>
        </w:rPr>
        <w:t>，其中环境影响报告（大写：）、竣工环境保护验收监测报告表（大写：）、职业病危害放射防护预评价报告（大写：）、职业病危害放射防护控制效果评价报告（大写：）</w:t>
      </w:r>
      <w:r>
        <w:rPr>
          <w:rFonts w:hint="eastAsia" w:asciiTheme="minorEastAsia" w:hAnsiTheme="minorEastAsia" w:eastAsiaTheme="minorEastAsia" w:cstheme="minorEastAsia"/>
          <w:color w:val="000000"/>
          <w:sz w:val="24"/>
          <w:szCs w:val="24"/>
        </w:rPr>
        <w:t>。</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技术服务报酬支付方式：双方签订合同后，甲方应向乙方支付首付款万元整，乙方出具等额增值税专用发票；在甲方取得辐射环评报告、环境保护竣工验收报告、职业病危害放射防护预评价报告、职业病危害放射防护控制效果评价报告后，甲方在一周内支付剩余整给乙方，乙方出具等额增值税专用发票。</w:t>
      </w:r>
    </w:p>
    <w:p>
      <w:pPr>
        <w:spacing w:line="560" w:lineRule="exact"/>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第五条</w:t>
      </w:r>
      <w:r>
        <w:rPr>
          <w:rFonts w:hint="eastAsia" w:asciiTheme="minorEastAsia" w:hAnsiTheme="minorEastAsia" w:eastAsiaTheme="minorEastAsia" w:cstheme="minorEastAsia"/>
          <w:color w:val="000000"/>
          <w:sz w:val="24"/>
          <w:szCs w:val="24"/>
        </w:rPr>
        <w:t xml:space="preserve"> 双方确定，按以下标准和方式对乙方提交的技术服务工作成果进行验收：</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1．乙方提交技术服务工作成果的形式：长沙港霞凝港区三期工程H986设备辐射环境影响报告表、竣工环境保护验收监测报告表、职业病危害放射防护预评价报告、职业病危害放射防护控制效果评价报告</w:t>
      </w:r>
    </w:p>
    <w:p>
      <w:pPr>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2．技术服务工作成果的验收标准：符合国家《环境影响评价相关法律法规》和《中华人民共和国职业病防治法》要求。</w:t>
      </w:r>
    </w:p>
    <w:p>
      <w:pPr>
        <w:widowControl/>
        <w:autoSpaceDE w:val="0"/>
        <w:autoSpaceDN w:val="0"/>
        <w:spacing w:line="560" w:lineRule="exact"/>
        <w:ind w:firstLine="482" w:firstLineChars="200"/>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第六条</w:t>
      </w:r>
      <w:r>
        <w:rPr>
          <w:rFonts w:hint="eastAsia" w:asciiTheme="minorEastAsia" w:hAnsiTheme="minorEastAsia" w:eastAsiaTheme="minorEastAsia" w:cstheme="minorEastAsia"/>
          <w:color w:val="000000"/>
          <w:sz w:val="24"/>
          <w:szCs w:val="24"/>
        </w:rPr>
        <w:t xml:space="preserve"> 违约责任</w:t>
      </w:r>
    </w:p>
    <w:p>
      <w:pPr>
        <w:widowControl/>
        <w:autoSpaceDE w:val="0"/>
        <w:autoSpaceDN w:val="0"/>
        <w:spacing w:line="560" w:lineRule="exact"/>
        <w:ind w:firstLine="480" w:firstLineChars="200"/>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1、由于乙方原因造成成果资料质量不合格，不能满足技术要求时，其返工费用由乙方承担。</w:t>
      </w:r>
    </w:p>
    <w:p>
      <w:pPr>
        <w:widowControl/>
        <w:autoSpaceDE w:val="0"/>
        <w:autoSpaceDN w:val="0"/>
        <w:spacing w:line="560" w:lineRule="exact"/>
        <w:ind w:firstLine="480" w:firstLineChars="200"/>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2、乙方未按合同规定时间（日期）提交成果资料，每超过一日，应减收本合同总金额的千分之一。</w:t>
      </w:r>
    </w:p>
    <w:p>
      <w:pPr>
        <w:widowControl/>
        <w:autoSpaceDE w:val="0"/>
        <w:autoSpaceDN w:val="0"/>
        <w:spacing w:line="560" w:lineRule="exact"/>
        <w:ind w:firstLine="480" w:firstLineChars="200"/>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3、如项目发生流失乙方不承担任何法律责任并不退回任何费用。</w:t>
      </w:r>
    </w:p>
    <w:p>
      <w:pPr>
        <w:spacing w:line="560" w:lineRule="exact"/>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第七条</w:t>
      </w:r>
      <w:r>
        <w:rPr>
          <w:rFonts w:hint="eastAsia" w:asciiTheme="minorEastAsia" w:hAnsiTheme="minorEastAsia" w:eastAsiaTheme="minorEastAsia" w:cstheme="minorEastAsia"/>
          <w:color w:val="000000"/>
          <w:sz w:val="24"/>
          <w:szCs w:val="24"/>
        </w:rPr>
        <w:t xml:space="preserve"> 双方因履行本合同而发生的争议，应协商、调解解决。协商、调解不成的，依法向合同签署所在地人民法院起诉。</w:t>
      </w:r>
    </w:p>
    <w:p>
      <w:pPr>
        <w:spacing w:line="560" w:lineRule="exact"/>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第八条</w:t>
      </w:r>
      <w:r>
        <w:rPr>
          <w:rFonts w:hint="eastAsia" w:asciiTheme="minorEastAsia" w:hAnsiTheme="minorEastAsia" w:eastAsiaTheme="minorEastAsia" w:cstheme="minorEastAsia"/>
          <w:color w:val="000000"/>
          <w:sz w:val="24"/>
          <w:szCs w:val="24"/>
        </w:rPr>
        <w:t xml:space="preserve"> 本合同一式 陆 份，甲方 叁 份，乙 叁 份，具有同等法律效力。</w:t>
      </w:r>
    </w:p>
    <w:p>
      <w:pPr>
        <w:spacing w:line="560" w:lineRule="exact"/>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第九条</w:t>
      </w:r>
      <w:r>
        <w:rPr>
          <w:rFonts w:hint="eastAsia" w:asciiTheme="minorEastAsia" w:hAnsiTheme="minorEastAsia" w:eastAsiaTheme="minorEastAsia" w:cstheme="minorEastAsia"/>
          <w:color w:val="000000"/>
          <w:sz w:val="24"/>
          <w:szCs w:val="24"/>
        </w:rPr>
        <w:t xml:space="preserve"> 本合同经双方签字盖章后生效。</w:t>
      </w:r>
    </w:p>
    <w:p>
      <w:pPr>
        <w:spacing w:line="460" w:lineRule="exact"/>
        <w:ind w:firstLine="480" w:firstLineChars="200"/>
        <w:rPr>
          <w:rFonts w:hint="eastAsia" w:asciiTheme="minorEastAsia" w:hAnsiTheme="minorEastAsia" w:eastAsiaTheme="minorEastAsia" w:cstheme="minorEastAsia"/>
          <w:color w:val="000000"/>
          <w:sz w:val="24"/>
          <w:szCs w:val="24"/>
        </w:rPr>
      </w:pPr>
    </w:p>
    <w:tbl>
      <w:tblPr>
        <w:tblStyle w:val="14"/>
        <w:tblW w:w="5000" w:type="pct"/>
        <w:tblInd w:w="0" w:type="dxa"/>
        <w:tblLayout w:type="autofit"/>
        <w:tblCellMar>
          <w:top w:w="0" w:type="dxa"/>
          <w:left w:w="108" w:type="dxa"/>
          <w:bottom w:w="0" w:type="dxa"/>
          <w:right w:w="108" w:type="dxa"/>
        </w:tblCellMar>
      </w:tblPr>
      <w:tblGrid>
        <w:gridCol w:w="4200"/>
        <w:gridCol w:w="4322"/>
      </w:tblGrid>
      <w:tr>
        <w:tblPrEx>
          <w:tblCellMar>
            <w:top w:w="0" w:type="dxa"/>
            <w:left w:w="108" w:type="dxa"/>
            <w:bottom w:w="0" w:type="dxa"/>
            <w:right w:w="108" w:type="dxa"/>
          </w:tblCellMar>
        </w:tblPrEx>
        <w:tc>
          <w:tcPr>
            <w:tcW w:w="2464"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甲方：长沙集星集装箱码头有限公司</w:t>
            </w:r>
          </w:p>
        </w:tc>
        <w:tc>
          <w:tcPr>
            <w:tcW w:w="2536"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乙方：</w:t>
            </w:r>
          </w:p>
        </w:tc>
      </w:tr>
      <w:tr>
        <w:tblPrEx>
          <w:tblCellMar>
            <w:top w:w="0" w:type="dxa"/>
            <w:left w:w="108" w:type="dxa"/>
            <w:bottom w:w="0" w:type="dxa"/>
            <w:right w:w="108" w:type="dxa"/>
          </w:tblCellMar>
        </w:tblPrEx>
        <w:trPr>
          <w:trHeight w:val="771" w:hRule="atLeast"/>
        </w:trPr>
        <w:tc>
          <w:tcPr>
            <w:tcW w:w="2464"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 xml:space="preserve">法人或委托代理人： </w:t>
            </w:r>
          </w:p>
        </w:tc>
        <w:tc>
          <w:tcPr>
            <w:tcW w:w="2536"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法人或委托代理人：</w:t>
            </w:r>
          </w:p>
        </w:tc>
      </w:tr>
      <w:tr>
        <w:tblPrEx>
          <w:tblCellMar>
            <w:top w:w="0" w:type="dxa"/>
            <w:left w:w="108" w:type="dxa"/>
            <w:bottom w:w="0" w:type="dxa"/>
            <w:right w:w="108" w:type="dxa"/>
          </w:tblCellMar>
        </w:tblPrEx>
        <w:tc>
          <w:tcPr>
            <w:tcW w:w="2464"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 xml:space="preserve">联 系 人： </w:t>
            </w:r>
          </w:p>
        </w:tc>
        <w:tc>
          <w:tcPr>
            <w:tcW w:w="2536"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联 系 人：</w:t>
            </w:r>
          </w:p>
        </w:tc>
      </w:tr>
      <w:tr>
        <w:tblPrEx>
          <w:tblCellMar>
            <w:top w:w="0" w:type="dxa"/>
            <w:left w:w="108" w:type="dxa"/>
            <w:bottom w:w="0" w:type="dxa"/>
            <w:right w:w="108" w:type="dxa"/>
          </w:tblCellMar>
        </w:tblPrEx>
        <w:tc>
          <w:tcPr>
            <w:tcW w:w="2464"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手    机：</w:t>
            </w:r>
          </w:p>
        </w:tc>
        <w:tc>
          <w:tcPr>
            <w:tcW w:w="2536"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手    机：</w:t>
            </w:r>
          </w:p>
        </w:tc>
      </w:tr>
      <w:tr>
        <w:tblPrEx>
          <w:tblCellMar>
            <w:top w:w="0" w:type="dxa"/>
            <w:left w:w="108" w:type="dxa"/>
            <w:bottom w:w="0" w:type="dxa"/>
            <w:right w:w="108" w:type="dxa"/>
          </w:tblCellMar>
        </w:tblPrEx>
        <w:tc>
          <w:tcPr>
            <w:tcW w:w="2464"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税    号：</w:t>
            </w:r>
          </w:p>
        </w:tc>
        <w:tc>
          <w:tcPr>
            <w:tcW w:w="2536"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税    号：</w:t>
            </w:r>
          </w:p>
        </w:tc>
      </w:tr>
      <w:tr>
        <w:tblPrEx>
          <w:tblCellMar>
            <w:top w:w="0" w:type="dxa"/>
            <w:left w:w="108" w:type="dxa"/>
            <w:bottom w:w="0" w:type="dxa"/>
            <w:right w:w="108" w:type="dxa"/>
          </w:tblCellMar>
        </w:tblPrEx>
        <w:tc>
          <w:tcPr>
            <w:tcW w:w="2464"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开 户 行：</w:t>
            </w:r>
          </w:p>
        </w:tc>
        <w:tc>
          <w:tcPr>
            <w:tcW w:w="2536"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 xml:space="preserve">开 户 行： </w:t>
            </w:r>
          </w:p>
        </w:tc>
      </w:tr>
      <w:tr>
        <w:tblPrEx>
          <w:tblCellMar>
            <w:top w:w="0" w:type="dxa"/>
            <w:left w:w="108" w:type="dxa"/>
            <w:bottom w:w="0" w:type="dxa"/>
            <w:right w:w="108" w:type="dxa"/>
          </w:tblCellMar>
        </w:tblPrEx>
        <w:tc>
          <w:tcPr>
            <w:tcW w:w="2464"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账    号：</w:t>
            </w:r>
          </w:p>
        </w:tc>
        <w:tc>
          <w:tcPr>
            <w:tcW w:w="2536"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账    号：</w:t>
            </w:r>
          </w:p>
        </w:tc>
      </w:tr>
      <w:tr>
        <w:tblPrEx>
          <w:tblCellMar>
            <w:top w:w="0" w:type="dxa"/>
            <w:left w:w="108" w:type="dxa"/>
            <w:bottom w:w="0" w:type="dxa"/>
            <w:right w:w="108" w:type="dxa"/>
          </w:tblCellMar>
        </w:tblPrEx>
        <w:tc>
          <w:tcPr>
            <w:tcW w:w="2464"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签订时间：</w:t>
            </w:r>
          </w:p>
        </w:tc>
        <w:tc>
          <w:tcPr>
            <w:tcW w:w="2536" w:type="pct"/>
            <w:noWrap w:val="0"/>
            <w:vAlign w:val="top"/>
          </w:tcPr>
          <w:p>
            <w:pPr>
              <w:spacing w:line="58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签订时间：</w:t>
            </w:r>
          </w:p>
        </w:tc>
      </w:tr>
    </w:tbl>
    <w:p>
      <w:pPr>
        <w:rPr>
          <w:rFonts w:hint="eastAsia" w:asciiTheme="minorEastAsia" w:hAnsiTheme="minorEastAsia" w:eastAsiaTheme="minorEastAsia" w:cstheme="minorEastAsia"/>
          <w:sz w:val="24"/>
          <w:szCs w:val="24"/>
          <w:lang w:val="en-US" w:eastAsia="zh-CN"/>
        </w:rPr>
      </w:pPr>
    </w:p>
    <w:p>
      <w:pPr>
        <w:numPr>
          <w:ilvl w:val="0"/>
          <w:numId w:val="4"/>
        </w:numPr>
        <w:spacing w:line="600" w:lineRule="exact"/>
        <w:jc w:val="center"/>
        <w:outlineLvl w:val="0"/>
        <w:rPr>
          <w:rFonts w:hint="eastAsia" w:ascii="黑体" w:hAnsi="黑体" w:eastAsia="黑体" w:cs="仿宋"/>
          <w:b/>
          <w:color w:val="auto"/>
          <w:kern w:val="0"/>
          <w:sz w:val="36"/>
          <w:szCs w:val="36"/>
          <w:lang w:val="en-US" w:eastAsia="zh-CN" w:bidi="ar-SA"/>
        </w:rPr>
      </w:pPr>
      <w:r>
        <w:rPr>
          <w:rFonts w:hint="eastAsia" w:ascii="黑体" w:hAnsi="黑体" w:eastAsia="黑体" w:cs="仿宋"/>
          <w:b/>
          <w:color w:val="auto"/>
          <w:kern w:val="0"/>
          <w:sz w:val="36"/>
          <w:szCs w:val="36"/>
          <w:lang w:val="en-US" w:eastAsia="zh-CN" w:bidi="ar-SA"/>
        </w:rPr>
        <w:t xml:space="preserve"> </w:t>
      </w:r>
      <w:bookmarkStart w:id="20" w:name="_Toc7863"/>
      <w:r>
        <w:rPr>
          <w:rFonts w:hint="eastAsia" w:ascii="黑体" w:hAnsi="黑体" w:eastAsia="黑体" w:cs="仿宋"/>
          <w:b/>
          <w:color w:val="auto"/>
          <w:kern w:val="0"/>
          <w:sz w:val="36"/>
          <w:szCs w:val="36"/>
          <w:lang w:val="en-US" w:eastAsia="zh-CN" w:bidi="ar-SA"/>
        </w:rPr>
        <w:t>采购需求</w:t>
      </w:r>
      <w:bookmarkEnd w:id="20"/>
    </w:p>
    <w:p>
      <w:pPr>
        <w:pStyle w:val="3"/>
        <w:numPr>
          <w:ilvl w:val="0"/>
          <w:numId w:val="0"/>
        </w:numPr>
        <w:ind w:leftChars="0"/>
        <w:rPr>
          <w:rFonts w:hint="eastAsia" w:asciiTheme="minorEastAsia" w:hAnsiTheme="minorEastAsia" w:eastAsiaTheme="minorEastAsia" w:cstheme="minorEastAsia"/>
          <w:sz w:val="24"/>
          <w:szCs w:val="24"/>
        </w:rPr>
      </w:pPr>
    </w:p>
    <w:p>
      <w:pPr>
        <w:autoSpaceDE w:val="0"/>
        <w:spacing w:line="400" w:lineRule="exact"/>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 xml:space="preserve">采购范围: </w:t>
      </w:r>
      <w:r>
        <w:rPr>
          <w:rFonts w:hint="eastAsia" w:asciiTheme="minorEastAsia" w:hAnsiTheme="minorEastAsia" w:eastAsiaTheme="minorEastAsia" w:cstheme="minorEastAsia"/>
          <w:bCs/>
          <w:sz w:val="24"/>
          <w:szCs w:val="24"/>
        </w:rPr>
        <w:t>长沙港霞凝港区三期工程</w:t>
      </w:r>
      <w:r>
        <w:rPr>
          <w:rFonts w:hint="eastAsia" w:asciiTheme="minorEastAsia" w:hAnsiTheme="minorEastAsia" w:eastAsiaTheme="minorEastAsia" w:cstheme="minorEastAsia"/>
          <w:bCs/>
          <w:sz w:val="24"/>
          <w:szCs w:val="24"/>
          <w:lang w:eastAsia="zh-CN"/>
        </w:rPr>
        <w:t>南片区水运口岸配套工程</w:t>
      </w:r>
      <w:r>
        <w:rPr>
          <w:rFonts w:hint="eastAsia" w:asciiTheme="minorEastAsia" w:hAnsiTheme="minorEastAsia" w:eastAsiaTheme="minorEastAsia" w:cstheme="minorEastAsia"/>
          <w:bCs/>
          <w:sz w:val="24"/>
          <w:szCs w:val="24"/>
        </w:rPr>
        <w:t>H986设备辐射环境影响评价、竣工环境保护验收、职业病危害放射防护预评价、职业病危害放射防护控制效果评价</w:t>
      </w:r>
      <w:r>
        <w:rPr>
          <w:rFonts w:hint="eastAsia" w:asciiTheme="minorEastAsia" w:hAnsiTheme="minorEastAsia" w:eastAsiaTheme="minorEastAsia" w:cstheme="minorEastAsia"/>
          <w:sz w:val="24"/>
          <w:szCs w:val="24"/>
        </w:rPr>
        <w:t xml:space="preserve"> </w:t>
      </w:r>
    </w:p>
    <w:p>
      <w:pPr>
        <w:autoSpaceDE w:val="0"/>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 xml:space="preserve">服务期限: </w:t>
      </w:r>
      <w:r>
        <w:rPr>
          <w:rFonts w:hint="eastAsia" w:asciiTheme="minorEastAsia" w:hAnsiTheme="minorEastAsia" w:eastAsiaTheme="minorEastAsia" w:cstheme="minorEastAsia"/>
          <w:sz w:val="24"/>
          <w:szCs w:val="24"/>
          <w:u w:val="single"/>
          <w:lang w:eastAsia="zh-CN"/>
        </w:rPr>
        <w:t>合同签订之日起一年</w:t>
      </w:r>
    </w:p>
    <w:p>
      <w:pPr>
        <w:autoSpaceDE w:val="0"/>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 xml:space="preserve">服务地点: </w:t>
      </w:r>
      <w:r>
        <w:rPr>
          <w:rFonts w:hint="eastAsia" w:asciiTheme="minorEastAsia" w:hAnsiTheme="minorEastAsia" w:eastAsiaTheme="minorEastAsia" w:cstheme="minorEastAsia"/>
          <w:sz w:val="24"/>
          <w:szCs w:val="24"/>
          <w:lang w:eastAsia="zh-CN"/>
        </w:rPr>
        <w:t>长沙集星集装箱码头</w:t>
      </w:r>
      <w:r>
        <w:rPr>
          <w:rFonts w:hint="eastAsia" w:asciiTheme="minorEastAsia" w:hAnsiTheme="minorEastAsia" w:eastAsiaTheme="minorEastAsia" w:cstheme="minorEastAsia"/>
          <w:sz w:val="24"/>
          <w:szCs w:val="24"/>
        </w:rPr>
        <w:t>有限公司</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质量要求或服务标准:</w:t>
      </w:r>
      <w:r>
        <w:rPr>
          <w:rFonts w:hint="eastAsia" w:asciiTheme="minorEastAsia" w:hAnsiTheme="minorEastAsia" w:eastAsiaTheme="minorEastAsia" w:cstheme="minorEastAsia"/>
          <w:color w:val="000000"/>
          <w:sz w:val="24"/>
          <w:szCs w:val="24"/>
        </w:rPr>
        <w:t>符合国家《环境影响评价相关法律法规》和《中华人民共和国职业病防治法》要求。</w:t>
      </w:r>
      <w:r>
        <w:rPr>
          <w:rFonts w:hint="eastAsia" w:asciiTheme="minorEastAsia" w:hAnsiTheme="minorEastAsia" w:eastAsiaTheme="minorEastAsia" w:cstheme="minorEastAsia"/>
          <w:sz w:val="24"/>
          <w:szCs w:val="24"/>
        </w:rPr>
        <w:t xml:space="preserve"> </w:t>
      </w:r>
    </w:p>
    <w:p>
      <w:pPr>
        <w:rPr>
          <w:color w:val="FF0000"/>
          <w:lang w:val="zh-CN"/>
        </w:rPr>
      </w:pPr>
    </w:p>
    <w:p>
      <w:pPr>
        <w:pStyle w:val="2"/>
        <w:numPr>
          <w:ilvl w:val="0"/>
          <w:numId w:val="0"/>
        </w:numPr>
        <w:rPr>
          <w:lang w:val="zh-CN"/>
        </w:rPr>
      </w:pPr>
    </w:p>
    <w:p>
      <w:pPr>
        <w:spacing w:line="312" w:lineRule="auto"/>
        <w:jc w:val="center"/>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pStyle w:val="2"/>
        <w:numPr>
          <w:ilvl w:val="0"/>
          <w:numId w:val="0"/>
        </w:numPr>
        <w:autoSpaceDE w:val="0"/>
        <w:autoSpaceDN w:val="0"/>
        <w:adjustRightInd w:val="0"/>
        <w:spacing w:after="120" w:line="360" w:lineRule="exact"/>
        <w:jc w:val="left"/>
        <w:textAlignment w:val="baseline"/>
        <w:rPr>
          <w:rFonts w:hint="eastAsia" w:ascii="黑体" w:hAnsi="黑体" w:eastAsia="黑体" w:cs="仿宋"/>
          <w:b/>
          <w:color w:val="000000"/>
          <w:sz w:val="36"/>
          <w:szCs w:val="36"/>
        </w:rPr>
      </w:pPr>
    </w:p>
    <w:p>
      <w:pPr>
        <w:pStyle w:val="2"/>
        <w:numPr>
          <w:ilvl w:val="0"/>
          <w:numId w:val="0"/>
        </w:numPr>
        <w:autoSpaceDE w:val="0"/>
        <w:autoSpaceDN w:val="0"/>
        <w:adjustRightInd w:val="0"/>
        <w:spacing w:after="120" w:line="360" w:lineRule="exact"/>
        <w:jc w:val="left"/>
        <w:textAlignment w:val="baseline"/>
        <w:rPr>
          <w:rFonts w:hint="eastAsia" w:ascii="黑体" w:hAnsi="黑体" w:eastAsia="黑体" w:cs="仿宋"/>
          <w:b/>
          <w:color w:val="000000"/>
          <w:sz w:val="36"/>
          <w:szCs w:val="36"/>
        </w:rPr>
      </w:pPr>
    </w:p>
    <w:p>
      <w:pPr>
        <w:pStyle w:val="2"/>
        <w:numPr>
          <w:ilvl w:val="0"/>
          <w:numId w:val="0"/>
        </w:numPr>
        <w:autoSpaceDE w:val="0"/>
        <w:autoSpaceDN w:val="0"/>
        <w:adjustRightInd w:val="0"/>
        <w:spacing w:after="120" w:line="360" w:lineRule="exact"/>
        <w:jc w:val="left"/>
        <w:textAlignment w:val="baseline"/>
        <w:rPr>
          <w:rFonts w:hint="eastAsia" w:ascii="黑体" w:hAnsi="黑体" w:eastAsia="黑体" w:cs="仿宋"/>
          <w:b/>
          <w:color w:val="000000"/>
          <w:sz w:val="36"/>
          <w:szCs w:val="36"/>
        </w:rPr>
      </w:pPr>
    </w:p>
    <w:p>
      <w:pPr>
        <w:spacing w:line="312" w:lineRule="auto"/>
        <w:jc w:val="center"/>
        <w:rPr>
          <w:rFonts w:hint="eastAsia" w:ascii="黑体" w:hAnsi="黑体" w:eastAsia="黑体" w:cs="仿宋"/>
          <w:b/>
          <w:color w:val="000000"/>
          <w:sz w:val="36"/>
          <w:szCs w:val="36"/>
        </w:rPr>
      </w:pPr>
    </w:p>
    <w:p>
      <w:pPr>
        <w:spacing w:line="312" w:lineRule="auto"/>
        <w:jc w:val="center"/>
        <w:outlineLvl w:val="0"/>
        <w:rPr>
          <w:rFonts w:hint="eastAsia" w:ascii="黑体" w:hAnsi="黑体" w:eastAsia="黑体" w:cs="仿宋"/>
          <w:b/>
          <w:color w:val="auto"/>
          <w:kern w:val="0"/>
          <w:sz w:val="36"/>
          <w:szCs w:val="36"/>
          <w:lang w:val="en-US" w:eastAsia="zh-CN" w:bidi="ar-SA"/>
        </w:rPr>
      </w:pPr>
      <w:bookmarkStart w:id="21" w:name="_Toc12621"/>
      <w:r>
        <w:rPr>
          <w:rFonts w:hint="eastAsia" w:ascii="黑体" w:hAnsi="黑体" w:eastAsia="黑体" w:cs="仿宋"/>
          <w:b/>
          <w:color w:val="auto"/>
          <w:kern w:val="0"/>
          <w:sz w:val="36"/>
          <w:szCs w:val="36"/>
          <w:lang w:val="en-US" w:eastAsia="zh-CN" w:bidi="ar-SA"/>
        </w:rPr>
        <w:t>第六章  响应文件格式</w:t>
      </w:r>
      <w:bookmarkEnd w:id="21"/>
    </w:p>
    <w:p>
      <w:pPr>
        <w:jc w:val="center"/>
        <w:rPr>
          <w:rFonts w:hint="eastAsia" w:ascii="黑体" w:hAnsi="黑体" w:eastAsia="黑体" w:cs="仿宋"/>
          <w:b/>
          <w:color w:val="auto"/>
          <w:kern w:val="0"/>
          <w:sz w:val="36"/>
          <w:szCs w:val="36"/>
          <w:lang w:val="en-US" w:eastAsia="zh-CN" w:bidi="ar-SA"/>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outlineLvl w:val="0"/>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bookmarkStart w:id="22" w:name="_Toc2171"/>
      <w:r>
        <w:rPr>
          <w:rFonts w:hint="eastAsia" w:eastAsia="方正小标宋_GBK"/>
          <w:b/>
          <w:bCs/>
          <w:sz w:val="40"/>
          <w:szCs w:val="36"/>
        </w:rPr>
        <w:t>项目</w:t>
      </w:r>
      <w:bookmarkEnd w:id="22"/>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outlineLvl w:val="0"/>
        <w:rPr>
          <w:rFonts w:eastAsia="方正小标宋_GBK"/>
          <w:b/>
          <w:bCs/>
          <w:spacing w:val="160"/>
          <w:sz w:val="72"/>
          <w:szCs w:val="72"/>
        </w:rPr>
      </w:pPr>
      <w:bookmarkStart w:id="23" w:name="_Toc27030"/>
      <w:r>
        <w:rPr>
          <w:rFonts w:hint="eastAsia" w:eastAsia="方正小标宋_GBK"/>
          <w:b/>
          <w:bCs/>
          <w:spacing w:val="160"/>
          <w:sz w:val="72"/>
          <w:szCs w:val="72"/>
        </w:rPr>
        <w:t>响应</w:t>
      </w:r>
      <w:r>
        <w:rPr>
          <w:rFonts w:eastAsia="方正小标宋_GBK"/>
          <w:b/>
          <w:bCs/>
          <w:spacing w:val="160"/>
          <w:sz w:val="72"/>
          <w:szCs w:val="72"/>
        </w:rPr>
        <w:t>文件</w:t>
      </w:r>
      <w:bookmarkEnd w:id="23"/>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outlineLvl w:val="0"/>
        <w:rPr>
          <w:rFonts w:eastAsia="黑体"/>
          <w:bCs/>
          <w:sz w:val="30"/>
          <w:szCs w:val="30"/>
        </w:rPr>
      </w:pPr>
      <w:bookmarkStart w:id="24" w:name="_Toc6148"/>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全称并盖单位公章</w:t>
      </w:r>
      <w:bookmarkEnd w:id="24"/>
      <w:r>
        <w:rPr>
          <w:rFonts w:eastAsia="黑体"/>
          <w:bCs/>
          <w:sz w:val="30"/>
          <w:szCs w:val="30"/>
          <w:u w:val="single"/>
        </w:rPr>
        <w:t xml:space="preserve"> </w:t>
      </w:r>
    </w:p>
    <w:p>
      <w:pPr>
        <w:spacing w:line="900" w:lineRule="exact"/>
        <w:jc w:val="center"/>
        <w:outlineLvl w:val="0"/>
        <w:rPr>
          <w:rFonts w:eastAsia="黑体"/>
          <w:sz w:val="30"/>
          <w:szCs w:val="30"/>
        </w:rPr>
      </w:pPr>
      <w:bookmarkStart w:id="25" w:name="_Toc18029"/>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bookmarkEnd w:id="25"/>
    </w:p>
    <w:p>
      <w:pPr>
        <w:rPr>
          <w:color w:val="FF0000"/>
          <w:lang w:val="zh-CN"/>
        </w:rPr>
      </w:pPr>
      <w:r>
        <w:rPr>
          <w:color w:val="FF0000"/>
          <w:lang w:val="zh-CN"/>
        </w:rPr>
        <w:br w:type="page"/>
      </w:r>
    </w:p>
    <w:p>
      <w:pPr>
        <w:adjustRightInd w:val="0"/>
        <w:snapToGrid w:val="0"/>
        <w:spacing w:line="600" w:lineRule="exact"/>
        <w:jc w:val="center"/>
        <w:outlineLvl w:val="0"/>
        <w:rPr>
          <w:rFonts w:ascii="黑体" w:hAnsi="黑体" w:eastAsia="黑体" w:cs="仿宋"/>
          <w:sz w:val="36"/>
          <w:szCs w:val="36"/>
        </w:rPr>
      </w:pPr>
      <w:bookmarkStart w:id="26" w:name="_Toc16712"/>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26"/>
    </w:p>
    <w:p>
      <w:pPr>
        <w:adjustRightInd w:val="0"/>
        <w:snapToGrid w:val="0"/>
        <w:spacing w:line="600" w:lineRule="exact"/>
        <w:jc w:val="both"/>
        <w:rPr>
          <w:rFonts w:ascii="宋体" w:hAnsi="宋体" w:cs="仿宋"/>
          <w:sz w:val="36"/>
          <w:szCs w:val="36"/>
        </w:rPr>
      </w:pPr>
    </w:p>
    <w:p>
      <w:pPr>
        <w:adjustRightInd w:val="0"/>
        <w:snapToGrid w:val="0"/>
        <w:spacing w:line="600" w:lineRule="exact"/>
        <w:jc w:val="both"/>
        <w:outlineLvl w:val="0"/>
        <w:rPr>
          <w:rFonts w:hint="eastAsia" w:ascii="宋体" w:hAnsi="宋体" w:eastAsia="宋体" w:cs="仿宋"/>
          <w:sz w:val="24"/>
          <w:lang w:eastAsia="zh-CN"/>
        </w:rPr>
      </w:pPr>
      <w:bookmarkStart w:id="27" w:name="_Toc25828"/>
      <w:r>
        <w:rPr>
          <w:rFonts w:hint="eastAsia" w:ascii="宋体" w:hAnsi="宋体" w:cs="仿宋"/>
          <w:sz w:val="24"/>
        </w:rPr>
        <w:t>一、响应函</w:t>
      </w:r>
      <w:bookmarkEnd w:id="27"/>
    </w:p>
    <w:p>
      <w:pPr>
        <w:adjustRightInd w:val="0"/>
        <w:snapToGrid w:val="0"/>
        <w:spacing w:line="600" w:lineRule="exact"/>
        <w:jc w:val="both"/>
        <w:outlineLvl w:val="0"/>
        <w:rPr>
          <w:rFonts w:hint="eastAsia" w:ascii="宋体" w:hAnsi="宋体" w:eastAsia="宋体" w:cs="仿宋"/>
          <w:sz w:val="24"/>
          <w:lang w:eastAsia="zh-CN"/>
        </w:rPr>
      </w:pPr>
      <w:bookmarkStart w:id="28" w:name="_Toc2621"/>
      <w:r>
        <w:rPr>
          <w:rFonts w:hint="eastAsia" w:ascii="宋体" w:hAnsi="宋体" w:cs="仿宋"/>
          <w:sz w:val="24"/>
        </w:rPr>
        <w:t>二、授权委托书(适用于有委托代理人的情况)</w:t>
      </w:r>
      <w:bookmarkEnd w:id="28"/>
    </w:p>
    <w:p>
      <w:pPr>
        <w:adjustRightInd w:val="0"/>
        <w:snapToGrid w:val="0"/>
        <w:spacing w:line="600" w:lineRule="exact"/>
        <w:jc w:val="both"/>
        <w:outlineLvl w:val="0"/>
        <w:rPr>
          <w:rFonts w:hint="eastAsia" w:ascii="宋体" w:hAnsi="宋体" w:eastAsia="宋体" w:cs="仿宋"/>
          <w:sz w:val="24"/>
          <w:lang w:eastAsia="zh-CN"/>
        </w:rPr>
      </w:pPr>
      <w:bookmarkStart w:id="29" w:name="_Toc17305"/>
      <w:r>
        <w:rPr>
          <w:rFonts w:hint="eastAsia" w:ascii="宋体" w:hAnsi="宋体" w:cs="仿宋"/>
          <w:sz w:val="24"/>
        </w:rPr>
        <w:t>三、商务和技术偏差表</w:t>
      </w:r>
      <w:bookmarkEnd w:id="29"/>
    </w:p>
    <w:p>
      <w:pPr>
        <w:adjustRightInd w:val="0"/>
        <w:snapToGrid w:val="0"/>
        <w:spacing w:line="600" w:lineRule="exact"/>
        <w:jc w:val="both"/>
        <w:outlineLvl w:val="0"/>
        <w:rPr>
          <w:rFonts w:hint="eastAsia" w:ascii="宋体" w:hAnsi="宋体" w:eastAsia="宋体" w:cs="仿宋"/>
          <w:sz w:val="24"/>
          <w:lang w:eastAsia="zh-CN"/>
        </w:rPr>
      </w:pPr>
      <w:bookmarkStart w:id="30" w:name="_Toc19839"/>
      <w:r>
        <w:rPr>
          <w:rFonts w:hint="eastAsia" w:ascii="宋体" w:hAnsi="宋体" w:cs="仿宋"/>
          <w:sz w:val="24"/>
          <w:lang w:eastAsia="zh-CN"/>
        </w:rPr>
        <w:t>四</w:t>
      </w:r>
      <w:r>
        <w:rPr>
          <w:rFonts w:hint="eastAsia" w:ascii="宋体" w:hAnsi="宋体" w:cs="仿宋"/>
          <w:sz w:val="24"/>
        </w:rPr>
        <w:t>、报价表</w:t>
      </w:r>
      <w:bookmarkEnd w:id="30"/>
    </w:p>
    <w:p>
      <w:pPr>
        <w:adjustRightInd w:val="0"/>
        <w:snapToGrid w:val="0"/>
        <w:spacing w:line="600" w:lineRule="exact"/>
        <w:jc w:val="both"/>
        <w:outlineLvl w:val="0"/>
        <w:rPr>
          <w:rFonts w:hint="eastAsia" w:ascii="宋体" w:hAnsi="宋体" w:eastAsia="宋体" w:cs="仿宋"/>
          <w:sz w:val="24"/>
          <w:lang w:eastAsia="zh-CN"/>
        </w:rPr>
      </w:pPr>
      <w:bookmarkStart w:id="31" w:name="_Toc14155"/>
      <w:r>
        <w:rPr>
          <w:rFonts w:hint="eastAsia" w:ascii="宋体" w:hAnsi="宋体" w:cs="仿宋"/>
          <w:sz w:val="24"/>
          <w:lang w:eastAsia="zh-CN"/>
        </w:rPr>
        <w:t>五</w:t>
      </w:r>
      <w:r>
        <w:rPr>
          <w:rFonts w:hint="eastAsia" w:ascii="宋体" w:hAnsi="宋体" w:cs="仿宋"/>
          <w:sz w:val="24"/>
        </w:rPr>
        <w:t>、资格审查资料</w:t>
      </w:r>
      <w:bookmarkEnd w:id="31"/>
    </w:p>
    <w:p>
      <w:pPr>
        <w:adjustRightInd w:val="0"/>
        <w:snapToGrid w:val="0"/>
        <w:spacing w:line="600" w:lineRule="exact"/>
        <w:jc w:val="both"/>
        <w:outlineLvl w:val="0"/>
        <w:rPr>
          <w:rFonts w:hint="eastAsia" w:ascii="宋体" w:hAnsi="宋体" w:eastAsia="宋体" w:cs="仿宋"/>
          <w:sz w:val="24"/>
          <w:lang w:eastAsia="zh-CN"/>
        </w:rPr>
      </w:pPr>
      <w:bookmarkStart w:id="32" w:name="_Toc10014"/>
      <w:r>
        <w:rPr>
          <w:rFonts w:hint="eastAsia" w:ascii="宋体" w:hAnsi="宋体" w:cs="仿宋"/>
          <w:sz w:val="24"/>
          <w:lang w:eastAsia="zh-CN"/>
        </w:rPr>
        <w:t>六</w:t>
      </w:r>
      <w:r>
        <w:rPr>
          <w:rFonts w:hint="eastAsia" w:ascii="宋体" w:hAnsi="宋体" w:cs="仿宋"/>
          <w:sz w:val="24"/>
        </w:rPr>
        <w:t>、响应方案</w:t>
      </w:r>
      <w:bookmarkEnd w:id="32"/>
    </w:p>
    <w:p>
      <w:pPr>
        <w:adjustRightInd w:val="0"/>
        <w:snapToGrid w:val="0"/>
        <w:spacing w:line="600" w:lineRule="exact"/>
        <w:jc w:val="both"/>
        <w:outlineLvl w:val="0"/>
        <w:rPr>
          <w:rFonts w:ascii="宋体" w:hAnsi="宋体" w:cs="仿宋"/>
          <w:sz w:val="24"/>
        </w:rPr>
      </w:pPr>
      <w:bookmarkStart w:id="33" w:name="_Toc17645"/>
      <w:r>
        <w:rPr>
          <w:rFonts w:hint="eastAsia" w:ascii="宋体" w:hAnsi="宋体" w:cs="仿宋"/>
          <w:sz w:val="24"/>
          <w:lang w:eastAsia="zh-CN"/>
        </w:rPr>
        <w:t>七</w:t>
      </w:r>
      <w:r>
        <w:rPr>
          <w:rFonts w:hint="eastAsia" w:ascii="宋体" w:hAnsi="宋体" w:cs="仿宋"/>
          <w:sz w:val="24"/>
        </w:rPr>
        <w:t>、其他资料</w:t>
      </w:r>
      <w:bookmarkEnd w:id="33"/>
    </w:p>
    <w:p>
      <w:pPr>
        <w:rPr>
          <w:color w:val="FF0000"/>
          <w:lang w:val="zh-CN"/>
        </w:rPr>
      </w:pPr>
      <w:r>
        <w:rPr>
          <w:color w:val="FF0000"/>
          <w:lang w:val="zh-CN"/>
        </w:rPr>
        <w:br w:type="page"/>
      </w:r>
    </w:p>
    <w:p>
      <w:pPr>
        <w:numPr>
          <w:ilvl w:val="0"/>
          <w:numId w:val="5"/>
        </w:numPr>
        <w:adjustRightInd w:val="0"/>
        <w:snapToGrid w:val="0"/>
        <w:spacing w:line="600" w:lineRule="exact"/>
        <w:jc w:val="center"/>
        <w:outlineLvl w:val="0"/>
        <w:rPr>
          <w:rFonts w:ascii="黑体" w:hAnsi="黑体" w:eastAsia="黑体" w:cs="仿宋"/>
          <w:sz w:val="36"/>
          <w:szCs w:val="36"/>
        </w:rPr>
      </w:pPr>
      <w:bookmarkStart w:id="34" w:name="_Toc1245"/>
      <w:r>
        <w:rPr>
          <w:rFonts w:hint="eastAsia" w:ascii="黑体" w:hAnsi="黑体" w:eastAsia="黑体" w:cs="仿宋"/>
          <w:sz w:val="36"/>
          <w:szCs w:val="36"/>
        </w:rPr>
        <w:t>响应函</w:t>
      </w:r>
      <w:bookmarkEnd w:id="34"/>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w:t>
      </w:r>
      <w:r>
        <w:rPr>
          <w:rFonts w:hint="eastAsia" w:ascii="宋体" w:hAnsi="宋体" w:cs="仿宋"/>
          <w:sz w:val="24"/>
        </w:rPr>
        <w:t>适用于有委托代理人的情况</w:t>
      </w:r>
      <w:r>
        <w:rPr>
          <w:rFonts w:hint="eastAsia" w:cs="仿宋" w:asciiTheme="minorEastAsia" w:hAnsiTheme="minorEastAsia" w:eastAsiaTheme="minorEastAsia"/>
          <w:sz w:val="24"/>
        </w:rPr>
        <w:t>);</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)资格审查资料;</w:t>
      </w: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)响应方案;</w:t>
      </w:r>
    </w:p>
    <w:p>
      <w:pPr>
        <w:adjustRightInd w:val="0"/>
        <w:snapToGrid w:val="0"/>
        <w:spacing w:line="600" w:lineRule="exact"/>
        <w:ind w:left="0" w:leftChars="0"/>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其他资料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6"/>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6"/>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w:t>
      </w:r>
      <w:r>
        <w:rPr>
          <w:rFonts w:hint="eastAsia" w:cs="仿宋" w:asciiTheme="minorEastAsia" w:hAnsiTheme="minorEastAsia" w:eastAsiaTheme="minorEastAsia"/>
          <w:sz w:val="24"/>
          <w:lang w:eastAsia="zh-CN"/>
        </w:rPr>
        <w:t>邀请</w:t>
      </w:r>
      <w:r>
        <w:rPr>
          <w:rFonts w:hint="eastAsia" w:cs="仿宋" w:asciiTheme="minorEastAsia" w:hAnsiTheme="minorEastAsia" w:eastAsiaTheme="minorEastAsia"/>
          <w:sz w:val="24"/>
        </w:rPr>
        <w:t>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rPr>
          <w:color w:val="FF0000"/>
          <w:lang w:val="zh-CN"/>
        </w:rPr>
      </w:pPr>
      <w:r>
        <w:rPr>
          <w:color w:val="FF0000"/>
          <w:lang w:val="zh-CN"/>
        </w:rPr>
        <w:br w:type="page"/>
      </w:r>
    </w:p>
    <w:p>
      <w:pPr>
        <w:spacing w:line="400" w:lineRule="exact"/>
        <w:jc w:val="center"/>
        <w:rPr>
          <w:rFonts w:asciiTheme="minorEastAsia" w:hAnsiTheme="minorEastAsia" w:eastAsiaTheme="minorEastAsia"/>
          <w:color w:val="000000"/>
          <w:sz w:val="24"/>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hint="eastAsia"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rPr>
          <w:rFonts w:hint="eastAsia"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cs="仿宋" w:asciiTheme="minorEastAsia" w:hAnsiTheme="minorEastAsia" w:eastAsiaTheme="minorEastAsia"/>
          <w:sz w:val="24"/>
        </w:rPr>
      </w:pPr>
      <w:bookmarkStart w:id="35" w:name="_Toc5478"/>
      <w:r>
        <w:rPr>
          <w:rFonts w:hint="eastAsia" w:ascii="黑体" w:hAnsi="黑体" w:eastAsia="黑体" w:cs="仿宋"/>
          <w:sz w:val="36"/>
          <w:szCs w:val="36"/>
        </w:rPr>
        <w:t>二、授权委托书</w:t>
      </w:r>
      <w:bookmarkEnd w:id="35"/>
    </w:p>
    <w:p>
      <w:pPr>
        <w:adjustRightInd w:val="0"/>
        <w:snapToGrid w:val="0"/>
        <w:spacing w:line="600" w:lineRule="exact"/>
        <w:ind w:left="420" w:leftChars="200"/>
        <w:jc w:val="center"/>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_月</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日</w:t>
      </w:r>
    </w:p>
    <w:p>
      <w:pPr>
        <w:rPr>
          <w:lang w:val="zh-CN"/>
        </w:rPr>
      </w:pPr>
      <w:r>
        <w:rPr>
          <w:lang w:val="zh-CN"/>
        </w:rPr>
        <w:br w:type="page"/>
      </w:r>
    </w:p>
    <w:p>
      <w:pPr>
        <w:spacing w:line="600" w:lineRule="exact"/>
        <w:jc w:val="center"/>
        <w:outlineLvl w:val="0"/>
        <w:rPr>
          <w:rFonts w:ascii="黑体" w:hAnsi="黑体" w:eastAsia="黑体" w:cs="仿宋"/>
          <w:sz w:val="36"/>
          <w:szCs w:val="36"/>
        </w:rPr>
      </w:pPr>
      <w:bookmarkStart w:id="36" w:name="_Toc23914"/>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bookmarkEnd w:id="36"/>
    </w:p>
    <w:p>
      <w:pPr>
        <w:spacing w:line="600" w:lineRule="exact"/>
        <w:jc w:val="center"/>
        <w:rPr>
          <w:rFonts w:cs="仿宋" w:asciiTheme="minorEastAsia" w:hAnsiTheme="minorEastAsia" w:eastAsiaTheme="minorEastAsia"/>
          <w:sz w:val="24"/>
        </w:rPr>
      </w:pPr>
    </w:p>
    <w:tbl>
      <w:tblPr>
        <w:tblStyle w:val="15"/>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880"/>
        <w:gridCol w:w="2723"/>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85"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880"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230"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sz w:val="24"/>
              </w:rPr>
            </w:pPr>
          </w:p>
        </w:tc>
        <w:tc>
          <w:tcPr>
            <w:tcW w:w="2880" w:type="dxa"/>
          </w:tcPr>
          <w:p>
            <w:pPr>
              <w:widowControl/>
              <w:spacing w:line="600" w:lineRule="exact"/>
              <w:jc w:val="both"/>
              <w:rPr>
                <w:rFonts w:cs="仿宋" w:asciiTheme="minorEastAsia" w:hAnsiTheme="minorEastAsia" w:eastAsiaTheme="minorEastAsia"/>
                <w:sz w:val="24"/>
              </w:rPr>
            </w:pPr>
          </w:p>
        </w:tc>
        <w:tc>
          <w:tcPr>
            <w:tcW w:w="2723" w:type="dxa"/>
          </w:tcPr>
          <w:p>
            <w:pPr>
              <w:widowControl/>
              <w:spacing w:line="600" w:lineRule="exact"/>
              <w:jc w:val="both"/>
              <w:rPr>
                <w:rFonts w:cs="仿宋" w:asciiTheme="minorEastAsia" w:hAnsiTheme="minorEastAsia" w:eastAsiaTheme="minorEastAsia"/>
                <w:sz w:val="24"/>
              </w:rPr>
            </w:pPr>
          </w:p>
        </w:tc>
        <w:tc>
          <w:tcPr>
            <w:tcW w:w="223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sz w:val="24"/>
              </w:rPr>
            </w:pPr>
          </w:p>
        </w:tc>
        <w:tc>
          <w:tcPr>
            <w:tcW w:w="2880" w:type="dxa"/>
          </w:tcPr>
          <w:p>
            <w:pPr>
              <w:widowControl/>
              <w:spacing w:line="600" w:lineRule="exact"/>
              <w:jc w:val="both"/>
              <w:rPr>
                <w:rFonts w:cs="仿宋" w:asciiTheme="minorEastAsia" w:hAnsiTheme="minorEastAsia" w:eastAsiaTheme="minorEastAsia"/>
                <w:sz w:val="24"/>
              </w:rPr>
            </w:pPr>
          </w:p>
        </w:tc>
        <w:tc>
          <w:tcPr>
            <w:tcW w:w="2723" w:type="dxa"/>
          </w:tcPr>
          <w:p>
            <w:pPr>
              <w:widowControl/>
              <w:spacing w:line="600" w:lineRule="exact"/>
              <w:jc w:val="both"/>
              <w:rPr>
                <w:rFonts w:cs="仿宋" w:asciiTheme="minorEastAsia" w:hAnsiTheme="minorEastAsia" w:eastAsiaTheme="minorEastAsia"/>
                <w:sz w:val="24"/>
              </w:rPr>
            </w:pPr>
          </w:p>
        </w:tc>
        <w:tc>
          <w:tcPr>
            <w:tcW w:w="223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sz w:val="24"/>
              </w:rPr>
            </w:pPr>
          </w:p>
        </w:tc>
        <w:tc>
          <w:tcPr>
            <w:tcW w:w="2880" w:type="dxa"/>
          </w:tcPr>
          <w:p>
            <w:pPr>
              <w:widowControl/>
              <w:spacing w:line="600" w:lineRule="exact"/>
              <w:jc w:val="both"/>
              <w:rPr>
                <w:rFonts w:cs="仿宋" w:asciiTheme="minorEastAsia" w:hAnsiTheme="minorEastAsia" w:eastAsiaTheme="minorEastAsia"/>
                <w:sz w:val="24"/>
              </w:rPr>
            </w:pPr>
          </w:p>
        </w:tc>
        <w:tc>
          <w:tcPr>
            <w:tcW w:w="2723" w:type="dxa"/>
          </w:tcPr>
          <w:p>
            <w:pPr>
              <w:widowControl/>
              <w:spacing w:line="600" w:lineRule="exact"/>
              <w:jc w:val="both"/>
              <w:rPr>
                <w:rFonts w:cs="仿宋" w:asciiTheme="minorEastAsia" w:hAnsiTheme="minorEastAsia" w:eastAsiaTheme="minorEastAsia"/>
                <w:sz w:val="24"/>
              </w:rPr>
            </w:pPr>
          </w:p>
        </w:tc>
        <w:tc>
          <w:tcPr>
            <w:tcW w:w="223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85" w:type="dxa"/>
          </w:tcPr>
          <w:p>
            <w:pPr>
              <w:widowControl/>
              <w:spacing w:line="600" w:lineRule="exact"/>
              <w:jc w:val="both"/>
              <w:rPr>
                <w:rFonts w:cs="仿宋" w:asciiTheme="minorEastAsia" w:hAnsiTheme="minorEastAsia" w:eastAsiaTheme="minorEastAsia"/>
                <w:sz w:val="24"/>
              </w:rPr>
            </w:pPr>
          </w:p>
        </w:tc>
        <w:tc>
          <w:tcPr>
            <w:tcW w:w="2880" w:type="dxa"/>
          </w:tcPr>
          <w:p>
            <w:pPr>
              <w:widowControl/>
              <w:spacing w:line="600" w:lineRule="exact"/>
              <w:jc w:val="both"/>
              <w:rPr>
                <w:rFonts w:cs="仿宋" w:asciiTheme="minorEastAsia" w:hAnsiTheme="minorEastAsia" w:eastAsiaTheme="minorEastAsia"/>
                <w:sz w:val="24"/>
              </w:rPr>
            </w:pPr>
          </w:p>
        </w:tc>
        <w:tc>
          <w:tcPr>
            <w:tcW w:w="2723" w:type="dxa"/>
          </w:tcPr>
          <w:p>
            <w:pPr>
              <w:widowControl/>
              <w:spacing w:line="600" w:lineRule="exact"/>
              <w:jc w:val="both"/>
              <w:rPr>
                <w:rFonts w:cs="仿宋" w:asciiTheme="minorEastAsia" w:hAnsiTheme="minorEastAsia" w:eastAsiaTheme="minorEastAsia"/>
                <w:sz w:val="24"/>
              </w:rPr>
            </w:pPr>
          </w:p>
        </w:tc>
        <w:tc>
          <w:tcPr>
            <w:tcW w:w="2230"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rPr>
          <w:lang w:val="zh-CN"/>
        </w:rPr>
      </w:pPr>
      <w:r>
        <w:rPr>
          <w:lang w:val="zh-CN"/>
        </w:rPr>
        <w:br w:type="page"/>
      </w:r>
    </w:p>
    <w:p>
      <w:pPr>
        <w:spacing w:line="600" w:lineRule="exact"/>
        <w:jc w:val="center"/>
        <w:outlineLvl w:val="0"/>
        <w:rPr>
          <w:rFonts w:ascii="黑体" w:hAnsi="黑体" w:eastAsia="黑体" w:cs="仿宋"/>
          <w:sz w:val="36"/>
          <w:szCs w:val="36"/>
        </w:rPr>
      </w:pPr>
      <w:bookmarkStart w:id="37" w:name="_Toc6256"/>
      <w:r>
        <w:rPr>
          <w:rFonts w:hint="eastAsia" w:ascii="黑体" w:hAnsi="黑体" w:eastAsia="黑体" w:cs="仿宋"/>
          <w:sz w:val="36"/>
          <w:szCs w:val="36"/>
          <w:lang w:eastAsia="zh-CN"/>
        </w:rPr>
        <w:t>四、报价</w:t>
      </w:r>
      <w:r>
        <w:rPr>
          <w:rFonts w:hint="eastAsia" w:ascii="黑体" w:hAnsi="黑体" w:eastAsia="黑体" w:cs="仿宋"/>
          <w:sz w:val="36"/>
          <w:szCs w:val="36"/>
        </w:rPr>
        <w:t>表</w:t>
      </w:r>
      <w:bookmarkEnd w:id="37"/>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1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640"/>
        <w:gridCol w:w="2161"/>
        <w:gridCol w:w="1217"/>
        <w:gridCol w:w="794"/>
        <w:gridCol w:w="1077"/>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5"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640"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服务费用分项名称</w:t>
            </w:r>
          </w:p>
        </w:tc>
        <w:tc>
          <w:tcPr>
            <w:tcW w:w="2161"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计算依据、过程和公式</w:t>
            </w:r>
          </w:p>
        </w:tc>
        <w:tc>
          <w:tcPr>
            <w:tcW w:w="3088" w:type="dxa"/>
            <w:gridSpan w:val="3"/>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w:t>
            </w:r>
          </w:p>
        </w:tc>
        <w:tc>
          <w:tcPr>
            <w:tcW w:w="794"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15" w:type="dxa"/>
            <w:vMerge w:val="continue"/>
            <w:vAlign w:val="center"/>
          </w:tcPr>
          <w:p>
            <w:pPr>
              <w:widowControl/>
              <w:spacing w:line="312" w:lineRule="auto"/>
              <w:jc w:val="center"/>
              <w:rPr>
                <w:rFonts w:cs="仿宋" w:asciiTheme="minorEastAsia" w:hAnsiTheme="minorEastAsia" w:eastAsiaTheme="minorEastAsia"/>
                <w:sz w:val="24"/>
              </w:rPr>
            </w:pPr>
          </w:p>
        </w:tc>
        <w:tc>
          <w:tcPr>
            <w:tcW w:w="1640" w:type="dxa"/>
            <w:vMerge w:val="continue"/>
            <w:vAlign w:val="center"/>
          </w:tcPr>
          <w:p>
            <w:pPr>
              <w:widowControl/>
              <w:spacing w:line="312" w:lineRule="auto"/>
              <w:jc w:val="center"/>
              <w:rPr>
                <w:rFonts w:cs="仿宋" w:asciiTheme="minorEastAsia" w:hAnsiTheme="minorEastAsia" w:eastAsiaTheme="minorEastAsia"/>
                <w:sz w:val="24"/>
              </w:rPr>
            </w:pPr>
          </w:p>
        </w:tc>
        <w:tc>
          <w:tcPr>
            <w:tcW w:w="2161" w:type="dxa"/>
            <w:vMerge w:val="continue"/>
            <w:vAlign w:val="center"/>
          </w:tcPr>
          <w:p>
            <w:pPr>
              <w:widowControl/>
              <w:spacing w:line="312" w:lineRule="auto"/>
              <w:jc w:val="center"/>
              <w:rPr>
                <w:rFonts w:cs="仿宋" w:asciiTheme="minorEastAsia" w:hAnsiTheme="minorEastAsia" w:eastAsiaTheme="minorEastAsia"/>
                <w:sz w:val="24"/>
              </w:rPr>
            </w:pPr>
          </w:p>
        </w:tc>
        <w:tc>
          <w:tcPr>
            <w:tcW w:w="1217"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794"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1077"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794" w:type="dxa"/>
            <w:vMerge w:val="continue"/>
            <w:vAlign w:val="center"/>
          </w:tcPr>
          <w:p>
            <w:pPr>
              <w:widowControl/>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5"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640" w:type="dxa"/>
            <w:vAlign w:val="center"/>
          </w:tcPr>
          <w:p>
            <w:pPr>
              <w:widowControl/>
              <w:spacing w:line="312" w:lineRule="auto"/>
              <w:jc w:val="center"/>
              <w:rPr>
                <w:rFonts w:cs="仿宋" w:asciiTheme="minorEastAsia" w:hAnsiTheme="minorEastAsia" w:eastAsiaTheme="minorEastAsia"/>
                <w:sz w:val="24"/>
              </w:rPr>
            </w:pPr>
          </w:p>
        </w:tc>
        <w:tc>
          <w:tcPr>
            <w:tcW w:w="2161" w:type="dxa"/>
            <w:vAlign w:val="center"/>
          </w:tcPr>
          <w:p>
            <w:pPr>
              <w:widowControl/>
              <w:spacing w:line="312" w:lineRule="auto"/>
              <w:jc w:val="center"/>
              <w:rPr>
                <w:rFonts w:cs="仿宋" w:asciiTheme="minorEastAsia" w:hAnsiTheme="minorEastAsia" w:eastAsiaTheme="minorEastAsia"/>
                <w:sz w:val="24"/>
              </w:rPr>
            </w:pPr>
          </w:p>
        </w:tc>
        <w:tc>
          <w:tcPr>
            <w:tcW w:w="1217" w:type="dxa"/>
            <w:vAlign w:val="center"/>
          </w:tcPr>
          <w:p>
            <w:pPr>
              <w:widowControl/>
              <w:spacing w:line="312" w:lineRule="auto"/>
              <w:jc w:val="center"/>
              <w:rPr>
                <w:rFonts w:cs="仿宋" w:asciiTheme="minorEastAsia" w:hAnsiTheme="minorEastAsia" w:eastAsiaTheme="minorEastAsia"/>
                <w:sz w:val="24"/>
              </w:rPr>
            </w:pPr>
          </w:p>
        </w:tc>
        <w:tc>
          <w:tcPr>
            <w:tcW w:w="794" w:type="dxa"/>
            <w:vAlign w:val="center"/>
          </w:tcPr>
          <w:p>
            <w:pPr>
              <w:widowControl/>
              <w:spacing w:line="312" w:lineRule="auto"/>
              <w:jc w:val="center"/>
              <w:rPr>
                <w:rFonts w:cs="仿宋" w:asciiTheme="minorEastAsia" w:hAnsiTheme="minorEastAsia" w:eastAsiaTheme="minorEastAsia"/>
                <w:sz w:val="24"/>
              </w:rPr>
            </w:pPr>
          </w:p>
        </w:tc>
        <w:tc>
          <w:tcPr>
            <w:tcW w:w="1077" w:type="dxa"/>
            <w:vAlign w:val="center"/>
          </w:tcPr>
          <w:p>
            <w:pPr>
              <w:widowControl/>
              <w:spacing w:line="312" w:lineRule="auto"/>
              <w:jc w:val="center"/>
              <w:rPr>
                <w:rFonts w:cs="仿宋" w:asciiTheme="minorEastAsia" w:hAnsiTheme="minorEastAsia" w:eastAsiaTheme="minorEastAsia"/>
                <w:sz w:val="24"/>
              </w:rPr>
            </w:pPr>
          </w:p>
        </w:tc>
        <w:tc>
          <w:tcPr>
            <w:tcW w:w="794" w:type="dxa"/>
            <w:vAlign w:val="center"/>
          </w:tcPr>
          <w:p>
            <w:pPr>
              <w:widowControl/>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640" w:type="dxa"/>
            <w:vAlign w:val="center"/>
          </w:tcPr>
          <w:p>
            <w:pPr>
              <w:widowControl/>
              <w:spacing w:line="600" w:lineRule="exact"/>
              <w:jc w:val="center"/>
              <w:rPr>
                <w:rFonts w:cs="仿宋" w:asciiTheme="minorEastAsia" w:hAnsiTheme="minorEastAsia" w:eastAsiaTheme="minorEastAsia"/>
                <w:sz w:val="24"/>
              </w:rPr>
            </w:pPr>
          </w:p>
        </w:tc>
        <w:tc>
          <w:tcPr>
            <w:tcW w:w="2161" w:type="dxa"/>
            <w:vAlign w:val="center"/>
          </w:tcPr>
          <w:p>
            <w:pPr>
              <w:widowControl/>
              <w:spacing w:line="600" w:lineRule="exact"/>
              <w:jc w:val="center"/>
              <w:rPr>
                <w:rFonts w:cs="仿宋" w:asciiTheme="minorEastAsia" w:hAnsiTheme="minorEastAsia" w:eastAsiaTheme="minorEastAsia"/>
                <w:sz w:val="24"/>
              </w:rPr>
            </w:pPr>
          </w:p>
        </w:tc>
        <w:tc>
          <w:tcPr>
            <w:tcW w:w="121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c>
          <w:tcPr>
            <w:tcW w:w="107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640" w:type="dxa"/>
            <w:vAlign w:val="center"/>
          </w:tcPr>
          <w:p>
            <w:pPr>
              <w:widowControl/>
              <w:spacing w:line="600" w:lineRule="exact"/>
              <w:jc w:val="center"/>
              <w:rPr>
                <w:rFonts w:cs="仿宋" w:asciiTheme="minorEastAsia" w:hAnsiTheme="minorEastAsia" w:eastAsiaTheme="minorEastAsia"/>
                <w:sz w:val="24"/>
              </w:rPr>
            </w:pPr>
          </w:p>
        </w:tc>
        <w:tc>
          <w:tcPr>
            <w:tcW w:w="2161" w:type="dxa"/>
            <w:vAlign w:val="center"/>
          </w:tcPr>
          <w:p>
            <w:pPr>
              <w:widowControl/>
              <w:spacing w:line="600" w:lineRule="exact"/>
              <w:jc w:val="center"/>
              <w:rPr>
                <w:rFonts w:cs="仿宋" w:asciiTheme="minorEastAsia" w:hAnsiTheme="minorEastAsia" w:eastAsiaTheme="minorEastAsia"/>
                <w:sz w:val="24"/>
              </w:rPr>
            </w:pPr>
          </w:p>
        </w:tc>
        <w:tc>
          <w:tcPr>
            <w:tcW w:w="121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c>
          <w:tcPr>
            <w:tcW w:w="107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1640" w:type="dxa"/>
            <w:vAlign w:val="center"/>
          </w:tcPr>
          <w:p>
            <w:pPr>
              <w:widowControl/>
              <w:spacing w:line="600" w:lineRule="exact"/>
              <w:jc w:val="center"/>
              <w:rPr>
                <w:rFonts w:cs="仿宋" w:asciiTheme="minorEastAsia" w:hAnsiTheme="minorEastAsia" w:eastAsiaTheme="minorEastAsia"/>
                <w:sz w:val="24"/>
              </w:rPr>
            </w:pPr>
          </w:p>
        </w:tc>
        <w:tc>
          <w:tcPr>
            <w:tcW w:w="2161" w:type="dxa"/>
            <w:vAlign w:val="center"/>
          </w:tcPr>
          <w:p>
            <w:pPr>
              <w:widowControl/>
              <w:spacing w:line="600" w:lineRule="exact"/>
              <w:jc w:val="center"/>
              <w:rPr>
                <w:rFonts w:cs="仿宋" w:asciiTheme="minorEastAsia" w:hAnsiTheme="minorEastAsia" w:eastAsiaTheme="minorEastAsia"/>
                <w:sz w:val="24"/>
              </w:rPr>
            </w:pPr>
          </w:p>
        </w:tc>
        <w:tc>
          <w:tcPr>
            <w:tcW w:w="121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c>
          <w:tcPr>
            <w:tcW w:w="107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640" w:type="dxa"/>
            <w:vAlign w:val="center"/>
          </w:tcPr>
          <w:p>
            <w:pPr>
              <w:widowControl/>
              <w:spacing w:line="600" w:lineRule="exact"/>
              <w:jc w:val="center"/>
              <w:rPr>
                <w:rFonts w:cs="仿宋" w:asciiTheme="minorEastAsia" w:hAnsiTheme="minorEastAsia" w:eastAsiaTheme="minorEastAsia"/>
                <w:sz w:val="24"/>
              </w:rPr>
            </w:pPr>
          </w:p>
        </w:tc>
        <w:tc>
          <w:tcPr>
            <w:tcW w:w="2161" w:type="dxa"/>
            <w:vAlign w:val="center"/>
          </w:tcPr>
          <w:p>
            <w:pPr>
              <w:widowControl/>
              <w:spacing w:line="600" w:lineRule="exact"/>
              <w:jc w:val="center"/>
              <w:rPr>
                <w:rFonts w:cs="仿宋" w:asciiTheme="minorEastAsia" w:hAnsiTheme="minorEastAsia" w:eastAsiaTheme="minorEastAsia"/>
                <w:sz w:val="24"/>
              </w:rPr>
            </w:pPr>
          </w:p>
        </w:tc>
        <w:tc>
          <w:tcPr>
            <w:tcW w:w="121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c>
          <w:tcPr>
            <w:tcW w:w="107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716" w:type="dxa"/>
            <w:gridSpan w:val="3"/>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合计报价</w:t>
            </w:r>
          </w:p>
        </w:tc>
        <w:tc>
          <w:tcPr>
            <w:tcW w:w="121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c>
          <w:tcPr>
            <w:tcW w:w="1077" w:type="dxa"/>
            <w:vAlign w:val="center"/>
          </w:tcPr>
          <w:p>
            <w:pPr>
              <w:widowControl/>
              <w:spacing w:line="600" w:lineRule="exact"/>
              <w:jc w:val="center"/>
              <w:rPr>
                <w:rFonts w:cs="仿宋" w:asciiTheme="minorEastAsia" w:hAnsiTheme="minorEastAsia" w:eastAsiaTheme="minorEastAsia"/>
                <w:sz w:val="24"/>
              </w:rPr>
            </w:pPr>
          </w:p>
        </w:tc>
        <w:tc>
          <w:tcPr>
            <w:tcW w:w="794" w:type="dxa"/>
            <w:vAlign w:val="center"/>
          </w:tcPr>
          <w:p>
            <w:pPr>
              <w:widowControl/>
              <w:spacing w:line="600" w:lineRule="exact"/>
              <w:jc w:val="center"/>
              <w:rPr>
                <w:rFonts w:cs="仿宋" w:asciiTheme="minorEastAsia" w:hAnsiTheme="minorEastAsia" w:eastAsiaTheme="minorEastAsia"/>
                <w:sz w:val="24"/>
              </w:rPr>
            </w:pPr>
          </w:p>
        </w:tc>
      </w:tr>
    </w:tbl>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注：若分项费用的计算依据、过程和公式不便在表中表述，可单独另附表格或描述进行说明。</w:t>
      </w:r>
    </w:p>
    <w:p>
      <w:pPr>
        <w:rPr>
          <w:rFonts w:hint="eastAsia"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38" w:name="_Toc28248"/>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bookmarkEnd w:id="38"/>
    </w:p>
    <w:p>
      <w:pPr>
        <w:spacing w:line="600" w:lineRule="exact"/>
        <w:jc w:val="both"/>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（二）近年的类似项目情况表</w:t>
      </w:r>
      <w:r>
        <w:rPr>
          <w:rFonts w:hint="eastAsia" w:cs="仿宋" w:asciiTheme="minorEastAsia" w:hAnsiTheme="minorEastAsia" w:eastAsiaTheme="minorEastAsia"/>
          <w:sz w:val="24"/>
          <w:lang w:eastAsia="zh-CN"/>
        </w:rPr>
        <w:t>（提供</w:t>
      </w:r>
      <w:r>
        <w:rPr>
          <w:rFonts w:hint="eastAsia" w:cs="仿宋" w:asciiTheme="minorEastAsia" w:hAnsiTheme="minorEastAsia" w:eastAsiaTheme="minorEastAsia"/>
          <w:sz w:val="24"/>
          <w:lang w:val="en-US" w:eastAsia="zh-CN"/>
        </w:rPr>
        <w:t>1个</w:t>
      </w:r>
      <w:r>
        <w:rPr>
          <w:rFonts w:hint="eastAsia" w:cs="仿宋" w:asciiTheme="minorEastAsia" w:hAnsiTheme="minorEastAsia" w:eastAsiaTheme="minorEastAsia"/>
          <w:sz w:val="24"/>
          <w:lang w:eastAsia="zh-CN"/>
        </w:rPr>
        <w:t>）</w:t>
      </w:r>
    </w:p>
    <w:tbl>
      <w:tblPr>
        <w:tblStyle w:val="15"/>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295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三</w:t>
      </w:r>
      <w:r>
        <w:rPr>
          <w:rFonts w:hint="eastAsia" w:cs="仿宋" w:asciiTheme="minorEastAsia" w:hAnsiTheme="minorEastAsia" w:eastAsiaTheme="minorEastAsia"/>
          <w:sz w:val="24"/>
        </w:rPr>
        <w:t>）拟委任的主要人员汇总表</w:t>
      </w:r>
    </w:p>
    <w:tbl>
      <w:tblPr>
        <w:tblStyle w:val="15"/>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bl>
    <w:p>
      <w:pPr>
        <w:jc w:val="both"/>
        <w:rPr>
          <w:rFonts w:asciiTheme="minorEastAsia" w:hAnsiTheme="minorEastAsia" w:eastAsiaTheme="minorEastAsia"/>
          <w:sz w:val="24"/>
        </w:rPr>
      </w:pPr>
      <w:r>
        <w:rPr>
          <w:rFonts w:asciiTheme="minorEastAsia" w:hAnsiTheme="minorEastAsia" w:eastAsiaTheme="minorEastAsia"/>
          <w:sz w:val="24"/>
        </w:rPr>
        <w:br w:type="page"/>
      </w:r>
    </w:p>
    <w:p>
      <w:pPr>
        <w:pStyle w:val="2"/>
        <w:numPr>
          <w:ilvl w:val="0"/>
          <w:numId w:val="0"/>
        </w:numPr>
        <w:ind w:left="420" w:leftChars="0"/>
      </w:pPr>
    </w:p>
    <w:p>
      <w:pPr>
        <w:pStyle w:val="2"/>
        <w:numPr>
          <w:ilvl w:val="0"/>
          <w:numId w:val="7"/>
        </w:numPr>
        <w:ind w:left="420" w:leftChars="0"/>
        <w:jc w:val="center"/>
        <w:outlineLvl w:val="0"/>
        <w:rPr>
          <w:rFonts w:hint="eastAsia" w:ascii="黑体" w:hAnsi="黑体" w:eastAsia="黑体" w:cs="仿宋"/>
          <w:sz w:val="36"/>
          <w:szCs w:val="36"/>
          <w:lang w:val="zh-CN"/>
        </w:rPr>
      </w:pPr>
      <w:bookmarkStart w:id="39" w:name="_Toc22310"/>
      <w:r>
        <w:rPr>
          <w:rFonts w:hint="eastAsia" w:ascii="黑体" w:hAnsi="黑体" w:eastAsia="黑体" w:cs="仿宋"/>
          <w:sz w:val="36"/>
          <w:szCs w:val="36"/>
        </w:rPr>
        <w:t>响应方案</w:t>
      </w:r>
      <w:bookmarkEnd w:id="39"/>
    </w:p>
    <w:p>
      <w:pPr>
        <w:pStyle w:val="2"/>
        <w:numPr>
          <w:ilvl w:val="0"/>
          <w:numId w:val="0"/>
        </w:numPr>
        <w:jc w:val="both"/>
        <w:rPr>
          <w:rFonts w:hint="eastAsia" w:ascii="黑体" w:hAnsi="黑体" w:eastAsia="黑体" w:cs="仿宋"/>
          <w:sz w:val="36"/>
          <w:szCs w:val="36"/>
          <w:lang w:val="zh-CN"/>
        </w:rPr>
      </w:pPr>
    </w:p>
    <w:p>
      <w:pPr>
        <w:rPr>
          <w:rFonts w:hint="eastAsia"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rPr>
          <w:rFonts w:hint="eastAsia" w:cs="仿宋" w:asciiTheme="minorEastAsia" w:hAnsiTheme="minorEastAsia" w:eastAsiaTheme="minorEastAsia"/>
          <w:sz w:val="24"/>
        </w:rPr>
      </w:pPr>
      <w:r>
        <w:rPr>
          <w:rFonts w:hint="eastAsia" w:cs="仿宋" w:asciiTheme="minorEastAsia" w:hAnsiTheme="minorEastAsia" w:eastAsiaTheme="minorEastAsia"/>
          <w:sz w:val="24"/>
        </w:rPr>
        <w:t>(1)服务范围及内容；</w:t>
      </w:r>
    </w:p>
    <w:p>
      <w:pPr>
        <w:rPr>
          <w:rFonts w:hint="eastAsia" w:cs="仿宋" w:asciiTheme="minorEastAsia" w:hAnsiTheme="minorEastAsia" w:eastAsiaTheme="minorEastAsia"/>
          <w:sz w:val="24"/>
        </w:rPr>
      </w:pPr>
      <w:r>
        <w:rPr>
          <w:rFonts w:hint="eastAsia" w:cs="仿宋" w:asciiTheme="minorEastAsia" w:hAnsiTheme="minorEastAsia" w:eastAsiaTheme="minorEastAsia"/>
          <w:sz w:val="24"/>
        </w:rPr>
        <w:t>(2)拟投入本项目的服务人员；</w:t>
      </w:r>
    </w:p>
    <w:p>
      <w:pPr>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)对本项目的合理化建议。</w:t>
      </w:r>
    </w:p>
    <w:p>
      <w:pPr>
        <w:rPr>
          <w:rFonts w:hint="eastAsia" w:cs="仿宋" w:asciiTheme="minorEastAsia" w:hAnsiTheme="minorEastAsia" w:eastAsiaTheme="minorEastAsia"/>
          <w:sz w:val="24"/>
        </w:rPr>
      </w:pPr>
      <w:r>
        <w:rPr>
          <w:rFonts w:hint="eastAsia" w:cs="仿宋" w:asciiTheme="minorEastAsia" w:hAnsiTheme="minorEastAsia" w:eastAsiaTheme="minorEastAsia"/>
          <w:sz w:val="24"/>
        </w:rPr>
        <w:br w:type="page"/>
      </w:r>
    </w:p>
    <w:p>
      <w:pPr>
        <w:pStyle w:val="2"/>
        <w:numPr>
          <w:ilvl w:val="0"/>
          <w:numId w:val="7"/>
        </w:numPr>
        <w:ind w:left="420" w:leftChars="0" w:firstLine="420" w:firstLineChars="0"/>
        <w:jc w:val="center"/>
        <w:outlineLvl w:val="0"/>
        <w:rPr>
          <w:rFonts w:hint="eastAsia" w:ascii="黑体" w:hAnsi="黑体" w:eastAsia="黑体" w:cs="黑体"/>
          <w:b w:val="0"/>
          <w:bCs w:val="0"/>
          <w:sz w:val="36"/>
          <w:szCs w:val="36"/>
          <w:lang w:eastAsia="zh-CN"/>
        </w:rPr>
      </w:pPr>
      <w:bookmarkStart w:id="40" w:name="_Toc7902"/>
      <w:r>
        <w:rPr>
          <w:rFonts w:hint="eastAsia" w:ascii="黑体" w:hAnsi="黑体" w:eastAsia="黑体" w:cs="黑体"/>
          <w:b w:val="0"/>
          <w:bCs w:val="0"/>
          <w:sz w:val="36"/>
          <w:szCs w:val="36"/>
          <w:lang w:eastAsia="zh-CN"/>
        </w:rPr>
        <w:t>其他资料</w:t>
      </w:r>
      <w:bookmarkEnd w:id="40"/>
    </w:p>
    <w:p>
      <w:pPr>
        <w:pStyle w:val="2"/>
        <w:numPr>
          <w:ilvl w:val="0"/>
          <w:numId w:val="0"/>
        </w:numPr>
        <w:ind w:left="840" w:leftChars="0"/>
        <w:jc w:val="both"/>
        <w:rPr>
          <w:rFonts w:hint="eastAsia" w:ascii="黑体" w:hAnsi="黑体" w:eastAsia="黑体" w:cs="黑体"/>
          <w:b w:val="0"/>
          <w:bCs w:val="0"/>
          <w:sz w:val="36"/>
          <w:szCs w:val="36"/>
          <w:lang w:eastAsia="zh-CN"/>
        </w:rPr>
      </w:pPr>
    </w:p>
    <w:p>
      <w:pPr>
        <w:pStyle w:val="2"/>
        <w:numPr>
          <w:ilvl w:val="0"/>
          <w:numId w:val="0"/>
        </w:numPr>
        <w:ind w:left="840" w:leftChars="0"/>
        <w:jc w:val="both"/>
        <w:rPr>
          <w:rFonts w:hint="eastAsia" w:ascii="黑体" w:hAnsi="黑体" w:eastAsia="黑体" w:cs="黑体"/>
          <w:b w:val="0"/>
          <w:bCs w:val="0"/>
          <w:sz w:val="36"/>
          <w:szCs w:val="36"/>
          <w:lang w:eastAsia="zh-CN"/>
        </w:rPr>
      </w:pPr>
    </w:p>
    <w:p>
      <w:pPr>
        <w:pStyle w:val="2"/>
        <w:numPr>
          <w:ilvl w:val="0"/>
          <w:numId w:val="0"/>
        </w:numPr>
        <w:jc w:val="center"/>
        <w:outlineLvl w:val="0"/>
        <w:rPr>
          <w:rFonts w:hint="eastAsia" w:ascii="宋体" w:hAnsi="宋体" w:eastAsia="宋体" w:cs="宋体"/>
          <w:b w:val="0"/>
          <w:bCs w:val="0"/>
          <w:sz w:val="28"/>
          <w:szCs w:val="28"/>
          <w:lang w:eastAsia="zh-CN"/>
        </w:rPr>
      </w:pPr>
      <w:bookmarkStart w:id="41" w:name="_Toc15422"/>
      <w:r>
        <w:rPr>
          <w:rFonts w:hint="eastAsia" w:ascii="宋体" w:hAnsi="宋体" w:eastAsia="宋体" w:cs="宋体"/>
          <w:b w:val="0"/>
          <w:bCs w:val="0"/>
          <w:sz w:val="28"/>
          <w:szCs w:val="28"/>
          <w:lang w:eastAsia="zh-CN"/>
        </w:rPr>
        <w:t>（供应商结合企业实际情况提供）</w:t>
      </w:r>
      <w:bookmarkEnd w:id="41"/>
    </w:p>
    <w:p>
      <w:pPr>
        <w:pStyle w:val="2"/>
        <w:numPr>
          <w:ilvl w:val="0"/>
          <w:numId w:val="0"/>
        </w:numPr>
        <w:ind w:left="840" w:leftChars="0"/>
        <w:jc w:val="both"/>
        <w:rPr>
          <w:rFonts w:hint="eastAsia" w:ascii="黑体" w:hAnsi="黑体" w:eastAsia="黑体" w:cs="仿宋"/>
          <w:sz w:val="36"/>
          <w:szCs w:val="36"/>
          <w:lang w:val="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11"/>
        <w:spacing w:line="280" w:lineRule="atLeast"/>
        <w:ind w:left="0" w:leftChars="0" w:firstLine="0" w:firstLineChars="0"/>
      </w:pPr>
    </w:p>
  </w:footnote>
  <w:footnote w:id="1">
    <w:p>
      <w:pPr>
        <w:pStyle w:val="11"/>
        <w:ind w:left="0" w:leftChars="0" w:firstLine="0" w:firstLineChars="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F26E"/>
    <w:multiLevelType w:val="singleLevel"/>
    <w:tmpl w:val="DBA4F26E"/>
    <w:lvl w:ilvl="0" w:tentative="0">
      <w:start w:val="1"/>
      <w:numFmt w:val="decimal"/>
      <w:suff w:val="nothing"/>
      <w:lvlText w:val="（%1）"/>
      <w:lvlJc w:val="left"/>
    </w:lvl>
  </w:abstractNum>
  <w:abstractNum w:abstractNumId="1">
    <w:nsid w:val="00000011"/>
    <w:multiLevelType w:val="multilevel"/>
    <w:tmpl w:val="00000011"/>
    <w:lvl w:ilvl="0" w:tentative="0">
      <w:start w:val="1"/>
      <w:numFmt w:val="decimal"/>
      <w:pStyle w:val="3"/>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00A89A2"/>
    <w:multiLevelType w:val="singleLevel"/>
    <w:tmpl w:val="300A89A2"/>
    <w:lvl w:ilvl="0" w:tentative="0">
      <w:start w:val="6"/>
      <w:numFmt w:val="chineseCounting"/>
      <w:suff w:val="nothing"/>
      <w:lvlText w:val="%1、"/>
      <w:lvlJc w:val="left"/>
      <w:rPr>
        <w:rFonts w:hint="eastAsia"/>
      </w:rPr>
    </w:lvl>
  </w:abstractNum>
  <w:abstractNum w:abstractNumId="4">
    <w:nsid w:val="3601A173"/>
    <w:multiLevelType w:val="singleLevel"/>
    <w:tmpl w:val="3601A173"/>
    <w:lvl w:ilvl="0" w:tentative="0">
      <w:start w:val="1"/>
      <w:numFmt w:val="chineseCounting"/>
      <w:suff w:val="nothing"/>
      <w:lvlText w:val="%1、"/>
      <w:lvlJc w:val="left"/>
      <w:rPr>
        <w:rFonts w:hint="eastAsia"/>
      </w:rPr>
    </w:lvl>
  </w:abstractNum>
  <w:abstractNum w:abstractNumId="5">
    <w:nsid w:val="36583D00"/>
    <w:multiLevelType w:val="singleLevel"/>
    <w:tmpl w:val="36583D00"/>
    <w:lvl w:ilvl="0" w:tentative="0">
      <w:start w:val="5"/>
      <w:numFmt w:val="chineseCounting"/>
      <w:suff w:val="space"/>
      <w:lvlText w:val="第%1章"/>
      <w:lvlJc w:val="left"/>
      <w:rPr>
        <w:rFonts w:hint="eastAsia"/>
      </w:rPr>
    </w:lvl>
  </w:abstractNum>
  <w:abstractNum w:abstractNumId="6">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BFC"/>
    <w:rsid w:val="00504045"/>
    <w:rsid w:val="0073317D"/>
    <w:rsid w:val="00831C1C"/>
    <w:rsid w:val="03E93979"/>
    <w:rsid w:val="05146D75"/>
    <w:rsid w:val="0559143D"/>
    <w:rsid w:val="0817059F"/>
    <w:rsid w:val="09263EF3"/>
    <w:rsid w:val="0A0D731E"/>
    <w:rsid w:val="0A596B5B"/>
    <w:rsid w:val="0D40255D"/>
    <w:rsid w:val="0D5046F7"/>
    <w:rsid w:val="0DA23B5C"/>
    <w:rsid w:val="0EA813EF"/>
    <w:rsid w:val="101E71B8"/>
    <w:rsid w:val="104007F8"/>
    <w:rsid w:val="105877A0"/>
    <w:rsid w:val="11F737BC"/>
    <w:rsid w:val="12D927D1"/>
    <w:rsid w:val="12EC7207"/>
    <w:rsid w:val="13365C72"/>
    <w:rsid w:val="147E0DA7"/>
    <w:rsid w:val="19FD11F2"/>
    <w:rsid w:val="1ADD6838"/>
    <w:rsid w:val="1B7D4040"/>
    <w:rsid w:val="1CDA5F8A"/>
    <w:rsid w:val="1D676E30"/>
    <w:rsid w:val="1E9C7A55"/>
    <w:rsid w:val="1FA03001"/>
    <w:rsid w:val="20FC2B5E"/>
    <w:rsid w:val="21551AAA"/>
    <w:rsid w:val="21B14A12"/>
    <w:rsid w:val="23311B9A"/>
    <w:rsid w:val="23BF0F9F"/>
    <w:rsid w:val="23C9146A"/>
    <w:rsid w:val="270900D9"/>
    <w:rsid w:val="27E761EB"/>
    <w:rsid w:val="2A3650E2"/>
    <w:rsid w:val="2AB47A28"/>
    <w:rsid w:val="2CA8442E"/>
    <w:rsid w:val="2D5D35C4"/>
    <w:rsid w:val="2E3C3753"/>
    <w:rsid w:val="2F411A82"/>
    <w:rsid w:val="300813F3"/>
    <w:rsid w:val="30FE1004"/>
    <w:rsid w:val="3107065A"/>
    <w:rsid w:val="34914DA6"/>
    <w:rsid w:val="34FE0AEE"/>
    <w:rsid w:val="35D64A66"/>
    <w:rsid w:val="37811BEE"/>
    <w:rsid w:val="378510A5"/>
    <w:rsid w:val="385801FE"/>
    <w:rsid w:val="38665021"/>
    <w:rsid w:val="38CC7D23"/>
    <w:rsid w:val="38D553C0"/>
    <w:rsid w:val="3A073842"/>
    <w:rsid w:val="3BF633D1"/>
    <w:rsid w:val="3C8A369E"/>
    <w:rsid w:val="3D5546D1"/>
    <w:rsid w:val="40215770"/>
    <w:rsid w:val="40F328B0"/>
    <w:rsid w:val="41033D52"/>
    <w:rsid w:val="41567BB7"/>
    <w:rsid w:val="42FC5917"/>
    <w:rsid w:val="43A01B1B"/>
    <w:rsid w:val="44462187"/>
    <w:rsid w:val="454F4524"/>
    <w:rsid w:val="464722B0"/>
    <w:rsid w:val="4A1314DA"/>
    <w:rsid w:val="4A1A5E18"/>
    <w:rsid w:val="4B727641"/>
    <w:rsid w:val="4CC255DD"/>
    <w:rsid w:val="4D064117"/>
    <w:rsid w:val="4E0D3669"/>
    <w:rsid w:val="500F671C"/>
    <w:rsid w:val="52984B42"/>
    <w:rsid w:val="54631631"/>
    <w:rsid w:val="58A16B28"/>
    <w:rsid w:val="5A805ADD"/>
    <w:rsid w:val="5AA53FED"/>
    <w:rsid w:val="5B294816"/>
    <w:rsid w:val="5B573449"/>
    <w:rsid w:val="5BA423C0"/>
    <w:rsid w:val="5BEC737D"/>
    <w:rsid w:val="5E14397E"/>
    <w:rsid w:val="5E502386"/>
    <w:rsid w:val="5E5932A6"/>
    <w:rsid w:val="5EAD43BF"/>
    <w:rsid w:val="5F73593B"/>
    <w:rsid w:val="5FA70B09"/>
    <w:rsid w:val="5FEA694B"/>
    <w:rsid w:val="60785A18"/>
    <w:rsid w:val="61400757"/>
    <w:rsid w:val="61E873BF"/>
    <w:rsid w:val="623B7BE4"/>
    <w:rsid w:val="63201FCA"/>
    <w:rsid w:val="651D5826"/>
    <w:rsid w:val="67287FDF"/>
    <w:rsid w:val="676B7FCA"/>
    <w:rsid w:val="682903EC"/>
    <w:rsid w:val="697769D4"/>
    <w:rsid w:val="6A8B1010"/>
    <w:rsid w:val="6B1F3BFC"/>
    <w:rsid w:val="6C9A54AD"/>
    <w:rsid w:val="6DA00A50"/>
    <w:rsid w:val="6DC54D99"/>
    <w:rsid w:val="709C5869"/>
    <w:rsid w:val="70C6205C"/>
    <w:rsid w:val="72976EE5"/>
    <w:rsid w:val="74433C16"/>
    <w:rsid w:val="771A66ED"/>
    <w:rsid w:val="78D4504A"/>
    <w:rsid w:val="793D50B0"/>
    <w:rsid w:val="7AE901D9"/>
    <w:rsid w:val="7B793E4D"/>
    <w:rsid w:val="7CA1074A"/>
    <w:rsid w:val="7EDE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next w:val="4"/>
    <w:qFormat/>
    <w:uiPriority w:val="0"/>
    <w:pPr>
      <w:numPr>
        <w:ilvl w:val="0"/>
        <w:numId w:val="1"/>
      </w:numPr>
      <w:spacing w:after="120"/>
      <w:ind w:left="0" w:firstLine="0"/>
    </w:pPr>
    <w:rPr>
      <w:rFonts w:ascii="Times New Roman" w:hAnsi="Times New Roman"/>
      <w:szCs w:val="24"/>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242"/>
      </w:tabs>
      <w:spacing w:beforeLines="25" w:afterLines="25"/>
    </w:pPr>
    <w:rPr>
      <w:rFonts w:ascii="宋体"/>
      <w:szCs w:val="21"/>
    </w:rPr>
  </w:style>
  <w:style w:type="paragraph" w:styleId="11">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3">
    <w:name w:val="Normal (Web)"/>
    <w:basedOn w:val="1"/>
    <w:unhideWhenUsed/>
    <w:qFormat/>
    <w:uiPriority w:val="99"/>
    <w:pPr>
      <w:spacing w:before="100" w:beforeAutospacing="1" w:after="100" w:afterAutospacing="1"/>
    </w:pPr>
    <w:rPr>
      <w:rFonts w:ascii="宋体" w:hAnsi="宋体" w:cs="宋体"/>
      <w:kern w:val="0"/>
      <w:sz w:val="24"/>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qFormat/>
    <w:uiPriority w:val="99"/>
    <w:rPr>
      <w:color w:val="0000FF"/>
      <w:spacing w:val="0"/>
      <w:w w:val="100"/>
      <w:szCs w:val="21"/>
      <w:u w:val="single"/>
      <w:lang w:val="en-US" w:eastAsia="zh-CN"/>
    </w:rPr>
  </w:style>
  <w:style w:type="character" w:styleId="19">
    <w:name w:val="footnote reference"/>
    <w:qFormat/>
    <w:uiPriority w:val="0"/>
    <w:rPr>
      <w:vertAlign w:val="superscript"/>
    </w:rPr>
  </w:style>
  <w:style w:type="paragraph" w:customStyle="1" w:styleId="20">
    <w:name w:val="_Style 2"/>
    <w:basedOn w:val="5"/>
    <w:next w:val="1"/>
    <w:qFormat/>
    <w:uiPriority w:val="0"/>
    <w:pPr>
      <w:spacing w:before="480" w:after="0" w:line="276" w:lineRule="auto"/>
      <w:outlineLvl w:val="9"/>
    </w:pPr>
    <w:rPr>
      <w:rFonts w:ascii="Cambria" w:hAnsi="Cambria"/>
      <w:color w:val="365F91"/>
      <w:kern w:val="0"/>
      <w:sz w:val="28"/>
      <w:szCs w:val="28"/>
    </w:rPr>
  </w:style>
  <w:style w:type="paragraph" w:styleId="21">
    <w:name w:val="List Paragraph"/>
    <w:basedOn w:val="1"/>
    <w:qFormat/>
    <w:uiPriority w:val="34"/>
    <w:pPr>
      <w:ind w:firstLine="420" w:firstLineChars="200"/>
    </w:pPr>
    <w:rPr>
      <w:rFonts w:ascii="宋体" w:hAnsi="宋体" w:cs="宋体"/>
      <w:kern w:val="0"/>
      <w:sz w:val="24"/>
    </w:rPr>
  </w:style>
  <w:style w:type="paragraph" w:customStyle="1" w:styleId="22">
    <w:name w:val="一级条标题"/>
    <w:next w:val="23"/>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3">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5">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2021-09-16T06:44:00Z</dcterms:created>
  <dc:creator>LILY</dc:creator>
  <cp:lastModifiedBy>lenovo</cp:lastModifiedBy>
  <cp:lastPrinted>2021-10-20T09:04:00Z</cp:lastPrinted>
  <dcterms:modified xsi:type="dcterms:W3CDTF">2021-11-22T06:35:57Z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A5B9354F27BB4F06B2C253BEED4FB582</vt:lpwstr>
  </property>
</Properties>
</file>