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ascii="黑体" w:hAnsi="黑体" w:eastAsia="黑体"/>
          <w:sz w:val="36"/>
          <w:szCs w:val="36"/>
        </w:rPr>
      </w:pPr>
      <w:r>
        <w:rPr>
          <w:rFonts w:hint="eastAsia" w:ascii="黑体" w:hAnsi="黑体" w:eastAsia="黑体"/>
          <w:sz w:val="36"/>
          <w:szCs w:val="36"/>
        </w:rPr>
        <w:t>岳阳城陵矶港务有限责任公司码头环保提质改造二期工程</w:t>
      </w:r>
    </w:p>
    <w:p>
      <w:pPr>
        <w:snapToGrid w:val="0"/>
        <w:spacing w:line="900" w:lineRule="exact"/>
        <w:jc w:val="center"/>
        <w:rPr>
          <w:rFonts w:ascii="黑体" w:hAnsi="黑体" w:eastAsia="黑体"/>
          <w:sz w:val="36"/>
          <w:szCs w:val="36"/>
        </w:rPr>
      </w:pPr>
      <w:r>
        <w:rPr>
          <w:rFonts w:hint="eastAsia" w:ascii="黑体" w:hAnsi="黑体" w:eastAsia="黑体"/>
          <w:sz w:val="36"/>
          <w:szCs w:val="36"/>
        </w:rPr>
        <w:t>第二条装车线交工质量检测服务</w:t>
      </w:r>
    </w:p>
    <w:p>
      <w:pPr>
        <w:snapToGrid w:val="0"/>
        <w:spacing w:line="900" w:lineRule="exact"/>
        <w:jc w:val="both"/>
        <w:rPr>
          <w:rFonts w:ascii="黑体" w:hAnsi="黑体" w:eastAsia="黑体"/>
          <w:sz w:val="36"/>
          <w:szCs w:val="36"/>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询</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价</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 xml:space="preserve">文 </w:t>
      </w:r>
    </w:p>
    <w:p>
      <w:pPr>
        <w:snapToGrid w:val="0"/>
        <w:spacing w:line="900" w:lineRule="exact"/>
        <w:jc w:val="center"/>
        <w:rPr>
          <w:rFonts w:ascii="黑体" w:hAnsi="黑体" w:eastAsia="黑体" w:cs="宋体"/>
          <w:b/>
          <w:color w:val="000000"/>
          <w:kern w:val="0"/>
          <w:sz w:val="72"/>
          <w:szCs w:val="72"/>
        </w:rPr>
      </w:pPr>
    </w:p>
    <w:p>
      <w:pPr>
        <w:spacing w:line="480" w:lineRule="auto"/>
        <w:jc w:val="center"/>
      </w:pPr>
      <w:r>
        <w:rPr>
          <w:rFonts w:hint="eastAsia" w:ascii="黑体" w:hAnsi="黑体" w:eastAsia="黑体" w:cs="宋体"/>
          <w:b/>
          <w:color w:val="000000"/>
          <w:kern w:val="0"/>
          <w:sz w:val="72"/>
          <w:szCs w:val="72"/>
        </w:rPr>
        <w:t>件</w:t>
      </w:r>
    </w:p>
    <w:p>
      <w:pPr>
        <w:spacing w:line="600" w:lineRule="exact"/>
      </w:pPr>
    </w:p>
    <w:p>
      <w:pPr>
        <w:spacing w:line="600" w:lineRule="exact"/>
      </w:pPr>
    </w:p>
    <w:p>
      <w:pPr>
        <w:snapToGrid w:val="0"/>
        <w:spacing w:line="900" w:lineRule="exact"/>
        <w:jc w:val="center"/>
        <w:rPr>
          <w:rFonts w:ascii="黑体" w:hAnsi="黑体" w:eastAsia="黑体"/>
          <w:bCs/>
          <w:sz w:val="48"/>
          <w:szCs w:val="48"/>
        </w:rPr>
      </w:pPr>
      <w:r>
        <w:rPr>
          <w:rFonts w:hint="eastAsia" w:ascii="黑体" w:hAnsi="黑体" w:eastAsia="黑体"/>
          <w:bCs/>
          <w:sz w:val="48"/>
          <w:szCs w:val="48"/>
        </w:rPr>
        <w:t>湖南省港务集团有限公司</w:t>
      </w:r>
    </w:p>
    <w:p>
      <w:pPr>
        <w:tabs>
          <w:tab w:val="left" w:pos="0"/>
          <w:tab w:val="left" w:pos="4185"/>
        </w:tabs>
        <w:spacing w:line="288" w:lineRule="auto"/>
        <w:ind w:right="-6"/>
        <w:jc w:val="center"/>
        <w:rPr>
          <w:rFonts w:ascii="方正小标宋简体" w:hAnsi="黑体" w:eastAsia="方正小标宋简体"/>
          <w:sz w:val="36"/>
          <w:szCs w:val="36"/>
        </w:rPr>
      </w:pPr>
      <w:r>
        <w:rPr>
          <w:rFonts w:hint="eastAsia" w:ascii="黑体" w:hAnsi="黑体" w:eastAsia="黑体"/>
          <w:bCs/>
          <w:sz w:val="48"/>
          <w:szCs w:val="48"/>
        </w:rPr>
        <w:t>二О二一年十一月</w:t>
      </w:r>
    </w:p>
    <w:p>
      <w:pPr>
        <w:widowControl w:val="0"/>
        <w:adjustRightInd w:val="0"/>
        <w:snapToGrid w:val="0"/>
        <w:spacing w:line="265" w:lineRule="auto"/>
        <w:ind w:hanging="10"/>
        <w:jc w:val="center"/>
        <w:rPr>
          <w:rFonts w:eastAsia="楷体_GB2312"/>
          <w:b/>
          <w:sz w:val="28"/>
          <w:szCs w:val="28"/>
        </w:rPr>
      </w:pPr>
    </w:p>
    <w:p>
      <w:pPr>
        <w:pStyle w:val="186"/>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25"/>
        <w:tabs>
          <w:tab w:val="right" w:leader="dot" w:pos="8948"/>
          <w:tab w:val="clear" w:pos="9242"/>
        </w:tabs>
        <w:adjustRightInd w:val="0"/>
        <w:snapToGrid w:val="0"/>
        <w:spacing w:before="60" w:after="60"/>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45"/>
          <w:rFonts w:hint="eastAsia" w:ascii="微软雅黑" w:hAnsi="微软雅黑" w:eastAsia="微软雅黑"/>
          <w:sz w:val="24"/>
          <w:szCs w:val="24"/>
        </w:rPr>
        <w:t>第一章</w:t>
      </w:r>
      <w:r>
        <w:rPr>
          <w:rStyle w:val="45"/>
          <w:rFonts w:ascii="微软雅黑" w:hAnsi="微软雅黑" w:eastAsia="微软雅黑"/>
          <w:sz w:val="24"/>
          <w:szCs w:val="24"/>
        </w:rPr>
        <w:t xml:space="preserve">  </w:t>
      </w:r>
      <w:r>
        <w:rPr>
          <w:rStyle w:val="45"/>
          <w:rFonts w:hint="eastAsia" w:ascii="微软雅黑" w:hAnsi="微软雅黑" w:eastAsia="微软雅黑"/>
          <w:sz w:val="24"/>
          <w:szCs w:val="24"/>
        </w:rPr>
        <w:t>采购公告</w:t>
      </w:r>
      <w:r>
        <w:rPr>
          <w:rFonts w:ascii="微软雅黑" w:hAnsi="微软雅黑" w:eastAsia="微软雅黑"/>
          <w:sz w:val="24"/>
          <w:szCs w:val="24"/>
        </w:rPr>
        <w:tab/>
      </w:r>
      <w:r>
        <w:rPr>
          <w:rFonts w:ascii="微软雅黑" w:hAnsi="微软雅黑" w:eastAsia="微软雅黑"/>
          <w:sz w:val="24"/>
          <w:szCs w:val="24"/>
        </w:rPr>
        <w:t>4</w:t>
      </w:r>
      <w:r>
        <w:rPr>
          <w:rFonts w:ascii="微软雅黑" w:hAnsi="微软雅黑" w:eastAsia="微软雅黑"/>
          <w:sz w:val="24"/>
          <w:szCs w:val="24"/>
        </w:rPr>
        <w:fldChar w:fldCharType="end"/>
      </w:r>
    </w:p>
    <w:p>
      <w:pPr>
        <w:pStyle w:val="25"/>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"_Toc77254106" </w:instrText>
      </w:r>
      <w:r>
        <w:fldChar w:fldCharType="separate"/>
      </w:r>
      <w:r>
        <w:rPr>
          <w:rStyle w:val="45"/>
          <w:rFonts w:hint="eastAsia" w:ascii="微软雅黑" w:hAnsi="微软雅黑" w:eastAsia="微软雅黑"/>
          <w:sz w:val="24"/>
          <w:szCs w:val="24"/>
        </w:rPr>
        <w:t>第二章</w:t>
      </w:r>
      <w:r>
        <w:rPr>
          <w:rStyle w:val="45"/>
          <w:rFonts w:ascii="微软雅黑" w:hAnsi="微软雅黑" w:eastAsia="微软雅黑"/>
          <w:sz w:val="24"/>
          <w:szCs w:val="24"/>
        </w:rPr>
        <w:t xml:space="preserve">  </w:t>
      </w:r>
      <w:r>
        <w:rPr>
          <w:rStyle w:val="45"/>
          <w:rFonts w:hint="eastAsia" w:ascii="微软雅黑" w:hAnsi="微软雅黑" w:eastAsia="微软雅黑"/>
          <w:sz w:val="24"/>
          <w:szCs w:val="24"/>
        </w:rPr>
        <w:t>供应商须知</w:t>
      </w:r>
      <w:r>
        <w:rPr>
          <w:rFonts w:ascii="微软雅黑" w:hAnsi="微软雅黑" w:eastAsia="微软雅黑"/>
          <w:sz w:val="24"/>
          <w:szCs w:val="24"/>
        </w:rPr>
        <w:tab/>
      </w:r>
      <w:r>
        <w:rPr>
          <w:rFonts w:hint="eastAsia" w:ascii="微软雅黑" w:hAnsi="微软雅黑" w:eastAsia="微软雅黑"/>
          <w:sz w:val="24"/>
          <w:szCs w:val="24"/>
        </w:rPr>
        <w:t>8</w:t>
      </w:r>
      <w:r>
        <w:rPr>
          <w:rFonts w:hint="eastAsia" w:ascii="微软雅黑" w:hAnsi="微软雅黑" w:eastAsia="微软雅黑"/>
          <w:sz w:val="24"/>
          <w:szCs w:val="24"/>
        </w:rPr>
        <w:fldChar w:fldCharType="end"/>
      </w:r>
    </w:p>
    <w:p>
      <w:pPr>
        <w:pStyle w:val="25"/>
        <w:tabs>
          <w:tab w:val="right" w:leader="dot" w:pos="8948"/>
          <w:tab w:val="clear" w:pos="9242"/>
        </w:tabs>
        <w:adjustRightInd w:val="0"/>
        <w:snapToGrid w:val="0"/>
        <w:spacing w:before="60" w:after="60"/>
        <w:rPr>
          <w:rFonts w:ascii="微软雅黑" w:hAnsi="微软雅黑" w:eastAsia="微软雅黑"/>
          <w:sz w:val="24"/>
          <w:szCs w:val="24"/>
        </w:rPr>
      </w:pPr>
      <w:r>
        <w:fldChar w:fldCharType="begin"/>
      </w:r>
      <w:r>
        <w:instrText xml:space="preserve"> HYPERLINK \l "_Toc77254124" </w:instrText>
      </w:r>
      <w:r>
        <w:fldChar w:fldCharType="separate"/>
      </w:r>
      <w:r>
        <w:rPr>
          <w:rStyle w:val="45"/>
          <w:rFonts w:hint="eastAsia" w:ascii="微软雅黑" w:hAnsi="微软雅黑" w:eastAsia="微软雅黑"/>
          <w:sz w:val="24"/>
          <w:szCs w:val="24"/>
        </w:rPr>
        <w:t>第三章</w:t>
      </w:r>
      <w:r>
        <w:rPr>
          <w:rStyle w:val="45"/>
          <w:rFonts w:ascii="微软雅黑" w:hAnsi="微软雅黑" w:eastAsia="微软雅黑"/>
          <w:sz w:val="24"/>
          <w:szCs w:val="24"/>
        </w:rPr>
        <w:t xml:space="preserve"> </w:t>
      </w:r>
      <w:r>
        <w:rPr>
          <w:rStyle w:val="45"/>
          <w:rFonts w:hint="eastAsia" w:ascii="微软雅黑" w:hAnsi="微软雅黑" w:eastAsia="微软雅黑"/>
          <w:sz w:val="24"/>
          <w:szCs w:val="24"/>
        </w:rPr>
        <w:t>评标办</w:t>
      </w:r>
      <w:bookmarkStart w:id="0" w:name="_Hlt79481238"/>
      <w:bookmarkStart w:id="1" w:name="_Hlt79481237"/>
      <w:r>
        <w:rPr>
          <w:rStyle w:val="45"/>
          <w:rFonts w:hint="eastAsia" w:ascii="微软雅黑" w:hAnsi="微软雅黑" w:eastAsia="微软雅黑"/>
          <w:sz w:val="24"/>
          <w:szCs w:val="24"/>
        </w:rPr>
        <w:t>法</w:t>
      </w:r>
      <w:bookmarkEnd w:id="0"/>
      <w:bookmarkEnd w:id="1"/>
      <w:r>
        <w:rPr>
          <w:rStyle w:val="45"/>
          <w:rFonts w:hint="eastAsia" w:ascii="微软雅黑" w:hAnsi="微软雅黑" w:eastAsia="微软雅黑"/>
          <w:sz w:val="24"/>
          <w:szCs w:val="24"/>
        </w:rPr>
        <w:t>（综合评分法）</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1</w:t>
      </w:r>
    </w:p>
    <w:p>
      <w:pPr>
        <w:pStyle w:val="25"/>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"_Toc77254138" </w:instrText>
      </w:r>
      <w:r>
        <w:fldChar w:fldCharType="separate"/>
      </w:r>
      <w:r>
        <w:rPr>
          <w:rStyle w:val="45"/>
          <w:rFonts w:hint="eastAsia" w:ascii="微软雅黑" w:hAnsi="微软雅黑" w:eastAsia="微软雅黑"/>
          <w:sz w:val="24"/>
          <w:szCs w:val="24"/>
        </w:rPr>
        <w:t>第四章</w:t>
      </w:r>
      <w:r>
        <w:rPr>
          <w:rStyle w:val="45"/>
          <w:rFonts w:ascii="微软雅黑" w:hAnsi="微软雅黑" w:eastAsia="微软雅黑"/>
          <w:sz w:val="24"/>
          <w:szCs w:val="24"/>
        </w:rPr>
        <w:t xml:space="preserve"> </w:t>
      </w:r>
      <w:r>
        <w:rPr>
          <w:rStyle w:val="45"/>
          <w:rFonts w:hint="eastAsia" w:ascii="微软雅黑" w:hAnsi="微软雅黑" w:eastAsia="微软雅黑"/>
          <w:sz w:val="24"/>
          <w:szCs w:val="24"/>
        </w:rPr>
        <w:t>合同条款及格式</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7</w:t>
      </w:r>
    </w:p>
    <w:p>
      <w:pPr>
        <w:pStyle w:val="25"/>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"_Toc77254286" </w:instrText>
      </w:r>
      <w:r>
        <w:fldChar w:fldCharType="separate"/>
      </w:r>
      <w:r>
        <w:rPr>
          <w:rStyle w:val="45"/>
          <w:rFonts w:hint="eastAsia" w:ascii="微软雅黑" w:hAnsi="微软雅黑" w:eastAsia="微软雅黑"/>
          <w:sz w:val="24"/>
          <w:szCs w:val="24"/>
        </w:rPr>
        <w:t>第五章</w:t>
      </w:r>
      <w:r>
        <w:rPr>
          <w:rStyle w:val="45"/>
          <w:rFonts w:ascii="微软雅黑" w:hAnsi="微软雅黑" w:eastAsia="微软雅黑"/>
          <w:sz w:val="24"/>
          <w:szCs w:val="24"/>
        </w:rPr>
        <w:t xml:space="preserve"> </w:t>
      </w:r>
      <w:r>
        <w:rPr>
          <w:rStyle w:val="45"/>
          <w:rFonts w:hint="eastAsia" w:ascii="微软雅黑" w:hAnsi="微软雅黑" w:eastAsia="微软雅黑"/>
          <w:sz w:val="24"/>
          <w:szCs w:val="24"/>
        </w:rPr>
        <w:t>采购需求</w:t>
      </w:r>
      <w:r>
        <w:rPr>
          <w:rFonts w:ascii="微软雅黑" w:hAnsi="微软雅黑" w:eastAsia="微软雅黑"/>
          <w:sz w:val="24"/>
          <w:szCs w:val="24"/>
        </w:rPr>
        <w:tab/>
      </w:r>
      <w:r>
        <w:rPr>
          <w:rFonts w:hint="eastAsia" w:ascii="微软雅黑" w:hAnsi="微软雅黑" w:eastAsia="微软雅黑"/>
          <w:sz w:val="24"/>
          <w:szCs w:val="24"/>
        </w:rPr>
        <w:t>38</w:t>
      </w:r>
      <w:r>
        <w:rPr>
          <w:rFonts w:hint="eastAsia" w:ascii="微软雅黑" w:hAnsi="微软雅黑" w:eastAsia="微软雅黑"/>
          <w:sz w:val="24"/>
          <w:szCs w:val="24"/>
        </w:rPr>
        <w:fldChar w:fldCharType="end"/>
      </w:r>
    </w:p>
    <w:p>
      <w:pPr>
        <w:pStyle w:val="25"/>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"_Toc77254297" </w:instrText>
      </w:r>
      <w:r>
        <w:fldChar w:fldCharType="separate"/>
      </w:r>
      <w:r>
        <w:rPr>
          <w:rStyle w:val="45"/>
          <w:rFonts w:hint="eastAsia" w:ascii="微软雅黑" w:hAnsi="微软雅黑" w:eastAsia="微软雅黑"/>
          <w:sz w:val="24"/>
          <w:szCs w:val="24"/>
        </w:rPr>
        <w:t>第六章</w:t>
      </w:r>
      <w:r>
        <w:rPr>
          <w:rStyle w:val="45"/>
          <w:rFonts w:ascii="微软雅黑" w:hAnsi="微软雅黑" w:eastAsia="微软雅黑"/>
          <w:sz w:val="24"/>
          <w:szCs w:val="24"/>
        </w:rPr>
        <w:t xml:space="preserve"> </w:t>
      </w:r>
      <w:r>
        <w:rPr>
          <w:rStyle w:val="45"/>
          <w:rFonts w:hint="eastAsia" w:ascii="微软雅黑" w:hAnsi="微软雅黑" w:eastAsia="微软雅黑"/>
          <w:sz w:val="24"/>
          <w:szCs w:val="24"/>
        </w:rPr>
        <w:t>响应文件格式</w:t>
      </w:r>
      <w:r>
        <w:rPr>
          <w:rFonts w:ascii="微软雅黑" w:hAnsi="微软雅黑" w:eastAsia="微软雅黑"/>
          <w:sz w:val="24"/>
          <w:szCs w:val="24"/>
        </w:rPr>
        <w:tab/>
      </w:r>
      <w:r>
        <w:rPr>
          <w:rFonts w:hint="eastAsia" w:ascii="微软雅黑" w:hAnsi="微软雅黑" w:eastAsia="微软雅黑"/>
          <w:sz w:val="24"/>
          <w:szCs w:val="24"/>
        </w:rPr>
        <w:t>39</w:t>
      </w:r>
      <w:r>
        <w:rPr>
          <w:rFonts w:hint="eastAsia" w:ascii="微软雅黑" w:hAnsi="微软雅黑" w:eastAsia="微软雅黑"/>
          <w:sz w:val="24"/>
          <w:szCs w:val="24"/>
        </w:rPr>
        <w:fldChar w:fldCharType="end"/>
      </w:r>
    </w:p>
    <w:p>
      <w:pPr>
        <w:pStyle w:val="31"/>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"_Toc77254298" </w:instrText>
      </w:r>
      <w:r>
        <w:fldChar w:fldCharType="separate"/>
      </w:r>
      <w:r>
        <w:rPr>
          <w:rStyle w:val="45"/>
          <w:rFonts w:hint="eastAsia" w:ascii="微软雅黑" w:hAnsi="微软雅黑" w:eastAsia="微软雅黑"/>
          <w:sz w:val="24"/>
          <w:szCs w:val="24"/>
        </w:rPr>
        <w:t>一、响应函</w:t>
      </w:r>
      <w:r>
        <w:rPr>
          <w:rFonts w:ascii="微软雅黑" w:hAnsi="微软雅黑" w:eastAsia="微软雅黑"/>
          <w:sz w:val="24"/>
          <w:szCs w:val="24"/>
        </w:rPr>
        <w:tab/>
      </w:r>
      <w:r>
        <w:rPr>
          <w:rFonts w:hint="eastAsia" w:ascii="微软雅黑" w:hAnsi="微软雅黑" w:eastAsia="微软雅黑"/>
          <w:sz w:val="24"/>
          <w:szCs w:val="24"/>
        </w:rPr>
        <w:t>42</w:t>
      </w:r>
      <w:r>
        <w:rPr>
          <w:rFonts w:hint="eastAsia" w:ascii="微软雅黑" w:hAnsi="微软雅黑" w:eastAsia="微软雅黑"/>
          <w:sz w:val="24"/>
          <w:szCs w:val="24"/>
        </w:rPr>
        <w:fldChar w:fldCharType="end"/>
      </w:r>
    </w:p>
    <w:p>
      <w:pPr>
        <w:pStyle w:val="31"/>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"_Toc77254299" </w:instrText>
      </w:r>
      <w:r>
        <w:fldChar w:fldCharType="separate"/>
      </w:r>
      <w:r>
        <w:rPr>
          <w:rStyle w:val="45"/>
          <w:rFonts w:hint="eastAsia" w:ascii="微软雅黑" w:hAnsi="微软雅黑" w:eastAsia="微软雅黑"/>
          <w:sz w:val="24"/>
          <w:szCs w:val="24"/>
        </w:rPr>
        <w:t>二、授权委托书</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5</w:t>
      </w:r>
    </w:p>
    <w:p>
      <w:pPr>
        <w:pStyle w:val="31"/>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"_Toc77254300" </w:instrText>
      </w:r>
      <w:r>
        <w:fldChar w:fldCharType="separate"/>
      </w:r>
      <w:r>
        <w:rPr>
          <w:rStyle w:val="45"/>
          <w:rFonts w:hint="eastAsia" w:ascii="微软雅黑" w:hAnsi="微软雅黑" w:eastAsia="微软雅黑"/>
          <w:sz w:val="24"/>
          <w:szCs w:val="24"/>
        </w:rPr>
        <w:t>三、响应保证金</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6</w:t>
      </w:r>
    </w:p>
    <w:p>
      <w:pPr>
        <w:pStyle w:val="31"/>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"_Toc77254302" </w:instrText>
      </w:r>
      <w:r>
        <w:fldChar w:fldCharType="separate"/>
      </w:r>
      <w:r>
        <w:rPr>
          <w:rStyle w:val="45"/>
          <w:rFonts w:hint="eastAsia" w:ascii="微软雅黑" w:hAnsi="微软雅黑" w:eastAsia="微软雅黑"/>
          <w:sz w:val="24"/>
          <w:szCs w:val="24"/>
        </w:rPr>
        <w:t>四、商务和技术偏差表</w:t>
      </w:r>
      <w:r>
        <w:rPr>
          <w:rFonts w:ascii="微软雅黑" w:hAnsi="微软雅黑" w:eastAsia="微软雅黑"/>
          <w:sz w:val="24"/>
          <w:szCs w:val="24"/>
        </w:rPr>
        <w:tab/>
      </w:r>
      <w:r>
        <w:rPr>
          <w:rFonts w:hint="eastAsia" w:ascii="微软雅黑" w:hAnsi="微软雅黑" w:eastAsia="微软雅黑"/>
          <w:sz w:val="24"/>
          <w:szCs w:val="24"/>
        </w:rPr>
        <w:t>47</w:t>
      </w:r>
      <w:r>
        <w:rPr>
          <w:rFonts w:hint="eastAsia" w:ascii="微软雅黑" w:hAnsi="微软雅黑" w:eastAsia="微软雅黑"/>
          <w:sz w:val="24"/>
          <w:szCs w:val="24"/>
        </w:rPr>
        <w:fldChar w:fldCharType="end"/>
      </w:r>
    </w:p>
    <w:p>
      <w:pPr>
        <w:pStyle w:val="31"/>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"_Toc77254304" </w:instrText>
      </w:r>
      <w:r>
        <w:fldChar w:fldCharType="separate"/>
      </w:r>
      <w:r>
        <w:rPr>
          <w:rStyle w:val="45"/>
          <w:rFonts w:hint="eastAsia" w:ascii="微软雅黑" w:hAnsi="微软雅黑" w:eastAsia="微软雅黑"/>
          <w:sz w:val="24"/>
          <w:szCs w:val="24"/>
        </w:rPr>
        <w:t>五、报价表</w:t>
      </w:r>
      <w:r>
        <w:rPr>
          <w:rFonts w:ascii="微软雅黑" w:hAnsi="微软雅黑" w:eastAsia="微软雅黑"/>
          <w:sz w:val="24"/>
          <w:szCs w:val="24"/>
        </w:rPr>
        <w:tab/>
      </w:r>
      <w:r>
        <w:rPr>
          <w:rFonts w:hint="eastAsia" w:ascii="微软雅黑" w:hAnsi="微软雅黑" w:eastAsia="微软雅黑"/>
          <w:sz w:val="24"/>
          <w:szCs w:val="24"/>
        </w:rPr>
        <w:t>48</w:t>
      </w:r>
      <w:r>
        <w:rPr>
          <w:rFonts w:hint="eastAsia" w:ascii="微软雅黑" w:hAnsi="微软雅黑" w:eastAsia="微软雅黑"/>
          <w:sz w:val="24"/>
          <w:szCs w:val="24"/>
        </w:rPr>
        <w:fldChar w:fldCharType="end"/>
      </w:r>
    </w:p>
    <w:p>
      <w:pPr>
        <w:pStyle w:val="31"/>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"_Toc77254308" </w:instrText>
      </w:r>
      <w:r>
        <w:fldChar w:fldCharType="separate"/>
      </w:r>
      <w:r>
        <w:rPr>
          <w:rStyle w:val="45"/>
          <w:rFonts w:hint="eastAsia" w:ascii="微软雅黑" w:hAnsi="微软雅黑" w:eastAsia="微软雅黑"/>
          <w:sz w:val="24"/>
          <w:szCs w:val="24"/>
        </w:rPr>
        <w:t>六、资格审查资料</w:t>
      </w:r>
      <w:r>
        <w:rPr>
          <w:rFonts w:ascii="微软雅黑" w:hAnsi="微软雅黑" w:eastAsia="微软雅黑"/>
          <w:sz w:val="24"/>
          <w:szCs w:val="24"/>
        </w:rPr>
        <w:tab/>
      </w:r>
      <w:r>
        <w:rPr>
          <w:rFonts w:hint="eastAsia" w:ascii="微软雅黑" w:hAnsi="微软雅黑" w:eastAsia="微软雅黑"/>
          <w:sz w:val="24"/>
          <w:szCs w:val="24"/>
        </w:rPr>
        <w:t>51</w:t>
      </w:r>
      <w:r>
        <w:rPr>
          <w:rFonts w:hint="eastAsia" w:ascii="微软雅黑" w:hAnsi="微软雅黑" w:eastAsia="微软雅黑"/>
          <w:sz w:val="24"/>
          <w:szCs w:val="24"/>
        </w:rPr>
        <w:fldChar w:fldCharType="end"/>
      </w:r>
    </w:p>
    <w:p>
      <w:pPr>
        <w:pStyle w:val="31"/>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"_Toc77254309" </w:instrText>
      </w:r>
      <w:r>
        <w:fldChar w:fldCharType="separate"/>
      </w:r>
      <w:r>
        <w:rPr>
          <w:rStyle w:val="45"/>
          <w:rFonts w:hint="eastAsia" w:ascii="微软雅黑" w:hAnsi="微软雅黑" w:eastAsia="微软雅黑"/>
          <w:sz w:val="24"/>
          <w:szCs w:val="24"/>
        </w:rPr>
        <w:t>七、响应方案</w:t>
      </w:r>
      <w:r>
        <w:rPr>
          <w:rFonts w:ascii="微软雅黑" w:hAnsi="微软雅黑" w:eastAsia="微软雅黑"/>
          <w:sz w:val="24"/>
          <w:szCs w:val="24"/>
        </w:rPr>
        <w:tab/>
      </w:r>
      <w:r>
        <w:rPr>
          <w:rFonts w:hint="eastAsia" w:ascii="微软雅黑" w:hAnsi="微软雅黑" w:eastAsia="微软雅黑"/>
          <w:sz w:val="24"/>
          <w:szCs w:val="24"/>
        </w:rPr>
        <w:t>58</w:t>
      </w:r>
      <w:r>
        <w:rPr>
          <w:rFonts w:hint="eastAsia" w:ascii="微软雅黑" w:hAnsi="微软雅黑" w:eastAsia="微软雅黑"/>
          <w:sz w:val="24"/>
          <w:szCs w:val="24"/>
        </w:rPr>
        <w:fldChar w:fldCharType="end"/>
      </w:r>
    </w:p>
    <w:p>
      <w:pPr>
        <w:pStyle w:val="31"/>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"_Toc77254310" </w:instrText>
      </w:r>
      <w:r>
        <w:fldChar w:fldCharType="separate"/>
      </w:r>
      <w:r>
        <w:rPr>
          <w:rStyle w:val="45"/>
          <w:rFonts w:hint="eastAsia" w:ascii="微软雅黑" w:hAnsi="微软雅黑" w:eastAsia="微软雅黑"/>
          <w:sz w:val="24"/>
          <w:szCs w:val="24"/>
        </w:rPr>
        <w:t>八、其他资料</w:t>
      </w:r>
      <w:r>
        <w:rPr>
          <w:rFonts w:ascii="微软雅黑" w:hAnsi="微软雅黑" w:eastAsia="微软雅黑"/>
          <w:sz w:val="24"/>
          <w:szCs w:val="24"/>
        </w:rPr>
        <w:tab/>
      </w:r>
      <w:r>
        <w:rPr>
          <w:rFonts w:hint="eastAsia" w:ascii="微软雅黑" w:hAnsi="微软雅黑" w:eastAsia="微软雅黑"/>
          <w:sz w:val="24"/>
          <w:szCs w:val="24"/>
        </w:rPr>
        <w:t>61</w:t>
      </w:r>
      <w:r>
        <w:rPr>
          <w:rFonts w:hint="eastAsia" w:ascii="微软雅黑" w:hAnsi="微软雅黑" w:eastAsia="微软雅黑"/>
          <w:sz w:val="24"/>
          <w:szCs w:val="24"/>
        </w:rPr>
        <w:fldChar w:fldCharType="end"/>
      </w:r>
    </w:p>
    <w:p>
      <w:pPr>
        <w:pStyle w:val="25"/>
        <w:widowControl w:val="0"/>
        <w:tabs>
          <w:tab w:val="right" w:leader="dot" w:pos="8948"/>
          <w:tab w:val="clear" w:pos="9242"/>
        </w:tabs>
        <w:adjustRightInd w:val="0"/>
        <w:snapToGrid w:val="0"/>
        <w:spacing w:before="60" w:after="60" w:line="312" w:lineRule="auto"/>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76"/>
        <w:numPr>
          <w:ilvl w:val="0"/>
          <w:numId w:val="1"/>
        </w:numPr>
        <w:spacing w:line="600" w:lineRule="exact"/>
        <w:ind w:left="0" w:firstLine="0"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采购公告</w:t>
      </w:r>
    </w:p>
    <w:p>
      <w:pPr>
        <w:pStyle w:val="34"/>
        <w:spacing w:before="0" w:beforeAutospacing="0" w:after="0" w:afterAutospacing="0"/>
        <w:ind w:firstLine="1280" w:firstLineChars="400"/>
        <w:jc w:val="center"/>
        <w:rPr>
          <w:rFonts w:ascii="黑体" w:hAnsi="黑体" w:eastAsia="黑体"/>
          <w:sz w:val="32"/>
          <w:szCs w:val="32"/>
        </w:rPr>
      </w:pPr>
    </w:p>
    <w:p>
      <w:pPr>
        <w:pStyle w:val="34"/>
        <w:spacing w:before="0" w:beforeAutospacing="0" w:after="0" w:afterAutospacing="0"/>
        <w:jc w:val="center"/>
        <w:rPr>
          <w:rFonts w:hint="eastAsia" w:ascii="黑体" w:hAnsi="黑体" w:eastAsia="黑体"/>
          <w:sz w:val="32"/>
          <w:szCs w:val="32"/>
        </w:rPr>
      </w:pPr>
      <w:r>
        <w:rPr>
          <w:rFonts w:hint="eastAsia" w:ascii="黑体" w:hAnsi="黑体" w:eastAsia="黑体"/>
          <w:sz w:val="32"/>
          <w:szCs w:val="32"/>
        </w:rPr>
        <w:t>岳阳城陵矶港务有限责任公司码头环保提质改造二期工程</w:t>
      </w:r>
    </w:p>
    <w:p>
      <w:pPr>
        <w:pStyle w:val="34"/>
        <w:spacing w:before="0" w:beforeAutospacing="0" w:after="0" w:afterAutospacing="0"/>
        <w:jc w:val="center"/>
        <w:rPr>
          <w:rFonts w:ascii="黑体" w:hAnsi="黑体" w:eastAsia="黑体"/>
          <w:sz w:val="32"/>
          <w:szCs w:val="32"/>
        </w:rPr>
      </w:pPr>
      <w:r>
        <w:rPr>
          <w:rFonts w:hint="eastAsia" w:ascii="黑体" w:hAnsi="黑体" w:eastAsia="黑体"/>
          <w:sz w:val="32"/>
          <w:szCs w:val="32"/>
        </w:rPr>
        <w:t>第二条装车线交工质量检测服务询价采购公告</w:t>
      </w:r>
    </w:p>
    <w:p>
      <w:pPr>
        <w:pStyle w:val="34"/>
        <w:spacing w:before="0" w:beforeAutospacing="0" w:after="0" w:afterAutospacing="0"/>
        <w:ind w:firstLine="2880" w:firstLineChars="1200"/>
        <w:jc w:val="both"/>
        <w:rPr>
          <w:rFonts w:cs="Times New Roman"/>
          <w:kern w:val="2"/>
        </w:rPr>
      </w:pPr>
      <w:r>
        <w:rPr>
          <w:rFonts w:hint="eastAsia" w:cs="Times New Roman"/>
          <w:kern w:val="2"/>
        </w:rPr>
        <w:t xml:space="preserve"> </w:t>
      </w:r>
    </w:p>
    <w:p>
      <w:pPr>
        <w:autoSpaceDE w:val="0"/>
        <w:spacing w:line="400" w:lineRule="exact"/>
        <w:ind w:firstLine="480" w:firstLineChars="200"/>
        <w:jc w:val="both"/>
        <w:rPr>
          <w:rFonts w:ascii="宋体" w:hAnsi="宋体"/>
          <w:sz w:val="24"/>
        </w:rPr>
      </w:pPr>
      <w:r>
        <w:rPr>
          <w:rFonts w:hint="eastAsia" w:ascii="宋体" w:hAnsi="宋体"/>
          <w:sz w:val="24"/>
        </w:rPr>
        <w:t xml:space="preserve">岳阳城陵矶港务有限责任公司码头环保提质改造二期工程第二条装车线交工质量检测服务）已具备采购条件，现公开邀请供应商参加采购活动。 </w:t>
      </w:r>
    </w:p>
    <w:p>
      <w:pPr>
        <w:pStyle w:val="9"/>
        <w:jc w:val="both"/>
        <w:rPr>
          <w:rFonts w:ascii="Arial" w:hAnsi="Arial"/>
        </w:rPr>
      </w:pPr>
      <w:r>
        <w:rPr>
          <w:rFonts w:hint="eastAsia"/>
        </w:rPr>
        <w:t xml:space="preserve">1 </w:t>
      </w:r>
      <w:r>
        <w:rPr>
          <w:rFonts w:hint="eastAsia" w:ascii="黑体" w:hAnsi="黑体"/>
        </w:rPr>
        <w:t xml:space="preserve">采购项目简介 </w:t>
      </w:r>
    </w:p>
    <w:p>
      <w:pPr>
        <w:autoSpaceDE w:val="0"/>
        <w:spacing w:line="400" w:lineRule="exact"/>
        <w:jc w:val="both"/>
        <w:rPr>
          <w:rFonts w:ascii="宋体" w:hAnsi="宋体"/>
          <w:sz w:val="24"/>
        </w:rPr>
      </w:pPr>
      <w:r>
        <w:rPr>
          <w:rFonts w:hint="eastAsia" w:ascii="宋体" w:hAnsi="宋体"/>
          <w:b/>
          <w:bCs/>
          <w:sz w:val="24"/>
        </w:rPr>
        <w:t>1.1</w:t>
      </w:r>
      <w:r>
        <w:rPr>
          <w:rFonts w:hint="eastAsia" w:ascii="宋体" w:hAnsi="宋体"/>
          <w:sz w:val="24"/>
        </w:rPr>
        <w:t xml:space="preserve"> 采购项目名称:岳阳城陵矶港务有限责任公司码头环保提质改造二期工程第二条装车线交工质量检测服务</w:t>
      </w:r>
    </w:p>
    <w:p>
      <w:pPr>
        <w:autoSpaceDE w:val="0"/>
        <w:spacing w:line="400" w:lineRule="exact"/>
        <w:rPr>
          <w:rFonts w:ascii="宋体" w:hAnsi="宋体"/>
          <w:sz w:val="24"/>
        </w:rPr>
      </w:pPr>
      <w:r>
        <w:rPr>
          <w:rFonts w:hint="eastAsia" w:ascii="宋体" w:hAnsi="宋体"/>
          <w:b/>
          <w:bCs/>
          <w:sz w:val="24"/>
        </w:rPr>
        <w:t>1.2</w:t>
      </w:r>
      <w:r>
        <w:rPr>
          <w:rFonts w:hint="eastAsia" w:ascii="宋体" w:hAnsi="宋体"/>
          <w:sz w:val="24"/>
        </w:rPr>
        <w:t xml:space="preserve"> 采购人: 湖南省港务集团有限公司</w:t>
      </w:r>
    </w:p>
    <w:p>
      <w:pPr>
        <w:autoSpaceDE w:val="0"/>
        <w:spacing w:line="400" w:lineRule="exact"/>
        <w:rPr>
          <w:rFonts w:ascii="宋体" w:hAnsi="宋体"/>
          <w:sz w:val="24"/>
        </w:rPr>
      </w:pPr>
      <w:r>
        <w:rPr>
          <w:rFonts w:hint="eastAsia" w:ascii="宋体" w:hAnsi="宋体"/>
          <w:b/>
          <w:bCs/>
          <w:sz w:val="24"/>
        </w:rPr>
        <w:t>1.3</w:t>
      </w:r>
      <w:r>
        <w:rPr>
          <w:rFonts w:hint="eastAsia" w:ascii="宋体" w:hAnsi="宋体"/>
          <w:sz w:val="24"/>
        </w:rPr>
        <w:t xml:space="preserve"> 采购代理机构:无</w:t>
      </w:r>
    </w:p>
    <w:p>
      <w:pPr>
        <w:autoSpaceDE w:val="0"/>
        <w:spacing w:line="400" w:lineRule="exact"/>
        <w:rPr>
          <w:rFonts w:ascii="宋体" w:hAnsi="宋体"/>
          <w:sz w:val="24"/>
        </w:rPr>
      </w:pPr>
      <w:r>
        <w:rPr>
          <w:rFonts w:hint="eastAsia" w:ascii="宋体" w:hAnsi="宋体"/>
          <w:b/>
          <w:bCs/>
          <w:sz w:val="24"/>
        </w:rPr>
        <w:t xml:space="preserve">1.4 </w:t>
      </w:r>
      <w:r>
        <w:rPr>
          <w:rFonts w:hint="eastAsia" w:ascii="宋体" w:hAnsi="宋体"/>
          <w:sz w:val="24"/>
        </w:rPr>
        <w:t>采购项目资金落实情况:已落实</w:t>
      </w:r>
    </w:p>
    <w:p>
      <w:pPr>
        <w:autoSpaceDE w:val="0"/>
        <w:spacing w:line="400" w:lineRule="exact"/>
        <w:rPr>
          <w:rFonts w:ascii="宋体" w:hAnsi="宋体"/>
          <w:sz w:val="24"/>
        </w:rPr>
      </w:pPr>
      <w:r>
        <w:rPr>
          <w:rFonts w:hint="eastAsia" w:ascii="宋体" w:hAnsi="宋体"/>
          <w:b/>
          <w:bCs/>
          <w:sz w:val="24"/>
        </w:rPr>
        <w:t xml:space="preserve">1.5 </w:t>
      </w:r>
      <w:r>
        <w:rPr>
          <w:rFonts w:hint="eastAsia" w:ascii="宋体" w:hAnsi="宋体"/>
          <w:sz w:val="24"/>
        </w:rPr>
        <w:t xml:space="preserve">采购项目概况: </w:t>
      </w:r>
      <w:r>
        <w:rPr>
          <w:rFonts w:hint="eastAsia" w:ascii="宋体" w:hAnsi="宋体" w:cs="宋体"/>
          <w:sz w:val="24"/>
        </w:rPr>
        <w:t>本项目建设地点在岳阳市城陵矶老港区，新建1股铁路，长约650m；新增1台装车机（装车效率3000t/h）；新增3条皮带机，共长约580m；新增1座转运站，建筑面积约260平方米；新增1座落料点钢雨棚，建筑面积200平方米；以及装车机轨道基础、水、电、控制及环保等配套设施。新增装车产能约400万吨/年。投资估算约3900万元。</w:t>
      </w:r>
    </w:p>
    <w:p>
      <w:pPr>
        <w:pStyle w:val="9"/>
        <w:jc w:val="both"/>
        <w:rPr>
          <w:rFonts w:ascii="Arial" w:hAnsi="Arial"/>
          <w:highlight w:val="none"/>
        </w:rPr>
      </w:pPr>
      <w:r>
        <w:rPr>
          <w:rFonts w:hint="eastAsia"/>
          <w:highlight w:val="none"/>
        </w:rPr>
        <w:t>2．</w:t>
      </w:r>
      <w:r>
        <w:rPr>
          <w:rFonts w:hint="eastAsia" w:ascii="黑体" w:hAnsi="黑体"/>
          <w:highlight w:val="none"/>
        </w:rPr>
        <w:t>采购范围及相关要求</w:t>
      </w:r>
    </w:p>
    <w:p>
      <w:pPr>
        <w:autoSpaceDE w:val="0"/>
        <w:spacing w:line="400" w:lineRule="exact"/>
        <w:rPr>
          <w:rFonts w:ascii="宋体" w:hAnsi="宋体"/>
          <w:color w:val="FF0000"/>
          <w:sz w:val="24"/>
          <w:highlight w:val="none"/>
        </w:rPr>
      </w:pPr>
      <w:r>
        <w:rPr>
          <w:rFonts w:hint="eastAsia" w:ascii="宋体" w:hAnsi="宋体"/>
          <w:b/>
          <w:bCs/>
          <w:sz w:val="24"/>
          <w:highlight w:val="none"/>
        </w:rPr>
        <w:t xml:space="preserve">2.1 </w:t>
      </w:r>
      <w:r>
        <w:rPr>
          <w:rFonts w:hint="eastAsia" w:ascii="宋体" w:hAnsi="宋体"/>
          <w:sz w:val="24"/>
          <w:highlight w:val="none"/>
        </w:rPr>
        <w:t>采购范围: 钢结构检测、混凝土强度、混凝土保护层厚度、结构尺寸、轨道结构、地基承载力、工程质量检验资料核查、原材料检测等。</w:t>
      </w:r>
    </w:p>
    <w:p>
      <w:pPr>
        <w:autoSpaceDE w:val="0"/>
        <w:spacing w:line="400" w:lineRule="exact"/>
        <w:rPr>
          <w:color w:val="000000" w:themeColor="text1"/>
          <w:sz w:val="24"/>
          <w:highlight w:val="none"/>
          <w14:textFill>
            <w14:solidFill>
              <w14:schemeClr w14:val="tx1"/>
            </w14:solidFill>
          </w14:textFill>
        </w:rPr>
      </w:pPr>
      <w:r>
        <w:rPr>
          <w:rFonts w:hint="eastAsia" w:ascii="宋体" w:hAnsi="宋体"/>
          <w:b/>
          <w:bCs/>
          <w:sz w:val="24"/>
          <w:highlight w:val="none"/>
        </w:rPr>
        <w:t xml:space="preserve">2.2 </w:t>
      </w:r>
      <w:r>
        <w:rPr>
          <w:rFonts w:hint="eastAsia" w:ascii="宋体" w:hAnsi="宋体"/>
          <w:sz w:val="24"/>
          <w:highlight w:val="none"/>
        </w:rPr>
        <w:t xml:space="preserve">服务期限: </w:t>
      </w:r>
      <w:r>
        <w:rPr>
          <w:rFonts w:hint="eastAsia"/>
          <w:color w:val="000000" w:themeColor="text1"/>
          <w:sz w:val="24"/>
          <w:highlight w:val="none"/>
          <w14:textFill>
            <w14:solidFill>
              <w14:schemeClr w14:val="tx1"/>
            </w14:solidFill>
          </w14:textFill>
        </w:rPr>
        <w:t>检测开始计划时间为2021年11月，结束时间为项目交工验收完成后，具体以询价人要求为准。</w:t>
      </w:r>
    </w:p>
    <w:p>
      <w:pPr>
        <w:autoSpaceDE w:val="0"/>
        <w:spacing w:line="400" w:lineRule="exact"/>
        <w:rPr>
          <w:rFonts w:ascii="宋体" w:hAnsi="宋体"/>
          <w:sz w:val="24"/>
          <w:highlight w:val="none"/>
        </w:rPr>
      </w:pPr>
      <w:r>
        <w:rPr>
          <w:rFonts w:hint="eastAsia" w:ascii="宋体" w:hAnsi="宋体"/>
          <w:b/>
          <w:bCs/>
          <w:sz w:val="24"/>
          <w:highlight w:val="none"/>
        </w:rPr>
        <w:t xml:space="preserve">2.3 </w:t>
      </w:r>
      <w:r>
        <w:rPr>
          <w:rFonts w:hint="eastAsia" w:ascii="宋体" w:hAnsi="宋体"/>
          <w:sz w:val="24"/>
          <w:highlight w:val="none"/>
        </w:rPr>
        <w:t>服务地点: _岳阳城陵矶港</w:t>
      </w:r>
    </w:p>
    <w:p>
      <w:pPr>
        <w:autoSpaceDE w:val="0"/>
        <w:spacing w:line="400" w:lineRule="exact"/>
        <w:rPr>
          <w:rFonts w:ascii="宋体" w:hAnsi="宋体"/>
          <w:sz w:val="24"/>
        </w:rPr>
      </w:pPr>
      <w:r>
        <w:rPr>
          <w:rFonts w:hint="eastAsia" w:ascii="宋体" w:hAnsi="宋体"/>
          <w:b/>
          <w:bCs/>
          <w:sz w:val="24"/>
        </w:rPr>
        <w:t xml:space="preserve">2.4 </w:t>
      </w:r>
      <w:r>
        <w:rPr>
          <w:rFonts w:hint="eastAsia" w:ascii="宋体" w:hAnsi="宋体"/>
          <w:sz w:val="24"/>
        </w:rPr>
        <w:t xml:space="preserve">质量要求或服务标准: </w:t>
      </w:r>
      <w:r>
        <w:rPr>
          <w:rFonts w:hint="eastAsia"/>
          <w:color w:val="000000" w:themeColor="text1"/>
          <w:sz w:val="24"/>
          <w14:textFill>
            <w14:solidFill>
              <w14:schemeClr w14:val="tx1"/>
            </w14:solidFill>
          </w14:textFill>
        </w:rPr>
        <w:t>服务人必须依据现行国家或行业规范及岳阳市交通运输局水运质量监督科的检测要求完成合同约定的所有检测项目以及为保证本项目交（竣）工验收通过所新增的检测项目，保证检验、检测有关数据的真实、准确、完整、可靠和合理性。</w:t>
      </w:r>
    </w:p>
    <w:p>
      <w:pPr>
        <w:pStyle w:val="9"/>
        <w:jc w:val="both"/>
        <w:rPr>
          <w:rFonts w:ascii="Arial" w:hAnsi="Arial"/>
        </w:rPr>
      </w:pPr>
      <w:r>
        <w:rPr>
          <w:rFonts w:hint="eastAsia"/>
        </w:rPr>
        <w:t xml:space="preserve">3 </w:t>
      </w:r>
      <w:r>
        <w:rPr>
          <w:rFonts w:hint="eastAsia" w:ascii="黑体" w:hAnsi="黑体"/>
        </w:rPr>
        <w:t>供应商资格要求</w:t>
      </w:r>
    </w:p>
    <w:p>
      <w:pPr>
        <w:autoSpaceDE w:val="0"/>
        <w:spacing w:line="400" w:lineRule="exact"/>
        <w:ind w:firstLine="241" w:firstLineChars="100"/>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spacing w:line="440" w:lineRule="exact"/>
        <w:ind w:firstLine="240" w:firstLineChars="100"/>
        <w:rPr>
          <w:rFonts w:ascii="宋体" w:hAnsi="宋体"/>
          <w:sz w:val="24"/>
        </w:rPr>
      </w:pPr>
      <w:r>
        <w:rPr>
          <w:rFonts w:hint="eastAsia" w:ascii="宋体" w:hAnsi="宋体"/>
          <w:sz w:val="24"/>
        </w:rPr>
        <w:t>（4）</w:t>
      </w:r>
      <w:r>
        <w:rPr>
          <w:rFonts w:hint="eastAsia"/>
          <w:sz w:val="24"/>
        </w:rPr>
        <w:t>为投资参股本项目的法人单位；</w:t>
      </w:r>
    </w:p>
    <w:p>
      <w:pPr>
        <w:spacing w:line="440" w:lineRule="exact"/>
        <w:ind w:firstLine="240" w:firstLineChars="100"/>
        <w:rPr>
          <w:sz w:val="24"/>
        </w:rPr>
      </w:pPr>
      <w:r>
        <w:rPr>
          <w:rFonts w:hint="eastAsia" w:ascii="宋体" w:hAnsi="宋体"/>
          <w:sz w:val="24"/>
        </w:rPr>
        <w:t>（5）其他:</w:t>
      </w:r>
      <w:r>
        <w:rPr>
          <w:rFonts w:hint="eastAsia"/>
          <w:sz w:val="24"/>
        </w:rPr>
        <w:t>被交通运输部“</w:t>
      </w:r>
      <w:r>
        <w:rPr>
          <w:rFonts w:hint="eastAsia" w:ascii="宋体" w:hAnsi="宋体"/>
          <w:bCs/>
          <w:sz w:val="24"/>
        </w:rPr>
        <w:t>公路水运工程试验检测管理信息系统”</w:t>
      </w:r>
      <w:r>
        <w:rPr>
          <w:rFonts w:hint="eastAsia"/>
          <w:sz w:val="24"/>
        </w:rPr>
        <w:t>连续三年（2018～2020年）评为B级及以下信用等级。</w:t>
      </w:r>
    </w:p>
    <w:p>
      <w:pPr>
        <w:autoSpaceDE w:val="0"/>
        <w:spacing w:line="400" w:lineRule="exact"/>
        <w:jc w:val="both"/>
        <w:rPr>
          <w:rFonts w:ascii="宋体" w:hAnsi="宋体"/>
          <w:sz w:val="24"/>
        </w:rPr>
      </w:pPr>
      <w:r>
        <w:rPr>
          <w:rFonts w:hint="eastAsia" w:ascii="宋体" w:hAnsi="宋体"/>
          <w:sz w:val="24"/>
        </w:rPr>
        <w:t>3.2供应商应满足如下要求:</w:t>
      </w:r>
    </w:p>
    <w:tbl>
      <w:tblPr>
        <w:tblStyle w:val="3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（1）依法设立</w:t>
            </w:r>
          </w:p>
        </w:tc>
        <w:tc>
          <w:tcPr>
            <w:tcW w:w="1786" w:type="dxa"/>
          </w:tcPr>
          <w:p>
            <w:pPr>
              <w:widowControl w:val="0"/>
              <w:spacing w:line="320" w:lineRule="exact"/>
              <w:jc w:val="both"/>
              <w:rPr>
                <w:rStyle w:val="41"/>
                <w:u w:val="single"/>
              </w:rPr>
            </w:pPr>
            <w:r>
              <w:rPr>
                <w:rStyle w:val="41"/>
                <w:rFonts w:hint="eastAsia"/>
                <w:u w:val="single"/>
              </w:rPr>
              <w:sym w:font="Wingdings 2" w:char="00A3"/>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（2）资质要求</w:t>
            </w:r>
          </w:p>
        </w:tc>
        <w:tc>
          <w:tcPr>
            <w:tcW w:w="1786" w:type="dxa"/>
          </w:tcPr>
          <w:p>
            <w:pPr>
              <w:widowControl w:val="0"/>
              <w:spacing w:line="320" w:lineRule="exact"/>
              <w:jc w:val="both"/>
              <w:rPr>
                <w:rStyle w:val="41"/>
                <w:u w:val="single"/>
              </w:rPr>
            </w:pPr>
            <w:r>
              <w:rPr>
                <w:rStyle w:val="41"/>
                <w:rFonts w:hint="eastAsia"/>
                <w:u w:val="single"/>
              </w:rPr>
              <w:sym w:font="Wingdings 2" w:char="00A3"/>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（3）财务要求</w:t>
            </w:r>
          </w:p>
        </w:tc>
        <w:tc>
          <w:tcPr>
            <w:tcW w:w="1786" w:type="dxa"/>
          </w:tcPr>
          <w:p>
            <w:pPr>
              <w:widowControl w:val="0"/>
              <w:spacing w:line="320" w:lineRule="exact"/>
              <w:jc w:val="both"/>
              <w:rPr>
                <w:rStyle w:val="41"/>
                <w:u w:val="single"/>
              </w:rPr>
            </w:pPr>
            <w:r>
              <w:rPr>
                <w:rStyle w:val="41"/>
                <w:rFonts w:hint="eastAsia"/>
                <w:u w:val="single"/>
              </w:rPr>
              <w:sym w:font="Wingdings 2" w:char="0052"/>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（4）业绩要求</w:t>
            </w:r>
          </w:p>
        </w:tc>
        <w:tc>
          <w:tcPr>
            <w:tcW w:w="1786" w:type="dxa"/>
          </w:tcPr>
          <w:p>
            <w:pPr>
              <w:widowControl w:val="0"/>
              <w:spacing w:line="320" w:lineRule="exact"/>
              <w:jc w:val="both"/>
              <w:rPr>
                <w:rStyle w:val="41"/>
                <w:u w:val="single"/>
              </w:rPr>
            </w:pPr>
            <w:r>
              <w:rPr>
                <w:rStyle w:val="41"/>
                <w:rFonts w:hint="eastAsia"/>
                <w:u w:val="single"/>
              </w:rPr>
              <w:sym w:font="Wingdings 2" w:char="00A3"/>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（5）信誉要求</w:t>
            </w:r>
          </w:p>
        </w:tc>
        <w:tc>
          <w:tcPr>
            <w:tcW w:w="1786"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786" w:type="dxa"/>
          </w:tcPr>
          <w:p>
            <w:pPr>
              <w:widowControl w:val="0"/>
              <w:spacing w:line="320" w:lineRule="exact"/>
              <w:jc w:val="both"/>
              <w:rPr>
                <w:rStyle w:val="41"/>
                <w:u w:val="single"/>
              </w:rPr>
            </w:pPr>
            <w:r>
              <w:rPr>
                <w:rStyle w:val="41"/>
                <w:rFonts w:hint="eastAsia"/>
                <w:u w:val="single"/>
              </w:rPr>
              <w:sym w:font="Wingdings 2" w:char="0052"/>
            </w:r>
            <w:r>
              <w:rPr>
                <w:rStyle w:val="41"/>
                <w:rFonts w:hint="eastAsia"/>
                <w:u w:val="single"/>
              </w:rPr>
              <w:sym w:font="Wingdings 2" w:char="00A3"/>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60" w:type="dxa"/>
          </w:tcPr>
          <w:p>
            <w:pPr>
              <w:widowControl w:val="0"/>
              <w:spacing w:line="320" w:lineRule="exact"/>
              <w:jc w:val="both"/>
              <w:rPr>
                <w:rFonts w:ascii="宋体" w:hAnsi="宋体"/>
                <w:sz w:val="24"/>
              </w:rPr>
            </w:pPr>
            <w:r>
              <w:rPr>
                <w:rFonts w:hint="eastAsia" w:ascii="宋体" w:hAnsi="宋体"/>
                <w:sz w:val="24"/>
              </w:rPr>
              <w:t>（7）其他要求</w:t>
            </w:r>
          </w:p>
        </w:tc>
        <w:tc>
          <w:tcPr>
            <w:tcW w:w="1786" w:type="dxa"/>
          </w:tcPr>
          <w:p>
            <w:pPr>
              <w:widowControl w:val="0"/>
              <w:spacing w:line="320" w:lineRule="exact"/>
              <w:jc w:val="both"/>
              <w:rPr>
                <w:rStyle w:val="41"/>
                <w:u w:val="single"/>
              </w:rPr>
            </w:pPr>
            <w:r>
              <w:rPr>
                <w:rStyle w:val="41"/>
                <w:rFonts w:hint="eastAsia"/>
                <w:u w:val="single"/>
              </w:rPr>
              <w:sym w:font="Wingdings 2" w:char="0052"/>
            </w: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786"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sz w:val="24"/>
              </w:rPr>
            </w:pPr>
            <w:r>
              <w:rPr>
                <w:rStyle w:val="41"/>
                <w:rFonts w:hint="eastAsia"/>
                <w:u w:val="single"/>
              </w:rPr>
              <w:sym w:font="Wingdings 2" w:char="0052"/>
            </w:r>
            <w:r>
              <w:rPr>
                <w:rStyle w:val="41"/>
                <w:rFonts w:hint="eastAsia"/>
                <w:u w:val="single"/>
              </w:rPr>
              <w:t>适用,见采购文件供应商须知前附表3.5（8）。</w:t>
            </w:r>
          </w:p>
        </w:tc>
      </w:tr>
    </w:tbl>
    <w:p>
      <w:pPr>
        <w:pStyle w:val="9"/>
        <w:jc w:val="both"/>
        <w:rPr>
          <w:rFonts w:ascii="Arial" w:hAnsi="Arial"/>
        </w:rPr>
      </w:pPr>
      <w:r>
        <w:rPr>
          <w:rFonts w:hint="eastAsia"/>
        </w:rPr>
        <w:t xml:space="preserve">4 </w:t>
      </w:r>
      <w:r>
        <w:rPr>
          <w:rFonts w:hint="eastAsia" w:ascii="黑体" w:hAnsi="黑体"/>
        </w:rPr>
        <w:t>响应保证金</w:t>
      </w: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r>
              <w:rPr>
                <w:rStyle w:val="41"/>
                <w:rFonts w:hint="eastAsia"/>
              </w:rPr>
              <w:sym w:font="Wingdings 2" w:char="0052"/>
            </w:r>
            <w:r>
              <w:rPr>
                <w:rFonts w:hint="eastAsia" w:ascii="宋体" w:hAnsi="宋体"/>
                <w:sz w:val="24"/>
              </w:rPr>
              <w:t>不要求递交</w:t>
            </w:r>
          </w:p>
          <w:p>
            <w:pPr>
              <w:widowControl w:val="0"/>
              <w:autoSpaceDE w:val="0"/>
              <w:spacing w:line="400" w:lineRule="exact"/>
              <w:jc w:val="both"/>
              <w:rPr>
                <w:rFonts w:ascii="宋体" w:hAnsi="宋体"/>
                <w:sz w:val="24"/>
              </w:rPr>
            </w:pPr>
            <w:r>
              <w:rPr>
                <w:rStyle w:val="41"/>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41"/>
                <w:rFonts w:hint="eastAsia"/>
              </w:rPr>
              <w:sym w:font="Wingdings 2" w:char="0052"/>
            </w:r>
            <w:r>
              <w:rPr>
                <w:rStyle w:val="41"/>
                <w:rFonts w:hint="eastAsia"/>
                <w:b w:val="0"/>
                <w:bCs w:val="0"/>
              </w:rPr>
              <w:t>不</w:t>
            </w:r>
            <w:r>
              <w:rPr>
                <w:rFonts w:hint="eastAsia" w:ascii="宋体" w:hAnsi="宋体"/>
                <w:sz w:val="24"/>
              </w:rPr>
              <w:t>适用</w:t>
            </w:r>
          </w:p>
          <w:p>
            <w:pPr>
              <w:widowControl w:val="0"/>
              <w:autoSpaceDE w:val="0"/>
              <w:spacing w:line="400" w:lineRule="exact"/>
              <w:jc w:val="both"/>
              <w:rPr>
                <w:rFonts w:ascii="宋体" w:hAnsi="宋体"/>
                <w:sz w:val="24"/>
              </w:rPr>
            </w:pPr>
            <w:r>
              <w:rPr>
                <w:rStyle w:val="41"/>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Style w:val="41"/>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41"/>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tbl>
    <w:p>
      <w:pPr>
        <w:pStyle w:val="9"/>
        <w:jc w:val="both"/>
        <w:rPr>
          <w:rFonts w:ascii="Arial" w:hAnsi="Arial"/>
        </w:rPr>
      </w:pPr>
      <w:r>
        <w:rPr>
          <w:rFonts w:hint="eastAsia"/>
        </w:rPr>
        <w:t>5</w:t>
      </w:r>
      <w:r>
        <w:t xml:space="preserve"> </w:t>
      </w:r>
      <w:r>
        <w:rPr>
          <w:rFonts w:hint="eastAsia" w:ascii="黑体" w:hAnsi="黑体"/>
        </w:rPr>
        <w:t>确定成交供应商的方法</w:t>
      </w:r>
    </w:p>
    <w:p>
      <w:pPr>
        <w:autoSpaceDE w:val="0"/>
        <w:spacing w:line="400" w:lineRule="exact"/>
        <w:ind w:firstLine="482" w:firstLineChars="200"/>
        <w:jc w:val="both"/>
        <w:rPr>
          <w:rFonts w:ascii="宋体" w:hAnsi="宋体"/>
          <w:sz w:val="24"/>
        </w:rPr>
      </w:pPr>
      <w:r>
        <w:rPr>
          <w:rFonts w:hint="eastAsia" w:ascii="宋体" w:hAnsi="宋体"/>
          <w:b/>
          <w:bCs/>
          <w:sz w:val="24"/>
        </w:rPr>
        <w:t>5.1</w:t>
      </w:r>
      <w:r>
        <w:rPr>
          <w:rStyle w:val="41"/>
          <w:rFonts w:hint="eastAsia"/>
        </w:rPr>
        <w:t>综合评分法</w:t>
      </w:r>
    </w:p>
    <w:p>
      <w:pPr>
        <w:autoSpaceDE w:val="0"/>
        <w:spacing w:line="400" w:lineRule="exact"/>
        <w:ind w:firstLine="482" w:firstLineChars="200"/>
        <w:jc w:val="both"/>
        <w:rPr>
          <w:rFonts w:ascii="宋体" w:hAnsi="宋体"/>
          <w:sz w:val="24"/>
        </w:rPr>
      </w:pPr>
      <w:r>
        <w:rPr>
          <w:rFonts w:hint="eastAsia" w:ascii="宋体" w:hAnsi="宋体"/>
          <w:b/>
          <w:bCs/>
          <w:sz w:val="24"/>
        </w:rPr>
        <w:t>5.2</w:t>
      </w:r>
      <w:r>
        <w:rPr>
          <w:rFonts w:hint="eastAsia" w:ascii="宋体" w:hAnsi="宋体"/>
          <w:sz w:val="24"/>
        </w:rPr>
        <w:t xml:space="preserve"> 采购人将确定排名第一的成交候选供应商为成交供应商。若排名第一的成交候选供应商未通过履约能力和报价核查，采购人应按推荐的名单排序依次确定其他成交候选供应商为成交供应商。 </w:t>
      </w:r>
    </w:p>
    <w:p>
      <w:pPr>
        <w:pStyle w:val="9"/>
        <w:keepNext w:val="0"/>
        <w:keepLines w:val="0"/>
        <w:widowControl w:val="0"/>
        <w:adjustRightInd w:val="0"/>
        <w:snapToGrid w:val="0"/>
        <w:spacing w:after="0" w:line="312" w:lineRule="auto"/>
        <w:ind w:firstLine="0" w:firstLineChars="0"/>
        <w:jc w:val="both"/>
        <w:rPr>
          <w:color w:val="000000"/>
        </w:rPr>
      </w:pPr>
      <w:r>
        <w:rPr>
          <w:rFonts w:hint="eastAsia"/>
        </w:rPr>
        <w:t>6</w:t>
      </w:r>
      <w:r>
        <w:rPr>
          <w:rFonts w:hint="eastAsia"/>
          <w:color w:val="000000"/>
        </w:rPr>
        <w:t>．最高投标限价</w:t>
      </w:r>
    </w:p>
    <w:p>
      <w:pPr>
        <w:autoSpaceDE w:val="0"/>
        <w:spacing w:line="400" w:lineRule="exact"/>
        <w:ind w:firstLine="480" w:firstLineChars="200"/>
        <w:jc w:val="both"/>
        <w:rPr>
          <w:rFonts w:ascii="宋体" w:hAnsi="宋体"/>
          <w:sz w:val="24"/>
        </w:rPr>
      </w:pPr>
      <w:bookmarkStart w:id="2" w:name="_Toc40274970"/>
      <w:bookmarkStart w:id="3" w:name="_Toc38287094"/>
      <w:r>
        <w:rPr>
          <w:rFonts w:hint="eastAsia" w:ascii="宋体" w:hAnsi="宋体"/>
          <w:sz w:val="24"/>
        </w:rPr>
        <w:t xml:space="preserve">6.1询价人为本次招标编制了最高投标限价，最高限价： </w:t>
      </w:r>
      <w:r>
        <w:rPr>
          <w:rFonts w:hint="eastAsia" w:ascii="宋体" w:hAnsi="宋体"/>
          <w:sz w:val="24"/>
          <w:lang w:val="en-US" w:eastAsia="zh-CN"/>
        </w:rPr>
        <w:t>壹拾捌</w:t>
      </w:r>
      <w:r>
        <w:rPr>
          <w:rFonts w:hint="eastAsia" w:ascii="宋体" w:hAnsi="宋体"/>
          <w:sz w:val="24"/>
        </w:rPr>
        <w:t xml:space="preserve">万元整 （小写：￥ </w:t>
      </w:r>
      <w:r>
        <w:rPr>
          <w:rFonts w:hint="eastAsia" w:ascii="宋体" w:hAnsi="宋体"/>
          <w:sz w:val="24"/>
          <w:lang w:val="en-US" w:eastAsia="zh-CN"/>
        </w:rPr>
        <w:t>18</w:t>
      </w:r>
      <w:r>
        <w:rPr>
          <w:rFonts w:hint="eastAsia" w:ascii="宋体" w:hAnsi="宋体"/>
          <w:sz w:val="24"/>
        </w:rPr>
        <w:t>0000元）。</w:t>
      </w:r>
    </w:p>
    <w:p>
      <w:pPr>
        <w:autoSpaceDE w:val="0"/>
        <w:spacing w:line="400" w:lineRule="exact"/>
        <w:ind w:firstLine="480" w:firstLineChars="200"/>
        <w:jc w:val="both"/>
        <w:rPr>
          <w:rFonts w:ascii="宋体" w:hAnsi="宋体"/>
          <w:sz w:val="24"/>
        </w:rPr>
      </w:pPr>
      <w:r>
        <w:rPr>
          <w:rFonts w:hint="eastAsia" w:ascii="宋体" w:hAnsi="宋体"/>
          <w:color w:val="000000"/>
          <w:sz w:val="24"/>
        </w:rPr>
        <w:t>6.2报价人投标报价应不高于最高投标限价，否则其投标将被否决。</w:t>
      </w:r>
      <w:bookmarkEnd w:id="2"/>
      <w:bookmarkEnd w:id="3"/>
    </w:p>
    <w:p>
      <w:pPr>
        <w:pStyle w:val="9"/>
        <w:jc w:val="both"/>
        <w:rPr>
          <w:rFonts w:ascii="Arial" w:hAnsi="Arial"/>
        </w:rPr>
      </w:pPr>
      <w:r>
        <w:rPr>
          <w:rFonts w:hint="eastAsia"/>
        </w:rPr>
        <w:t>7.</w:t>
      </w:r>
      <w:r>
        <w:rPr>
          <w:rFonts w:hint="eastAsia" w:ascii="黑体" w:hAnsi="黑体"/>
        </w:rPr>
        <w:t>采购文件获取</w:t>
      </w:r>
    </w:p>
    <w:p>
      <w:pPr>
        <w:autoSpaceDE w:val="0"/>
        <w:spacing w:line="400" w:lineRule="exact"/>
        <w:ind w:firstLine="482" w:firstLineChars="200"/>
        <w:jc w:val="both"/>
        <w:rPr>
          <w:rFonts w:hint="eastAsia" w:ascii="宋体" w:hAnsi="宋体" w:eastAsia="宋体" w:cs="Times New Roman"/>
          <w:b w:val="0"/>
          <w:bCs w:val="0"/>
          <w:sz w:val="24"/>
          <w:lang w:eastAsia="zh-CN"/>
        </w:rPr>
      </w:pPr>
      <w:r>
        <w:rPr>
          <w:rFonts w:hint="eastAsia" w:ascii="宋体" w:hAnsi="宋体" w:eastAsia="宋体" w:cs="Times New Roman"/>
          <w:b/>
          <w:bCs/>
          <w:sz w:val="24"/>
        </w:rPr>
        <w:t xml:space="preserve">7.1 </w:t>
      </w:r>
      <w:r>
        <w:rPr>
          <w:rFonts w:hint="eastAsia" w:ascii="宋体" w:hAnsi="宋体" w:eastAsia="宋体" w:cs="Times New Roman"/>
          <w:b w:val="0"/>
          <w:bCs w:val="0"/>
          <w:sz w:val="24"/>
        </w:rPr>
        <w:t>供应商应当于</w:t>
      </w:r>
      <w:r>
        <w:rPr>
          <w:rFonts w:hint="eastAsia" w:ascii="宋体" w:hAnsi="宋体" w:eastAsia="宋体" w:cs="Times New Roman"/>
          <w:b w:val="0"/>
          <w:bCs w:val="0"/>
          <w:sz w:val="24"/>
          <w:u w:val="single"/>
          <w:lang w:val="en-US" w:eastAsia="zh-CN"/>
        </w:rPr>
        <w:t>2021</w:t>
      </w:r>
      <w:r>
        <w:rPr>
          <w:rFonts w:hint="eastAsia" w:ascii="宋体" w:hAnsi="宋体" w:eastAsia="宋体" w:cs="Times New Roman"/>
          <w:b w:val="0"/>
          <w:bCs w:val="0"/>
          <w:sz w:val="24"/>
        </w:rPr>
        <w:t>年</w:t>
      </w:r>
      <w:r>
        <w:rPr>
          <w:rFonts w:hint="eastAsia" w:ascii="宋体" w:hAnsi="宋体" w:eastAsia="宋体" w:cs="Times New Roman"/>
          <w:b w:val="0"/>
          <w:bCs w:val="0"/>
          <w:sz w:val="24"/>
          <w:u w:val="single"/>
          <w:lang w:val="en-US" w:eastAsia="zh-CN"/>
        </w:rPr>
        <w:t>11</w:t>
      </w:r>
      <w:r>
        <w:rPr>
          <w:rFonts w:hint="eastAsia" w:ascii="宋体" w:hAnsi="宋体" w:eastAsia="宋体" w:cs="Times New Roman"/>
          <w:b w:val="0"/>
          <w:bCs w:val="0"/>
          <w:sz w:val="24"/>
        </w:rPr>
        <w:t>月</w:t>
      </w:r>
      <w:r>
        <w:rPr>
          <w:rFonts w:hint="eastAsia" w:ascii="宋体" w:hAnsi="宋体" w:eastAsia="宋体" w:cs="Times New Roman"/>
          <w:b w:val="0"/>
          <w:bCs w:val="0"/>
          <w:sz w:val="24"/>
          <w:u w:val="single"/>
          <w:lang w:val="en-US" w:eastAsia="zh-CN"/>
        </w:rPr>
        <w:t>1</w:t>
      </w:r>
      <w:r>
        <w:rPr>
          <w:rFonts w:hint="eastAsia" w:ascii="宋体" w:hAnsi="宋体" w:cs="Times New Roman"/>
          <w:b w:val="0"/>
          <w:bCs w:val="0"/>
          <w:sz w:val="24"/>
          <w:u w:val="single"/>
          <w:lang w:val="en-US" w:eastAsia="zh-CN"/>
        </w:rPr>
        <w:t>7</w:t>
      </w:r>
      <w:r>
        <w:rPr>
          <w:rFonts w:hint="eastAsia" w:ascii="宋体" w:hAnsi="宋体" w:eastAsia="宋体" w:cs="Times New Roman"/>
          <w:b w:val="0"/>
          <w:bCs w:val="0"/>
          <w:sz w:val="24"/>
        </w:rPr>
        <w:t>日</w:t>
      </w:r>
      <w:r>
        <w:rPr>
          <w:rFonts w:hint="eastAsia" w:ascii="宋体" w:hAnsi="宋体" w:eastAsia="宋体" w:cs="Times New Roman"/>
          <w:b w:val="0"/>
          <w:bCs w:val="0"/>
          <w:sz w:val="24"/>
          <w:u w:val="single"/>
          <w:lang w:val="en-US" w:eastAsia="zh-CN"/>
        </w:rPr>
        <w:t>8</w:t>
      </w:r>
      <w:r>
        <w:rPr>
          <w:rFonts w:hint="eastAsia" w:ascii="宋体" w:hAnsi="宋体" w:eastAsia="宋体" w:cs="Times New Roman"/>
          <w:b w:val="0"/>
          <w:bCs w:val="0"/>
          <w:sz w:val="24"/>
        </w:rPr>
        <w:t>时</w:t>
      </w:r>
      <w:r>
        <w:rPr>
          <w:rFonts w:hint="eastAsia" w:ascii="宋体" w:hAnsi="宋体" w:eastAsia="宋体" w:cs="Times New Roman"/>
          <w:b w:val="0"/>
          <w:bCs w:val="0"/>
          <w:sz w:val="24"/>
          <w:u w:val="single"/>
          <w:lang w:val="en-US" w:eastAsia="zh-CN"/>
        </w:rPr>
        <w:t>30</w:t>
      </w:r>
      <w:r>
        <w:rPr>
          <w:rFonts w:hint="eastAsia" w:ascii="宋体" w:hAnsi="宋体" w:eastAsia="宋体" w:cs="Times New Roman"/>
          <w:b w:val="0"/>
          <w:bCs w:val="0"/>
          <w:sz w:val="24"/>
        </w:rPr>
        <w:t>分至</w:t>
      </w:r>
      <w:r>
        <w:rPr>
          <w:rFonts w:hint="eastAsia" w:ascii="宋体" w:hAnsi="宋体" w:eastAsia="宋体" w:cs="Times New Roman"/>
          <w:b w:val="0"/>
          <w:bCs w:val="0"/>
          <w:sz w:val="24"/>
          <w:u w:val="single"/>
          <w:lang w:val="en-US" w:eastAsia="zh-CN"/>
        </w:rPr>
        <w:t>2021</w:t>
      </w:r>
      <w:r>
        <w:rPr>
          <w:rFonts w:hint="eastAsia" w:ascii="宋体" w:hAnsi="宋体" w:eastAsia="宋体" w:cs="Times New Roman"/>
          <w:b w:val="0"/>
          <w:bCs w:val="0"/>
          <w:sz w:val="24"/>
        </w:rPr>
        <w:t>年</w:t>
      </w:r>
      <w:r>
        <w:rPr>
          <w:rFonts w:hint="eastAsia" w:ascii="宋体" w:hAnsi="宋体" w:eastAsia="宋体" w:cs="Times New Roman"/>
          <w:b w:val="0"/>
          <w:bCs w:val="0"/>
          <w:sz w:val="24"/>
          <w:u w:val="single"/>
          <w:lang w:val="en-US" w:eastAsia="zh-CN"/>
        </w:rPr>
        <w:t>11</w:t>
      </w:r>
      <w:r>
        <w:rPr>
          <w:rFonts w:hint="eastAsia" w:ascii="宋体" w:hAnsi="宋体" w:eastAsia="宋体" w:cs="Times New Roman"/>
          <w:b w:val="0"/>
          <w:bCs w:val="0"/>
          <w:sz w:val="24"/>
        </w:rPr>
        <w:t>月</w:t>
      </w:r>
      <w:r>
        <w:rPr>
          <w:rFonts w:hint="eastAsia" w:ascii="宋体" w:hAnsi="宋体" w:eastAsia="宋体" w:cs="Times New Roman"/>
          <w:b w:val="0"/>
          <w:bCs w:val="0"/>
          <w:sz w:val="24"/>
          <w:u w:val="single"/>
          <w:lang w:val="en-US" w:eastAsia="zh-CN"/>
        </w:rPr>
        <w:t>2</w:t>
      </w:r>
      <w:r>
        <w:rPr>
          <w:rFonts w:hint="eastAsia" w:ascii="宋体" w:hAnsi="宋体" w:cs="Times New Roman"/>
          <w:b w:val="0"/>
          <w:bCs w:val="0"/>
          <w:sz w:val="24"/>
          <w:u w:val="single"/>
          <w:lang w:val="en-US" w:eastAsia="zh-CN"/>
        </w:rPr>
        <w:t>3</w:t>
      </w:r>
      <w:r>
        <w:rPr>
          <w:rFonts w:hint="eastAsia" w:ascii="宋体" w:hAnsi="宋体" w:eastAsia="宋体" w:cs="Times New Roman"/>
          <w:b w:val="0"/>
          <w:bCs w:val="0"/>
          <w:sz w:val="24"/>
        </w:rPr>
        <w:t>日</w:t>
      </w:r>
      <w:r>
        <w:rPr>
          <w:rFonts w:hint="eastAsia" w:ascii="宋体" w:hAnsi="宋体" w:eastAsia="宋体" w:cs="Times New Roman"/>
          <w:b w:val="0"/>
          <w:bCs w:val="0"/>
          <w:sz w:val="24"/>
          <w:u w:val="single"/>
          <w:lang w:val="en-US" w:eastAsia="zh-CN"/>
        </w:rPr>
        <w:t>17</w:t>
      </w:r>
      <w:r>
        <w:rPr>
          <w:rFonts w:hint="eastAsia" w:ascii="宋体" w:hAnsi="宋体" w:eastAsia="宋体" w:cs="Times New Roman"/>
          <w:b w:val="0"/>
          <w:bCs w:val="0"/>
          <w:sz w:val="24"/>
        </w:rPr>
        <w:t>时</w:t>
      </w:r>
      <w:r>
        <w:rPr>
          <w:rFonts w:hint="eastAsia" w:ascii="宋体" w:hAnsi="宋体" w:eastAsia="宋体" w:cs="Times New Roman"/>
          <w:b w:val="0"/>
          <w:bCs w:val="0"/>
          <w:sz w:val="24"/>
          <w:u w:val="single"/>
          <w:lang w:val="en-US" w:eastAsia="zh-CN"/>
        </w:rPr>
        <w:t>30</w:t>
      </w:r>
      <w:r>
        <w:rPr>
          <w:rFonts w:hint="eastAsia" w:ascii="宋体" w:hAnsi="宋体" w:eastAsia="宋体" w:cs="Times New Roman"/>
          <w:b w:val="0"/>
          <w:bCs w:val="0"/>
          <w:sz w:val="24"/>
        </w:rPr>
        <w:t>分，</w:t>
      </w:r>
      <w:r>
        <w:rPr>
          <w:rFonts w:hint="eastAsia" w:ascii="宋体" w:hAnsi="宋体" w:cs="宋体"/>
          <w:sz w:val="24"/>
          <w:u w:val="single"/>
        </w:rPr>
        <w:t>湖南省湘水集团有限公司网站（http：//www.hnsxsjt.com）、</w:t>
      </w:r>
      <w:r>
        <w:rPr>
          <w:rFonts w:hint="eastAsia" w:ascii="宋体" w:hAnsi="宋体" w:cs="宋体"/>
          <w:sz w:val="24"/>
          <w:highlight w:val="none"/>
          <w:u w:val="single"/>
          <w:lang w:eastAsia="zh-CN"/>
        </w:rPr>
        <w:t>湖南省港务集团有限公司网站</w:t>
      </w:r>
      <w:r>
        <w:rPr>
          <w:rFonts w:hint="eastAsia" w:ascii="宋体" w:hAnsi="宋体" w:cs="宋体"/>
          <w:sz w:val="24"/>
          <w:u w:val="single"/>
          <w:lang w:eastAsia="zh-CN"/>
        </w:rPr>
        <w:t>（</w:t>
      </w:r>
      <w:r>
        <w:rPr>
          <w:rFonts w:hint="eastAsia" w:ascii="宋体" w:hAnsi="宋体" w:cs="宋体"/>
          <w:sz w:val="24"/>
          <w:u w:val="single"/>
        </w:rPr>
        <w:t>http://www.hnsgwjt.com</w:t>
      </w:r>
      <w:r>
        <w:rPr>
          <w:rFonts w:hint="eastAsia" w:ascii="宋体" w:hAnsi="宋体" w:cs="宋体"/>
          <w:sz w:val="24"/>
          <w:u w:val="single"/>
          <w:lang w:eastAsia="zh-CN"/>
        </w:rPr>
        <w:t>）</w:t>
      </w:r>
      <w:r>
        <w:rPr>
          <w:rFonts w:hint="eastAsia" w:ascii="宋体" w:hAnsi="宋体" w:eastAsia="宋体" w:cs="Times New Roman"/>
          <w:b w:val="0"/>
          <w:bCs w:val="0"/>
          <w:sz w:val="24"/>
          <w:u w:val="single"/>
          <w:lang w:val="en-US" w:eastAsia="zh-CN"/>
        </w:rPr>
        <w:t>网上直接下载</w:t>
      </w:r>
      <w:r>
        <w:rPr>
          <w:rFonts w:hint="eastAsia" w:ascii="宋体" w:hAnsi="宋体" w:eastAsia="宋体" w:cs="Times New Roman"/>
          <w:b w:val="0"/>
          <w:bCs w:val="0"/>
          <w:sz w:val="24"/>
        </w:rPr>
        <w:t>获取采购文件</w:t>
      </w:r>
      <w:r>
        <w:rPr>
          <w:rFonts w:hint="eastAsia" w:ascii="宋体" w:hAnsi="宋体" w:eastAsia="宋体" w:cs="Times New Roman"/>
          <w:b w:val="0"/>
          <w:bCs w:val="0"/>
          <w:sz w:val="24"/>
          <w:lang w:eastAsia="zh-CN"/>
        </w:rPr>
        <w:t>，</w:t>
      </w:r>
      <w:r>
        <w:rPr>
          <w:rFonts w:hint="eastAsia" w:ascii="宋体" w:hAnsi="宋体" w:eastAsia="宋体" w:cs="Times New Roman"/>
          <w:b w:val="0"/>
          <w:bCs w:val="0"/>
          <w:sz w:val="24"/>
          <w:lang w:val="en-US" w:eastAsia="zh-CN"/>
        </w:rPr>
        <w:t>报价文件最迟应于</w:t>
      </w:r>
      <w:r>
        <w:rPr>
          <w:rFonts w:hint="eastAsia" w:ascii="宋体" w:hAnsi="宋体" w:eastAsia="宋体" w:cs="Times New Roman"/>
          <w:b w:val="0"/>
          <w:bCs w:val="0"/>
          <w:sz w:val="24"/>
          <w:u w:val="single"/>
          <w:lang w:val="en-US" w:eastAsia="zh-CN"/>
        </w:rPr>
        <w:t>2021</w:t>
      </w:r>
      <w:r>
        <w:rPr>
          <w:rFonts w:hint="eastAsia" w:ascii="宋体" w:hAnsi="宋体" w:eastAsia="宋体" w:cs="Times New Roman"/>
          <w:b w:val="0"/>
          <w:bCs w:val="0"/>
          <w:sz w:val="24"/>
        </w:rPr>
        <w:t>年</w:t>
      </w:r>
      <w:r>
        <w:rPr>
          <w:rFonts w:hint="eastAsia" w:ascii="宋体" w:hAnsi="宋体" w:eastAsia="宋体" w:cs="Times New Roman"/>
          <w:b w:val="0"/>
          <w:bCs w:val="0"/>
          <w:sz w:val="24"/>
          <w:u w:val="single"/>
          <w:lang w:val="en-US" w:eastAsia="zh-CN"/>
        </w:rPr>
        <w:t>11</w:t>
      </w:r>
      <w:r>
        <w:rPr>
          <w:rFonts w:hint="eastAsia" w:ascii="宋体" w:hAnsi="宋体" w:eastAsia="宋体" w:cs="Times New Roman"/>
          <w:b w:val="0"/>
          <w:bCs w:val="0"/>
          <w:sz w:val="24"/>
        </w:rPr>
        <w:t>月</w:t>
      </w:r>
      <w:r>
        <w:rPr>
          <w:rFonts w:hint="eastAsia" w:ascii="宋体" w:hAnsi="宋体" w:eastAsia="宋体" w:cs="Times New Roman"/>
          <w:b w:val="0"/>
          <w:bCs w:val="0"/>
          <w:sz w:val="24"/>
          <w:u w:val="single"/>
          <w:lang w:val="en-US" w:eastAsia="zh-CN"/>
        </w:rPr>
        <w:t>2</w:t>
      </w:r>
      <w:r>
        <w:rPr>
          <w:rFonts w:hint="eastAsia" w:ascii="宋体" w:hAnsi="宋体" w:cs="Times New Roman"/>
          <w:b w:val="0"/>
          <w:bCs w:val="0"/>
          <w:sz w:val="24"/>
          <w:u w:val="single"/>
          <w:lang w:val="en-US" w:eastAsia="zh-CN"/>
        </w:rPr>
        <w:t>3</w:t>
      </w:r>
      <w:r>
        <w:rPr>
          <w:rFonts w:hint="eastAsia" w:ascii="宋体" w:hAnsi="宋体" w:eastAsia="宋体" w:cs="Times New Roman"/>
          <w:b w:val="0"/>
          <w:bCs w:val="0"/>
          <w:sz w:val="24"/>
        </w:rPr>
        <w:t>日</w:t>
      </w:r>
      <w:r>
        <w:rPr>
          <w:rFonts w:hint="eastAsia" w:ascii="宋体" w:hAnsi="宋体" w:eastAsia="宋体" w:cs="Times New Roman"/>
          <w:b w:val="0"/>
          <w:bCs w:val="0"/>
          <w:sz w:val="24"/>
          <w:u w:val="single"/>
          <w:lang w:val="en-US" w:eastAsia="zh-CN"/>
        </w:rPr>
        <w:t>17</w:t>
      </w:r>
      <w:r>
        <w:rPr>
          <w:rFonts w:hint="eastAsia" w:ascii="宋体" w:hAnsi="宋体" w:eastAsia="宋体" w:cs="Times New Roman"/>
          <w:b w:val="0"/>
          <w:bCs w:val="0"/>
          <w:sz w:val="24"/>
        </w:rPr>
        <w:t>时</w:t>
      </w:r>
      <w:r>
        <w:rPr>
          <w:rFonts w:hint="eastAsia" w:ascii="宋体" w:hAnsi="宋体" w:eastAsia="宋体" w:cs="Times New Roman"/>
          <w:b w:val="0"/>
          <w:bCs w:val="0"/>
          <w:sz w:val="24"/>
          <w:u w:val="single"/>
          <w:lang w:val="en-US" w:eastAsia="zh-CN"/>
        </w:rPr>
        <w:t>30</w:t>
      </w:r>
      <w:r>
        <w:rPr>
          <w:rFonts w:hint="eastAsia" w:ascii="宋体" w:hAnsi="宋体" w:eastAsia="宋体" w:cs="Times New Roman"/>
          <w:b w:val="0"/>
          <w:bCs w:val="0"/>
          <w:sz w:val="24"/>
        </w:rPr>
        <w:t>分</w:t>
      </w:r>
      <w:r>
        <w:rPr>
          <w:rFonts w:hint="eastAsia" w:ascii="宋体" w:hAnsi="宋体" w:eastAsia="宋体" w:cs="Times New Roman"/>
          <w:b w:val="0"/>
          <w:bCs w:val="0"/>
          <w:sz w:val="24"/>
          <w:lang w:val="en-US" w:eastAsia="zh-CN"/>
        </w:rPr>
        <w:t>送达</w:t>
      </w:r>
      <w:r>
        <w:rPr>
          <w:rFonts w:hint="eastAsia" w:ascii="宋体" w:hAnsi="宋体" w:eastAsia="宋体" w:cs="Times New Roman"/>
          <w:b w:val="0"/>
          <w:bCs w:val="0"/>
          <w:sz w:val="24"/>
          <w:u w:val="single"/>
          <w:lang w:val="en-US" w:eastAsia="zh-CN"/>
        </w:rPr>
        <w:t>湖南省港务集团有限公司工程管理部（岳阳市城陵矶新港信息大楼307室）</w:t>
      </w:r>
      <w:r>
        <w:rPr>
          <w:rFonts w:hint="eastAsia" w:ascii="宋体" w:hAnsi="宋体" w:eastAsia="宋体" w:cs="Times New Roman"/>
          <w:b w:val="0"/>
          <w:bCs w:val="0"/>
          <w:sz w:val="24"/>
          <w:lang w:val="en-US" w:eastAsia="zh-CN"/>
        </w:rPr>
        <w:t>，逾期送达的或者未送达指定地点的文件，不予受理。</w:t>
      </w:r>
    </w:p>
    <w:p>
      <w:pPr>
        <w:autoSpaceDE w:val="0"/>
        <w:spacing w:line="400" w:lineRule="exact"/>
        <w:ind w:firstLine="482" w:firstLineChars="200"/>
        <w:jc w:val="both"/>
        <w:rPr>
          <w:rFonts w:ascii="宋体" w:hAnsi="宋体"/>
          <w:sz w:val="24"/>
        </w:rPr>
      </w:pPr>
      <w:r>
        <w:rPr>
          <w:rFonts w:hint="eastAsia" w:ascii="宋体" w:hAnsi="宋体"/>
          <w:b/>
          <w:bCs/>
          <w:sz w:val="24"/>
        </w:rPr>
        <w:t xml:space="preserve">7.2 </w:t>
      </w:r>
      <w:r>
        <w:rPr>
          <w:rFonts w:hint="eastAsia" w:ascii="宋体" w:hAnsi="宋体"/>
          <w:sz w:val="24"/>
        </w:rPr>
        <w:t>供应商若对本项目采购需求、资格要求等有疑问的，应当于</w:t>
      </w:r>
      <w:r>
        <w:rPr>
          <w:rFonts w:hint="eastAsia" w:ascii="宋体" w:hAnsi="宋体"/>
          <w:sz w:val="24"/>
          <w:u w:val="single"/>
          <w:lang w:val="en-US" w:eastAsia="zh-CN"/>
        </w:rPr>
        <w:t>2021</w:t>
      </w:r>
      <w:r>
        <w:rPr>
          <w:rFonts w:hint="eastAsia" w:ascii="宋体" w:hAnsi="宋体"/>
          <w:sz w:val="24"/>
        </w:rPr>
        <w:t>年</w:t>
      </w:r>
      <w:r>
        <w:rPr>
          <w:rFonts w:hint="eastAsia" w:ascii="宋体" w:hAnsi="宋体"/>
          <w:sz w:val="24"/>
          <w:u w:val="single"/>
          <w:lang w:val="en-US" w:eastAsia="zh-CN"/>
        </w:rPr>
        <w:t>11</w:t>
      </w:r>
      <w:r>
        <w:rPr>
          <w:rFonts w:hint="eastAsia" w:ascii="宋体" w:hAnsi="宋体"/>
          <w:sz w:val="24"/>
        </w:rPr>
        <w:t>月</w:t>
      </w:r>
      <w:r>
        <w:rPr>
          <w:rFonts w:hint="eastAsia" w:ascii="宋体" w:hAnsi="宋体"/>
          <w:sz w:val="24"/>
          <w:u w:val="single"/>
          <w:lang w:val="en-US" w:eastAsia="zh-CN"/>
        </w:rPr>
        <w:t>18</w:t>
      </w:r>
      <w:r>
        <w:rPr>
          <w:rFonts w:hint="eastAsia" w:ascii="宋体" w:hAnsi="宋体"/>
          <w:sz w:val="24"/>
        </w:rPr>
        <w:t>日</w:t>
      </w:r>
      <w:r>
        <w:rPr>
          <w:rFonts w:hint="eastAsia" w:ascii="宋体" w:hAnsi="宋体"/>
          <w:sz w:val="24"/>
          <w:u w:val="single"/>
          <w:lang w:val="en-US" w:eastAsia="zh-CN"/>
        </w:rPr>
        <w:t>17</w:t>
      </w:r>
      <w:r>
        <w:rPr>
          <w:rFonts w:hint="eastAsia" w:ascii="宋体" w:hAnsi="宋体"/>
          <w:sz w:val="24"/>
        </w:rPr>
        <w:t>时</w:t>
      </w:r>
      <w:r>
        <w:rPr>
          <w:rFonts w:hint="eastAsia" w:ascii="宋体" w:hAnsi="宋体"/>
          <w:sz w:val="24"/>
          <w:u w:val="single"/>
          <w:lang w:val="en-US" w:eastAsia="zh-CN"/>
        </w:rPr>
        <w:t>30</w:t>
      </w:r>
      <w:r>
        <w:rPr>
          <w:rFonts w:hint="eastAsia" w:ascii="宋体" w:hAnsi="宋体"/>
          <w:sz w:val="24"/>
        </w:rPr>
        <w:t>分前向采购人提出澄清要求。</w:t>
      </w:r>
    </w:p>
    <w:p>
      <w:pPr>
        <w:pStyle w:val="9"/>
        <w:jc w:val="both"/>
      </w:pPr>
      <w:r>
        <w:rPr>
          <w:rFonts w:hint="eastAsia"/>
        </w:rPr>
        <w:t>8.发布</w:t>
      </w:r>
      <w:r>
        <w:rPr>
          <w:rFonts w:hint="eastAsia" w:ascii="黑体" w:hAnsi="黑体"/>
        </w:rPr>
        <w:t>公告的</w:t>
      </w:r>
      <w:r>
        <w:rPr>
          <w:rFonts w:hint="eastAsia"/>
        </w:rPr>
        <w:t>媒介</w:t>
      </w:r>
    </w:p>
    <w:p>
      <w:pPr>
        <w:widowControl w:val="0"/>
        <w:spacing w:line="312" w:lineRule="auto"/>
        <w:ind w:firstLine="480" w:firstLineChars="200"/>
        <w:jc w:val="both"/>
        <w:rPr>
          <w:rFonts w:ascii="宋体" w:hAnsi="宋体" w:cs="宋体"/>
          <w:sz w:val="24"/>
          <w:highlight w:val="none"/>
        </w:rPr>
      </w:pPr>
      <w:r>
        <w:rPr>
          <w:rFonts w:hint="eastAsia" w:ascii="宋体" w:hAnsi="宋体"/>
          <w:bCs/>
          <w:sz w:val="24"/>
        </w:rPr>
        <w:t>本次采购公告</w:t>
      </w:r>
      <w:r>
        <w:rPr>
          <w:rFonts w:hint="eastAsia" w:ascii="宋体" w:hAnsi="宋体"/>
          <w:sz w:val="24"/>
          <w:highlight w:val="none"/>
        </w:rPr>
        <w:t>发布的媒介:</w:t>
      </w:r>
      <w:r>
        <w:rPr>
          <w:rFonts w:hint="eastAsia" w:ascii="宋体" w:hAnsi="宋体" w:cs="宋体"/>
          <w:sz w:val="24"/>
          <w:highlight w:val="none"/>
        </w:rPr>
        <w:t xml:space="preserve"> 中国招标投标公共服务平台（http：//www.cebpubservice.com）、湖南省湘水集团有限公司网站（http：//www.hnsxsjt.com）、</w:t>
      </w:r>
      <w:r>
        <w:rPr>
          <w:rFonts w:hint="eastAsia" w:ascii="宋体" w:hAnsi="宋体" w:cs="宋体"/>
          <w:sz w:val="24"/>
          <w:highlight w:val="none"/>
          <w:u w:val="single"/>
        </w:rPr>
        <w:t xml:space="preserve">                                   湖南省港务集团有限公司</w:t>
      </w:r>
      <w:r>
        <w:rPr>
          <w:rFonts w:hint="eastAsia" w:ascii="宋体" w:hAnsi="宋体" w:cs="宋体"/>
          <w:sz w:val="24"/>
          <w:highlight w:val="none"/>
        </w:rPr>
        <w:t>（http://www.hnsgwjt.com）上发布。</w:t>
      </w:r>
    </w:p>
    <w:p>
      <w:pPr>
        <w:pStyle w:val="9"/>
        <w:jc w:val="both"/>
        <w:rPr>
          <w:highlight w:val="none"/>
        </w:rPr>
      </w:pPr>
      <w:bookmarkStart w:id="4" w:name="_Toc512257471"/>
      <w:bookmarkStart w:id="5" w:name="_Toc77254104"/>
      <w:bookmarkStart w:id="6" w:name="_Toc76635692"/>
      <w:bookmarkStart w:id="7" w:name="_Toc79596547"/>
      <w:r>
        <w:rPr>
          <w:rFonts w:hint="eastAsia"/>
          <w:highlight w:val="none"/>
        </w:rPr>
        <w:t>9.</w:t>
      </w:r>
      <w:r>
        <w:rPr>
          <w:highlight w:val="none"/>
        </w:rPr>
        <w:t>监督</w:t>
      </w:r>
      <w:bookmarkEnd w:id="4"/>
      <w:bookmarkEnd w:id="5"/>
      <w:bookmarkEnd w:id="6"/>
      <w:r>
        <w:rPr>
          <w:rFonts w:hint="eastAsia"/>
          <w:highlight w:val="none"/>
        </w:rPr>
        <w:t>部门</w:t>
      </w:r>
      <w:bookmarkEnd w:id="7"/>
    </w:p>
    <w:p>
      <w:pPr>
        <w:widowControl w:val="0"/>
        <w:spacing w:line="312" w:lineRule="auto"/>
        <w:ind w:firstLine="480" w:firstLineChars="200"/>
        <w:jc w:val="both"/>
        <w:rPr>
          <w:rFonts w:ascii="宋体" w:hAnsi="宋体"/>
          <w:bCs/>
          <w:sz w:val="24"/>
        </w:rPr>
      </w:pPr>
      <w:r>
        <w:rPr>
          <w:rFonts w:hint="eastAsia" w:ascii="宋体" w:hAnsi="宋体"/>
          <w:bCs/>
          <w:sz w:val="24"/>
          <w:highlight w:val="none"/>
        </w:rPr>
        <w:t>本次采购监督部门为  湖南省港务集团纪检监察部 ，电话</w:t>
      </w:r>
      <w:r>
        <w:rPr>
          <w:rFonts w:hint="eastAsia" w:ascii="宋体" w:hAnsi="宋体"/>
          <w:bCs/>
          <w:sz w:val="24"/>
        </w:rPr>
        <w:t xml:space="preserve">： </w:t>
      </w:r>
      <w:r>
        <w:rPr>
          <w:rFonts w:hint="eastAsia" w:ascii="宋体" w:hAnsi="宋体"/>
          <w:bCs/>
          <w:sz w:val="24"/>
          <w:lang w:val="zh-CN"/>
        </w:rPr>
        <w:t>0730-8426255</w:t>
      </w:r>
      <w:r>
        <w:rPr>
          <w:rFonts w:hint="eastAsia" w:ascii="宋体" w:hAnsi="宋体"/>
          <w:bCs/>
          <w:sz w:val="24"/>
        </w:rPr>
        <w:t xml:space="preserve"> 。</w:t>
      </w:r>
    </w:p>
    <w:p>
      <w:pPr>
        <w:pStyle w:val="9"/>
        <w:jc w:val="both"/>
        <w:rPr>
          <w:rFonts w:ascii="Arial" w:hAnsi="Arial"/>
        </w:rPr>
      </w:pPr>
      <w:r>
        <w:rPr>
          <w:rFonts w:hint="eastAsia"/>
        </w:rPr>
        <w:t>10.</w:t>
      </w:r>
      <w:r>
        <w:rPr>
          <w:rFonts w:hint="eastAsia" w:ascii="黑体" w:hAnsi="黑体"/>
        </w:rPr>
        <w:t>联系方式</w:t>
      </w:r>
    </w:p>
    <w:p>
      <w:pPr>
        <w:autoSpaceDE w:val="0"/>
        <w:spacing w:line="400" w:lineRule="exact"/>
        <w:ind w:firstLine="240" w:firstLineChars="100"/>
        <w:rPr>
          <w:rFonts w:ascii="宋体" w:hAnsi="宋体"/>
          <w:sz w:val="24"/>
        </w:rPr>
      </w:pPr>
      <w:r>
        <w:rPr>
          <w:rFonts w:hint="eastAsia" w:ascii="宋体" w:hAnsi="宋体"/>
          <w:sz w:val="24"/>
        </w:rPr>
        <w:t xml:space="preserve">采 购 人: </w:t>
      </w:r>
      <w:r>
        <w:rPr>
          <w:rFonts w:hint="eastAsia" w:ascii="宋体" w:hAnsi="宋体"/>
          <w:sz w:val="24"/>
          <w:u w:val="single"/>
        </w:rPr>
        <w:t xml:space="preserve"> 湖南省港务集团有限公司     </w:t>
      </w:r>
      <w:r>
        <w:rPr>
          <w:rFonts w:hint="eastAsia" w:ascii="宋体" w:hAnsi="宋体"/>
          <w:sz w:val="24"/>
        </w:rPr>
        <w:t xml:space="preserve"> </w:t>
      </w:r>
    </w:p>
    <w:p>
      <w:pPr>
        <w:autoSpaceDE w:val="0"/>
        <w:spacing w:line="400" w:lineRule="exact"/>
        <w:ind w:firstLine="240" w:firstLineChars="100"/>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湖南省岳阳市城陵矶新港有限公司办公楼307室</w:t>
      </w:r>
      <w:r>
        <w:rPr>
          <w:rFonts w:hint="eastAsia" w:ascii="宋体" w:hAnsi="宋体"/>
          <w:sz w:val="24"/>
          <w:u w:val="single"/>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联 系 人: </w:t>
      </w:r>
      <w:r>
        <w:rPr>
          <w:rFonts w:hint="eastAsia" w:ascii="宋体" w:hAnsi="宋体"/>
          <w:sz w:val="24"/>
          <w:u w:val="single"/>
        </w:rPr>
        <w:t xml:space="preserve">  刘女士 </w:t>
      </w:r>
      <w:r>
        <w:rPr>
          <w:rFonts w:hint="eastAsia" w:ascii="宋体" w:hAnsi="宋体"/>
          <w:sz w:val="24"/>
        </w:rPr>
        <w:t xml:space="preserve">    </w:t>
      </w:r>
    </w:p>
    <w:p>
      <w:pPr>
        <w:spacing w:line="440" w:lineRule="exact"/>
        <w:ind w:firstLine="240" w:firstLineChars="100"/>
        <w:rPr>
          <w:rFonts w:eastAsiaTheme="minorEastAsia"/>
          <w:color w:val="000000" w:themeColor="text1"/>
          <w:sz w:val="24"/>
          <w:u w:val="single"/>
          <w14:textFill>
            <w14:solidFill>
              <w14:schemeClr w14:val="tx1"/>
            </w14:solidFill>
          </w14:textFill>
        </w:rPr>
      </w:pPr>
      <w:r>
        <w:rPr>
          <w:rFonts w:hint="eastAsia" w:ascii="宋体" w:hAnsi="宋体"/>
          <w:sz w:val="24"/>
        </w:rPr>
        <w:t xml:space="preserve">电    话: </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0730-8426237</w:t>
      </w:r>
    </w:p>
    <w:p>
      <w:pPr>
        <w:spacing w:line="240" w:lineRule="auto"/>
        <w:jc w:val="both"/>
        <w:rPr>
          <w:rFonts w:ascii="黑体" w:hAnsi="黑体" w:eastAsia="黑体"/>
          <w:sz w:val="32"/>
          <w:szCs w:val="32"/>
        </w:rPr>
      </w:pPr>
      <w:bookmarkStart w:id="8" w:name="_Toc517787494"/>
      <w:bookmarkStart w:id="9" w:name="_Toc234832861"/>
    </w:p>
    <w:p>
      <w:pPr>
        <w:spacing w:line="240" w:lineRule="auto"/>
        <w:jc w:val="center"/>
        <w:rPr>
          <w:rFonts w:hint="eastAsia" w:ascii="黑体" w:hAnsi="黑体" w:eastAsia="黑体"/>
          <w:sz w:val="32"/>
          <w:szCs w:val="32"/>
        </w:rPr>
      </w:pPr>
      <w:bookmarkStart w:id="117" w:name="_GoBack"/>
      <w:bookmarkEnd w:id="117"/>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ascii="黑体" w:hAnsi="黑体" w:eastAsia="黑体"/>
          <w:sz w:val="32"/>
          <w:szCs w:val="32"/>
        </w:rPr>
      </w:pPr>
      <w:r>
        <w:rPr>
          <w:rFonts w:hint="eastAsia" w:ascii="黑体" w:hAnsi="黑体" w:eastAsia="黑体"/>
          <w:sz w:val="32"/>
          <w:szCs w:val="32"/>
        </w:rPr>
        <w:t>第二章  供应商须知</w:t>
      </w:r>
      <w:bookmarkEnd w:id="8"/>
      <w:bookmarkEnd w:id="9"/>
    </w:p>
    <w:p>
      <w:pPr>
        <w:pStyle w:val="6"/>
        <w:spacing w:before="240" w:after="240" w:line="600" w:lineRule="exact"/>
        <w:jc w:val="both"/>
        <w:rPr>
          <w:rFonts w:ascii="仿宋" w:hAnsi="仿宋" w:eastAsia="仿宋" w:cs="仿宋"/>
          <w:sz w:val="30"/>
          <w:szCs w:val="30"/>
        </w:rPr>
      </w:pPr>
      <w:bookmarkStart w:id="10" w:name="_Toc234832862"/>
      <w:bookmarkStart w:id="11" w:name="_Toc517787495"/>
      <w:r>
        <w:rPr>
          <w:rFonts w:hint="eastAsia" w:ascii="仿宋" w:hAnsi="仿宋" w:eastAsia="仿宋" w:cs="仿宋"/>
          <w:sz w:val="30"/>
          <w:szCs w:val="30"/>
        </w:rPr>
        <w:t>供应商须知前附表</w:t>
      </w:r>
      <w:bookmarkEnd w:id="10"/>
      <w:bookmarkEnd w:id="11"/>
    </w:p>
    <w:tbl>
      <w:tblPr>
        <w:tblStyle w:val="38"/>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A3"/>
            </w:r>
            <w:r>
              <w:rPr>
                <w:rFonts w:hint="eastAsia" w:cs="仿宋" w:asciiTheme="minorEastAsia" w:hAnsiTheme="minorEastAsia" w:eastAsiaTheme="minorEastAsia"/>
                <w:sz w:val="24"/>
              </w:rPr>
              <w:t>最低价法（同质比价法和同价比质法）</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综合评分法（性价比法）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不组织</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□组织，踏勘时间：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不得分包的内容：不允许分包</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允许偏差的范围：不允许重大偏差，允许细微偏差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yellow"/>
              </w:rPr>
            </w:pPr>
            <w:r>
              <w:rPr>
                <w:rFonts w:hint="eastAsia" w:cs="仿宋" w:asciiTheme="minorEastAsia" w:hAnsiTheme="minorEastAsia" w:eastAsiaTheme="minorEastAsia"/>
                <w:sz w:val="24"/>
                <w:highlight w:val="yellow"/>
              </w:rPr>
              <w:t>截止时间：</w:t>
            </w:r>
            <w:r>
              <w:rPr>
                <w:rFonts w:hint="eastAsia" w:cs="仿宋" w:asciiTheme="minorEastAsia" w:hAnsiTheme="minorEastAsia" w:eastAsiaTheme="minorEastAsia"/>
                <w:sz w:val="24"/>
                <w:highlight w:val="yellow"/>
                <w:lang w:val="en-US" w:eastAsia="zh-CN"/>
              </w:rPr>
              <w:t>2021年11月18日</w:t>
            </w:r>
            <w:r>
              <w:rPr>
                <w:rFonts w:hint="eastAsia" w:cs="仿宋" w:asciiTheme="minorEastAsia" w:hAnsiTheme="minorEastAsia" w:eastAsiaTheme="minorEastAsia"/>
                <w:sz w:val="24"/>
                <w:highlight w:val="yellow"/>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仿宋" w:asciiTheme="minorEastAsia" w:hAnsiTheme="minorEastAsia" w:eastAsiaTheme="minorEastAsia"/>
                <w:sz w:val="24"/>
                <w:highlight w:val="yellow"/>
                <w:lang w:val="en-US" w:eastAsia="zh-CN"/>
              </w:rPr>
            </w:pPr>
            <w:r>
              <w:rPr>
                <w:rFonts w:hint="eastAsia" w:cs="仿宋" w:asciiTheme="minorEastAsia" w:hAnsiTheme="minorEastAsia" w:eastAsiaTheme="minorEastAsia"/>
                <w:sz w:val="24"/>
                <w:highlight w:val="yellow"/>
              </w:rPr>
              <w:t>确认的最晚时间：</w:t>
            </w:r>
            <w:r>
              <w:rPr>
                <w:rFonts w:hint="eastAsia" w:cs="仿宋" w:asciiTheme="minorEastAsia" w:hAnsiTheme="minorEastAsia" w:eastAsiaTheme="minorEastAsia"/>
                <w:sz w:val="24"/>
                <w:highlight w:val="yellow"/>
                <w:lang w:val="en-US" w:eastAsia="zh-CN"/>
              </w:rPr>
              <w:t>2021年11月23日17时30分。</w:t>
            </w:r>
          </w:p>
          <w:p>
            <w:pPr>
              <w:spacing w:line="288" w:lineRule="auto"/>
              <w:jc w:val="both"/>
              <w:rPr>
                <w:rFonts w:cs="仿宋" w:asciiTheme="minorEastAsia" w:hAnsiTheme="minorEastAsia" w:eastAsiaTheme="minorEastAsia"/>
                <w:sz w:val="24"/>
                <w:highlight w:val="yellow"/>
              </w:rPr>
            </w:pPr>
            <w:r>
              <w:rPr>
                <w:rFonts w:hint="eastAsia" w:cs="仿宋" w:asciiTheme="minorEastAsia" w:hAnsiTheme="minorEastAsia" w:eastAsiaTheme="minorEastAsia"/>
                <w:sz w:val="24"/>
                <w:highlight w:val="yellow"/>
              </w:rPr>
              <w:t>确定的方式：</w:t>
            </w:r>
            <w:r>
              <w:rPr>
                <w:rFonts w:hint="eastAsia" w:cs="仿宋" w:asciiTheme="minorEastAsia" w:hAnsiTheme="minorEastAsia" w:eastAsiaTheme="minorEastAsia"/>
                <w:sz w:val="24"/>
                <w:highlight w:val="yellow"/>
                <w:lang w:val="en-US" w:eastAsia="zh-CN"/>
              </w:rPr>
              <w:t>收到纸质版文件为准</w:t>
            </w:r>
            <w:r>
              <w:rPr>
                <w:rFonts w:hint="eastAsia" w:cs="仿宋" w:asciiTheme="minorEastAsia" w:hAnsiTheme="minorEastAsia" w:eastAsiaTheme="minorEastAsia"/>
                <w:sz w:val="24"/>
                <w:highlight w:val="yellow"/>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有，最高限价</w:t>
            </w:r>
            <w:r>
              <w:rPr>
                <w:rFonts w:hint="eastAsia" w:cs="仿宋" w:asciiTheme="minorEastAsia" w:hAnsiTheme="minorEastAsia" w:eastAsiaTheme="minorEastAsia"/>
                <w:sz w:val="24"/>
                <w:lang w:val="en-US" w:eastAsia="zh-CN"/>
              </w:rPr>
              <w:t>18</w:t>
            </w:r>
            <w:r>
              <w:rPr>
                <w:rFonts w:hint="eastAsia" w:cs="仿宋" w:asciiTheme="minorEastAsia" w:hAnsiTheme="minorEastAsia" w:eastAsiaTheme="minorEastAsia"/>
                <w:sz w:val="24"/>
              </w:rPr>
              <w:t>万元，大写含税价：</w:t>
            </w:r>
            <w:r>
              <w:rPr>
                <w:rFonts w:hint="eastAsia" w:cs="仿宋" w:asciiTheme="minorEastAsia" w:hAnsiTheme="minorEastAsia" w:eastAsiaTheme="minorEastAsia"/>
                <w:sz w:val="24"/>
                <w:lang w:val="en-US" w:eastAsia="zh-CN"/>
              </w:rPr>
              <w:t>壹拾捌</w:t>
            </w:r>
            <w:r>
              <w:rPr>
                <w:rFonts w:hint="eastAsia" w:cs="仿宋" w:asciiTheme="minorEastAsia" w:hAnsiTheme="minorEastAsia" w:eastAsiaTheme="minorEastAsia"/>
                <w:sz w:val="24"/>
              </w:rPr>
              <w:t xml:space="preserve">万元 </w:t>
            </w:r>
          </w:p>
          <w:p>
            <w:pPr>
              <w:spacing w:line="288" w:lineRule="auto"/>
              <w:jc w:val="both"/>
              <w:rPr>
                <w:rFonts w:cs="仿宋" w:asciiTheme="minorEastAsia" w:hAnsiTheme="minorEastAsia" w:eastAsiaTheme="minorEastAsia"/>
                <w:sz w:val="24"/>
              </w:rPr>
            </w:pPr>
          </w:p>
        </w:tc>
      </w:tr>
      <w:tr>
        <w:tblPrEx>
          <w:tblCellMar>
            <w:top w:w="0" w:type="dxa"/>
            <w:left w:w="108" w:type="dxa"/>
            <w:bottom w:w="0" w:type="dxa"/>
            <w:right w:w="108" w:type="dxa"/>
          </w:tblCellMar>
        </w:tblPrEx>
        <w:trPr>
          <w:trHeight w:val="7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报价唯一</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1"/>
                <w:rFonts w:asciiTheme="minorEastAsia" w:hAnsiTheme="minorEastAsia" w:eastAsiaTheme="minorEastAsia"/>
                <w:b w:val="0"/>
                <w:color w:val="000000"/>
                <w:sz w:val="24"/>
              </w:rPr>
            </w:pPr>
            <w:r>
              <w:rPr>
                <w:rStyle w:val="41"/>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A3"/>
            </w:r>
            <w:r>
              <w:rPr>
                <w:rFonts w:hint="eastAsia" w:cs="仿宋" w:asciiTheme="minorEastAsia" w:hAnsiTheme="minorEastAsia" w:eastAsiaTheme="minorEastAsia"/>
                <w:sz w:val="24"/>
              </w:rPr>
              <w:t>不适用。</w:t>
            </w:r>
          </w:p>
          <w:p>
            <w:pPr>
              <w:spacing w:line="440" w:lineRule="exact"/>
              <w:rPr>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适用。</w:t>
            </w:r>
            <w:r>
              <w:rPr>
                <w:rFonts w:hint="eastAsia" w:ascii="宋体" w:hAnsi="宋体" w:cs="宋体"/>
                <w:sz w:val="24"/>
              </w:rPr>
              <w:t>在中华人民共和国境内注册,</w:t>
            </w:r>
            <w:r>
              <w:rPr>
                <w:rFonts w:hint="eastAsia"/>
                <w:sz w:val="24"/>
              </w:rPr>
              <w:t>持有有效的</w:t>
            </w:r>
            <w:r>
              <w:rPr>
                <w:rFonts w:hint="eastAsia" w:ascii="宋体" w:hAnsi="宋体" w:cs="宋体"/>
                <w:sz w:val="24"/>
              </w:rPr>
              <w:t>营业执照（或事业单位法人证书）,并具有独立法人资格（独立法人单位下属的非独立法人检测机构具</w:t>
            </w:r>
            <w:r>
              <w:rPr>
                <w:rFonts w:hint="eastAsia"/>
                <w:sz w:val="24"/>
              </w:rPr>
              <w:t>有相应资质的，视为该独立法人具有相应的资质）。需提供法人营业执照(或事业单位法人证书)副本（全本）的复印件（并加盖单位章）。</w:t>
            </w:r>
          </w:p>
          <w:p>
            <w:pPr>
              <w:spacing w:line="288" w:lineRule="auto"/>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41"/>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before="0" w:beforeAutospacing="0" w:after="0" w:afterAutospacing="0" w:line="440" w:lineRule="exact"/>
              <w:jc w:val="left"/>
              <w:rPr>
                <w:rFonts w:ascii="宋体" w:hAnsi="宋体" w:eastAsia="宋体" w:cs="宋体"/>
                <w:color w:val="auto"/>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w:t>
            </w:r>
            <w:r>
              <w:rPr>
                <w:rFonts w:hint="eastAsia" w:ascii="宋体" w:hAnsi="宋体" w:eastAsia="宋体" w:cs="宋体"/>
                <w:color w:val="auto"/>
                <w:sz w:val="24"/>
              </w:rPr>
              <w:t>供应商</w:t>
            </w:r>
            <w:r>
              <w:rPr>
                <w:rFonts w:hint="eastAsia" w:ascii="宋体" w:hAnsi="宋体" w:eastAsia="宋体" w:cs="宋体"/>
                <w:sz w:val="24"/>
                <w:szCs w:val="24"/>
              </w:rPr>
              <w:t>需提供资质证书副本（全本）的复印件（并加盖单位章）、计量认证证书的复印件（并加盖单位章）</w:t>
            </w:r>
            <w:r>
              <w:rPr>
                <w:rFonts w:hint="eastAsia" w:ascii="宋体" w:hAnsi="宋体" w:eastAsia="宋体" w:cs="宋体"/>
                <w:color w:val="auto"/>
                <w:sz w:val="24"/>
              </w:rPr>
              <w:t>。</w:t>
            </w:r>
          </w:p>
          <w:p>
            <w:pPr>
              <w:spacing w:line="440" w:lineRule="exact"/>
              <w:jc w:val="left"/>
              <w:rPr>
                <w:rFonts w:ascii="宋体" w:hAnsi="宋体" w:eastAsia="宋体" w:cs="宋体"/>
                <w:color w:val="auto"/>
                <w:sz w:val="24"/>
              </w:rPr>
            </w:pPr>
            <w:r>
              <w:rPr>
                <w:rFonts w:hint="eastAsia" w:ascii="宋体" w:hAnsi="宋体" w:eastAsia="宋体" w:cs="宋体"/>
                <w:color w:val="auto"/>
                <w:sz w:val="24"/>
              </w:rPr>
              <w:t>资质证书包括：</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w:t>
            </w:r>
            <w:r>
              <w:rPr>
                <w:rFonts w:hint="eastAsia"/>
                <w:sz w:val="24"/>
                <w:highlight w:val="yellow"/>
              </w:rPr>
              <w:t>报价人</w:t>
            </w:r>
            <w:r>
              <w:rPr>
                <w:rFonts w:hint="eastAsia"/>
                <w:sz w:val="24"/>
              </w:rPr>
              <w:t>需同时具有交通运输部颁发的公路工程桥梁隧道工程专项、水运工程结构类乙级和水运工程材料乙级及以上试验检测资质，省级部门颁发的计量认证合格证书。须提供相关资质证明文件。</w:t>
            </w:r>
            <w:r>
              <w:rPr>
                <w:rFonts w:hint="eastAsia" w:cs="宋体" w:asciiTheme="minorEastAsia" w:hAnsiTheme="minorEastAsia" w:eastAsiaTheme="minorEastAsia"/>
                <w:color w:val="000000"/>
                <w:sz w:val="24"/>
              </w:rPr>
              <w:t>）</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1"/>
                <w:rFonts w:asciiTheme="minorEastAsia" w:hAnsiTheme="minorEastAsia" w:eastAsiaTheme="minorEastAsia"/>
                <w:b w:val="0"/>
                <w:color w:val="000000"/>
                <w:sz w:val="24"/>
              </w:rPr>
            </w:pPr>
            <w:r>
              <w:rPr>
                <w:rStyle w:val="41"/>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（注：有财务要求的，应选择两种财务会计报表中的一种作为财务证明资料。）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widowControl w:val="0"/>
              <w:spacing w:before="0" w:beforeAutospacing="0" w:after="0" w:afterAutospacing="0" w:line="288" w:lineRule="auto"/>
              <w:ind w:firstLine="0" w:firstLineChars="0"/>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lang w:val="en-US" w:eastAsia="zh-CN"/>
              </w:rPr>
              <w:t>近5年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内</w:t>
            </w:r>
            <w:r>
              <w:rPr>
                <w:rFonts w:hint="eastAsia" w:cs="宋体" w:asciiTheme="minorEastAsia" w:hAnsiTheme="minorEastAsia" w:eastAsiaTheme="minorEastAsia"/>
                <w:color w:val="000000" w:themeColor="text1"/>
                <w:sz w:val="24"/>
                <w:highlight w:val="yellow"/>
                <w14:textFill>
                  <w14:solidFill>
                    <w14:schemeClr w14:val="tx1"/>
                  </w14:solidFill>
                </w14:textFill>
              </w:rPr>
              <w:t>承担过1个码头交工质量检测技术服务</w:t>
            </w:r>
            <w:r>
              <w:rPr>
                <w:rFonts w:hint="eastAsia" w:cs="宋体" w:asciiTheme="minorEastAsia" w:hAnsiTheme="minorEastAsia" w:eastAsiaTheme="minorEastAsia"/>
                <w:color w:val="000000" w:themeColor="text1"/>
                <w:sz w:val="24"/>
                <w:highlight w:val="yellow"/>
                <w:lang w:val="en-US" w:eastAsia="zh-CN"/>
                <w14:textFill>
                  <w14:solidFill>
                    <w14:schemeClr w14:val="tx1"/>
                  </w14:solidFill>
                </w14:textFill>
              </w:rPr>
              <w:t>业绩。</w:t>
            </w:r>
            <w:r>
              <w:rPr>
                <w:rFonts w:hint="eastAsia" w:cs="宋体" w:asciiTheme="minorEastAsia" w:hAnsiTheme="minorEastAsia" w:eastAsiaTheme="minorEastAsia"/>
                <w:color w:val="000000" w:themeColor="text1"/>
                <w:sz w:val="24"/>
                <w14:textFill>
                  <w14:solidFill>
                    <w14:schemeClr w14:val="tx1"/>
                  </w14:solidFill>
                </w14:textFill>
              </w:rPr>
              <w:t>供应</w:t>
            </w:r>
            <w:r>
              <w:rPr>
                <w:rFonts w:hint="eastAsia" w:cs="宋体" w:asciiTheme="minorEastAsia" w:hAnsiTheme="minorEastAsia" w:eastAsiaTheme="minorEastAsia"/>
                <w:color w:val="000000"/>
                <w:sz w:val="24"/>
              </w:rPr>
              <w:t>商应提供近年的类似项目情况表（格式见第六章“响应文件格式”七、资格审查资料（三）近年的类似项目情况表），以证明供应商具有承担本项目要求的业绩。近</w:t>
            </w:r>
            <w:r>
              <w:rPr>
                <w:rFonts w:hint="eastAsia" w:cs="宋体" w:asciiTheme="minorEastAsia" w:hAnsiTheme="minorEastAsia" w:eastAsiaTheme="minorEastAsia"/>
                <w:color w:val="000000"/>
                <w:sz w:val="24"/>
                <w:lang w:val="en-US" w:eastAsia="zh-CN"/>
              </w:rPr>
              <w:t>5</w:t>
            </w:r>
            <w:r>
              <w:rPr>
                <w:rFonts w:hint="eastAsia" w:cs="宋体" w:asciiTheme="minorEastAsia" w:hAnsiTheme="minorEastAsia" w:eastAsiaTheme="minorEastAsia"/>
                <w:color w:val="000000"/>
                <w:sz w:val="24"/>
              </w:rPr>
              <w:t>年是指</w:t>
            </w:r>
            <w:r>
              <w:rPr>
                <w:rFonts w:hint="eastAsia" w:cs="宋体" w:asciiTheme="minorEastAsia" w:hAnsiTheme="minorEastAsia" w:eastAsiaTheme="minorEastAsia"/>
                <w:color w:val="000000"/>
                <w:sz w:val="24"/>
                <w:u w:val="single"/>
              </w:rPr>
              <w:t xml:space="preserve"> 2016年11月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2021年11月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中标通知书/成交通知书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竣工 验收报告/验收证明</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□业主证明</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yellow"/>
              </w:rPr>
            </w:pPr>
            <w:r>
              <w:rPr>
                <w:rFonts w:hint="eastAsia" w:cs="宋体" w:asciiTheme="minorEastAsia" w:hAnsiTheme="minorEastAsia" w:eastAsiaTheme="minorEastAsia"/>
                <w:color w:val="000000"/>
                <w:sz w:val="24"/>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适用。供应商应提供相关信誉情况的证明材料，</w:t>
            </w:r>
            <w:r>
              <w:rPr>
                <w:rFonts w:hint="eastAsia" w:cs="宋体" w:asciiTheme="minorEastAsia" w:hAnsiTheme="minorEastAsia" w:eastAsiaTheme="minorEastAsia"/>
                <w:color w:val="000000"/>
                <w:sz w:val="24"/>
                <w:u w:val="single"/>
              </w:rPr>
              <w:t xml:space="preserve">  不得</w:t>
            </w:r>
            <w:r>
              <w:rPr>
                <w:rFonts w:hint="eastAsia"/>
                <w:sz w:val="24"/>
              </w:rPr>
              <w:t>被交通运输部“</w:t>
            </w:r>
            <w:r>
              <w:rPr>
                <w:rFonts w:hint="eastAsia" w:ascii="宋体" w:hAnsi="宋体"/>
                <w:bCs/>
                <w:sz w:val="24"/>
                <w:szCs w:val="24"/>
              </w:rPr>
              <w:t>公路水运工程试验检测管理信息系统”</w:t>
            </w:r>
            <w:r>
              <w:rPr>
                <w:rFonts w:hint="eastAsia"/>
                <w:sz w:val="24"/>
              </w:rPr>
              <w:t>连续三年（2018～2020年）评为B级及以下信用等级。提供网站查询截图，并加盖公章。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不适用</w:t>
            </w:r>
          </w:p>
          <w:p>
            <w:pPr>
              <w:widowControl w:val="0"/>
              <w:spacing w:before="0" w:beforeAutospacing="0" w:after="0" w:afterAutospacing="0" w:line="288" w:lineRule="auto"/>
              <w:ind w:firstLine="480" w:firstLineChars="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适用。供应商应提供拟委任的主要人员汇总表和主要人员简历表（格式见第六章“响应文件格式”七、资格审查资料（四）拟委任的主要人员汇总表和（五）主要人员简历表）。</w:t>
            </w:r>
          </w:p>
          <w:p>
            <w:pPr>
              <w:widowControl w:val="0"/>
              <w:spacing w:before="0" w:beforeAutospacing="0" w:after="0" w:afterAutospacing="0" w:line="288" w:lineRule="auto"/>
              <w:ind w:firstLine="480" w:firstLineChars="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主要人员最低要求：①项目负责1人：中级或以上职称；②技术负责人1人：中级或以上职称；③技术人员2人。</w:t>
            </w:r>
          </w:p>
          <w:p>
            <w:pPr>
              <w:widowControl w:val="0"/>
              <w:spacing w:before="0" w:beforeAutospacing="0" w:after="0" w:afterAutospacing="0" w:line="288" w:lineRule="auto"/>
              <w:ind w:firstLine="480" w:firstLineChars="0"/>
              <w:jc w:val="both"/>
              <w:rPr>
                <w:rFonts w:cs="宋体" w:asciiTheme="minorEastAsia" w:hAnsiTheme="minorEastAsia" w:eastAsiaTheme="minorEastAsia"/>
                <w:b w:val="0"/>
                <w:bCs w:val="0"/>
                <w:color w:val="000000"/>
                <w:sz w:val="24"/>
                <w:szCs w:val="24"/>
                <w:u w:val="single"/>
              </w:rPr>
            </w:pPr>
            <w:r>
              <w:rPr>
                <w:rFonts w:hint="eastAsia" w:cs="宋体" w:asciiTheme="minorEastAsia" w:hAnsiTheme="minorEastAsia" w:eastAsiaTheme="minorEastAsia"/>
                <w:color w:val="000000"/>
                <w:sz w:val="24"/>
              </w:rPr>
              <w:t>供应商应按如下要求提供相关证明文件：</w:t>
            </w:r>
            <w:r>
              <w:rPr>
                <w:rFonts w:hint="eastAsia" w:cs="宋体" w:asciiTheme="minorEastAsia" w:hAnsiTheme="minorEastAsia" w:eastAsiaTheme="minorEastAsia"/>
                <w:color w:val="000000"/>
                <w:sz w:val="24"/>
                <w:u w:val="single"/>
              </w:rPr>
              <w:t xml:space="preserve"> </w:t>
            </w:r>
            <w:r>
              <w:rPr>
                <w:rFonts w:cs="宋体" w:asciiTheme="minorEastAsia" w:hAnsiTheme="minorEastAsia" w:eastAsiaTheme="minorEastAsia"/>
                <w:b w:val="0"/>
                <w:bCs w:val="0"/>
                <w:color w:val="000000"/>
                <w:sz w:val="24"/>
                <w:szCs w:val="24"/>
                <w:u w:val="single"/>
              </w:rPr>
              <w:t>1.报价人必须提供《拟委托的主要人员资历表》，表后附上有效身份证、职称证、执业（职业）资格证书（如有）；</w:t>
            </w:r>
          </w:p>
          <w:p>
            <w:pPr>
              <w:widowControl w:val="0"/>
              <w:spacing w:line="288" w:lineRule="auto"/>
              <w:ind w:firstLine="0" w:firstLineChars="0"/>
              <w:jc w:val="both"/>
              <w:rPr>
                <w:rFonts w:cs="宋体" w:asciiTheme="minorEastAsia" w:hAnsiTheme="minorEastAsia" w:eastAsiaTheme="minorEastAsia"/>
                <w:b w:val="0"/>
                <w:bCs w:val="0"/>
                <w:color w:val="000000"/>
                <w:sz w:val="24"/>
                <w:szCs w:val="24"/>
                <w:u w:val="single"/>
              </w:rPr>
            </w:pPr>
            <w:r>
              <w:rPr>
                <w:rFonts w:hint="eastAsia" w:cs="宋体" w:asciiTheme="minorEastAsia" w:hAnsiTheme="minorEastAsia" w:eastAsiaTheme="minorEastAsia"/>
                <w:b w:val="0"/>
                <w:bCs w:val="0"/>
                <w:color w:val="000000"/>
                <w:sz w:val="24"/>
                <w:szCs w:val="24"/>
                <w:u w:val="single"/>
              </w:rPr>
              <w:t>以上人员均不得处于暂停执业处罚期内，未被取消资格，且未被省级及以上建设主管部门评为“从业承诺履约状况很差”或“从业承诺履约状况较差”或伪造证书上岗。在投标文件正本中，所有证件均应采用清晰彩色影印件。</w:t>
            </w:r>
          </w:p>
          <w:p>
            <w:pPr>
              <w:widowControl w:val="0"/>
              <w:spacing w:line="288" w:lineRule="auto"/>
              <w:ind w:firstLine="0" w:firstLineChars="0"/>
              <w:jc w:val="both"/>
              <w:rPr>
                <w:rFonts w:cs="宋体" w:asciiTheme="minorEastAsia" w:hAnsiTheme="minorEastAsia" w:eastAsiaTheme="minorEastAsia"/>
                <w:b w:val="0"/>
                <w:bCs w:val="0"/>
                <w:color w:val="000000"/>
                <w:sz w:val="24"/>
                <w:szCs w:val="24"/>
                <w:u w:val="single"/>
              </w:rPr>
            </w:pPr>
            <w:r>
              <w:rPr>
                <w:rFonts w:cs="宋体" w:asciiTheme="minorEastAsia" w:hAnsiTheme="minorEastAsia" w:eastAsiaTheme="minorEastAsia"/>
                <w:b w:val="0"/>
                <w:bCs w:val="0"/>
                <w:color w:val="000000"/>
                <w:sz w:val="24"/>
                <w:szCs w:val="24"/>
                <w:u w:val="single"/>
              </w:rPr>
              <w:t>2.报价人拟投入的人员年龄不得超过60周岁（按投标文件截止之日计算年龄）。</w:t>
            </w:r>
          </w:p>
          <w:p>
            <w:pPr>
              <w:spacing w:line="288" w:lineRule="auto"/>
              <w:jc w:val="both"/>
              <w:rPr>
                <w:rFonts w:cs="宋体" w:asciiTheme="minorEastAsia" w:hAnsiTheme="minorEastAsia" w:eastAsiaTheme="minorEastAsia"/>
                <w:color w:val="000000"/>
                <w:sz w:val="24"/>
              </w:rPr>
            </w:pPr>
            <w:r>
              <w:rPr>
                <w:rFonts w:cs="宋体" w:asciiTheme="minorEastAsia" w:hAnsiTheme="minorEastAsia" w:eastAsiaTheme="minorEastAsia"/>
                <w:b w:val="0"/>
                <w:bCs w:val="0"/>
                <w:color w:val="000000"/>
                <w:sz w:val="24"/>
                <w:szCs w:val="24"/>
                <w:u w:val="single"/>
              </w:rPr>
              <w:t>3.项目负责人、技术负责人必须为本单位自有人员，应附投标人所属社保机构出具的拟委任的项目负责人、技术负责人的社保缴费证明（并加盖缴费证明专用章）或其他能够证明拟委任的项目负责人参加社保的有效证明材料（并加盖社保机构单位公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rPr>
              <w:t xml:space="preserve">  提供承诺函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w:t>
            </w:r>
            <w:r>
              <w:rPr>
                <w:rFonts w:hint="eastAsia" w:cs="宋体" w:asciiTheme="minorEastAsia" w:hAnsiTheme="minorEastAsia" w:eastAsiaTheme="minorEastAsia"/>
                <w:color w:val="000000"/>
                <w:sz w:val="24"/>
                <w:lang w:val="en-US" w:eastAsia="zh-CN"/>
              </w:rPr>
              <w:t>无</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提供纸质版响应文件三份：一正两副          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w:t>
            </w:r>
          </w:p>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u w:val="single"/>
              </w:rPr>
              <w:t xml:space="preserve">                                        （项目名称）响应文件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u w:val="single"/>
              </w:rPr>
              <w:t xml:space="preserve"> 2021年11月</w:t>
            </w:r>
            <w:r>
              <w:rPr>
                <w:rFonts w:hint="eastAsia" w:cs="宋体" w:asciiTheme="minorEastAsia" w:hAnsiTheme="minorEastAsia" w:eastAsiaTheme="minorEastAsia"/>
                <w:color w:val="000000"/>
                <w:sz w:val="24"/>
                <w:u w:val="single"/>
                <w:lang w:val="en-US" w:eastAsia="zh-CN"/>
              </w:rPr>
              <w:t>23日17时30分</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color w:val="000000"/>
                <w:sz w:val="24"/>
                <w:u w:val="single"/>
              </w:rPr>
              <w:t xml:space="preserve"> </w:t>
            </w:r>
            <w:r>
              <w:rPr>
                <w:rFonts w:hint="eastAsia"/>
                <w:color w:val="000000" w:themeColor="text1"/>
                <w:sz w:val="24"/>
                <w:u w:val="single"/>
                <w14:textFill>
                  <w14:solidFill>
                    <w14:schemeClr w14:val="tx1"/>
                  </w14:solidFill>
                </w14:textFill>
              </w:rPr>
              <w:t>湖南省岳阳市城陵矶新港有限公司办公楼307室</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湖南省港务集团有限公司602开标室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评标（谈判）小组构成：3人。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评审（谈判）专家确定方式：采购代表1人，在湖南省港务集团有限公司综合评标专家库中随机抽取2人。</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1-3 家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公示媒介：</w:t>
            </w:r>
            <w:r>
              <w:rPr>
                <w:rFonts w:hint="eastAsia" w:cs="宋体" w:asciiTheme="minorEastAsia" w:hAnsiTheme="minorEastAsia" w:eastAsiaTheme="minorEastAsia"/>
                <w:color w:val="000000"/>
                <w:sz w:val="24"/>
                <w:u w:val="single"/>
              </w:rPr>
              <w:t xml:space="preserve"> </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single"/>
              </w:rPr>
              <w:t xml:space="preserve">                                   湖南省港务集团有限公司</w:t>
            </w:r>
            <w:r>
              <w:rPr>
                <w:rFonts w:hint="eastAsia" w:ascii="宋体" w:hAnsi="宋体" w:cs="宋体"/>
                <w:sz w:val="24"/>
                <w:highlight w:val="yellow"/>
              </w:rPr>
              <w:t>（http://www.hnsgwjt.com）</w:t>
            </w:r>
            <w:r>
              <w:rPr>
                <w:rFonts w:hint="eastAsia" w:ascii="宋体" w:hAnsi="宋体" w:cs="宋体"/>
                <w:sz w:val="24"/>
              </w:rPr>
              <w:t>上发布。</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 xml:space="preserve"> 3个工作日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不要求提交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□要求递交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履约保证金形式：</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履约保证金有效期限：</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single"/>
              </w:rPr>
              <w:t xml:space="preserve"> 湖南省港务集团纪检监察部                 </w:t>
            </w:r>
          </w:p>
          <w:p>
            <w:pPr>
              <w:spacing w:line="288" w:lineRule="auto"/>
              <w:jc w:val="both"/>
              <w:rPr>
                <w:highlight w:val="yellow"/>
                <w:lang w:val="zh-CN"/>
              </w:rPr>
            </w:pPr>
            <w:r>
              <w:rPr>
                <w:rFonts w:hint="eastAsia" w:cs="宋体" w:asciiTheme="minorEastAsia" w:hAnsiTheme="minorEastAsia" w:eastAsiaTheme="minorEastAsia"/>
                <w:color w:val="000000"/>
                <w:sz w:val="24"/>
              </w:rPr>
              <w:t xml:space="preserve">联系电话： </w:t>
            </w:r>
            <w:r>
              <w:rPr>
                <w:rFonts w:hint="eastAsia"/>
                <w:lang w:val="zh-CN"/>
              </w:rPr>
              <w:t>0730-</w:t>
            </w:r>
            <w:r>
              <w:t xml:space="preserve"> </w:t>
            </w:r>
            <w:r>
              <w:rPr>
                <w:lang w:val="zh-CN"/>
              </w:rPr>
              <w:t>8426255</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w:t>
            </w:r>
            <w:r>
              <w:rPr>
                <w:rFonts w:hint="eastAsia" w:cs="宋体" w:asciiTheme="minorEastAsia" w:hAnsiTheme="minorEastAsia" w:eastAsiaTheme="minorEastAsia"/>
                <w:color w:val="000000"/>
                <w:sz w:val="24"/>
                <w:u w:val="single"/>
              </w:rPr>
              <w:t xml:space="preserve">湖南省岳阳市云溪区沿江西路50米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不要求承担</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□要求承担</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费用标准或金额：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交费时间：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交费方式：</w:t>
            </w:r>
            <w:r>
              <w:rPr>
                <w:rFonts w:hint="eastAsia" w:cs="宋体" w:asciiTheme="minorEastAsia" w:hAnsiTheme="minorEastAsia" w:eastAsiaTheme="minorEastAsia"/>
                <w:color w:val="000000"/>
                <w:sz w:val="24"/>
                <w:u w:val="single"/>
              </w:rPr>
              <w:t xml:space="preserve">                  </w:t>
            </w:r>
          </w:p>
        </w:tc>
      </w:tr>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r>
        <w:rPr>
          <w:rFonts w:hint="eastAsia" w:ascii="华文中宋" w:hAnsi="华文中宋" w:eastAsia="华文中宋" w:cs="仿宋"/>
          <w:b/>
          <w:bCs/>
          <w:sz w:val="30"/>
          <w:szCs w:val="30"/>
        </w:rPr>
        <w:t>第二章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71"/>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5"/>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5"/>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5"/>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5"/>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pStyle w:val="65"/>
        <w:spacing w:line="312" w:lineRule="auto"/>
        <w:ind w:firstLine="453" w:firstLineChars="189"/>
        <w:rPr>
          <w:rFonts w:hAnsi="宋体" w:eastAsia="宋体" w:cs="仿宋"/>
          <w:sz w:val="24"/>
          <w:szCs w:val="24"/>
        </w:rPr>
      </w:pPr>
      <w:r>
        <w:rPr>
          <w:rFonts w:hint="eastAsia" w:hAnsi="宋体" w:eastAsia="宋体" w:cs="仿宋"/>
          <w:sz w:val="24"/>
          <w:szCs w:val="24"/>
        </w:rPr>
        <w:t>同质比价法，遵循最低价法评审原则，在资质、业绩、信誉等条件均满足询价文件要求的前提下，按价格最低原则确定成交供应商。</w:t>
      </w:r>
    </w:p>
    <w:p>
      <w:pPr>
        <w:pStyle w:val="65"/>
        <w:spacing w:line="312" w:lineRule="auto"/>
        <w:ind w:firstLine="453" w:firstLineChars="189"/>
        <w:rPr>
          <w:rFonts w:hAnsi="宋体" w:eastAsia="宋体" w:cs="仿宋"/>
          <w:sz w:val="24"/>
          <w:szCs w:val="24"/>
        </w:rPr>
      </w:pPr>
      <w:r>
        <w:rPr>
          <w:rFonts w:hint="eastAsia" w:hAnsi="宋体" w:eastAsia="宋体" w:cs="仿宋"/>
          <w:sz w:val="24"/>
          <w:szCs w:val="24"/>
        </w:rPr>
        <w:t>同价比质法，遵循最低价法评审原则，若报价相同，应选择质量、服务承诺及优惠条件较优的供应商。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1.9分包(A、C)</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(1)响应函;</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(2)授权委托书(如有);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(3)联合体协议书(如有);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(4)响应保证金(如有);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(7)资格审查资料;</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(8)响应方案;</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w:t>
      </w:r>
      <w:r>
        <w:rPr>
          <w:rFonts w:hint="eastAsia" w:ascii="宋体" w:hAnsi="宋体" w:cs="仿宋"/>
          <w:color w:val="auto"/>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(2)开启会议结束。</w:t>
      </w:r>
      <w:r>
        <w:rPr>
          <w:rFonts w:hint="eastAsia" w:ascii="宋体" w:hAnsi="宋体" w:cs="仿宋"/>
          <w:sz w:val="24"/>
        </w:rPr>
        <w:br w:type="textWrapping"/>
      </w: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（1）供应商主要负责人或供应商主要负责人的近亲属;</w:t>
      </w:r>
      <w:r>
        <w:rPr>
          <w:rFonts w:hint="eastAsia" w:ascii="宋体" w:hAnsi="宋体" w:cs="仿宋"/>
          <w:sz w:val="24"/>
        </w:rPr>
        <w:br w:type="textWrapping"/>
      </w: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7.1成交候选供应商报价核查(B)</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2" w:name="_Toc24135"/>
      <w:r>
        <w:rPr>
          <w:rFonts w:hint="eastAsia" w:ascii="宋体" w:hAnsi="宋体" w:cs="宋体"/>
          <w:b/>
          <w:bCs/>
          <w:sz w:val="24"/>
        </w:rPr>
        <w:t>7.3成交结果异议</w:t>
      </w:r>
      <w:bookmarkEnd w:id="12"/>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rPr>
      </w:pPr>
      <w:r>
        <w:rPr>
          <w:rFonts w:hint="eastAsia" w:ascii="宋体" w:hAnsi="宋体" w:cs="仿宋"/>
          <w:sz w:val="24"/>
        </w:rPr>
        <w:t>7.7.3联合体成交的，联合体各方应当共同与采购人签订合同，就成交项目向采购人承担连带</w:t>
      </w:r>
      <w:r>
        <w:rPr>
          <w:rFonts w:hint="eastAsia" w:ascii="宋体" w:hAnsi="宋体" w:cs="仿宋"/>
          <w:color w:val="auto"/>
          <w:sz w:val="24"/>
        </w:rPr>
        <w:t>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9"/>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6"/>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rPr>
          <w:rFonts w:ascii="黑体" w:hAnsi="黑体" w:eastAsia="黑体" w:cs="仿宋"/>
          <w:bCs/>
          <w:sz w:val="36"/>
          <w:szCs w:val="36"/>
        </w:rPr>
      </w:pPr>
      <w:r>
        <w:rPr>
          <w:rFonts w:hint="eastAsia" w:ascii="黑体" w:hAnsi="黑体" w:eastAsia="黑体" w:cs="仿宋"/>
          <w:bCs/>
          <w:sz w:val="36"/>
          <w:szCs w:val="36"/>
        </w:rPr>
        <w:t>第三章 评审办法</w:t>
      </w:r>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9"/>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与</w:t>
            </w:r>
            <w:r>
              <w:rPr>
                <w:rFonts w:ascii="宋体" w:hAnsi="宋体"/>
                <w:szCs w:val="21"/>
              </w:rPr>
              <w:t>营业执照</w:t>
            </w:r>
            <w:r>
              <w:rPr>
                <w:rFonts w:hint="eastAsia" w:ascii="宋体" w:hAnsi="宋体"/>
                <w:szCs w:val="21"/>
              </w:rPr>
              <w:t>或事业单位法人证书</w:t>
            </w:r>
            <w:r>
              <w:rPr>
                <w:rFonts w:ascii="宋体" w:hAnsi="宋体"/>
                <w:szCs w:val="21"/>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响应文件格式</w:t>
            </w:r>
          </w:p>
        </w:tc>
        <w:tc>
          <w:tcPr>
            <w:tcW w:w="5676"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报价唯一</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无符合第一章第3.1款及供应商须知前附表第3.5（6）款规定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不得超过最高限价</w:t>
            </w:r>
            <w:r>
              <w:rPr>
                <w:rFonts w:hint="eastAsia" w:cs="仿宋" w:asciiTheme="minorEastAsia" w:hAnsiTheme="minorEastAsia" w:eastAsiaTheme="minorEastAsia"/>
                <w:szCs w:val="21"/>
                <w:lang w:val="en-US" w:eastAsia="zh-CN"/>
              </w:rPr>
              <w:t>18</w:t>
            </w:r>
            <w:r>
              <w:rPr>
                <w:rFonts w:hint="eastAsia" w:cs="仿宋" w:asciiTheme="minorEastAsia" w:hAnsiTheme="minorEastAsia" w:eastAsiaTheme="minorEastAsia"/>
                <w:szCs w:val="21"/>
              </w:rPr>
              <w:t>万元，大写含税价格：</w:t>
            </w:r>
            <w:r>
              <w:rPr>
                <w:rFonts w:hint="eastAsia" w:cs="仿宋" w:asciiTheme="minorEastAsia" w:hAnsiTheme="minorEastAsia" w:eastAsiaTheme="minorEastAsia"/>
                <w:szCs w:val="21"/>
                <w:lang w:val="en-US" w:eastAsia="zh-CN"/>
              </w:rPr>
              <w:t>壹拾捌</w:t>
            </w:r>
            <w:r>
              <w:rPr>
                <w:rFonts w:hint="eastAsia" w:cs="仿宋" w:asciiTheme="minorEastAsia" w:hAnsiTheme="minorEastAsia" w:eastAsiaTheme="minorEastAsia"/>
                <w:szCs w:val="21"/>
              </w:rPr>
              <w:t>万；</w:t>
            </w:r>
          </w:p>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符合第三章第2.2.2项的规定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3.1</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分值构成（总分100分）</w:t>
            </w:r>
          </w:p>
        </w:tc>
        <w:tc>
          <w:tcPr>
            <w:tcW w:w="5676" w:type="dxa"/>
          </w:tcPr>
          <w:p>
            <w:pPr>
              <w:widowControl/>
              <w:numPr>
                <w:ilvl w:val="0"/>
                <w:numId w:val="2"/>
              </w:numPr>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商务部分：</w:t>
            </w:r>
            <w:r>
              <w:rPr>
                <w:rFonts w:hint="eastAsia" w:cs="仿宋" w:asciiTheme="minorEastAsia" w:hAnsiTheme="minorEastAsia" w:eastAsiaTheme="minorEastAsia"/>
                <w:szCs w:val="21"/>
                <w:u w:val="single"/>
              </w:rPr>
              <w:t xml:space="preserve">   45   </w:t>
            </w:r>
            <w:r>
              <w:rPr>
                <w:rFonts w:hint="eastAsia" w:cs="仿宋" w:asciiTheme="minorEastAsia" w:hAnsiTheme="minorEastAsia" w:eastAsiaTheme="minorEastAsia"/>
                <w:szCs w:val="21"/>
              </w:rPr>
              <w:t>分</w:t>
            </w:r>
          </w:p>
          <w:p>
            <w:pPr>
              <w:widowControl/>
              <w:numPr>
                <w:ilvl w:val="0"/>
                <w:numId w:val="2"/>
              </w:numPr>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技术部分：</w:t>
            </w:r>
            <w:r>
              <w:rPr>
                <w:rFonts w:hint="eastAsia" w:cs="仿宋" w:asciiTheme="minorEastAsia" w:hAnsiTheme="minorEastAsia" w:eastAsiaTheme="minorEastAsia"/>
                <w:szCs w:val="21"/>
                <w:u w:val="single"/>
              </w:rPr>
              <w:t xml:space="preserve">   15   </w:t>
            </w:r>
            <w:r>
              <w:rPr>
                <w:rFonts w:hint="eastAsia" w:cs="仿宋" w:asciiTheme="minorEastAsia" w:hAnsiTheme="minorEastAsia" w:eastAsiaTheme="minorEastAsia"/>
                <w:szCs w:val="21"/>
              </w:rPr>
              <w:t>分</w:t>
            </w:r>
          </w:p>
          <w:p>
            <w:pPr>
              <w:widowControl/>
              <w:numPr>
                <w:ilvl w:val="0"/>
                <w:numId w:val="2"/>
              </w:numPr>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报价部分：</w:t>
            </w:r>
            <w:r>
              <w:rPr>
                <w:rFonts w:hint="eastAsia" w:cs="仿宋" w:asciiTheme="minorEastAsia" w:hAnsiTheme="minorEastAsia" w:eastAsiaTheme="minorEastAsia"/>
                <w:szCs w:val="21"/>
                <w:u w:val="single"/>
              </w:rPr>
              <w:t xml:space="preserve">   40   </w:t>
            </w:r>
            <w:r>
              <w:rPr>
                <w:rFonts w:hint="eastAsia" w:cs="仿宋" w:asciiTheme="minorEastAsia" w:hAnsiTheme="minorEastAsia" w:eastAsia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3.2（2）</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评审基准价计算方法</w:t>
            </w:r>
          </w:p>
        </w:tc>
        <w:tc>
          <w:tcPr>
            <w:tcW w:w="5676" w:type="dxa"/>
          </w:tcPr>
          <w:p>
            <w:pPr>
              <w:widowControl/>
              <w:spacing w:line="240" w:lineRule="auto"/>
              <w:jc w:val="left"/>
              <w:rPr>
                <w:rFonts w:cs="仿宋" w:asciiTheme="minorEastAsia" w:hAnsiTheme="minorEastAsia" w:eastAsiaTheme="minorEastAsia"/>
                <w:szCs w:val="21"/>
              </w:rPr>
            </w:pPr>
            <w:r>
              <w:rPr>
                <w:rFonts w:hint="eastAsia" w:ascii="宋体" w:hAnsi="宋体" w:cs="宋体"/>
                <w:color w:val="000000"/>
                <w:szCs w:val="21"/>
              </w:rPr>
              <w:t>除按规定被宣布废标的投标报价外，所有通过初步评审的有效投标人投标报价的算术平均值即为评标基准价。若有效标超过5家，可剔除最高、最低标后，进行算术平均；有效投标报价应在最高投标限价范围内）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2825" w:type="dxa"/>
            <w:gridSpan w:val="2"/>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评分因素</w:t>
            </w:r>
          </w:p>
        </w:tc>
        <w:tc>
          <w:tcPr>
            <w:tcW w:w="5676" w:type="dxa"/>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3.3（1）</w:t>
            </w:r>
          </w:p>
        </w:tc>
        <w:tc>
          <w:tcPr>
            <w:tcW w:w="2825" w:type="dxa"/>
            <w:gridSpan w:val="2"/>
          </w:tcPr>
          <w:p>
            <w:pPr>
              <w:widowControl w:val="0"/>
              <w:adjustRightInd w:val="0"/>
              <w:snapToGrid w:val="0"/>
              <w:spacing w:line="288" w:lineRule="auto"/>
              <w:jc w:val="center"/>
              <w:rPr>
                <w:rFonts w:ascii="宋体" w:hAnsi="宋体"/>
                <w:szCs w:val="21"/>
              </w:rPr>
            </w:pPr>
            <w:r>
              <w:rPr>
                <w:rFonts w:hint="eastAsia" w:ascii="宋体" w:hAnsi="宋体"/>
                <w:szCs w:val="21"/>
              </w:rPr>
              <w:t>商务部分评分标准</w:t>
            </w:r>
          </w:p>
        </w:tc>
        <w:tc>
          <w:tcPr>
            <w:tcW w:w="5676" w:type="dxa"/>
            <w:vAlign w:val="center"/>
          </w:tcPr>
          <w:p>
            <w:pPr>
              <w:widowControl w:val="0"/>
              <w:adjustRightInd w:val="0"/>
              <w:snapToGrid w:val="0"/>
              <w:spacing w:line="288" w:lineRule="auto"/>
              <w:jc w:val="center"/>
              <w:rPr>
                <w:rFonts w:ascii="宋体" w:hAnsi="宋体"/>
                <w:szCs w:val="21"/>
              </w:rPr>
            </w:pPr>
            <w:r>
              <w:rPr>
                <w:rFonts w:hint="eastAsia" w:ascii="宋体" w:hAnsi="宋体"/>
                <w:szCs w:val="21"/>
              </w:rPr>
              <w:t>详见本章</w:t>
            </w:r>
            <w:r>
              <w:rPr>
                <w:rFonts w:hint="eastAsia" w:ascii="宋体" w:hAnsi="宋体"/>
                <w:b/>
                <w:szCs w:val="21"/>
              </w:rPr>
              <w:t>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3.3（2）</w:t>
            </w:r>
          </w:p>
        </w:tc>
        <w:tc>
          <w:tcPr>
            <w:tcW w:w="2825" w:type="dxa"/>
            <w:gridSpan w:val="2"/>
          </w:tcPr>
          <w:p>
            <w:pPr>
              <w:widowControl w:val="0"/>
              <w:adjustRightInd w:val="0"/>
              <w:snapToGrid w:val="0"/>
              <w:spacing w:line="288" w:lineRule="auto"/>
              <w:jc w:val="center"/>
              <w:rPr>
                <w:rFonts w:ascii="宋体" w:hAnsi="宋体"/>
                <w:szCs w:val="21"/>
              </w:rPr>
            </w:pPr>
            <w:r>
              <w:rPr>
                <w:rFonts w:hint="eastAsia" w:ascii="宋体" w:hAnsi="宋体"/>
                <w:szCs w:val="21"/>
              </w:rPr>
              <w:t>技术部分评分标准</w:t>
            </w:r>
          </w:p>
        </w:tc>
        <w:tc>
          <w:tcPr>
            <w:tcW w:w="5676" w:type="dxa"/>
            <w:vAlign w:val="center"/>
          </w:tcPr>
          <w:p>
            <w:pPr>
              <w:widowControl w:val="0"/>
              <w:adjustRightInd w:val="0"/>
              <w:snapToGrid w:val="0"/>
              <w:spacing w:line="288" w:lineRule="auto"/>
              <w:jc w:val="center"/>
              <w:rPr>
                <w:rFonts w:ascii="宋体" w:hAnsi="宋体"/>
                <w:szCs w:val="21"/>
              </w:rPr>
            </w:pPr>
            <w:r>
              <w:rPr>
                <w:rFonts w:hint="eastAsia" w:ascii="宋体" w:hAnsi="宋体"/>
                <w:szCs w:val="21"/>
              </w:rPr>
              <w:t>详见本章</w:t>
            </w:r>
            <w:r>
              <w:rPr>
                <w:rFonts w:hint="eastAsia" w:ascii="宋体" w:hAnsi="宋体"/>
                <w:b/>
                <w:szCs w:val="21"/>
              </w:rPr>
              <w:t>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p>
        </w:tc>
        <w:tc>
          <w:tcPr>
            <w:tcW w:w="2825" w:type="dxa"/>
            <w:gridSpan w:val="2"/>
            <w:vAlign w:val="center"/>
          </w:tcPr>
          <w:p>
            <w:pPr>
              <w:widowControl/>
              <w:spacing w:line="240" w:lineRule="auto"/>
              <w:jc w:val="center"/>
              <w:rPr>
                <w:rFonts w:ascii="宋体" w:hAnsi="宋体"/>
                <w:szCs w:val="21"/>
              </w:rPr>
            </w:pPr>
            <w:r>
              <w:rPr>
                <w:rFonts w:hint="eastAsia" w:ascii="宋体" w:hAnsi="宋体"/>
                <w:szCs w:val="21"/>
              </w:rPr>
              <w:t>投标报价的偏差率计算公式</w:t>
            </w:r>
          </w:p>
        </w:tc>
        <w:tc>
          <w:tcPr>
            <w:tcW w:w="5676" w:type="dxa"/>
            <w:vAlign w:val="center"/>
          </w:tcPr>
          <w:p>
            <w:pPr>
              <w:widowControl w:val="0"/>
              <w:spacing w:line="360" w:lineRule="auto"/>
              <w:jc w:val="center"/>
              <w:rPr>
                <w:rFonts w:ascii="宋体" w:hAnsi="宋体" w:cs="宋体"/>
                <w:color w:val="000000"/>
                <w:szCs w:val="21"/>
              </w:rPr>
            </w:pPr>
            <w:r>
              <w:rPr>
                <w:rFonts w:hint="eastAsia" w:ascii="宋体" w:hAnsi="宋体"/>
                <w:szCs w:val="21"/>
              </w:rPr>
              <w:t>偏差率=100%×（投标人报价-评标基准价）/评标基准价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3.3（3）</w:t>
            </w:r>
          </w:p>
        </w:tc>
        <w:tc>
          <w:tcPr>
            <w:tcW w:w="2825" w:type="dxa"/>
            <w:gridSpan w:val="2"/>
          </w:tcPr>
          <w:p>
            <w:pPr>
              <w:widowControl/>
              <w:adjustRightInd w:val="0"/>
              <w:snapToGrid w:val="0"/>
              <w:spacing w:line="288" w:lineRule="auto"/>
              <w:jc w:val="center"/>
              <w:rPr>
                <w:rFonts w:cs="仿宋" w:asciiTheme="minorEastAsia" w:hAnsiTheme="minorEastAsia" w:eastAsiaTheme="minorEastAsia"/>
                <w:szCs w:val="21"/>
              </w:rPr>
            </w:pPr>
            <w:r>
              <w:rPr>
                <w:rFonts w:hint="eastAsia" w:ascii="宋体" w:hAnsi="宋体"/>
                <w:szCs w:val="21"/>
              </w:rPr>
              <w:t>报价评分标准</w:t>
            </w:r>
          </w:p>
        </w:tc>
        <w:tc>
          <w:tcPr>
            <w:tcW w:w="5676" w:type="dxa"/>
          </w:tcPr>
          <w:p>
            <w:pPr>
              <w:widowControl w:val="0"/>
              <w:jc w:val="both"/>
              <w:rPr>
                <w:rFonts w:ascii="宋体" w:hAnsi="宋体" w:cs="宋体"/>
                <w:color w:val="000000"/>
                <w:szCs w:val="21"/>
              </w:rPr>
            </w:pPr>
            <w:r>
              <w:rPr>
                <w:rFonts w:hint="eastAsia" w:ascii="宋体" w:hAnsi="宋体" w:cs="宋体"/>
                <w:color w:val="000000"/>
                <w:szCs w:val="21"/>
              </w:rPr>
              <w:t>投标价得分计算公式示例：</w:t>
            </w:r>
          </w:p>
          <w:p>
            <w:pPr>
              <w:widowControl w:val="0"/>
              <w:jc w:val="both"/>
              <w:rPr>
                <w:rFonts w:ascii="宋体" w:hAnsi="宋体" w:cs="宋体"/>
                <w:color w:val="000000"/>
                <w:szCs w:val="21"/>
              </w:rPr>
            </w:pPr>
            <w:r>
              <w:rPr>
                <w:rFonts w:hint="eastAsia" w:ascii="宋体" w:hAnsi="宋体" w:cs="宋体"/>
                <w:color w:val="000000"/>
                <w:szCs w:val="21"/>
              </w:rPr>
              <w:t>（1）如果投标人的投标报价&gt;评标基准价，则投标报价得分=P-偏差率×P×E1；</w:t>
            </w:r>
          </w:p>
          <w:p>
            <w:pPr>
              <w:widowControl w:val="0"/>
              <w:jc w:val="both"/>
              <w:rPr>
                <w:rFonts w:ascii="宋体" w:hAnsi="宋体" w:cs="宋体"/>
                <w:color w:val="000000"/>
                <w:szCs w:val="21"/>
              </w:rPr>
            </w:pPr>
            <w:r>
              <w:rPr>
                <w:rFonts w:hint="eastAsia" w:ascii="宋体" w:hAnsi="宋体" w:cs="宋体"/>
                <w:color w:val="000000"/>
                <w:szCs w:val="21"/>
              </w:rPr>
              <w:t>（2）如果投标人的投标报价≤评标基准价，则投标报价得分=P+偏差率×P×E2。</w:t>
            </w:r>
          </w:p>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cs="宋体"/>
                <w:color w:val="000000"/>
                <w:szCs w:val="21"/>
              </w:rPr>
              <w:t>其中：P是投标报价所占的评分满分值；E1是投标报价每高于评标基准价一个百分点的扣分值；E2是投标报价每低于评标基准价一个百分点的扣分值；偏差率＝（投标报价-评标基准价）／评标基准价×100%。E1=2，E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pPr>
              <w:widowControl w:val="0"/>
              <w:adjustRightInd w:val="0"/>
              <w:snapToGrid w:val="0"/>
              <w:spacing w:line="288" w:lineRule="auto"/>
              <w:jc w:val="both"/>
              <w:rPr>
                <w:rFonts w:asciiTheme="minorEastAsia" w:hAnsiTheme="minorEastAsia" w:eastAsiaTheme="minorEastAsia"/>
                <w:szCs w:val="21"/>
              </w:rPr>
            </w:pPr>
            <w:r>
              <w:rPr>
                <w:rFonts w:hint="eastAsia" w:asciiTheme="minorEastAsia" w:hAnsiTheme="minorEastAsia" w:eastAsiaTheme="minorEastAsia"/>
                <w:szCs w:val="21"/>
              </w:rPr>
              <w:t xml:space="preserve">3.4.1 </w:t>
            </w:r>
          </w:p>
        </w:tc>
        <w:tc>
          <w:tcPr>
            <w:tcW w:w="2825" w:type="dxa"/>
            <w:gridSpan w:val="2"/>
            <w:vAlign w:val="center"/>
          </w:tcPr>
          <w:p>
            <w:pPr>
              <w:widowControl w:val="0"/>
              <w:adjustRightInd w:val="0"/>
              <w:snapToGrid w:val="0"/>
              <w:spacing w:line="288" w:lineRule="auto"/>
              <w:jc w:val="both"/>
              <w:rPr>
                <w:rFonts w:asciiTheme="minorEastAsia" w:hAnsiTheme="minorEastAsia" w:eastAsiaTheme="minorEastAsia"/>
                <w:szCs w:val="21"/>
              </w:rPr>
            </w:pPr>
            <w:r>
              <w:rPr>
                <w:rFonts w:hint="eastAsia" w:asciiTheme="minorEastAsia" w:hAnsiTheme="minorEastAsia" w:eastAsiaTheme="minorEastAsia"/>
                <w:szCs w:val="21"/>
              </w:rPr>
              <w:t>供应商最终得分的计算方法</w:t>
            </w:r>
          </w:p>
        </w:tc>
        <w:tc>
          <w:tcPr>
            <w:tcW w:w="5676" w:type="dxa"/>
            <w:vAlign w:val="center"/>
          </w:tcPr>
          <w:p>
            <w:pPr>
              <w:widowControl w:val="0"/>
              <w:adjustRightInd w:val="0"/>
              <w:snapToGrid w:val="0"/>
              <w:spacing w:line="288" w:lineRule="auto"/>
              <w:jc w:val="both"/>
              <w:rPr>
                <w:rFonts w:asciiTheme="minorEastAsia" w:hAnsiTheme="minorEastAsia" w:eastAsiaTheme="minorEastAsia"/>
                <w:szCs w:val="21"/>
              </w:rPr>
            </w:pPr>
            <w:r>
              <w:rPr>
                <w:rFonts w:hint="eastAsia" w:asciiTheme="minorEastAsia" w:hAnsiTheme="minorEastAsia" w:eastAsiaTheme="minorEastAsia"/>
                <w:szCs w:val="21"/>
              </w:rPr>
              <w:t>供应商最终得分为商务部分、技术部分、投标报价3个方面评价得分之和。</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1评审方法(综合评分法)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本次评审采用综合评分法。评审小组对满足采购文件实质性要求的响应文件，按照本章第3条规定的评分标准进行打分，并按得分由高到低的顺序推荐成交候选供应商。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sz w:val="24"/>
        </w:rPr>
      </w:pPr>
      <w:r>
        <w:rPr>
          <w:rFonts w:hint="eastAsia" w:ascii="宋体" w:hAnsi="宋体" w:cs="仿宋"/>
          <w:b/>
          <w:bCs/>
          <w:sz w:val="24"/>
        </w:rPr>
        <w:t>3详细评审标准和程序(综合评分法)</w:t>
      </w:r>
    </w:p>
    <w:p>
      <w:pPr>
        <w:adjustRightInd w:val="0"/>
        <w:snapToGrid w:val="0"/>
        <w:spacing w:line="312" w:lineRule="auto"/>
        <w:jc w:val="both"/>
        <w:rPr>
          <w:rFonts w:ascii="宋体" w:hAnsi="宋体" w:cs="仿宋"/>
          <w:b/>
          <w:bCs/>
          <w:sz w:val="24"/>
        </w:rPr>
      </w:pPr>
      <w:r>
        <w:rPr>
          <w:rFonts w:hint="eastAsia" w:ascii="宋体" w:hAnsi="宋体" w:cs="仿宋"/>
          <w:b/>
          <w:bCs/>
          <w:sz w:val="24"/>
        </w:rPr>
        <w:t>3.1分值构成</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(1)商务部分:见评审办法前附表;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(2)技术部分:见评审办法前附表;</w:t>
      </w:r>
    </w:p>
    <w:p>
      <w:pPr>
        <w:adjustRightInd w:val="0"/>
        <w:snapToGrid w:val="0"/>
        <w:spacing w:line="312" w:lineRule="auto"/>
        <w:ind w:firstLine="321" w:firstLineChars="134"/>
        <w:jc w:val="both"/>
        <w:rPr>
          <w:rFonts w:ascii="宋体" w:hAnsi="宋体" w:cs="仿宋"/>
          <w:sz w:val="24"/>
        </w:rPr>
      </w:pPr>
      <w:r>
        <w:rPr>
          <w:rFonts w:hint="eastAsia" w:ascii="宋体" w:hAnsi="宋体" w:cs="仿宋"/>
          <w:sz w:val="24"/>
        </w:rPr>
        <w:t xml:space="preserve"> (3)报价:见评审办法前附表;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3.2评分标准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(1)商务评分标准:见评审办法前附表;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(2)技术评分标准:见评审办法前附表;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(3)报价评分标准: 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3.3评分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pPr>
        <w:adjustRightInd w:val="0"/>
        <w:snapToGrid w:val="0"/>
        <w:spacing w:line="312" w:lineRule="auto"/>
        <w:jc w:val="both"/>
        <w:rPr>
          <w:rFonts w:ascii="宋体" w:hAnsi="宋体" w:cs="仿宋"/>
          <w:sz w:val="24"/>
        </w:rPr>
      </w:pPr>
      <w:r>
        <w:rPr>
          <w:rFonts w:hint="eastAsia" w:ascii="宋体" w:hAnsi="宋体" w:cs="仿宋"/>
          <w:b/>
          <w:bCs/>
          <w:sz w:val="24"/>
        </w:rPr>
        <w:t>3.4汇总</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评审小组汇总每个成员对供应商的评分总分，每个供应商的评分总分的算术平均值为供应商最终得分。</w:t>
      </w:r>
    </w:p>
    <w:p>
      <w:pPr>
        <w:adjustRightInd w:val="0"/>
        <w:snapToGrid w:val="0"/>
        <w:spacing w:line="312" w:lineRule="auto"/>
        <w:jc w:val="both"/>
        <w:rPr>
          <w:rFonts w:ascii="宋体" w:hAnsi="宋体" w:cs="仿宋"/>
          <w:b/>
          <w:bCs/>
          <w:sz w:val="24"/>
        </w:rPr>
      </w:pPr>
      <w:r>
        <w:rPr>
          <w:rFonts w:hint="eastAsia" w:ascii="宋体" w:hAnsi="宋体" w:cs="仿宋"/>
          <w:b/>
          <w:bCs/>
          <w:sz w:val="24"/>
        </w:rPr>
        <w:t>3.5排序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both"/>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r>
        <w:rPr>
          <w:rFonts w:hint="eastAsia" w:ascii="黑体" w:hAnsi="黑体" w:eastAsia="黑体" w:cs="宋体"/>
          <w:kern w:val="44"/>
          <w:sz w:val="32"/>
          <w:szCs w:val="32"/>
        </w:rPr>
        <w:t>附表1  商务部分评分表</w:t>
      </w:r>
    </w:p>
    <w:p>
      <w:pPr>
        <w:snapToGrid w:val="0"/>
        <w:spacing w:line="400" w:lineRule="exact"/>
        <w:jc w:val="both"/>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岳阳城陵矶港务有限责任公司码头环保提质改造二期工程第二条装车线交工质量检测服务                  </w:t>
      </w:r>
    </w:p>
    <w:tbl>
      <w:tblPr>
        <w:tblStyle w:val="38"/>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56"/>
        <w:gridCol w:w="4819"/>
        <w:gridCol w:w="1121"/>
        <w:gridCol w:w="112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序号</w:t>
            </w:r>
          </w:p>
        </w:tc>
        <w:tc>
          <w:tcPr>
            <w:tcW w:w="1856"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评分因素</w:t>
            </w:r>
          </w:p>
        </w:tc>
        <w:tc>
          <w:tcPr>
            <w:tcW w:w="481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评价内容/分值</w:t>
            </w:r>
          </w:p>
        </w:tc>
        <w:tc>
          <w:tcPr>
            <w:tcW w:w="3254" w:type="dxa"/>
            <w:gridSpan w:val="3"/>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r>
              <w:rPr>
                <w:rFonts w:hint="eastAsia" w:ascii="宋体" w:hAnsi="宋体"/>
                <w:kern w:val="0"/>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c>
          <w:tcPr>
            <w:tcW w:w="1856"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c>
          <w:tcPr>
            <w:tcW w:w="481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kern w:val="0"/>
                <w:szCs w:val="21"/>
              </w:rPr>
            </w:pPr>
            <w:r>
              <w:rPr>
                <w:rFonts w:hint="eastAsia" w:ascii="宋体" w:hAnsi="宋体" w:cs="宋体"/>
                <w:color w:val="000000"/>
                <w:szCs w:val="21"/>
                <w:highlight w:val="none"/>
              </w:rPr>
              <w:t>项目负责人</w:t>
            </w:r>
            <w:r>
              <w:rPr>
                <w:rFonts w:ascii="宋体" w:hAnsi="宋体" w:cs="宋体"/>
                <w:color w:val="000000"/>
                <w:szCs w:val="21"/>
                <w:highlight w:val="none"/>
              </w:rPr>
              <w:t xml:space="preserve">    </w:t>
            </w:r>
            <w:r>
              <w:rPr>
                <w:rFonts w:hint="eastAsia" w:ascii="宋体" w:hAnsi="宋体" w:cs="宋体"/>
                <w:color w:val="000000"/>
                <w:szCs w:val="21"/>
                <w:highlight w:val="none"/>
              </w:rPr>
              <w:t>（</w:t>
            </w:r>
            <w:r>
              <w:rPr>
                <w:rFonts w:ascii="宋体" w:hAnsi="宋体" w:cs="宋体"/>
                <w:color w:val="000000"/>
                <w:szCs w:val="21"/>
                <w:highlight w:val="none"/>
              </w:rPr>
              <w:t>15分</w:t>
            </w:r>
            <w:r>
              <w:rPr>
                <w:rFonts w:hint="eastAsia" w:ascii="宋体" w:hAnsi="宋体" w:cs="宋体"/>
                <w:color w:val="000000"/>
                <w:szCs w:val="21"/>
              </w:rPr>
              <w:t>）</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auto"/>
              <w:jc w:val="both"/>
              <w:rPr>
                <w:rFonts w:ascii="宋体" w:hAnsi="宋体" w:cs="Times New Roman"/>
                <w:bCs/>
                <w:color w:val="auto"/>
                <w:szCs w:val="21"/>
              </w:rPr>
            </w:pPr>
            <w:r>
              <w:rPr>
                <w:rFonts w:hint="eastAsia" w:ascii="宋体" w:hAnsi="宋体" w:cs="Times New Roman"/>
                <w:bCs/>
                <w:color w:val="auto"/>
                <w:szCs w:val="21"/>
                <w:highlight w:val="none"/>
              </w:rPr>
              <w:t>满足资格审查要求，得基本分</w:t>
            </w:r>
            <w:r>
              <w:rPr>
                <w:rFonts w:ascii="宋体" w:hAnsi="宋体" w:cs="Times New Roman"/>
                <w:bCs/>
                <w:color w:val="auto"/>
                <w:szCs w:val="21"/>
                <w:highlight w:val="none"/>
              </w:rPr>
              <w:t>10分；</w:t>
            </w:r>
          </w:p>
          <w:p>
            <w:pPr>
              <w:widowControl w:val="0"/>
              <w:spacing w:line="240" w:lineRule="auto"/>
              <w:jc w:val="both"/>
              <w:rPr>
                <w:rFonts w:ascii="宋体" w:hAnsi="宋体" w:cs="Times New Roman"/>
                <w:bCs/>
                <w:color w:val="auto"/>
                <w:szCs w:val="21"/>
              </w:rPr>
            </w:pPr>
            <w:r>
              <w:rPr>
                <w:rFonts w:ascii="宋体" w:hAnsi="宋体" w:cs="Times New Roman"/>
                <w:bCs/>
                <w:color w:val="auto"/>
                <w:szCs w:val="21"/>
              </w:rPr>
              <w:t>1、项目负责人同时具有研究员级高级工程师加2分；</w:t>
            </w:r>
          </w:p>
          <w:p>
            <w:pPr>
              <w:widowControl w:val="0"/>
              <w:spacing w:line="240" w:lineRule="auto"/>
              <w:jc w:val="both"/>
              <w:rPr>
                <w:rFonts w:ascii="宋体" w:hAnsi="宋体" w:cs="Times New Roman"/>
                <w:bCs/>
                <w:color w:val="auto"/>
                <w:szCs w:val="21"/>
              </w:rPr>
            </w:pPr>
            <w:r>
              <w:rPr>
                <w:rFonts w:ascii="宋体" w:hAnsi="宋体" w:cs="Times New Roman"/>
                <w:bCs/>
                <w:color w:val="auto"/>
                <w:szCs w:val="21"/>
              </w:rPr>
              <w:t>2、项目负责人同时具有水运结构</w:t>
            </w:r>
            <w:r>
              <w:rPr>
                <w:rFonts w:hint="eastAsia" w:ascii="宋体" w:hAnsi="宋体" w:cs="Times New Roman"/>
                <w:bCs/>
                <w:color w:val="auto"/>
                <w:szCs w:val="21"/>
              </w:rPr>
              <w:t>工程师加</w:t>
            </w:r>
            <w:r>
              <w:rPr>
                <w:rFonts w:ascii="宋体" w:hAnsi="宋体" w:cs="Times New Roman"/>
                <w:bCs/>
                <w:color w:val="auto"/>
                <w:szCs w:val="21"/>
              </w:rPr>
              <w:t>1分；</w:t>
            </w:r>
          </w:p>
          <w:p>
            <w:pPr>
              <w:widowControl w:val="0"/>
              <w:spacing w:line="240" w:lineRule="auto"/>
              <w:jc w:val="both"/>
              <w:rPr>
                <w:rFonts w:ascii="宋体" w:hAnsi="宋体" w:cs="Times New Roman"/>
                <w:bCs/>
                <w:color w:val="auto"/>
                <w:szCs w:val="21"/>
              </w:rPr>
            </w:pPr>
            <w:r>
              <w:rPr>
                <w:rFonts w:ascii="宋体" w:hAnsi="宋体" w:cs="Times New Roman"/>
                <w:bCs/>
                <w:color w:val="auto"/>
                <w:szCs w:val="21"/>
              </w:rPr>
              <w:t>3、项目负责人同时具有特种设备UT中级（Ⅱ）级及以上无损检测证加1分；</w:t>
            </w:r>
          </w:p>
          <w:p>
            <w:pPr>
              <w:widowControl w:val="0"/>
              <w:spacing w:line="240" w:lineRule="auto"/>
              <w:jc w:val="both"/>
              <w:rPr>
                <w:rFonts w:ascii="宋体" w:hAnsi="宋体"/>
                <w:bCs/>
                <w:kern w:val="2"/>
                <w:szCs w:val="21"/>
              </w:rPr>
            </w:pPr>
            <w:r>
              <w:rPr>
                <w:rFonts w:ascii="宋体" w:hAnsi="宋体" w:cs="Times New Roman"/>
                <w:bCs/>
                <w:color w:val="auto"/>
                <w:szCs w:val="21"/>
              </w:rPr>
              <w:t>4、项目负责人同时具有省级建设工程质量检测钢结构检测证加1分。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2</w:t>
            </w:r>
          </w:p>
        </w:tc>
        <w:tc>
          <w:tcPr>
            <w:tcW w:w="185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jc w:val="center"/>
              <w:rPr>
                <w:rFonts w:ascii="宋体" w:hAnsi="宋体"/>
                <w:kern w:val="0"/>
                <w:sz w:val="18"/>
                <w:szCs w:val="18"/>
              </w:rPr>
            </w:pPr>
            <w:r>
              <w:rPr>
                <w:rFonts w:hint="eastAsia" w:ascii="宋体" w:hAnsi="宋体" w:cs="宋体"/>
                <w:color w:val="000000"/>
                <w:szCs w:val="21"/>
                <w:highlight w:val="none"/>
              </w:rPr>
              <w:t>技术负责人</w:t>
            </w:r>
            <w:r>
              <w:rPr>
                <w:rFonts w:ascii="宋体" w:hAnsi="宋体" w:cs="宋体"/>
                <w:color w:val="000000"/>
                <w:szCs w:val="21"/>
                <w:highlight w:val="none"/>
              </w:rPr>
              <w:t xml:space="preserve">   </w:t>
            </w:r>
            <w:r>
              <w:rPr>
                <w:rFonts w:hint="eastAsia" w:ascii="宋体" w:hAnsi="宋体" w:cs="宋体"/>
                <w:color w:val="000000"/>
                <w:szCs w:val="21"/>
                <w:highlight w:val="none"/>
              </w:rPr>
              <w:t>（</w:t>
            </w:r>
            <w:r>
              <w:rPr>
                <w:rFonts w:ascii="宋体" w:hAnsi="宋体" w:cs="宋体"/>
                <w:color w:val="000000"/>
                <w:szCs w:val="21"/>
                <w:highlight w:val="none"/>
              </w:rPr>
              <w:t>15分）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auto"/>
              <w:jc w:val="both"/>
              <w:rPr>
                <w:rFonts w:ascii="宋体" w:hAnsi="宋体" w:cs="Times New Roman"/>
                <w:bCs/>
                <w:color w:val="auto"/>
                <w:szCs w:val="21"/>
                <w:highlight w:val="none"/>
              </w:rPr>
            </w:pPr>
            <w:r>
              <w:rPr>
                <w:rFonts w:hint="eastAsia" w:ascii="宋体" w:hAnsi="宋体" w:cs="Times New Roman"/>
                <w:bCs/>
                <w:color w:val="auto"/>
                <w:szCs w:val="21"/>
                <w:highlight w:val="none"/>
              </w:rPr>
              <w:t>满足资格审查要求，得基本分</w:t>
            </w:r>
            <w:r>
              <w:rPr>
                <w:rFonts w:ascii="宋体" w:hAnsi="宋体" w:cs="Times New Roman"/>
                <w:bCs/>
                <w:color w:val="auto"/>
                <w:szCs w:val="21"/>
                <w:highlight w:val="none"/>
              </w:rPr>
              <w:t>10分；</w:t>
            </w:r>
          </w:p>
          <w:p>
            <w:pPr>
              <w:widowControl w:val="0"/>
              <w:numPr>
                <w:ilvl w:val="255"/>
                <w:numId w:val="0"/>
              </w:numPr>
              <w:spacing w:line="240" w:lineRule="auto"/>
              <w:ind w:left="0" w:firstLine="0"/>
              <w:jc w:val="both"/>
              <w:rPr>
                <w:rFonts w:ascii="宋体" w:hAnsi="宋体" w:cs="Times New Roman"/>
                <w:bCs/>
                <w:color w:val="auto"/>
                <w:szCs w:val="21"/>
              </w:rPr>
            </w:pPr>
            <w:r>
              <w:rPr>
                <w:rFonts w:hint="eastAsia" w:ascii="宋体" w:hAnsi="宋体"/>
                <w:bCs/>
                <w:szCs w:val="21"/>
              </w:rPr>
              <w:t>1、</w:t>
            </w:r>
            <w:r>
              <w:rPr>
                <w:rFonts w:hint="eastAsia" w:ascii="宋体" w:hAnsi="宋体" w:cs="Times New Roman"/>
                <w:bCs/>
                <w:color w:val="auto"/>
                <w:szCs w:val="21"/>
              </w:rPr>
              <w:t>技术负责人同时具有研究员级高级工程师加</w:t>
            </w:r>
            <w:r>
              <w:rPr>
                <w:rFonts w:ascii="宋体" w:hAnsi="宋体" w:cs="Times New Roman"/>
                <w:bCs/>
                <w:color w:val="auto"/>
                <w:szCs w:val="21"/>
              </w:rPr>
              <w:t>2分；</w:t>
            </w:r>
          </w:p>
          <w:p>
            <w:pPr>
              <w:widowControl w:val="0"/>
              <w:spacing w:line="240" w:lineRule="auto"/>
              <w:jc w:val="both"/>
              <w:rPr>
                <w:rFonts w:ascii="宋体" w:hAnsi="宋体"/>
                <w:bCs/>
                <w:szCs w:val="21"/>
              </w:rPr>
            </w:pPr>
            <w:r>
              <w:rPr>
                <w:rFonts w:hint="eastAsia" w:ascii="宋体" w:hAnsi="宋体"/>
                <w:bCs/>
                <w:szCs w:val="21"/>
              </w:rPr>
              <w:t>2、</w:t>
            </w:r>
            <w:r>
              <w:rPr>
                <w:rFonts w:hint="eastAsia" w:ascii="宋体" w:hAnsi="宋体" w:cs="Times New Roman"/>
                <w:bCs/>
                <w:color w:val="auto"/>
                <w:szCs w:val="21"/>
              </w:rPr>
              <w:t>技术负责人同时具有注册土木工程师（道路工程）加</w:t>
            </w:r>
            <w:r>
              <w:rPr>
                <w:rFonts w:hint="eastAsia" w:ascii="宋体" w:hAnsi="宋体"/>
                <w:bCs/>
                <w:szCs w:val="21"/>
              </w:rPr>
              <w:t>3</w:t>
            </w:r>
            <w:r>
              <w:rPr>
                <w:rFonts w:hint="eastAsia" w:ascii="宋体" w:hAnsi="宋体" w:cs="Times New Roman"/>
                <w:bCs/>
                <w:color w:val="auto"/>
                <w:szCs w:val="21"/>
              </w:rPr>
              <w:t>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3</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cs="宋体"/>
                <w:color w:val="000000"/>
                <w:szCs w:val="21"/>
              </w:rPr>
              <w:t>业绩（5分）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auto"/>
              <w:jc w:val="both"/>
              <w:rPr>
                <w:rFonts w:ascii="宋体" w:hAnsi="宋体" w:cs="Times New Roman"/>
                <w:bCs/>
                <w:color w:val="auto"/>
                <w:szCs w:val="21"/>
              </w:rPr>
            </w:pPr>
            <w:r>
              <w:rPr>
                <w:rFonts w:hint="eastAsia" w:ascii="宋体" w:hAnsi="宋体" w:cs="Times New Roman"/>
                <w:bCs/>
                <w:color w:val="auto"/>
                <w:szCs w:val="21"/>
              </w:rPr>
              <w:t>满足资格审查业绩最低条件，得</w:t>
            </w:r>
            <w:r>
              <w:rPr>
                <w:rFonts w:ascii="宋体" w:hAnsi="宋体" w:cs="Times New Roman"/>
                <w:bCs/>
                <w:color w:val="auto"/>
                <w:szCs w:val="21"/>
              </w:rPr>
              <w:t>3分；</w:t>
            </w:r>
          </w:p>
          <w:p>
            <w:pPr>
              <w:widowControl w:val="0"/>
              <w:spacing w:line="240" w:lineRule="auto"/>
              <w:jc w:val="both"/>
              <w:rPr>
                <w:rFonts w:ascii="宋体" w:hAnsi="宋体"/>
                <w:bCs/>
                <w:szCs w:val="21"/>
              </w:rPr>
            </w:pPr>
            <w:r>
              <w:rPr>
                <w:rFonts w:hint="eastAsia" w:ascii="宋体" w:hAnsi="宋体" w:cs="Times New Roman"/>
                <w:bCs/>
                <w:color w:val="auto"/>
                <w:szCs w:val="21"/>
              </w:rPr>
              <w:t>近五年（投标截止日期往前推算）每增加</w:t>
            </w:r>
            <w:r>
              <w:rPr>
                <w:rFonts w:ascii="宋体" w:hAnsi="宋体" w:cs="Times New Roman"/>
                <w:bCs/>
                <w:color w:val="auto"/>
                <w:szCs w:val="21"/>
              </w:rPr>
              <w:t xml:space="preserve">1个1000吨级或以上码头交工质量检测项目业绩加1分，最多加2分。  </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4</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cs="宋体"/>
                <w:color w:val="000000"/>
                <w:szCs w:val="21"/>
              </w:rPr>
              <w:t>企业资质（10分）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auto"/>
              <w:ind w:left="0"/>
              <w:jc w:val="both"/>
              <w:rPr>
                <w:rFonts w:ascii="宋体" w:hAnsi="宋体"/>
                <w:bCs/>
                <w:szCs w:val="21"/>
              </w:rPr>
            </w:pPr>
            <w:r>
              <w:rPr>
                <w:rFonts w:hint="eastAsia" w:ascii="宋体" w:hAnsi="宋体"/>
                <w:bCs/>
                <w:szCs w:val="21"/>
              </w:rPr>
              <w:t>1、投标人具有质量、环境及职业安全管理体系认证证书其中之一的每项加</w:t>
            </w:r>
            <w:r>
              <w:rPr>
                <w:rFonts w:ascii="宋体" w:hAnsi="宋体"/>
                <w:bCs/>
                <w:szCs w:val="21"/>
              </w:rPr>
              <w:t>2</w:t>
            </w:r>
            <w:r>
              <w:rPr>
                <w:rFonts w:hint="eastAsia" w:ascii="宋体" w:hAnsi="宋体"/>
                <w:bCs/>
                <w:szCs w:val="21"/>
              </w:rPr>
              <w:t>分，最高得</w:t>
            </w:r>
            <w:r>
              <w:rPr>
                <w:rFonts w:ascii="宋体" w:hAnsi="宋体"/>
                <w:bCs/>
                <w:szCs w:val="21"/>
              </w:rPr>
              <w:t>6</w:t>
            </w:r>
            <w:r>
              <w:rPr>
                <w:rFonts w:hint="eastAsia" w:ascii="宋体" w:hAnsi="宋体"/>
                <w:bCs/>
                <w:szCs w:val="21"/>
              </w:rPr>
              <w:t>分。</w:t>
            </w:r>
          </w:p>
          <w:p>
            <w:pPr>
              <w:widowControl w:val="0"/>
              <w:spacing w:line="240" w:lineRule="auto"/>
              <w:jc w:val="both"/>
              <w:rPr>
                <w:szCs w:val="21"/>
              </w:rPr>
            </w:pPr>
            <w:r>
              <w:rPr>
                <w:rFonts w:hint="eastAsia" w:ascii="宋体" w:hAnsi="宋体"/>
                <w:bCs/>
                <w:szCs w:val="21"/>
              </w:rPr>
              <w:t>2</w:t>
            </w:r>
            <w:r>
              <w:rPr>
                <w:rFonts w:hint="eastAsia" w:ascii="宋体" w:hAnsi="宋体"/>
                <w:bCs/>
                <w:szCs w:val="21"/>
                <w:highlight w:val="none"/>
              </w:rPr>
              <w:t>、</w:t>
            </w:r>
            <w:r>
              <w:rPr>
                <w:rFonts w:hint="eastAsia" w:ascii="宋体" w:hAnsi="宋体" w:cs="宋体"/>
                <w:bCs/>
                <w:color w:val="000000"/>
                <w:szCs w:val="21"/>
                <w:highlight w:val="none"/>
              </w:rPr>
              <w:t>投标人在交通运输部“公路水运工程试验检测管理信息系统”发布的年度公路水运工程试验检测信用评价中（</w:t>
            </w:r>
            <w:r>
              <w:rPr>
                <w:rFonts w:ascii="宋体" w:hAnsi="宋体" w:cs="宋体"/>
                <w:bCs/>
                <w:color w:val="000000"/>
                <w:szCs w:val="21"/>
                <w:highlight w:val="none"/>
              </w:rPr>
              <w:t>2018-2020年度），信用评价连续三年双AA的得4分，连续两年获得AA评价的得3分，单年度获得AA评价的得2分，最高得4分。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szCs w:val="21"/>
              </w:rPr>
            </w:pPr>
            <w:r>
              <w:rPr>
                <w:rFonts w:hint="eastAsia" w:ascii="宋体" w:hAnsi="宋体"/>
                <w:b/>
                <w:kern w:val="0"/>
                <w:szCs w:val="21"/>
              </w:rPr>
              <w:t xml:space="preserve">合    计     </w:t>
            </w:r>
            <w:r>
              <w:rPr>
                <w:rFonts w:ascii="宋体" w:hAnsi="宋体"/>
                <w:b/>
                <w:kern w:val="0"/>
                <w:szCs w:val="21"/>
              </w:rPr>
              <w:t>45</w:t>
            </w:r>
            <w:r>
              <w:rPr>
                <w:rFonts w:hint="eastAsia" w:ascii="宋体" w:hAnsi="宋体"/>
                <w:b/>
                <w:kern w:val="0"/>
                <w:szCs w:val="21"/>
              </w:rPr>
              <w:t xml:space="preserve">    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bl>
    <w:p>
      <w:pPr>
        <w:widowControl w:val="0"/>
        <w:adjustRightInd w:val="0"/>
        <w:snapToGrid w:val="0"/>
        <w:spacing w:line="312" w:lineRule="auto"/>
        <w:jc w:val="both"/>
        <w:rPr>
          <w:rFonts w:ascii="宋体" w:hAnsi="宋体"/>
          <w:szCs w:val="21"/>
        </w:rPr>
      </w:pPr>
      <w:r>
        <w:rPr>
          <w:rFonts w:hint="eastAsia" w:ascii="宋体" w:hAnsi="宋体"/>
          <w:b/>
          <w:kern w:val="0"/>
          <w:szCs w:val="21"/>
        </w:rPr>
        <w:t>注：</w:t>
      </w:r>
      <w:r>
        <w:rPr>
          <w:rFonts w:hint="eastAsia" w:ascii="宋体" w:hAnsi="宋体"/>
          <w:kern w:val="0"/>
          <w:szCs w:val="21"/>
        </w:rPr>
        <w:t xml:space="preserve"> 1、</w:t>
      </w:r>
      <w:r>
        <w:rPr>
          <w:rFonts w:hint="eastAsia" w:ascii="宋体" w:hAnsi="宋体"/>
          <w:szCs w:val="21"/>
        </w:rPr>
        <w:t>本表由评审（谈判）小组集体评议，统一计分。评审（谈判）小组成员中对结论有不同意见时，按少数服从多数的原则，确定得分。</w:t>
      </w:r>
    </w:p>
    <w:p>
      <w:pPr>
        <w:widowControl w:val="0"/>
        <w:adjustRightInd w:val="0"/>
        <w:snapToGrid w:val="0"/>
        <w:spacing w:line="312" w:lineRule="auto"/>
        <w:ind w:firstLine="420" w:firstLineChars="200"/>
        <w:jc w:val="both"/>
        <w:rPr>
          <w:rFonts w:ascii="宋体" w:hAnsi="宋体"/>
          <w:kern w:val="0"/>
          <w:szCs w:val="21"/>
        </w:rPr>
      </w:pPr>
      <w:r>
        <w:rPr>
          <w:rFonts w:hint="eastAsia" w:ascii="宋体" w:hAnsi="宋体"/>
          <w:kern w:val="0"/>
          <w:szCs w:val="21"/>
        </w:rPr>
        <w:t>2、各评分因素中基本合理项的最低分值不得低于该评分因素和评分标准最高分值的60%。</w:t>
      </w:r>
      <w:r>
        <w:rPr>
          <w:rFonts w:hint="eastAsia" w:ascii="宋体" w:hAnsi="宋体"/>
          <w:szCs w:val="21"/>
        </w:rPr>
        <w:t>评审（谈判）小组</w:t>
      </w:r>
      <w:r>
        <w:rPr>
          <w:rFonts w:hint="eastAsia" w:ascii="宋体" w:hAnsi="宋体"/>
          <w:kern w:val="0"/>
          <w:szCs w:val="21"/>
        </w:rPr>
        <w:t>对某评分因素评审计分低于该评分因素和评分标准最高分值的60%的，评委应说明原因。</w:t>
      </w:r>
    </w:p>
    <w:p>
      <w:pPr>
        <w:widowControl w:val="0"/>
        <w:jc w:val="both"/>
        <w:rPr>
          <w:rFonts w:ascii="宋体" w:hAnsi="宋体"/>
          <w:sz w:val="24"/>
        </w:rPr>
      </w:pPr>
    </w:p>
    <w:p>
      <w:pPr>
        <w:widowControl w:val="0"/>
        <w:jc w:val="both"/>
        <w:rPr>
          <w:rFonts w:ascii="宋体" w:hAnsi="宋体"/>
          <w:sz w:val="24"/>
        </w:rPr>
      </w:pPr>
    </w:p>
    <w:p>
      <w:pPr>
        <w:widowControl w:val="0"/>
        <w:jc w:val="both"/>
        <w:rPr>
          <w:rFonts w:ascii="宋体" w:hAnsi="宋体"/>
          <w:bCs/>
          <w:sz w:val="24"/>
        </w:rPr>
      </w:pPr>
      <w:r>
        <w:rPr>
          <w:rFonts w:hint="eastAsia" w:ascii="宋体" w:hAnsi="宋体"/>
          <w:sz w:val="24"/>
        </w:rPr>
        <w:t>评审（谈判）小组</w:t>
      </w:r>
      <w:r>
        <w:rPr>
          <w:rFonts w:ascii="宋体" w:hAnsi="宋体"/>
          <w:sz w:val="24"/>
        </w:rPr>
        <w:t>全体成员签字：</w:t>
      </w:r>
    </w:p>
    <w:p>
      <w:pPr>
        <w:widowControl w:val="0"/>
        <w:snapToGrid w:val="0"/>
        <w:spacing w:line="240" w:lineRule="auto"/>
        <w:jc w:val="both"/>
        <w:outlineLvl w:val="2"/>
        <w:rPr>
          <w:rFonts w:ascii="黑体" w:hAnsi="黑体" w:eastAsia="黑体"/>
          <w:sz w:val="32"/>
          <w:szCs w:val="32"/>
        </w:rPr>
      </w:pPr>
    </w:p>
    <w:p>
      <w:pPr>
        <w:widowControl w:val="0"/>
        <w:snapToGrid w:val="0"/>
        <w:spacing w:line="240" w:lineRule="auto"/>
        <w:jc w:val="both"/>
        <w:outlineLvl w:val="2"/>
        <w:rPr>
          <w:rFonts w:ascii="黑体" w:hAnsi="黑体" w:eastAsia="黑体"/>
          <w:sz w:val="32"/>
          <w:szCs w:val="32"/>
        </w:rPr>
      </w:pPr>
    </w:p>
    <w:p>
      <w:pPr>
        <w:widowControl w:val="0"/>
        <w:snapToGrid w:val="0"/>
        <w:spacing w:line="240" w:lineRule="auto"/>
        <w:jc w:val="both"/>
        <w:outlineLvl w:val="2"/>
        <w:rPr>
          <w:rFonts w:ascii="黑体" w:hAnsi="黑体" w:eastAsia="黑体"/>
          <w:sz w:val="32"/>
          <w:szCs w:val="32"/>
        </w:rPr>
      </w:pPr>
    </w:p>
    <w:p>
      <w:pPr>
        <w:widowControl w:val="0"/>
        <w:snapToGrid w:val="0"/>
        <w:spacing w:line="240" w:lineRule="auto"/>
        <w:jc w:val="both"/>
        <w:outlineLvl w:val="2"/>
        <w:rPr>
          <w:rFonts w:ascii="黑体" w:hAnsi="黑体" w:eastAsia="黑体"/>
          <w:sz w:val="32"/>
          <w:szCs w:val="32"/>
        </w:rPr>
      </w:pPr>
    </w:p>
    <w:p>
      <w:pPr>
        <w:widowControl w:val="0"/>
        <w:snapToGrid w:val="0"/>
        <w:spacing w:line="240" w:lineRule="auto"/>
        <w:outlineLvl w:val="2"/>
        <w:rPr>
          <w:rFonts w:ascii="黑体" w:hAnsi="黑体" w:eastAsia="黑体"/>
          <w:sz w:val="32"/>
          <w:szCs w:val="32"/>
        </w:rPr>
      </w:pPr>
    </w:p>
    <w:p>
      <w:pPr>
        <w:widowControl w:val="0"/>
        <w:snapToGrid w:val="0"/>
        <w:spacing w:line="240" w:lineRule="auto"/>
        <w:outlineLvl w:val="2"/>
        <w:rPr>
          <w:rFonts w:ascii="黑体" w:hAnsi="黑体" w:eastAsia="黑体"/>
          <w:sz w:val="32"/>
          <w:szCs w:val="32"/>
        </w:rPr>
      </w:pPr>
      <w:r>
        <w:rPr>
          <w:rFonts w:hint="eastAsia" w:ascii="黑体" w:hAnsi="黑体" w:eastAsia="黑体"/>
          <w:sz w:val="32"/>
          <w:szCs w:val="32"/>
        </w:rPr>
        <w:t xml:space="preserve">附表2 </w:t>
      </w:r>
    </w:p>
    <w:p>
      <w:pPr>
        <w:widowControl w:val="0"/>
        <w:snapToGrid w:val="0"/>
        <w:spacing w:line="240" w:lineRule="auto"/>
        <w:jc w:val="center"/>
        <w:outlineLvl w:val="2"/>
        <w:rPr>
          <w:rFonts w:ascii="黑体" w:hAnsi="黑体" w:eastAsia="黑体"/>
          <w:sz w:val="32"/>
          <w:szCs w:val="32"/>
        </w:rPr>
      </w:pPr>
      <w:r>
        <w:rPr>
          <w:rFonts w:hint="eastAsia" w:ascii="黑体" w:hAnsi="黑体" w:eastAsia="黑体"/>
          <w:sz w:val="32"/>
          <w:szCs w:val="32"/>
        </w:rPr>
        <w:t>技术部分评分表</w:t>
      </w:r>
    </w:p>
    <w:p>
      <w:pPr>
        <w:widowControl w:val="0"/>
        <w:adjustRightInd w:val="0"/>
        <w:snapToGrid w:val="0"/>
        <w:spacing w:line="312" w:lineRule="auto"/>
        <w:jc w:val="both"/>
        <w:rPr>
          <w:rFonts w:ascii="宋体" w:hAnsi="宋体"/>
          <w:kern w:val="0"/>
          <w:sz w:val="24"/>
        </w:rPr>
      </w:pPr>
    </w:p>
    <w:p>
      <w:pPr>
        <w:widowControl w:val="0"/>
        <w:adjustRightInd w:val="0"/>
        <w:snapToGrid w:val="0"/>
        <w:spacing w:line="312" w:lineRule="auto"/>
        <w:jc w:val="both"/>
        <w:rPr>
          <w:rFonts w:ascii="宋体" w:hAnsi="宋体"/>
          <w:kern w:val="0"/>
          <w:sz w:val="24"/>
        </w:rPr>
      </w:pPr>
      <w:r>
        <w:rPr>
          <w:rFonts w:hint="eastAsia" w:ascii="宋体" w:hAnsi="宋体"/>
          <w:kern w:val="0"/>
          <w:sz w:val="24"/>
        </w:rPr>
        <w:t>项目名称：</w:t>
      </w:r>
      <w:r>
        <w:rPr>
          <w:rFonts w:hint="eastAsia" w:ascii="宋体" w:hAnsi="宋体"/>
          <w:kern w:val="0"/>
          <w:sz w:val="24"/>
          <w:u w:val="single"/>
        </w:rPr>
        <w:t xml:space="preserve"> </w:t>
      </w:r>
      <w:r>
        <w:rPr>
          <w:rFonts w:hint="eastAsia" w:ascii="宋体" w:hAnsi="宋体"/>
          <w:sz w:val="24"/>
        </w:rPr>
        <w:t xml:space="preserve">岳阳城陵矶港务有限责任公司码头环保提质改造二期工程第二条装车线交工质量检测服务 </w:t>
      </w:r>
    </w:p>
    <w:tbl>
      <w:tblPr>
        <w:tblStyle w:val="3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267"/>
        <w:gridCol w:w="3155"/>
        <w:gridCol w:w="512"/>
        <w:gridCol w:w="796"/>
        <w:gridCol w:w="79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r>
              <w:rPr>
                <w:rFonts w:hint="eastAsia" w:ascii="宋体" w:hAnsi="宋体"/>
                <w:b/>
                <w:szCs w:val="21"/>
              </w:rPr>
              <w:t>序号</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r>
              <w:rPr>
                <w:rFonts w:hint="eastAsia" w:ascii="宋体" w:hAnsi="宋体"/>
                <w:b/>
                <w:szCs w:val="21"/>
              </w:rPr>
              <w:t>评分因素</w:t>
            </w:r>
          </w:p>
        </w:tc>
        <w:tc>
          <w:tcPr>
            <w:tcW w:w="366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r>
              <w:rPr>
                <w:rFonts w:hint="eastAsia" w:ascii="宋体" w:hAnsi="宋体"/>
                <w:b/>
                <w:kern w:val="0"/>
                <w:szCs w:val="21"/>
              </w:rPr>
              <w:t>评分标准</w:t>
            </w:r>
            <w:r>
              <w:rPr>
                <w:rFonts w:hint="eastAsia" w:ascii="宋体" w:hAnsi="宋体"/>
                <w:b/>
                <w:szCs w:val="21"/>
              </w:rPr>
              <w:t>/分值</w:t>
            </w:r>
          </w:p>
        </w:tc>
        <w:tc>
          <w:tcPr>
            <w:tcW w:w="2388"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r>
              <w:rPr>
                <w:rFonts w:hint="eastAsia" w:ascii="宋体" w:hAnsi="宋体"/>
                <w:b/>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Cs w:val="21"/>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Cs w:val="21"/>
              </w:rPr>
            </w:pPr>
          </w:p>
        </w:tc>
        <w:tc>
          <w:tcPr>
            <w:tcW w:w="366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1</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对项目的理解</w:t>
            </w:r>
          </w:p>
        </w:tc>
        <w:tc>
          <w:tcPr>
            <w:tcW w:w="3155" w:type="dxa"/>
            <w:tcBorders>
              <w:top w:val="single" w:color="auto" w:sz="4" w:space="0"/>
              <w:left w:val="single" w:color="auto" w:sz="4" w:space="0"/>
              <w:right w:val="single" w:color="auto" w:sz="4" w:space="0"/>
            </w:tcBorders>
            <w:vAlign w:val="center"/>
          </w:tcPr>
          <w:p>
            <w:pPr>
              <w:widowControl w:val="0"/>
              <w:spacing w:before="0" w:beforeAutospacing="0" w:after="0" w:afterAutospacing="0" w:line="240" w:lineRule="auto"/>
              <w:jc w:val="both"/>
              <w:textAlignment w:val="auto"/>
              <w:rPr>
                <w:rFonts w:ascii="宋体" w:hAnsi="宋体" w:cs="Times New Roman"/>
                <w:bCs/>
                <w:color w:val="auto"/>
                <w:szCs w:val="21"/>
              </w:rPr>
            </w:pPr>
            <w:r>
              <w:rPr>
                <w:rFonts w:hint="eastAsia" w:ascii="宋体" w:hAnsi="宋体" w:cs="Times New Roman"/>
                <w:bCs/>
                <w:color w:val="auto"/>
                <w:szCs w:val="21"/>
              </w:rPr>
              <w:t>①对项目的检测范围和任务理解基本准确，未考虑持续性发展要求，得</w:t>
            </w:r>
            <w:r>
              <w:rPr>
                <w:rFonts w:ascii="宋体" w:hAnsi="宋体" w:cs="Times New Roman"/>
                <w:bCs/>
                <w:color w:val="auto"/>
                <w:szCs w:val="21"/>
              </w:rPr>
              <w:t>1.2分，</w:t>
            </w:r>
          </w:p>
          <w:p>
            <w:pPr>
              <w:widowControl w:val="0"/>
              <w:spacing w:line="240" w:lineRule="auto"/>
              <w:jc w:val="both"/>
              <w:textAlignment w:val="auto"/>
              <w:rPr>
                <w:rFonts w:ascii="宋体" w:hAnsi="宋体" w:cs="Times New Roman"/>
                <w:bCs/>
                <w:color w:val="auto"/>
                <w:szCs w:val="21"/>
              </w:rPr>
            </w:pPr>
            <w:r>
              <w:rPr>
                <w:rFonts w:hint="eastAsia" w:ascii="宋体" w:hAnsi="宋体" w:cs="Times New Roman"/>
                <w:bCs/>
                <w:color w:val="auto"/>
                <w:szCs w:val="21"/>
              </w:rPr>
              <w:t>②对项目的检测范围和任务理解基本准确，考虑了持续性发展要求，得</w:t>
            </w:r>
            <w:r>
              <w:rPr>
                <w:rFonts w:ascii="宋体" w:hAnsi="宋体" w:cs="Times New Roman"/>
                <w:bCs/>
                <w:color w:val="auto"/>
                <w:szCs w:val="21"/>
              </w:rPr>
              <w:t>1.2-1.6分；</w:t>
            </w:r>
          </w:p>
          <w:p>
            <w:pPr>
              <w:widowControl w:val="0"/>
              <w:spacing w:line="240" w:lineRule="auto"/>
              <w:jc w:val="both"/>
              <w:rPr>
                <w:rFonts w:ascii="宋体" w:hAnsi="宋体"/>
                <w:bCs/>
                <w:szCs w:val="21"/>
              </w:rPr>
            </w:pPr>
            <w:r>
              <w:rPr>
                <w:rFonts w:hint="eastAsia" w:ascii="宋体" w:hAnsi="宋体" w:cs="Times New Roman"/>
                <w:bCs/>
                <w:color w:val="auto"/>
                <w:szCs w:val="21"/>
              </w:rPr>
              <w:t>③对项目的检测范围和任务理解准确，充分考虑了持续性发展要求，</w:t>
            </w:r>
            <w:r>
              <w:rPr>
                <w:rFonts w:ascii="宋体" w:hAnsi="宋体" w:cs="Times New Roman"/>
                <w:bCs/>
                <w:color w:val="auto"/>
                <w:szCs w:val="21"/>
              </w:rPr>
              <w:t>1.6-2.0分。</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2</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2</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对项目的特点及关键问题的对策措施</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val="0"/>
              <w:snapToGrid/>
              <w:spacing w:before="0" w:beforeAutospacing="0" w:after="0" w:afterAutospacing="0" w:line="240" w:lineRule="auto"/>
              <w:jc w:val="both"/>
              <w:rPr>
                <w:rFonts w:ascii="宋体" w:hAnsi="宋体" w:cs="Times New Roman"/>
                <w:bCs/>
                <w:color w:val="auto"/>
                <w:szCs w:val="21"/>
              </w:rPr>
            </w:pPr>
            <w:r>
              <w:rPr>
                <w:rFonts w:hint="eastAsia" w:ascii="宋体" w:hAnsi="宋体" w:cs="Times New Roman"/>
                <w:bCs/>
                <w:color w:val="auto"/>
                <w:szCs w:val="21"/>
              </w:rPr>
              <w:t>①项目的关键性问题分析一般，对策可行性差，得</w:t>
            </w:r>
            <w:r>
              <w:rPr>
                <w:rFonts w:ascii="宋体" w:hAnsi="宋体" w:cs="Times New Roman"/>
                <w:bCs/>
                <w:color w:val="auto"/>
                <w:szCs w:val="21"/>
              </w:rPr>
              <w:t>1.8分；</w:t>
            </w:r>
          </w:p>
          <w:p>
            <w:pPr>
              <w:widowControl w:val="0"/>
              <w:snapToGrid/>
              <w:spacing w:line="240" w:lineRule="auto"/>
              <w:jc w:val="both"/>
              <w:rPr>
                <w:rFonts w:ascii="宋体" w:hAnsi="宋体" w:cs="Times New Roman"/>
                <w:bCs/>
                <w:color w:val="auto"/>
                <w:szCs w:val="21"/>
              </w:rPr>
            </w:pPr>
            <w:r>
              <w:rPr>
                <w:rFonts w:hint="eastAsia" w:ascii="宋体" w:hAnsi="宋体" w:cs="Times New Roman"/>
                <w:bCs/>
                <w:color w:val="auto"/>
                <w:szCs w:val="21"/>
              </w:rPr>
              <w:t>②项目的关键性问题分析较好，对策基本可行，得</w:t>
            </w:r>
            <w:r>
              <w:rPr>
                <w:rFonts w:ascii="宋体" w:hAnsi="宋体" w:cs="Times New Roman"/>
                <w:bCs/>
                <w:color w:val="auto"/>
                <w:szCs w:val="21"/>
              </w:rPr>
              <w:t>1.8-2.4分；</w:t>
            </w:r>
          </w:p>
          <w:p>
            <w:pPr>
              <w:widowControl w:val="0"/>
              <w:spacing w:line="240" w:lineRule="auto"/>
              <w:jc w:val="both"/>
              <w:rPr>
                <w:rFonts w:ascii="宋体" w:hAnsi="宋体"/>
                <w:bCs/>
                <w:szCs w:val="21"/>
              </w:rPr>
            </w:pPr>
            <w:r>
              <w:rPr>
                <w:rFonts w:hint="eastAsia" w:ascii="宋体" w:hAnsi="宋体" w:cs="Times New Roman"/>
                <w:bCs/>
                <w:color w:val="auto"/>
                <w:szCs w:val="21"/>
              </w:rPr>
              <w:t>③项目的关键性问题分析好，对策有效可行，得</w:t>
            </w:r>
            <w:r>
              <w:rPr>
                <w:rFonts w:ascii="宋体" w:hAnsi="宋体" w:cs="Times New Roman"/>
                <w:bCs/>
                <w:color w:val="auto"/>
                <w:szCs w:val="21"/>
              </w:rPr>
              <w:t>2.4-3.0分。</w:t>
            </w:r>
          </w:p>
        </w:tc>
        <w:tc>
          <w:tcPr>
            <w:tcW w:w="512" w:type="dxa"/>
            <w:tcBorders>
              <w:top w:val="single" w:color="auto" w:sz="4" w:space="0"/>
              <w:left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3</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3</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pacing w:val="-6"/>
                <w:szCs w:val="21"/>
              </w:rPr>
              <w:t>检测方法和评价方法</w:t>
            </w:r>
          </w:p>
        </w:tc>
        <w:tc>
          <w:tcPr>
            <w:tcW w:w="3155" w:type="dxa"/>
            <w:tcBorders>
              <w:top w:val="single" w:color="auto" w:sz="4" w:space="0"/>
              <w:left w:val="single" w:color="auto" w:sz="4" w:space="0"/>
              <w:right w:val="single" w:color="auto" w:sz="4" w:space="0"/>
            </w:tcBorders>
            <w:vAlign w:val="center"/>
          </w:tcPr>
          <w:p>
            <w:pPr>
              <w:widowControl w:val="0"/>
              <w:snapToGrid/>
              <w:spacing w:before="0" w:beforeAutospacing="0" w:after="0" w:afterAutospacing="0" w:line="240" w:lineRule="auto"/>
              <w:jc w:val="both"/>
              <w:rPr>
                <w:rFonts w:ascii="宋体" w:hAnsi="宋体"/>
                <w:bCs/>
                <w:szCs w:val="21"/>
              </w:rPr>
            </w:pPr>
            <w:r>
              <w:rPr>
                <w:rFonts w:hint="eastAsia" w:ascii="宋体" w:hAnsi="宋体"/>
                <w:bCs/>
                <w:szCs w:val="21"/>
              </w:rPr>
              <w:t>①检测方法和评价方法不太适合本项目，得</w:t>
            </w:r>
            <w:r>
              <w:rPr>
                <w:rFonts w:ascii="宋体" w:hAnsi="宋体"/>
                <w:bCs/>
                <w:szCs w:val="21"/>
              </w:rPr>
              <w:t>1.8分；</w:t>
            </w:r>
          </w:p>
          <w:p>
            <w:pPr>
              <w:widowControl w:val="0"/>
              <w:snapToGrid/>
              <w:spacing w:line="240" w:lineRule="auto"/>
              <w:jc w:val="both"/>
              <w:rPr>
                <w:rFonts w:ascii="宋体" w:hAnsi="宋体"/>
                <w:bCs/>
                <w:szCs w:val="21"/>
              </w:rPr>
            </w:pPr>
            <w:r>
              <w:rPr>
                <w:rFonts w:hint="eastAsia" w:ascii="宋体" w:hAnsi="宋体"/>
                <w:bCs/>
                <w:szCs w:val="21"/>
              </w:rPr>
              <w:t>②检测方法和评价方法基本适合本项目，得</w:t>
            </w:r>
            <w:r>
              <w:rPr>
                <w:rFonts w:ascii="宋体" w:hAnsi="宋体"/>
                <w:bCs/>
                <w:szCs w:val="21"/>
              </w:rPr>
              <w:t>1.8-2.4分；</w:t>
            </w:r>
          </w:p>
          <w:p>
            <w:pPr>
              <w:widowControl w:val="0"/>
              <w:spacing w:line="240" w:lineRule="auto"/>
              <w:jc w:val="both"/>
              <w:rPr>
                <w:rFonts w:ascii="宋体" w:hAnsi="宋体"/>
                <w:bCs/>
                <w:szCs w:val="21"/>
              </w:rPr>
            </w:pPr>
            <w:r>
              <w:rPr>
                <w:rFonts w:hint="eastAsia" w:ascii="宋体" w:hAnsi="宋体" w:cs="Times New Roman"/>
                <w:bCs/>
                <w:szCs w:val="21"/>
              </w:rPr>
              <w:t>③检测方法和评价方法充分适合本项目，得</w:t>
            </w:r>
            <w:r>
              <w:rPr>
                <w:rFonts w:ascii="宋体" w:hAnsi="宋体" w:cs="Times New Roman"/>
                <w:bCs/>
                <w:szCs w:val="21"/>
              </w:rPr>
              <w:t>2.4-3.0分。</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3</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1"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4</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pacing w:val="-6"/>
                <w:szCs w:val="21"/>
              </w:rPr>
              <w:t>项目组织机构及人员安排</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val="0"/>
              <w:snapToGrid/>
              <w:spacing w:before="0" w:beforeAutospacing="0" w:after="0" w:afterAutospacing="0" w:line="240" w:lineRule="auto"/>
              <w:jc w:val="both"/>
              <w:rPr>
                <w:rFonts w:ascii="宋体" w:hAnsi="宋体"/>
                <w:bCs/>
                <w:szCs w:val="21"/>
              </w:rPr>
            </w:pPr>
            <w:r>
              <w:rPr>
                <w:rFonts w:hint="eastAsia" w:ascii="宋体" w:hAnsi="宋体"/>
                <w:bCs/>
                <w:szCs w:val="21"/>
              </w:rPr>
              <w:t>①项目组织机构及主要人员安排基本明确、不太合理，得</w:t>
            </w:r>
            <w:r>
              <w:rPr>
                <w:rFonts w:ascii="宋体" w:hAnsi="宋体"/>
                <w:bCs/>
                <w:szCs w:val="21"/>
              </w:rPr>
              <w:t>1.8分；</w:t>
            </w:r>
          </w:p>
          <w:p>
            <w:pPr>
              <w:widowControl w:val="0"/>
              <w:snapToGrid/>
              <w:spacing w:line="240" w:lineRule="auto"/>
              <w:jc w:val="both"/>
              <w:rPr>
                <w:rFonts w:ascii="宋体" w:hAnsi="宋体"/>
                <w:bCs/>
                <w:szCs w:val="21"/>
              </w:rPr>
            </w:pPr>
            <w:r>
              <w:rPr>
                <w:rFonts w:hint="eastAsia" w:ascii="宋体" w:hAnsi="宋体"/>
                <w:bCs/>
                <w:szCs w:val="21"/>
              </w:rPr>
              <w:t>②项目组织机构及主要人员安排基本明确、合理，得</w:t>
            </w:r>
            <w:r>
              <w:rPr>
                <w:rFonts w:ascii="宋体" w:hAnsi="宋体"/>
                <w:bCs/>
                <w:szCs w:val="21"/>
              </w:rPr>
              <w:t>1.8-2.4分；</w:t>
            </w:r>
          </w:p>
          <w:p>
            <w:pPr>
              <w:widowControl w:val="0"/>
              <w:adjustRightInd/>
              <w:snapToGrid/>
              <w:spacing w:line="240" w:lineRule="auto"/>
              <w:jc w:val="both"/>
              <w:rPr>
                <w:rFonts w:ascii="宋体" w:hAnsi="宋体"/>
                <w:bCs/>
                <w:szCs w:val="21"/>
              </w:rPr>
            </w:pPr>
            <w:r>
              <w:rPr>
                <w:rFonts w:hint="eastAsia" w:ascii="宋体" w:hAnsi="宋体" w:cs="Times New Roman"/>
                <w:bCs/>
                <w:szCs w:val="21"/>
              </w:rPr>
              <w:t>③项目组织机构及主要人员安排明确、完善、合理，得</w:t>
            </w:r>
            <w:r>
              <w:rPr>
                <w:rFonts w:ascii="宋体" w:hAnsi="宋体" w:cs="Times New Roman"/>
                <w:bCs/>
                <w:szCs w:val="21"/>
              </w:rPr>
              <w:t>2.4-3.0分。</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3</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5</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pacing w:val="-6"/>
                <w:szCs w:val="21"/>
              </w:rPr>
              <w:t>工作进度计划</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val="0"/>
              <w:snapToGrid/>
              <w:spacing w:before="0" w:beforeAutospacing="0" w:after="0" w:afterAutospacing="0" w:line="240" w:lineRule="auto"/>
              <w:jc w:val="both"/>
              <w:rPr>
                <w:rFonts w:ascii="宋体" w:hAnsi="宋体"/>
                <w:bCs/>
                <w:szCs w:val="21"/>
              </w:rPr>
            </w:pPr>
            <w:r>
              <w:rPr>
                <w:rFonts w:hint="eastAsia" w:ascii="宋体" w:hAnsi="宋体"/>
                <w:bCs/>
                <w:szCs w:val="21"/>
              </w:rPr>
              <w:t>①工作内容、方案及进度计划基本明确、但不太合理，得</w:t>
            </w:r>
            <w:r>
              <w:rPr>
                <w:rFonts w:ascii="宋体" w:hAnsi="宋体"/>
                <w:bCs/>
                <w:szCs w:val="21"/>
              </w:rPr>
              <w:t>1.2分；</w:t>
            </w:r>
          </w:p>
          <w:p>
            <w:pPr>
              <w:widowControl w:val="0"/>
              <w:snapToGrid/>
              <w:spacing w:line="240" w:lineRule="auto"/>
              <w:jc w:val="both"/>
              <w:rPr>
                <w:rFonts w:ascii="宋体" w:hAnsi="宋体"/>
                <w:bCs/>
                <w:szCs w:val="21"/>
              </w:rPr>
            </w:pPr>
            <w:r>
              <w:rPr>
                <w:rFonts w:hint="eastAsia" w:ascii="宋体" w:hAnsi="宋体"/>
                <w:bCs/>
                <w:szCs w:val="21"/>
              </w:rPr>
              <w:t>②工作内容、方案及进度计划基本明确、合理，得</w:t>
            </w:r>
            <w:r>
              <w:rPr>
                <w:rFonts w:ascii="宋体" w:hAnsi="宋体"/>
                <w:bCs/>
                <w:szCs w:val="21"/>
              </w:rPr>
              <w:t>1.2-1.6分；</w:t>
            </w:r>
          </w:p>
          <w:p>
            <w:pPr>
              <w:widowControl w:val="0"/>
              <w:spacing w:line="240" w:lineRule="auto"/>
              <w:jc w:val="both"/>
              <w:rPr>
                <w:rFonts w:ascii="宋体" w:hAnsi="宋体"/>
                <w:bCs/>
                <w:szCs w:val="21"/>
              </w:rPr>
            </w:pPr>
            <w:r>
              <w:rPr>
                <w:rFonts w:hint="eastAsia" w:ascii="宋体" w:hAnsi="宋体" w:cs="Times New Roman"/>
                <w:bCs/>
                <w:szCs w:val="21"/>
              </w:rPr>
              <w:t>③工作内容、方案及进度计划明确、完善、合理，得</w:t>
            </w:r>
            <w:r>
              <w:rPr>
                <w:rFonts w:ascii="宋体" w:hAnsi="宋体" w:cs="Times New Roman"/>
                <w:bCs/>
                <w:szCs w:val="21"/>
              </w:rPr>
              <w:t>1.6-2.0分。</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2</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2"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6</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pacing w:val="-6"/>
                <w:szCs w:val="21"/>
              </w:rPr>
              <w:t>现场服务计划</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val="0"/>
              <w:snapToGrid/>
              <w:spacing w:before="0" w:beforeAutospacing="0" w:after="0" w:afterAutospacing="0" w:line="240" w:lineRule="auto"/>
              <w:jc w:val="both"/>
              <w:rPr>
                <w:rFonts w:ascii="宋体" w:hAnsi="宋体"/>
                <w:bCs/>
                <w:szCs w:val="21"/>
              </w:rPr>
            </w:pPr>
            <w:r>
              <w:rPr>
                <w:rFonts w:hint="eastAsia" w:ascii="宋体" w:hAnsi="宋体"/>
                <w:bCs/>
                <w:szCs w:val="21"/>
              </w:rPr>
              <w:t>①现场服务人员、设备、安排配置不合理，得</w:t>
            </w:r>
            <w:r>
              <w:rPr>
                <w:rFonts w:ascii="宋体" w:hAnsi="宋体"/>
                <w:bCs/>
                <w:szCs w:val="21"/>
              </w:rPr>
              <w:t>0.6分；</w:t>
            </w:r>
          </w:p>
          <w:p>
            <w:pPr>
              <w:widowControl w:val="0"/>
              <w:snapToGrid/>
              <w:spacing w:line="240" w:lineRule="auto"/>
              <w:jc w:val="both"/>
              <w:rPr>
                <w:rFonts w:ascii="宋体" w:hAnsi="宋体"/>
                <w:bCs/>
                <w:szCs w:val="21"/>
              </w:rPr>
            </w:pPr>
            <w:r>
              <w:rPr>
                <w:rFonts w:hint="eastAsia" w:ascii="宋体" w:hAnsi="宋体"/>
                <w:bCs/>
                <w:szCs w:val="21"/>
              </w:rPr>
              <w:t>②现场服务人员、设备、安排配置基本合理，得</w:t>
            </w:r>
            <w:r>
              <w:rPr>
                <w:rFonts w:ascii="宋体" w:hAnsi="宋体"/>
                <w:bCs/>
                <w:szCs w:val="21"/>
              </w:rPr>
              <w:t>0.6-0.8分；</w:t>
            </w:r>
          </w:p>
          <w:p>
            <w:pPr>
              <w:widowControl w:val="0"/>
              <w:spacing w:line="240" w:lineRule="auto"/>
              <w:jc w:val="both"/>
              <w:rPr>
                <w:rFonts w:ascii="宋体" w:hAnsi="宋体"/>
                <w:bCs/>
                <w:szCs w:val="21"/>
              </w:rPr>
            </w:pPr>
            <w:r>
              <w:rPr>
                <w:rFonts w:hint="eastAsia" w:ascii="宋体" w:hAnsi="宋体" w:cs="Times New Roman"/>
                <w:bCs/>
                <w:szCs w:val="21"/>
              </w:rPr>
              <w:t>③现场服务人员、设备、安排配置周全、合理，得</w:t>
            </w:r>
            <w:r>
              <w:rPr>
                <w:rFonts w:ascii="宋体" w:hAnsi="宋体" w:cs="Times New Roman"/>
                <w:bCs/>
                <w:szCs w:val="21"/>
              </w:rPr>
              <w:t>0.8-1.0分。</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1</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2"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7</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Cs w:val="21"/>
              </w:rPr>
            </w:pPr>
            <w:r>
              <w:rPr>
                <w:rFonts w:hint="eastAsia" w:ascii="宋体" w:hAnsi="宋体" w:cs="宋体"/>
                <w:szCs w:val="21"/>
              </w:rPr>
              <w:t>项目的质量、安全保证体系</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val="0"/>
              <w:snapToGrid/>
              <w:spacing w:before="0" w:beforeAutospacing="0" w:after="0" w:afterAutospacing="0" w:line="240" w:lineRule="auto"/>
              <w:jc w:val="both"/>
              <w:rPr>
                <w:rFonts w:ascii="宋体" w:hAnsi="宋体" w:cs="Times New Roman"/>
                <w:bCs/>
                <w:color w:val="auto"/>
                <w:szCs w:val="21"/>
              </w:rPr>
            </w:pPr>
            <w:r>
              <w:rPr>
                <w:rFonts w:hint="eastAsia" w:ascii="宋体" w:hAnsi="宋体" w:cs="Times New Roman"/>
                <w:bCs/>
                <w:color w:val="auto"/>
                <w:szCs w:val="21"/>
              </w:rPr>
              <w:t>①质量、安全保证体系基本完善、不太合理，得</w:t>
            </w:r>
            <w:r>
              <w:rPr>
                <w:rFonts w:ascii="宋体" w:hAnsi="宋体" w:cs="Times New Roman"/>
                <w:bCs/>
                <w:color w:val="auto"/>
                <w:szCs w:val="21"/>
              </w:rPr>
              <w:t>0.6分；</w:t>
            </w:r>
          </w:p>
          <w:p>
            <w:pPr>
              <w:widowControl w:val="0"/>
              <w:snapToGrid/>
              <w:spacing w:line="240" w:lineRule="auto"/>
              <w:jc w:val="both"/>
              <w:rPr>
                <w:rFonts w:ascii="宋体" w:hAnsi="宋体" w:cs="Times New Roman"/>
                <w:bCs/>
                <w:color w:val="auto"/>
                <w:szCs w:val="21"/>
              </w:rPr>
            </w:pPr>
            <w:r>
              <w:rPr>
                <w:rFonts w:hint="eastAsia" w:ascii="宋体" w:hAnsi="宋体" w:cs="Times New Roman"/>
                <w:bCs/>
                <w:color w:val="auto"/>
                <w:szCs w:val="21"/>
              </w:rPr>
              <w:t>②质量、安全保证体系基本完善、合理，得</w:t>
            </w:r>
            <w:r>
              <w:rPr>
                <w:rFonts w:ascii="宋体" w:hAnsi="宋体" w:cs="Times New Roman"/>
                <w:bCs/>
                <w:color w:val="auto"/>
                <w:szCs w:val="21"/>
              </w:rPr>
              <w:t>0.6-0.8分；</w:t>
            </w:r>
          </w:p>
          <w:p>
            <w:pPr>
              <w:widowControl w:val="0"/>
              <w:spacing w:line="240" w:lineRule="auto"/>
              <w:jc w:val="both"/>
              <w:rPr>
                <w:rFonts w:ascii="宋体" w:hAnsi="宋体"/>
                <w:bCs/>
                <w:szCs w:val="21"/>
              </w:rPr>
            </w:pPr>
            <w:r>
              <w:rPr>
                <w:rFonts w:hint="eastAsia" w:ascii="宋体" w:hAnsi="宋体" w:cs="Times New Roman"/>
                <w:bCs/>
                <w:color w:val="auto"/>
                <w:szCs w:val="21"/>
              </w:rPr>
              <w:t>③质量、安全保证体系完善、合理，得</w:t>
            </w:r>
            <w:r>
              <w:rPr>
                <w:rFonts w:ascii="宋体" w:hAnsi="宋体" w:cs="Times New Roman"/>
                <w:bCs/>
                <w:color w:val="auto"/>
                <w:szCs w:val="21"/>
              </w:rPr>
              <w:t>0.8-1分。</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1</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0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b/>
                <w:szCs w:val="21"/>
              </w:rPr>
              <w:t>合计</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15</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bl>
    <w:p>
      <w:pPr>
        <w:widowControl w:val="0"/>
        <w:adjustRightInd w:val="0"/>
        <w:snapToGrid w:val="0"/>
        <w:spacing w:line="312" w:lineRule="auto"/>
        <w:ind w:firstLine="315" w:firstLineChars="150"/>
        <w:rPr>
          <w:rFonts w:ascii="宋体" w:hAnsi="宋体"/>
          <w:kern w:val="0"/>
          <w:szCs w:val="21"/>
        </w:rPr>
      </w:pPr>
      <w:r>
        <w:rPr>
          <w:rFonts w:hint="eastAsia" w:ascii="宋体" w:hAnsi="宋体"/>
          <w:kern w:val="0"/>
          <w:szCs w:val="21"/>
        </w:rPr>
        <w:t>注：1、本表小计总分为</w:t>
      </w:r>
      <w:r>
        <w:rPr>
          <w:rFonts w:ascii="宋体" w:hAnsi="宋体"/>
          <w:szCs w:val="21"/>
          <w:u w:val="single"/>
        </w:rPr>
        <w:t xml:space="preserve">  </w:t>
      </w:r>
      <w:r>
        <w:rPr>
          <w:rFonts w:hint="eastAsia" w:ascii="宋体" w:hAnsi="宋体"/>
          <w:szCs w:val="21"/>
          <w:u w:val="single"/>
        </w:rPr>
        <w:t>15</w:t>
      </w:r>
      <w:r>
        <w:rPr>
          <w:rFonts w:ascii="宋体" w:hAnsi="宋体"/>
          <w:szCs w:val="21"/>
          <w:u w:val="single"/>
        </w:rPr>
        <w:t xml:space="preserve">  </w:t>
      </w:r>
      <w:r>
        <w:rPr>
          <w:rFonts w:hint="eastAsia" w:ascii="宋体" w:hAnsi="宋体"/>
          <w:kern w:val="0"/>
          <w:szCs w:val="21"/>
        </w:rPr>
        <w:t>分。</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2、技术文件中缺失某项评分因素的，该项评分因素计0分。</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3、该项评分内容计分，由</w:t>
      </w:r>
      <w:r>
        <w:rPr>
          <w:rFonts w:hint="eastAsia" w:ascii="宋体" w:hAnsi="宋体"/>
          <w:szCs w:val="21"/>
        </w:rPr>
        <w:t>评审（谈判）小组</w:t>
      </w:r>
      <w:r>
        <w:rPr>
          <w:rFonts w:hint="eastAsia" w:ascii="宋体" w:hAnsi="宋体"/>
          <w:kern w:val="0"/>
          <w:szCs w:val="21"/>
        </w:rPr>
        <w:t>集体评议，评委根据集体评议意见，自主评分。</w:t>
      </w:r>
      <w:r>
        <w:rPr>
          <w:rFonts w:hint="eastAsia" w:ascii="宋体" w:hAnsi="宋体"/>
          <w:b/>
          <w:kern w:val="0"/>
          <w:szCs w:val="21"/>
        </w:rPr>
        <w:t>技术文件得分为评委个人评审计分的算术平均值。</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4、采购人可根据项目的具体特点和需要设置合理的评分因素，项目没有具体需要的不得设置为评分因素内容。</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5、</w:t>
      </w:r>
      <w:r>
        <w:rPr>
          <w:rFonts w:hint="eastAsia" w:ascii="宋体" w:hAnsi="宋体"/>
          <w:b/>
          <w:kern w:val="0"/>
          <w:szCs w:val="21"/>
        </w:rPr>
        <w:t>各评分因素中基本合理项的最低分值不得低于该评分因素和评分标准最高分值的60%。评审（谈判）小组对某评分因素评审计分低于该评分因素和评分标准最高分值的60%的，评委应说明原因。</w:t>
      </w:r>
    </w:p>
    <w:p>
      <w:pPr>
        <w:widowControl w:val="0"/>
        <w:adjustRightInd w:val="0"/>
        <w:snapToGrid w:val="0"/>
        <w:spacing w:line="312" w:lineRule="auto"/>
        <w:ind w:firstLine="738" w:firstLineChars="350"/>
        <w:rPr>
          <w:rFonts w:ascii="宋体" w:hAnsi="宋体"/>
          <w:b/>
          <w:kern w:val="0"/>
          <w:szCs w:val="21"/>
        </w:rPr>
      </w:pPr>
    </w:p>
    <w:p>
      <w:pPr>
        <w:widowControl w:val="0"/>
        <w:adjustRightInd w:val="0"/>
        <w:snapToGrid w:val="0"/>
        <w:spacing w:line="312" w:lineRule="auto"/>
        <w:ind w:firstLine="738" w:firstLineChars="350"/>
        <w:rPr>
          <w:rFonts w:ascii="宋体" w:hAnsi="宋体"/>
          <w:b/>
          <w:kern w:val="0"/>
          <w:szCs w:val="21"/>
        </w:rPr>
      </w:pPr>
    </w:p>
    <w:p>
      <w:pPr>
        <w:widowControl w:val="0"/>
        <w:adjustRightInd w:val="0"/>
        <w:snapToGrid w:val="0"/>
        <w:spacing w:line="312" w:lineRule="auto"/>
        <w:ind w:firstLine="480" w:firstLineChars="200"/>
        <w:jc w:val="both"/>
        <w:rPr>
          <w:rFonts w:ascii="宋体" w:hAnsi="宋体"/>
          <w:sz w:val="24"/>
        </w:rPr>
      </w:pPr>
      <w:r>
        <w:rPr>
          <w:rFonts w:hint="eastAsia" w:ascii="宋体" w:hAnsi="宋体"/>
          <w:sz w:val="24"/>
        </w:rPr>
        <w:t>评审（谈判）小组</w:t>
      </w:r>
      <w:r>
        <w:rPr>
          <w:rFonts w:ascii="宋体" w:hAnsi="宋体"/>
          <w:sz w:val="24"/>
        </w:rPr>
        <w:t>全体成员签字：</w:t>
      </w:r>
    </w:p>
    <w:p>
      <w:pPr>
        <w:widowControl w:val="0"/>
        <w:snapToGrid w:val="0"/>
        <w:spacing w:line="490" w:lineRule="exact"/>
        <w:jc w:val="center"/>
        <w:outlineLvl w:val="0"/>
        <w:rPr>
          <w:rFonts w:ascii="黑体" w:hAnsi="黑体" w:eastAsia="黑体" w:cs="宋体"/>
          <w:kern w:val="44"/>
          <w:sz w:val="32"/>
          <w:szCs w:val="32"/>
        </w:rPr>
      </w:pPr>
      <w:bookmarkStart w:id="13" w:name="_Toc76635709"/>
      <w:bookmarkStart w:id="14" w:name="_Toc77254130"/>
    </w:p>
    <w:bookmarkEnd w:id="13"/>
    <w:bookmarkEnd w:id="14"/>
    <w:p>
      <w:pPr>
        <w:pStyle w:val="76"/>
        <w:spacing w:line="600" w:lineRule="exact"/>
        <w:ind w:left="420" w:firstLine="0" w:firstLineChars="0"/>
        <w:jc w:val="center"/>
        <w:rPr>
          <w:rFonts w:ascii="黑体" w:hAnsi="黑体" w:eastAsia="黑体" w:cs="仿宋"/>
          <w:b/>
          <w:color w:val="000000"/>
          <w:sz w:val="36"/>
          <w:szCs w:val="36"/>
        </w:rPr>
      </w:pPr>
    </w:p>
    <w:p>
      <w:pPr>
        <w:pStyle w:val="76"/>
        <w:spacing w:line="600" w:lineRule="exact"/>
        <w:ind w:left="420" w:firstLine="0" w:firstLineChars="0"/>
        <w:jc w:val="center"/>
        <w:rPr>
          <w:rFonts w:ascii="黑体" w:hAnsi="黑体" w:eastAsia="黑体" w:cs="仿宋"/>
          <w:b/>
          <w:color w:val="000000"/>
          <w:sz w:val="36"/>
          <w:szCs w:val="36"/>
        </w:rPr>
      </w:pPr>
    </w:p>
    <w:p>
      <w:pPr>
        <w:pStyle w:val="76"/>
        <w:spacing w:line="600" w:lineRule="exact"/>
        <w:ind w:left="420" w:firstLine="0" w:firstLineChars="0"/>
        <w:jc w:val="center"/>
        <w:rPr>
          <w:rFonts w:ascii="黑体" w:hAnsi="黑体" w:eastAsia="黑体" w:cs="仿宋"/>
          <w:b/>
          <w:color w:val="000000"/>
          <w:sz w:val="36"/>
          <w:szCs w:val="36"/>
        </w:rPr>
      </w:pPr>
    </w:p>
    <w:p>
      <w:pPr>
        <w:pStyle w:val="76"/>
        <w:spacing w:line="600" w:lineRule="exact"/>
        <w:ind w:left="420" w:firstLine="0" w:firstLineChars="0"/>
        <w:jc w:val="center"/>
        <w:rPr>
          <w:rFonts w:ascii="黑体" w:hAnsi="黑体" w:eastAsia="黑体" w:cs="仿宋"/>
          <w:b/>
          <w:color w:val="000000"/>
          <w:sz w:val="36"/>
          <w:szCs w:val="36"/>
        </w:rPr>
      </w:pPr>
    </w:p>
    <w:p>
      <w:pPr>
        <w:pStyle w:val="76"/>
        <w:spacing w:line="600" w:lineRule="exact"/>
        <w:ind w:left="420" w:firstLine="0" w:firstLineChars="0"/>
        <w:jc w:val="center"/>
        <w:rPr>
          <w:rFonts w:ascii="黑体" w:hAnsi="黑体" w:eastAsia="黑体" w:cs="仿宋"/>
          <w:b/>
          <w:color w:val="000000"/>
          <w:sz w:val="36"/>
          <w:szCs w:val="36"/>
        </w:rPr>
      </w:pPr>
    </w:p>
    <w:p>
      <w:pPr>
        <w:pStyle w:val="76"/>
        <w:spacing w:line="600" w:lineRule="exact"/>
        <w:ind w:left="0" w:firstLine="0" w:firstLineChars="0"/>
        <w:jc w:val="both"/>
        <w:rPr>
          <w:rFonts w:ascii="黑体" w:hAnsi="黑体" w:eastAsia="黑体" w:cs="仿宋"/>
          <w:b/>
          <w:color w:val="000000"/>
          <w:sz w:val="36"/>
          <w:szCs w:val="36"/>
        </w:rPr>
      </w:pPr>
    </w:p>
    <w:p>
      <w:pPr>
        <w:pStyle w:val="76"/>
        <w:spacing w:line="600" w:lineRule="exact"/>
        <w:ind w:left="420" w:firstLine="0" w:firstLineChars="0"/>
        <w:jc w:val="center"/>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p>
    <w:p>
      <w:pPr>
        <w:spacing w:line="312" w:lineRule="auto"/>
        <w:ind w:firstLine="544" w:firstLineChars="227"/>
        <w:jc w:val="both"/>
        <w:rPr>
          <w:rFonts w:cs="仿宋" w:asciiTheme="minorEastAsia" w:hAnsiTheme="minorEastAsia" w:eastAsiaTheme="minorEastAsia"/>
          <w:sz w:val="24"/>
        </w:rPr>
      </w:pPr>
    </w:p>
    <w:p>
      <w:pPr>
        <w:pStyle w:val="7"/>
        <w:jc w:val="center"/>
        <w:rPr>
          <w:sz w:val="24"/>
        </w:rPr>
      </w:pPr>
      <w:bookmarkStart w:id="15" w:name="_Toc29534"/>
      <w:bookmarkStart w:id="16" w:name="_Toc493143917"/>
      <w:r>
        <w:rPr>
          <w:rFonts w:hint="eastAsia"/>
        </w:rPr>
        <w:t>一、通用合同条款</w:t>
      </w:r>
      <w:bookmarkEnd w:id="15"/>
    </w:p>
    <w:p>
      <w:pPr>
        <w:pStyle w:val="7"/>
      </w:pPr>
      <w:bookmarkStart w:id="17" w:name="_Toc8292"/>
      <w:r>
        <w:t>1．定义与解释</w:t>
      </w:r>
      <w:bookmarkEnd w:id="17"/>
    </w:p>
    <w:p>
      <w:pPr>
        <w:pStyle w:val="8"/>
        <w:spacing w:line="312" w:lineRule="auto"/>
      </w:pPr>
      <w:bookmarkStart w:id="18" w:name="_Toc18619"/>
      <w:r>
        <w:t>1.1定义</w:t>
      </w:r>
      <w:bookmarkEnd w:id="18"/>
    </w:p>
    <w:p>
      <w:pPr>
        <w:spacing w:line="312" w:lineRule="auto"/>
        <w:ind w:firstLine="480" w:firstLineChars="200"/>
        <w:rPr>
          <w:sz w:val="24"/>
        </w:rPr>
      </w:pPr>
      <w:r>
        <w:rPr>
          <w:sz w:val="24"/>
        </w:rPr>
        <w:t>下列词句或用语，除根据上下文另有其意义外，一般应具有如下含义</w:t>
      </w:r>
      <w:r>
        <w:rPr>
          <w:rFonts w:hint="eastAsia"/>
          <w:sz w:val="24"/>
        </w:rPr>
        <w:t>：</w:t>
      </w:r>
    </w:p>
    <w:p>
      <w:pPr>
        <w:spacing w:line="312" w:lineRule="auto"/>
        <w:ind w:firstLine="480" w:firstLineChars="200"/>
        <w:rPr>
          <w:sz w:val="24"/>
        </w:rPr>
      </w:pPr>
      <w:r>
        <w:rPr>
          <w:sz w:val="24"/>
        </w:rPr>
        <w:t>1.1.1</w:t>
      </w:r>
      <w:r>
        <w:rPr>
          <w:b/>
          <w:sz w:val="24"/>
        </w:rPr>
        <w:t>项目</w:t>
      </w:r>
      <w:r>
        <w:rPr>
          <w:rFonts w:hint="eastAsia"/>
          <w:b/>
          <w:sz w:val="24"/>
        </w:rPr>
        <w:t xml:space="preserve"> </w:t>
      </w:r>
      <w:r>
        <w:rPr>
          <w:sz w:val="24"/>
        </w:rPr>
        <w:t>发包人委托服务人提供服务的对象</w:t>
      </w:r>
      <w:r>
        <w:rPr>
          <w:rFonts w:hint="eastAsia"/>
          <w:sz w:val="24"/>
        </w:rPr>
        <w:t>。</w:t>
      </w:r>
    </w:p>
    <w:p>
      <w:pPr>
        <w:spacing w:line="312" w:lineRule="auto"/>
        <w:ind w:firstLine="480" w:firstLineChars="200"/>
        <w:rPr>
          <w:sz w:val="24"/>
        </w:rPr>
      </w:pPr>
      <w:r>
        <w:rPr>
          <w:sz w:val="24"/>
        </w:rPr>
        <w:t>1.1.</w:t>
      </w:r>
      <w:r>
        <w:rPr>
          <w:rFonts w:hint="eastAsia"/>
          <w:sz w:val="24"/>
        </w:rPr>
        <w:t>2</w:t>
      </w:r>
      <w:r>
        <w:rPr>
          <w:rFonts w:hint="eastAsia" w:ascii="黑体" w:hAnsi="黑体" w:eastAsia="黑体" w:cs="黑体"/>
          <w:b/>
          <w:sz w:val="24"/>
        </w:rPr>
        <w:t>服务</w:t>
      </w:r>
      <w:r>
        <w:rPr>
          <w:rStyle w:val="187"/>
          <w:rFonts w:hint="eastAsia"/>
          <w:sz w:val="24"/>
        </w:rPr>
        <w:t xml:space="preserve">  </w:t>
      </w:r>
      <w:r>
        <w:rPr>
          <w:rFonts w:hint="eastAsia"/>
          <w:sz w:val="24"/>
        </w:rPr>
        <w:t>服务</w:t>
      </w:r>
      <w:r>
        <w:rPr>
          <w:sz w:val="24"/>
        </w:rPr>
        <w:t>人根据服务合同所承担的工作，包括正常服务、附加服务、额外服务，</w:t>
      </w:r>
      <w:r>
        <w:rPr>
          <w:rFonts w:hint="eastAsia"/>
          <w:sz w:val="24"/>
        </w:rPr>
        <w:t>均</w:t>
      </w:r>
      <w:r>
        <w:rPr>
          <w:sz w:val="24"/>
        </w:rPr>
        <w:t>称</w:t>
      </w:r>
      <w:r>
        <w:rPr>
          <w:rFonts w:hint="eastAsia"/>
          <w:sz w:val="24"/>
        </w:rPr>
        <w:t>服务</w:t>
      </w:r>
      <w:r>
        <w:rPr>
          <w:sz w:val="24"/>
        </w:rPr>
        <w:t>。</w:t>
      </w:r>
    </w:p>
    <w:p>
      <w:pPr>
        <w:spacing w:line="312" w:lineRule="auto"/>
        <w:ind w:firstLine="480" w:firstLineChars="200"/>
        <w:rPr>
          <w:sz w:val="24"/>
        </w:rPr>
      </w:pPr>
      <w:r>
        <w:rPr>
          <w:sz w:val="24"/>
        </w:rPr>
        <w:t>1.1.</w:t>
      </w:r>
      <w:r>
        <w:rPr>
          <w:rFonts w:hint="eastAsia"/>
          <w:sz w:val="24"/>
        </w:rPr>
        <w:t>3</w:t>
      </w:r>
      <w:r>
        <w:rPr>
          <w:b/>
          <w:sz w:val="24"/>
        </w:rPr>
        <w:t>发包人</w:t>
      </w:r>
      <w:r>
        <w:rPr>
          <w:rFonts w:hint="eastAsia"/>
          <w:b/>
          <w:sz w:val="24"/>
        </w:rPr>
        <w:t xml:space="preserve"> </w:t>
      </w:r>
      <w:r>
        <w:rPr>
          <w:sz w:val="24"/>
        </w:rPr>
        <w:t>委托服务人提供服务的</w:t>
      </w:r>
      <w:r>
        <w:rPr>
          <w:rFonts w:hint="eastAsia"/>
          <w:sz w:val="24"/>
        </w:rPr>
        <w:t>法人</w:t>
      </w:r>
      <w:r>
        <w:rPr>
          <w:sz w:val="24"/>
        </w:rPr>
        <w:t>或其合法继承人或其合法受让人。</w:t>
      </w:r>
    </w:p>
    <w:p>
      <w:pPr>
        <w:spacing w:line="312" w:lineRule="auto"/>
        <w:ind w:firstLine="480" w:firstLineChars="200"/>
        <w:rPr>
          <w:b/>
          <w:sz w:val="24"/>
        </w:rPr>
      </w:pPr>
      <w:r>
        <w:rPr>
          <w:sz w:val="24"/>
        </w:rPr>
        <w:t>1.1.</w:t>
      </w:r>
      <w:r>
        <w:rPr>
          <w:rFonts w:hint="eastAsia"/>
          <w:sz w:val="24"/>
        </w:rPr>
        <w:t>4</w:t>
      </w:r>
      <w:r>
        <w:rPr>
          <w:b/>
          <w:sz w:val="24"/>
        </w:rPr>
        <w:t>服务人</w:t>
      </w:r>
      <w:r>
        <w:rPr>
          <w:rFonts w:hint="eastAsia"/>
          <w:b/>
          <w:sz w:val="24"/>
        </w:rPr>
        <w:t xml:space="preserve"> </w:t>
      </w:r>
      <w:r>
        <w:rPr>
          <w:rFonts w:hint="eastAsia"/>
          <w:sz w:val="24"/>
        </w:rPr>
        <w:t>具有法人资格和相应资质</w:t>
      </w:r>
      <w:r>
        <w:rPr>
          <w:rStyle w:val="187"/>
          <w:rFonts w:hint="eastAsia"/>
          <w:color w:val="auto"/>
          <w:sz w:val="24"/>
          <w:u w:val="none"/>
        </w:rPr>
        <w:t>、营业执照（或事业单位法人证书）</w:t>
      </w:r>
      <w:r>
        <w:rPr>
          <w:rFonts w:hint="eastAsia"/>
          <w:sz w:val="24"/>
        </w:rPr>
        <w:t>并与发包人签订了合同协议书承担服务的法人或其合法继承人或其受让人（经发包人同意），如为联合体，则包括联合体所有成员，根据上下文的内容，也指由其派驻到现场履行服务的机构。</w:t>
      </w:r>
    </w:p>
    <w:p>
      <w:pPr>
        <w:spacing w:line="312" w:lineRule="auto"/>
        <w:ind w:firstLine="480" w:firstLineChars="200"/>
        <w:rPr>
          <w:sz w:val="24"/>
        </w:rPr>
      </w:pPr>
      <w:r>
        <w:rPr>
          <w:sz w:val="24"/>
        </w:rPr>
        <w:t>1.1.</w:t>
      </w:r>
      <w:r>
        <w:rPr>
          <w:rFonts w:hint="eastAsia"/>
          <w:sz w:val="24"/>
        </w:rPr>
        <w:t>5</w:t>
      </w:r>
      <w:r>
        <w:rPr>
          <w:b/>
          <w:sz w:val="24"/>
        </w:rPr>
        <w:t>一</w:t>
      </w:r>
      <w:r>
        <w:rPr>
          <w:rFonts w:hint="eastAsia"/>
          <w:b/>
          <w:sz w:val="24"/>
        </w:rPr>
        <w:t xml:space="preserve">  </w:t>
      </w:r>
      <w:r>
        <w:rPr>
          <w:b/>
          <w:sz w:val="24"/>
        </w:rPr>
        <w:t>方</w:t>
      </w:r>
      <w:r>
        <w:rPr>
          <w:rFonts w:hint="eastAsia"/>
          <w:b/>
          <w:sz w:val="24"/>
        </w:rPr>
        <w:t xml:space="preserve"> </w:t>
      </w:r>
      <w:r>
        <w:rPr>
          <w:sz w:val="24"/>
        </w:rPr>
        <w:t>发包人或服务人。</w:t>
      </w:r>
    </w:p>
    <w:p>
      <w:pPr>
        <w:spacing w:line="312" w:lineRule="auto"/>
        <w:ind w:firstLine="964" w:firstLineChars="400"/>
        <w:rPr>
          <w:rStyle w:val="187"/>
        </w:rPr>
      </w:pPr>
      <w:r>
        <w:rPr>
          <w:b/>
          <w:sz w:val="24"/>
        </w:rPr>
        <w:t>双</w:t>
      </w:r>
      <w:r>
        <w:rPr>
          <w:rFonts w:hint="eastAsia"/>
          <w:b/>
          <w:sz w:val="24"/>
        </w:rPr>
        <w:t xml:space="preserve">  </w:t>
      </w:r>
      <w:r>
        <w:rPr>
          <w:b/>
          <w:sz w:val="24"/>
        </w:rPr>
        <w:t>方</w:t>
      </w:r>
      <w:r>
        <w:rPr>
          <w:rFonts w:hint="eastAsia"/>
          <w:b/>
          <w:sz w:val="24"/>
        </w:rPr>
        <w:t xml:space="preserve"> </w:t>
      </w:r>
      <w:r>
        <w:rPr>
          <w:sz w:val="24"/>
        </w:rPr>
        <w:t>发包人和服务人。</w:t>
      </w:r>
    </w:p>
    <w:p>
      <w:pPr>
        <w:spacing w:line="312" w:lineRule="auto"/>
        <w:rPr>
          <w:sz w:val="24"/>
        </w:rPr>
      </w:pPr>
      <w:r>
        <w:rPr>
          <w:rFonts w:hint="eastAsia"/>
          <w:b/>
          <w:sz w:val="24"/>
        </w:rPr>
        <w:t xml:space="preserve">        </w:t>
      </w:r>
      <w:r>
        <w:rPr>
          <w:b/>
          <w:sz w:val="24"/>
        </w:rPr>
        <w:t>第三方</w:t>
      </w:r>
      <w:r>
        <w:rPr>
          <w:rFonts w:hint="eastAsia"/>
          <w:b/>
          <w:sz w:val="24"/>
        </w:rPr>
        <w:t xml:space="preserve"> </w:t>
      </w:r>
      <w:r>
        <w:rPr>
          <w:rFonts w:hint="eastAsia"/>
          <w:sz w:val="24"/>
        </w:rPr>
        <w:t>本合同双方以外</w:t>
      </w:r>
      <w:r>
        <w:rPr>
          <w:sz w:val="24"/>
        </w:rPr>
        <w:t>的</w:t>
      </w:r>
      <w:r>
        <w:rPr>
          <w:rFonts w:hint="eastAsia"/>
          <w:sz w:val="24"/>
        </w:rPr>
        <w:t>任何中国境内外的自然人、法人或其他组织</w:t>
      </w:r>
      <w:r>
        <w:rPr>
          <w:sz w:val="24"/>
        </w:rPr>
        <w:t>。</w:t>
      </w:r>
    </w:p>
    <w:p>
      <w:pPr>
        <w:spacing w:line="312" w:lineRule="auto"/>
        <w:ind w:firstLine="480" w:firstLineChars="200"/>
        <w:rPr>
          <w:sz w:val="24"/>
        </w:rPr>
      </w:pPr>
      <w:r>
        <w:rPr>
          <w:sz w:val="24"/>
        </w:rPr>
        <w:t>1.1.</w:t>
      </w:r>
      <w:r>
        <w:rPr>
          <w:rFonts w:hint="eastAsia"/>
          <w:sz w:val="24"/>
        </w:rPr>
        <w:t>6</w:t>
      </w:r>
      <w:r>
        <w:rPr>
          <w:b/>
          <w:sz w:val="24"/>
        </w:rPr>
        <w:t>服务合同</w:t>
      </w:r>
      <w:r>
        <w:rPr>
          <w:rFonts w:hint="eastAsia"/>
          <w:b/>
          <w:sz w:val="24"/>
        </w:rPr>
        <w:t xml:space="preserve"> </w:t>
      </w:r>
      <w:r>
        <w:rPr>
          <w:rFonts w:hint="eastAsia" w:ascii="宋体" w:hAnsi="宋体" w:cs="宋体"/>
          <w:b/>
          <w:sz w:val="24"/>
        </w:rPr>
        <w:t>发包人和服务人</w:t>
      </w:r>
      <w:r>
        <w:rPr>
          <w:rFonts w:hint="eastAsia" w:ascii="宋体" w:hAnsi="宋体" w:cs="宋体"/>
          <w:sz w:val="24"/>
        </w:rPr>
        <w:t>双方签署的，与</w:t>
      </w:r>
      <w:r>
        <w:rPr>
          <w:rFonts w:hint="eastAsia"/>
          <w:sz w:val="24"/>
        </w:rPr>
        <w:t>本项目相关的合同协议书及附件</w:t>
      </w:r>
      <w:r>
        <w:rPr>
          <w:sz w:val="24"/>
        </w:rPr>
        <w:t>、</w:t>
      </w:r>
      <w:r>
        <w:rPr>
          <w:rFonts w:hint="eastAsia"/>
          <w:sz w:val="24"/>
        </w:rPr>
        <w:t>附录等一切文件，还包括招标文件、投标文件中的相关内容及</w:t>
      </w:r>
      <w:r>
        <w:rPr>
          <w:sz w:val="24"/>
        </w:rPr>
        <w:t>双方签认的补充或修正文件。</w:t>
      </w:r>
    </w:p>
    <w:p>
      <w:pPr>
        <w:spacing w:line="312" w:lineRule="auto"/>
        <w:ind w:firstLine="480" w:firstLineChars="200"/>
        <w:rPr>
          <w:sz w:val="24"/>
        </w:rPr>
      </w:pPr>
      <w:r>
        <w:rPr>
          <w:sz w:val="24"/>
        </w:rPr>
        <w:t>1.1.</w:t>
      </w:r>
      <w:r>
        <w:rPr>
          <w:rFonts w:hint="eastAsia"/>
          <w:sz w:val="24"/>
        </w:rPr>
        <w:t>7</w:t>
      </w:r>
      <w:r>
        <w:rPr>
          <w:rFonts w:hint="eastAsia"/>
          <w:b/>
          <w:sz w:val="24"/>
        </w:rPr>
        <w:t xml:space="preserve">附件 </w:t>
      </w:r>
      <w:r>
        <w:rPr>
          <w:rFonts w:hint="eastAsia"/>
          <w:sz w:val="24"/>
        </w:rPr>
        <w:t>与本合同的订立、履行有关的，经双方认可的，对本合同约定的内容进行细化、补充、修改、变更的文件、图纸、音像制品等资料。</w:t>
      </w:r>
    </w:p>
    <w:p>
      <w:pPr>
        <w:spacing w:line="312" w:lineRule="auto"/>
        <w:ind w:firstLine="480" w:firstLineChars="200"/>
        <w:rPr>
          <w:sz w:val="24"/>
        </w:rPr>
      </w:pPr>
      <w:r>
        <w:rPr>
          <w:sz w:val="24"/>
        </w:rPr>
        <w:t>1.1.</w:t>
      </w:r>
      <w:r>
        <w:rPr>
          <w:rFonts w:hint="eastAsia"/>
          <w:sz w:val="24"/>
        </w:rPr>
        <w:t>8</w:t>
      </w:r>
      <w:r>
        <w:rPr>
          <w:rFonts w:hint="eastAsia"/>
          <w:b/>
          <w:sz w:val="24"/>
        </w:rPr>
        <w:t xml:space="preserve">法律法规 </w:t>
      </w:r>
      <w:r>
        <w:rPr>
          <w:rFonts w:hint="eastAsia"/>
          <w:sz w:val="24"/>
        </w:rPr>
        <w:t>由中国有关部门制定的法律、行政法规、地方性法规、规章及其他规范性文件以及经全国人民代表大会常务委员会批准的中国缔结、参加的国际条公约的有关规定。</w:t>
      </w:r>
    </w:p>
    <w:p>
      <w:pPr>
        <w:spacing w:line="312" w:lineRule="auto"/>
        <w:ind w:firstLine="480" w:firstLineChars="200"/>
        <w:rPr>
          <w:sz w:val="24"/>
        </w:rPr>
      </w:pPr>
      <w:r>
        <w:rPr>
          <w:sz w:val="24"/>
        </w:rPr>
        <w:t>1.1.</w:t>
      </w:r>
      <w:r>
        <w:rPr>
          <w:rFonts w:hint="eastAsia"/>
          <w:sz w:val="24"/>
        </w:rPr>
        <w:t>9</w:t>
      </w:r>
      <w:r>
        <w:rPr>
          <w:rFonts w:hint="eastAsia"/>
          <w:b/>
          <w:sz w:val="24"/>
        </w:rPr>
        <w:t xml:space="preserve">书面形式  </w:t>
      </w:r>
      <w:r>
        <w:rPr>
          <w:sz w:val="24"/>
        </w:rPr>
        <w:t>指任何手写、打字、印刷或电子文档等用文字表达的方式。</w:t>
      </w:r>
    </w:p>
    <w:p>
      <w:pPr>
        <w:spacing w:line="312" w:lineRule="auto"/>
        <w:ind w:firstLine="480" w:firstLineChars="200"/>
        <w:rPr>
          <w:sz w:val="24"/>
        </w:rPr>
      </w:pPr>
      <w:r>
        <w:rPr>
          <w:sz w:val="24"/>
        </w:rPr>
        <w:t>1.1.</w:t>
      </w:r>
      <w:r>
        <w:rPr>
          <w:rFonts w:hint="eastAsia"/>
          <w:sz w:val="24"/>
        </w:rPr>
        <w:t xml:space="preserve">10 </w:t>
      </w:r>
      <w:r>
        <w:rPr>
          <w:b/>
          <w:sz w:val="24"/>
        </w:rPr>
        <w:t>日</w:t>
      </w:r>
      <w:r>
        <w:rPr>
          <w:rFonts w:hint="eastAsia"/>
          <w:b/>
          <w:sz w:val="24"/>
        </w:rPr>
        <w:t xml:space="preserve"> </w:t>
      </w:r>
      <w:r>
        <w:rPr>
          <w:sz w:val="24"/>
        </w:rPr>
        <w:t>即日历日。</w:t>
      </w:r>
    </w:p>
    <w:p>
      <w:pPr>
        <w:spacing w:line="312" w:lineRule="auto"/>
        <w:ind w:firstLine="480" w:firstLineChars="200"/>
        <w:rPr>
          <w:sz w:val="24"/>
        </w:rPr>
      </w:pPr>
      <w:r>
        <w:rPr>
          <w:sz w:val="24"/>
        </w:rPr>
        <w:t>1.1.1</w:t>
      </w:r>
      <w:r>
        <w:rPr>
          <w:rFonts w:hint="eastAsia"/>
          <w:sz w:val="24"/>
        </w:rPr>
        <w:t>1</w:t>
      </w:r>
      <w:r>
        <w:rPr>
          <w:b/>
          <w:sz w:val="24"/>
        </w:rPr>
        <w:t>月</w:t>
      </w:r>
      <w:r>
        <w:rPr>
          <w:rFonts w:hint="eastAsia"/>
          <w:b/>
          <w:sz w:val="24"/>
        </w:rPr>
        <w:t xml:space="preserve"> </w:t>
      </w:r>
      <w:r>
        <w:rPr>
          <w:sz w:val="24"/>
        </w:rPr>
        <w:t>根据公历从某一个月份中的任何一日开始至下一个月份相应日期的前一日截止的时间段。</w:t>
      </w:r>
    </w:p>
    <w:p>
      <w:pPr>
        <w:pStyle w:val="8"/>
        <w:spacing w:line="312" w:lineRule="auto"/>
      </w:pPr>
      <w:bookmarkStart w:id="19" w:name="_Toc16943"/>
      <w:r>
        <w:t>1.2解释</w:t>
      </w:r>
      <w:bookmarkEnd w:id="19"/>
    </w:p>
    <w:p>
      <w:pPr>
        <w:spacing w:line="312" w:lineRule="auto"/>
        <w:ind w:firstLine="480" w:firstLineChars="200"/>
        <w:rPr>
          <w:sz w:val="24"/>
        </w:rPr>
      </w:pPr>
      <w:r>
        <w:rPr>
          <w:sz w:val="24"/>
        </w:rPr>
        <w:t>1.2.1服务合同中的标题只是为了方便查阅，不应作为服务合同本身的内容予以</w:t>
      </w:r>
      <w:r>
        <w:rPr>
          <w:rStyle w:val="187"/>
          <w:rFonts w:hint="eastAsia"/>
          <w:color w:val="auto"/>
          <w:sz w:val="24"/>
          <w:u w:val="none"/>
        </w:rPr>
        <w:t>孤立</w:t>
      </w:r>
      <w:r>
        <w:rPr>
          <w:sz w:val="24"/>
        </w:rPr>
        <w:t>理解，也不应将其用于对服务合同进行解释。</w:t>
      </w:r>
    </w:p>
    <w:p>
      <w:pPr>
        <w:spacing w:line="312" w:lineRule="auto"/>
        <w:ind w:firstLine="480" w:firstLineChars="200"/>
        <w:rPr>
          <w:sz w:val="24"/>
        </w:rPr>
      </w:pPr>
      <w:r>
        <w:rPr>
          <w:sz w:val="24"/>
        </w:rPr>
        <w:t>1.</w:t>
      </w:r>
      <w:r>
        <w:rPr>
          <w:rFonts w:hint="eastAsia"/>
          <w:sz w:val="24"/>
        </w:rPr>
        <w:t>2</w:t>
      </w:r>
      <w:r>
        <w:rPr>
          <w:sz w:val="24"/>
        </w:rPr>
        <w:t>.2为了简练文字，服务合同中有些词句或用语可能会有多种含义，阅读时应视上下文的实际需要而定义。</w:t>
      </w:r>
    </w:p>
    <w:p>
      <w:pPr>
        <w:spacing w:line="312" w:lineRule="auto"/>
        <w:ind w:firstLine="480" w:firstLineChars="200"/>
        <w:rPr>
          <w:sz w:val="24"/>
        </w:rPr>
      </w:pPr>
      <w:r>
        <w:rPr>
          <w:sz w:val="24"/>
        </w:rPr>
        <w:t>1.</w:t>
      </w:r>
      <w:r>
        <w:rPr>
          <w:rFonts w:hint="eastAsia"/>
          <w:sz w:val="24"/>
        </w:rPr>
        <w:t>2</w:t>
      </w:r>
      <w:r>
        <w:rPr>
          <w:sz w:val="24"/>
        </w:rPr>
        <w:t>.</w:t>
      </w:r>
      <w:r>
        <w:rPr>
          <w:rFonts w:hint="eastAsia"/>
          <w:sz w:val="24"/>
        </w:rPr>
        <w:t>3</w:t>
      </w:r>
      <w:r>
        <w:rPr>
          <w:sz w:val="24"/>
        </w:rPr>
        <w:t>组成服务合同的各个文件应该认为是一个整体，彼此相互解释，相互补充，如出现相互矛盾的情况，</w:t>
      </w:r>
      <w:r>
        <w:rPr>
          <w:rFonts w:hint="eastAsia"/>
          <w:sz w:val="24"/>
        </w:rPr>
        <w:t>应按时间顺序以最新文件为准。</w:t>
      </w:r>
    </w:p>
    <w:p>
      <w:pPr>
        <w:spacing w:line="312" w:lineRule="auto"/>
        <w:ind w:firstLine="480" w:firstLineChars="200"/>
        <w:rPr>
          <w:sz w:val="24"/>
        </w:rPr>
      </w:pPr>
      <w:r>
        <w:rPr>
          <w:rFonts w:hint="eastAsia"/>
          <w:sz w:val="24"/>
        </w:rPr>
        <w:t>1.2.4本文件中涉及但未列入的定义应参照有关国家标准文件的定义与解释。</w:t>
      </w:r>
    </w:p>
    <w:p>
      <w:pPr>
        <w:pStyle w:val="7"/>
      </w:pPr>
      <w:bookmarkStart w:id="20" w:name="_Toc15455"/>
      <w:r>
        <w:t>2．服务人的</w:t>
      </w:r>
      <w:r>
        <w:rPr>
          <w:rFonts w:hint="eastAsia"/>
        </w:rPr>
        <w:t>工作</w:t>
      </w:r>
      <w:bookmarkEnd w:id="20"/>
    </w:p>
    <w:p>
      <w:pPr>
        <w:pStyle w:val="8"/>
        <w:spacing w:line="312" w:lineRule="auto"/>
      </w:pPr>
      <w:bookmarkStart w:id="21" w:name="_Toc8282"/>
      <w:r>
        <w:t>2.1.服务范围</w:t>
      </w:r>
      <w:bookmarkEnd w:id="21"/>
    </w:p>
    <w:p>
      <w:pPr>
        <w:spacing w:line="312" w:lineRule="auto"/>
        <w:ind w:firstLine="480" w:firstLineChars="200"/>
        <w:rPr>
          <w:rStyle w:val="187"/>
          <w:color w:val="FF0000"/>
          <w:szCs w:val="21"/>
        </w:rPr>
      </w:pPr>
      <w:r>
        <w:rPr>
          <w:rFonts w:hint="eastAsia"/>
          <w:sz w:val="24"/>
        </w:rPr>
        <w:t>2.1.1</w:t>
      </w:r>
      <w:r>
        <w:rPr>
          <w:sz w:val="24"/>
        </w:rPr>
        <w:t>服务的</w:t>
      </w:r>
      <w:r>
        <w:rPr>
          <w:rFonts w:hint="eastAsia"/>
          <w:sz w:val="24"/>
        </w:rPr>
        <w:t>工程</w:t>
      </w:r>
      <w:r>
        <w:rPr>
          <w:sz w:val="24"/>
        </w:rPr>
        <w:t>范围：</w:t>
      </w:r>
      <w:r>
        <w:rPr>
          <w:rFonts w:hint="eastAsia"/>
          <w:sz w:val="24"/>
        </w:rPr>
        <w:t>指在合同约定的期限内的技术服务范围和技术服务内的技术服务工作。</w:t>
      </w:r>
    </w:p>
    <w:p>
      <w:pPr>
        <w:spacing w:line="312" w:lineRule="auto"/>
        <w:ind w:firstLine="480" w:firstLineChars="200"/>
        <w:rPr>
          <w:sz w:val="24"/>
        </w:rPr>
      </w:pPr>
      <w:r>
        <w:rPr>
          <w:rFonts w:hint="eastAsia"/>
          <w:sz w:val="24"/>
        </w:rPr>
        <w:t>2.1.2服务的工作范围：</w:t>
      </w:r>
      <w:r>
        <w:rPr>
          <w:sz w:val="24"/>
        </w:rPr>
        <w:t>服务人</w:t>
      </w:r>
      <w:r>
        <w:rPr>
          <w:rFonts w:hint="eastAsia"/>
          <w:sz w:val="24"/>
        </w:rPr>
        <w:t xml:space="preserve">应当按照合同要求和发包人的授权范围进行下述服务：  </w:t>
      </w:r>
    </w:p>
    <w:p>
      <w:pPr>
        <w:spacing w:line="312" w:lineRule="auto"/>
        <w:ind w:firstLine="480" w:firstLineChars="200"/>
        <w:rPr>
          <w:rFonts w:ascii="宋体" w:hAnsi="宋体"/>
          <w:sz w:val="24"/>
        </w:rPr>
      </w:pPr>
      <w:r>
        <w:rPr>
          <w:rFonts w:hint="eastAsia"/>
          <w:sz w:val="24"/>
        </w:rPr>
        <w:t xml:space="preserve">  i. 正常</w:t>
      </w:r>
      <w:r>
        <w:rPr>
          <w:sz w:val="24"/>
        </w:rPr>
        <w:t>服务的范围：</w:t>
      </w:r>
      <w:r>
        <w:rPr>
          <w:rFonts w:hint="eastAsia" w:ascii="宋体" w:hAnsi="宋体"/>
          <w:sz w:val="24"/>
        </w:rPr>
        <w:t>指在合同约定的期限内有明确目标和内容的服务的工作。</w:t>
      </w:r>
    </w:p>
    <w:p>
      <w:pPr>
        <w:spacing w:line="312" w:lineRule="auto"/>
        <w:ind w:firstLine="480" w:firstLineChars="200"/>
        <w:rPr>
          <w:rFonts w:ascii="宋体" w:hAnsi="宋体"/>
          <w:sz w:val="24"/>
        </w:rPr>
      </w:pPr>
      <w:r>
        <w:rPr>
          <w:rFonts w:hint="eastAsia"/>
          <w:sz w:val="24"/>
        </w:rPr>
        <w:t xml:space="preserve">  ii. 附加服务的范围：</w:t>
      </w:r>
      <w:r>
        <w:rPr>
          <w:rFonts w:hint="eastAsia" w:ascii="宋体" w:hAnsi="宋体"/>
          <w:sz w:val="24"/>
        </w:rPr>
        <w:t>为完成正常服务工作所必须进行的相关服务工作。</w:t>
      </w:r>
    </w:p>
    <w:p>
      <w:pPr>
        <w:spacing w:line="312" w:lineRule="auto"/>
        <w:ind w:firstLine="566" w:firstLineChars="236"/>
        <w:rPr>
          <w:rFonts w:ascii="宋体" w:hAnsi="宋体"/>
          <w:sz w:val="24"/>
        </w:rPr>
      </w:pPr>
      <w:r>
        <w:rPr>
          <w:rFonts w:hint="eastAsia"/>
          <w:sz w:val="24"/>
        </w:rPr>
        <w:t xml:space="preserve"> iii. 额外服务的范围：是指服务范围（包括</w:t>
      </w:r>
      <w:r>
        <w:rPr>
          <w:rFonts w:hint="eastAsia" w:ascii="宋体" w:hAnsi="宋体"/>
          <w:sz w:val="24"/>
        </w:rPr>
        <w:t>正常服务和附加服务）以外的不影响其正常服务和附加服务内容执行，但与服务内容紧密相关的并经发包人同意增加的服务工作。</w:t>
      </w:r>
    </w:p>
    <w:p>
      <w:pPr>
        <w:pStyle w:val="8"/>
        <w:spacing w:line="312" w:lineRule="auto"/>
      </w:pPr>
      <w:bookmarkStart w:id="22" w:name="_Toc10804"/>
      <w:r>
        <w:rPr>
          <w:rFonts w:hint="eastAsia"/>
        </w:rPr>
        <w:t>2</w:t>
      </w:r>
      <w:r>
        <w:t>.2服务的</w:t>
      </w:r>
      <w:r>
        <w:rPr>
          <w:rFonts w:hint="eastAsia"/>
        </w:rPr>
        <w:t>目标</w:t>
      </w:r>
      <w:bookmarkEnd w:id="22"/>
    </w:p>
    <w:p>
      <w:pPr>
        <w:spacing w:line="312" w:lineRule="auto"/>
        <w:ind w:firstLine="480" w:firstLineChars="200"/>
        <w:rPr>
          <w:sz w:val="24"/>
        </w:rPr>
      </w:pPr>
      <w:r>
        <w:rPr>
          <w:rFonts w:hint="eastAsia"/>
          <w:sz w:val="24"/>
        </w:rPr>
        <w:t>见合同专用条款</w:t>
      </w:r>
    </w:p>
    <w:p>
      <w:pPr>
        <w:pStyle w:val="8"/>
        <w:spacing w:line="312" w:lineRule="auto"/>
      </w:pPr>
      <w:bookmarkStart w:id="23" w:name="_Toc8951"/>
      <w:r>
        <w:rPr>
          <w:rFonts w:hint="eastAsia"/>
        </w:rPr>
        <w:t>2.3</w:t>
      </w:r>
      <w:r>
        <w:t>服务的</w:t>
      </w:r>
      <w:r>
        <w:rPr>
          <w:rFonts w:hint="eastAsia"/>
        </w:rPr>
        <w:t>内容</w:t>
      </w:r>
      <w:bookmarkEnd w:id="23"/>
    </w:p>
    <w:p>
      <w:pPr>
        <w:spacing w:line="312" w:lineRule="auto"/>
        <w:ind w:firstLine="480" w:firstLineChars="200"/>
        <w:rPr>
          <w:sz w:val="24"/>
        </w:rPr>
      </w:pPr>
      <w:r>
        <w:rPr>
          <w:rFonts w:hint="eastAsia"/>
          <w:sz w:val="24"/>
        </w:rPr>
        <w:t>见合同专用条款。</w:t>
      </w:r>
    </w:p>
    <w:p>
      <w:pPr>
        <w:pStyle w:val="8"/>
        <w:spacing w:line="312" w:lineRule="auto"/>
      </w:pPr>
      <w:bookmarkStart w:id="24" w:name="_Toc3753"/>
      <w:r>
        <w:t>2.4服务的依据</w:t>
      </w:r>
      <w:bookmarkEnd w:id="24"/>
    </w:p>
    <w:p>
      <w:pPr>
        <w:spacing w:line="312" w:lineRule="auto"/>
        <w:ind w:firstLine="480" w:firstLineChars="200"/>
        <w:rPr>
          <w:sz w:val="24"/>
        </w:rPr>
      </w:pPr>
      <w:r>
        <w:rPr>
          <w:rFonts w:hint="eastAsia"/>
          <w:sz w:val="24"/>
        </w:rPr>
        <w:t>2.4.1适用的</w:t>
      </w:r>
      <w:r>
        <w:rPr>
          <w:sz w:val="24"/>
        </w:rPr>
        <w:t>法律</w:t>
      </w:r>
      <w:r>
        <w:rPr>
          <w:rFonts w:hint="eastAsia"/>
          <w:sz w:val="24"/>
        </w:rPr>
        <w:t>、</w:t>
      </w:r>
      <w:r>
        <w:rPr>
          <w:sz w:val="24"/>
        </w:rPr>
        <w:t>法规</w:t>
      </w:r>
      <w:r>
        <w:rPr>
          <w:rFonts w:hint="eastAsia"/>
          <w:sz w:val="24"/>
        </w:rPr>
        <w:t>、规章</w:t>
      </w:r>
      <w:r>
        <w:rPr>
          <w:sz w:val="24"/>
        </w:rPr>
        <w:t>；</w:t>
      </w:r>
    </w:p>
    <w:p>
      <w:pPr>
        <w:spacing w:line="312" w:lineRule="auto"/>
        <w:ind w:firstLine="480" w:firstLineChars="200"/>
        <w:rPr>
          <w:sz w:val="24"/>
        </w:rPr>
      </w:pPr>
      <w:r>
        <w:rPr>
          <w:rFonts w:hint="eastAsia"/>
          <w:sz w:val="24"/>
        </w:rPr>
        <w:t>2.4.2</w:t>
      </w:r>
      <w:r>
        <w:rPr>
          <w:sz w:val="24"/>
        </w:rPr>
        <w:t>国家和行业</w:t>
      </w:r>
      <w:r>
        <w:rPr>
          <w:rFonts w:hint="eastAsia"/>
          <w:sz w:val="24"/>
        </w:rPr>
        <w:t>适用的</w:t>
      </w:r>
      <w:r>
        <w:rPr>
          <w:sz w:val="24"/>
        </w:rPr>
        <w:t>标准、规范、规程；</w:t>
      </w:r>
    </w:p>
    <w:p>
      <w:pPr>
        <w:spacing w:line="312" w:lineRule="auto"/>
        <w:ind w:firstLine="480" w:firstLineChars="200"/>
        <w:rPr>
          <w:sz w:val="24"/>
        </w:rPr>
      </w:pPr>
      <w:r>
        <w:rPr>
          <w:rFonts w:hint="eastAsia"/>
          <w:sz w:val="24"/>
        </w:rPr>
        <w:t>2.4.3</w:t>
      </w:r>
      <w:r>
        <w:rPr>
          <w:sz w:val="24"/>
        </w:rPr>
        <w:t>服务合同</w:t>
      </w:r>
      <w:r>
        <w:rPr>
          <w:rFonts w:hint="eastAsia"/>
          <w:sz w:val="24"/>
        </w:rPr>
        <w:t>（包括招投标相关文件及附录）</w:t>
      </w:r>
      <w:r>
        <w:rPr>
          <w:sz w:val="24"/>
        </w:rPr>
        <w:t>；</w:t>
      </w:r>
    </w:p>
    <w:p>
      <w:pPr>
        <w:spacing w:line="312" w:lineRule="auto"/>
        <w:ind w:firstLine="480" w:firstLineChars="200"/>
        <w:rPr>
          <w:sz w:val="24"/>
        </w:rPr>
      </w:pPr>
      <w:r>
        <w:rPr>
          <w:rFonts w:hint="eastAsia"/>
          <w:sz w:val="24"/>
        </w:rPr>
        <w:t>2.4.4服务</w:t>
      </w:r>
      <w:r>
        <w:rPr>
          <w:sz w:val="24"/>
        </w:rPr>
        <w:t>实施过程中有关的函件</w:t>
      </w:r>
      <w:r>
        <w:rPr>
          <w:rFonts w:hint="eastAsia"/>
          <w:sz w:val="24"/>
        </w:rPr>
        <w:t>；</w:t>
      </w:r>
    </w:p>
    <w:p>
      <w:pPr>
        <w:spacing w:line="312" w:lineRule="auto"/>
        <w:ind w:firstLine="480" w:firstLineChars="200"/>
        <w:rPr>
          <w:sz w:val="24"/>
        </w:rPr>
      </w:pPr>
      <w:r>
        <w:rPr>
          <w:rFonts w:hint="eastAsia"/>
          <w:sz w:val="24"/>
        </w:rPr>
        <w:t>2.4.5 补充规定</w:t>
      </w:r>
    </w:p>
    <w:p>
      <w:pPr>
        <w:pStyle w:val="7"/>
      </w:pPr>
      <w:bookmarkStart w:id="25" w:name="_Toc16081"/>
      <w:r>
        <w:rPr>
          <w:rFonts w:hint="eastAsia"/>
        </w:rPr>
        <w:t>3、服务人的义务</w:t>
      </w:r>
      <w:bookmarkEnd w:id="25"/>
    </w:p>
    <w:p>
      <w:pPr>
        <w:pStyle w:val="8"/>
        <w:spacing w:line="312" w:lineRule="auto"/>
      </w:pPr>
      <w:bookmarkStart w:id="26" w:name="_Toc13584"/>
      <w:r>
        <w:rPr>
          <w:rFonts w:hint="eastAsia"/>
        </w:rPr>
        <w:t>3.1</w:t>
      </w:r>
      <w:r>
        <w:t>.</w:t>
      </w:r>
      <w:r>
        <w:rPr>
          <w:rFonts w:hint="eastAsia"/>
        </w:rPr>
        <w:t>服务人的一般义务</w:t>
      </w:r>
      <w:bookmarkEnd w:id="26"/>
    </w:p>
    <w:p>
      <w:pPr>
        <w:spacing w:line="312" w:lineRule="auto"/>
        <w:ind w:firstLine="480" w:firstLineChars="200"/>
        <w:rPr>
          <w:sz w:val="24"/>
        </w:rPr>
      </w:pPr>
      <w:r>
        <w:rPr>
          <w:rFonts w:hint="eastAsia"/>
          <w:sz w:val="24"/>
        </w:rPr>
        <w:t>3.1.1应按照服务合同及相关法律、法规、标准、规范、规程的要求，严格、严密、科学、公正地完成服务工作。</w:t>
      </w:r>
    </w:p>
    <w:p>
      <w:pPr>
        <w:spacing w:line="312" w:lineRule="auto"/>
        <w:ind w:firstLine="480" w:firstLineChars="200"/>
        <w:rPr>
          <w:sz w:val="24"/>
        </w:rPr>
      </w:pPr>
      <w:r>
        <w:rPr>
          <w:rFonts w:hint="eastAsia"/>
          <w:sz w:val="24"/>
        </w:rPr>
        <w:t>3.1.2应妥善保护发包人提供的相关文件与资料、实物等，未经发包人同意不得复制给任何第三方。其服务成果、报告未经发包人同意不得告知、复制给任何第三方。</w:t>
      </w:r>
    </w:p>
    <w:p>
      <w:pPr>
        <w:spacing w:line="312" w:lineRule="auto"/>
        <w:ind w:firstLine="480" w:firstLineChars="200"/>
        <w:rPr>
          <w:sz w:val="24"/>
        </w:rPr>
      </w:pPr>
      <w:r>
        <w:rPr>
          <w:rFonts w:hint="eastAsia"/>
          <w:sz w:val="24"/>
        </w:rPr>
        <w:t>3.1.3应对自己及其雇员的生命财产全权负责，并避免对发包人及相关第三方的生命财产造成损失。应主动协调好与发包人及相关第三方的工作关系，确保服务工作能够顺利完成。</w:t>
      </w:r>
    </w:p>
    <w:p>
      <w:pPr>
        <w:spacing w:line="312" w:lineRule="auto"/>
        <w:ind w:firstLine="480" w:firstLineChars="200"/>
        <w:outlineLvl w:val="0"/>
        <w:rPr>
          <w:sz w:val="24"/>
        </w:rPr>
      </w:pPr>
      <w:bookmarkStart w:id="27" w:name="_Toc24968"/>
      <w:bookmarkStart w:id="28" w:name="_Toc23773"/>
      <w:r>
        <w:rPr>
          <w:rFonts w:hint="eastAsia"/>
          <w:sz w:val="24"/>
        </w:rPr>
        <w:t>3.1.4 提供的服务未经许可不得擅自涉及第三方的知识产权保护。</w:t>
      </w:r>
      <w:bookmarkEnd w:id="27"/>
      <w:bookmarkEnd w:id="28"/>
    </w:p>
    <w:p>
      <w:pPr>
        <w:spacing w:line="312" w:lineRule="auto"/>
        <w:ind w:firstLine="480" w:firstLineChars="200"/>
        <w:rPr>
          <w:sz w:val="24"/>
        </w:rPr>
      </w:pPr>
      <w:r>
        <w:rPr>
          <w:rFonts w:hint="eastAsia"/>
          <w:sz w:val="24"/>
        </w:rPr>
        <w:t>3.1.5未经发包人同意，不得将服务工作的部分或全部工作发包给第三方。</w:t>
      </w:r>
    </w:p>
    <w:p>
      <w:pPr>
        <w:spacing w:line="312" w:lineRule="auto"/>
        <w:ind w:firstLine="480" w:firstLineChars="200"/>
        <w:outlineLvl w:val="0"/>
        <w:rPr>
          <w:sz w:val="24"/>
        </w:rPr>
      </w:pPr>
      <w:bookmarkStart w:id="29" w:name="_Toc28841"/>
      <w:bookmarkStart w:id="30" w:name="_Toc10699"/>
      <w:r>
        <w:rPr>
          <w:rFonts w:hint="eastAsia"/>
          <w:sz w:val="24"/>
        </w:rPr>
        <w:t>3.1.6 应对所有现场作业的完备性、稳定性和安全性负责。其各项工作应按正式颁布的国家标准及行业标准进行。</w:t>
      </w:r>
      <w:bookmarkEnd w:id="29"/>
      <w:bookmarkEnd w:id="30"/>
    </w:p>
    <w:p>
      <w:pPr>
        <w:spacing w:line="312" w:lineRule="auto"/>
        <w:ind w:firstLine="480" w:firstLineChars="200"/>
        <w:outlineLvl w:val="0"/>
        <w:rPr>
          <w:sz w:val="24"/>
        </w:rPr>
      </w:pPr>
      <w:bookmarkStart w:id="31" w:name="_Toc2603"/>
      <w:r>
        <w:rPr>
          <w:rFonts w:hint="eastAsia"/>
          <w:sz w:val="24"/>
        </w:rPr>
        <w:t>3.1.7向发包人及时提交中间服务成果报告，并接受发包人的指令做出必要的调整、变更。在服务过程中如发现存在有危险或隐患等应急情况时，应及时向发包人及其相关第三方提供信息告知，并随后补充有关书面信息。</w:t>
      </w:r>
      <w:bookmarkEnd w:id="31"/>
    </w:p>
    <w:p>
      <w:pPr>
        <w:spacing w:line="312" w:lineRule="auto"/>
        <w:ind w:firstLine="480" w:firstLineChars="200"/>
        <w:rPr>
          <w:rStyle w:val="187"/>
          <w:color w:val="auto"/>
          <w:sz w:val="24"/>
          <w:u w:val="none"/>
        </w:rPr>
      </w:pPr>
      <w:r>
        <w:rPr>
          <w:rFonts w:hint="eastAsia"/>
          <w:sz w:val="24"/>
        </w:rPr>
        <w:t>3.1.8向发包人提交最终服务成果报告，负责为服务成果的确认完成必要的评审、鉴定等，负责向发包人解读服务成果的应用及提交相关建议。</w:t>
      </w:r>
      <w:r>
        <w:rPr>
          <w:rStyle w:val="187"/>
          <w:rFonts w:hint="eastAsia"/>
          <w:color w:val="auto"/>
          <w:sz w:val="24"/>
          <w:u w:val="none"/>
        </w:rPr>
        <w:t>服务成果应与发包人共同持有，未经发包人同意，不得私自转让、赠与。</w:t>
      </w:r>
    </w:p>
    <w:p>
      <w:pPr>
        <w:spacing w:line="312" w:lineRule="auto"/>
        <w:ind w:firstLine="480" w:firstLineChars="200"/>
        <w:rPr>
          <w:sz w:val="24"/>
        </w:rPr>
      </w:pPr>
      <w:r>
        <w:rPr>
          <w:rFonts w:hint="eastAsia"/>
          <w:sz w:val="24"/>
        </w:rPr>
        <w:t>3.1.9</w:t>
      </w:r>
      <w:r>
        <w:rPr>
          <w:rStyle w:val="187"/>
          <w:rFonts w:hint="eastAsia"/>
          <w:color w:val="auto"/>
          <w:sz w:val="24"/>
          <w:u w:val="none"/>
        </w:rPr>
        <w:t>负责为发包人及其指定的第三方提供服务、指导、培训，解决工程建设与管理问题。</w:t>
      </w:r>
    </w:p>
    <w:p>
      <w:pPr>
        <w:pStyle w:val="8"/>
        <w:spacing w:line="312" w:lineRule="auto"/>
      </w:pPr>
      <w:bookmarkStart w:id="32" w:name="_Toc5886"/>
      <w:r>
        <w:rPr>
          <w:rFonts w:hint="eastAsia"/>
        </w:rPr>
        <w:t>3</w:t>
      </w:r>
      <w:r>
        <w:t>.2</w:t>
      </w:r>
      <w:r>
        <w:rPr>
          <w:rFonts w:hint="eastAsia"/>
        </w:rPr>
        <w:t>服务人的</w:t>
      </w:r>
      <w:r>
        <w:t>人员</w:t>
      </w:r>
      <w:bookmarkEnd w:id="32"/>
    </w:p>
    <w:p>
      <w:pPr>
        <w:spacing w:line="312" w:lineRule="auto"/>
        <w:ind w:firstLine="480" w:firstLineChars="200"/>
        <w:rPr>
          <w:rFonts w:ascii="宋体" w:hAnsi="宋体"/>
          <w:sz w:val="24"/>
        </w:rPr>
      </w:pPr>
      <w:r>
        <w:rPr>
          <w:rFonts w:hint="eastAsia" w:ascii="宋体" w:hAnsi="宋体"/>
          <w:sz w:val="24"/>
        </w:rPr>
        <w:t>3.2.1服务人应按合同约定指派项目负责人，并负责组织合同的实施。服务人为履行合同发出的一切函件均应盖有服务人的管理机构章，并由服务人项目负责人签字。</w:t>
      </w:r>
    </w:p>
    <w:p>
      <w:pPr>
        <w:spacing w:line="312" w:lineRule="auto"/>
        <w:ind w:firstLine="480" w:firstLineChars="200"/>
        <w:rPr>
          <w:sz w:val="24"/>
        </w:rPr>
      </w:pPr>
      <w:r>
        <w:rPr>
          <w:rFonts w:hint="eastAsia" w:ascii="宋体" w:hAnsi="宋体"/>
          <w:sz w:val="24"/>
        </w:rPr>
        <w:t>3.2.2服务人</w:t>
      </w:r>
      <w:r>
        <w:rPr>
          <w:rFonts w:hint="eastAsia"/>
          <w:sz w:val="24"/>
        </w:rPr>
        <w:t>派驻到项目服务的其他人员，必须持有相关的资格证书，并得到发包人的认可。</w:t>
      </w:r>
    </w:p>
    <w:p>
      <w:pPr>
        <w:spacing w:line="312" w:lineRule="auto"/>
        <w:ind w:firstLine="480" w:firstLineChars="200"/>
        <w:outlineLvl w:val="0"/>
        <w:rPr>
          <w:sz w:val="24"/>
        </w:rPr>
      </w:pPr>
      <w:bookmarkStart w:id="33" w:name="_Toc17661"/>
      <w:bookmarkStart w:id="34" w:name="_Toc7264"/>
      <w:r>
        <w:rPr>
          <w:rFonts w:hint="eastAsia" w:ascii="宋体" w:hAnsi="宋体"/>
          <w:sz w:val="24"/>
        </w:rPr>
        <w:t>3.2.3 服务</w:t>
      </w:r>
      <w:r>
        <w:rPr>
          <w:rFonts w:hint="eastAsia"/>
          <w:sz w:val="24"/>
        </w:rPr>
        <w:t>人因工作安排或其它原因，需要更换项目的服务人员时，应事先得到发包人的同意。发包人有权同意或拒绝。</w:t>
      </w:r>
      <w:bookmarkEnd w:id="33"/>
      <w:bookmarkEnd w:id="34"/>
    </w:p>
    <w:p>
      <w:pPr>
        <w:pStyle w:val="8"/>
        <w:spacing w:line="312" w:lineRule="auto"/>
      </w:pPr>
      <w:bookmarkStart w:id="35" w:name="_Toc10136"/>
      <w:r>
        <w:rPr>
          <w:rFonts w:hint="eastAsia"/>
        </w:rPr>
        <w:t>3</w:t>
      </w:r>
      <w:r>
        <w:t>.</w:t>
      </w:r>
      <w:r>
        <w:rPr>
          <w:rFonts w:hint="eastAsia"/>
        </w:rPr>
        <w:t>3服务人的设备</w:t>
      </w:r>
      <w:bookmarkEnd w:id="35"/>
    </w:p>
    <w:p>
      <w:pPr>
        <w:spacing w:line="312" w:lineRule="auto"/>
        <w:ind w:firstLine="480" w:firstLineChars="200"/>
        <w:rPr>
          <w:rFonts w:ascii="宋体" w:hAnsi="宋体"/>
          <w:sz w:val="24"/>
        </w:rPr>
      </w:pPr>
      <w:r>
        <w:rPr>
          <w:rFonts w:hint="eastAsia" w:ascii="宋体" w:hAnsi="宋体"/>
          <w:sz w:val="24"/>
        </w:rPr>
        <w:t>3.3.1服务人应按合同约定及时调配设备进场作业，确保设备的安全性。</w:t>
      </w:r>
    </w:p>
    <w:p>
      <w:pPr>
        <w:spacing w:line="312" w:lineRule="auto"/>
        <w:ind w:firstLine="480" w:firstLineChars="200"/>
        <w:rPr>
          <w:sz w:val="24"/>
        </w:rPr>
      </w:pPr>
      <w:r>
        <w:rPr>
          <w:rFonts w:hint="eastAsia" w:ascii="宋体" w:hAnsi="宋体"/>
          <w:sz w:val="24"/>
        </w:rPr>
        <w:t>3.3.2服务人应根据服务进度、质量控制标准等的需要及时调整设备。进场设备退出应事先得到发包人同意。</w:t>
      </w:r>
      <w:r>
        <w:rPr>
          <w:rFonts w:hint="eastAsia"/>
          <w:sz w:val="24"/>
        </w:rPr>
        <w:t>发包人有权同意或拒绝。</w:t>
      </w:r>
    </w:p>
    <w:p>
      <w:pPr>
        <w:pStyle w:val="7"/>
      </w:pPr>
      <w:bookmarkStart w:id="36" w:name="_Toc5891"/>
      <w:r>
        <w:rPr>
          <w:rFonts w:hint="eastAsia"/>
        </w:rPr>
        <w:t>4</w:t>
      </w:r>
      <w:r>
        <w:t>．发包人的义务</w:t>
      </w:r>
      <w:bookmarkEnd w:id="36"/>
    </w:p>
    <w:p>
      <w:pPr>
        <w:spacing w:line="312" w:lineRule="auto"/>
        <w:ind w:firstLine="480" w:firstLineChars="200"/>
        <w:rPr>
          <w:sz w:val="24"/>
        </w:rPr>
      </w:pPr>
      <w:r>
        <w:rPr>
          <w:rFonts w:hint="eastAsia" w:ascii="宋体" w:hAnsi="宋体"/>
          <w:sz w:val="24"/>
        </w:rPr>
        <w:t>4.1</w:t>
      </w:r>
      <w:r>
        <w:rPr>
          <w:rFonts w:hint="eastAsia"/>
          <w:sz w:val="24"/>
        </w:rPr>
        <w:t>应按合同约定为服务人及时提供其履行合同所必须的有关文件和资料、实物等。</w:t>
      </w:r>
    </w:p>
    <w:p>
      <w:pPr>
        <w:spacing w:line="312" w:lineRule="auto"/>
        <w:ind w:firstLine="480" w:firstLineChars="200"/>
        <w:rPr>
          <w:sz w:val="24"/>
        </w:rPr>
      </w:pPr>
      <w:r>
        <w:rPr>
          <w:rFonts w:hint="eastAsia" w:ascii="宋体" w:hAnsi="宋体"/>
          <w:sz w:val="24"/>
        </w:rPr>
        <w:t>4.2</w:t>
      </w:r>
      <w:r>
        <w:rPr>
          <w:rFonts w:hint="eastAsia"/>
          <w:sz w:val="24"/>
        </w:rPr>
        <w:t>应指定专人负责相关服务管理工作，就有关发包人的关于服务的调整、变更的决定及时以书面指令形式发至服务人，有必要时签订相关补充协议、合同。负责人更换必须及时通知服务人。</w:t>
      </w:r>
    </w:p>
    <w:p>
      <w:pPr>
        <w:spacing w:line="312" w:lineRule="auto"/>
        <w:ind w:firstLine="480" w:firstLineChars="200"/>
        <w:rPr>
          <w:sz w:val="24"/>
        </w:rPr>
      </w:pPr>
      <w:r>
        <w:rPr>
          <w:rFonts w:hint="eastAsia" w:ascii="宋体" w:hAnsi="宋体"/>
          <w:sz w:val="24"/>
        </w:rPr>
        <w:t>4.3</w:t>
      </w:r>
      <w:r>
        <w:rPr>
          <w:rFonts w:hint="eastAsia"/>
          <w:sz w:val="24"/>
        </w:rPr>
        <w:t>按合同约定为服务人做好必要的联络协调工作，方便服务人开展服务工作。</w:t>
      </w:r>
    </w:p>
    <w:p>
      <w:pPr>
        <w:spacing w:line="312" w:lineRule="auto"/>
        <w:ind w:firstLine="480" w:firstLineChars="200"/>
        <w:rPr>
          <w:sz w:val="24"/>
        </w:rPr>
      </w:pPr>
      <w:r>
        <w:rPr>
          <w:rFonts w:hint="eastAsia" w:ascii="宋体" w:hAnsi="宋体"/>
          <w:sz w:val="24"/>
        </w:rPr>
        <w:t>4.4</w:t>
      </w:r>
      <w:r>
        <w:rPr>
          <w:rFonts w:hint="eastAsia"/>
          <w:sz w:val="24"/>
        </w:rPr>
        <w:t>应按合同规定向服务人书面提交并要求答复的重大问题，做出书面决定。</w:t>
      </w:r>
    </w:p>
    <w:p>
      <w:pPr>
        <w:spacing w:line="312" w:lineRule="auto"/>
        <w:ind w:firstLine="480" w:firstLineChars="200"/>
        <w:rPr>
          <w:sz w:val="24"/>
        </w:rPr>
      </w:pPr>
      <w:r>
        <w:rPr>
          <w:rFonts w:hint="eastAsia" w:ascii="宋体" w:hAnsi="宋体"/>
          <w:sz w:val="24"/>
        </w:rPr>
        <w:t>4.5</w:t>
      </w:r>
      <w:r>
        <w:rPr>
          <w:rFonts w:hint="eastAsia"/>
          <w:sz w:val="24"/>
        </w:rPr>
        <w:t>应按合同约定及时支付服务的费用。</w:t>
      </w:r>
    </w:p>
    <w:p>
      <w:pPr>
        <w:spacing w:line="312" w:lineRule="auto"/>
        <w:ind w:firstLine="480" w:firstLineChars="200"/>
        <w:rPr>
          <w:sz w:val="24"/>
        </w:rPr>
      </w:pPr>
      <w:r>
        <w:rPr>
          <w:rFonts w:hint="eastAsia" w:ascii="宋体" w:hAnsi="宋体"/>
          <w:sz w:val="24"/>
        </w:rPr>
        <w:t>4.6</w:t>
      </w:r>
      <w:r>
        <w:rPr>
          <w:rFonts w:hint="eastAsia"/>
          <w:sz w:val="24"/>
        </w:rPr>
        <w:t>未经服务人同意不得泄密涉及其知识产权的资料。</w:t>
      </w:r>
    </w:p>
    <w:p>
      <w:pPr>
        <w:pStyle w:val="7"/>
      </w:pPr>
      <w:bookmarkStart w:id="37" w:name="_Toc11258"/>
      <w:r>
        <w:rPr>
          <w:rFonts w:hint="eastAsia"/>
        </w:rPr>
        <w:t>5．责任和保障</w:t>
      </w:r>
      <w:bookmarkEnd w:id="37"/>
    </w:p>
    <w:p>
      <w:pPr>
        <w:pStyle w:val="8"/>
        <w:spacing w:line="312" w:lineRule="auto"/>
      </w:pPr>
      <w:bookmarkStart w:id="38" w:name="_Toc21638"/>
      <w:r>
        <w:rPr>
          <w:rFonts w:hint="eastAsia"/>
        </w:rPr>
        <w:t>5.1服务人的一般违约及责任</w:t>
      </w:r>
      <w:bookmarkEnd w:id="38"/>
    </w:p>
    <w:p>
      <w:pPr>
        <w:spacing w:line="312" w:lineRule="auto"/>
        <w:ind w:firstLine="480" w:firstLineChars="200"/>
        <w:rPr>
          <w:sz w:val="24"/>
        </w:rPr>
      </w:pPr>
      <w:r>
        <w:rPr>
          <w:rFonts w:hint="eastAsia"/>
          <w:sz w:val="24"/>
        </w:rPr>
        <w:t>5.1.1服务人违反服务合同的规定，将服务的任何部分违法转让或非法分包；</w:t>
      </w:r>
      <w:r>
        <w:rPr>
          <w:sz w:val="24"/>
        </w:rPr>
        <w:t xml:space="preserve"> </w:t>
      </w:r>
    </w:p>
    <w:p>
      <w:pPr>
        <w:spacing w:line="312" w:lineRule="auto"/>
        <w:rPr>
          <w:rStyle w:val="187"/>
          <w:color w:val="auto"/>
          <w:sz w:val="24"/>
          <w:u w:val="none"/>
        </w:rPr>
      </w:pPr>
      <w:r>
        <w:rPr>
          <w:rFonts w:hint="eastAsia"/>
          <w:sz w:val="24"/>
        </w:rPr>
        <w:t xml:space="preserve">    5.1.2服务人未能按照投标文件的承诺配备满足服务要求的人员和设备</w:t>
      </w:r>
      <w:r>
        <w:rPr>
          <w:rStyle w:val="187"/>
          <w:rFonts w:hint="eastAsia"/>
          <w:color w:val="auto"/>
          <w:sz w:val="24"/>
          <w:u w:val="none"/>
        </w:rPr>
        <w:t>或擅自进行调整或擅自缺岗；服务人不能根据实际工作的需要接受发包人指令及时进行人员和设备的调整。</w:t>
      </w:r>
    </w:p>
    <w:p>
      <w:pPr>
        <w:spacing w:line="312" w:lineRule="auto"/>
        <w:ind w:firstLine="480" w:firstLineChars="200"/>
        <w:rPr>
          <w:sz w:val="24"/>
        </w:rPr>
      </w:pPr>
      <w:r>
        <w:rPr>
          <w:rFonts w:hint="eastAsia"/>
          <w:sz w:val="24"/>
        </w:rPr>
        <w:t>5.1.3服务人不履行职责，失职、渎职或向相关人行贿索贿、谋取私利，或与相关人串通损害发包人利益，给发包人造成损失；</w:t>
      </w:r>
    </w:p>
    <w:p>
      <w:pPr>
        <w:spacing w:line="312" w:lineRule="auto"/>
        <w:ind w:firstLine="480" w:firstLineChars="200"/>
        <w:rPr>
          <w:rStyle w:val="187"/>
          <w:sz w:val="24"/>
        </w:rPr>
      </w:pPr>
      <w:r>
        <w:rPr>
          <w:rFonts w:hint="eastAsia"/>
          <w:sz w:val="24"/>
        </w:rPr>
        <w:t>5.1.4</w:t>
      </w:r>
      <w:r>
        <w:rPr>
          <w:rStyle w:val="187"/>
          <w:rFonts w:hint="eastAsia"/>
          <w:color w:val="auto"/>
          <w:sz w:val="24"/>
          <w:u w:val="none"/>
        </w:rPr>
        <w:t>服务人因服务因素收集不全、不准确、虚假、错误等致使未能按合同进度计划或质量要求或发包人指令及时完成合同约定的服务工作，或不能及时提交服务成果并提供服务，对工程建设与管理造成了影响；</w:t>
      </w:r>
    </w:p>
    <w:p>
      <w:pPr>
        <w:spacing w:line="312" w:lineRule="auto"/>
        <w:ind w:firstLine="480" w:firstLineChars="200"/>
        <w:outlineLvl w:val="0"/>
        <w:rPr>
          <w:rStyle w:val="187"/>
          <w:color w:val="auto"/>
          <w:sz w:val="24"/>
          <w:u w:val="none"/>
        </w:rPr>
      </w:pPr>
      <w:bookmarkStart w:id="39" w:name="_Toc10254"/>
      <w:bookmarkStart w:id="40" w:name="_Toc1798"/>
      <w:r>
        <w:rPr>
          <w:rFonts w:hint="eastAsia"/>
          <w:sz w:val="24"/>
        </w:rPr>
        <w:t>5.1.5</w:t>
      </w:r>
      <w:r>
        <w:rPr>
          <w:rStyle w:val="187"/>
          <w:rFonts w:hint="eastAsia"/>
          <w:color w:val="auto"/>
          <w:sz w:val="24"/>
          <w:u w:val="none"/>
        </w:rPr>
        <w:t>因服务人泄露保密资料、未保护好财产，导致发包人利益发生损害；</w:t>
      </w:r>
      <w:bookmarkEnd w:id="39"/>
      <w:bookmarkEnd w:id="40"/>
    </w:p>
    <w:p>
      <w:pPr>
        <w:spacing w:line="312" w:lineRule="auto"/>
        <w:ind w:firstLine="480" w:firstLineChars="200"/>
        <w:rPr>
          <w:smallCaps/>
          <w:sz w:val="24"/>
        </w:rPr>
      </w:pPr>
      <w:r>
        <w:rPr>
          <w:rStyle w:val="187"/>
          <w:rFonts w:hint="eastAsia"/>
          <w:color w:val="auto"/>
          <w:sz w:val="24"/>
          <w:u w:val="none"/>
        </w:rPr>
        <w:t>5.1.6擅自采用他人成果或侵犯他人知识产权的；私自转让、赠与本服务成果。</w:t>
      </w:r>
    </w:p>
    <w:p>
      <w:pPr>
        <w:spacing w:line="312" w:lineRule="auto"/>
        <w:rPr>
          <w:rStyle w:val="187"/>
          <w:color w:val="auto"/>
          <w:sz w:val="24"/>
          <w:u w:val="none"/>
        </w:rPr>
      </w:pPr>
      <w:r>
        <w:rPr>
          <w:rStyle w:val="187"/>
          <w:rFonts w:hint="eastAsia"/>
          <w:color w:val="auto"/>
          <w:sz w:val="24"/>
          <w:u w:val="none"/>
        </w:rPr>
        <w:t xml:space="preserve">     上述一般违约行为，发包人将责令服务人限期改正。如服务人延迟或拒绝改正的，发包人有权终止合同、停止支付，造成发包人损失的，发包人有权按责任比例计算扣减支付或履约保证金作为违约赔偿。</w:t>
      </w:r>
    </w:p>
    <w:p>
      <w:pPr>
        <w:pStyle w:val="8"/>
        <w:spacing w:line="312" w:lineRule="auto"/>
      </w:pPr>
      <w:bookmarkStart w:id="41" w:name="_Toc14800"/>
      <w:r>
        <w:rPr>
          <w:rFonts w:hint="eastAsia"/>
        </w:rPr>
        <w:t>5.2服务人的严重违约及责任</w:t>
      </w:r>
      <w:bookmarkEnd w:id="41"/>
    </w:p>
    <w:p>
      <w:pPr>
        <w:spacing w:line="312" w:lineRule="auto"/>
        <w:rPr>
          <w:rStyle w:val="187"/>
          <w:color w:val="auto"/>
          <w:sz w:val="24"/>
          <w:u w:val="none"/>
        </w:rPr>
      </w:pPr>
      <w:r>
        <w:rPr>
          <w:rStyle w:val="187"/>
          <w:rFonts w:hint="eastAsia"/>
          <w:color w:val="auto"/>
          <w:sz w:val="24"/>
          <w:u w:val="none"/>
        </w:rPr>
        <w:t xml:space="preserve">     </w:t>
      </w:r>
      <w:r>
        <w:rPr>
          <w:rFonts w:ascii="宋体" w:hAnsi="宋体" w:cs="宋体"/>
          <w:kern w:val="0"/>
          <w:sz w:val="24"/>
        </w:rPr>
        <w:t>5.2.</w:t>
      </w:r>
      <w:r>
        <w:rPr>
          <w:rFonts w:hint="eastAsia" w:ascii="宋体" w:hAnsi="宋体" w:cs="宋体"/>
          <w:kern w:val="0"/>
          <w:sz w:val="24"/>
        </w:rPr>
        <w:t>1</w:t>
      </w:r>
      <w:r>
        <w:rPr>
          <w:rStyle w:val="187"/>
          <w:rFonts w:hint="eastAsia"/>
          <w:color w:val="auto"/>
          <w:sz w:val="24"/>
          <w:u w:val="none"/>
        </w:rPr>
        <w:t>因服务人未及时提供服务给发包人造成严重的损失、工期延误的；或服务人提供的虚假成果、错误成果，导致发包人的工程建设与管理出现质量、安全事故的；</w:t>
      </w:r>
      <w:r>
        <w:rPr>
          <w:rStyle w:val="187"/>
          <w:color w:val="auto"/>
          <w:sz w:val="24"/>
          <w:u w:val="none"/>
        </w:rPr>
        <w:t xml:space="preserve"> </w:t>
      </w:r>
    </w:p>
    <w:p>
      <w:pPr>
        <w:spacing w:line="312" w:lineRule="auto"/>
        <w:ind w:firstLine="480" w:firstLineChars="200"/>
        <w:rPr>
          <w:rFonts w:ascii="宋体" w:hAnsi="宋体" w:cs="宋体"/>
          <w:kern w:val="0"/>
          <w:sz w:val="24"/>
        </w:rPr>
      </w:pPr>
      <w:r>
        <w:rPr>
          <w:rFonts w:ascii="宋体" w:hAnsi="宋体" w:cs="宋体"/>
          <w:kern w:val="0"/>
          <w:sz w:val="24"/>
        </w:rPr>
        <w:t>5.2.2除不可抗力原因外，因服务人且发包人不可接受的原因导致的服务项目不得不终止；</w:t>
      </w:r>
    </w:p>
    <w:p>
      <w:pPr>
        <w:spacing w:line="312" w:lineRule="auto"/>
        <w:ind w:firstLine="480" w:firstLineChars="200"/>
        <w:rPr>
          <w:rStyle w:val="187"/>
          <w:color w:val="auto"/>
          <w:sz w:val="24"/>
          <w:u w:val="none"/>
        </w:rPr>
      </w:pPr>
      <w:r>
        <w:rPr>
          <w:rStyle w:val="187"/>
          <w:rFonts w:hint="eastAsia"/>
          <w:color w:val="auto"/>
          <w:sz w:val="24"/>
          <w:u w:val="none"/>
        </w:rPr>
        <w:t>发生上述两种严重违约行为，发包人有权终止服务合同，追回全部支付，并追诉相应法律责任。</w:t>
      </w:r>
    </w:p>
    <w:p>
      <w:pPr>
        <w:pStyle w:val="8"/>
        <w:spacing w:line="312" w:lineRule="auto"/>
      </w:pPr>
      <w:bookmarkStart w:id="42" w:name="_Toc13895"/>
      <w:r>
        <w:rPr>
          <w:rFonts w:hint="eastAsia"/>
        </w:rPr>
        <w:t>5.3发包人的违约及责任</w:t>
      </w:r>
      <w:bookmarkEnd w:id="42"/>
    </w:p>
    <w:p>
      <w:pPr>
        <w:spacing w:line="312" w:lineRule="auto"/>
        <w:ind w:firstLine="480" w:firstLineChars="200"/>
        <w:rPr>
          <w:sz w:val="24"/>
        </w:rPr>
      </w:pPr>
      <w:r>
        <w:rPr>
          <w:rFonts w:hint="eastAsia"/>
          <w:sz w:val="24"/>
        </w:rPr>
        <w:t>发包人违反服务合同规定的应当及时予以改正，</w:t>
      </w:r>
      <w:r>
        <w:rPr>
          <w:rStyle w:val="187"/>
          <w:rFonts w:hint="eastAsia"/>
          <w:color w:val="auto"/>
          <w:sz w:val="24"/>
          <w:u w:val="none"/>
        </w:rPr>
        <w:t>发包人拒绝作出改正时服务人也可提出终止合同，</w:t>
      </w:r>
      <w:r>
        <w:rPr>
          <w:rFonts w:hint="eastAsia"/>
          <w:sz w:val="24"/>
        </w:rPr>
        <w:t>造成服务人的经济损失，发包人应向服务人赔偿。</w:t>
      </w:r>
    </w:p>
    <w:p>
      <w:pPr>
        <w:pStyle w:val="8"/>
        <w:spacing w:line="312" w:lineRule="auto"/>
      </w:pPr>
      <w:bookmarkStart w:id="43" w:name="_Toc26452"/>
      <w:r>
        <w:rPr>
          <w:rFonts w:hint="eastAsia"/>
        </w:rPr>
        <w:t>5.4赔偿责任的期限</w:t>
      </w:r>
      <w:bookmarkEnd w:id="43"/>
    </w:p>
    <w:p>
      <w:pPr>
        <w:spacing w:line="312" w:lineRule="auto"/>
        <w:ind w:firstLine="480" w:firstLineChars="200"/>
        <w:rPr>
          <w:sz w:val="24"/>
        </w:rPr>
      </w:pPr>
      <w:r>
        <w:rPr>
          <w:rFonts w:hint="eastAsia"/>
          <w:sz w:val="24"/>
        </w:rPr>
        <w:t>发包人或服务人任何一方向另一方要求的赔偿，都应在赔偿事件发生后的7日之内以书面形式提出索赔。如果该事件具有持续性，则应在事件首次发生后7日之内提出索赔意向，并每隔7日提供一次该事件仍在持续发展的证明材料，直至该事件结束后7日之内提出正式的索赔文件。否则，无论是发包人还是服务人均有权对上述索赔不予受理。</w:t>
      </w:r>
    </w:p>
    <w:p>
      <w:pPr>
        <w:pStyle w:val="8"/>
        <w:spacing w:line="312" w:lineRule="auto"/>
      </w:pPr>
      <w:bookmarkStart w:id="44" w:name="_Toc29188"/>
      <w:r>
        <w:rPr>
          <w:rFonts w:hint="eastAsia"/>
        </w:rPr>
        <w:t>5.5赔偿的限额</w:t>
      </w:r>
      <w:bookmarkEnd w:id="44"/>
    </w:p>
    <w:p>
      <w:pPr>
        <w:spacing w:line="312" w:lineRule="auto"/>
        <w:ind w:firstLine="480" w:firstLineChars="200"/>
        <w:rPr>
          <w:sz w:val="24"/>
        </w:rPr>
      </w:pPr>
      <w:r>
        <w:rPr>
          <w:rFonts w:hint="eastAsia"/>
          <w:sz w:val="24"/>
        </w:rPr>
        <w:t>除非服务人发生第5.2款的严重违约行为以及发包人、服务人相互或给相关第三方造成</w:t>
      </w:r>
      <w:r>
        <w:rPr>
          <w:rStyle w:val="187"/>
          <w:rFonts w:hint="eastAsia"/>
          <w:color w:val="auto"/>
          <w:sz w:val="24"/>
          <w:u w:val="none"/>
        </w:rPr>
        <w:t>违约</w:t>
      </w:r>
      <w:r>
        <w:rPr>
          <w:rFonts w:hint="eastAsia"/>
          <w:sz w:val="24"/>
        </w:rPr>
        <w:t>需提交司法或仲裁外，一般违约处罚或责任赔偿累计不超过合同额的10%。</w:t>
      </w:r>
    </w:p>
    <w:p>
      <w:pPr>
        <w:pStyle w:val="8"/>
        <w:spacing w:line="312" w:lineRule="auto"/>
      </w:pPr>
      <w:bookmarkStart w:id="45" w:name="_Toc1243"/>
      <w:r>
        <w:rPr>
          <w:rFonts w:hint="eastAsia"/>
        </w:rPr>
        <w:t>5.6保障</w:t>
      </w:r>
      <w:bookmarkEnd w:id="45"/>
    </w:p>
    <w:p>
      <w:pPr>
        <w:spacing w:line="312" w:lineRule="auto"/>
        <w:ind w:firstLine="480" w:firstLineChars="200"/>
        <w:rPr>
          <w:sz w:val="24"/>
        </w:rPr>
      </w:pPr>
      <w:r>
        <w:rPr>
          <w:rFonts w:hint="eastAsia"/>
          <w:sz w:val="24"/>
        </w:rPr>
        <w:t>5.6.1在服务人不违反有关法律、法规的前提下，发包人应保障服务人免受因履行本服务合同而引起的</w:t>
      </w:r>
      <w:r>
        <w:rPr>
          <w:rStyle w:val="187"/>
          <w:rFonts w:hint="eastAsia"/>
          <w:color w:val="auto"/>
          <w:sz w:val="24"/>
          <w:u w:val="none"/>
        </w:rPr>
        <w:t>其他第三方</w:t>
      </w:r>
      <w:r>
        <w:rPr>
          <w:rFonts w:hint="eastAsia"/>
          <w:sz w:val="24"/>
        </w:rPr>
        <w:t>索赔或干扰。</w:t>
      </w:r>
    </w:p>
    <w:p>
      <w:pPr>
        <w:spacing w:line="312" w:lineRule="auto"/>
        <w:ind w:firstLine="480" w:firstLineChars="200"/>
        <w:rPr>
          <w:sz w:val="24"/>
        </w:rPr>
      </w:pPr>
      <w:r>
        <w:rPr>
          <w:rFonts w:hint="eastAsia"/>
          <w:sz w:val="24"/>
        </w:rPr>
        <w:t>5.6.2服务人在签订服务合同协议前应按照发包人认可的形式向发包人递交履约保函或履约保证金。如果服务人无正当理由全部或部分不履行本服务合同时，发包人有权根据具体情况没收全部或部分履约保证金。</w:t>
      </w:r>
    </w:p>
    <w:p>
      <w:pPr>
        <w:spacing w:line="312" w:lineRule="auto"/>
        <w:ind w:firstLine="480" w:firstLineChars="200"/>
        <w:rPr>
          <w:sz w:val="24"/>
        </w:rPr>
      </w:pPr>
      <w:r>
        <w:rPr>
          <w:rFonts w:hint="eastAsia"/>
          <w:sz w:val="24"/>
        </w:rPr>
        <w:t>5.6.3在</w:t>
      </w:r>
      <w:r>
        <w:rPr>
          <w:rStyle w:val="187"/>
          <w:rFonts w:hint="eastAsia"/>
          <w:color w:val="auto"/>
          <w:sz w:val="24"/>
          <w:u w:val="none"/>
        </w:rPr>
        <w:t>完成服务合同所有约定任务后</w:t>
      </w:r>
      <w:r>
        <w:rPr>
          <w:rFonts w:hint="eastAsia"/>
          <w:sz w:val="24"/>
        </w:rPr>
        <w:t>，发包人向服务人返还履约保证金。</w:t>
      </w:r>
    </w:p>
    <w:p>
      <w:pPr>
        <w:pStyle w:val="8"/>
        <w:spacing w:line="312" w:lineRule="auto"/>
      </w:pPr>
      <w:bookmarkStart w:id="46" w:name="_Toc20048"/>
      <w:r>
        <w:rPr>
          <w:rFonts w:hint="eastAsia"/>
        </w:rPr>
        <w:t>5.7保险</w:t>
      </w:r>
      <w:bookmarkEnd w:id="46"/>
    </w:p>
    <w:p>
      <w:pPr>
        <w:spacing w:line="312" w:lineRule="auto"/>
        <w:ind w:firstLine="480" w:firstLineChars="200"/>
        <w:rPr>
          <w:sz w:val="24"/>
        </w:rPr>
      </w:pPr>
      <w:r>
        <w:rPr>
          <w:rFonts w:hint="eastAsia"/>
          <w:sz w:val="24"/>
        </w:rPr>
        <w:t>服务人应在服务期内、自费办理派驻到项目所在地的人员人身和自备财产的有关保险，保险时间应随服务时间的延长而顺延，并在出险时自行办理索赔。如果服务人不办理上述保险，则应对有关风险及后果自行负责。</w:t>
      </w:r>
    </w:p>
    <w:p>
      <w:pPr>
        <w:pStyle w:val="7"/>
        <w:rPr>
          <w:sz w:val="24"/>
        </w:rPr>
      </w:pPr>
      <w:bookmarkStart w:id="47" w:name="_Toc23536"/>
      <w:r>
        <w:rPr>
          <w:rFonts w:hint="eastAsia"/>
        </w:rPr>
        <w:t>6、服务合同的生效、终止、暂停与解除</w:t>
      </w:r>
      <w:bookmarkEnd w:id="47"/>
    </w:p>
    <w:p>
      <w:pPr>
        <w:pStyle w:val="8"/>
        <w:spacing w:line="312" w:lineRule="auto"/>
      </w:pPr>
      <w:bookmarkStart w:id="48" w:name="_Toc25926"/>
      <w:r>
        <w:rPr>
          <w:rFonts w:hint="eastAsia"/>
        </w:rPr>
        <w:t>6. 1合同的生效</w:t>
      </w:r>
      <w:bookmarkEnd w:id="48"/>
    </w:p>
    <w:p>
      <w:pPr>
        <w:spacing w:line="312" w:lineRule="auto"/>
        <w:ind w:firstLine="480" w:firstLineChars="200"/>
        <w:rPr>
          <w:sz w:val="24"/>
        </w:rPr>
      </w:pPr>
      <w:r>
        <w:rPr>
          <w:rFonts w:hint="eastAsia"/>
          <w:sz w:val="24"/>
        </w:rPr>
        <w:t>服务合同协议书生效的时间，以双方签署的协议书上约定的时间为准。</w:t>
      </w:r>
    </w:p>
    <w:p>
      <w:pPr>
        <w:pStyle w:val="8"/>
        <w:spacing w:line="312" w:lineRule="auto"/>
      </w:pPr>
      <w:bookmarkStart w:id="49" w:name="_Toc8723"/>
      <w:r>
        <w:rPr>
          <w:rFonts w:hint="eastAsia"/>
        </w:rPr>
        <w:t>6. 2合同的时间和期限</w:t>
      </w:r>
      <w:bookmarkEnd w:id="49"/>
    </w:p>
    <w:p>
      <w:pPr>
        <w:spacing w:line="312" w:lineRule="auto"/>
        <w:ind w:firstLine="480" w:firstLineChars="200"/>
        <w:rPr>
          <w:sz w:val="24"/>
        </w:rPr>
      </w:pPr>
      <w:r>
        <w:rPr>
          <w:rFonts w:hint="eastAsia"/>
          <w:sz w:val="24"/>
        </w:rPr>
        <w:t>服务人必须按照合同条款中规定的时间和有关期限履行和完成服务；非发包人或服务人的原因致使服务时间的延长，双方应通过协商，另行签订补充协议。</w:t>
      </w:r>
    </w:p>
    <w:p>
      <w:pPr>
        <w:pStyle w:val="8"/>
        <w:spacing w:line="312" w:lineRule="auto"/>
      </w:pPr>
      <w:bookmarkStart w:id="50" w:name="_Toc21228"/>
      <w:r>
        <w:rPr>
          <w:rFonts w:hint="eastAsia"/>
        </w:rPr>
        <w:t>6.3合同的终止</w:t>
      </w:r>
      <w:bookmarkEnd w:id="50"/>
    </w:p>
    <w:p>
      <w:pPr>
        <w:spacing w:line="312" w:lineRule="auto"/>
        <w:ind w:firstLine="480" w:firstLineChars="200"/>
        <w:rPr>
          <w:sz w:val="24"/>
        </w:rPr>
      </w:pPr>
      <w:r>
        <w:rPr>
          <w:rFonts w:hint="eastAsia"/>
          <w:sz w:val="24"/>
        </w:rPr>
        <w:t>服务人完成合同约定的全部工作，提交了最终服务成果报告并得到了发包人的认可后终止合同；</w:t>
      </w:r>
      <w:r>
        <w:rPr>
          <w:rStyle w:val="187"/>
          <w:rFonts w:hint="eastAsia"/>
          <w:color w:val="auto"/>
          <w:sz w:val="24"/>
          <w:u w:val="none"/>
        </w:rPr>
        <w:t>或发生第5.1、5.2、5.3款违约行为需终止合同。</w:t>
      </w:r>
    </w:p>
    <w:p>
      <w:pPr>
        <w:pStyle w:val="8"/>
        <w:spacing w:line="312" w:lineRule="auto"/>
      </w:pPr>
      <w:bookmarkStart w:id="51" w:name="_Toc30103"/>
      <w:r>
        <w:rPr>
          <w:rFonts w:hint="eastAsia"/>
        </w:rPr>
        <w:t>6.4合同的暂停与解除</w:t>
      </w:r>
      <w:bookmarkEnd w:id="51"/>
    </w:p>
    <w:p>
      <w:pPr>
        <w:spacing w:line="312" w:lineRule="auto"/>
        <w:ind w:firstLine="480" w:firstLineChars="200"/>
        <w:rPr>
          <w:sz w:val="24"/>
        </w:rPr>
      </w:pPr>
      <w:r>
        <w:rPr>
          <w:rFonts w:hint="eastAsia"/>
          <w:sz w:val="24"/>
        </w:rPr>
        <w:t>6.4.1</w:t>
      </w:r>
      <w:r>
        <w:rPr>
          <w:rStyle w:val="187"/>
          <w:rFonts w:hint="eastAsia"/>
          <w:color w:val="auto"/>
          <w:sz w:val="24"/>
          <w:u w:val="none"/>
        </w:rPr>
        <w:t>非服务人的原因导致</w:t>
      </w:r>
      <w:r>
        <w:rPr>
          <w:rFonts w:hint="eastAsia"/>
          <w:sz w:val="24"/>
        </w:rPr>
        <w:t>全部或部分服务不能按合同约定期限履行时，服务人应立即书面通知发包人。经双方协商确定在不得不暂停或减缓某些服务时，则上述服务的完成期限应予以延长；因此而增加的服务工作量或延长的服务时间应作为服务人附加的服务；</w:t>
      </w:r>
    </w:p>
    <w:p>
      <w:pPr>
        <w:spacing w:line="312" w:lineRule="auto"/>
        <w:ind w:firstLine="480" w:firstLineChars="200"/>
        <w:rPr>
          <w:sz w:val="24"/>
        </w:rPr>
      </w:pPr>
      <w:r>
        <w:rPr>
          <w:rFonts w:hint="eastAsia"/>
          <w:sz w:val="24"/>
        </w:rPr>
        <w:t xml:space="preserve">6.4.2 </w:t>
      </w:r>
      <w:r>
        <w:rPr>
          <w:rStyle w:val="187"/>
          <w:rFonts w:hint="eastAsia"/>
          <w:color w:val="auto"/>
          <w:sz w:val="24"/>
          <w:u w:val="none"/>
        </w:rPr>
        <w:t>非服务人的原因导致</w:t>
      </w:r>
      <w:r>
        <w:rPr>
          <w:rFonts w:hint="eastAsia"/>
          <w:sz w:val="24"/>
        </w:rPr>
        <w:t>全部或部分服务已无法继续履行时，服务人在书面通知发包人7日之后，有权单方面解除本服务合同</w:t>
      </w:r>
      <w:r>
        <w:rPr>
          <w:rStyle w:val="187"/>
          <w:rFonts w:hint="eastAsia"/>
          <w:color w:val="auto"/>
          <w:sz w:val="24"/>
          <w:u w:val="none"/>
        </w:rPr>
        <w:t>并按实际工作量结算服务费用；</w:t>
      </w:r>
      <w:r>
        <w:rPr>
          <w:rFonts w:hint="eastAsia"/>
          <w:sz w:val="24"/>
        </w:rPr>
        <w:t>因此而增加的服务工作量应作为服务人额外的服务。发包人应及时向服务人返还全部或剩余部分的履约保证金；</w:t>
      </w:r>
    </w:p>
    <w:p>
      <w:pPr>
        <w:spacing w:line="312" w:lineRule="auto"/>
        <w:ind w:firstLine="480" w:firstLineChars="200"/>
        <w:rPr>
          <w:sz w:val="24"/>
        </w:rPr>
      </w:pPr>
      <w:r>
        <w:rPr>
          <w:rFonts w:hint="eastAsia"/>
          <w:sz w:val="24"/>
        </w:rPr>
        <w:t>6.4.3因不可抗力致使本服务合同不能履行或只能部分履行时，一方应立即书面通知另一方，暂停或解除服务合同。双方应对由此而产生的任何损失、损害或延误各负其责，</w:t>
      </w:r>
      <w:r>
        <w:rPr>
          <w:rStyle w:val="187"/>
          <w:rFonts w:hint="eastAsia"/>
          <w:color w:val="auto"/>
          <w:sz w:val="24"/>
          <w:u w:val="none"/>
        </w:rPr>
        <w:t>并按实际工作量结算服务费用</w:t>
      </w:r>
      <w:r>
        <w:rPr>
          <w:rFonts w:hint="eastAsia"/>
          <w:sz w:val="24"/>
        </w:rPr>
        <w:t>。</w:t>
      </w:r>
    </w:p>
    <w:p>
      <w:pPr>
        <w:spacing w:line="312" w:lineRule="auto"/>
        <w:ind w:firstLine="480" w:firstLineChars="200"/>
        <w:rPr>
          <w:sz w:val="24"/>
        </w:rPr>
      </w:pPr>
      <w:r>
        <w:rPr>
          <w:rFonts w:hint="eastAsia"/>
          <w:sz w:val="24"/>
        </w:rPr>
        <w:t>6.4.4</w:t>
      </w:r>
      <w:r>
        <w:rPr>
          <w:rStyle w:val="187"/>
          <w:rFonts w:hint="eastAsia"/>
          <w:color w:val="auto"/>
          <w:sz w:val="24"/>
          <w:u w:val="none"/>
        </w:rPr>
        <w:t>非发包人原因</w:t>
      </w:r>
      <w:r>
        <w:rPr>
          <w:rFonts w:hint="eastAsia"/>
          <w:sz w:val="24"/>
        </w:rPr>
        <w:t>导致发包人</w:t>
      </w:r>
      <w:r>
        <w:rPr>
          <w:rStyle w:val="187"/>
          <w:rFonts w:hint="eastAsia"/>
          <w:color w:val="auto"/>
          <w:sz w:val="24"/>
          <w:u w:val="none"/>
        </w:rPr>
        <w:t>不得不</w:t>
      </w:r>
      <w:r>
        <w:rPr>
          <w:rFonts w:hint="eastAsia"/>
          <w:sz w:val="24"/>
        </w:rPr>
        <w:t>要求服务人全部或部分服务暂停或减缓，或全部或部分终止或解除本服务合同时，必须在7日之前发出书面通知，服务人在接到通知后，应立即安排停止全部或该部分服务，并将相关费用开支减至最小。因暂停或减缓导致合同期限的延长，因此而增加的服务工作量或延长的服务时间应作为服务人附加服务；因终止或解除本服务合同导致的增加的服务工作量应作为服务人额外服务，</w:t>
      </w:r>
      <w:r>
        <w:rPr>
          <w:rStyle w:val="187"/>
          <w:rFonts w:hint="eastAsia"/>
          <w:color w:val="auto"/>
          <w:sz w:val="24"/>
          <w:u w:val="none"/>
        </w:rPr>
        <w:t>并按实际工作量结算服务费用</w:t>
      </w:r>
      <w:r>
        <w:rPr>
          <w:rFonts w:hint="eastAsia"/>
          <w:sz w:val="24"/>
        </w:rPr>
        <w:t>，及时返还全部或剩余部分的履约保证金。</w:t>
      </w:r>
    </w:p>
    <w:p>
      <w:pPr>
        <w:spacing w:line="312" w:lineRule="auto"/>
        <w:ind w:firstLine="480" w:firstLineChars="200"/>
        <w:rPr>
          <w:sz w:val="24"/>
        </w:rPr>
      </w:pPr>
      <w:r>
        <w:rPr>
          <w:rFonts w:hint="eastAsia"/>
          <w:sz w:val="24"/>
        </w:rPr>
        <w:t>6.4.5</w:t>
      </w:r>
      <w:r>
        <w:rPr>
          <w:rStyle w:val="187"/>
          <w:rFonts w:hint="eastAsia"/>
          <w:color w:val="auto"/>
          <w:sz w:val="24"/>
          <w:u w:val="none"/>
        </w:rPr>
        <w:t>因服务人的原因导致全部或部分服务暂停或减缓，或全部或部分服务终止或解除本服务合同时，</w:t>
      </w:r>
      <w:r>
        <w:rPr>
          <w:rFonts w:hint="eastAsia"/>
          <w:sz w:val="24"/>
        </w:rPr>
        <w:t>发包人可书面要求服务人予以解释。若服务人在15日内不能给予发包人可接受的解释，发包人可单方面终止或解除本服务合同，并</w:t>
      </w:r>
      <w:r>
        <w:rPr>
          <w:rStyle w:val="187"/>
          <w:rFonts w:hint="eastAsia"/>
          <w:color w:val="auto"/>
          <w:sz w:val="24"/>
          <w:u w:val="none"/>
        </w:rPr>
        <w:t>按一般违约处理。</w:t>
      </w:r>
    </w:p>
    <w:p>
      <w:pPr>
        <w:spacing w:line="312" w:lineRule="auto"/>
        <w:ind w:firstLine="480" w:firstLineChars="200"/>
        <w:rPr>
          <w:sz w:val="24"/>
        </w:rPr>
      </w:pPr>
      <w:r>
        <w:rPr>
          <w:rFonts w:hint="eastAsia"/>
          <w:sz w:val="24"/>
        </w:rPr>
        <w:t>6.4.6发包人拖延支付服务费用，并已超过规定支付期限后28日，或暂停服务己超过6个月时，服务人可书面要</w:t>
      </w:r>
      <w:r>
        <w:rPr>
          <w:sz w:val="24"/>
        </w:rPr>
        <w:t>求发包人予以解释。若发包人在</w:t>
      </w:r>
      <w:r>
        <w:rPr>
          <w:rFonts w:hint="eastAsia"/>
          <w:sz w:val="24"/>
        </w:rPr>
        <w:t>15</w:t>
      </w:r>
      <w:r>
        <w:rPr>
          <w:sz w:val="24"/>
        </w:rPr>
        <w:t>日内未能</w:t>
      </w:r>
      <w:r>
        <w:rPr>
          <w:rFonts w:hint="eastAsia"/>
          <w:sz w:val="24"/>
        </w:rPr>
        <w:t>给予服务人可接受的解释</w:t>
      </w:r>
      <w:r>
        <w:rPr>
          <w:sz w:val="24"/>
        </w:rPr>
        <w:t>，服务人可单方面</w:t>
      </w:r>
      <w:r>
        <w:rPr>
          <w:rFonts w:hint="eastAsia"/>
          <w:sz w:val="24"/>
        </w:rPr>
        <w:t>终止或解除</w:t>
      </w:r>
      <w:r>
        <w:rPr>
          <w:sz w:val="24"/>
        </w:rPr>
        <w:t>本服务合同或自行暂停全部或部分服务</w:t>
      </w:r>
      <w:r>
        <w:rPr>
          <w:rFonts w:hint="eastAsia"/>
          <w:sz w:val="24"/>
        </w:rPr>
        <w:t>，</w:t>
      </w:r>
      <w:r>
        <w:rPr>
          <w:sz w:val="24"/>
        </w:rPr>
        <w:t>因此而增加的服务工作量应作为服务人</w:t>
      </w:r>
      <w:r>
        <w:rPr>
          <w:rFonts w:hint="eastAsia"/>
          <w:sz w:val="24"/>
        </w:rPr>
        <w:t>的额外</w:t>
      </w:r>
      <w:r>
        <w:rPr>
          <w:sz w:val="24"/>
        </w:rPr>
        <w:t>服务</w:t>
      </w:r>
      <w:r>
        <w:rPr>
          <w:rFonts w:hint="eastAsia"/>
          <w:sz w:val="24"/>
        </w:rPr>
        <w:t>，</w:t>
      </w:r>
      <w:r>
        <w:rPr>
          <w:rStyle w:val="187"/>
          <w:rFonts w:hint="eastAsia"/>
          <w:color w:val="auto"/>
          <w:sz w:val="24"/>
          <w:u w:val="none"/>
        </w:rPr>
        <w:t>并按实际工作量结算服务费用</w:t>
      </w:r>
      <w:r>
        <w:rPr>
          <w:sz w:val="24"/>
        </w:rPr>
        <w:t>，</w:t>
      </w:r>
      <w:r>
        <w:rPr>
          <w:rFonts w:hint="eastAsia"/>
          <w:sz w:val="24"/>
        </w:rPr>
        <w:t>服务人可要求</w:t>
      </w:r>
      <w:r>
        <w:rPr>
          <w:sz w:val="24"/>
        </w:rPr>
        <w:t>发包人返还全部或剩余部分的履约保证金。</w:t>
      </w:r>
    </w:p>
    <w:p>
      <w:pPr>
        <w:spacing w:line="312" w:lineRule="auto"/>
        <w:ind w:firstLine="480" w:firstLineChars="200"/>
        <w:rPr>
          <w:sz w:val="24"/>
        </w:rPr>
      </w:pPr>
      <w:r>
        <w:rPr>
          <w:rFonts w:hint="eastAsia"/>
          <w:sz w:val="24"/>
        </w:rPr>
        <w:t>6.4</w:t>
      </w:r>
      <w:r>
        <w:rPr>
          <w:sz w:val="24"/>
        </w:rPr>
        <w:t>.</w:t>
      </w:r>
      <w:r>
        <w:rPr>
          <w:rFonts w:hint="eastAsia"/>
          <w:sz w:val="24"/>
        </w:rPr>
        <w:t>7</w:t>
      </w:r>
      <w:r>
        <w:rPr>
          <w:sz w:val="24"/>
        </w:rPr>
        <w:t>服务合同的</w:t>
      </w:r>
      <w:r>
        <w:rPr>
          <w:rFonts w:hint="eastAsia"/>
          <w:sz w:val="24"/>
        </w:rPr>
        <w:t>解除</w:t>
      </w:r>
      <w:r>
        <w:rPr>
          <w:sz w:val="24"/>
        </w:rPr>
        <w:t>，不得损害或影响双方根据本服务合同应有的义务、责任、权力和利益。</w:t>
      </w:r>
    </w:p>
    <w:p>
      <w:pPr>
        <w:spacing w:line="312" w:lineRule="auto"/>
        <w:ind w:firstLine="480" w:firstLineChars="200"/>
        <w:rPr>
          <w:rFonts w:ascii="黑体" w:hAnsi="黑体" w:eastAsia="黑体"/>
          <w:sz w:val="24"/>
        </w:rPr>
      </w:pPr>
      <w:r>
        <w:rPr>
          <w:rFonts w:hint="eastAsia" w:ascii="黑体" w:hAnsi="黑体" w:eastAsia="黑体"/>
          <w:sz w:val="24"/>
        </w:rPr>
        <w:t>6.5额外服务的发生</w:t>
      </w:r>
    </w:p>
    <w:p>
      <w:pPr>
        <w:spacing w:line="312" w:lineRule="auto"/>
        <w:ind w:firstLine="480" w:firstLineChars="200"/>
        <w:rPr>
          <w:sz w:val="24"/>
        </w:rPr>
      </w:pPr>
      <w:r>
        <w:rPr>
          <w:rFonts w:hint="eastAsia"/>
          <w:sz w:val="24"/>
        </w:rPr>
        <w:t>除第2.1.2款（iii）规定的内容外，服务人认为的其他任何额外服务均应得到发包人事先的认可。未得到发包人认可的工作，发包人不予支付任何费用，由此带来的任何损失均有服务人自行承担。</w:t>
      </w:r>
    </w:p>
    <w:p>
      <w:pPr>
        <w:pStyle w:val="7"/>
      </w:pPr>
      <w:bookmarkStart w:id="52" w:name="_Toc27939"/>
      <w:r>
        <w:rPr>
          <w:rFonts w:hint="eastAsia"/>
        </w:rPr>
        <w:t>7</w:t>
      </w:r>
      <w:r>
        <w:t>．服务的费用与支付</w:t>
      </w:r>
      <w:bookmarkEnd w:id="52"/>
    </w:p>
    <w:p>
      <w:pPr>
        <w:pStyle w:val="8"/>
        <w:spacing w:line="312" w:lineRule="auto"/>
      </w:pPr>
      <w:bookmarkStart w:id="53" w:name="_Toc10823"/>
      <w:r>
        <w:t>7.1服务费用内容</w:t>
      </w:r>
      <w:bookmarkEnd w:id="53"/>
    </w:p>
    <w:p>
      <w:pPr>
        <w:spacing w:line="312" w:lineRule="auto"/>
        <w:ind w:left="105" w:leftChars="50" w:firstLine="304" w:firstLineChars="127"/>
        <w:rPr>
          <w:sz w:val="24"/>
        </w:rPr>
      </w:pPr>
      <w:r>
        <w:rPr>
          <w:sz w:val="24"/>
        </w:rPr>
        <w:t xml:space="preserve">服务人的服务费用应包括（但不限于）如下内容，服务人可以根据需要增列费用项，未列入的费用项，发包人视为已包含在已列入项目中或为服务人自由资金中解决，不再另行支付。 </w:t>
      </w:r>
    </w:p>
    <w:p>
      <w:pPr>
        <w:spacing w:line="312" w:lineRule="auto"/>
        <w:ind w:firstLine="480" w:firstLineChars="200"/>
        <w:outlineLvl w:val="0"/>
        <w:rPr>
          <w:sz w:val="24"/>
        </w:rPr>
      </w:pPr>
      <w:bookmarkStart w:id="54" w:name="_Toc4194"/>
      <w:bookmarkStart w:id="55" w:name="_Toc56"/>
      <w:r>
        <w:rPr>
          <w:rFonts w:hint="eastAsia"/>
          <w:sz w:val="24"/>
        </w:rPr>
        <w:t>7.1.1</w:t>
      </w:r>
      <w:r>
        <w:rPr>
          <w:sz w:val="24"/>
        </w:rPr>
        <w:t>人员费用</w:t>
      </w:r>
      <w:bookmarkEnd w:id="54"/>
      <w:bookmarkEnd w:id="55"/>
    </w:p>
    <w:p>
      <w:pPr>
        <w:spacing w:line="312" w:lineRule="auto"/>
        <w:ind w:firstLine="960" w:firstLineChars="400"/>
        <w:rPr>
          <w:sz w:val="24"/>
        </w:rPr>
      </w:pPr>
      <w:r>
        <w:rPr>
          <w:rFonts w:hint="eastAsia"/>
          <w:sz w:val="24"/>
        </w:rPr>
        <w:t>7.1.1.1</w:t>
      </w:r>
      <w:r>
        <w:rPr>
          <w:sz w:val="24"/>
        </w:rPr>
        <w:t>基本工资</w:t>
      </w:r>
    </w:p>
    <w:p>
      <w:pPr>
        <w:spacing w:line="312" w:lineRule="auto"/>
        <w:ind w:firstLine="960" w:firstLineChars="400"/>
        <w:outlineLvl w:val="0"/>
        <w:rPr>
          <w:sz w:val="24"/>
        </w:rPr>
      </w:pPr>
      <w:bookmarkStart w:id="56" w:name="_Toc731"/>
      <w:bookmarkStart w:id="57" w:name="_Toc11326"/>
      <w:r>
        <w:rPr>
          <w:rFonts w:hint="eastAsia"/>
          <w:sz w:val="24"/>
        </w:rPr>
        <w:t>7.1.1.2</w:t>
      </w:r>
      <w:r>
        <w:rPr>
          <w:sz w:val="24"/>
        </w:rPr>
        <w:t>工资性津贴</w:t>
      </w:r>
      <w:bookmarkEnd w:id="56"/>
      <w:bookmarkEnd w:id="57"/>
    </w:p>
    <w:p>
      <w:pPr>
        <w:spacing w:line="312" w:lineRule="auto"/>
        <w:ind w:firstLine="960" w:firstLineChars="400"/>
        <w:rPr>
          <w:sz w:val="24"/>
        </w:rPr>
      </w:pPr>
      <w:r>
        <w:rPr>
          <w:rFonts w:hint="eastAsia"/>
          <w:sz w:val="24"/>
        </w:rPr>
        <w:t>7.1.1.5</w:t>
      </w:r>
      <w:r>
        <w:rPr>
          <w:sz w:val="24"/>
        </w:rPr>
        <w:t>职工福利费</w:t>
      </w:r>
    </w:p>
    <w:p>
      <w:pPr>
        <w:spacing w:line="312" w:lineRule="auto"/>
        <w:ind w:firstLine="960" w:firstLineChars="400"/>
        <w:rPr>
          <w:sz w:val="24"/>
        </w:rPr>
      </w:pPr>
      <w:r>
        <w:rPr>
          <w:rFonts w:hint="eastAsia"/>
          <w:sz w:val="24"/>
        </w:rPr>
        <w:t>7.1.1.5</w:t>
      </w:r>
      <w:r>
        <w:rPr>
          <w:sz w:val="24"/>
        </w:rPr>
        <w:t>劳动保护费</w:t>
      </w:r>
    </w:p>
    <w:p>
      <w:pPr>
        <w:spacing w:line="312" w:lineRule="auto"/>
        <w:ind w:firstLine="960" w:firstLineChars="400"/>
        <w:rPr>
          <w:sz w:val="24"/>
        </w:rPr>
      </w:pPr>
      <w:r>
        <w:rPr>
          <w:rFonts w:hint="eastAsia"/>
          <w:sz w:val="24"/>
        </w:rPr>
        <w:t>7.1.1.5加班费</w:t>
      </w:r>
    </w:p>
    <w:p>
      <w:pPr>
        <w:spacing w:line="312" w:lineRule="auto"/>
        <w:ind w:firstLine="960" w:firstLineChars="400"/>
        <w:rPr>
          <w:sz w:val="24"/>
        </w:rPr>
      </w:pPr>
      <w:r>
        <w:rPr>
          <w:rFonts w:hint="eastAsia"/>
          <w:sz w:val="24"/>
        </w:rPr>
        <w:t>7.1.1.6</w:t>
      </w:r>
      <w:r>
        <w:rPr>
          <w:sz w:val="24"/>
        </w:rPr>
        <w:t>其它</w:t>
      </w:r>
    </w:p>
    <w:p>
      <w:pPr>
        <w:spacing w:line="312" w:lineRule="auto"/>
        <w:ind w:firstLine="480" w:firstLineChars="200"/>
        <w:rPr>
          <w:sz w:val="24"/>
        </w:rPr>
      </w:pPr>
      <w:r>
        <w:rPr>
          <w:rFonts w:hint="eastAsia"/>
          <w:sz w:val="24"/>
        </w:rPr>
        <w:t>7.1.2</w:t>
      </w:r>
      <w:r>
        <w:rPr>
          <w:sz w:val="24"/>
        </w:rPr>
        <w:t>现场费用</w:t>
      </w:r>
    </w:p>
    <w:p>
      <w:pPr>
        <w:spacing w:line="312" w:lineRule="auto"/>
        <w:ind w:firstLine="960" w:firstLineChars="400"/>
        <w:rPr>
          <w:sz w:val="24"/>
        </w:rPr>
      </w:pPr>
      <w:r>
        <w:rPr>
          <w:rFonts w:hint="eastAsia"/>
          <w:sz w:val="24"/>
        </w:rPr>
        <w:t>7.1.2</w:t>
      </w:r>
      <w:r>
        <w:rPr>
          <w:sz w:val="24"/>
        </w:rPr>
        <w:t>.</w:t>
      </w:r>
      <w:r>
        <w:rPr>
          <w:rFonts w:hint="eastAsia"/>
          <w:sz w:val="24"/>
        </w:rPr>
        <w:t>1</w:t>
      </w:r>
      <w:r>
        <w:rPr>
          <w:sz w:val="24"/>
        </w:rPr>
        <w:t>临时设施费</w:t>
      </w:r>
    </w:p>
    <w:p>
      <w:pPr>
        <w:spacing w:line="312" w:lineRule="auto"/>
        <w:ind w:firstLine="960" w:firstLineChars="400"/>
        <w:rPr>
          <w:sz w:val="24"/>
        </w:rPr>
      </w:pPr>
      <w:r>
        <w:rPr>
          <w:rFonts w:hint="eastAsia"/>
          <w:sz w:val="24"/>
        </w:rPr>
        <w:t>7.1.5.2</w:t>
      </w:r>
      <w:r>
        <w:rPr>
          <w:sz w:val="24"/>
        </w:rPr>
        <w:t>办公费</w:t>
      </w:r>
    </w:p>
    <w:p>
      <w:pPr>
        <w:spacing w:line="312" w:lineRule="auto"/>
        <w:ind w:firstLine="960" w:firstLineChars="400"/>
        <w:rPr>
          <w:sz w:val="24"/>
        </w:rPr>
      </w:pPr>
      <w:r>
        <w:rPr>
          <w:rFonts w:hint="eastAsia"/>
          <w:sz w:val="24"/>
        </w:rPr>
        <w:t>7.1.5.1</w:t>
      </w:r>
      <w:r>
        <w:rPr>
          <w:sz w:val="24"/>
        </w:rPr>
        <w:t>会议费</w:t>
      </w:r>
    </w:p>
    <w:p>
      <w:pPr>
        <w:spacing w:line="312" w:lineRule="auto"/>
        <w:ind w:firstLine="960" w:firstLineChars="400"/>
        <w:rPr>
          <w:sz w:val="24"/>
        </w:rPr>
      </w:pPr>
      <w:r>
        <w:rPr>
          <w:rFonts w:hint="eastAsia"/>
          <w:sz w:val="24"/>
        </w:rPr>
        <w:t>7.1.5.2</w:t>
      </w:r>
      <w:r>
        <w:rPr>
          <w:sz w:val="24"/>
        </w:rPr>
        <w:t>差旅交通费</w:t>
      </w:r>
    </w:p>
    <w:p>
      <w:pPr>
        <w:spacing w:line="312" w:lineRule="auto"/>
        <w:ind w:firstLine="960" w:firstLineChars="400"/>
        <w:rPr>
          <w:sz w:val="24"/>
        </w:rPr>
      </w:pPr>
      <w:r>
        <w:rPr>
          <w:rFonts w:hint="eastAsia"/>
          <w:sz w:val="24"/>
        </w:rPr>
        <w:t>7.1.2</w:t>
      </w:r>
      <w:r>
        <w:rPr>
          <w:sz w:val="24"/>
        </w:rPr>
        <w:t>.5固定资产使用费（包括办公及生活房屋折旧、维修或租赁费，车辆折旧、维修、使用或租赁费，</w:t>
      </w:r>
    </w:p>
    <w:p>
      <w:pPr>
        <w:spacing w:line="312" w:lineRule="auto"/>
        <w:ind w:firstLine="960" w:firstLineChars="400"/>
        <w:rPr>
          <w:sz w:val="24"/>
        </w:rPr>
      </w:pPr>
      <w:r>
        <w:rPr>
          <w:rFonts w:hint="eastAsia"/>
          <w:sz w:val="24"/>
        </w:rPr>
        <w:t>7.1.2</w:t>
      </w:r>
      <w:r>
        <w:rPr>
          <w:sz w:val="24"/>
        </w:rPr>
        <w:t>.6</w:t>
      </w:r>
      <w:r>
        <w:rPr>
          <w:rFonts w:hint="eastAsia"/>
          <w:sz w:val="24"/>
        </w:rPr>
        <w:t>仪器、</w:t>
      </w:r>
      <w:r>
        <w:rPr>
          <w:sz w:val="24"/>
        </w:rPr>
        <w:t>设备购置使用费</w:t>
      </w:r>
      <w:r>
        <w:rPr>
          <w:rFonts w:hint="eastAsia"/>
          <w:sz w:val="24"/>
        </w:rPr>
        <w:t>（包括为服务所需的各种仪器、设备的</w:t>
      </w:r>
      <w:r>
        <w:rPr>
          <w:sz w:val="24"/>
        </w:rPr>
        <w:t>折旧、维修或租赁费</w:t>
      </w:r>
      <w:r>
        <w:rPr>
          <w:rFonts w:hint="eastAsia"/>
          <w:sz w:val="24"/>
        </w:rPr>
        <w:t>等）</w:t>
      </w:r>
    </w:p>
    <w:p>
      <w:pPr>
        <w:spacing w:line="312" w:lineRule="auto"/>
        <w:ind w:firstLine="960" w:firstLineChars="400"/>
        <w:rPr>
          <w:sz w:val="24"/>
        </w:rPr>
      </w:pPr>
      <w:r>
        <w:rPr>
          <w:sz w:val="24"/>
        </w:rPr>
        <w:t>7.1.2.7 零星固定资产购置费</w:t>
      </w:r>
    </w:p>
    <w:p>
      <w:pPr>
        <w:spacing w:line="312" w:lineRule="auto"/>
        <w:ind w:firstLine="960" w:firstLineChars="400"/>
        <w:rPr>
          <w:sz w:val="24"/>
        </w:rPr>
      </w:pPr>
      <w:r>
        <w:rPr>
          <w:sz w:val="24"/>
        </w:rPr>
        <w:t>7.1.2.</w:t>
      </w:r>
      <w:r>
        <w:rPr>
          <w:rFonts w:hint="eastAsia"/>
          <w:sz w:val="24"/>
        </w:rPr>
        <w:t>8</w:t>
      </w:r>
      <w:r>
        <w:rPr>
          <w:sz w:val="24"/>
        </w:rPr>
        <w:t>其它</w:t>
      </w:r>
    </w:p>
    <w:p>
      <w:pPr>
        <w:spacing w:line="312" w:lineRule="auto"/>
        <w:ind w:firstLine="480" w:firstLineChars="200"/>
        <w:rPr>
          <w:sz w:val="24"/>
        </w:rPr>
      </w:pPr>
      <w:r>
        <w:rPr>
          <w:rFonts w:hint="eastAsia"/>
          <w:sz w:val="24"/>
        </w:rPr>
        <w:t>7.1.3</w:t>
      </w:r>
      <w:r>
        <w:rPr>
          <w:sz w:val="24"/>
        </w:rPr>
        <w:t>企业管理费</w:t>
      </w:r>
    </w:p>
    <w:p>
      <w:pPr>
        <w:spacing w:line="312" w:lineRule="auto"/>
        <w:ind w:firstLine="960" w:firstLineChars="400"/>
        <w:rPr>
          <w:sz w:val="24"/>
        </w:rPr>
      </w:pPr>
      <w:r>
        <w:rPr>
          <w:sz w:val="24"/>
        </w:rPr>
        <w:t>7.1.</w:t>
      </w:r>
      <w:r>
        <w:rPr>
          <w:rFonts w:hint="eastAsia"/>
          <w:sz w:val="24"/>
        </w:rPr>
        <w:t>3</w:t>
      </w:r>
      <w:r>
        <w:rPr>
          <w:sz w:val="24"/>
        </w:rPr>
        <w:t>.1工会经费</w:t>
      </w:r>
    </w:p>
    <w:p>
      <w:pPr>
        <w:spacing w:line="312" w:lineRule="auto"/>
        <w:ind w:firstLine="960" w:firstLineChars="400"/>
        <w:rPr>
          <w:sz w:val="24"/>
        </w:rPr>
      </w:pPr>
      <w:r>
        <w:rPr>
          <w:sz w:val="24"/>
        </w:rPr>
        <w:t>7.1.</w:t>
      </w:r>
      <w:r>
        <w:rPr>
          <w:rFonts w:hint="eastAsia"/>
          <w:sz w:val="24"/>
        </w:rPr>
        <w:t>3</w:t>
      </w:r>
      <w:r>
        <w:rPr>
          <w:sz w:val="24"/>
        </w:rPr>
        <w:t>.2职工教育经费</w:t>
      </w:r>
    </w:p>
    <w:p>
      <w:pPr>
        <w:spacing w:line="312" w:lineRule="auto"/>
        <w:ind w:firstLine="960" w:firstLineChars="400"/>
        <w:rPr>
          <w:sz w:val="24"/>
        </w:rPr>
      </w:pPr>
      <w:r>
        <w:rPr>
          <w:sz w:val="24"/>
        </w:rPr>
        <w:t>7.1.</w:t>
      </w:r>
      <w:r>
        <w:rPr>
          <w:rFonts w:hint="eastAsia"/>
          <w:sz w:val="24"/>
        </w:rPr>
        <w:t>3</w:t>
      </w:r>
      <w:r>
        <w:rPr>
          <w:sz w:val="24"/>
        </w:rPr>
        <w:t>.</w:t>
      </w:r>
      <w:r>
        <w:rPr>
          <w:rFonts w:hint="eastAsia"/>
          <w:sz w:val="24"/>
        </w:rPr>
        <w:t>3</w:t>
      </w:r>
      <w:r>
        <w:rPr>
          <w:sz w:val="24"/>
        </w:rPr>
        <w:t>业务招待费</w:t>
      </w:r>
    </w:p>
    <w:p>
      <w:pPr>
        <w:spacing w:line="312" w:lineRule="auto"/>
        <w:ind w:firstLine="960" w:firstLineChars="400"/>
        <w:rPr>
          <w:sz w:val="24"/>
        </w:rPr>
      </w:pPr>
      <w:r>
        <w:rPr>
          <w:sz w:val="24"/>
        </w:rPr>
        <w:t>7.1.</w:t>
      </w:r>
      <w:r>
        <w:rPr>
          <w:rFonts w:hint="eastAsia"/>
          <w:sz w:val="24"/>
        </w:rPr>
        <w:t>3</w:t>
      </w:r>
      <w:r>
        <w:rPr>
          <w:sz w:val="24"/>
        </w:rPr>
        <w:t>.</w:t>
      </w:r>
      <w:r>
        <w:rPr>
          <w:rFonts w:hint="eastAsia"/>
          <w:sz w:val="24"/>
        </w:rPr>
        <w:t>4</w:t>
      </w:r>
      <w:r>
        <w:rPr>
          <w:sz w:val="24"/>
        </w:rPr>
        <w:t>财务费用</w:t>
      </w:r>
    </w:p>
    <w:p>
      <w:pPr>
        <w:spacing w:line="312" w:lineRule="auto"/>
        <w:ind w:firstLine="960" w:firstLineChars="400"/>
        <w:rPr>
          <w:sz w:val="24"/>
        </w:rPr>
      </w:pPr>
      <w:r>
        <w:rPr>
          <w:sz w:val="24"/>
        </w:rPr>
        <w:t>7.1.</w:t>
      </w:r>
      <w:r>
        <w:rPr>
          <w:rFonts w:hint="eastAsia"/>
          <w:sz w:val="24"/>
        </w:rPr>
        <w:t>3</w:t>
      </w:r>
      <w:r>
        <w:rPr>
          <w:sz w:val="24"/>
        </w:rPr>
        <w:t>.5社会保险费用（基本养老、基本医疗、失业、工伤保险）</w:t>
      </w:r>
    </w:p>
    <w:p>
      <w:pPr>
        <w:spacing w:line="312" w:lineRule="auto"/>
        <w:ind w:firstLine="960" w:firstLineChars="400"/>
        <w:rPr>
          <w:sz w:val="24"/>
        </w:rPr>
      </w:pPr>
      <w:r>
        <w:rPr>
          <w:sz w:val="24"/>
        </w:rPr>
        <w:t>7.1.</w:t>
      </w:r>
      <w:r>
        <w:rPr>
          <w:rFonts w:hint="eastAsia"/>
          <w:sz w:val="24"/>
        </w:rPr>
        <w:t>3</w:t>
      </w:r>
      <w:r>
        <w:rPr>
          <w:sz w:val="24"/>
        </w:rPr>
        <w:t>.</w:t>
      </w:r>
      <w:r>
        <w:rPr>
          <w:rFonts w:hint="eastAsia"/>
          <w:sz w:val="24"/>
        </w:rPr>
        <w:t>6</w:t>
      </w:r>
      <w:r>
        <w:rPr>
          <w:sz w:val="24"/>
        </w:rPr>
        <w:t>住房公积金</w:t>
      </w:r>
    </w:p>
    <w:p>
      <w:pPr>
        <w:spacing w:line="312" w:lineRule="auto"/>
        <w:ind w:firstLine="960" w:firstLineChars="400"/>
        <w:rPr>
          <w:sz w:val="24"/>
        </w:rPr>
      </w:pPr>
      <w:r>
        <w:rPr>
          <w:sz w:val="24"/>
        </w:rPr>
        <w:t>7.1.</w:t>
      </w:r>
      <w:r>
        <w:rPr>
          <w:rFonts w:hint="eastAsia"/>
          <w:sz w:val="24"/>
        </w:rPr>
        <w:t>3</w:t>
      </w:r>
      <w:r>
        <w:rPr>
          <w:sz w:val="24"/>
        </w:rPr>
        <w:t>.7其它</w:t>
      </w:r>
    </w:p>
    <w:p>
      <w:pPr>
        <w:spacing w:line="312" w:lineRule="auto"/>
        <w:ind w:firstLine="480" w:firstLineChars="200"/>
        <w:rPr>
          <w:sz w:val="24"/>
        </w:rPr>
      </w:pPr>
      <w:r>
        <w:rPr>
          <w:rFonts w:hint="eastAsia"/>
          <w:sz w:val="24"/>
        </w:rPr>
        <w:t>7.1.4</w:t>
      </w:r>
      <w:r>
        <w:rPr>
          <w:sz w:val="24"/>
        </w:rPr>
        <w:t>利润和税金</w:t>
      </w:r>
    </w:p>
    <w:p>
      <w:pPr>
        <w:pStyle w:val="8"/>
        <w:spacing w:line="312" w:lineRule="auto"/>
      </w:pPr>
      <w:bookmarkStart w:id="58" w:name="_Toc23758"/>
      <w:r>
        <w:t>7.2服务费计费方法</w:t>
      </w:r>
      <w:bookmarkEnd w:id="58"/>
    </w:p>
    <w:p>
      <w:pPr>
        <w:spacing w:line="312" w:lineRule="auto"/>
        <w:ind w:firstLine="480" w:firstLineChars="200"/>
        <w:rPr>
          <w:sz w:val="24"/>
        </w:rPr>
      </w:pPr>
      <w:r>
        <w:rPr>
          <w:sz w:val="24"/>
        </w:rPr>
        <w:t>服务费用由正常服务、附加服务和额外服务三个方面的费用组成。</w:t>
      </w:r>
    </w:p>
    <w:p>
      <w:pPr>
        <w:spacing w:line="312" w:lineRule="auto"/>
        <w:ind w:firstLine="480" w:firstLineChars="200"/>
        <w:outlineLvl w:val="0"/>
        <w:rPr>
          <w:sz w:val="24"/>
        </w:rPr>
      </w:pPr>
      <w:bookmarkStart w:id="59" w:name="_Toc12966"/>
      <w:bookmarkStart w:id="60" w:name="_Toc5853"/>
      <w:r>
        <w:rPr>
          <w:sz w:val="24"/>
        </w:rPr>
        <w:t>7.2.1</w:t>
      </w:r>
      <w:r>
        <w:rPr>
          <w:rFonts w:hint="eastAsia"/>
          <w:sz w:val="24"/>
        </w:rPr>
        <w:t>（</w:t>
      </w:r>
      <w:r>
        <w:rPr>
          <w:sz w:val="24"/>
        </w:rPr>
        <w:t>正常</w:t>
      </w:r>
      <w:r>
        <w:rPr>
          <w:rFonts w:hint="eastAsia"/>
          <w:sz w:val="24"/>
        </w:rPr>
        <w:t>服务+附加服务）</w:t>
      </w:r>
      <w:r>
        <w:rPr>
          <w:sz w:val="24"/>
        </w:rPr>
        <w:t>的费用</w:t>
      </w:r>
      <w:bookmarkEnd w:id="59"/>
      <w:bookmarkEnd w:id="60"/>
    </w:p>
    <w:p>
      <w:pPr>
        <w:spacing w:line="312" w:lineRule="auto"/>
        <w:ind w:firstLine="480" w:firstLineChars="200"/>
        <w:rPr>
          <w:sz w:val="24"/>
        </w:rPr>
      </w:pPr>
      <w:r>
        <w:rPr>
          <w:rFonts w:hint="eastAsia"/>
          <w:sz w:val="24"/>
        </w:rPr>
        <w:t>（</w:t>
      </w:r>
      <w:r>
        <w:rPr>
          <w:sz w:val="24"/>
        </w:rPr>
        <w:t>正常服务</w:t>
      </w:r>
      <w:r>
        <w:rPr>
          <w:rFonts w:hint="eastAsia"/>
          <w:sz w:val="24"/>
        </w:rPr>
        <w:t>+附加服务）的费用是服务人为完成合同所确定的服务范围内的全部服务所发生的一切费用。包括但不限于：人员费用、现场费用、企业管理费用、保险、利润和税金等。</w:t>
      </w:r>
    </w:p>
    <w:p>
      <w:pPr>
        <w:spacing w:line="312" w:lineRule="auto"/>
        <w:ind w:firstLine="480" w:firstLineChars="200"/>
        <w:outlineLvl w:val="0"/>
        <w:rPr>
          <w:sz w:val="24"/>
        </w:rPr>
      </w:pPr>
      <w:bookmarkStart w:id="61" w:name="_Toc13135"/>
      <w:bookmarkStart w:id="62" w:name="_Toc10805"/>
      <w:r>
        <w:rPr>
          <w:sz w:val="24"/>
        </w:rPr>
        <w:t>7.</w:t>
      </w:r>
      <w:r>
        <w:rPr>
          <w:rFonts w:hint="eastAsia"/>
          <w:sz w:val="24"/>
        </w:rPr>
        <w:t>2</w:t>
      </w:r>
      <w:r>
        <w:rPr>
          <w:sz w:val="24"/>
        </w:rPr>
        <w:t>.2</w:t>
      </w:r>
      <w:r>
        <w:rPr>
          <w:rFonts w:hint="eastAsia"/>
          <w:sz w:val="24"/>
        </w:rPr>
        <w:t>额外</w:t>
      </w:r>
      <w:r>
        <w:rPr>
          <w:sz w:val="24"/>
        </w:rPr>
        <w:t>服务的费用</w:t>
      </w:r>
      <w:bookmarkEnd w:id="61"/>
      <w:bookmarkEnd w:id="62"/>
    </w:p>
    <w:p>
      <w:pPr>
        <w:spacing w:line="312" w:lineRule="auto"/>
        <w:ind w:firstLine="480" w:firstLineChars="200"/>
        <w:rPr>
          <w:sz w:val="24"/>
        </w:rPr>
      </w:pPr>
      <w:r>
        <w:rPr>
          <w:rFonts w:hint="eastAsia"/>
          <w:sz w:val="24"/>
        </w:rPr>
        <w:t>额外服务费用的计算方法应根据有关收费标准由双方协商确定，并签订补充合同协议书；</w:t>
      </w:r>
    </w:p>
    <w:p>
      <w:pPr>
        <w:pStyle w:val="8"/>
        <w:spacing w:line="312" w:lineRule="auto"/>
      </w:pPr>
      <w:bookmarkStart w:id="63" w:name="_Toc2353"/>
      <w:r>
        <w:t>7.</w:t>
      </w:r>
      <w:r>
        <w:rPr>
          <w:rFonts w:hint="eastAsia"/>
        </w:rPr>
        <w:t>3</w:t>
      </w:r>
      <w:r>
        <w:t>服务费</w:t>
      </w:r>
      <w:r>
        <w:rPr>
          <w:rFonts w:hint="eastAsia"/>
        </w:rPr>
        <w:t>用</w:t>
      </w:r>
      <w:r>
        <w:t>的调整</w:t>
      </w:r>
      <w:bookmarkEnd w:id="63"/>
    </w:p>
    <w:p>
      <w:pPr>
        <w:spacing w:line="312" w:lineRule="auto"/>
        <w:ind w:firstLine="480" w:firstLineChars="200"/>
        <w:rPr>
          <w:sz w:val="24"/>
        </w:rPr>
      </w:pPr>
      <w:r>
        <w:rPr>
          <w:rFonts w:hint="eastAsia"/>
          <w:sz w:val="24"/>
        </w:rPr>
        <w:t>除非合同专用条款中另有规定，本合同为固定总价合同，（</w:t>
      </w:r>
      <w:r>
        <w:rPr>
          <w:sz w:val="24"/>
        </w:rPr>
        <w:t>正常服务</w:t>
      </w:r>
      <w:r>
        <w:rPr>
          <w:rFonts w:hint="eastAsia"/>
          <w:sz w:val="24"/>
        </w:rPr>
        <w:t>+附加服务）费用不随国家政策或法规、标准及市场因素的变化而进行调整，也不因实际服务周期的延长或缩短而调整。</w:t>
      </w:r>
    </w:p>
    <w:p>
      <w:pPr>
        <w:pStyle w:val="8"/>
        <w:spacing w:line="312" w:lineRule="auto"/>
      </w:pPr>
      <w:bookmarkStart w:id="64" w:name="_Toc18546"/>
      <w:r>
        <w:t>7.</w:t>
      </w:r>
      <w:r>
        <w:rPr>
          <w:rFonts w:hint="eastAsia"/>
        </w:rPr>
        <w:t>4</w:t>
      </w:r>
      <w:r>
        <w:t>支付</w:t>
      </w:r>
      <w:bookmarkEnd w:id="64"/>
    </w:p>
    <w:p>
      <w:pPr>
        <w:spacing w:line="312" w:lineRule="auto"/>
        <w:ind w:firstLine="480" w:firstLineChars="200"/>
        <w:rPr>
          <w:sz w:val="24"/>
        </w:rPr>
      </w:pPr>
      <w:r>
        <w:rPr>
          <w:sz w:val="24"/>
        </w:rPr>
        <w:t>7.</w:t>
      </w:r>
      <w:r>
        <w:rPr>
          <w:rFonts w:hint="eastAsia"/>
          <w:sz w:val="24"/>
        </w:rPr>
        <w:t>4</w:t>
      </w:r>
      <w:r>
        <w:rPr>
          <w:sz w:val="24"/>
        </w:rPr>
        <w:t>.1动员预付</w:t>
      </w:r>
      <w:r>
        <w:rPr>
          <w:rFonts w:hint="eastAsia"/>
          <w:sz w:val="24"/>
        </w:rPr>
        <w:t>款支付</w:t>
      </w:r>
    </w:p>
    <w:p>
      <w:pPr>
        <w:spacing w:line="312" w:lineRule="auto"/>
        <w:ind w:firstLine="480" w:firstLineChars="200"/>
        <w:rPr>
          <w:sz w:val="24"/>
        </w:rPr>
      </w:pPr>
      <w:r>
        <w:rPr>
          <w:rFonts w:hint="eastAsia"/>
          <w:sz w:val="24"/>
        </w:rPr>
        <w:t>为使服务工作能够及时全面开展，在服务人按合同要求的人员、设备等进场，得到发包人进场确认，发包人支付签订合同价10%的动员预付款。</w:t>
      </w:r>
    </w:p>
    <w:p>
      <w:pPr>
        <w:spacing w:line="312" w:lineRule="auto"/>
        <w:ind w:firstLine="480" w:firstLineChars="200"/>
        <w:outlineLvl w:val="0"/>
        <w:rPr>
          <w:sz w:val="24"/>
        </w:rPr>
      </w:pPr>
      <w:bookmarkStart w:id="65" w:name="_Toc27318"/>
      <w:bookmarkStart w:id="66" w:name="_Toc11908"/>
      <w:r>
        <w:rPr>
          <w:sz w:val="24"/>
        </w:rPr>
        <w:t>7.</w:t>
      </w:r>
      <w:r>
        <w:rPr>
          <w:rFonts w:hint="eastAsia"/>
          <w:sz w:val="24"/>
        </w:rPr>
        <w:t>4</w:t>
      </w:r>
      <w:r>
        <w:rPr>
          <w:sz w:val="24"/>
        </w:rPr>
        <w:t>.</w:t>
      </w:r>
      <w:r>
        <w:rPr>
          <w:rFonts w:hint="eastAsia"/>
          <w:sz w:val="24"/>
        </w:rPr>
        <w:t>2</w:t>
      </w:r>
      <w:r>
        <w:rPr>
          <w:sz w:val="24"/>
        </w:rPr>
        <w:t>履约保证金</w:t>
      </w:r>
      <w:bookmarkEnd w:id="65"/>
      <w:bookmarkEnd w:id="66"/>
    </w:p>
    <w:p>
      <w:pPr>
        <w:spacing w:line="312" w:lineRule="auto"/>
        <w:ind w:firstLine="480" w:firstLineChars="200"/>
        <w:rPr>
          <w:sz w:val="24"/>
        </w:rPr>
      </w:pPr>
      <w:r>
        <w:rPr>
          <w:rFonts w:hint="eastAsia"/>
          <w:sz w:val="24"/>
        </w:rPr>
        <w:t>7.4.2.1</w:t>
      </w:r>
      <w:r>
        <w:rPr>
          <w:sz w:val="24"/>
        </w:rPr>
        <w:t>履约保证金的提交和返还按照投标人须知第</w:t>
      </w:r>
      <w:r>
        <w:rPr>
          <w:rFonts w:hint="eastAsia"/>
          <w:sz w:val="24"/>
        </w:rPr>
        <w:t>7.4</w:t>
      </w:r>
      <w:r>
        <w:rPr>
          <w:sz w:val="24"/>
        </w:rPr>
        <w:t>条</w:t>
      </w:r>
      <w:r>
        <w:rPr>
          <w:rFonts w:hint="eastAsia"/>
          <w:sz w:val="24"/>
        </w:rPr>
        <w:t>及合同相关条款；</w:t>
      </w:r>
    </w:p>
    <w:p>
      <w:pPr>
        <w:spacing w:line="312" w:lineRule="auto"/>
        <w:ind w:firstLine="480" w:firstLineChars="200"/>
        <w:rPr>
          <w:sz w:val="24"/>
        </w:rPr>
      </w:pPr>
      <w:r>
        <w:rPr>
          <w:rFonts w:hint="eastAsia"/>
          <w:sz w:val="24"/>
        </w:rPr>
        <w:t>7.4.2.2</w:t>
      </w:r>
      <w:r>
        <w:rPr>
          <w:sz w:val="24"/>
        </w:rPr>
        <w:t>发包人没收服务人的全部或部分履约保证金时，</w:t>
      </w:r>
      <w:r>
        <w:rPr>
          <w:rFonts w:hint="eastAsia"/>
          <w:sz w:val="24"/>
        </w:rPr>
        <w:t>应依据合同条款书面告知服务人没收的原因但不必获得服务人的同意，也</w:t>
      </w:r>
      <w:r>
        <w:rPr>
          <w:sz w:val="24"/>
        </w:rPr>
        <w:t>不影响服务人根据服务合同应当得到的其它款项的支付。</w:t>
      </w:r>
    </w:p>
    <w:p>
      <w:pPr>
        <w:spacing w:line="312" w:lineRule="auto"/>
        <w:ind w:firstLine="480" w:firstLineChars="200"/>
        <w:outlineLvl w:val="0"/>
        <w:rPr>
          <w:sz w:val="24"/>
        </w:rPr>
      </w:pPr>
      <w:bookmarkStart w:id="67" w:name="_Toc10108"/>
      <w:bookmarkStart w:id="68" w:name="_Toc3420"/>
      <w:r>
        <w:rPr>
          <w:sz w:val="24"/>
        </w:rPr>
        <w:t>7.</w:t>
      </w:r>
      <w:r>
        <w:rPr>
          <w:rFonts w:hint="eastAsia"/>
          <w:sz w:val="24"/>
        </w:rPr>
        <w:t>4</w:t>
      </w:r>
      <w:r>
        <w:rPr>
          <w:sz w:val="24"/>
        </w:rPr>
        <w:t>.</w:t>
      </w:r>
      <w:r>
        <w:rPr>
          <w:rFonts w:hint="eastAsia"/>
          <w:sz w:val="24"/>
        </w:rPr>
        <w:t>3</w:t>
      </w:r>
      <w:r>
        <w:rPr>
          <w:sz w:val="24"/>
        </w:rPr>
        <w:t>违约赔偿金</w:t>
      </w:r>
      <w:bookmarkEnd w:id="67"/>
      <w:bookmarkEnd w:id="68"/>
    </w:p>
    <w:p>
      <w:pPr>
        <w:spacing w:line="312" w:lineRule="auto"/>
        <w:ind w:firstLine="480" w:firstLineChars="200"/>
        <w:rPr>
          <w:sz w:val="24"/>
        </w:rPr>
      </w:pPr>
      <w:r>
        <w:rPr>
          <w:sz w:val="24"/>
        </w:rPr>
        <w:t>根据服务合同条款第</w:t>
      </w:r>
      <w:r>
        <w:rPr>
          <w:rStyle w:val="187"/>
          <w:color w:val="auto"/>
          <w:sz w:val="24"/>
          <w:u w:val="none"/>
        </w:rPr>
        <w:t>5.1</w:t>
      </w:r>
      <w:r>
        <w:rPr>
          <w:rStyle w:val="187"/>
          <w:rFonts w:hint="eastAsia"/>
          <w:color w:val="auto"/>
          <w:sz w:val="24"/>
          <w:u w:val="none"/>
        </w:rPr>
        <w:t>、5.2</w:t>
      </w:r>
      <w:r>
        <w:rPr>
          <w:rFonts w:hint="eastAsia"/>
          <w:sz w:val="24"/>
        </w:rPr>
        <w:t>款</w:t>
      </w:r>
      <w:r>
        <w:rPr>
          <w:sz w:val="24"/>
        </w:rPr>
        <w:t>确定的服务人对发包人的</w:t>
      </w:r>
      <w:r>
        <w:rPr>
          <w:rStyle w:val="187"/>
          <w:rFonts w:hint="eastAsia"/>
          <w:color w:val="auto"/>
          <w:sz w:val="24"/>
          <w:u w:val="none"/>
        </w:rPr>
        <w:t>违约</w:t>
      </w:r>
      <w:r>
        <w:rPr>
          <w:sz w:val="24"/>
        </w:rPr>
        <w:t>赔偿，由发包人从对服务人的日常支付</w:t>
      </w:r>
      <w:r>
        <w:rPr>
          <w:rStyle w:val="187"/>
          <w:rFonts w:hint="eastAsia"/>
          <w:color w:val="auto"/>
          <w:sz w:val="24"/>
          <w:u w:val="none"/>
        </w:rPr>
        <w:t>和</w:t>
      </w:r>
      <w:r>
        <w:rPr>
          <w:rStyle w:val="187"/>
          <w:color w:val="auto"/>
          <w:sz w:val="24"/>
          <w:u w:val="none"/>
        </w:rPr>
        <w:t>履约保证金</w:t>
      </w:r>
      <w:r>
        <w:rPr>
          <w:sz w:val="24"/>
        </w:rPr>
        <w:t>中扣回。</w:t>
      </w:r>
    </w:p>
    <w:p>
      <w:pPr>
        <w:spacing w:line="312" w:lineRule="auto"/>
        <w:ind w:firstLine="480" w:firstLineChars="200"/>
        <w:outlineLvl w:val="0"/>
        <w:rPr>
          <w:sz w:val="24"/>
        </w:rPr>
      </w:pPr>
      <w:bookmarkStart w:id="69" w:name="_Toc875"/>
      <w:bookmarkStart w:id="70" w:name="_Toc14074"/>
      <w:r>
        <w:rPr>
          <w:sz w:val="24"/>
        </w:rPr>
        <w:t>7.</w:t>
      </w:r>
      <w:r>
        <w:rPr>
          <w:rFonts w:hint="eastAsia"/>
          <w:sz w:val="24"/>
        </w:rPr>
        <w:t>4</w:t>
      </w:r>
      <w:r>
        <w:rPr>
          <w:sz w:val="24"/>
        </w:rPr>
        <w:t>.</w:t>
      </w:r>
      <w:r>
        <w:rPr>
          <w:rFonts w:hint="eastAsia"/>
          <w:sz w:val="24"/>
        </w:rPr>
        <w:t>4</w:t>
      </w:r>
      <w:r>
        <w:rPr>
          <w:sz w:val="24"/>
        </w:rPr>
        <w:t>动员预付费的扣回</w:t>
      </w:r>
      <w:bookmarkEnd w:id="69"/>
      <w:bookmarkEnd w:id="70"/>
    </w:p>
    <w:p>
      <w:pPr>
        <w:spacing w:line="312" w:lineRule="auto"/>
        <w:ind w:firstLine="435"/>
        <w:rPr>
          <w:sz w:val="24"/>
        </w:rPr>
      </w:pPr>
      <w:r>
        <w:rPr>
          <w:sz w:val="24"/>
        </w:rPr>
        <w:t>发包人在</w:t>
      </w:r>
      <w:r>
        <w:rPr>
          <w:rFonts w:hint="eastAsia"/>
          <w:sz w:val="24"/>
        </w:rPr>
        <w:t>中期支付累计金额达到签约合同价的50%之后开始分期以固定比例从中期支付中扣回动员预付款，全部金额在中期支付的累计金额达到签约合同价的80%时扣回。</w:t>
      </w:r>
    </w:p>
    <w:p>
      <w:pPr>
        <w:spacing w:line="312" w:lineRule="auto"/>
        <w:ind w:firstLine="480" w:firstLineChars="200"/>
        <w:rPr>
          <w:sz w:val="24"/>
        </w:rPr>
      </w:pPr>
      <w:r>
        <w:rPr>
          <w:sz w:val="24"/>
        </w:rPr>
        <w:t>7.</w:t>
      </w:r>
      <w:r>
        <w:rPr>
          <w:rFonts w:hint="eastAsia"/>
          <w:sz w:val="24"/>
        </w:rPr>
        <w:t>4</w:t>
      </w:r>
      <w:r>
        <w:rPr>
          <w:sz w:val="24"/>
        </w:rPr>
        <w:t>.</w:t>
      </w:r>
      <w:r>
        <w:rPr>
          <w:rFonts w:hint="eastAsia"/>
          <w:sz w:val="24"/>
        </w:rPr>
        <w:t>5</w:t>
      </w:r>
      <w:r>
        <w:rPr>
          <w:sz w:val="24"/>
        </w:rPr>
        <w:t>支付方式与支付内容</w:t>
      </w:r>
    </w:p>
    <w:p>
      <w:pPr>
        <w:spacing w:line="312" w:lineRule="auto"/>
        <w:ind w:firstLine="435"/>
        <w:rPr>
          <w:sz w:val="24"/>
        </w:rPr>
      </w:pPr>
      <w:r>
        <w:rPr>
          <w:sz w:val="24"/>
        </w:rPr>
        <w:t>发包人采用</w:t>
      </w:r>
      <w:r>
        <w:rPr>
          <w:rFonts w:hint="eastAsia"/>
          <w:sz w:val="24"/>
        </w:rPr>
        <w:t>的支付方式与支付内容在合同专用条款中约定。</w:t>
      </w:r>
    </w:p>
    <w:p>
      <w:pPr>
        <w:pStyle w:val="8"/>
        <w:spacing w:line="312" w:lineRule="auto"/>
      </w:pPr>
      <w:bookmarkStart w:id="71" w:name="_Toc25985"/>
      <w:r>
        <w:t>7.5货币</w:t>
      </w:r>
      <w:bookmarkEnd w:id="71"/>
    </w:p>
    <w:p>
      <w:pPr>
        <w:spacing w:line="312" w:lineRule="auto"/>
        <w:ind w:firstLine="480" w:firstLineChars="200"/>
        <w:rPr>
          <w:sz w:val="24"/>
        </w:rPr>
      </w:pPr>
      <w:r>
        <w:rPr>
          <w:sz w:val="24"/>
        </w:rPr>
        <w:t>发包人支付服务人履行服务的费用，其货币</w:t>
      </w:r>
      <w:r>
        <w:rPr>
          <w:rFonts w:hint="eastAsia"/>
          <w:sz w:val="24"/>
        </w:rPr>
        <w:t>为人民币</w:t>
      </w:r>
      <w:r>
        <w:rPr>
          <w:sz w:val="24"/>
        </w:rPr>
        <w:t>。</w:t>
      </w:r>
    </w:p>
    <w:p>
      <w:pPr>
        <w:pStyle w:val="7"/>
        <w:rPr>
          <w:sz w:val="24"/>
        </w:rPr>
      </w:pPr>
      <w:bookmarkStart w:id="72" w:name="_Toc7771"/>
      <w:r>
        <w:rPr>
          <w:rFonts w:hint="eastAsia"/>
        </w:rPr>
        <w:t>8、</w:t>
      </w:r>
      <w:r>
        <w:t>其它</w:t>
      </w:r>
      <w:bookmarkEnd w:id="72"/>
    </w:p>
    <w:p>
      <w:pPr>
        <w:pStyle w:val="8"/>
        <w:spacing w:line="312" w:lineRule="auto"/>
      </w:pPr>
      <w:bookmarkStart w:id="73" w:name="_Toc21549"/>
      <w:r>
        <w:rPr>
          <w:rFonts w:hint="eastAsia"/>
        </w:rPr>
        <w:t>8</w:t>
      </w:r>
      <w:r>
        <w:t>.1合同双方的关系</w:t>
      </w:r>
      <w:bookmarkEnd w:id="73"/>
    </w:p>
    <w:p>
      <w:pPr>
        <w:spacing w:line="312" w:lineRule="auto"/>
        <w:ind w:firstLine="480" w:firstLineChars="200"/>
        <w:rPr>
          <w:sz w:val="24"/>
        </w:rPr>
      </w:pPr>
      <w:r>
        <w:rPr>
          <w:sz w:val="24"/>
        </w:rPr>
        <w:t>合同双方互为权利和义务主体，双方应遵循平等互利、协商一致的原则履行本服务合同。发包人和服务人均应按照服务合同公正的行使权力和全面履行自己的职责。</w:t>
      </w:r>
    </w:p>
    <w:p>
      <w:pPr>
        <w:pStyle w:val="8"/>
        <w:spacing w:line="312" w:lineRule="auto"/>
      </w:pPr>
      <w:bookmarkStart w:id="74" w:name="_Toc18564"/>
      <w:r>
        <w:rPr>
          <w:rFonts w:hint="eastAsia"/>
        </w:rPr>
        <w:t>8</w:t>
      </w:r>
      <w:r>
        <w:t>.2语言和法律</w:t>
      </w:r>
      <w:bookmarkEnd w:id="74"/>
    </w:p>
    <w:p>
      <w:pPr>
        <w:spacing w:line="312" w:lineRule="auto"/>
        <w:ind w:firstLine="480" w:firstLineChars="200"/>
        <w:rPr>
          <w:sz w:val="24"/>
        </w:rPr>
      </w:pPr>
      <w:r>
        <w:rPr>
          <w:sz w:val="24"/>
        </w:rPr>
        <w:t>本服务合同使用</w:t>
      </w:r>
      <w:r>
        <w:rPr>
          <w:rFonts w:hint="eastAsia"/>
          <w:sz w:val="24"/>
        </w:rPr>
        <w:t>中文，</w:t>
      </w:r>
      <w:r>
        <w:rPr>
          <w:sz w:val="24"/>
        </w:rPr>
        <w:t>遵循</w:t>
      </w:r>
      <w:r>
        <w:rPr>
          <w:rFonts w:hint="eastAsia"/>
          <w:sz w:val="24"/>
        </w:rPr>
        <w:t>中华人民共和国的相关法律。</w:t>
      </w:r>
    </w:p>
    <w:p>
      <w:pPr>
        <w:pStyle w:val="8"/>
        <w:spacing w:line="312" w:lineRule="auto"/>
      </w:pPr>
      <w:bookmarkStart w:id="75" w:name="_Toc17737"/>
      <w:r>
        <w:rPr>
          <w:rFonts w:hint="eastAsia"/>
        </w:rPr>
        <w:t>8</w:t>
      </w:r>
      <w:r>
        <w:t>.</w:t>
      </w:r>
      <w:r>
        <w:rPr>
          <w:rFonts w:hint="eastAsia"/>
        </w:rPr>
        <w:t>3</w:t>
      </w:r>
      <w:r>
        <w:t>利益矛盾</w:t>
      </w:r>
      <w:bookmarkEnd w:id="75"/>
    </w:p>
    <w:p>
      <w:pPr>
        <w:spacing w:line="312" w:lineRule="auto"/>
        <w:ind w:firstLine="480" w:firstLineChars="200"/>
        <w:rPr>
          <w:sz w:val="24"/>
        </w:rPr>
      </w:pPr>
      <w:r>
        <w:rPr>
          <w:sz w:val="24"/>
        </w:rPr>
        <w:t>未经发包人书面同意，服务人不得获取本服务合同规定以外的与本项目有关的任何利益，不得参与与本服务合同规定的发包人利益相冲突的任何活动。</w:t>
      </w:r>
    </w:p>
    <w:p>
      <w:pPr>
        <w:pStyle w:val="8"/>
        <w:spacing w:line="312" w:lineRule="auto"/>
      </w:pPr>
      <w:bookmarkStart w:id="76" w:name="_Toc12304"/>
      <w:r>
        <w:rPr>
          <w:rFonts w:hint="eastAsia"/>
        </w:rPr>
        <w:t>8</w:t>
      </w:r>
      <w:r>
        <w:t>.</w:t>
      </w:r>
      <w:r>
        <w:rPr>
          <w:rFonts w:hint="eastAsia"/>
        </w:rPr>
        <w:t>4</w:t>
      </w:r>
      <w:r>
        <w:t>版权</w:t>
      </w:r>
      <w:bookmarkEnd w:id="76"/>
    </w:p>
    <w:p>
      <w:pPr>
        <w:spacing w:line="312" w:lineRule="auto"/>
        <w:ind w:firstLine="480" w:firstLineChars="200"/>
        <w:rPr>
          <w:sz w:val="24"/>
        </w:rPr>
      </w:pPr>
      <w:r>
        <w:rPr>
          <w:rFonts w:hint="eastAsia"/>
          <w:sz w:val="24"/>
        </w:rPr>
        <w:t>8</w:t>
      </w:r>
      <w:r>
        <w:rPr>
          <w:sz w:val="24"/>
        </w:rPr>
        <w:t>.</w:t>
      </w:r>
      <w:r>
        <w:rPr>
          <w:rFonts w:hint="eastAsia"/>
          <w:sz w:val="24"/>
        </w:rPr>
        <w:t>4</w:t>
      </w:r>
      <w:r>
        <w:rPr>
          <w:sz w:val="24"/>
        </w:rPr>
        <w:t>.1对服务人拥有版权并已用于本服务中的所有文件，发包人有权在本合同项目中使用或复制。但未经服务人的同意，发包人不得将上述文件直接或间接用于其它项目或服务之中。</w:t>
      </w:r>
    </w:p>
    <w:p>
      <w:pPr>
        <w:spacing w:line="312" w:lineRule="auto"/>
        <w:ind w:firstLine="480" w:firstLineChars="200"/>
        <w:rPr>
          <w:rStyle w:val="187"/>
          <w:color w:val="auto"/>
          <w:sz w:val="24"/>
          <w:u w:val="none"/>
        </w:rPr>
      </w:pPr>
      <w:r>
        <w:rPr>
          <w:rStyle w:val="187"/>
          <w:rFonts w:hint="eastAsia"/>
          <w:color w:val="auto"/>
          <w:sz w:val="24"/>
          <w:u w:val="none"/>
        </w:rPr>
        <w:t>8.4.2本合同下的服务成果为发包人与服务人共同持有，发包人有权在不经服务人同意时将服务成果推广应用于本发包人相关的工程与管理中。服务人利用本合同下的服务成果为其他第三方提供服务获利时，发包人有权获得利益共享。</w:t>
      </w:r>
    </w:p>
    <w:p>
      <w:pPr>
        <w:spacing w:line="312" w:lineRule="auto"/>
        <w:ind w:firstLine="480" w:firstLineChars="200"/>
        <w:rPr>
          <w:sz w:val="24"/>
        </w:rPr>
      </w:pPr>
      <w:r>
        <w:rPr>
          <w:rFonts w:hint="eastAsia"/>
          <w:sz w:val="24"/>
        </w:rPr>
        <w:t>8</w:t>
      </w:r>
      <w:r>
        <w:rPr>
          <w:sz w:val="24"/>
        </w:rPr>
        <w:t>.</w:t>
      </w:r>
      <w:r>
        <w:rPr>
          <w:rFonts w:hint="eastAsia"/>
          <w:sz w:val="24"/>
        </w:rPr>
        <w:t>4</w:t>
      </w:r>
      <w:r>
        <w:rPr>
          <w:sz w:val="24"/>
        </w:rPr>
        <w:t>.</w:t>
      </w:r>
      <w:r>
        <w:rPr>
          <w:rFonts w:hint="eastAsia"/>
          <w:sz w:val="24"/>
        </w:rPr>
        <w:t>3</w:t>
      </w:r>
      <w:r>
        <w:rPr>
          <w:sz w:val="24"/>
        </w:rPr>
        <w:t>如果在</w:t>
      </w:r>
      <w:r>
        <w:rPr>
          <w:rFonts w:hint="eastAsia"/>
          <w:sz w:val="24"/>
        </w:rPr>
        <w:t>合同</w:t>
      </w:r>
      <w:r>
        <w:rPr>
          <w:sz w:val="24"/>
        </w:rPr>
        <w:t>条款中没有另外规定，</w:t>
      </w:r>
      <w:r>
        <w:rPr>
          <w:rFonts w:hint="eastAsia"/>
          <w:sz w:val="24"/>
        </w:rPr>
        <w:t>双方均有权利用</w:t>
      </w:r>
      <w:r>
        <w:rPr>
          <w:sz w:val="24"/>
        </w:rPr>
        <w:t>本项目服务</w:t>
      </w:r>
      <w:r>
        <w:rPr>
          <w:rFonts w:hint="eastAsia"/>
          <w:sz w:val="24"/>
        </w:rPr>
        <w:t>有关的资料</w:t>
      </w:r>
      <w:r>
        <w:rPr>
          <w:sz w:val="24"/>
        </w:rPr>
        <w:t>出版</w:t>
      </w:r>
      <w:r>
        <w:rPr>
          <w:rFonts w:hint="eastAsia"/>
          <w:sz w:val="24"/>
        </w:rPr>
        <w:t>文献。但上述出版物中不得涉及另一方的专利、专有技术以及经济情报</w:t>
      </w:r>
      <w:r>
        <w:rPr>
          <w:rStyle w:val="187"/>
          <w:rFonts w:hint="eastAsia"/>
          <w:color w:val="auto"/>
          <w:sz w:val="24"/>
          <w:u w:val="none"/>
        </w:rPr>
        <w:t>、国家规定的保密内容</w:t>
      </w:r>
      <w:r>
        <w:rPr>
          <w:rFonts w:hint="eastAsia"/>
          <w:sz w:val="24"/>
        </w:rPr>
        <w:t>。</w:t>
      </w:r>
    </w:p>
    <w:p>
      <w:pPr>
        <w:pStyle w:val="8"/>
        <w:spacing w:line="312" w:lineRule="auto"/>
      </w:pPr>
      <w:bookmarkStart w:id="77" w:name="_Toc16681"/>
      <w:r>
        <w:rPr>
          <w:rFonts w:hint="eastAsia"/>
        </w:rPr>
        <w:t>8.5通知</w:t>
      </w:r>
      <w:bookmarkEnd w:id="77"/>
    </w:p>
    <w:p>
      <w:pPr>
        <w:spacing w:line="312" w:lineRule="auto"/>
        <w:ind w:firstLine="480" w:firstLineChars="200"/>
        <w:rPr>
          <w:sz w:val="24"/>
        </w:rPr>
      </w:pPr>
      <w:r>
        <w:rPr>
          <w:rFonts w:hint="eastAsia"/>
          <w:sz w:val="24"/>
        </w:rPr>
        <w:t>本服务合同涉及的通知均为书面形式，在送达协议书中注明的地址并由收受方签收后生效。无论发送方采用何种方式递送通知，收受方都应用书面回执确认。</w:t>
      </w:r>
    </w:p>
    <w:p>
      <w:pPr>
        <w:pStyle w:val="7"/>
        <w:spacing w:line="312" w:lineRule="auto"/>
      </w:pPr>
      <w:bookmarkStart w:id="78" w:name="_Toc31616"/>
    </w:p>
    <w:p>
      <w:pPr>
        <w:pStyle w:val="7"/>
        <w:spacing w:line="312" w:lineRule="auto"/>
      </w:pPr>
    </w:p>
    <w:p>
      <w:pPr>
        <w:pStyle w:val="7"/>
        <w:spacing w:line="312" w:lineRule="auto"/>
      </w:pPr>
      <w:r>
        <w:rPr>
          <w:rFonts w:hint="eastAsia"/>
        </w:rPr>
        <w:t>9、 争端的解决</w:t>
      </w:r>
      <w:bookmarkEnd w:id="78"/>
    </w:p>
    <w:p>
      <w:pPr>
        <w:spacing w:line="312" w:lineRule="auto"/>
        <w:ind w:firstLine="480" w:firstLineChars="200"/>
        <w:rPr>
          <w:sz w:val="24"/>
        </w:rPr>
      </w:pPr>
      <w:r>
        <w:rPr>
          <w:rFonts w:hint="eastAsia"/>
          <w:sz w:val="24"/>
        </w:rPr>
        <w:t>双方在履行本服务合同过程中发生争端时，应本着友好协商的原则予以解决，或通过上级主管部门进行调解。若经过协商或调解仍不能达成一致时，任何一方均可向</w:t>
      </w:r>
      <w:r>
        <w:rPr>
          <w:rFonts w:hint="eastAsia" w:ascii="宋体" w:hAnsi="宋体"/>
          <w:color w:val="000000"/>
          <w:sz w:val="24"/>
        </w:rPr>
        <w:t>岳阳市云溪区人民法院提起诉讼。</w:t>
      </w:r>
    </w:p>
    <w:p>
      <w:pPr>
        <w:spacing w:line="360" w:lineRule="auto"/>
        <w:ind w:firstLine="420" w:firstLineChars="200"/>
        <w:jc w:val="center"/>
        <w:rPr>
          <w:color w:val="FF0000"/>
        </w:rPr>
      </w:pPr>
    </w:p>
    <w:p>
      <w:pPr>
        <w:pStyle w:val="7"/>
        <w:jc w:val="center"/>
      </w:pPr>
      <w:r>
        <w:br w:type="page"/>
      </w:r>
      <w:bookmarkEnd w:id="16"/>
      <w:bookmarkStart w:id="79" w:name="_Toc7624"/>
      <w:r>
        <w:rPr>
          <w:rFonts w:hint="eastAsia"/>
        </w:rPr>
        <w:t>二、专用合同条款</w:t>
      </w:r>
      <w:bookmarkEnd w:id="79"/>
      <w:r>
        <w:t xml:space="preserve"> </w:t>
      </w:r>
    </w:p>
    <w:p>
      <w:pPr>
        <w:spacing w:line="360" w:lineRule="auto"/>
        <w:ind w:firstLine="482" w:firstLineChars="200"/>
        <w:rPr>
          <w:b/>
          <w:sz w:val="24"/>
        </w:rPr>
      </w:pPr>
      <w:r>
        <w:rPr>
          <w:rFonts w:hint="eastAsia"/>
          <w:b/>
          <w:sz w:val="24"/>
        </w:rPr>
        <w:t>说明：本合同专用条款由招标人根据合同通用条款进行补充和细化。</w:t>
      </w:r>
    </w:p>
    <w:p>
      <w:pPr>
        <w:spacing w:line="360" w:lineRule="auto"/>
        <w:ind w:firstLine="480" w:firstLineChars="200"/>
        <w:outlineLvl w:val="0"/>
        <w:rPr>
          <w:rFonts w:ascii="宋体" w:hAnsi="宋体"/>
          <w:sz w:val="24"/>
        </w:rPr>
      </w:pPr>
      <w:bookmarkStart w:id="80" w:name="_Toc13432"/>
      <w:bookmarkStart w:id="81" w:name="_Toc25564"/>
      <w:r>
        <w:rPr>
          <w:rFonts w:ascii="宋体" w:hAnsi="宋体"/>
          <w:sz w:val="24"/>
        </w:rPr>
        <w:t>1．定义与解释</w:t>
      </w:r>
      <w:bookmarkEnd w:id="80"/>
      <w:bookmarkEnd w:id="81"/>
    </w:p>
    <w:p>
      <w:pPr>
        <w:spacing w:line="360" w:lineRule="auto"/>
        <w:ind w:firstLine="480" w:firstLineChars="200"/>
        <w:rPr>
          <w:rFonts w:ascii="宋体" w:hAnsi="宋体"/>
          <w:sz w:val="24"/>
        </w:rPr>
      </w:pPr>
      <w:r>
        <w:rPr>
          <w:rFonts w:hint="eastAsia" w:ascii="宋体" w:hAnsi="宋体"/>
          <w:sz w:val="24"/>
        </w:rPr>
        <w:t>第</w:t>
      </w:r>
      <w:r>
        <w:rPr>
          <w:rFonts w:ascii="宋体" w:hAnsi="宋体"/>
          <w:sz w:val="24"/>
        </w:rPr>
        <w:t>1.1.1项项目</w:t>
      </w:r>
      <w:r>
        <w:rPr>
          <w:rFonts w:hint="eastAsia" w:ascii="宋体" w:hAnsi="宋体"/>
          <w:sz w:val="24"/>
        </w:rPr>
        <w:t>细化为：</w:t>
      </w:r>
      <w:r>
        <w:rPr>
          <w:rFonts w:ascii="宋体" w:hAnsi="宋体"/>
          <w:sz w:val="24"/>
        </w:rPr>
        <w:t>发包人委托服务人提供服务的对象</w:t>
      </w:r>
      <w:r>
        <w:rPr>
          <w:rFonts w:hint="eastAsia" w:ascii="宋体" w:hAnsi="宋体"/>
          <w:sz w:val="24"/>
        </w:rPr>
        <w:t>为：</w:t>
      </w:r>
    </w:p>
    <w:p>
      <w:pPr>
        <w:widowControl w:val="0"/>
        <w:adjustRightInd w:val="0"/>
        <w:snapToGrid w:val="0"/>
        <w:spacing w:line="312" w:lineRule="auto"/>
        <w:jc w:val="both"/>
        <w:rPr>
          <w:rFonts w:ascii="宋体" w:hAnsi="宋体"/>
          <w:color w:val="FF0000"/>
          <w:sz w:val="24"/>
        </w:rPr>
      </w:pPr>
      <w:r>
        <w:rPr>
          <w:rFonts w:hint="eastAsia" w:ascii="宋体" w:hAnsi="宋体"/>
          <w:sz w:val="24"/>
        </w:rPr>
        <w:t xml:space="preserve">（岳阳城陵矶港务有限责任公司码头环保提质改造二期工程第二条装车线交工质量检测服务 </w:t>
      </w:r>
      <w:r>
        <w:rPr>
          <w:rFonts w:hint="eastAsia" w:ascii="宋体" w:hAnsi="宋体"/>
          <w:sz w:val="24"/>
          <w:u w:val="single"/>
        </w:rPr>
        <w:t>项目</w:t>
      </w:r>
      <w:r>
        <w:rPr>
          <w:rFonts w:hint="eastAsia" w:ascii="宋体" w:hAnsi="宋体"/>
          <w:sz w:val="24"/>
        </w:rPr>
        <w:t>）</w:t>
      </w:r>
    </w:p>
    <w:p>
      <w:pPr>
        <w:spacing w:line="460" w:lineRule="exact"/>
        <w:ind w:left="-21" w:leftChars="-10" w:firstLine="504" w:firstLineChars="210"/>
        <w:rPr>
          <w:rFonts w:ascii="宋体" w:hAnsi="宋体"/>
          <w:sz w:val="24"/>
          <w:highlight w:val="none"/>
        </w:rPr>
      </w:pPr>
      <w:r>
        <w:rPr>
          <w:rFonts w:hint="eastAsia" w:ascii="宋体" w:hAnsi="宋体"/>
          <w:sz w:val="24"/>
        </w:rPr>
        <w:t>第</w:t>
      </w:r>
      <w:r>
        <w:rPr>
          <w:rFonts w:ascii="宋体" w:hAnsi="宋体"/>
          <w:sz w:val="24"/>
        </w:rPr>
        <w:t>1.1.</w:t>
      </w:r>
      <w:r>
        <w:rPr>
          <w:rFonts w:hint="eastAsia" w:ascii="宋体" w:hAnsi="宋体"/>
          <w:sz w:val="24"/>
        </w:rPr>
        <w:t>2</w:t>
      </w:r>
      <w:r>
        <w:rPr>
          <w:rFonts w:ascii="宋体" w:hAnsi="宋体"/>
          <w:sz w:val="24"/>
        </w:rPr>
        <w:t>项项目</w:t>
      </w:r>
      <w:r>
        <w:rPr>
          <w:rFonts w:hint="eastAsia" w:ascii="宋体" w:hAnsi="宋体"/>
          <w:sz w:val="24"/>
          <w:highlight w:val="none"/>
        </w:rPr>
        <w:t>细化为：本招标文件所指的服务为：钢结构检测、混凝土强度、混凝土保护层厚度、结构尺寸、轨道结构、地基承载力、工程质量检验资料核查、原材料检测等。</w:t>
      </w:r>
    </w:p>
    <w:p>
      <w:pPr>
        <w:pStyle w:val="188"/>
        <w:spacing w:line="460" w:lineRule="exact"/>
        <w:ind w:firstLine="480" w:firstLineChars="200"/>
        <w:rPr>
          <w:rFonts w:hAnsi="宋体"/>
          <w:sz w:val="24"/>
          <w:szCs w:val="24"/>
          <w:highlight w:val="none"/>
          <w:u w:val="single"/>
        </w:rPr>
      </w:pPr>
      <w:r>
        <w:rPr>
          <w:rFonts w:hint="eastAsia" w:hAnsi="宋体"/>
          <w:sz w:val="24"/>
          <w:highlight w:val="none"/>
        </w:rPr>
        <w:t>第</w:t>
      </w:r>
      <w:r>
        <w:rPr>
          <w:rFonts w:hAnsi="宋体"/>
          <w:sz w:val="24"/>
          <w:highlight w:val="none"/>
        </w:rPr>
        <w:t>1.1.</w:t>
      </w:r>
      <w:r>
        <w:rPr>
          <w:rFonts w:hint="eastAsia" w:hAnsi="宋体"/>
          <w:sz w:val="24"/>
          <w:highlight w:val="none"/>
        </w:rPr>
        <w:t>3项细化为：发包人为：</w:t>
      </w:r>
      <w:r>
        <w:rPr>
          <w:rFonts w:hint="eastAsia" w:hAnsi="宋体"/>
          <w:sz w:val="24"/>
          <w:szCs w:val="24"/>
          <w:highlight w:val="none"/>
          <w:u w:val="single"/>
        </w:rPr>
        <w:t>湖南省港务集团有限公司</w:t>
      </w:r>
    </w:p>
    <w:p>
      <w:pPr>
        <w:pStyle w:val="188"/>
        <w:spacing w:line="460" w:lineRule="exact"/>
        <w:ind w:firstLine="480" w:firstLineChars="200"/>
        <w:rPr>
          <w:rFonts w:hAnsi="宋体"/>
          <w:sz w:val="24"/>
          <w:szCs w:val="24"/>
          <w:u w:val="single"/>
        </w:rPr>
      </w:pPr>
      <w:r>
        <w:rPr>
          <w:rFonts w:hint="eastAsia" w:hAnsi="宋体"/>
          <w:sz w:val="24"/>
          <w:szCs w:val="24"/>
          <w:u w:val="single"/>
        </w:rPr>
        <w:t>招标人为：湖南省港务集团有限公司</w:t>
      </w:r>
    </w:p>
    <w:p>
      <w:pPr>
        <w:spacing w:line="360" w:lineRule="auto"/>
        <w:ind w:firstLine="480" w:firstLineChars="200"/>
        <w:rPr>
          <w:rFonts w:ascii="宋体" w:hAnsi="宋体"/>
          <w:sz w:val="24"/>
        </w:rPr>
      </w:pPr>
      <w:r>
        <w:rPr>
          <w:rFonts w:hint="eastAsia" w:ascii="宋体" w:hAnsi="宋体"/>
          <w:sz w:val="24"/>
        </w:rPr>
        <w:t>第</w:t>
      </w:r>
      <w:r>
        <w:rPr>
          <w:rFonts w:ascii="宋体" w:hAnsi="宋体"/>
          <w:sz w:val="24"/>
        </w:rPr>
        <w:t>1.1.</w:t>
      </w:r>
      <w:r>
        <w:rPr>
          <w:rFonts w:hint="eastAsia" w:ascii="宋体" w:hAnsi="宋体"/>
          <w:sz w:val="24"/>
        </w:rPr>
        <w:t>4</w:t>
      </w:r>
      <w:r>
        <w:rPr>
          <w:rFonts w:ascii="宋体" w:hAnsi="宋体"/>
          <w:sz w:val="24"/>
        </w:rPr>
        <w:t>项服务人</w:t>
      </w:r>
      <w:r>
        <w:rPr>
          <w:rFonts w:hint="eastAsia" w:ascii="宋体" w:hAnsi="宋体"/>
          <w:sz w:val="24"/>
        </w:rPr>
        <w:t>细化为：</w:t>
      </w:r>
    </w:p>
    <w:p>
      <w:pPr>
        <w:pStyle w:val="32"/>
        <w:adjustRightInd w:val="0"/>
        <w:snapToGrid w:val="0"/>
        <w:spacing w:line="312" w:lineRule="auto"/>
        <w:ind w:firstLine="480" w:firstLineChars="200"/>
        <w:rPr>
          <w:color w:val="000000" w:themeColor="text1"/>
          <w:sz w:val="24"/>
          <w14:textFill>
            <w14:solidFill>
              <w14:schemeClr w14:val="tx1"/>
            </w14:solidFill>
          </w14:textFill>
        </w:rPr>
      </w:pPr>
      <w:r>
        <w:rPr>
          <w:rFonts w:hint="eastAsia"/>
          <w:sz w:val="24"/>
        </w:rPr>
        <w:t>要求投标人具有独立法人资格</w:t>
      </w:r>
      <w:r>
        <w:rPr>
          <w:rFonts w:hint="eastAsia" w:ascii="宋体" w:hAnsi="宋体"/>
          <w:sz w:val="24"/>
        </w:rPr>
        <w:t>（</w:t>
      </w:r>
      <w:r>
        <w:rPr>
          <w:rFonts w:hint="eastAsia"/>
          <w:sz w:val="24"/>
        </w:rPr>
        <w:t>独立法人单位下属的非独立法人检测机构具有相应资质的，视为该独立法人具有相应的资质），</w:t>
      </w:r>
      <w:r>
        <w:rPr>
          <w:rFonts w:hint="eastAsia"/>
          <w:sz w:val="24"/>
          <w:u w:val="single"/>
        </w:rPr>
        <w:t>持有有效的营业执照（或事业单位法人证书），</w:t>
      </w:r>
      <w:r>
        <w:rPr>
          <w:rFonts w:hint="eastAsia"/>
          <w:sz w:val="24"/>
        </w:rPr>
        <w:t>同时具有交通运输部颁发的公路工程桥梁隧道工程专项、水运工程结构类乙级和水运工程材料乙级及以上试验检测资质，省级部门颁发的计量认证合格证书。须提供相关资质证</w:t>
      </w:r>
      <w:r>
        <w:rPr>
          <w:rFonts w:hint="eastAsia"/>
          <w:color w:val="000000" w:themeColor="text1"/>
          <w:sz w:val="24"/>
          <w14:textFill>
            <w14:solidFill>
              <w14:schemeClr w14:val="tx1"/>
            </w14:solidFill>
          </w14:textFill>
        </w:rPr>
        <w:t>明文件。近5年</w:t>
      </w:r>
      <w:r>
        <w:rPr>
          <w:rFonts w:hint="eastAsia"/>
          <w:color w:val="000000" w:themeColor="text1"/>
          <w:sz w:val="24"/>
          <w:lang w:val="en-US" w:eastAsia="zh-CN"/>
          <w14:textFill>
            <w14:solidFill>
              <w14:schemeClr w14:val="tx1"/>
            </w14:solidFill>
          </w14:textFill>
        </w:rPr>
        <w:t>内</w:t>
      </w:r>
      <w:r>
        <w:rPr>
          <w:rFonts w:hint="eastAsia"/>
          <w:color w:val="000000" w:themeColor="text1"/>
          <w:sz w:val="24"/>
          <w14:textFill>
            <w14:solidFill>
              <w14:schemeClr w14:val="tx1"/>
            </w14:solidFill>
          </w14:textFill>
        </w:rPr>
        <w:t>（报价标截止日期往前推算）至少承担过1项码头交工质量检测技术服务业绩，并在人员、设备、资金等方面具有相应的服务能力。</w:t>
      </w:r>
    </w:p>
    <w:p>
      <w:pPr>
        <w:spacing w:line="360" w:lineRule="auto"/>
        <w:ind w:firstLine="480" w:firstLineChars="200"/>
        <w:rPr>
          <w:rFonts w:ascii="宋体" w:hAnsi="宋体"/>
          <w:sz w:val="24"/>
        </w:rPr>
      </w:pPr>
      <w:r>
        <w:rPr>
          <w:rFonts w:hint="eastAsia" w:ascii="宋体" w:hAnsi="宋体"/>
          <w:sz w:val="24"/>
        </w:rPr>
        <w:t>增加1.1.12承包人：指与发包人签订施工合同协议书的当事人。</w:t>
      </w:r>
    </w:p>
    <w:p>
      <w:pPr>
        <w:spacing w:line="360" w:lineRule="auto"/>
        <w:ind w:firstLine="480" w:firstLineChars="200"/>
        <w:rPr>
          <w:rFonts w:ascii="宋体" w:hAnsi="宋体"/>
          <w:sz w:val="24"/>
        </w:rPr>
      </w:pPr>
      <w:r>
        <w:rPr>
          <w:rFonts w:hint="eastAsia" w:ascii="宋体" w:hAnsi="宋体"/>
          <w:sz w:val="24"/>
        </w:rPr>
        <w:t>1.1.13设计人：指与发包人签订设计合同协议书的当事人。</w:t>
      </w:r>
    </w:p>
    <w:p>
      <w:pPr>
        <w:spacing w:line="360" w:lineRule="auto"/>
        <w:ind w:firstLine="480" w:firstLineChars="200"/>
        <w:rPr>
          <w:rFonts w:ascii="宋体" w:hAnsi="宋体"/>
          <w:sz w:val="24"/>
        </w:rPr>
      </w:pPr>
      <w:r>
        <w:rPr>
          <w:rFonts w:hint="eastAsia" w:ascii="宋体" w:hAnsi="宋体"/>
          <w:sz w:val="24"/>
        </w:rPr>
        <w:t>第</w:t>
      </w:r>
      <w:r>
        <w:rPr>
          <w:rFonts w:ascii="宋体" w:hAnsi="宋体"/>
          <w:sz w:val="24"/>
        </w:rPr>
        <w:t>2.1</w:t>
      </w:r>
      <w:r>
        <w:rPr>
          <w:rFonts w:hint="eastAsia" w:ascii="宋体" w:hAnsi="宋体"/>
          <w:sz w:val="24"/>
        </w:rPr>
        <w:t>款</w:t>
      </w:r>
    </w:p>
    <w:p>
      <w:pPr>
        <w:spacing w:line="360" w:lineRule="auto"/>
        <w:ind w:firstLine="480" w:firstLineChars="200"/>
        <w:rPr>
          <w:rFonts w:ascii="宋体" w:hAnsi="宋体"/>
          <w:color w:val="548DD4"/>
          <w:sz w:val="24"/>
        </w:rPr>
      </w:pPr>
      <w:bookmarkStart w:id="82" w:name="_Toc152042547"/>
      <w:bookmarkStart w:id="83" w:name="_Toc179632786"/>
      <w:bookmarkStart w:id="84" w:name="_Toc246996337"/>
      <w:bookmarkStart w:id="85" w:name="_Toc144974827"/>
      <w:bookmarkStart w:id="86" w:name="_Toc246997080"/>
      <w:bookmarkStart w:id="87" w:name="_Toc247085852"/>
      <w:bookmarkStart w:id="88" w:name="_Toc152045768"/>
      <w:r>
        <w:rPr>
          <w:rFonts w:hint="eastAsia" w:ascii="宋体" w:hAnsi="宋体"/>
          <w:sz w:val="24"/>
        </w:rPr>
        <w:t>2.1.1项目</w:t>
      </w:r>
      <w:r>
        <w:rPr>
          <w:rFonts w:ascii="宋体" w:hAnsi="宋体"/>
          <w:sz w:val="24"/>
        </w:rPr>
        <w:t>服务的</w:t>
      </w:r>
      <w:r>
        <w:rPr>
          <w:rFonts w:hint="eastAsia"/>
          <w:sz w:val="24"/>
        </w:rPr>
        <w:t>主要工作内容</w:t>
      </w:r>
      <w:r>
        <w:rPr>
          <w:rFonts w:hint="eastAsia" w:ascii="宋体" w:hAnsi="宋体"/>
          <w:sz w:val="24"/>
        </w:rPr>
        <w:t>：</w:t>
      </w:r>
      <w:r>
        <w:rPr>
          <w:rFonts w:ascii="宋体" w:hAnsi="宋体"/>
          <w:color w:val="548DD4"/>
          <w:sz w:val="24"/>
        </w:rPr>
        <w:t xml:space="preserv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5"/>
        <w:gridCol w:w="3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vAlign w:val="center"/>
          </w:tcPr>
          <w:p>
            <w:pPr>
              <w:spacing w:line="360" w:lineRule="auto"/>
              <w:jc w:val="center"/>
              <w:rPr>
                <w:sz w:val="24"/>
              </w:rPr>
            </w:pPr>
            <w:r>
              <w:rPr>
                <w:rFonts w:hint="eastAsia"/>
                <w:sz w:val="24"/>
              </w:rPr>
              <w:t>标段名称</w:t>
            </w:r>
          </w:p>
        </w:tc>
        <w:tc>
          <w:tcPr>
            <w:tcW w:w="3816" w:type="dxa"/>
            <w:vAlign w:val="center"/>
          </w:tcPr>
          <w:p>
            <w:pPr>
              <w:spacing w:line="360" w:lineRule="auto"/>
              <w:jc w:val="center"/>
              <w:rPr>
                <w:sz w:val="24"/>
              </w:rPr>
            </w:pPr>
            <w:r>
              <w:rPr>
                <w:rFonts w:hint="eastAsia"/>
                <w:sz w:val="24"/>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995" w:type="dxa"/>
            <w:vAlign w:val="center"/>
          </w:tcPr>
          <w:p>
            <w:pPr>
              <w:spacing w:line="360" w:lineRule="auto"/>
              <w:rPr>
                <w:sz w:val="24"/>
              </w:rPr>
            </w:pPr>
            <w:r>
              <w:rPr>
                <w:rFonts w:hint="eastAsia" w:ascii="宋体" w:hAnsi="宋体"/>
                <w:sz w:val="24"/>
              </w:rPr>
              <w:t>岳阳城陵矶港务有限责任公司码头环保提质改造二期工程第二条装车线交工质量检测服务</w:t>
            </w:r>
          </w:p>
        </w:tc>
        <w:tc>
          <w:tcPr>
            <w:tcW w:w="3816" w:type="dxa"/>
            <w:vAlign w:val="center"/>
          </w:tcPr>
          <w:p>
            <w:pPr>
              <w:spacing w:line="360" w:lineRule="auto"/>
              <w:rPr>
                <w:color w:val="FF0000"/>
                <w:sz w:val="24"/>
              </w:rPr>
            </w:pPr>
            <w:r>
              <w:rPr>
                <w:rFonts w:hint="eastAsia" w:ascii="宋体" w:hAnsi="宋体"/>
                <w:sz w:val="24"/>
                <w:highlight w:val="none"/>
              </w:rPr>
              <w:t>钢结构检测、混</w:t>
            </w:r>
            <w:r>
              <w:rPr>
                <w:rFonts w:hint="eastAsia" w:ascii="宋体" w:hAnsi="宋体"/>
                <w:sz w:val="24"/>
              </w:rPr>
              <w:t>凝土强度、混凝土保护层厚度、结构尺寸、轨道结构、地基承载力、工程质量检验资料核查、原材料检测等</w:t>
            </w:r>
          </w:p>
        </w:tc>
      </w:tr>
    </w:tbl>
    <w:p>
      <w:pPr>
        <w:spacing w:line="360" w:lineRule="auto"/>
        <w:ind w:firstLine="480" w:firstLineChars="200"/>
        <w:rPr>
          <w:rFonts w:ascii="宋体" w:hAnsi="宋体"/>
          <w:color w:val="548DD4"/>
          <w:sz w:val="24"/>
        </w:rPr>
      </w:pPr>
      <w:r>
        <w:rPr>
          <w:rFonts w:hint="eastAsia" w:ascii="宋体" w:hAnsi="宋体"/>
          <w:sz w:val="24"/>
        </w:rPr>
        <w:t>2.1.2</w:t>
      </w:r>
      <w:r>
        <w:rPr>
          <w:rFonts w:hint="eastAsia"/>
          <w:sz w:val="24"/>
        </w:rPr>
        <w:t>服务的工作范围</w:t>
      </w:r>
      <w:r>
        <w:rPr>
          <w:rFonts w:hint="eastAsia" w:ascii="宋体" w:hAnsi="宋体"/>
          <w:sz w:val="24"/>
        </w:rPr>
        <w:t>细化为</w:t>
      </w:r>
      <w:r>
        <w:rPr>
          <w:rFonts w:hint="eastAsia"/>
          <w:sz w:val="24"/>
        </w:rPr>
        <w:t>：</w:t>
      </w:r>
    </w:p>
    <w:p>
      <w:pPr>
        <w:spacing w:line="360" w:lineRule="auto"/>
        <w:rPr>
          <w:sz w:val="24"/>
        </w:rPr>
      </w:pPr>
      <w:r>
        <w:rPr>
          <w:rFonts w:hint="eastAsia"/>
          <w:sz w:val="24"/>
        </w:rPr>
        <w:t xml:space="preserve">   i.正常</w:t>
      </w:r>
      <w:r>
        <w:rPr>
          <w:sz w:val="24"/>
        </w:rPr>
        <w:t>服务的范围：</w:t>
      </w:r>
      <w:r>
        <w:rPr>
          <w:rFonts w:hint="eastAsia"/>
          <w:sz w:val="24"/>
        </w:rPr>
        <w:t>服务人必须依据现行国家或行业规范及岳阳市交通运输局水运质量监督科的检测要求完成合同约定的所有检测项目以及为保证本项目交（竣）工验收通过所新增的检测项目，保证检验、检测有关数据的真实、准确、完整、可靠和合理性。</w:t>
      </w:r>
    </w:p>
    <w:p>
      <w:pPr>
        <w:spacing w:line="360" w:lineRule="auto"/>
        <w:rPr>
          <w:sz w:val="24"/>
        </w:rPr>
      </w:pPr>
      <w:r>
        <w:rPr>
          <w:rFonts w:hint="eastAsia"/>
          <w:sz w:val="24"/>
        </w:rPr>
        <w:t>ii.附加服务的范围：为完成正常服务工作，服务人所提供的人员、材料、设备（使用、进退场）检验试验、方案编制、报告编写等所有工作均视为附加服务。</w:t>
      </w:r>
    </w:p>
    <w:p>
      <w:pPr>
        <w:spacing w:line="360" w:lineRule="auto"/>
        <w:rPr>
          <w:sz w:val="24"/>
        </w:rPr>
      </w:pPr>
      <w:r>
        <w:rPr>
          <w:rFonts w:hint="eastAsia"/>
          <w:sz w:val="24"/>
        </w:rPr>
        <w:t>iii.额外服务的范围：在本项目工程范围（见第2.1.1项所列工程名称）以外新增工程或变更工程交竣工验收检测。</w:t>
      </w:r>
    </w:p>
    <w:p>
      <w:pPr>
        <w:spacing w:line="360" w:lineRule="auto"/>
        <w:ind w:firstLine="480" w:firstLineChars="200"/>
        <w:rPr>
          <w:rFonts w:ascii="宋体" w:hAnsi="宋体"/>
          <w:sz w:val="24"/>
        </w:rPr>
      </w:pPr>
      <w:r>
        <w:rPr>
          <w:rFonts w:hint="eastAsia" w:ascii="宋体" w:hAnsi="宋体"/>
          <w:sz w:val="24"/>
        </w:rPr>
        <w:t>第</w:t>
      </w:r>
      <w:r>
        <w:rPr>
          <w:rFonts w:ascii="宋体" w:hAnsi="宋体"/>
          <w:sz w:val="24"/>
        </w:rPr>
        <w:t>2.</w:t>
      </w:r>
      <w:r>
        <w:rPr>
          <w:rFonts w:hint="eastAsia" w:ascii="宋体" w:hAnsi="宋体"/>
          <w:sz w:val="24"/>
        </w:rPr>
        <w:t>2项</w:t>
      </w:r>
      <w:r>
        <w:rPr>
          <w:rFonts w:ascii="宋体" w:hAnsi="宋体"/>
          <w:sz w:val="24"/>
        </w:rPr>
        <w:t>服务的</w:t>
      </w:r>
      <w:r>
        <w:rPr>
          <w:rFonts w:hint="eastAsia" w:ascii="宋体" w:hAnsi="宋体"/>
          <w:sz w:val="24"/>
        </w:rPr>
        <w:t>目标细化为：</w:t>
      </w:r>
      <w:r>
        <w:rPr>
          <w:rFonts w:ascii="宋体" w:hAnsi="宋体"/>
          <w:sz w:val="24"/>
        </w:rPr>
        <w:t xml:space="preserve"> </w:t>
      </w:r>
    </w:p>
    <w:p>
      <w:pPr>
        <w:spacing w:line="360" w:lineRule="auto"/>
        <w:ind w:firstLine="480" w:firstLineChars="200"/>
        <w:rPr>
          <w:sz w:val="24"/>
        </w:rPr>
      </w:pPr>
      <w:r>
        <w:rPr>
          <w:rFonts w:hint="eastAsia"/>
          <w:sz w:val="24"/>
        </w:rPr>
        <w:t>总体目标：以“客观、公正、科学、准确”为原则，“及时、高效、优质”的服务态度进行检测试验，以确保检测试验结果的“真实、可靠”性，确保本项目交（竣）工验收通过。</w:t>
      </w:r>
    </w:p>
    <w:p>
      <w:pPr>
        <w:spacing w:line="360" w:lineRule="auto"/>
        <w:ind w:firstLine="480" w:firstLineChars="200"/>
        <w:rPr>
          <w:rFonts w:ascii="宋体" w:hAnsi="宋体" w:cs="宋体"/>
          <w:bCs/>
          <w:spacing w:val="20"/>
          <w:sz w:val="24"/>
          <w:szCs w:val="21"/>
          <w:u w:val="single"/>
        </w:rPr>
      </w:pPr>
      <w:r>
        <w:rPr>
          <w:rFonts w:hint="eastAsia"/>
          <w:sz w:val="24"/>
        </w:rPr>
        <w:t>分项目标：全面了解和掌握本项目工程施工过程中的各项质量参数，及时发现工程施工中存在的各类质量问题，消除工程质量隐患（过程控制），督促承包人提高质量意识，提高本项目建设质量水平和投资效益。</w:t>
      </w:r>
    </w:p>
    <w:p>
      <w:pPr>
        <w:spacing w:line="360" w:lineRule="auto"/>
        <w:ind w:firstLine="480" w:firstLineChars="200"/>
        <w:rPr>
          <w:sz w:val="24"/>
        </w:rPr>
      </w:pPr>
      <w:r>
        <w:rPr>
          <w:rFonts w:hint="eastAsia"/>
          <w:sz w:val="24"/>
        </w:rPr>
        <w:t>2. 3.1 服务人应按照湖南省交通运输厅《公路水运工程试验检测管理办法》实施细则的规定及相关法律、法规开展服务，按要求配备完成合同所需的劳务、材料、设备和其他物品，以及按合同约定的设备等，在其检测机构《等级证书》核定的业务范围内开展试验检测工作。不具备相应试验检测能力的，应送至取得《等级证书》并具有相应检测能力的检测机构进行试验检测。</w:t>
      </w:r>
    </w:p>
    <w:p>
      <w:pPr>
        <w:spacing w:line="360" w:lineRule="auto"/>
        <w:ind w:firstLine="480" w:firstLineChars="200"/>
        <w:rPr>
          <w:sz w:val="24"/>
        </w:rPr>
      </w:pPr>
      <w:r>
        <w:rPr>
          <w:rFonts w:hint="eastAsia"/>
          <w:sz w:val="24"/>
        </w:rPr>
        <w:t>2.3.2 服务人须达到合同条款中约定的检测项目及频率要求，并为发包人对上述材料、设备和质量检测提供必要的试验资料和原始记录。按合同约定应由发包人与服务人共同进行试验和检验的，由服务人负责提供必要的试验资料和原始记录。其提供的试验检测资料要保证其真实性、可靠性和完整性。发包人对检测结论有异议的，可另行委托检测机构复检。复检结论与原检测结论相同，由发包人支付复检费用；反之，则由服务人承担复检费用，造成发包人及第三方损失的应予以全额赔偿。对复检结论仍有异议的，发包人或服务人均可向有关主管部门申请专家论证解决。</w:t>
      </w:r>
    </w:p>
    <w:p>
      <w:pPr>
        <w:spacing w:line="360" w:lineRule="auto"/>
        <w:ind w:firstLine="480" w:firstLineChars="200"/>
        <w:rPr>
          <w:sz w:val="24"/>
        </w:rPr>
      </w:pPr>
      <w:r>
        <w:rPr>
          <w:rFonts w:hint="eastAsia"/>
          <w:sz w:val="24"/>
        </w:rPr>
        <w:t>2.3.3检测试验工作要求</w:t>
      </w:r>
    </w:p>
    <w:p>
      <w:pPr>
        <w:spacing w:line="360" w:lineRule="auto"/>
        <w:ind w:firstLine="480" w:firstLineChars="200"/>
        <w:rPr>
          <w:sz w:val="24"/>
        </w:rPr>
      </w:pPr>
      <w:r>
        <w:rPr>
          <w:rFonts w:hint="eastAsia"/>
          <w:sz w:val="24"/>
        </w:rPr>
        <w:t>（1）以“客观公正、科学准确、服务规范”为质量方针，为发包人及工程质量监督机构提供可靠的数据、真实客观的工程质量评价及高质量的服务；</w:t>
      </w:r>
    </w:p>
    <w:p>
      <w:pPr>
        <w:spacing w:line="360" w:lineRule="auto"/>
        <w:ind w:firstLine="480" w:firstLineChars="200"/>
        <w:rPr>
          <w:sz w:val="24"/>
        </w:rPr>
      </w:pPr>
      <w:r>
        <w:rPr>
          <w:rFonts w:hint="eastAsia"/>
          <w:sz w:val="24"/>
        </w:rPr>
        <w:t>（2）服务人是具有独立法人地位、独立开展业务并承担相应法律责任的机构，从事的检测试验工作，不应受任何行政、经济和其他方面的干预。</w:t>
      </w:r>
    </w:p>
    <w:p>
      <w:pPr>
        <w:spacing w:line="360" w:lineRule="auto"/>
        <w:ind w:firstLine="480" w:firstLineChars="200"/>
        <w:rPr>
          <w:sz w:val="24"/>
        </w:rPr>
      </w:pPr>
      <w:r>
        <w:rPr>
          <w:rFonts w:hint="eastAsia"/>
          <w:sz w:val="24"/>
        </w:rPr>
        <w:t>（3）服务人检测试验人员必须做到文明检测、规范服务、严守法纪、遵规守制。若工作中出现弄虚作假和徇私舞弊的情况，一经查实将按国家有关规定严肃处理。</w:t>
      </w:r>
    </w:p>
    <w:p>
      <w:pPr>
        <w:spacing w:line="360" w:lineRule="auto"/>
        <w:ind w:firstLine="480" w:firstLineChars="200"/>
        <w:rPr>
          <w:sz w:val="24"/>
        </w:rPr>
      </w:pPr>
      <w:r>
        <w:rPr>
          <w:rFonts w:hint="eastAsia"/>
          <w:sz w:val="24"/>
        </w:rPr>
        <w:t>（4）现场配置专业巡视员，以随时掌握工程动态信息，及时与发包人和本工程承包人和监理人等单位衔接；</w:t>
      </w:r>
    </w:p>
    <w:p>
      <w:pPr>
        <w:spacing w:line="360" w:lineRule="auto"/>
        <w:ind w:firstLine="480" w:firstLineChars="200"/>
        <w:outlineLvl w:val="0"/>
        <w:rPr>
          <w:sz w:val="24"/>
        </w:rPr>
      </w:pPr>
      <w:bookmarkStart w:id="89" w:name="_Toc4050"/>
      <w:bookmarkStart w:id="90" w:name="_Toc25473"/>
      <w:r>
        <w:rPr>
          <w:rFonts w:hint="eastAsia"/>
          <w:sz w:val="24"/>
        </w:rPr>
        <w:t>2.3.4检测试验成果</w:t>
      </w:r>
      <w:bookmarkEnd w:id="89"/>
      <w:bookmarkEnd w:id="90"/>
    </w:p>
    <w:p>
      <w:pPr>
        <w:spacing w:line="360" w:lineRule="auto"/>
        <w:ind w:firstLine="480" w:firstLineChars="200"/>
        <w:rPr>
          <w:sz w:val="24"/>
        </w:rPr>
      </w:pPr>
      <w:r>
        <w:rPr>
          <w:rFonts w:hint="eastAsia"/>
          <w:sz w:val="24"/>
        </w:rPr>
        <w:t>（1）当日检测试验结果在检测试验、数据整理分析完毕后，服务人应当天以电子版形式向发包人报告。如遇检测试验结果不满足相关标准规范要求，服务人应在2小时内以书面形式及时通知发包人，做到检测试验结果及时、有效性。检测试验成果由服务人向发包人实施月报制度。</w:t>
      </w:r>
    </w:p>
    <w:p>
      <w:pPr>
        <w:spacing w:line="360" w:lineRule="auto"/>
        <w:ind w:firstLine="480" w:firstLineChars="200"/>
        <w:outlineLvl w:val="0"/>
        <w:rPr>
          <w:sz w:val="24"/>
        </w:rPr>
      </w:pPr>
      <w:bookmarkStart w:id="91" w:name="_Toc31764"/>
      <w:bookmarkStart w:id="92" w:name="_Toc31240"/>
      <w:r>
        <w:rPr>
          <w:rFonts w:hint="eastAsia"/>
          <w:sz w:val="24"/>
        </w:rPr>
        <w:t>（2）检测试验成果不得出现结论性的差错，其他差错率低于1%；</w:t>
      </w:r>
      <w:bookmarkEnd w:id="91"/>
      <w:bookmarkEnd w:id="92"/>
    </w:p>
    <w:p>
      <w:pPr>
        <w:spacing w:line="360" w:lineRule="auto"/>
        <w:ind w:firstLine="480" w:firstLineChars="200"/>
        <w:rPr>
          <w:sz w:val="24"/>
        </w:rPr>
      </w:pPr>
      <w:r>
        <w:rPr>
          <w:rFonts w:hint="eastAsia"/>
          <w:sz w:val="24"/>
        </w:rPr>
        <w:t>（3）坚持检测质量第一的原则，严格依据国家有关法律、法规和标准、规范、规程进行试验检测，确保检测结果和检测报告真实、科学、可靠。</w:t>
      </w:r>
    </w:p>
    <w:p>
      <w:pPr>
        <w:spacing w:line="360" w:lineRule="auto"/>
        <w:ind w:firstLine="480" w:firstLineChars="200"/>
        <w:rPr>
          <w:sz w:val="24"/>
        </w:rPr>
      </w:pPr>
      <w:r>
        <w:rPr>
          <w:rFonts w:hint="eastAsia"/>
          <w:sz w:val="24"/>
        </w:rPr>
        <w:t>（4）服务人全体工作人员严格遵守资料保密原则，切实维护发包人的权益。</w:t>
      </w:r>
    </w:p>
    <w:p>
      <w:pPr>
        <w:spacing w:line="360" w:lineRule="auto"/>
        <w:ind w:firstLine="480" w:firstLineChars="200"/>
        <w:outlineLvl w:val="0"/>
        <w:rPr>
          <w:sz w:val="24"/>
        </w:rPr>
      </w:pPr>
      <w:bookmarkStart w:id="93" w:name="_Toc5709"/>
      <w:bookmarkStart w:id="94" w:name="_Toc236564361"/>
      <w:bookmarkStart w:id="95" w:name="_Toc235754358"/>
      <w:bookmarkStart w:id="96" w:name="_Toc5313"/>
      <w:r>
        <w:rPr>
          <w:rFonts w:hint="eastAsia"/>
          <w:sz w:val="24"/>
        </w:rPr>
        <w:t>2.3.5后续服务</w:t>
      </w:r>
      <w:bookmarkEnd w:id="93"/>
      <w:bookmarkEnd w:id="94"/>
      <w:bookmarkEnd w:id="95"/>
      <w:bookmarkEnd w:id="96"/>
    </w:p>
    <w:p>
      <w:pPr>
        <w:spacing w:line="360" w:lineRule="auto"/>
        <w:ind w:firstLine="480" w:firstLineChars="200"/>
        <w:rPr>
          <w:sz w:val="24"/>
        </w:rPr>
      </w:pPr>
      <w:r>
        <w:rPr>
          <w:rFonts w:hint="eastAsia"/>
          <w:sz w:val="24"/>
        </w:rPr>
        <w:t>（1）免费为发包人、监理人提供本工程检测试验有关技术咨询服务。</w:t>
      </w:r>
    </w:p>
    <w:p>
      <w:pPr>
        <w:spacing w:line="360" w:lineRule="auto"/>
        <w:ind w:firstLine="480" w:firstLineChars="200"/>
        <w:rPr>
          <w:sz w:val="24"/>
        </w:rPr>
      </w:pPr>
      <w:r>
        <w:rPr>
          <w:rFonts w:hint="eastAsia"/>
          <w:sz w:val="24"/>
        </w:rPr>
        <w:t>（2）对工程质量存在问题的项目进行跟踪检测，确保工程质量满足正常使用要求。</w:t>
      </w:r>
    </w:p>
    <w:p>
      <w:pPr>
        <w:spacing w:line="360" w:lineRule="auto"/>
        <w:ind w:firstLine="480" w:firstLineChars="200"/>
        <w:rPr>
          <w:sz w:val="24"/>
        </w:rPr>
      </w:pPr>
      <w:r>
        <w:rPr>
          <w:rFonts w:hint="eastAsia"/>
          <w:sz w:val="24"/>
        </w:rPr>
        <w:t>及时配合发包人另行委托的其它检测试验工作。</w:t>
      </w:r>
    </w:p>
    <w:p>
      <w:pPr>
        <w:spacing w:line="360" w:lineRule="auto"/>
        <w:outlineLvl w:val="0"/>
        <w:rPr>
          <w:rFonts w:ascii="宋体" w:hAnsi="宋体" w:cs="宋体"/>
          <w:b/>
          <w:spacing w:val="20"/>
          <w:szCs w:val="21"/>
        </w:rPr>
      </w:pPr>
      <w:bookmarkStart w:id="97" w:name="_Toc493143949"/>
      <w:bookmarkStart w:id="98" w:name="_Toc3611"/>
      <w:bookmarkStart w:id="99" w:name="_Toc23632"/>
      <w:r>
        <w:rPr>
          <w:rFonts w:hint="eastAsia" w:ascii="宋体" w:hAnsi="宋体" w:cs="宋体"/>
          <w:b/>
          <w:spacing w:val="20"/>
          <w:szCs w:val="21"/>
        </w:rPr>
        <w:t>7．服务的费用与支付</w:t>
      </w:r>
      <w:bookmarkEnd w:id="97"/>
      <w:bookmarkEnd w:id="98"/>
      <w:bookmarkEnd w:id="99"/>
    </w:p>
    <w:p>
      <w:pPr>
        <w:spacing w:line="360" w:lineRule="auto"/>
        <w:ind w:firstLine="480" w:firstLineChars="200"/>
        <w:rPr>
          <w:sz w:val="24"/>
        </w:rPr>
      </w:pPr>
      <w:r>
        <w:rPr>
          <w:rFonts w:hint="eastAsia"/>
          <w:sz w:val="24"/>
        </w:rPr>
        <w:t>7.4 支付</w:t>
      </w:r>
    </w:p>
    <w:p>
      <w:pPr>
        <w:spacing w:line="360" w:lineRule="auto"/>
        <w:ind w:firstLine="480" w:firstLineChars="200"/>
        <w:rPr>
          <w:sz w:val="24"/>
        </w:rPr>
      </w:pPr>
      <w:r>
        <w:rPr>
          <w:rFonts w:hint="eastAsia"/>
          <w:sz w:val="24"/>
        </w:rPr>
        <w:t>7.4.1 动员预付费</w:t>
      </w:r>
    </w:p>
    <w:p>
      <w:pPr>
        <w:spacing w:line="360" w:lineRule="auto"/>
        <w:ind w:firstLine="480" w:firstLineChars="200"/>
        <w:rPr>
          <w:sz w:val="24"/>
        </w:rPr>
      </w:pPr>
      <w:r>
        <w:rPr>
          <w:rFonts w:hint="eastAsia"/>
          <w:sz w:val="24"/>
        </w:rPr>
        <w:t>本合同无动员预付款。</w:t>
      </w:r>
    </w:p>
    <w:p>
      <w:pPr>
        <w:spacing w:line="360" w:lineRule="auto"/>
        <w:ind w:firstLine="480" w:firstLineChars="200"/>
        <w:rPr>
          <w:sz w:val="24"/>
        </w:rPr>
      </w:pPr>
      <w:r>
        <w:rPr>
          <w:rFonts w:hint="eastAsia"/>
          <w:sz w:val="24"/>
        </w:rPr>
        <w:t>7.4.2 履约保证金</w:t>
      </w:r>
    </w:p>
    <w:p>
      <w:pPr>
        <w:spacing w:line="360" w:lineRule="auto"/>
        <w:ind w:firstLine="480" w:firstLineChars="200"/>
        <w:rPr>
          <w:sz w:val="24"/>
        </w:rPr>
      </w:pPr>
      <w:r>
        <w:rPr>
          <w:rFonts w:hint="eastAsia"/>
          <w:sz w:val="24"/>
        </w:rPr>
        <w:t>本款约定为：不需要</w:t>
      </w:r>
    </w:p>
    <w:p>
      <w:pPr>
        <w:spacing w:line="360" w:lineRule="auto"/>
        <w:ind w:firstLine="502" w:firstLineChars="200"/>
        <w:rPr>
          <w:rFonts w:ascii="宋体" w:hAnsi="宋体" w:cs="宋体"/>
          <w:b/>
          <w:spacing w:val="20"/>
          <w:szCs w:val="21"/>
        </w:rPr>
      </w:pPr>
      <w:r>
        <w:rPr>
          <w:rFonts w:hint="eastAsia" w:ascii="宋体" w:hAnsi="宋体" w:cs="宋体"/>
          <w:b/>
          <w:spacing w:val="20"/>
          <w:szCs w:val="21"/>
        </w:rPr>
        <w:t>7.4.5项发包人采用的支付方式与支付内容项细化为：</w:t>
      </w:r>
    </w:p>
    <w:p>
      <w:pPr>
        <w:spacing w:line="360" w:lineRule="auto"/>
        <w:ind w:firstLine="480" w:firstLineChars="200"/>
        <w:rPr>
          <w:color w:val="FF0000"/>
          <w:sz w:val="24"/>
          <w:highlight w:val="none"/>
        </w:rPr>
      </w:pPr>
      <w:r>
        <w:rPr>
          <w:rFonts w:hint="eastAsia"/>
          <w:sz w:val="24"/>
        </w:rPr>
        <w:t>本合同采用总价包干合同，其总金额是完成本合同所规定义务的一切费用，由服务人包干使用。在合同实施期间，除非在合同条款中另有规定，合同总价费用不随国家政策或法规、标准</w:t>
      </w:r>
      <w:r>
        <w:rPr>
          <w:rFonts w:hint="eastAsia"/>
          <w:sz w:val="24"/>
          <w:highlight w:val="none"/>
        </w:rPr>
        <w:t>及市场因素的变化而进行调整，不因检测项目及检测数量的增加而调整。</w:t>
      </w:r>
    </w:p>
    <w:p>
      <w:pPr>
        <w:spacing w:line="360" w:lineRule="auto"/>
        <w:ind w:firstLine="480" w:firstLineChars="200"/>
        <w:rPr>
          <w:sz w:val="24"/>
          <w:highlight w:val="none"/>
        </w:rPr>
      </w:pPr>
      <w:r>
        <w:rPr>
          <w:sz w:val="24"/>
          <w:highlight w:val="none"/>
        </w:rPr>
        <w:t>按照实际完成进度支付</w:t>
      </w:r>
      <w:r>
        <w:rPr>
          <w:rFonts w:hint="eastAsia"/>
          <w:sz w:val="24"/>
          <w:highlight w:val="none"/>
        </w:rPr>
        <w:t>，</w:t>
      </w:r>
      <w:r>
        <w:rPr>
          <w:sz w:val="24"/>
          <w:highlight w:val="none"/>
        </w:rPr>
        <w:t>每</w:t>
      </w:r>
      <w:r>
        <w:rPr>
          <w:rFonts w:hint="eastAsia"/>
          <w:sz w:val="24"/>
          <w:highlight w:val="none"/>
        </w:rPr>
        <w:t>3个月支付一次。</w:t>
      </w:r>
    </w:p>
    <w:p>
      <w:pPr>
        <w:spacing w:line="360" w:lineRule="auto"/>
        <w:outlineLvl w:val="0"/>
        <w:rPr>
          <w:rFonts w:ascii="宋体" w:hAnsi="宋体" w:cs="宋体"/>
          <w:b/>
          <w:spacing w:val="20"/>
          <w:szCs w:val="21"/>
          <w:highlight w:val="none"/>
        </w:rPr>
      </w:pPr>
      <w:bookmarkStart w:id="100" w:name="_Toc22574"/>
      <w:bookmarkStart w:id="101" w:name="_Toc30509"/>
      <w:r>
        <w:rPr>
          <w:rFonts w:hint="eastAsia" w:ascii="宋体" w:hAnsi="宋体" w:cs="宋体"/>
          <w:b/>
          <w:spacing w:val="20"/>
          <w:szCs w:val="21"/>
          <w:highlight w:val="none"/>
        </w:rPr>
        <w:t>9.争端的解决</w:t>
      </w:r>
      <w:bookmarkEnd w:id="100"/>
      <w:bookmarkEnd w:id="101"/>
    </w:p>
    <w:p>
      <w:pPr>
        <w:spacing w:line="360" w:lineRule="auto"/>
        <w:ind w:firstLine="480" w:firstLineChars="200"/>
        <w:rPr>
          <w:rFonts w:ascii="宋体" w:hAnsi="宋体" w:cs="宋体"/>
          <w:spacing w:val="20"/>
          <w:szCs w:val="21"/>
        </w:rPr>
      </w:pPr>
      <w:r>
        <w:rPr>
          <w:rFonts w:hint="eastAsia"/>
          <w:sz w:val="24"/>
        </w:rPr>
        <w:t>仲裁机构名称：岳阳仲裁委员会</w:t>
      </w:r>
      <w:r>
        <w:rPr>
          <w:rFonts w:hint="eastAsia" w:ascii="宋体" w:hAnsi="宋体" w:cs="宋体"/>
          <w:spacing w:val="20"/>
          <w:szCs w:val="21"/>
        </w:rPr>
        <w:t>。</w:t>
      </w:r>
    </w:p>
    <w:p>
      <w:pPr>
        <w:spacing w:line="360" w:lineRule="auto"/>
        <w:outlineLvl w:val="0"/>
        <w:rPr>
          <w:rFonts w:ascii="宋体" w:hAnsi="宋体" w:cs="宋体"/>
          <w:b/>
          <w:spacing w:val="20"/>
          <w:szCs w:val="21"/>
        </w:rPr>
      </w:pPr>
      <w:bookmarkStart w:id="102" w:name="_Toc24450"/>
      <w:bookmarkStart w:id="103" w:name="_Toc7956"/>
      <w:r>
        <w:rPr>
          <w:rFonts w:hint="eastAsia" w:ascii="宋体" w:hAnsi="宋体" w:cs="宋体"/>
          <w:b/>
          <w:spacing w:val="20"/>
          <w:szCs w:val="21"/>
        </w:rPr>
        <w:t>10.责任和保障</w:t>
      </w:r>
      <w:bookmarkEnd w:id="102"/>
      <w:bookmarkEnd w:id="103"/>
    </w:p>
    <w:p>
      <w:pPr>
        <w:spacing w:line="360" w:lineRule="auto"/>
        <w:ind w:firstLine="480" w:firstLineChars="200"/>
        <w:rPr>
          <w:sz w:val="24"/>
        </w:rPr>
      </w:pPr>
      <w:r>
        <w:rPr>
          <w:rFonts w:hint="eastAsia"/>
          <w:sz w:val="24"/>
        </w:rPr>
        <w:t>10.1 服务人的违约及赔偿责任</w:t>
      </w:r>
    </w:p>
    <w:p>
      <w:pPr>
        <w:spacing w:line="360" w:lineRule="auto"/>
        <w:ind w:firstLine="480" w:firstLineChars="200"/>
        <w:rPr>
          <w:sz w:val="24"/>
        </w:rPr>
      </w:pPr>
      <w:r>
        <w:rPr>
          <w:rFonts w:hint="eastAsia"/>
          <w:sz w:val="24"/>
        </w:rPr>
        <w:t>发生5.1.1目的情形时，发包人视情节轻重向服务人处以10万元的违约金，并上报上级部门进行行政处罚；</w:t>
      </w:r>
    </w:p>
    <w:p>
      <w:pPr>
        <w:spacing w:line="360" w:lineRule="auto"/>
        <w:ind w:firstLine="480" w:firstLineChars="200"/>
        <w:rPr>
          <w:sz w:val="24"/>
        </w:rPr>
      </w:pPr>
      <w:r>
        <w:rPr>
          <w:rFonts w:hint="eastAsia"/>
          <w:sz w:val="24"/>
        </w:rPr>
        <w:t>发生5.1.2目的情形时，发包人将对服务人处以2万/人.次（设备.台次）的违约金；擅自缺岗发包人将对服务人处以1000元/人.天的违约金。</w:t>
      </w:r>
    </w:p>
    <w:p>
      <w:pPr>
        <w:spacing w:line="360" w:lineRule="auto"/>
        <w:ind w:firstLine="480" w:firstLineChars="200"/>
        <w:rPr>
          <w:sz w:val="24"/>
        </w:rPr>
      </w:pPr>
      <w:r>
        <w:rPr>
          <w:rFonts w:hint="eastAsia"/>
          <w:sz w:val="24"/>
        </w:rPr>
        <w:t>发生5.1.3目所述情况，发包人将对服务人处以2万/人.次的违约金，并要求服务人更换此服务人员。因服务人员失职而造成服务返工的，发包人将对服务人处以5万/次的违约金，返工造成的经济损失达100万元及以上，发包人将对服务人处以10万/次的违约金，造成重大质量、安全事故的，发包人将对服务人处以5.5条款约定的违约金，并依法追究其法律责任；有违法所得的，还按此服务人员所得金额双倍再处以服务人违约金，触犯国家法律的，依法移交司法机关处理；</w:t>
      </w:r>
    </w:p>
    <w:p>
      <w:pPr>
        <w:spacing w:line="360" w:lineRule="auto"/>
        <w:ind w:firstLine="480" w:firstLineChars="200"/>
        <w:rPr>
          <w:sz w:val="24"/>
        </w:rPr>
      </w:pPr>
      <w:r>
        <w:rPr>
          <w:rFonts w:hint="eastAsia"/>
          <w:sz w:val="24"/>
        </w:rPr>
        <w:t>发生5.1.4目所述情况，发包人将对服务人处以5万/人.次的违约金，在14天以内未整改到位的发包人将对服务人处以10万元/次的违约金并有权终止合同。</w:t>
      </w:r>
    </w:p>
    <w:p>
      <w:pPr>
        <w:spacing w:line="360" w:lineRule="auto"/>
        <w:ind w:firstLine="480" w:firstLineChars="200"/>
        <w:rPr>
          <w:sz w:val="24"/>
        </w:rPr>
      </w:pPr>
      <w:r>
        <w:rPr>
          <w:rFonts w:hint="eastAsia"/>
          <w:sz w:val="24"/>
        </w:rPr>
        <w:t>发生5.1.5、5.1.6目所述情况，发包人将对服务人处以10万/次的违约金，在14天以内未整改到位的发包人将对服务人处以20万元/次的违约金并有权终止合同。</w:t>
      </w:r>
    </w:p>
    <w:p>
      <w:pPr>
        <w:spacing w:line="360" w:lineRule="auto"/>
        <w:ind w:firstLine="480" w:firstLineChars="200"/>
        <w:rPr>
          <w:sz w:val="24"/>
        </w:rPr>
      </w:pPr>
      <w:r>
        <w:rPr>
          <w:rFonts w:hint="eastAsia"/>
          <w:sz w:val="24"/>
        </w:rPr>
        <w:t>服务人违反上述约定应承担的违约责任，发包人将上报上级部门，将服务人违约行为纳入信用信息管理系统。</w:t>
      </w:r>
    </w:p>
    <w:p>
      <w:pPr>
        <w:spacing w:line="360" w:lineRule="auto"/>
        <w:outlineLvl w:val="0"/>
        <w:rPr>
          <w:rFonts w:ascii="宋体" w:hAnsi="宋体" w:cs="宋体"/>
          <w:b/>
          <w:spacing w:val="20"/>
          <w:szCs w:val="21"/>
        </w:rPr>
      </w:pPr>
      <w:bookmarkStart w:id="104" w:name="_Toc16470"/>
      <w:bookmarkStart w:id="105" w:name="_Toc16655"/>
      <w:r>
        <w:rPr>
          <w:rFonts w:hint="eastAsia" w:ascii="宋体" w:hAnsi="宋体" w:cs="宋体"/>
          <w:b/>
          <w:spacing w:val="20"/>
          <w:szCs w:val="21"/>
        </w:rPr>
        <w:t>11.其他</w:t>
      </w:r>
      <w:bookmarkEnd w:id="104"/>
      <w:bookmarkEnd w:id="105"/>
    </w:p>
    <w:p>
      <w:pPr>
        <w:spacing w:line="360" w:lineRule="auto"/>
        <w:ind w:firstLine="480" w:firstLineChars="200"/>
        <w:rPr>
          <w:sz w:val="24"/>
        </w:rPr>
      </w:pPr>
      <w:r>
        <w:rPr>
          <w:rFonts w:hint="eastAsia"/>
          <w:sz w:val="24"/>
        </w:rPr>
        <w:t>如果由于服务人的原因影响了本项目服务的进度或质量而导致服务人无法在预计服务期内完成本服务项目时，发包人或上级行业主管部门有权拒绝接受服务在下一招标周期在湖南省水运工程中所有试验检测项目的投标。</w:t>
      </w:r>
    </w:p>
    <w:p>
      <w:pPr>
        <w:pStyle w:val="7"/>
        <w:jc w:val="center"/>
      </w:pPr>
      <w:bookmarkStart w:id="106" w:name="_Toc32056"/>
      <w:r>
        <w:rPr>
          <w:rFonts w:hint="eastAsia"/>
        </w:rPr>
        <w:t>三、附件（中标后填写）</w:t>
      </w:r>
      <w:bookmarkEnd w:id="106"/>
    </w:p>
    <w:p>
      <w:pPr>
        <w:pStyle w:val="8"/>
      </w:pPr>
      <w:bookmarkStart w:id="107" w:name="_Toc4098"/>
      <w:r>
        <w:rPr>
          <w:rFonts w:hint="eastAsia"/>
        </w:rPr>
        <w:t>附件一：合同协议书</w:t>
      </w:r>
      <w:bookmarkEnd w:id="82"/>
      <w:bookmarkEnd w:id="83"/>
      <w:bookmarkEnd w:id="84"/>
      <w:bookmarkEnd w:id="85"/>
      <w:bookmarkEnd w:id="86"/>
      <w:bookmarkEnd w:id="87"/>
      <w:bookmarkEnd w:id="88"/>
      <w:bookmarkEnd w:id="107"/>
    </w:p>
    <w:p>
      <w:pPr>
        <w:spacing w:line="440" w:lineRule="exact"/>
        <w:jc w:val="center"/>
        <w:rPr>
          <w:rFonts w:ascii="黑体" w:hAnsi="黑体" w:eastAsia="黑体"/>
          <w:b/>
          <w:color w:val="000000"/>
          <w:kern w:val="0"/>
          <w:sz w:val="32"/>
          <w:szCs w:val="32"/>
        </w:rPr>
      </w:pPr>
      <w:r>
        <w:rPr>
          <w:rFonts w:ascii="黑体" w:hAnsi="黑体" w:eastAsia="黑体"/>
          <w:b/>
          <w:color w:val="000000"/>
          <w:kern w:val="0"/>
          <w:sz w:val="32"/>
          <w:szCs w:val="32"/>
        </w:rPr>
        <w:t>合同协议书</w:t>
      </w:r>
    </w:p>
    <w:p>
      <w:pPr>
        <w:spacing w:line="360" w:lineRule="auto"/>
        <w:ind w:firstLine="480" w:firstLineChars="200"/>
        <w:rPr>
          <w:sz w:val="24"/>
        </w:rPr>
      </w:pPr>
    </w:p>
    <w:p>
      <w:pPr>
        <w:spacing w:line="360" w:lineRule="auto"/>
        <w:ind w:firstLine="480" w:firstLineChars="200"/>
        <w:rPr>
          <w:sz w:val="24"/>
        </w:rPr>
      </w:pPr>
      <w:r>
        <w:rPr>
          <w:sz w:val="24"/>
        </w:rPr>
        <w:t>（发包人名称，以下简称“发包人”）为实施（项目</w:t>
      </w:r>
      <w:r>
        <w:rPr>
          <w:rFonts w:hint="eastAsia"/>
          <w:sz w:val="24"/>
        </w:rPr>
        <w:t>服务</w:t>
      </w:r>
      <w:r>
        <w:rPr>
          <w:sz w:val="24"/>
        </w:rPr>
        <w:t>名称）</w:t>
      </w:r>
      <w:r>
        <w:rPr>
          <w:rFonts w:hint="eastAsia"/>
          <w:sz w:val="24"/>
        </w:rPr>
        <w:t>岳阳城陵矶港务有限责任公司码头环保提质改造二期工程第二条装车线交工质量检测服务</w:t>
      </w:r>
      <w:r>
        <w:rPr>
          <w:sz w:val="24"/>
        </w:rPr>
        <w:t>，已接受（</w:t>
      </w:r>
      <w:r>
        <w:rPr>
          <w:rFonts w:hint="eastAsia"/>
          <w:sz w:val="24"/>
        </w:rPr>
        <w:t>服务</w:t>
      </w:r>
      <w:r>
        <w:rPr>
          <w:sz w:val="24"/>
        </w:rPr>
        <w:t>人名称，以下简称“服务人”）对该项目</w:t>
      </w:r>
      <w:r>
        <w:rPr>
          <w:rFonts w:hint="eastAsia"/>
          <w:sz w:val="24"/>
        </w:rPr>
        <w:t>的</w:t>
      </w:r>
      <w:r>
        <w:rPr>
          <w:sz w:val="24"/>
        </w:rPr>
        <w:t>投标。发包人和服务人共同达成如下协议。</w:t>
      </w:r>
    </w:p>
    <w:p>
      <w:pPr>
        <w:spacing w:line="360" w:lineRule="auto"/>
        <w:ind w:firstLine="480" w:firstLineChars="200"/>
        <w:rPr>
          <w:sz w:val="24"/>
        </w:rPr>
      </w:pPr>
      <w:bookmarkStart w:id="108" w:name="_Toc152042548"/>
      <w:bookmarkStart w:id="109" w:name="_Toc144974828"/>
      <w:r>
        <w:rPr>
          <w:sz w:val="24"/>
        </w:rPr>
        <w:t>1</w:t>
      </w:r>
      <w:r>
        <w:rPr>
          <w:rFonts w:hint="eastAsia"/>
          <w:sz w:val="24"/>
        </w:rPr>
        <w:t>．下列文件应被视为构成并作为阅读和理解本协议书的组成部分，即</w:t>
      </w:r>
      <w:r>
        <w:rPr>
          <w:sz w:val="24"/>
        </w:rPr>
        <w:t>：</w:t>
      </w:r>
      <w:bookmarkEnd w:id="108"/>
      <w:bookmarkEnd w:id="109"/>
    </w:p>
    <w:p>
      <w:pPr>
        <w:spacing w:line="360" w:lineRule="auto"/>
        <w:ind w:firstLine="480" w:firstLineChars="200"/>
        <w:rPr>
          <w:sz w:val="24"/>
        </w:rPr>
      </w:pPr>
      <w:bookmarkStart w:id="110" w:name="_Toc1556"/>
      <w:bookmarkStart w:id="111" w:name="_Toc1224"/>
      <w:r>
        <w:rPr>
          <w:rFonts w:hint="eastAsia"/>
          <w:sz w:val="24"/>
        </w:rPr>
        <w:t>（</w:t>
      </w:r>
      <w:r>
        <w:rPr>
          <w:sz w:val="24"/>
        </w:rPr>
        <w:t>1</w:t>
      </w:r>
      <w:r>
        <w:rPr>
          <w:rFonts w:hint="eastAsia"/>
          <w:sz w:val="24"/>
        </w:rPr>
        <w:t>）在合同履行期间，发包人和服务人签订的补充协议（如果有）；</w:t>
      </w:r>
      <w:bookmarkEnd w:id="110"/>
      <w:bookmarkEnd w:id="111"/>
    </w:p>
    <w:p>
      <w:pPr>
        <w:spacing w:line="360" w:lineRule="auto"/>
        <w:ind w:firstLine="480" w:firstLineChars="200"/>
        <w:rPr>
          <w:sz w:val="24"/>
        </w:rPr>
      </w:pPr>
      <w:r>
        <w:rPr>
          <w:rFonts w:hint="eastAsia"/>
          <w:sz w:val="24"/>
        </w:rPr>
        <w:t>（2）本合同协议书及合同附件（含合同谈判中澄清文件，如果有）；</w:t>
      </w:r>
    </w:p>
    <w:p>
      <w:pPr>
        <w:spacing w:line="360" w:lineRule="auto"/>
        <w:ind w:firstLine="480" w:firstLineChars="200"/>
        <w:rPr>
          <w:sz w:val="24"/>
        </w:rPr>
      </w:pPr>
      <w:r>
        <w:rPr>
          <w:rFonts w:hint="eastAsia"/>
          <w:sz w:val="24"/>
        </w:rPr>
        <w:t>（3）成交</w:t>
      </w:r>
      <w:r>
        <w:rPr>
          <w:sz w:val="24"/>
        </w:rPr>
        <w:t>通知书；</w:t>
      </w:r>
    </w:p>
    <w:p>
      <w:pPr>
        <w:spacing w:line="360" w:lineRule="auto"/>
        <w:ind w:firstLine="480" w:firstLineChars="200"/>
        <w:rPr>
          <w:sz w:val="24"/>
        </w:rPr>
      </w:pPr>
      <w:r>
        <w:rPr>
          <w:rFonts w:hint="eastAsia"/>
          <w:sz w:val="24"/>
        </w:rPr>
        <w:t>（4）响应文件；</w:t>
      </w:r>
    </w:p>
    <w:p>
      <w:pPr>
        <w:spacing w:line="360" w:lineRule="auto"/>
        <w:ind w:firstLine="480" w:firstLineChars="200"/>
        <w:rPr>
          <w:sz w:val="24"/>
        </w:rPr>
      </w:pPr>
      <w:r>
        <w:rPr>
          <w:rFonts w:hint="eastAsia"/>
          <w:sz w:val="24"/>
        </w:rPr>
        <w:t>（5）</w:t>
      </w:r>
      <w:r>
        <w:rPr>
          <w:sz w:val="24"/>
        </w:rPr>
        <w:t>合同条款；</w:t>
      </w:r>
    </w:p>
    <w:p>
      <w:pPr>
        <w:spacing w:line="360" w:lineRule="auto"/>
        <w:ind w:firstLine="480" w:firstLineChars="200"/>
        <w:rPr>
          <w:sz w:val="24"/>
        </w:rPr>
      </w:pPr>
      <w:r>
        <w:rPr>
          <w:rFonts w:hint="eastAsia"/>
          <w:sz w:val="24"/>
        </w:rPr>
        <w:t>（6）合同附件；</w:t>
      </w:r>
    </w:p>
    <w:p>
      <w:pPr>
        <w:spacing w:line="360" w:lineRule="auto"/>
        <w:ind w:firstLine="480" w:firstLineChars="200"/>
        <w:rPr>
          <w:sz w:val="24"/>
        </w:rPr>
      </w:pPr>
      <w:r>
        <w:rPr>
          <w:rFonts w:hint="eastAsia"/>
          <w:sz w:val="24"/>
        </w:rPr>
        <w:t>（7）双方签认的补充或修正文件</w:t>
      </w:r>
      <w:r>
        <w:rPr>
          <w:sz w:val="24"/>
        </w:rPr>
        <w:t>。</w:t>
      </w:r>
    </w:p>
    <w:p>
      <w:pPr>
        <w:spacing w:line="360" w:lineRule="auto"/>
        <w:ind w:firstLine="480" w:firstLineChars="200"/>
        <w:rPr>
          <w:sz w:val="24"/>
        </w:rPr>
      </w:pPr>
      <w:bookmarkStart w:id="112" w:name="_Toc144974829"/>
      <w:bookmarkStart w:id="113" w:name="_Toc152042549"/>
      <w:r>
        <w:rPr>
          <w:sz w:val="24"/>
        </w:rPr>
        <w:t>上述文件互相补充和解释，如有不明确或不一致之处，</w:t>
      </w:r>
      <w:r>
        <w:rPr>
          <w:rFonts w:hint="eastAsia"/>
          <w:sz w:val="24"/>
        </w:rPr>
        <w:t>按时间顺序以最新文件</w:t>
      </w:r>
      <w:r>
        <w:rPr>
          <w:sz w:val="24"/>
        </w:rPr>
        <w:t>为准。</w:t>
      </w:r>
      <w:bookmarkEnd w:id="112"/>
      <w:bookmarkEnd w:id="113"/>
    </w:p>
    <w:p>
      <w:pPr>
        <w:spacing w:line="360" w:lineRule="auto"/>
        <w:ind w:firstLine="480" w:firstLineChars="200"/>
        <w:rPr>
          <w:sz w:val="24"/>
        </w:rPr>
      </w:pPr>
      <w:r>
        <w:rPr>
          <w:rFonts w:hint="eastAsia"/>
          <w:sz w:val="24"/>
        </w:rPr>
        <w:t>2．</w:t>
      </w:r>
      <w:r>
        <w:rPr>
          <w:sz w:val="24"/>
        </w:rPr>
        <w:t>签约合同价：人民币（大写）（¥）。</w:t>
      </w:r>
    </w:p>
    <w:p>
      <w:pPr>
        <w:spacing w:line="360" w:lineRule="auto"/>
        <w:ind w:firstLine="480" w:firstLineChars="200"/>
        <w:rPr>
          <w:sz w:val="24"/>
        </w:rPr>
      </w:pPr>
      <w:r>
        <w:rPr>
          <w:rFonts w:hint="eastAsia"/>
          <w:sz w:val="24"/>
        </w:rPr>
        <w:t>3．合同形式：本合同采用固定总价合同，在合同实施期间，除非在合同条款中另有规定，合同总价费用不随国家政策或法规、标准及市场因素的变化而进行调整，也不因实际服务周期的延长或缩短而调整。</w:t>
      </w:r>
    </w:p>
    <w:p>
      <w:pPr>
        <w:spacing w:line="360" w:lineRule="auto"/>
        <w:ind w:firstLine="480" w:firstLineChars="200"/>
        <w:rPr>
          <w:sz w:val="24"/>
        </w:rPr>
      </w:pPr>
      <w:r>
        <w:rPr>
          <w:rFonts w:hint="eastAsia"/>
          <w:sz w:val="24"/>
        </w:rPr>
        <w:t>4．服务人在此立约：保证在所有方面按合同文件的规定，承担本合同项目的实施和完成工作。</w:t>
      </w:r>
    </w:p>
    <w:p>
      <w:pPr>
        <w:spacing w:line="360" w:lineRule="auto"/>
        <w:ind w:firstLine="480" w:firstLineChars="200"/>
        <w:rPr>
          <w:sz w:val="24"/>
        </w:rPr>
      </w:pPr>
      <w:r>
        <w:rPr>
          <w:rFonts w:hint="eastAsia"/>
          <w:sz w:val="24"/>
        </w:rPr>
        <w:t>5．计划服务期：从签订合同之日起到洞庭湖区澧县、安乡至茅草街航道建设工程项目完工为止.。</w:t>
      </w:r>
    </w:p>
    <w:p>
      <w:pPr>
        <w:spacing w:line="360" w:lineRule="auto"/>
        <w:ind w:firstLine="480" w:firstLineChars="200"/>
        <w:rPr>
          <w:sz w:val="24"/>
        </w:rPr>
      </w:pPr>
      <w:r>
        <w:rPr>
          <w:rFonts w:hint="eastAsia"/>
          <w:sz w:val="24"/>
        </w:rPr>
        <w:t>6．</w:t>
      </w:r>
      <w:r>
        <w:rPr>
          <w:sz w:val="24"/>
        </w:rPr>
        <w:t>发包人承诺按</w:t>
      </w:r>
      <w:r>
        <w:rPr>
          <w:rFonts w:hint="eastAsia"/>
          <w:sz w:val="24"/>
        </w:rPr>
        <w:t>合同条款规定的</w:t>
      </w:r>
      <w:r>
        <w:rPr>
          <w:sz w:val="24"/>
        </w:rPr>
        <w:t>时间和方式向服务人支付合同价款。</w:t>
      </w:r>
    </w:p>
    <w:p>
      <w:pPr>
        <w:spacing w:line="360" w:lineRule="auto"/>
        <w:ind w:firstLine="480" w:firstLineChars="200"/>
        <w:rPr>
          <w:sz w:val="24"/>
        </w:rPr>
      </w:pPr>
      <w:r>
        <w:rPr>
          <w:rFonts w:hint="eastAsia"/>
          <w:sz w:val="24"/>
        </w:rPr>
        <w:t>7．违约金或赔偿损失的方式</w:t>
      </w:r>
    </w:p>
    <w:p>
      <w:pPr>
        <w:spacing w:line="360" w:lineRule="auto"/>
        <w:ind w:firstLine="480" w:firstLineChars="200"/>
        <w:rPr>
          <w:sz w:val="24"/>
        </w:rPr>
      </w:pPr>
      <w:r>
        <w:rPr>
          <w:rFonts w:hint="eastAsia"/>
          <w:sz w:val="24"/>
        </w:rPr>
        <w:t>7.1违反本合同约定，违约方应当承担违约责任。</w:t>
      </w:r>
    </w:p>
    <w:p>
      <w:pPr>
        <w:spacing w:line="360" w:lineRule="auto"/>
        <w:ind w:firstLine="480" w:firstLineChars="200"/>
        <w:rPr>
          <w:sz w:val="24"/>
        </w:rPr>
      </w:pPr>
      <w:r>
        <w:rPr>
          <w:rFonts w:hint="eastAsia"/>
          <w:sz w:val="24"/>
        </w:rPr>
        <w:t>7.2尽管服务人已按承诺派遣了各类服务人员，但若这些人员仍不能满足合同进度计划和（或）质量要求时，发包人有权要求服务人继续增派或雇用这类人员，服务人应立即执行，由此增加的费用和（或）工期延误由服务人承担。</w:t>
      </w:r>
    </w:p>
    <w:p>
      <w:pPr>
        <w:spacing w:line="360" w:lineRule="auto"/>
        <w:ind w:firstLine="480" w:firstLineChars="200"/>
        <w:rPr>
          <w:sz w:val="24"/>
        </w:rPr>
      </w:pPr>
      <w:r>
        <w:rPr>
          <w:rFonts w:hint="eastAsia"/>
          <w:sz w:val="24"/>
        </w:rPr>
        <w:t>7.3尽管服务人已经提供了合同附件要求的仪器设备，但若这些仪器设备仍不能满足服务要求时，发包人有权要求服务人增加或更换仪器设备，服务人应及时增加或更换仪器设备，由此增加的费用和（或）工期延误由服务人承担。发包人有权在应付给服务人的费用中扣除新购仪器设备的费用以满足服务要求。</w:t>
      </w:r>
    </w:p>
    <w:p>
      <w:pPr>
        <w:spacing w:line="360" w:lineRule="auto"/>
        <w:ind w:firstLine="480" w:firstLineChars="200"/>
        <w:rPr>
          <w:sz w:val="24"/>
        </w:rPr>
      </w:pPr>
      <w:r>
        <w:rPr>
          <w:rFonts w:hint="eastAsia"/>
          <w:sz w:val="24"/>
        </w:rPr>
        <w:t>8</w:t>
      </w:r>
      <w:r>
        <w:rPr>
          <w:sz w:val="24"/>
        </w:rPr>
        <w:t>.本协议书一式份，合同双方各执份。</w:t>
      </w:r>
    </w:p>
    <w:p>
      <w:pPr>
        <w:spacing w:line="360" w:lineRule="auto"/>
        <w:ind w:firstLine="480" w:firstLineChars="200"/>
        <w:rPr>
          <w:sz w:val="24"/>
        </w:rPr>
      </w:pPr>
      <w:bookmarkStart w:id="114" w:name="_Toc152042550"/>
      <w:bookmarkStart w:id="115" w:name="_Toc144974830"/>
      <w:r>
        <w:rPr>
          <w:rFonts w:hint="eastAsia"/>
          <w:sz w:val="24"/>
        </w:rPr>
        <w:t>9</w:t>
      </w:r>
      <w:r>
        <w:rPr>
          <w:sz w:val="24"/>
        </w:rPr>
        <w:t>. 合同未尽事宜，双方另行签订补充协议。补充协议是合同的组成部分。</w:t>
      </w:r>
      <w:bookmarkEnd w:id="114"/>
      <w:bookmarkEnd w:id="115"/>
    </w:p>
    <w:p>
      <w:pPr>
        <w:spacing w:line="360" w:lineRule="auto"/>
        <w:ind w:firstLine="480" w:firstLineChars="200"/>
        <w:rPr>
          <w:sz w:val="24"/>
        </w:rPr>
      </w:pPr>
    </w:p>
    <w:p>
      <w:pPr>
        <w:spacing w:line="360" w:lineRule="auto"/>
        <w:ind w:firstLine="480" w:firstLineChars="200"/>
        <w:rPr>
          <w:sz w:val="24"/>
        </w:rPr>
      </w:pPr>
      <w:r>
        <w:rPr>
          <w:sz w:val="24"/>
        </w:rPr>
        <w:t>发包人：（盖单位章）</w:t>
      </w:r>
      <w:r>
        <w:rPr>
          <w:rFonts w:hint="eastAsia"/>
          <w:sz w:val="24"/>
        </w:rPr>
        <w:t xml:space="preserve">                            </w:t>
      </w:r>
      <w:r>
        <w:rPr>
          <w:sz w:val="24"/>
        </w:rPr>
        <w:t>服务人：（盖单位章）</w:t>
      </w:r>
    </w:p>
    <w:p>
      <w:pPr>
        <w:spacing w:line="360" w:lineRule="auto"/>
        <w:ind w:firstLine="480" w:firstLineChars="200"/>
        <w:rPr>
          <w:sz w:val="24"/>
        </w:rPr>
      </w:pPr>
    </w:p>
    <w:p>
      <w:pPr>
        <w:spacing w:line="360" w:lineRule="auto"/>
        <w:ind w:firstLine="480" w:firstLineChars="200"/>
        <w:rPr>
          <w:sz w:val="24"/>
        </w:rPr>
      </w:pPr>
      <w:r>
        <w:rPr>
          <w:sz w:val="24"/>
        </w:rPr>
        <w:t>法定代表人或其委托代理人：（签字）</w:t>
      </w:r>
      <w:r>
        <w:rPr>
          <w:rFonts w:hint="eastAsia"/>
          <w:sz w:val="24"/>
        </w:rPr>
        <w:t xml:space="preserve">           </w:t>
      </w:r>
      <w:r>
        <w:rPr>
          <w:sz w:val="24"/>
        </w:rPr>
        <w:t>法定代表人或其委托代理人：（签字）</w:t>
      </w:r>
    </w:p>
    <w:p>
      <w:pPr>
        <w:spacing w:line="360" w:lineRule="auto"/>
        <w:ind w:firstLine="720" w:firstLineChars="300"/>
        <w:rPr>
          <w:sz w:val="24"/>
        </w:rPr>
      </w:pPr>
    </w:p>
    <w:p>
      <w:pPr>
        <w:spacing w:line="360" w:lineRule="auto"/>
        <w:ind w:firstLine="1200" w:firstLineChars="500"/>
        <w:rPr>
          <w:sz w:val="24"/>
        </w:rPr>
      </w:pP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pPr>
        <w:spacing w:line="360" w:lineRule="auto"/>
        <w:ind w:firstLine="480" w:firstLineChars="200"/>
        <w:rPr>
          <w:sz w:val="24"/>
        </w:rPr>
      </w:pPr>
      <w:r>
        <w:rPr>
          <w:rFonts w:hint="eastAsia"/>
          <w:sz w:val="24"/>
        </w:rPr>
        <w:br w:type="page"/>
      </w:r>
    </w:p>
    <w:p>
      <w:pPr>
        <w:pStyle w:val="8"/>
        <w:rPr>
          <w:rFonts w:ascii="Times New Roman"/>
        </w:rPr>
      </w:pPr>
      <w:bookmarkStart w:id="116" w:name="_Hlk79957878"/>
      <w:r>
        <w:rPr>
          <w:rFonts w:hint="eastAsia" w:ascii="Times New Roman"/>
        </w:rPr>
        <w:t>附件</w:t>
      </w:r>
      <w:r>
        <w:rPr>
          <w:rFonts w:hint="eastAsia"/>
        </w:rPr>
        <w:t>二</w:t>
      </w:r>
      <w:r>
        <w:rPr>
          <w:rFonts w:hint="eastAsia" w:ascii="Times New Roman"/>
        </w:rPr>
        <w:t>：廉政责任书</w:t>
      </w:r>
    </w:p>
    <w:p>
      <w:pPr>
        <w:pStyle w:val="189"/>
        <w:autoSpaceDE/>
        <w:autoSpaceDN/>
        <w:adjustRightInd/>
        <w:spacing w:before="240" w:after="240" w:line="490" w:lineRule="exact"/>
        <w:jc w:val="center"/>
        <w:rPr>
          <w:rFonts w:cs="Times New Roman"/>
          <w:b/>
          <w:color w:val="000000"/>
          <w:sz w:val="32"/>
          <w:szCs w:val="32"/>
        </w:rPr>
      </w:pPr>
      <w:r>
        <w:rPr>
          <w:rFonts w:cs="Times New Roman"/>
          <w:b/>
          <w:color w:val="000000"/>
          <w:sz w:val="32"/>
          <w:szCs w:val="32"/>
        </w:rPr>
        <w:t>廉政责任书（格式）</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项目名称：</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项目地址：</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ascii="宋体" w:hAnsi="宋体"/>
          <w:color w:val="000000"/>
          <w:sz w:val="24"/>
        </w:rPr>
        <w:t>发包人（甲方）：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r>
        <w:rPr>
          <w:rFonts w:hint="eastAsia" w:ascii="宋体" w:hAnsi="宋体"/>
          <w:color w:val="000000"/>
          <w:sz w:val="24"/>
        </w:rPr>
        <w:t>服务</w:t>
      </w:r>
      <w:r>
        <w:rPr>
          <w:rFonts w:ascii="宋体" w:hAnsi="宋体"/>
          <w:color w:val="000000"/>
          <w:sz w:val="24"/>
        </w:rPr>
        <w:t>人（乙方）：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p>
    <w:p>
      <w:pPr>
        <w:spacing w:line="312" w:lineRule="auto"/>
        <w:ind w:firstLine="480" w:firstLineChars="200"/>
        <w:rPr>
          <w:rFonts w:ascii="宋体" w:hAnsi="宋体"/>
          <w:color w:val="000000"/>
          <w:sz w:val="24"/>
        </w:rPr>
      </w:pPr>
      <w:r>
        <w:rPr>
          <w:rFonts w:ascii="宋体" w:hAnsi="宋体"/>
          <w:color w:val="000000"/>
          <w:sz w:val="24"/>
        </w:rPr>
        <w:t>为加强</w:t>
      </w:r>
      <w:r>
        <w:rPr>
          <w:rFonts w:hint="eastAsia" w:ascii="宋体" w:hAnsi="宋体"/>
          <w:color w:val="000000"/>
          <w:sz w:val="24"/>
        </w:rPr>
        <w:t>项目实施过程中</w:t>
      </w:r>
      <w:r>
        <w:rPr>
          <w:rFonts w:ascii="宋体" w:hAnsi="宋体"/>
          <w:color w:val="000000"/>
          <w:sz w:val="24"/>
        </w:rPr>
        <w:t>的廉政建设，规范承发包双方的各项活动，防止发生各种谋取不正当利益的违法违纪行为，保护国家、集体和当事人的合法权益，根据国家有关法律法规和廉政建设责任制规定，特订立本廉政责任书。</w:t>
      </w:r>
    </w:p>
    <w:p>
      <w:pPr>
        <w:spacing w:line="312" w:lineRule="auto"/>
        <w:ind w:firstLine="480" w:firstLineChars="200"/>
        <w:rPr>
          <w:rFonts w:ascii="宋体" w:hAnsi="宋体"/>
          <w:color w:val="000000"/>
          <w:sz w:val="24"/>
        </w:rPr>
      </w:pPr>
      <w:r>
        <w:rPr>
          <w:rFonts w:ascii="宋体" w:hAnsi="宋体"/>
          <w:color w:val="000000"/>
          <w:sz w:val="24"/>
        </w:rPr>
        <w:t>第一条  甲乙双方的责任</w:t>
      </w:r>
    </w:p>
    <w:p>
      <w:pPr>
        <w:spacing w:line="312" w:lineRule="auto"/>
        <w:ind w:firstLine="480" w:firstLineChars="200"/>
        <w:rPr>
          <w:rFonts w:ascii="宋体" w:hAnsi="宋体"/>
          <w:color w:val="000000"/>
          <w:sz w:val="24"/>
        </w:rPr>
      </w:pPr>
      <w:r>
        <w:rPr>
          <w:rFonts w:ascii="宋体" w:hAnsi="宋体"/>
          <w:color w:val="000000"/>
          <w:sz w:val="24"/>
        </w:rPr>
        <w:t>（一）应严格遵守国家关于市场准入、项目招标投标、工程建设、施工安装和市场活动等有关法律、法规，相关政策，以及廉政建设的各项规定。</w:t>
      </w:r>
    </w:p>
    <w:p>
      <w:pPr>
        <w:spacing w:line="312" w:lineRule="auto"/>
        <w:ind w:firstLine="480" w:firstLineChars="200"/>
        <w:rPr>
          <w:rFonts w:ascii="宋体" w:hAnsi="宋体"/>
          <w:color w:val="000000"/>
          <w:sz w:val="24"/>
        </w:rPr>
      </w:pPr>
      <w:r>
        <w:rPr>
          <w:rFonts w:ascii="宋体" w:hAnsi="宋体"/>
          <w:color w:val="000000"/>
          <w:sz w:val="24"/>
        </w:rPr>
        <w:t>（二）严格执行项目承发包合同文件，自觉按合同办事。</w:t>
      </w:r>
    </w:p>
    <w:p>
      <w:pPr>
        <w:spacing w:line="312" w:lineRule="auto"/>
        <w:ind w:firstLine="480" w:firstLineChars="200"/>
        <w:rPr>
          <w:rFonts w:ascii="宋体" w:hAnsi="宋体"/>
          <w:color w:val="000000"/>
          <w:sz w:val="24"/>
        </w:rPr>
      </w:pPr>
      <w:r>
        <w:rPr>
          <w:rFonts w:ascii="宋体" w:hAnsi="宋体"/>
          <w:color w:val="000000"/>
          <w:sz w:val="24"/>
        </w:rPr>
        <w:t>（三）业务活动必须坚持公开、公平、公正、诚信、透明的原则（除法律法规另有规定者外）。不得为获取不正当的利益，损害国家、集体和对方利益，不得违反工程建设管理、施工安装的规章制度。</w:t>
      </w:r>
    </w:p>
    <w:p>
      <w:pPr>
        <w:spacing w:line="312" w:lineRule="auto"/>
        <w:ind w:firstLine="480" w:firstLineChars="200"/>
        <w:rPr>
          <w:rFonts w:ascii="宋体" w:hAnsi="宋体"/>
          <w:color w:val="000000"/>
          <w:sz w:val="24"/>
        </w:rPr>
      </w:pPr>
      <w:r>
        <w:rPr>
          <w:rFonts w:ascii="宋体" w:hAnsi="宋体"/>
          <w:color w:val="000000"/>
          <w:sz w:val="24"/>
        </w:rPr>
        <w:t>（四）发现对方在业务活动中有违规、违纪、违法行为的，应及时提醒对方，情节严重的，应向其上级主管部门或纪检监察、司法等有关机关举报。</w:t>
      </w:r>
    </w:p>
    <w:p>
      <w:pPr>
        <w:spacing w:line="312" w:lineRule="auto"/>
        <w:ind w:firstLine="480" w:firstLineChars="200"/>
        <w:rPr>
          <w:rFonts w:ascii="宋体" w:hAnsi="宋体"/>
          <w:color w:val="000000"/>
          <w:sz w:val="24"/>
        </w:rPr>
      </w:pPr>
      <w:r>
        <w:rPr>
          <w:rFonts w:ascii="宋体" w:hAnsi="宋体"/>
          <w:color w:val="000000"/>
          <w:sz w:val="24"/>
        </w:rPr>
        <w:t>第二条  甲方的责任</w:t>
      </w:r>
    </w:p>
    <w:p>
      <w:pPr>
        <w:spacing w:line="312" w:lineRule="auto"/>
        <w:ind w:firstLine="480" w:firstLineChars="200"/>
        <w:rPr>
          <w:rFonts w:ascii="宋体" w:hAnsi="宋体"/>
          <w:color w:val="000000"/>
          <w:sz w:val="24"/>
        </w:rPr>
      </w:pPr>
      <w:r>
        <w:rPr>
          <w:rFonts w:ascii="宋体" w:hAnsi="宋体"/>
          <w:color w:val="000000"/>
          <w:sz w:val="24"/>
        </w:rPr>
        <w:t>甲方</w:t>
      </w:r>
      <w:r>
        <w:rPr>
          <w:rFonts w:hint="eastAsia" w:ascii="宋体" w:hAnsi="宋体"/>
          <w:color w:val="000000"/>
          <w:sz w:val="24"/>
        </w:rPr>
        <w:t>及其</w:t>
      </w:r>
      <w:r>
        <w:rPr>
          <w:rFonts w:ascii="宋体" w:hAnsi="宋体"/>
          <w:color w:val="000000"/>
          <w:sz w:val="24"/>
        </w:rPr>
        <w:t>工作人员，在</w:t>
      </w:r>
      <w:r>
        <w:rPr>
          <w:rFonts w:hint="eastAsia" w:ascii="宋体" w:hAnsi="宋体"/>
          <w:color w:val="000000"/>
          <w:sz w:val="24"/>
        </w:rPr>
        <w:t>项目执行过程中</w:t>
      </w:r>
      <w:r>
        <w:rPr>
          <w:rFonts w:ascii="宋体" w:hAnsi="宋体"/>
          <w:color w:val="000000"/>
          <w:sz w:val="24"/>
        </w:rPr>
        <w:t>应遵守以下规定：</w:t>
      </w:r>
    </w:p>
    <w:p>
      <w:pPr>
        <w:spacing w:line="312" w:lineRule="auto"/>
        <w:ind w:firstLine="480" w:firstLineChars="200"/>
        <w:rPr>
          <w:rFonts w:ascii="宋体" w:hAnsi="宋体"/>
          <w:color w:val="000000"/>
          <w:sz w:val="24"/>
        </w:rPr>
      </w:pPr>
      <w:r>
        <w:rPr>
          <w:rFonts w:ascii="宋体" w:hAnsi="宋体"/>
          <w:color w:val="000000"/>
          <w:sz w:val="24"/>
        </w:rPr>
        <w:t>（一）不准向乙方和相关单位索要或接受回扣、礼金、有价证券、贵重物品和好处费、感谢费等。</w:t>
      </w:r>
    </w:p>
    <w:p>
      <w:pPr>
        <w:spacing w:line="312" w:lineRule="auto"/>
        <w:ind w:firstLine="480" w:firstLineChars="200"/>
        <w:rPr>
          <w:rFonts w:ascii="宋体" w:hAnsi="宋体"/>
          <w:color w:val="000000"/>
          <w:sz w:val="24"/>
        </w:rPr>
      </w:pPr>
      <w:r>
        <w:rPr>
          <w:rFonts w:ascii="宋体" w:hAnsi="宋体"/>
          <w:color w:val="000000"/>
          <w:sz w:val="24"/>
        </w:rPr>
        <w:t>（二）不准在乙方和相关单位报销任何应由甲方或个人支付的费人。</w:t>
      </w:r>
    </w:p>
    <w:p>
      <w:pPr>
        <w:spacing w:line="312" w:lineRule="auto"/>
        <w:ind w:firstLine="480" w:firstLineChars="200"/>
        <w:rPr>
          <w:rFonts w:ascii="宋体" w:hAnsi="宋体"/>
          <w:color w:val="000000"/>
          <w:sz w:val="24"/>
        </w:rPr>
      </w:pPr>
      <w:r>
        <w:rPr>
          <w:rFonts w:ascii="宋体" w:hAnsi="宋体"/>
          <w:color w:val="000000"/>
          <w:sz w:val="24"/>
        </w:rPr>
        <w:t>（三）不准要求、暗示或接受乙方和相关单位为个人装修住房、婚丧嫁娶、配偶子女的工作安排以及出国（境）、旅游等提供方便。</w:t>
      </w:r>
    </w:p>
    <w:p>
      <w:pPr>
        <w:spacing w:line="312" w:lineRule="auto"/>
        <w:ind w:firstLine="480" w:firstLineChars="200"/>
        <w:rPr>
          <w:rFonts w:ascii="宋体" w:hAnsi="宋体"/>
          <w:color w:val="000000"/>
          <w:sz w:val="24"/>
        </w:rPr>
      </w:pPr>
      <w:r>
        <w:rPr>
          <w:rFonts w:ascii="宋体" w:hAnsi="宋体"/>
          <w:color w:val="000000"/>
          <w:sz w:val="24"/>
        </w:rPr>
        <w:t>（四）不准参加有可能影响公正执行公务的乙方和相关单位的宴请和健身、娱乐等活动。</w:t>
      </w:r>
    </w:p>
    <w:p>
      <w:pPr>
        <w:spacing w:line="312" w:lineRule="auto"/>
        <w:ind w:firstLine="480" w:firstLineChars="200"/>
        <w:rPr>
          <w:rFonts w:ascii="宋体" w:hAnsi="宋体"/>
          <w:color w:val="000000"/>
          <w:sz w:val="24"/>
        </w:rPr>
      </w:pPr>
      <w:r>
        <w:rPr>
          <w:rFonts w:ascii="宋体" w:hAnsi="宋体"/>
          <w:color w:val="000000"/>
          <w:sz w:val="24"/>
        </w:rPr>
        <w:t>（五）不准向乙方介绍或为配偶、子女、亲属参与同甲方项目合同有关的设备、材料、工程分包、劳务等经济活动。不得以任何理由向乙方和相关单位推荐分包单位和要求乙方购买项目合同规定以外的材料、设备等。</w:t>
      </w:r>
    </w:p>
    <w:p>
      <w:pPr>
        <w:spacing w:line="312" w:lineRule="auto"/>
        <w:ind w:firstLine="480" w:firstLineChars="200"/>
        <w:rPr>
          <w:rFonts w:ascii="宋体" w:hAnsi="宋体"/>
          <w:color w:val="000000"/>
          <w:sz w:val="24"/>
        </w:rPr>
      </w:pPr>
      <w:r>
        <w:rPr>
          <w:rFonts w:ascii="宋体" w:hAnsi="宋体"/>
          <w:color w:val="000000"/>
          <w:sz w:val="24"/>
        </w:rPr>
        <w:t>第三条  乙方的责任</w:t>
      </w:r>
    </w:p>
    <w:p>
      <w:pPr>
        <w:spacing w:line="312" w:lineRule="auto"/>
        <w:ind w:firstLine="480" w:firstLineChars="200"/>
        <w:rPr>
          <w:rFonts w:ascii="宋体" w:hAnsi="宋体"/>
          <w:color w:val="000000"/>
          <w:sz w:val="24"/>
        </w:rPr>
      </w:pPr>
      <w:r>
        <w:rPr>
          <w:rFonts w:ascii="宋体" w:hAnsi="宋体"/>
          <w:color w:val="000000"/>
          <w:sz w:val="24"/>
        </w:rPr>
        <w:t>应与甲方保持正常的业务交往，按照有关法律法规和程序开展业务工作，</w:t>
      </w:r>
      <w:r>
        <w:rPr>
          <w:rFonts w:hint="eastAsia" w:ascii="宋体" w:hAnsi="宋体"/>
          <w:color w:val="000000"/>
          <w:sz w:val="24"/>
        </w:rPr>
        <w:t>并</w:t>
      </w:r>
      <w:r>
        <w:rPr>
          <w:rFonts w:ascii="宋体" w:hAnsi="宋体"/>
          <w:color w:val="000000"/>
          <w:sz w:val="24"/>
        </w:rPr>
        <w:t>遵守以下规定：</w:t>
      </w:r>
    </w:p>
    <w:p>
      <w:pPr>
        <w:spacing w:line="312" w:lineRule="auto"/>
        <w:ind w:firstLine="480" w:firstLineChars="200"/>
        <w:rPr>
          <w:rFonts w:ascii="宋体" w:hAnsi="宋体"/>
          <w:color w:val="000000"/>
          <w:sz w:val="24"/>
        </w:rPr>
      </w:pPr>
      <w:r>
        <w:rPr>
          <w:rFonts w:ascii="宋体" w:hAnsi="宋体"/>
          <w:color w:val="000000"/>
          <w:sz w:val="24"/>
        </w:rPr>
        <w:t>（一）不准以任何理由向甲方、相关单位及其工作人员索要、接受或赠送礼、有价证券、贵重物品和回扣、好处费、感谢费等。</w:t>
      </w:r>
    </w:p>
    <w:p>
      <w:pPr>
        <w:spacing w:line="312" w:lineRule="auto"/>
        <w:ind w:firstLine="480" w:firstLineChars="200"/>
        <w:rPr>
          <w:rFonts w:ascii="宋体" w:hAnsi="宋体"/>
          <w:color w:val="000000"/>
          <w:sz w:val="24"/>
        </w:rPr>
      </w:pPr>
      <w:r>
        <w:rPr>
          <w:rFonts w:ascii="宋体" w:hAnsi="宋体"/>
          <w:color w:val="000000"/>
          <w:sz w:val="24"/>
        </w:rPr>
        <w:t>（二）不准以任何理由为甲方和相关单位报销应由对方或个人支付的费用。</w:t>
      </w:r>
    </w:p>
    <w:p>
      <w:pPr>
        <w:spacing w:line="312" w:lineRule="auto"/>
        <w:ind w:firstLine="480" w:firstLineChars="200"/>
        <w:rPr>
          <w:rFonts w:ascii="宋体" w:hAnsi="宋体"/>
          <w:color w:val="000000"/>
          <w:sz w:val="24"/>
        </w:rPr>
      </w:pPr>
      <w:r>
        <w:rPr>
          <w:rFonts w:ascii="宋体" w:hAnsi="宋体"/>
          <w:color w:val="000000"/>
          <w:sz w:val="24"/>
        </w:rPr>
        <w:t>（三）不准接受或暗示为甲方、相关单位或个人装修住房、婚丧嫁娶、配偶子女的工作安排以及出国（境）、旅游等提供方便。</w:t>
      </w:r>
    </w:p>
    <w:p>
      <w:pPr>
        <w:spacing w:line="312" w:lineRule="auto"/>
        <w:ind w:firstLine="480" w:firstLineChars="200"/>
        <w:rPr>
          <w:rFonts w:ascii="宋体" w:hAnsi="宋体"/>
          <w:color w:val="000000"/>
          <w:sz w:val="24"/>
        </w:rPr>
      </w:pPr>
      <w:r>
        <w:rPr>
          <w:rFonts w:ascii="宋体" w:hAnsi="宋体"/>
          <w:color w:val="000000"/>
          <w:sz w:val="24"/>
        </w:rPr>
        <w:t>（四）不准以任何理由为甲方、相关单位或个人、组织提供有可能影响公正执行公务的宴请、健身、娱乐等活动。</w:t>
      </w:r>
    </w:p>
    <w:p>
      <w:pPr>
        <w:spacing w:line="312" w:lineRule="auto"/>
        <w:ind w:firstLine="480" w:firstLineChars="200"/>
        <w:rPr>
          <w:rFonts w:ascii="宋体" w:hAnsi="宋体"/>
          <w:color w:val="000000"/>
          <w:sz w:val="24"/>
        </w:rPr>
      </w:pPr>
      <w:r>
        <w:rPr>
          <w:rFonts w:ascii="宋体" w:hAnsi="宋体"/>
          <w:color w:val="000000"/>
          <w:sz w:val="24"/>
        </w:rPr>
        <w:t>第四条  违约责任</w:t>
      </w:r>
    </w:p>
    <w:p>
      <w:pPr>
        <w:spacing w:line="312" w:lineRule="auto"/>
        <w:ind w:firstLine="480" w:firstLineChars="200"/>
        <w:rPr>
          <w:rFonts w:ascii="宋体" w:hAnsi="宋体"/>
          <w:color w:val="000000"/>
          <w:sz w:val="24"/>
        </w:rPr>
      </w:pPr>
      <w:r>
        <w:rPr>
          <w:rFonts w:ascii="宋体" w:hAnsi="宋体"/>
          <w:color w:val="000000"/>
          <w:sz w:val="24"/>
        </w:rPr>
        <w:t>（一）甲方工作人员有违反责任书第一、二条责任行为的，按照管理权限，依据有关法律法规和规定给予党纪、政纪处分或组织处理；涉嫌犯罪，移交司法机关追究刑事责任；给乙方单位造成经济损失的，应予以赔偿。</w:t>
      </w:r>
    </w:p>
    <w:p>
      <w:pPr>
        <w:spacing w:line="312" w:lineRule="auto"/>
        <w:ind w:firstLine="480" w:firstLineChars="200"/>
        <w:rPr>
          <w:rFonts w:ascii="宋体" w:hAnsi="宋体"/>
          <w:color w:val="000000"/>
          <w:sz w:val="24"/>
        </w:rPr>
      </w:pPr>
      <w:r>
        <w:rPr>
          <w:rFonts w:ascii="宋体" w:hAnsi="宋体"/>
          <w:color w:val="000000"/>
          <w:sz w:val="24"/>
        </w:rPr>
        <w:t>（二）乙方工作人员有违反本责任书第一、三条责任行为的，按照管理权限，依据有关法律法规和规定给予党纪、政纪处分或组织处理；涉嫌犯罪，移交司法机关追究刑事责任；给甲方单位造成经济损失的，应予以赔偿。</w:t>
      </w:r>
    </w:p>
    <w:p>
      <w:pPr>
        <w:spacing w:line="312" w:lineRule="auto"/>
        <w:ind w:firstLine="480" w:firstLineChars="200"/>
        <w:rPr>
          <w:rFonts w:ascii="宋体" w:hAnsi="宋体"/>
          <w:color w:val="000000"/>
          <w:sz w:val="24"/>
        </w:rPr>
      </w:pPr>
      <w:r>
        <w:rPr>
          <w:rFonts w:ascii="宋体" w:hAnsi="宋体"/>
          <w:color w:val="000000"/>
          <w:sz w:val="24"/>
        </w:rPr>
        <w:t>第五条  本责任书作为</w:t>
      </w:r>
      <w:r>
        <w:rPr>
          <w:rFonts w:hint="eastAsia" w:ascii="宋体" w:hAnsi="宋体"/>
          <w:color w:val="000000"/>
          <w:sz w:val="24"/>
        </w:rPr>
        <w:t>项目</w:t>
      </w:r>
      <w:r>
        <w:rPr>
          <w:rFonts w:ascii="宋体" w:hAnsi="宋体"/>
          <w:color w:val="000000"/>
          <w:sz w:val="24"/>
        </w:rPr>
        <w:t>合同的附件，与</w:t>
      </w:r>
      <w:r>
        <w:rPr>
          <w:rFonts w:hint="eastAsia" w:ascii="宋体" w:hAnsi="宋体"/>
          <w:color w:val="000000"/>
          <w:sz w:val="24"/>
        </w:rPr>
        <w:t>项目</w:t>
      </w:r>
      <w:r>
        <w:rPr>
          <w:rFonts w:ascii="宋体" w:hAnsi="宋体"/>
          <w:color w:val="000000"/>
          <w:sz w:val="24"/>
        </w:rPr>
        <w:t>合同具有同等法律效力。经双方签署后生效。</w:t>
      </w:r>
    </w:p>
    <w:p>
      <w:pPr>
        <w:spacing w:line="312" w:lineRule="auto"/>
        <w:ind w:firstLine="480" w:firstLineChars="200"/>
        <w:rPr>
          <w:rFonts w:ascii="宋体" w:hAnsi="宋体"/>
          <w:color w:val="000000"/>
          <w:sz w:val="24"/>
        </w:rPr>
      </w:pPr>
      <w:r>
        <w:rPr>
          <w:rFonts w:ascii="宋体" w:hAnsi="宋体"/>
          <w:color w:val="000000"/>
          <w:sz w:val="24"/>
        </w:rPr>
        <w:t>第六条  本责任书的有效期为双方签署之日至该工程项目竣工验收合格时止。</w:t>
      </w:r>
    </w:p>
    <w:p>
      <w:pPr>
        <w:spacing w:line="312" w:lineRule="auto"/>
        <w:ind w:firstLine="480" w:firstLineChars="200"/>
        <w:rPr>
          <w:rFonts w:ascii="宋体" w:hAnsi="宋体"/>
          <w:color w:val="000000"/>
          <w:sz w:val="24"/>
        </w:rPr>
      </w:pPr>
      <w:r>
        <w:rPr>
          <w:rFonts w:ascii="宋体" w:hAnsi="宋体"/>
          <w:color w:val="000000"/>
          <w:sz w:val="24"/>
        </w:rPr>
        <w:t>第七条  本责任和本</w:t>
      </w:r>
      <w:r>
        <w:rPr>
          <w:rFonts w:hint="eastAsia" w:ascii="宋体" w:hAnsi="宋体"/>
          <w:color w:val="000000"/>
          <w:sz w:val="24"/>
        </w:rPr>
        <w:t>项目</w:t>
      </w:r>
      <w:r>
        <w:rPr>
          <w:rFonts w:ascii="宋体" w:hAnsi="宋体"/>
          <w:color w:val="000000"/>
          <w:sz w:val="24"/>
        </w:rPr>
        <w:t>合同同时使用，由双方法定代表人或其授权的代理人签署与加盖公章后生效，</w:t>
      </w:r>
      <w:r>
        <w:rPr>
          <w:rFonts w:hint="eastAsia" w:ascii="宋体" w:hAnsi="宋体"/>
          <w:color w:val="000000"/>
          <w:sz w:val="24"/>
        </w:rPr>
        <w:t>项目完成</w:t>
      </w:r>
      <w:r>
        <w:rPr>
          <w:rFonts w:ascii="宋体" w:hAnsi="宋体"/>
          <w:color w:val="000000"/>
          <w:sz w:val="24"/>
        </w:rPr>
        <w:t>验收后失效。</w:t>
      </w:r>
    </w:p>
    <w:p>
      <w:pPr>
        <w:spacing w:line="312" w:lineRule="auto"/>
        <w:ind w:firstLine="480" w:firstLineChars="200"/>
        <w:rPr>
          <w:rFonts w:ascii="宋体" w:hAnsi="宋体"/>
          <w:color w:val="000000"/>
          <w:sz w:val="24"/>
        </w:rPr>
      </w:pPr>
    </w:p>
    <w:p>
      <w:pPr>
        <w:pStyle w:val="190"/>
        <w:autoSpaceDE/>
        <w:autoSpaceDN/>
        <w:adjustRightInd/>
        <w:spacing w:line="312" w:lineRule="auto"/>
        <w:jc w:val="both"/>
        <w:rPr>
          <w:rFonts w:hAnsi="宋体" w:cs="Times New Roman"/>
          <w:color w:val="000000"/>
        </w:rPr>
      </w:pPr>
      <w:r>
        <w:rPr>
          <w:rFonts w:hAnsi="宋体" w:cs="Times New Roman"/>
          <w:color w:val="000000"/>
        </w:rPr>
        <w:t>发包人：</w:t>
      </w:r>
      <w:r>
        <w:rPr>
          <w:rFonts w:hAnsi="宋体" w:cs="Times New Roman"/>
          <w:color w:val="000000"/>
          <w:u w:val="single"/>
        </w:rPr>
        <w:t xml:space="preserve">      （盖单位公章）  </w:t>
      </w:r>
      <w:r>
        <w:rPr>
          <w:rFonts w:hAnsi="宋体" w:cs="Times New Roman"/>
          <w:color w:val="000000"/>
        </w:rPr>
        <w:t xml:space="preserve"> </w:t>
      </w:r>
      <w:r>
        <w:rPr>
          <w:rFonts w:hint="eastAsia" w:hAnsi="宋体" w:cs="Times New Roman"/>
          <w:color w:val="000000"/>
        </w:rPr>
        <w:t xml:space="preserve">       </w:t>
      </w:r>
      <w:r>
        <w:rPr>
          <w:rFonts w:hAnsi="宋体" w:cs="Times New Roman"/>
          <w:color w:val="000000"/>
        </w:rPr>
        <w:t xml:space="preserve">  </w:t>
      </w:r>
      <w:r>
        <w:rPr>
          <w:rFonts w:hint="eastAsia" w:hAnsi="宋体" w:cs="Times New Roman"/>
          <w:color w:val="000000"/>
        </w:rPr>
        <w:t>服务</w:t>
      </w:r>
      <w:r>
        <w:rPr>
          <w:rFonts w:hAnsi="宋体" w:cs="Times New Roman"/>
          <w:color w:val="000000"/>
        </w:rPr>
        <w:t>人：</w:t>
      </w:r>
      <w:r>
        <w:rPr>
          <w:rFonts w:hAnsi="宋体" w:cs="Times New Roman"/>
          <w:color w:val="000000"/>
          <w:u w:val="single"/>
        </w:rPr>
        <w:t xml:space="preserve">    （盖单位公章）   </w:t>
      </w:r>
    </w:p>
    <w:p>
      <w:pPr>
        <w:pStyle w:val="190"/>
        <w:autoSpaceDE/>
        <w:autoSpaceDN/>
        <w:adjustRightInd/>
        <w:spacing w:line="312" w:lineRule="auto"/>
        <w:jc w:val="both"/>
        <w:rPr>
          <w:rFonts w:hAnsi="宋体" w:cs="Times New Roman"/>
          <w:color w:val="000000"/>
        </w:rPr>
      </w:pPr>
    </w:p>
    <w:p>
      <w:pPr>
        <w:pStyle w:val="190"/>
        <w:autoSpaceDE/>
        <w:autoSpaceDN/>
        <w:adjustRightInd/>
        <w:spacing w:line="312" w:lineRule="auto"/>
        <w:jc w:val="both"/>
        <w:rPr>
          <w:rFonts w:hAnsi="宋体" w:cs="Times New Roman"/>
          <w:color w:val="000000"/>
        </w:rPr>
      </w:pPr>
    </w:p>
    <w:p>
      <w:pPr>
        <w:pStyle w:val="190"/>
        <w:autoSpaceDE/>
        <w:autoSpaceDN/>
        <w:adjustRightInd/>
        <w:spacing w:line="312" w:lineRule="auto"/>
        <w:jc w:val="both"/>
        <w:rPr>
          <w:rFonts w:hAnsi="宋体" w:cs="Times New Roman"/>
          <w:color w:val="000000"/>
        </w:rPr>
      </w:pPr>
      <w:r>
        <w:rPr>
          <w:rFonts w:hAnsi="宋体" w:cs="Times New Roman"/>
          <w:color w:val="000000"/>
        </w:rPr>
        <w:t>法定代表人或其委托代理人</w:t>
      </w:r>
      <w:r>
        <w:rPr>
          <w:rFonts w:hint="eastAsia" w:hAnsi="宋体" w:cs="Times New Roman"/>
          <w:color w:val="000000"/>
        </w:rPr>
        <w:t>:</w:t>
      </w:r>
      <w:r>
        <w:rPr>
          <w:rFonts w:hAnsi="宋体" w:cs="Times New Roman"/>
          <w:color w:val="000000"/>
          <w:u w:val="single"/>
        </w:rPr>
        <w:t xml:space="preserve">（签字） </w:t>
      </w:r>
      <w:r>
        <w:rPr>
          <w:rFonts w:hint="eastAsia" w:hAnsi="宋体" w:cs="Times New Roman"/>
          <w:color w:val="000000"/>
          <w:u w:val="single"/>
        </w:rPr>
        <w:t xml:space="preserve"> </w:t>
      </w:r>
      <w:r>
        <w:rPr>
          <w:rFonts w:hint="eastAsia" w:hAnsi="宋体" w:cs="Times New Roman"/>
          <w:color w:val="000000"/>
        </w:rPr>
        <w:t xml:space="preserve">  法</w:t>
      </w:r>
      <w:r>
        <w:rPr>
          <w:rFonts w:hAnsi="宋体" w:cs="Times New Roman"/>
          <w:color w:val="000000"/>
        </w:rPr>
        <w:t>定代表人或其委托代理人：</w:t>
      </w:r>
      <w:r>
        <w:rPr>
          <w:rFonts w:hAnsi="宋体" w:cs="Times New Roman"/>
          <w:color w:val="000000"/>
          <w:u w:val="single"/>
        </w:rPr>
        <w:t xml:space="preserve">  （签字）  </w:t>
      </w:r>
      <w:bookmarkEnd w:id="116"/>
      <w:r>
        <w:rPr>
          <w:rFonts w:hAnsi="宋体" w:cs="Times New Roman"/>
          <w:color w:val="000000"/>
          <w:u w:val="single"/>
        </w:rPr>
        <w:t xml:space="preserve">  </w:t>
      </w:r>
    </w:p>
    <w:p>
      <w:pPr>
        <w:pStyle w:val="190"/>
        <w:autoSpaceDE/>
        <w:autoSpaceDN/>
        <w:adjustRightInd/>
        <w:spacing w:line="312" w:lineRule="auto"/>
        <w:ind w:firstLine="480" w:firstLineChars="200"/>
        <w:jc w:val="both"/>
        <w:rPr>
          <w:rFonts w:hAnsi="宋体" w:cs="Times New Roman"/>
          <w:color w:val="000000"/>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both"/>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r>
        <w:rPr>
          <w:rFonts w:hint="eastAsia" w:ascii="黑体" w:hAnsi="黑体" w:eastAsia="黑体" w:cs="仿宋"/>
          <w:b/>
          <w:color w:val="000000"/>
          <w:sz w:val="36"/>
          <w:szCs w:val="36"/>
        </w:rPr>
        <w:t>第五章  采购需求</w:t>
      </w:r>
    </w:p>
    <w:p>
      <w:pPr>
        <w:adjustRightInd w:val="0"/>
        <w:snapToGrid w:val="0"/>
        <w:spacing w:line="312" w:lineRule="auto"/>
        <w:rPr>
          <w:rFonts w:ascii="宋体" w:hAnsi="宋体"/>
          <w:b/>
          <w:sz w:val="24"/>
        </w:rPr>
      </w:pPr>
      <w:r>
        <w:rPr>
          <w:rFonts w:hint="eastAsia" w:ascii="宋体" w:hAnsi="宋体"/>
          <w:b/>
          <w:sz w:val="24"/>
        </w:rPr>
        <w:t xml:space="preserve"> </w:t>
      </w:r>
    </w:p>
    <w:p>
      <w:pPr>
        <w:adjustRightInd w:val="0"/>
        <w:snapToGrid w:val="0"/>
        <w:spacing w:line="312" w:lineRule="auto"/>
        <w:ind w:firstLine="480" w:firstLineChars="200"/>
      </w:pPr>
      <w:r>
        <w:rPr>
          <w:rFonts w:hint="eastAsia" w:ascii="宋体" w:hAnsi="宋体"/>
          <w:sz w:val="24"/>
        </w:rPr>
        <w:t>（一</w:t>
      </w:r>
      <w:r>
        <w:rPr>
          <w:rFonts w:ascii="宋体" w:hAnsi="宋体"/>
          <w:sz w:val="24"/>
        </w:rPr>
        <w:t>）</w:t>
      </w:r>
      <w:r>
        <w:rPr>
          <w:rFonts w:hint="eastAsia" w:ascii="宋体" w:hAnsi="宋体"/>
          <w:sz w:val="24"/>
        </w:rPr>
        <w:t>采购项目名称 ：岳阳城陵矶港务有限责任公司码头环保提质改造二期工程第二条装车线交工质量检测服务询价</w:t>
      </w:r>
    </w:p>
    <w:p>
      <w:pPr>
        <w:spacing w:line="440" w:lineRule="exact"/>
        <w:ind w:firstLine="480" w:firstLineChars="200"/>
        <w:rPr>
          <w:rFonts w:ascii="宋体" w:hAnsi="宋体"/>
          <w:sz w:val="24"/>
        </w:rPr>
      </w:pPr>
      <w:r>
        <w:rPr>
          <w:rFonts w:hint="eastAsia" w:ascii="宋体" w:hAnsi="宋体"/>
          <w:sz w:val="24"/>
        </w:rPr>
        <w:t>（二</w:t>
      </w:r>
      <w:r>
        <w:rPr>
          <w:rFonts w:ascii="宋体" w:hAnsi="宋体"/>
          <w:sz w:val="24"/>
        </w:rPr>
        <w:t>）</w:t>
      </w:r>
      <w:r>
        <w:rPr>
          <w:rFonts w:hint="eastAsia" w:ascii="宋体" w:hAnsi="宋体"/>
          <w:sz w:val="24"/>
        </w:rPr>
        <w:t>项目概况：</w:t>
      </w:r>
      <w:r>
        <w:rPr>
          <w:rFonts w:hint="eastAsia" w:ascii="宋体" w:hAnsi="宋体" w:cs="宋体"/>
          <w:sz w:val="24"/>
        </w:rPr>
        <w:t>本项目建设地点在岳阳市城陵矶老港区，新建1股铁路，长约650m；新增1台装车机（装车效率3000t/h）；新增3条皮带机，共长约580m；新增1座转运站，建筑面积约260平方米；新增1座落料点钢雨棚，建筑面积200平方米；以及装车机轨道基础、水、电、控制及环保等配套设施。新增装车产能约400万吨/年。投资估算约3900万元。</w:t>
      </w:r>
    </w:p>
    <w:p>
      <w:pPr>
        <w:spacing w:line="440" w:lineRule="exact"/>
        <w:ind w:firstLine="480" w:firstLineChars="200"/>
        <w:rPr>
          <w:rFonts w:ascii="宋体" w:hAnsi="宋体"/>
          <w:sz w:val="24"/>
          <w:highlight w:val="none"/>
        </w:rPr>
      </w:pPr>
      <w:r>
        <w:rPr>
          <w:rFonts w:hint="eastAsia" w:ascii="宋体" w:hAnsi="宋体"/>
          <w:sz w:val="24"/>
          <w:highlight w:val="none"/>
        </w:rPr>
        <w:t>（三</w:t>
      </w:r>
      <w:r>
        <w:rPr>
          <w:rFonts w:ascii="宋体" w:hAnsi="宋体"/>
          <w:sz w:val="24"/>
          <w:highlight w:val="none"/>
        </w:rPr>
        <w:t>）</w:t>
      </w:r>
      <w:r>
        <w:rPr>
          <w:rFonts w:hint="eastAsia" w:ascii="宋体" w:hAnsi="宋体"/>
          <w:sz w:val="24"/>
          <w:highlight w:val="none"/>
        </w:rPr>
        <w:t>服务承包范围：钢结构检测、混凝土强度、混凝土保护层厚度、结构尺寸、轨道结构、地基承载力、工程质量检验资料核查、原材料检测等</w:t>
      </w:r>
      <w:r>
        <w:rPr>
          <w:rFonts w:hint="eastAsia"/>
          <w:sz w:val="24"/>
          <w:highlight w:val="none"/>
        </w:rPr>
        <w:t>。</w:t>
      </w:r>
    </w:p>
    <w:p>
      <w:pPr>
        <w:spacing w:line="440" w:lineRule="exact"/>
        <w:ind w:firstLine="480" w:firstLineChars="200"/>
        <w:rPr>
          <w:rFonts w:ascii="宋体" w:hAnsi="宋体"/>
          <w:sz w:val="24"/>
          <w:highlight w:val="none"/>
        </w:rPr>
      </w:pPr>
      <w:r>
        <w:rPr>
          <w:rFonts w:hint="eastAsia" w:ascii="宋体" w:hAnsi="宋体"/>
          <w:sz w:val="24"/>
          <w:highlight w:val="none"/>
        </w:rPr>
        <w:t>（四</w:t>
      </w:r>
      <w:r>
        <w:rPr>
          <w:rFonts w:ascii="宋体" w:hAnsi="宋体"/>
          <w:sz w:val="24"/>
          <w:highlight w:val="none"/>
        </w:rPr>
        <w:t>）</w:t>
      </w:r>
      <w:r>
        <w:rPr>
          <w:rFonts w:hint="eastAsia" w:ascii="宋体" w:hAnsi="宋体"/>
          <w:sz w:val="24"/>
          <w:highlight w:val="none"/>
        </w:rPr>
        <w:t>服务要求：</w:t>
      </w:r>
      <w:r>
        <w:rPr>
          <w:rFonts w:hint="eastAsia"/>
          <w:color w:val="000000" w:themeColor="text1"/>
          <w:sz w:val="24"/>
          <w:highlight w:val="none"/>
          <w14:textFill>
            <w14:solidFill>
              <w14:schemeClr w14:val="tx1"/>
            </w14:solidFill>
          </w14:textFill>
        </w:rPr>
        <w:t>服务人必须依据现行国家或行业规范及岳阳市交通运输局水运质量监督科的检测要求完成合同约定的所有检测项目以及为保证本项目交（竣）工验收通过所新增的检测项目，保证检验、检测有关数据的真实、准确、完整、可靠和合理性。</w:t>
      </w:r>
    </w:p>
    <w:p>
      <w:pPr>
        <w:adjustRightInd w:val="0"/>
        <w:snapToGrid w:val="0"/>
        <w:spacing w:line="312" w:lineRule="auto"/>
        <w:ind w:firstLine="480" w:firstLineChars="200"/>
        <w:rPr>
          <w:rFonts w:ascii="宋体" w:hAnsi="宋体"/>
          <w:sz w:val="24"/>
        </w:rPr>
      </w:pPr>
      <w:r>
        <w:rPr>
          <w:rFonts w:hint="eastAsia" w:ascii="宋体" w:hAnsi="宋体"/>
          <w:sz w:val="24"/>
          <w:highlight w:val="none"/>
        </w:rPr>
        <w:t>（五</w:t>
      </w:r>
      <w:r>
        <w:rPr>
          <w:rFonts w:ascii="宋体" w:hAnsi="宋体"/>
          <w:sz w:val="24"/>
          <w:highlight w:val="none"/>
        </w:rPr>
        <w:t>）</w:t>
      </w:r>
      <w:r>
        <w:rPr>
          <w:rFonts w:hint="eastAsia" w:ascii="宋体" w:hAnsi="宋体"/>
          <w:sz w:val="24"/>
          <w:highlight w:val="none"/>
        </w:rPr>
        <w:t>工期及验收：</w:t>
      </w:r>
      <w:r>
        <w:rPr>
          <w:rFonts w:hint="eastAsia"/>
          <w:color w:val="000000" w:themeColor="text1"/>
          <w:sz w:val="24"/>
          <w:highlight w:val="none"/>
          <w14:textFill>
            <w14:solidFill>
              <w14:schemeClr w14:val="tx1"/>
            </w14:solidFill>
          </w14:textFill>
        </w:rPr>
        <w:t>检测开始计划时间为2021年</w:t>
      </w:r>
      <w:r>
        <w:rPr>
          <w:rFonts w:hint="eastAsia"/>
          <w:color w:val="000000" w:themeColor="text1"/>
          <w:sz w:val="24"/>
          <w:highlight w:val="none"/>
          <w:lang w:val="en-US" w:eastAsia="zh-CN"/>
          <w14:textFill>
            <w14:solidFill>
              <w14:schemeClr w14:val="tx1"/>
            </w14:solidFill>
          </w14:textFill>
        </w:rPr>
        <w:t>11</w:t>
      </w:r>
      <w:r>
        <w:rPr>
          <w:rFonts w:hint="eastAsia"/>
          <w:color w:val="000000" w:themeColor="text1"/>
          <w:sz w:val="24"/>
          <w:highlight w:val="none"/>
          <w14:textFill>
            <w14:solidFill>
              <w14:schemeClr w14:val="tx1"/>
            </w14:solidFill>
          </w14:textFill>
        </w:rPr>
        <w:t>月，结束时间为</w:t>
      </w:r>
      <w:r>
        <w:rPr>
          <w:rFonts w:hint="eastAsia"/>
          <w:color w:val="000000" w:themeColor="text1"/>
          <w:sz w:val="24"/>
          <w14:textFill>
            <w14:solidFill>
              <w14:schemeClr w14:val="tx1"/>
            </w14:solidFill>
          </w14:textFill>
        </w:rPr>
        <w:t>项目交工验收完成后，具体以询价人要求为准。</w:t>
      </w:r>
    </w:p>
    <w:p>
      <w:pPr>
        <w:spacing w:line="312" w:lineRule="auto"/>
        <w:jc w:val="center"/>
        <w:rPr>
          <w:rFonts w:ascii="黑体" w:hAnsi="黑体" w:eastAsia="黑体" w:cs="仿宋"/>
          <w:b/>
          <w:color w:val="000000"/>
          <w:sz w:val="36"/>
          <w:szCs w:val="36"/>
        </w:rPr>
      </w:pPr>
      <w:r>
        <w:rPr>
          <w:rFonts w:ascii="仿宋" w:hAnsi="仿宋" w:eastAsia="仿宋" w:cs="仿宋"/>
          <w:sz w:val="30"/>
          <w:szCs w:val="30"/>
        </w:rPr>
        <w:br w:type="page"/>
      </w:r>
      <w:r>
        <w:rPr>
          <w:rFonts w:hint="eastAsia" w:ascii="黑体" w:hAnsi="黑体" w:eastAsia="黑体" w:cs="仿宋"/>
          <w:b/>
          <w:color w:val="000000"/>
          <w:sz w:val="36"/>
          <w:szCs w:val="36"/>
        </w:rPr>
        <w:t>第六章  响应文件格式</w:t>
      </w: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ascii="宋体" w:hAnsi="宋体" w:cs="仿宋"/>
          <w:sz w:val="24"/>
          <w:highlight w:val="none"/>
        </w:rPr>
      </w:pPr>
      <w:r>
        <w:rPr>
          <w:rFonts w:hint="eastAsia" w:ascii="宋体" w:hAnsi="宋体" w:cs="仿宋"/>
          <w:sz w:val="24"/>
        </w:rPr>
        <w:t>一、响应函</w:t>
      </w:r>
      <w:r>
        <w:rPr>
          <w:rFonts w:hint="eastAsia" w:ascii="宋体" w:hAnsi="宋体" w:cs="仿宋"/>
          <w:sz w:val="24"/>
        </w:rPr>
        <w:br w:type="textWrapping"/>
      </w:r>
      <w:r>
        <w:rPr>
          <w:rFonts w:hint="eastAsia" w:ascii="宋体" w:hAnsi="宋体" w:cs="仿宋"/>
          <w:sz w:val="24"/>
        </w:rPr>
        <w:t>二、授权委托书(适用于有委托代理人的情况)</w:t>
      </w:r>
      <w:r>
        <w:rPr>
          <w:rFonts w:hint="eastAsia" w:ascii="宋体" w:hAnsi="宋体" w:cs="仿宋"/>
          <w:sz w:val="24"/>
        </w:rPr>
        <w:br w:type="textWrapping"/>
      </w:r>
      <w:r>
        <w:rPr>
          <w:rFonts w:hint="eastAsia" w:ascii="宋体" w:hAnsi="宋体" w:cs="仿宋"/>
          <w:sz w:val="24"/>
          <w:highlight w:val="none"/>
        </w:rPr>
        <w:t>三、联合体协议书(适用于供应商组成联合体的情况)</w:t>
      </w:r>
    </w:p>
    <w:p>
      <w:pPr>
        <w:adjustRightInd w:val="0"/>
        <w:snapToGrid w:val="0"/>
        <w:spacing w:line="600" w:lineRule="exact"/>
        <w:jc w:val="both"/>
        <w:rPr>
          <w:rFonts w:ascii="宋体" w:hAnsi="宋体" w:cs="仿宋"/>
          <w:sz w:val="24"/>
        </w:rPr>
      </w:pPr>
      <w:r>
        <w:rPr>
          <w:rFonts w:hint="eastAsia" w:ascii="宋体" w:hAnsi="宋体" w:cs="仿宋"/>
          <w:sz w:val="24"/>
          <w:highlight w:val="none"/>
        </w:rPr>
        <w:t>四、响应保证金(适用于递交响应保证金的情况)</w:t>
      </w:r>
      <w:r>
        <w:rPr>
          <w:rFonts w:hint="eastAsia" w:ascii="宋体" w:hAnsi="宋体" w:cs="仿宋"/>
          <w:sz w:val="24"/>
          <w:highlight w:val="none"/>
        </w:rPr>
        <w:br w:type="textWrapping"/>
      </w:r>
      <w:r>
        <w:rPr>
          <w:rFonts w:hint="eastAsia" w:ascii="宋体" w:hAnsi="宋体" w:cs="仿宋"/>
          <w:sz w:val="24"/>
          <w:highlight w:val="none"/>
        </w:rPr>
        <w:t>五、商务和技术偏差表</w:t>
      </w:r>
      <w:r>
        <w:rPr>
          <w:rFonts w:hint="eastAsia" w:ascii="宋体" w:hAnsi="宋体" w:cs="仿宋"/>
          <w:sz w:val="24"/>
          <w:highlight w:val="none"/>
        </w:rPr>
        <w:br w:type="textWrapping"/>
      </w:r>
      <w:r>
        <w:rPr>
          <w:rFonts w:hint="eastAsia" w:ascii="宋体" w:hAnsi="宋体" w:cs="仿宋"/>
          <w:sz w:val="24"/>
        </w:rPr>
        <w:t>六、报价表</w:t>
      </w:r>
      <w:r>
        <w:rPr>
          <w:rFonts w:hint="eastAsia" w:ascii="宋体" w:hAnsi="宋体" w:cs="仿宋"/>
          <w:sz w:val="24"/>
        </w:rPr>
        <w:br w:type="textWrapping"/>
      </w:r>
      <w:r>
        <w:rPr>
          <w:rFonts w:hint="eastAsia" w:ascii="宋体" w:hAnsi="宋体" w:cs="仿宋"/>
          <w:sz w:val="24"/>
        </w:rPr>
        <w:t>七、资格审查资料</w:t>
      </w:r>
      <w:r>
        <w:rPr>
          <w:rFonts w:hint="eastAsia" w:ascii="宋体" w:hAnsi="宋体" w:cs="仿宋"/>
          <w:sz w:val="24"/>
        </w:rPr>
        <w:br w:type="textWrapping"/>
      </w:r>
      <w:r>
        <w:rPr>
          <w:rFonts w:hint="eastAsia" w:ascii="宋体" w:hAnsi="宋体" w:cs="仿宋"/>
          <w:sz w:val="24"/>
        </w:rPr>
        <w:t>八、响应方案</w:t>
      </w:r>
      <w:r>
        <w:rPr>
          <w:rFonts w:hint="eastAsia" w:ascii="宋体" w:hAnsi="宋体" w:cs="仿宋"/>
          <w:sz w:val="24"/>
        </w:rPr>
        <w:br w:type="textWrapping"/>
      </w:r>
      <w:r>
        <w:rPr>
          <w:rFonts w:hint="eastAsia" w:ascii="宋体" w:hAnsi="宋体" w:cs="仿宋"/>
          <w:sz w:val="24"/>
        </w:rPr>
        <w:t>九、其他资料</w:t>
      </w: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3"/>
        </w:num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(3)联合体协议书(如有);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(4)响应保证金(如有);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(5)报价表;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(6)资格审查资料;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rPr>
          <w:rFonts w:ascii="黑体" w:hAnsi="黑体" w:eastAsia="黑体" w:cs="仿宋"/>
          <w:sz w:val="36"/>
          <w:szCs w:val="36"/>
        </w:rPr>
      </w:pP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ascii="黑体" w:hAnsi="黑体" w:eastAsia="黑体" w:cs="仿宋"/>
          <w:sz w:val="36"/>
          <w:szCs w:val="36"/>
          <w:highlight w:val="yellow"/>
        </w:rPr>
      </w:pPr>
      <w:r>
        <w:rPr>
          <w:rFonts w:hint="eastAsia" w:ascii="黑体" w:hAnsi="黑体" w:eastAsia="黑体" w:cs="仿宋"/>
          <w:sz w:val="36"/>
          <w:szCs w:val="36"/>
          <w:highlight w:val="yellow"/>
        </w:rPr>
        <w:t>四、商务和技术偏差表</w:t>
      </w:r>
    </w:p>
    <w:p>
      <w:pPr>
        <w:spacing w:line="600" w:lineRule="exact"/>
        <w:jc w:val="center"/>
        <w:rPr>
          <w:rFonts w:cs="仿宋" w:asciiTheme="minorEastAsia" w:hAnsiTheme="minorEastAsia" w:eastAsiaTheme="minorEastAsia"/>
          <w:sz w:val="24"/>
        </w:rPr>
      </w:pP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jc w:val="both"/>
        <w:rPr>
          <w:rFonts w:cs="仿宋" w:asciiTheme="minorEastAsia" w:hAnsiTheme="minorEastAsia" w:eastAsiaTheme="minorEastAsia"/>
          <w:sz w:val="24"/>
        </w:rPr>
      </w:pPr>
    </w:p>
    <w:p>
      <w:pPr>
        <w:spacing w:line="600" w:lineRule="exact"/>
        <w:ind w:left="420"/>
        <w:jc w:val="center"/>
        <w:rPr>
          <w:rFonts w:ascii="黑体" w:hAnsi="黑体" w:eastAsia="黑体" w:cs="仿宋"/>
          <w:sz w:val="36"/>
          <w:szCs w:val="36"/>
        </w:rPr>
      </w:pPr>
      <w:r>
        <w:rPr>
          <w:rFonts w:hint="eastAsia" w:ascii="黑体" w:hAnsi="黑体" w:eastAsia="黑体" w:cs="仿宋"/>
          <w:sz w:val="36"/>
          <w:szCs w:val="36"/>
        </w:rPr>
        <w:t>五、报价表</w:t>
      </w:r>
    </w:p>
    <w:p>
      <w:pPr>
        <w:spacing w:line="600" w:lineRule="exact"/>
        <w:jc w:val="both"/>
        <w:rPr>
          <w:rFonts w:cs="仿宋" w:asciiTheme="minorEastAsia" w:hAnsiTheme="minorEastAsia" w:eastAsiaTheme="minorEastAsia"/>
          <w:sz w:val="24"/>
        </w:rPr>
      </w:pPr>
    </w:p>
    <w:tbl>
      <w:tblPr>
        <w:tblStyle w:val="38"/>
        <w:tblW w:w="5000" w:type="pct"/>
        <w:tblInd w:w="0" w:type="dxa"/>
        <w:tblLayout w:type="autofit"/>
        <w:tblCellMar>
          <w:top w:w="0" w:type="dxa"/>
          <w:left w:w="108" w:type="dxa"/>
          <w:bottom w:w="0" w:type="dxa"/>
          <w:right w:w="108" w:type="dxa"/>
        </w:tblCellMar>
      </w:tblPr>
      <w:tblGrid>
        <w:gridCol w:w="626"/>
        <w:gridCol w:w="1389"/>
        <w:gridCol w:w="1899"/>
        <w:gridCol w:w="1202"/>
        <w:gridCol w:w="1363"/>
        <w:gridCol w:w="720"/>
        <w:gridCol w:w="2763"/>
      </w:tblGrid>
      <w:tr>
        <w:tblPrEx>
          <w:tblCellMar>
            <w:top w:w="0" w:type="dxa"/>
            <w:left w:w="108" w:type="dxa"/>
            <w:bottom w:w="0" w:type="dxa"/>
            <w:right w:w="108" w:type="dxa"/>
          </w:tblCellMar>
        </w:tblPrEx>
        <w:trPr>
          <w:trHeight w:val="495" w:hRule="atLeast"/>
        </w:trPr>
        <w:tc>
          <w:tcPr>
            <w:tcW w:w="62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检测内容</w:t>
            </w:r>
          </w:p>
        </w:tc>
        <w:tc>
          <w:tcPr>
            <w:tcW w:w="189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检测项目</w:t>
            </w:r>
          </w:p>
        </w:tc>
        <w:tc>
          <w:tcPr>
            <w:tcW w:w="1202"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检测范围</w:t>
            </w:r>
          </w:p>
        </w:tc>
        <w:tc>
          <w:tcPr>
            <w:tcW w:w="136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单价</w:t>
            </w:r>
          </w:p>
        </w:tc>
        <w:tc>
          <w:tcPr>
            <w:tcW w:w="720"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276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总价</w:t>
            </w:r>
          </w:p>
        </w:tc>
      </w:tr>
      <w:tr>
        <w:tblPrEx>
          <w:tblCellMar>
            <w:top w:w="0" w:type="dxa"/>
            <w:left w:w="108" w:type="dxa"/>
            <w:bottom w:w="0" w:type="dxa"/>
            <w:right w:w="108" w:type="dxa"/>
          </w:tblCellMar>
        </w:tblPrEx>
        <w:trPr>
          <w:trHeight w:val="510"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389"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钢结构检测</w:t>
            </w:r>
          </w:p>
        </w:tc>
        <w:tc>
          <w:tcPr>
            <w:tcW w:w="189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探伤检测</w:t>
            </w:r>
          </w:p>
        </w:tc>
        <w:tc>
          <w:tcPr>
            <w:tcW w:w="1202"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钢料棚、钢联桥</w:t>
            </w:r>
          </w:p>
        </w:tc>
        <w:tc>
          <w:tcPr>
            <w:tcW w:w="13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1项</w:t>
            </w:r>
          </w:p>
        </w:tc>
        <w:tc>
          <w:tcPr>
            <w:tcW w:w="27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10"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389" w:type="dxa"/>
            <w:vMerge w:val="continue"/>
            <w:tcBorders>
              <w:top w:val="nil"/>
              <w:left w:val="single" w:color="auto" w:sz="4" w:space="0"/>
              <w:bottom w:val="single" w:color="auto" w:sz="4" w:space="0"/>
              <w:right w:val="single" w:color="auto" w:sz="4" w:space="0"/>
            </w:tcBorders>
            <w:vAlign w:val="center"/>
          </w:tcPr>
          <w:p>
            <w:pPr>
              <w:spacing w:line="240" w:lineRule="auto"/>
              <w:rPr>
                <w:rFonts w:ascii="宋体" w:hAnsi="宋体" w:cs="宋体"/>
                <w:color w:val="000000"/>
                <w:kern w:val="0"/>
                <w:sz w:val="20"/>
                <w:szCs w:val="20"/>
              </w:rPr>
            </w:pPr>
          </w:p>
        </w:tc>
        <w:tc>
          <w:tcPr>
            <w:tcW w:w="189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钢材厚度、硬度、涂层厚度、涂层附着力检测</w:t>
            </w:r>
          </w:p>
        </w:tc>
        <w:tc>
          <w:tcPr>
            <w:tcW w:w="1202"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钢料棚、钢联桥</w:t>
            </w:r>
          </w:p>
        </w:tc>
        <w:tc>
          <w:tcPr>
            <w:tcW w:w="13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1项</w:t>
            </w:r>
          </w:p>
        </w:tc>
        <w:tc>
          <w:tcPr>
            <w:tcW w:w="27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930"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389"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混凝土结构</w:t>
            </w:r>
          </w:p>
        </w:tc>
        <w:tc>
          <w:tcPr>
            <w:tcW w:w="189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混凝土强度检测</w:t>
            </w:r>
          </w:p>
        </w:tc>
        <w:tc>
          <w:tcPr>
            <w:tcW w:w="1202"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转运站</w:t>
            </w:r>
          </w:p>
        </w:tc>
        <w:tc>
          <w:tcPr>
            <w:tcW w:w="13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15构件</w:t>
            </w:r>
          </w:p>
        </w:tc>
        <w:tc>
          <w:tcPr>
            <w:tcW w:w="27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945"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389" w:type="dxa"/>
            <w:vMerge w:val="continue"/>
            <w:tcBorders>
              <w:top w:val="nil"/>
              <w:left w:val="single" w:color="auto" w:sz="4" w:space="0"/>
              <w:bottom w:val="single" w:color="000000" w:sz="4" w:space="0"/>
              <w:right w:val="single" w:color="auto" w:sz="4" w:space="0"/>
            </w:tcBorders>
            <w:vAlign w:val="center"/>
          </w:tcPr>
          <w:p>
            <w:pPr>
              <w:spacing w:line="240" w:lineRule="auto"/>
              <w:rPr>
                <w:rFonts w:ascii="宋体" w:hAnsi="宋体" w:cs="宋体"/>
                <w:color w:val="000000"/>
                <w:kern w:val="0"/>
                <w:sz w:val="20"/>
                <w:szCs w:val="20"/>
              </w:rPr>
            </w:pPr>
          </w:p>
        </w:tc>
        <w:tc>
          <w:tcPr>
            <w:tcW w:w="189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混凝土保护层厚度检测</w:t>
            </w:r>
          </w:p>
        </w:tc>
        <w:tc>
          <w:tcPr>
            <w:tcW w:w="1202"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转运站</w:t>
            </w:r>
          </w:p>
        </w:tc>
        <w:tc>
          <w:tcPr>
            <w:tcW w:w="13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15构件</w:t>
            </w:r>
          </w:p>
        </w:tc>
        <w:tc>
          <w:tcPr>
            <w:tcW w:w="27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945" w:hRule="atLeast"/>
        </w:trPr>
        <w:tc>
          <w:tcPr>
            <w:tcW w:w="626" w:type="dxa"/>
            <w:tcBorders>
              <w:top w:val="nil"/>
              <w:left w:val="single" w:color="auto" w:sz="4" w:space="0"/>
              <w:bottom w:val="nil"/>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389" w:type="dxa"/>
            <w:vMerge w:val="continue"/>
            <w:tcBorders>
              <w:top w:val="nil"/>
              <w:left w:val="single" w:color="auto" w:sz="4" w:space="0"/>
              <w:bottom w:val="single" w:color="000000" w:sz="4" w:space="0"/>
              <w:right w:val="single" w:color="auto" w:sz="4" w:space="0"/>
            </w:tcBorders>
            <w:vAlign w:val="center"/>
          </w:tcPr>
          <w:p>
            <w:pPr>
              <w:spacing w:line="240" w:lineRule="auto"/>
              <w:rPr>
                <w:rFonts w:ascii="宋体" w:hAnsi="宋体" w:cs="宋体"/>
                <w:color w:val="000000"/>
                <w:kern w:val="0"/>
                <w:sz w:val="20"/>
                <w:szCs w:val="20"/>
              </w:rPr>
            </w:pPr>
          </w:p>
        </w:tc>
        <w:tc>
          <w:tcPr>
            <w:tcW w:w="1899" w:type="dxa"/>
            <w:tcBorders>
              <w:top w:val="single" w:color="auto" w:sz="4" w:space="0"/>
              <w:left w:val="nil"/>
              <w:bottom w:val="single" w:color="auto" w:sz="4" w:space="0"/>
              <w:right w:val="single" w:color="000000"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结构尺寸检测</w:t>
            </w:r>
          </w:p>
        </w:tc>
        <w:tc>
          <w:tcPr>
            <w:tcW w:w="1202"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转运站</w:t>
            </w:r>
            <w:r>
              <w:rPr>
                <w:rFonts w:hint="eastAsia" w:ascii="宋体" w:hAnsi="宋体" w:cs="宋体"/>
                <w:color w:val="000000"/>
                <w:kern w:val="0"/>
                <w:sz w:val="20"/>
                <w:szCs w:val="20"/>
              </w:rPr>
              <w:t>、钢联桥</w:t>
            </w:r>
          </w:p>
        </w:tc>
        <w:tc>
          <w:tcPr>
            <w:tcW w:w="13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100处</w:t>
            </w:r>
          </w:p>
        </w:tc>
        <w:tc>
          <w:tcPr>
            <w:tcW w:w="27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945" w:hRule="atLeast"/>
        </w:trPr>
        <w:tc>
          <w:tcPr>
            <w:tcW w:w="62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389"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轨道结构</w:t>
            </w:r>
          </w:p>
        </w:tc>
        <w:tc>
          <w:tcPr>
            <w:tcW w:w="1899" w:type="dxa"/>
            <w:tcBorders>
              <w:top w:val="single" w:color="auto" w:sz="4" w:space="0"/>
              <w:left w:val="nil"/>
              <w:bottom w:val="single" w:color="auto" w:sz="4" w:space="0"/>
              <w:right w:val="single" w:color="000000"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压实度、标高、结构尺寸、平整度、轨距</w:t>
            </w:r>
          </w:p>
        </w:tc>
        <w:tc>
          <w:tcPr>
            <w:tcW w:w="1202"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铁路部分</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轨道梁部分</w:t>
            </w:r>
          </w:p>
        </w:tc>
        <w:tc>
          <w:tcPr>
            <w:tcW w:w="13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1项</w:t>
            </w:r>
          </w:p>
        </w:tc>
        <w:tc>
          <w:tcPr>
            <w:tcW w:w="27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945" w:hRule="atLeast"/>
        </w:trPr>
        <w:tc>
          <w:tcPr>
            <w:tcW w:w="62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389" w:type="dxa"/>
            <w:tcBorders>
              <w:top w:val="nil"/>
              <w:left w:val="single" w:color="auto" w:sz="4" w:space="0"/>
              <w:bottom w:val="single" w:color="000000"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基础检测</w:t>
            </w:r>
          </w:p>
        </w:tc>
        <w:tc>
          <w:tcPr>
            <w:tcW w:w="1899" w:type="dxa"/>
            <w:tcBorders>
              <w:top w:val="single" w:color="auto" w:sz="4" w:space="0"/>
              <w:left w:val="nil"/>
              <w:bottom w:val="single" w:color="auto" w:sz="4" w:space="0"/>
              <w:right w:val="single" w:color="000000"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地基承载力检测</w:t>
            </w:r>
          </w:p>
        </w:tc>
        <w:tc>
          <w:tcPr>
            <w:tcW w:w="1202"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转运站</w:t>
            </w:r>
          </w:p>
        </w:tc>
        <w:tc>
          <w:tcPr>
            <w:tcW w:w="13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ascii="宋体" w:hAnsi="宋体" w:cs="宋体"/>
                <w:color w:val="000000"/>
                <w:kern w:val="0"/>
                <w:sz w:val="20"/>
                <w:szCs w:val="20"/>
              </w:rPr>
              <w:t>18</w:t>
            </w:r>
            <w:r>
              <w:rPr>
                <w:rFonts w:hint="eastAsia" w:ascii="宋体" w:hAnsi="宋体" w:cs="宋体"/>
                <w:color w:val="000000"/>
                <w:kern w:val="0"/>
                <w:sz w:val="20"/>
                <w:szCs w:val="20"/>
              </w:rPr>
              <w:t>处</w:t>
            </w:r>
          </w:p>
        </w:tc>
        <w:tc>
          <w:tcPr>
            <w:tcW w:w="27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750" w:hRule="atLeast"/>
        </w:trPr>
        <w:tc>
          <w:tcPr>
            <w:tcW w:w="62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ascii="宋体" w:hAnsi="宋体" w:cs="宋体"/>
                <w:color w:val="000000"/>
                <w:kern w:val="0"/>
                <w:sz w:val="20"/>
                <w:szCs w:val="20"/>
              </w:rPr>
              <w:t>8</w:t>
            </w:r>
          </w:p>
        </w:tc>
        <w:tc>
          <w:tcPr>
            <w:tcW w:w="1389" w:type="dxa"/>
            <w:tcBorders>
              <w:top w:val="nil"/>
              <w:left w:val="single" w:color="auto" w:sz="8" w:space="0"/>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原材料抽检</w:t>
            </w:r>
          </w:p>
        </w:tc>
        <w:tc>
          <w:tcPr>
            <w:tcW w:w="189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原材料检测</w:t>
            </w:r>
          </w:p>
        </w:tc>
        <w:tc>
          <w:tcPr>
            <w:tcW w:w="1202"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3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2"/>
                <w:szCs w:val="22"/>
              </w:rPr>
            </w:pPr>
          </w:p>
        </w:tc>
        <w:tc>
          <w:tcPr>
            <w:tcW w:w="7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2项</w:t>
            </w:r>
          </w:p>
        </w:tc>
        <w:tc>
          <w:tcPr>
            <w:tcW w:w="27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750"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ascii="宋体" w:hAnsi="宋体" w:cs="宋体"/>
                <w:color w:val="000000"/>
                <w:kern w:val="0"/>
                <w:sz w:val="20"/>
                <w:szCs w:val="20"/>
              </w:rPr>
              <w:t>9</w:t>
            </w:r>
          </w:p>
        </w:tc>
        <w:tc>
          <w:tcPr>
            <w:tcW w:w="1389" w:type="dxa"/>
            <w:tcBorders>
              <w:top w:val="nil"/>
              <w:left w:val="single" w:color="auto" w:sz="8" w:space="0"/>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内业资料核查</w:t>
            </w:r>
          </w:p>
        </w:tc>
        <w:tc>
          <w:tcPr>
            <w:tcW w:w="189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内业资料评审</w:t>
            </w:r>
          </w:p>
        </w:tc>
        <w:tc>
          <w:tcPr>
            <w:tcW w:w="1202"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3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2"/>
                <w:szCs w:val="22"/>
              </w:rPr>
            </w:pPr>
          </w:p>
        </w:tc>
        <w:tc>
          <w:tcPr>
            <w:tcW w:w="7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1项</w:t>
            </w:r>
          </w:p>
        </w:tc>
        <w:tc>
          <w:tcPr>
            <w:tcW w:w="2763"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r>
              <w:rPr>
                <w:rFonts w:ascii="宋体" w:hAnsi="宋体" w:cs="宋体"/>
                <w:color w:val="000000"/>
                <w:kern w:val="0"/>
                <w:sz w:val="20"/>
                <w:szCs w:val="20"/>
              </w:rPr>
              <w:t>10</w:t>
            </w:r>
          </w:p>
        </w:tc>
        <w:tc>
          <w:tcPr>
            <w:tcW w:w="1389"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0"/>
                <w:szCs w:val="20"/>
              </w:rPr>
            </w:pPr>
          </w:p>
        </w:tc>
        <w:tc>
          <w:tcPr>
            <w:tcW w:w="3101"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合    计</w:t>
            </w:r>
          </w:p>
        </w:tc>
        <w:tc>
          <w:tcPr>
            <w:tcW w:w="13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2"/>
                <w:szCs w:val="22"/>
              </w:rPr>
            </w:pPr>
          </w:p>
        </w:tc>
        <w:tc>
          <w:tcPr>
            <w:tcW w:w="72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2"/>
                <w:szCs w:val="22"/>
              </w:rPr>
            </w:pPr>
          </w:p>
        </w:tc>
        <w:tc>
          <w:tcPr>
            <w:tcW w:w="27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2"/>
                <w:szCs w:val="22"/>
              </w:rPr>
            </w:pPr>
          </w:p>
        </w:tc>
      </w:tr>
    </w:tbl>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both"/>
        <w:rPr>
          <w:rFonts w:cs="仿宋" w:asciiTheme="minorEastAsia" w:hAnsiTheme="minorEastAsia" w:eastAsiaTheme="minorEastAsia"/>
          <w:sz w:val="24"/>
        </w:rPr>
      </w:pPr>
    </w:p>
    <w:p>
      <w:pPr>
        <w:spacing w:line="600" w:lineRule="exact"/>
        <w:jc w:val="center"/>
        <w:rPr>
          <w:rFonts w:ascii="黑体" w:hAnsi="黑体" w:eastAsia="黑体" w:cs="仿宋"/>
          <w:sz w:val="36"/>
          <w:szCs w:val="36"/>
        </w:rPr>
      </w:pPr>
      <w:r>
        <w:rPr>
          <w:rFonts w:hint="eastAsia" w:ascii="黑体" w:hAnsi="黑体" w:eastAsia="黑体" w:cs="仿宋"/>
          <w:sz w:val="36"/>
          <w:szCs w:val="36"/>
        </w:rPr>
        <w:t>六、资格审查资料</w:t>
      </w:r>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供应商应根据供应商须知前附表第3.5（3）项的要求提供近年财务会计报表复印件，没有要求则可以不提供。</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（三）近年的类似项目情况表</w:t>
      </w: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r>
        <w:rPr>
          <w:rFonts w:hint="eastAsia" w:cs="仿宋" w:asciiTheme="minorEastAsia" w:hAnsiTheme="minorEastAsia" w:eastAsiaTheme="minorEastAsia"/>
          <w:sz w:val="24"/>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七、响应方案</w:t>
      </w:r>
      <w:r>
        <w:rPr>
          <w:rFonts w:hint="eastAsia" w:ascii="黑体" w:hAnsi="黑体" w:eastAsia="黑体" w:cs="仿宋"/>
          <w:sz w:val="36"/>
          <w:szCs w:val="36"/>
        </w:rPr>
        <w:br w:type="textWrapping"/>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(2)服务范围及内容;</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(3)服务工作的依据、工作目标;</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(4)服务机构设置(框图)、岗位职责;</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(5)拟投入本项目的服务人员及主要人员简历;</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(6)拟分包计划及情况说明;</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(7)服务质量、进度、保密等保证措施;</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(8)服务工作重点、难点分析;</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(9)对本项目的合理化建议。</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八、其他资料</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sectPr>
      <w:footerReference r:id="rId5" w:type="default"/>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4"/>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45</w:t>
        </w:r>
        <w:r>
          <w:rPr>
            <w:sz w:val="20"/>
          </w:rPr>
          <w:fldChar w:fldCharType="end"/>
        </w:r>
      </w:p>
    </w:sdtContent>
  </w:sdt>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F26E"/>
    <w:multiLevelType w:val="singleLevel"/>
    <w:tmpl w:val="DBA4F26E"/>
    <w:lvl w:ilvl="0" w:tentative="0">
      <w:start w:val="1"/>
      <w:numFmt w:val="decimal"/>
      <w:suff w:val="nothing"/>
      <w:lvlText w:val="（%1）"/>
      <w:lvlJc w:val="left"/>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A9"/>
    <w:rsid w:val="000021E0"/>
    <w:rsid w:val="00002637"/>
    <w:rsid w:val="00004047"/>
    <w:rsid w:val="00010F56"/>
    <w:rsid w:val="00024612"/>
    <w:rsid w:val="00044051"/>
    <w:rsid w:val="00045372"/>
    <w:rsid w:val="00045996"/>
    <w:rsid w:val="00053E1B"/>
    <w:rsid w:val="0006009C"/>
    <w:rsid w:val="00077817"/>
    <w:rsid w:val="00080B47"/>
    <w:rsid w:val="000A0047"/>
    <w:rsid w:val="000A7926"/>
    <w:rsid w:val="000B4936"/>
    <w:rsid w:val="000C4E44"/>
    <w:rsid w:val="000C5689"/>
    <w:rsid w:val="000D0FD0"/>
    <w:rsid w:val="000D3A07"/>
    <w:rsid w:val="000E5829"/>
    <w:rsid w:val="000F2F60"/>
    <w:rsid w:val="000F3D59"/>
    <w:rsid w:val="000F572C"/>
    <w:rsid w:val="000F65C5"/>
    <w:rsid w:val="00101210"/>
    <w:rsid w:val="00124EA9"/>
    <w:rsid w:val="00133753"/>
    <w:rsid w:val="00141200"/>
    <w:rsid w:val="001421A1"/>
    <w:rsid w:val="0014231F"/>
    <w:rsid w:val="001429F5"/>
    <w:rsid w:val="00143EE9"/>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2239A"/>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2ED"/>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43ED"/>
    <w:rsid w:val="005A70E0"/>
    <w:rsid w:val="005B251E"/>
    <w:rsid w:val="005C4BCE"/>
    <w:rsid w:val="005E5529"/>
    <w:rsid w:val="005E5C66"/>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E4510"/>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413B0"/>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3F50"/>
    <w:rsid w:val="00B3664B"/>
    <w:rsid w:val="00B439A9"/>
    <w:rsid w:val="00B4446C"/>
    <w:rsid w:val="00B60605"/>
    <w:rsid w:val="00B64A25"/>
    <w:rsid w:val="00B6591E"/>
    <w:rsid w:val="00B66C84"/>
    <w:rsid w:val="00B75297"/>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B45C5"/>
    <w:rsid w:val="00EC1A38"/>
    <w:rsid w:val="00EC394D"/>
    <w:rsid w:val="00EC4B84"/>
    <w:rsid w:val="00EC5AF3"/>
    <w:rsid w:val="00ED0C16"/>
    <w:rsid w:val="00EE75AA"/>
    <w:rsid w:val="00F014DF"/>
    <w:rsid w:val="00F0428D"/>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0FF670A"/>
    <w:rsid w:val="016110F4"/>
    <w:rsid w:val="01AC7279"/>
    <w:rsid w:val="01B372CB"/>
    <w:rsid w:val="02C82FD8"/>
    <w:rsid w:val="04A65DBC"/>
    <w:rsid w:val="053475EE"/>
    <w:rsid w:val="05C8377A"/>
    <w:rsid w:val="05CD3A4B"/>
    <w:rsid w:val="05EF1FFE"/>
    <w:rsid w:val="071C2DD7"/>
    <w:rsid w:val="08826D5B"/>
    <w:rsid w:val="09343645"/>
    <w:rsid w:val="09C6304D"/>
    <w:rsid w:val="09E7100A"/>
    <w:rsid w:val="0AED2D32"/>
    <w:rsid w:val="0AF00027"/>
    <w:rsid w:val="0B0D605F"/>
    <w:rsid w:val="0B300652"/>
    <w:rsid w:val="0C905B62"/>
    <w:rsid w:val="0CCC561D"/>
    <w:rsid w:val="0CE02BCB"/>
    <w:rsid w:val="0D414932"/>
    <w:rsid w:val="0D8B5F9E"/>
    <w:rsid w:val="0DB759FC"/>
    <w:rsid w:val="0E891CDE"/>
    <w:rsid w:val="0F250657"/>
    <w:rsid w:val="0FE216C6"/>
    <w:rsid w:val="10A157BC"/>
    <w:rsid w:val="10D715D2"/>
    <w:rsid w:val="113B3D20"/>
    <w:rsid w:val="119E5E08"/>
    <w:rsid w:val="136C60D7"/>
    <w:rsid w:val="145076DA"/>
    <w:rsid w:val="149C34F4"/>
    <w:rsid w:val="14B70C0B"/>
    <w:rsid w:val="16314BAD"/>
    <w:rsid w:val="17100B20"/>
    <w:rsid w:val="17594306"/>
    <w:rsid w:val="17D539F2"/>
    <w:rsid w:val="17DD7BFF"/>
    <w:rsid w:val="18961368"/>
    <w:rsid w:val="189F63B2"/>
    <w:rsid w:val="18E4741C"/>
    <w:rsid w:val="19097045"/>
    <w:rsid w:val="196A4431"/>
    <w:rsid w:val="1A104EBC"/>
    <w:rsid w:val="1ABA20D4"/>
    <w:rsid w:val="1C2276D5"/>
    <w:rsid w:val="1D5D05DC"/>
    <w:rsid w:val="1DAB68D7"/>
    <w:rsid w:val="1DBB01B3"/>
    <w:rsid w:val="1DC7279C"/>
    <w:rsid w:val="1DEC3661"/>
    <w:rsid w:val="1E1F3B60"/>
    <w:rsid w:val="1E5803E7"/>
    <w:rsid w:val="1E901304"/>
    <w:rsid w:val="1F031D0C"/>
    <w:rsid w:val="1F2E0BFF"/>
    <w:rsid w:val="1F833B5F"/>
    <w:rsid w:val="1F9D58D9"/>
    <w:rsid w:val="1FB37BD1"/>
    <w:rsid w:val="1FBF76D7"/>
    <w:rsid w:val="210E5B18"/>
    <w:rsid w:val="212E078A"/>
    <w:rsid w:val="22CD0ADC"/>
    <w:rsid w:val="23331D17"/>
    <w:rsid w:val="235B5479"/>
    <w:rsid w:val="24C25045"/>
    <w:rsid w:val="24CF2408"/>
    <w:rsid w:val="25313DAC"/>
    <w:rsid w:val="25670F4C"/>
    <w:rsid w:val="264E6DB9"/>
    <w:rsid w:val="26A05072"/>
    <w:rsid w:val="2872440F"/>
    <w:rsid w:val="28EE7628"/>
    <w:rsid w:val="295E13D6"/>
    <w:rsid w:val="295F1BEE"/>
    <w:rsid w:val="29FE7C6D"/>
    <w:rsid w:val="2A7757C9"/>
    <w:rsid w:val="2A810C26"/>
    <w:rsid w:val="2AEB642C"/>
    <w:rsid w:val="2BB311E2"/>
    <w:rsid w:val="2BF10955"/>
    <w:rsid w:val="2D101F87"/>
    <w:rsid w:val="2D933C05"/>
    <w:rsid w:val="2E41641E"/>
    <w:rsid w:val="2E944985"/>
    <w:rsid w:val="2EC12A17"/>
    <w:rsid w:val="2FD26F55"/>
    <w:rsid w:val="30096558"/>
    <w:rsid w:val="30DE2DAE"/>
    <w:rsid w:val="32756EB2"/>
    <w:rsid w:val="328A0351"/>
    <w:rsid w:val="32947966"/>
    <w:rsid w:val="329D4C70"/>
    <w:rsid w:val="339248A7"/>
    <w:rsid w:val="347E184F"/>
    <w:rsid w:val="34874156"/>
    <w:rsid w:val="34DC45DC"/>
    <w:rsid w:val="35032B89"/>
    <w:rsid w:val="35612ABD"/>
    <w:rsid w:val="35E068D3"/>
    <w:rsid w:val="36237A11"/>
    <w:rsid w:val="369E5F5A"/>
    <w:rsid w:val="36D57A86"/>
    <w:rsid w:val="379B30ED"/>
    <w:rsid w:val="37D15C55"/>
    <w:rsid w:val="37E36BED"/>
    <w:rsid w:val="3806709E"/>
    <w:rsid w:val="38302D1E"/>
    <w:rsid w:val="39C96499"/>
    <w:rsid w:val="3AF93B99"/>
    <w:rsid w:val="3B2B40CB"/>
    <w:rsid w:val="3B786F8B"/>
    <w:rsid w:val="3D461FBA"/>
    <w:rsid w:val="3D5B45EF"/>
    <w:rsid w:val="3F0013D8"/>
    <w:rsid w:val="3F747742"/>
    <w:rsid w:val="3FB93C81"/>
    <w:rsid w:val="407A02DD"/>
    <w:rsid w:val="41CE0EB7"/>
    <w:rsid w:val="42B9360E"/>
    <w:rsid w:val="43BC1982"/>
    <w:rsid w:val="44D14A1F"/>
    <w:rsid w:val="4503099B"/>
    <w:rsid w:val="453D7EFA"/>
    <w:rsid w:val="463D1554"/>
    <w:rsid w:val="46480423"/>
    <w:rsid w:val="46C44BD5"/>
    <w:rsid w:val="46FD0ED7"/>
    <w:rsid w:val="473A1C92"/>
    <w:rsid w:val="47592E4A"/>
    <w:rsid w:val="47D44A52"/>
    <w:rsid w:val="49061DFF"/>
    <w:rsid w:val="4A625DAC"/>
    <w:rsid w:val="4BA044F9"/>
    <w:rsid w:val="4BB73BE9"/>
    <w:rsid w:val="4BEB2031"/>
    <w:rsid w:val="4C2C5768"/>
    <w:rsid w:val="4C8D7FB6"/>
    <w:rsid w:val="4CFB75B5"/>
    <w:rsid w:val="4D7D047C"/>
    <w:rsid w:val="4E5F0909"/>
    <w:rsid w:val="4E6200BB"/>
    <w:rsid w:val="4F7855EA"/>
    <w:rsid w:val="4F940716"/>
    <w:rsid w:val="50203001"/>
    <w:rsid w:val="50613214"/>
    <w:rsid w:val="520004CA"/>
    <w:rsid w:val="5422279F"/>
    <w:rsid w:val="54C32B11"/>
    <w:rsid w:val="54DC56F8"/>
    <w:rsid w:val="56367C5B"/>
    <w:rsid w:val="56677807"/>
    <w:rsid w:val="56820D5B"/>
    <w:rsid w:val="57096D7C"/>
    <w:rsid w:val="579B0911"/>
    <w:rsid w:val="58726012"/>
    <w:rsid w:val="58D06D06"/>
    <w:rsid w:val="59D5260B"/>
    <w:rsid w:val="59F510C8"/>
    <w:rsid w:val="5A190D99"/>
    <w:rsid w:val="5A465B9D"/>
    <w:rsid w:val="5A631C3C"/>
    <w:rsid w:val="5AF71073"/>
    <w:rsid w:val="5B6270CB"/>
    <w:rsid w:val="5BB24FC7"/>
    <w:rsid w:val="5D1E4A62"/>
    <w:rsid w:val="5D5A5542"/>
    <w:rsid w:val="5DBD75BE"/>
    <w:rsid w:val="5DDB3A67"/>
    <w:rsid w:val="5E007081"/>
    <w:rsid w:val="5E2979F3"/>
    <w:rsid w:val="5E646A2E"/>
    <w:rsid w:val="5F5A7169"/>
    <w:rsid w:val="5FA558FD"/>
    <w:rsid w:val="5FC52CF8"/>
    <w:rsid w:val="5FC5301A"/>
    <w:rsid w:val="60E14966"/>
    <w:rsid w:val="62525166"/>
    <w:rsid w:val="63310F09"/>
    <w:rsid w:val="63B84F56"/>
    <w:rsid w:val="63ED139D"/>
    <w:rsid w:val="64557A48"/>
    <w:rsid w:val="65571836"/>
    <w:rsid w:val="65E54EB0"/>
    <w:rsid w:val="663E10C6"/>
    <w:rsid w:val="666552E6"/>
    <w:rsid w:val="668B7395"/>
    <w:rsid w:val="67B945ED"/>
    <w:rsid w:val="67CD5453"/>
    <w:rsid w:val="67DB2C51"/>
    <w:rsid w:val="68562B5B"/>
    <w:rsid w:val="686B311E"/>
    <w:rsid w:val="6AAA1AFA"/>
    <w:rsid w:val="6B2F5A5F"/>
    <w:rsid w:val="6B3F724F"/>
    <w:rsid w:val="6B533C17"/>
    <w:rsid w:val="6EBD7FFE"/>
    <w:rsid w:val="6EC13E25"/>
    <w:rsid w:val="6FD45398"/>
    <w:rsid w:val="715C2F1C"/>
    <w:rsid w:val="71C31377"/>
    <w:rsid w:val="71E74047"/>
    <w:rsid w:val="7205398F"/>
    <w:rsid w:val="736C43E3"/>
    <w:rsid w:val="73BC5AD9"/>
    <w:rsid w:val="73D85E91"/>
    <w:rsid w:val="742F0E63"/>
    <w:rsid w:val="7453751A"/>
    <w:rsid w:val="746453A7"/>
    <w:rsid w:val="76013066"/>
    <w:rsid w:val="76013836"/>
    <w:rsid w:val="764D1C01"/>
    <w:rsid w:val="77400CB2"/>
    <w:rsid w:val="77401EC1"/>
    <w:rsid w:val="77A40E96"/>
    <w:rsid w:val="78CA23D8"/>
    <w:rsid w:val="793B59A2"/>
    <w:rsid w:val="7A0C4A94"/>
    <w:rsid w:val="7B99300E"/>
    <w:rsid w:val="7BCF57C7"/>
    <w:rsid w:val="7BE401C5"/>
    <w:rsid w:val="7DB1356C"/>
    <w:rsid w:val="7F190573"/>
    <w:rsid w:val="7F384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6">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7">
    <w:name w:val="heading 2"/>
    <w:basedOn w:val="1"/>
    <w:next w:val="8"/>
    <w:link w:val="50"/>
    <w:qFormat/>
    <w:uiPriority w:val="0"/>
    <w:pPr>
      <w:spacing w:before="100" w:beforeAutospacing="1" w:after="100" w:afterAutospacing="1"/>
      <w:outlineLvl w:val="1"/>
    </w:pPr>
    <w:rPr>
      <w:rFonts w:ascii="宋体" w:hAnsi="宋体"/>
      <w:b/>
      <w:bCs/>
      <w:kern w:val="0"/>
      <w:sz w:val="36"/>
      <w:szCs w:val="36"/>
    </w:rPr>
  </w:style>
  <w:style w:type="paragraph" w:styleId="8">
    <w:name w:val="heading 3"/>
    <w:basedOn w:val="7"/>
    <w:next w:val="1"/>
    <w:qFormat/>
    <w:uiPriority w:val="0"/>
    <w:pPr>
      <w:keepNext/>
      <w:keepLines/>
      <w:spacing w:before="260" w:after="260" w:line="415" w:lineRule="auto"/>
      <w:outlineLvl w:val="2"/>
    </w:pPr>
    <w:rPr>
      <w:sz w:val="32"/>
      <w:szCs w:val="32"/>
    </w:rPr>
  </w:style>
  <w:style w:type="paragraph" w:styleId="9">
    <w:name w:val="heading 4"/>
    <w:basedOn w:val="1"/>
    <w:next w:val="1"/>
    <w:link w:val="185"/>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textAlignment w:val="baseline"/>
    </w:pPr>
    <w:rPr>
      <w:rFonts w:ascii="宋体"/>
      <w:sz w:val="34"/>
    </w:rPr>
  </w:style>
  <w:style w:type="paragraph" w:styleId="3">
    <w:name w:val="Body Text"/>
    <w:basedOn w:val="1"/>
    <w:next w:val="4"/>
    <w:link w:val="183"/>
    <w:semiHidden/>
    <w:unhideWhenUsed/>
    <w:qFormat/>
    <w:uiPriority w:val="99"/>
    <w:pPr>
      <w:spacing w:after="120"/>
    </w:pPr>
  </w:style>
  <w:style w:type="paragraph" w:customStyle="1" w:styleId="4">
    <w:name w:val="Body Text Indent 21"/>
    <w:basedOn w:val="1"/>
    <w:next w:val="5"/>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paragraph" w:styleId="5">
    <w:name w:val="header"/>
    <w:basedOn w:val="1"/>
    <w:link w:val="148"/>
    <w:qFormat/>
    <w:uiPriority w:val="99"/>
    <w:pPr>
      <w:snapToGrid w:val="0"/>
    </w:pPr>
    <w:rPr>
      <w:rFonts w:asciiTheme="minorHAnsi" w:hAnsiTheme="minorHAnsi" w:eastAsiaTheme="minorEastAsia" w:cstheme="minorBidi"/>
      <w:sz w:val="18"/>
      <w:szCs w:val="18"/>
    </w:rPr>
  </w:style>
  <w:style w:type="paragraph" w:styleId="10">
    <w:name w:val="index 8"/>
    <w:basedOn w:val="1"/>
    <w:next w:val="1"/>
    <w:qFormat/>
    <w:uiPriority w:val="0"/>
    <w:pPr>
      <w:ind w:left="1680" w:hanging="210"/>
    </w:pPr>
    <w:rPr>
      <w:rFonts w:ascii="Calibri" w:hAnsi="Calibri"/>
      <w:sz w:val="20"/>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index 5"/>
    <w:basedOn w:val="1"/>
    <w:next w:val="1"/>
    <w:qFormat/>
    <w:uiPriority w:val="0"/>
    <w:pPr>
      <w:ind w:left="1050" w:hanging="210"/>
    </w:pPr>
    <w:rPr>
      <w:rFonts w:ascii="Calibri" w:hAnsi="Calibri"/>
      <w:sz w:val="20"/>
      <w:szCs w:val="20"/>
    </w:rPr>
  </w:style>
  <w:style w:type="paragraph" w:styleId="13">
    <w:name w:val="Document Map"/>
    <w:basedOn w:val="1"/>
    <w:link w:val="170"/>
    <w:semiHidden/>
    <w:qFormat/>
    <w:uiPriority w:val="0"/>
    <w:pPr>
      <w:shd w:val="clear" w:color="auto" w:fill="000080"/>
    </w:pPr>
    <w:rPr>
      <w:rFonts w:asciiTheme="minorHAnsi" w:hAnsiTheme="minorHAnsi" w:eastAsiaTheme="minorEastAsia" w:cstheme="minorBidi"/>
    </w:rPr>
  </w:style>
  <w:style w:type="paragraph" w:styleId="14">
    <w:name w:val="annotation text"/>
    <w:basedOn w:val="1"/>
    <w:link w:val="167"/>
    <w:semiHidden/>
    <w:qFormat/>
    <w:uiPriority w:val="0"/>
    <w:rPr>
      <w:rFonts w:asciiTheme="minorHAnsi" w:hAnsiTheme="minorHAnsi" w:eastAsiaTheme="minorEastAsia" w:cstheme="minorBidi"/>
    </w:rPr>
  </w:style>
  <w:style w:type="paragraph" w:styleId="15">
    <w:name w:val="index 6"/>
    <w:basedOn w:val="1"/>
    <w:next w:val="1"/>
    <w:qFormat/>
    <w:uiPriority w:val="0"/>
    <w:pPr>
      <w:ind w:left="1260" w:hanging="210"/>
    </w:pPr>
    <w:rPr>
      <w:rFonts w:ascii="Calibri" w:hAnsi="Calibri"/>
      <w:sz w:val="20"/>
      <w:szCs w:val="20"/>
    </w:rPr>
  </w:style>
  <w:style w:type="paragraph" w:styleId="16">
    <w:name w:val="Body Text 3"/>
    <w:basedOn w:val="1"/>
    <w:link w:val="178"/>
    <w:semiHidden/>
    <w:unhideWhenUsed/>
    <w:qFormat/>
    <w:uiPriority w:val="99"/>
    <w:pPr>
      <w:spacing w:after="120"/>
    </w:pPr>
    <w:rPr>
      <w:sz w:val="16"/>
      <w:szCs w:val="16"/>
    </w:rPr>
  </w:style>
  <w:style w:type="paragraph" w:styleId="17">
    <w:name w:val="index 4"/>
    <w:basedOn w:val="1"/>
    <w:next w:val="1"/>
    <w:qFormat/>
    <w:uiPriority w:val="0"/>
    <w:pPr>
      <w:ind w:left="840" w:hanging="210"/>
    </w:pPr>
    <w:rPr>
      <w:rFonts w:ascii="Calibri" w:hAnsi="Calibri"/>
      <w:sz w:val="20"/>
      <w:szCs w:val="20"/>
    </w:rPr>
  </w:style>
  <w:style w:type="paragraph" w:styleId="18">
    <w:name w:val="Plain Text"/>
    <w:basedOn w:val="1"/>
    <w:link w:val="181"/>
    <w:unhideWhenUsed/>
    <w:qFormat/>
    <w:uiPriority w:val="99"/>
    <w:pPr>
      <w:widowControl w:val="0"/>
      <w:spacing w:line="240" w:lineRule="auto"/>
      <w:jc w:val="both"/>
    </w:pPr>
    <w:rPr>
      <w:rFonts w:ascii="宋体" w:hAnsi="Courier New" w:cs="Courier New"/>
      <w:szCs w:val="21"/>
    </w:rPr>
  </w:style>
  <w:style w:type="paragraph" w:styleId="19">
    <w:name w:val="index 3"/>
    <w:basedOn w:val="1"/>
    <w:next w:val="1"/>
    <w:qFormat/>
    <w:uiPriority w:val="0"/>
    <w:pPr>
      <w:ind w:left="630" w:hanging="210"/>
    </w:pPr>
    <w:rPr>
      <w:rFonts w:ascii="Calibri" w:hAnsi="Calibri"/>
      <w:sz w:val="20"/>
      <w:szCs w:val="20"/>
    </w:rPr>
  </w:style>
  <w:style w:type="paragraph" w:styleId="20">
    <w:name w:val="Date"/>
    <w:basedOn w:val="1"/>
    <w:next w:val="1"/>
    <w:link w:val="169"/>
    <w:qFormat/>
    <w:uiPriority w:val="99"/>
    <w:pPr>
      <w:ind w:left="100" w:leftChars="2500"/>
    </w:pPr>
    <w:rPr>
      <w:rFonts w:asciiTheme="minorHAnsi" w:hAnsiTheme="minorHAnsi" w:eastAsiaTheme="minorEastAsia" w:cstheme="minorBidi"/>
    </w:rPr>
  </w:style>
  <w:style w:type="paragraph" w:styleId="21">
    <w:name w:val="Body Text Indent 2"/>
    <w:basedOn w:val="1"/>
    <w:link w:val="159"/>
    <w:qFormat/>
    <w:uiPriority w:val="99"/>
    <w:pPr>
      <w:spacing w:after="120" w:line="480" w:lineRule="auto"/>
      <w:ind w:left="420" w:leftChars="200"/>
    </w:pPr>
    <w:rPr>
      <w:rFonts w:asciiTheme="minorHAnsi" w:hAnsiTheme="minorHAnsi" w:eastAsiaTheme="minorEastAsia" w:cstheme="minorBidi"/>
    </w:rPr>
  </w:style>
  <w:style w:type="paragraph" w:styleId="22">
    <w:name w:val="endnote text"/>
    <w:basedOn w:val="1"/>
    <w:link w:val="176"/>
    <w:semiHidden/>
    <w:qFormat/>
    <w:uiPriority w:val="0"/>
    <w:pPr>
      <w:snapToGrid w:val="0"/>
    </w:pPr>
    <w:rPr>
      <w:rFonts w:asciiTheme="minorHAnsi" w:hAnsiTheme="minorHAnsi" w:eastAsiaTheme="minorEastAsia" w:cstheme="minorBidi"/>
    </w:rPr>
  </w:style>
  <w:style w:type="paragraph" w:styleId="23">
    <w:name w:val="Balloon Text"/>
    <w:basedOn w:val="1"/>
    <w:link w:val="145"/>
    <w:qFormat/>
    <w:uiPriority w:val="99"/>
    <w:rPr>
      <w:rFonts w:asciiTheme="minorHAnsi" w:hAnsiTheme="minorHAnsi" w:eastAsiaTheme="minorEastAsia" w:cstheme="minorBidi"/>
      <w:sz w:val="18"/>
      <w:szCs w:val="18"/>
    </w:rPr>
  </w:style>
  <w:style w:type="paragraph" w:styleId="24">
    <w:name w:val="footer"/>
    <w:basedOn w:val="1"/>
    <w:link w:val="166"/>
    <w:qFormat/>
    <w:uiPriority w:val="99"/>
    <w:pPr>
      <w:snapToGrid w:val="0"/>
      <w:ind w:right="210" w:rightChars="100"/>
      <w:jc w:val="right"/>
    </w:pPr>
    <w:rPr>
      <w:rFonts w:asciiTheme="minorHAnsi" w:hAnsiTheme="minorHAnsi" w:eastAsiaTheme="minorEastAsia" w:cstheme="minorBidi"/>
      <w:sz w:val="18"/>
      <w:szCs w:val="18"/>
    </w:rPr>
  </w:style>
  <w:style w:type="paragraph" w:styleId="25">
    <w:name w:val="toc 1"/>
    <w:basedOn w:val="1"/>
    <w:next w:val="1"/>
    <w:semiHidden/>
    <w:qFormat/>
    <w:uiPriority w:val="0"/>
    <w:pPr>
      <w:tabs>
        <w:tab w:val="right" w:leader="dot" w:pos="9242"/>
      </w:tabs>
      <w:spacing w:beforeLines="25" w:afterLines="25"/>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1"/>
    <w:unhideWhenUsed/>
    <w:qFormat/>
    <w:uiPriority w:val="0"/>
  </w:style>
  <w:style w:type="paragraph" w:styleId="28">
    <w:name w:val="footnote text"/>
    <w:basedOn w:val="1"/>
    <w:link w:val="155"/>
    <w:qFormat/>
    <w:uiPriority w:val="0"/>
    <w:pPr>
      <w:tabs>
        <w:tab w:val="left" w:pos="0"/>
      </w:tabs>
      <w:snapToGrid w:val="0"/>
      <w:ind w:left="720" w:hanging="357"/>
    </w:pPr>
    <w:rPr>
      <w:rFonts w:ascii="宋体" w:hAnsiTheme="minorHAnsi" w:eastAsiaTheme="minorEastAsia" w:cstheme="minorBidi"/>
      <w:sz w:val="18"/>
      <w:szCs w:val="18"/>
    </w:rPr>
  </w:style>
  <w:style w:type="paragraph" w:styleId="29">
    <w:name w:val="index 7"/>
    <w:basedOn w:val="1"/>
    <w:next w:val="1"/>
    <w:qFormat/>
    <w:uiPriority w:val="0"/>
    <w:pPr>
      <w:ind w:left="1470" w:hanging="210"/>
    </w:pPr>
    <w:rPr>
      <w:rFonts w:ascii="Calibri" w:hAnsi="Calibri"/>
      <w:sz w:val="20"/>
      <w:szCs w:val="20"/>
    </w:rPr>
  </w:style>
  <w:style w:type="paragraph" w:styleId="30">
    <w:name w:val="index 9"/>
    <w:basedOn w:val="1"/>
    <w:next w:val="1"/>
    <w:qFormat/>
    <w:uiPriority w:val="0"/>
    <w:pPr>
      <w:ind w:left="1890" w:hanging="210"/>
    </w:pPr>
    <w:rPr>
      <w:rFonts w:ascii="Calibri" w:hAnsi="Calibri"/>
      <w:sz w:val="20"/>
      <w:szCs w:val="20"/>
    </w:rPr>
  </w:style>
  <w:style w:type="paragraph" w:styleId="31">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2">
    <w:name w:val="Body Text 2"/>
    <w:basedOn w:val="1"/>
    <w:qFormat/>
    <w:uiPriority w:val="0"/>
    <w:rPr>
      <w:bCs/>
      <w:kern w:val="0"/>
      <w:sz w:val="28"/>
      <w:szCs w:val="20"/>
    </w:rPr>
  </w:style>
  <w:style w:type="paragraph" w:styleId="33">
    <w:name w:val="HTML Preformatted"/>
    <w:basedOn w:val="1"/>
    <w:link w:val="153"/>
    <w:qFormat/>
    <w:uiPriority w:val="0"/>
    <w:rPr>
      <w:rFonts w:ascii="Courier New" w:hAnsi="Courier New" w:cs="Courier New" w:eastAsiaTheme="minorEastAsia"/>
      <w:szCs w:val="22"/>
    </w:rPr>
  </w:style>
  <w:style w:type="paragraph" w:styleId="34">
    <w:name w:val="Normal (Web)"/>
    <w:basedOn w:val="1"/>
    <w:unhideWhenUsed/>
    <w:qFormat/>
    <w:uiPriority w:val="99"/>
    <w:pPr>
      <w:spacing w:before="100" w:beforeAutospacing="1" w:after="100" w:afterAutospacing="1"/>
    </w:pPr>
    <w:rPr>
      <w:rFonts w:ascii="宋体" w:hAnsi="宋体" w:cs="宋体"/>
      <w:kern w:val="0"/>
      <w:sz w:val="24"/>
    </w:rPr>
  </w:style>
  <w:style w:type="paragraph" w:styleId="35">
    <w:name w:val="index 2"/>
    <w:basedOn w:val="1"/>
    <w:next w:val="1"/>
    <w:qFormat/>
    <w:uiPriority w:val="0"/>
    <w:pPr>
      <w:ind w:left="420" w:hanging="210"/>
    </w:pPr>
    <w:rPr>
      <w:rFonts w:ascii="Calibri" w:hAnsi="Calibri"/>
      <w:sz w:val="20"/>
      <w:szCs w:val="20"/>
    </w:rPr>
  </w:style>
  <w:style w:type="paragraph" w:styleId="36">
    <w:name w:val="Title"/>
    <w:basedOn w:val="1"/>
    <w:link w:val="179"/>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4"/>
    <w:next w:val="14"/>
    <w:link w:val="175"/>
    <w:semiHidden/>
    <w:qFormat/>
    <w:uiPriority w:val="0"/>
    <w:rPr>
      <w:b/>
      <w:bCs/>
    </w:rPr>
  </w:style>
  <w:style w:type="table" w:styleId="39">
    <w:name w:val="Table Grid"/>
    <w:basedOn w:val="3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qFormat/>
    <w:uiPriority w:val="99"/>
    <w:rPr>
      <w:rFonts w:ascii="Times New Roman" w:hAnsi="Times New Roman" w:eastAsia="宋体"/>
      <w:sz w:val="18"/>
    </w:rPr>
  </w:style>
  <w:style w:type="character" w:styleId="43">
    <w:name w:val="FollowedHyperlink"/>
    <w:qFormat/>
    <w:uiPriority w:val="0"/>
    <w:rPr>
      <w:color w:val="800080"/>
      <w:u w:val="single"/>
    </w:rPr>
  </w:style>
  <w:style w:type="character" w:styleId="44">
    <w:name w:val="Emphasis"/>
    <w:qFormat/>
    <w:uiPriority w:val="20"/>
    <w:rPr>
      <w:color w:val="CC0000"/>
    </w:rPr>
  </w:style>
  <w:style w:type="character" w:styleId="45">
    <w:name w:val="Hyperlink"/>
    <w:qFormat/>
    <w:uiPriority w:val="99"/>
    <w:rPr>
      <w:color w:val="0000FF"/>
      <w:spacing w:val="0"/>
      <w:w w:val="100"/>
      <w:szCs w:val="21"/>
      <w:u w:val="single"/>
      <w:lang w:val="en-US" w:eastAsia="zh-CN"/>
    </w:rPr>
  </w:style>
  <w:style w:type="character" w:styleId="46">
    <w:name w:val="annotation reference"/>
    <w:basedOn w:val="40"/>
    <w:semiHidden/>
    <w:unhideWhenUsed/>
    <w:qFormat/>
    <w:uiPriority w:val="0"/>
    <w:rPr>
      <w:sz w:val="21"/>
      <w:szCs w:val="21"/>
    </w:rPr>
  </w:style>
  <w:style w:type="character" w:styleId="47">
    <w:name w:val="footnote reference"/>
    <w:qFormat/>
    <w:uiPriority w:val="0"/>
    <w:rPr>
      <w:vertAlign w:val="superscript"/>
    </w:rPr>
  </w:style>
  <w:style w:type="paragraph" w:customStyle="1" w:styleId="48">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character" w:customStyle="1" w:styleId="49">
    <w:name w:val="标题 1 字符"/>
    <w:basedOn w:val="40"/>
    <w:link w:val="6"/>
    <w:qFormat/>
    <w:uiPriority w:val="0"/>
    <w:rPr>
      <w:rFonts w:ascii="Times New Roman" w:hAnsi="Times New Roman" w:eastAsia="宋体" w:cs="Times New Roman"/>
      <w:b/>
      <w:bCs/>
      <w:kern w:val="44"/>
      <w:sz w:val="44"/>
      <w:szCs w:val="44"/>
    </w:rPr>
  </w:style>
  <w:style w:type="character" w:customStyle="1" w:styleId="50">
    <w:name w:val="标题 2 字符"/>
    <w:basedOn w:val="40"/>
    <w:link w:val="7"/>
    <w:qFormat/>
    <w:uiPriority w:val="0"/>
    <w:rPr>
      <w:rFonts w:ascii="宋体" w:hAnsi="宋体" w:eastAsia="宋体" w:cs="Times New Roman"/>
      <w:b/>
      <w:bCs/>
      <w:kern w:val="0"/>
      <w:sz w:val="36"/>
      <w:szCs w:val="36"/>
    </w:rPr>
  </w:style>
  <w:style w:type="character" w:customStyle="1" w:styleId="51">
    <w:name w:val="批注文字 Char"/>
    <w:semiHidden/>
    <w:qFormat/>
    <w:uiPriority w:val="0"/>
    <w:rPr>
      <w:szCs w:val="24"/>
    </w:rPr>
  </w:style>
  <w:style w:type="character" w:customStyle="1" w:styleId="52">
    <w:name w:val="批注主题 Char"/>
    <w:semiHidden/>
    <w:qFormat/>
    <w:uiPriority w:val="0"/>
    <w:rPr>
      <w:b/>
      <w:bCs/>
      <w:szCs w:val="24"/>
    </w:rPr>
  </w:style>
  <w:style w:type="character" w:customStyle="1" w:styleId="53">
    <w:name w:val="文档结构图 Char"/>
    <w:semiHidden/>
    <w:qFormat/>
    <w:uiPriority w:val="0"/>
    <w:rPr>
      <w:szCs w:val="24"/>
      <w:shd w:val="clear" w:color="auto" w:fill="000080"/>
    </w:rPr>
  </w:style>
  <w:style w:type="character" w:customStyle="1" w:styleId="54">
    <w:name w:val="脚注文本 Char"/>
    <w:qFormat/>
    <w:uiPriority w:val="0"/>
    <w:rPr>
      <w:rFonts w:ascii="宋体"/>
      <w:sz w:val="18"/>
      <w:szCs w:val="18"/>
    </w:rPr>
  </w:style>
  <w:style w:type="character" w:customStyle="1" w:styleId="55">
    <w:name w:val="con"/>
    <w:qFormat/>
    <w:uiPriority w:val="0"/>
  </w:style>
  <w:style w:type="character" w:customStyle="1" w:styleId="56">
    <w:name w:val="bar-label2"/>
    <w:qFormat/>
    <w:uiPriority w:val="99"/>
  </w:style>
  <w:style w:type="character" w:customStyle="1" w:styleId="57">
    <w:name w:val="正文文本缩进 2 Char"/>
    <w:qFormat/>
    <w:uiPriority w:val="99"/>
    <w:rPr>
      <w:szCs w:val="24"/>
    </w:rPr>
  </w:style>
  <w:style w:type="character" w:customStyle="1" w:styleId="58">
    <w:name w:val="日期 Char"/>
    <w:qFormat/>
    <w:uiPriority w:val="99"/>
    <w:rPr>
      <w:szCs w:val="24"/>
    </w:rPr>
  </w:style>
  <w:style w:type="character" w:customStyle="1" w:styleId="59">
    <w:name w:val="页脚 Char"/>
    <w:qFormat/>
    <w:locked/>
    <w:uiPriority w:val="99"/>
    <w:rPr>
      <w:sz w:val="18"/>
      <w:szCs w:val="18"/>
    </w:rPr>
  </w:style>
  <w:style w:type="character" w:customStyle="1" w:styleId="60">
    <w:name w:val="apple-converted-space"/>
    <w:basedOn w:val="40"/>
    <w:qFormat/>
    <w:uiPriority w:val="0"/>
  </w:style>
  <w:style w:type="character" w:customStyle="1" w:styleId="61">
    <w:name w:val="批注框文本 Char"/>
    <w:qFormat/>
    <w:uiPriority w:val="99"/>
    <w:rPr>
      <w:sz w:val="18"/>
      <w:szCs w:val="18"/>
    </w:rPr>
  </w:style>
  <w:style w:type="character" w:customStyle="1" w:styleId="62">
    <w:name w:val="页眉 Char"/>
    <w:qFormat/>
    <w:locked/>
    <w:uiPriority w:val="99"/>
    <w:rPr>
      <w:sz w:val="18"/>
      <w:szCs w:val="18"/>
    </w:rPr>
  </w:style>
  <w:style w:type="character" w:customStyle="1" w:styleId="63">
    <w:name w:val="首示例 Char"/>
    <w:link w:val="64"/>
    <w:qFormat/>
    <w:uiPriority w:val="0"/>
    <w:rPr>
      <w:rFonts w:ascii="宋体" w:hAnsi="宋体"/>
      <w:sz w:val="18"/>
      <w:szCs w:val="18"/>
    </w:rPr>
  </w:style>
  <w:style w:type="paragraph" w:customStyle="1" w:styleId="64">
    <w:name w:val="首示例"/>
    <w:next w:val="65"/>
    <w:link w:val="63"/>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5">
    <w:name w:val="段"/>
    <w:link w:val="66"/>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6">
    <w:name w:val="段 Char"/>
    <w:link w:val="65"/>
    <w:qFormat/>
    <w:uiPriority w:val="0"/>
    <w:rPr>
      <w:rFonts w:ascii="宋体"/>
    </w:rPr>
  </w:style>
  <w:style w:type="character" w:customStyle="1" w:styleId="67">
    <w:name w:val="附录公式 Char"/>
    <w:basedOn w:val="66"/>
    <w:link w:val="68"/>
    <w:qFormat/>
    <w:uiPriority w:val="0"/>
    <w:rPr>
      <w:rFonts w:ascii="宋体"/>
    </w:rPr>
  </w:style>
  <w:style w:type="paragraph" w:customStyle="1" w:styleId="68">
    <w:name w:val="附录公式"/>
    <w:basedOn w:val="65"/>
    <w:next w:val="65"/>
    <w:link w:val="67"/>
    <w:qFormat/>
    <w:uiPriority w:val="0"/>
  </w:style>
  <w:style w:type="character" w:customStyle="1" w:styleId="69">
    <w:name w:val="发布"/>
    <w:qFormat/>
    <w:uiPriority w:val="0"/>
    <w:rPr>
      <w:rFonts w:ascii="黑体" w:eastAsia="黑体"/>
      <w:spacing w:val="85"/>
      <w:w w:val="100"/>
      <w:position w:val="3"/>
      <w:sz w:val="28"/>
      <w:szCs w:val="28"/>
    </w:rPr>
  </w:style>
  <w:style w:type="character" w:customStyle="1" w:styleId="70">
    <w:name w:val="一级条标题 Char"/>
    <w:link w:val="71"/>
    <w:qFormat/>
    <w:uiPriority w:val="0"/>
    <w:rPr>
      <w:rFonts w:ascii="黑体" w:eastAsia="黑体"/>
      <w:szCs w:val="21"/>
    </w:rPr>
  </w:style>
  <w:style w:type="paragraph" w:customStyle="1" w:styleId="71">
    <w:name w:val="一级条标题"/>
    <w:next w:val="65"/>
    <w:link w:val="70"/>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2">
    <w:name w:val="HTML 预设格式 Char"/>
    <w:qFormat/>
    <w:uiPriority w:val="0"/>
    <w:rPr>
      <w:rFonts w:ascii="Courier New" w:hAnsi="Courier New" w:cs="Courier New"/>
    </w:rPr>
  </w:style>
  <w:style w:type="character" w:customStyle="1" w:styleId="73">
    <w:name w:val="尾注文本 Char"/>
    <w:semiHidden/>
    <w:qFormat/>
    <w:uiPriority w:val="0"/>
    <w:rPr>
      <w:szCs w:val="24"/>
    </w:rPr>
  </w:style>
  <w:style w:type="paragraph" w:customStyle="1" w:styleId="74">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5">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6">
    <w:name w:val="List Paragraph"/>
    <w:basedOn w:val="1"/>
    <w:qFormat/>
    <w:uiPriority w:val="34"/>
    <w:pPr>
      <w:ind w:firstLine="420" w:firstLineChars="200"/>
    </w:pPr>
    <w:rPr>
      <w:rFonts w:ascii="宋体" w:hAnsi="宋体" w:cs="宋体"/>
      <w:kern w:val="0"/>
      <w:sz w:val="24"/>
    </w:rPr>
  </w:style>
  <w:style w:type="paragraph" w:customStyle="1" w:styleId="77">
    <w:name w:val="封面一致性程度标识2"/>
    <w:basedOn w:val="78"/>
    <w:qFormat/>
    <w:uiPriority w:val="0"/>
    <w:pPr>
      <w:framePr w:wrap="around" w:y="4469"/>
    </w:pPr>
  </w:style>
  <w:style w:type="paragraph" w:customStyle="1" w:styleId="78">
    <w:name w:val="封面一致性程度标识"/>
    <w:basedOn w:val="79"/>
    <w:qFormat/>
    <w:uiPriority w:val="0"/>
    <w:pPr>
      <w:framePr w:wrap="around"/>
      <w:spacing w:before="440"/>
    </w:pPr>
    <w:rPr>
      <w:rFonts w:ascii="宋体" w:eastAsia="宋体"/>
    </w:rPr>
  </w:style>
  <w:style w:type="paragraph" w:customStyle="1" w:styleId="79">
    <w:name w:val="封面标准英文名称"/>
    <w:basedOn w:val="80"/>
    <w:qFormat/>
    <w:uiPriority w:val="0"/>
    <w:pPr>
      <w:framePr w:wrap="around"/>
      <w:spacing w:before="370" w:line="400" w:lineRule="exact"/>
    </w:pPr>
    <w:rPr>
      <w:rFonts w:ascii="Times New Roman"/>
      <w:sz w:val="28"/>
      <w:szCs w:val="28"/>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2"/>
    <w:basedOn w:val="79"/>
    <w:qFormat/>
    <w:uiPriority w:val="0"/>
    <w:pPr>
      <w:framePr w:wrap="around" w:y="4469"/>
    </w:pPr>
  </w:style>
  <w:style w:type="paragraph" w:customStyle="1" w:styleId="82">
    <w:name w:val="其他发布日期"/>
    <w:basedOn w:val="83"/>
    <w:qFormat/>
    <w:uiPriority w:val="0"/>
    <w:pPr>
      <w:framePr w:wrap="around" w:vAnchor="page" w:hAnchor="text" w:x="1419"/>
    </w:pPr>
  </w:style>
  <w:style w:type="paragraph" w:customStyle="1" w:styleId="83">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4">
    <w:name w:val="正文公式编号制表符"/>
    <w:basedOn w:val="65"/>
    <w:next w:val="65"/>
    <w:qFormat/>
    <w:uiPriority w:val="0"/>
    <w:pPr>
      <w:ind w:firstLine="0" w:firstLineChars="0"/>
    </w:pPr>
  </w:style>
  <w:style w:type="paragraph" w:customStyle="1" w:styleId="85">
    <w:name w:val="正文表标题"/>
    <w:next w:val="65"/>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6">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7">
    <w:name w:val="一级无"/>
    <w:basedOn w:val="71"/>
    <w:qFormat/>
    <w:uiPriority w:val="0"/>
  </w:style>
  <w:style w:type="paragraph" w:customStyle="1" w:styleId="88">
    <w:name w:val="图的脚注"/>
    <w:next w:val="65"/>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9">
    <w:name w:val="图标脚注说明"/>
    <w:basedOn w:val="65"/>
    <w:qFormat/>
    <w:uiPriority w:val="0"/>
    <w:pPr>
      <w:ind w:left="840" w:hanging="420" w:firstLineChars="0"/>
    </w:pPr>
    <w:rPr>
      <w:sz w:val="18"/>
      <w:szCs w:val="18"/>
    </w:rPr>
  </w:style>
  <w:style w:type="paragraph" w:customStyle="1" w:styleId="90">
    <w:name w:val="示例后文字"/>
    <w:basedOn w:val="65"/>
    <w:next w:val="65"/>
    <w:qFormat/>
    <w:uiPriority w:val="0"/>
    <w:pPr>
      <w:ind w:firstLine="360"/>
    </w:pPr>
    <w:rPr>
      <w:sz w:val="18"/>
    </w:rPr>
  </w:style>
  <w:style w:type="paragraph" w:customStyle="1" w:styleId="91">
    <w:name w:val="实施日期"/>
    <w:basedOn w:val="83"/>
    <w:qFormat/>
    <w:uiPriority w:val="0"/>
    <w:pPr>
      <w:framePr w:wrap="around" w:vAnchor="page" w:hAnchor="text"/>
      <w:jc w:val="right"/>
    </w:pPr>
  </w:style>
  <w:style w:type="paragraph" w:customStyle="1" w:styleId="92">
    <w:name w:val="前言、引言标题"/>
    <w:next w:val="65"/>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6">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7">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8">
    <w:name w:val="条文脚注"/>
    <w:basedOn w:val="28"/>
    <w:qFormat/>
    <w:uiPriority w:val="0"/>
    <w:pPr>
      <w:ind w:left="0" w:firstLine="0"/>
      <w:jc w:val="both"/>
    </w:pPr>
  </w:style>
  <w:style w:type="paragraph" w:customStyle="1" w:styleId="99">
    <w:name w:val="附录一级无"/>
    <w:basedOn w:val="100"/>
    <w:qFormat/>
    <w:uiPriority w:val="0"/>
    <w:pPr>
      <w:tabs>
        <w:tab w:val="left" w:pos="360"/>
      </w:tabs>
      <w:spacing w:beforeLines="0" w:afterLines="0"/>
    </w:pPr>
    <w:rPr>
      <w:rFonts w:ascii="宋体" w:eastAsia="宋体"/>
      <w:szCs w:val="21"/>
    </w:rPr>
  </w:style>
  <w:style w:type="paragraph" w:customStyle="1" w:styleId="100">
    <w:name w:val="附录一级条标题"/>
    <w:basedOn w:val="101"/>
    <w:next w:val="65"/>
    <w:qFormat/>
    <w:uiPriority w:val="0"/>
    <w:pPr>
      <w:tabs>
        <w:tab w:val="left" w:pos="360"/>
      </w:tabs>
      <w:autoSpaceDN w:val="0"/>
      <w:spacing w:beforeLines="50" w:afterLines="50"/>
      <w:outlineLvl w:val="2"/>
    </w:pPr>
  </w:style>
  <w:style w:type="paragraph" w:customStyle="1" w:styleId="101">
    <w:name w:val="附录章标题"/>
    <w:next w:val="65"/>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五级无"/>
    <w:basedOn w:val="103"/>
    <w:qFormat/>
    <w:uiPriority w:val="0"/>
    <w:pPr>
      <w:tabs>
        <w:tab w:val="left" w:pos="360"/>
      </w:tabs>
      <w:spacing w:beforeLines="0" w:afterLines="0"/>
    </w:pPr>
    <w:rPr>
      <w:rFonts w:ascii="宋体" w:eastAsia="宋体"/>
      <w:szCs w:val="21"/>
    </w:rPr>
  </w:style>
  <w:style w:type="paragraph" w:customStyle="1" w:styleId="103">
    <w:name w:val="附录五级条标题"/>
    <w:basedOn w:val="104"/>
    <w:next w:val="65"/>
    <w:qFormat/>
    <w:uiPriority w:val="0"/>
    <w:pPr>
      <w:tabs>
        <w:tab w:val="left" w:pos="360"/>
      </w:tabs>
      <w:outlineLvl w:val="6"/>
    </w:pPr>
  </w:style>
  <w:style w:type="paragraph" w:customStyle="1" w:styleId="104">
    <w:name w:val="附录四级条标题"/>
    <w:basedOn w:val="105"/>
    <w:next w:val="65"/>
    <w:qFormat/>
    <w:uiPriority w:val="0"/>
    <w:pPr>
      <w:tabs>
        <w:tab w:val="left" w:pos="360"/>
      </w:tabs>
    </w:pPr>
  </w:style>
  <w:style w:type="paragraph" w:customStyle="1" w:styleId="105">
    <w:name w:val="附录三级条标题"/>
    <w:basedOn w:val="106"/>
    <w:next w:val="65"/>
    <w:qFormat/>
    <w:uiPriority w:val="0"/>
    <w:pPr>
      <w:tabs>
        <w:tab w:val="left" w:pos="360"/>
      </w:tabs>
    </w:pPr>
  </w:style>
  <w:style w:type="paragraph" w:customStyle="1" w:styleId="106">
    <w:name w:val="附录二级条标题"/>
    <w:basedOn w:val="1"/>
    <w:next w:val="65"/>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7">
    <w:name w:val="附录图标题"/>
    <w:basedOn w:val="1"/>
    <w:next w:val="65"/>
    <w:qFormat/>
    <w:uiPriority w:val="0"/>
    <w:pPr>
      <w:tabs>
        <w:tab w:val="left" w:pos="363"/>
      </w:tabs>
      <w:spacing w:beforeLines="50" w:afterLines="50"/>
      <w:jc w:val="center"/>
    </w:pPr>
    <w:rPr>
      <w:rFonts w:ascii="黑体" w:eastAsia="黑体"/>
      <w:szCs w:val="21"/>
    </w:rPr>
  </w:style>
  <w:style w:type="paragraph" w:customStyle="1" w:styleId="108">
    <w:name w:val="附录图标号"/>
    <w:basedOn w:val="1"/>
    <w:qFormat/>
    <w:uiPriority w:val="0"/>
    <w:pPr>
      <w:keepNext/>
      <w:pageBreakBefore/>
      <w:spacing w:line="14" w:lineRule="exact"/>
      <w:ind w:firstLine="363"/>
      <w:jc w:val="center"/>
      <w:outlineLvl w:val="0"/>
    </w:pPr>
    <w:rPr>
      <w:color w:val="FFFFFF"/>
    </w:rPr>
  </w:style>
  <w:style w:type="paragraph" w:customStyle="1" w:styleId="109">
    <w:name w:val="附录四级无"/>
    <w:basedOn w:val="104"/>
    <w:qFormat/>
    <w:uiPriority w:val="0"/>
    <w:pPr>
      <w:tabs>
        <w:tab w:val="clear" w:pos="360"/>
      </w:tabs>
      <w:spacing w:beforeLines="0" w:afterLines="0"/>
      <w:outlineLvl w:val="5"/>
    </w:pPr>
    <w:rPr>
      <w:rFonts w:ascii="宋体" w:eastAsia="宋体"/>
      <w:szCs w:val="21"/>
    </w:rPr>
  </w:style>
  <w:style w:type="paragraph" w:customStyle="1" w:styleId="110">
    <w:name w:val="附录三级无"/>
    <w:basedOn w:val="105"/>
    <w:qFormat/>
    <w:uiPriority w:val="0"/>
  </w:style>
  <w:style w:type="paragraph" w:customStyle="1" w:styleId="111">
    <w:name w:val="注："/>
    <w:next w:val="65"/>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2">
    <w:name w:val="附录公式编号制表符"/>
    <w:basedOn w:val="1"/>
    <w:next w:val="65"/>
    <w:qFormat/>
    <w:uiPriority w:val="0"/>
    <w:pPr>
      <w:tabs>
        <w:tab w:val="center" w:pos="4201"/>
        <w:tab w:val="right" w:leader="dot" w:pos="9298"/>
      </w:tabs>
      <w:autoSpaceDE w:val="0"/>
      <w:autoSpaceDN w:val="0"/>
    </w:pPr>
    <w:rPr>
      <w:rFonts w:ascii="宋体"/>
      <w:kern w:val="0"/>
      <w:szCs w:val="20"/>
    </w:rPr>
  </w:style>
  <w:style w:type="paragraph" w:customStyle="1" w:styleId="113">
    <w:name w:val="附录二级无"/>
    <w:basedOn w:val="106"/>
    <w:qFormat/>
    <w:uiPriority w:val="0"/>
  </w:style>
  <w:style w:type="paragraph" w:customStyle="1" w:styleId="114">
    <w:name w:val="附录标题"/>
    <w:basedOn w:val="65"/>
    <w:next w:val="65"/>
    <w:qFormat/>
    <w:uiPriority w:val="0"/>
    <w:pPr>
      <w:ind w:firstLine="0" w:firstLineChars="0"/>
      <w:jc w:val="center"/>
    </w:pPr>
    <w:rPr>
      <w:rFonts w:ascii="黑体" w:eastAsia="黑体"/>
    </w:rPr>
  </w:style>
  <w:style w:type="paragraph" w:customStyle="1" w:styleId="115">
    <w:name w:val="参考文献"/>
    <w:basedOn w:val="1"/>
    <w:next w:val="65"/>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6">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7">
    <w:name w:val="封面标准文稿类别"/>
    <w:basedOn w:val="78"/>
    <w:qFormat/>
    <w:uiPriority w:val="0"/>
    <w:pPr>
      <w:framePr w:wrap="around"/>
      <w:spacing w:after="160" w:line="240" w:lineRule="auto"/>
    </w:pPr>
    <w:rPr>
      <w:sz w:val="24"/>
    </w:rPr>
  </w:style>
  <w:style w:type="paragraph" w:customStyle="1" w:styleId="118">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9">
    <w:name w:val="其他实施日期"/>
    <w:basedOn w:val="91"/>
    <w:qFormat/>
    <w:uiPriority w:val="0"/>
    <w:pPr>
      <w:framePr w:wrap="around" w:vAnchor="margin" w:hAnchor="page"/>
    </w:pPr>
  </w:style>
  <w:style w:type="paragraph" w:customStyle="1" w:styleId="12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1">
    <w:name w:val="发布部门"/>
    <w:next w:val="65"/>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2">
    <w:name w:val="注：（正文）"/>
    <w:basedOn w:val="111"/>
    <w:next w:val="65"/>
    <w:qFormat/>
    <w:uiPriority w:val="0"/>
  </w:style>
  <w:style w:type="paragraph" w:customStyle="1" w:styleId="123">
    <w:name w:val="参考文献、索引标题"/>
    <w:basedOn w:val="1"/>
    <w:next w:val="65"/>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6">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7">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8">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9">
    <w:name w:val="示例×："/>
    <w:basedOn w:val="130"/>
    <w:qFormat/>
    <w:uiPriority w:val="0"/>
    <w:pPr>
      <w:spacing w:beforeLines="0" w:afterLines="0"/>
      <w:ind w:firstLine="363"/>
      <w:outlineLvl w:val="9"/>
    </w:pPr>
    <w:rPr>
      <w:rFonts w:ascii="宋体" w:eastAsia="宋体"/>
      <w:sz w:val="18"/>
      <w:szCs w:val="18"/>
    </w:rPr>
  </w:style>
  <w:style w:type="paragraph" w:customStyle="1" w:styleId="130">
    <w:name w:val="章标题"/>
    <w:next w:val="65"/>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1">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2">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3">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4">
    <w:name w:val="五级无"/>
    <w:basedOn w:val="135"/>
    <w:qFormat/>
    <w:uiPriority w:val="0"/>
    <w:pPr>
      <w:spacing w:beforeLines="0" w:afterLines="0"/>
      <w:outlineLvl w:val="6"/>
    </w:pPr>
    <w:rPr>
      <w:rFonts w:ascii="宋体" w:eastAsia="宋体"/>
    </w:rPr>
  </w:style>
  <w:style w:type="paragraph" w:customStyle="1" w:styleId="135">
    <w:name w:val="五级条标题"/>
    <w:basedOn w:val="136"/>
    <w:next w:val="65"/>
    <w:qFormat/>
    <w:uiPriority w:val="0"/>
  </w:style>
  <w:style w:type="paragraph" w:customStyle="1" w:styleId="136">
    <w:name w:val="四级条标题"/>
    <w:basedOn w:val="137"/>
    <w:next w:val="65"/>
    <w:qFormat/>
    <w:uiPriority w:val="0"/>
  </w:style>
  <w:style w:type="paragraph" w:customStyle="1" w:styleId="137">
    <w:name w:val="三级条标题"/>
    <w:basedOn w:val="138"/>
    <w:next w:val="65"/>
    <w:qFormat/>
    <w:uiPriority w:val="0"/>
  </w:style>
  <w:style w:type="paragraph" w:customStyle="1" w:styleId="138">
    <w:name w:val="二级条标题"/>
    <w:basedOn w:val="71"/>
    <w:next w:val="65"/>
    <w:qFormat/>
    <w:uiPriority w:val="0"/>
  </w:style>
  <w:style w:type="paragraph" w:customStyle="1" w:styleId="139">
    <w:name w:val="四级无"/>
    <w:basedOn w:val="136"/>
    <w:qFormat/>
    <w:uiPriority w:val="0"/>
  </w:style>
  <w:style w:type="paragraph" w:customStyle="1" w:styleId="140">
    <w:name w:val="三级无"/>
    <w:basedOn w:val="137"/>
    <w:qFormat/>
    <w:uiPriority w:val="0"/>
  </w:style>
  <w:style w:type="paragraph" w:customStyle="1" w:styleId="141">
    <w:name w:val="其他标准标志"/>
    <w:basedOn w:val="125"/>
    <w:qFormat/>
    <w:uiPriority w:val="0"/>
    <w:pPr>
      <w:framePr w:w="6101" w:wrap="around" w:vAnchor="page" w:hAnchor="page" w:x="4673" w:y="942"/>
    </w:pPr>
    <w:rPr>
      <w:w w:val="130"/>
    </w:rPr>
  </w:style>
  <w:style w:type="paragraph" w:customStyle="1" w:styleId="142">
    <w:name w:val="目次、标准名称标题"/>
    <w:basedOn w:val="1"/>
    <w:next w:val="65"/>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4">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5">
    <w:name w:val="批注框文本 字符"/>
    <w:basedOn w:val="40"/>
    <w:link w:val="23"/>
    <w:semiHidden/>
    <w:qFormat/>
    <w:uiPriority w:val="99"/>
    <w:rPr>
      <w:rFonts w:ascii="Times New Roman" w:hAnsi="Times New Roman" w:eastAsia="宋体" w:cs="Times New Roman"/>
      <w:sz w:val="18"/>
      <w:szCs w:val="18"/>
    </w:rPr>
  </w:style>
  <w:style w:type="paragraph" w:customStyle="1" w:styleId="146">
    <w:name w:val="列项◆（三级）"/>
    <w:basedOn w:val="1"/>
    <w:qFormat/>
    <w:uiPriority w:val="99"/>
    <w:pPr>
      <w:tabs>
        <w:tab w:val="left" w:pos="969"/>
      </w:tabs>
      <w:ind w:left="969" w:hanging="414"/>
    </w:pPr>
    <w:rPr>
      <w:rFonts w:ascii="宋体"/>
      <w:szCs w:val="21"/>
    </w:rPr>
  </w:style>
  <w:style w:type="paragraph" w:customStyle="1" w:styleId="147">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8">
    <w:name w:val="页眉 字符"/>
    <w:basedOn w:val="40"/>
    <w:link w:val="5"/>
    <w:semiHidden/>
    <w:qFormat/>
    <w:uiPriority w:val="99"/>
    <w:rPr>
      <w:rFonts w:ascii="Times New Roman" w:hAnsi="Times New Roman" w:eastAsia="宋体" w:cs="Times New Roman"/>
      <w:sz w:val="18"/>
      <w:szCs w:val="18"/>
    </w:rPr>
  </w:style>
  <w:style w:type="paragraph" w:customStyle="1" w:styleId="149">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0">
    <w:name w:val="其他发布部门"/>
    <w:basedOn w:val="121"/>
    <w:qFormat/>
    <w:uiPriority w:val="0"/>
    <w:pPr>
      <w:framePr w:wrap="around" w:y="15310"/>
      <w:spacing w:line="0" w:lineRule="atLeast"/>
    </w:pPr>
    <w:rPr>
      <w:rFonts w:ascii="黑体" w:eastAsia="黑体"/>
      <w:b w:val="0"/>
    </w:rPr>
  </w:style>
  <w:style w:type="paragraph" w:customStyle="1" w:styleId="151">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2">
    <w:name w:val="正文图标题"/>
    <w:next w:val="65"/>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3">
    <w:name w:val="HTML 预设格式 字符"/>
    <w:basedOn w:val="40"/>
    <w:link w:val="33"/>
    <w:semiHidden/>
    <w:qFormat/>
    <w:uiPriority w:val="99"/>
    <w:rPr>
      <w:rFonts w:ascii="Courier New" w:hAnsi="Courier New" w:eastAsia="宋体" w:cs="Courier New"/>
      <w:sz w:val="20"/>
      <w:szCs w:val="20"/>
    </w:rPr>
  </w:style>
  <w:style w:type="paragraph" w:customStyle="1" w:styleId="154">
    <w:name w:val="附录标识"/>
    <w:basedOn w:val="1"/>
    <w:next w:val="65"/>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5">
    <w:name w:val="脚注文本 字符"/>
    <w:basedOn w:val="40"/>
    <w:link w:val="28"/>
    <w:semiHidden/>
    <w:qFormat/>
    <w:uiPriority w:val="99"/>
    <w:rPr>
      <w:rFonts w:ascii="Times New Roman" w:hAnsi="Times New Roman" w:eastAsia="宋体" w:cs="Times New Roman"/>
      <w:sz w:val="18"/>
      <w:szCs w:val="18"/>
    </w:rPr>
  </w:style>
  <w:style w:type="paragraph" w:customStyle="1" w:styleId="156">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7">
    <w:name w:val="二级无"/>
    <w:basedOn w:val="138"/>
    <w:qFormat/>
    <w:uiPriority w:val="0"/>
  </w:style>
  <w:style w:type="paragraph" w:customStyle="1" w:styleId="158">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9">
    <w:name w:val="正文文本缩进 2 字符"/>
    <w:basedOn w:val="40"/>
    <w:link w:val="21"/>
    <w:semiHidden/>
    <w:qFormat/>
    <w:uiPriority w:val="99"/>
    <w:rPr>
      <w:rFonts w:ascii="Times New Roman" w:hAnsi="Times New Roman" w:eastAsia="宋体" w:cs="Times New Roman"/>
      <w:szCs w:val="24"/>
    </w:rPr>
  </w:style>
  <w:style w:type="paragraph" w:customStyle="1" w:styleId="160">
    <w:name w:val="封面标准文稿编辑信息2"/>
    <w:basedOn w:val="161"/>
    <w:qFormat/>
    <w:uiPriority w:val="0"/>
    <w:pPr>
      <w:framePr w:wrap="around" w:y="4469"/>
    </w:pPr>
  </w:style>
  <w:style w:type="paragraph" w:customStyle="1" w:styleId="161">
    <w:name w:val="封面标准文稿编辑信息"/>
    <w:basedOn w:val="117"/>
    <w:qFormat/>
    <w:uiPriority w:val="0"/>
    <w:pPr>
      <w:framePr w:wrap="around"/>
      <w:spacing w:before="180" w:line="180" w:lineRule="exact"/>
    </w:pPr>
    <w:rPr>
      <w:sz w:val="21"/>
    </w:rPr>
  </w:style>
  <w:style w:type="paragraph" w:customStyle="1" w:styleId="162">
    <w:name w:val="附录表标题"/>
    <w:basedOn w:val="1"/>
    <w:next w:val="65"/>
    <w:qFormat/>
    <w:uiPriority w:val="0"/>
    <w:pPr>
      <w:tabs>
        <w:tab w:val="left" w:pos="180"/>
      </w:tabs>
      <w:spacing w:beforeLines="50" w:afterLines="50"/>
      <w:jc w:val="center"/>
    </w:pPr>
    <w:rPr>
      <w:rFonts w:ascii="黑体" w:eastAsia="黑体"/>
      <w:szCs w:val="21"/>
    </w:rPr>
  </w:style>
  <w:style w:type="paragraph" w:customStyle="1" w:styleId="163">
    <w:name w:val="标准书眉_偶数页"/>
    <w:basedOn w:val="147"/>
    <w:next w:val="1"/>
    <w:qFormat/>
    <w:uiPriority w:val="0"/>
    <w:pPr>
      <w:jc w:val="left"/>
    </w:pPr>
  </w:style>
  <w:style w:type="paragraph" w:customStyle="1" w:styleId="164">
    <w:name w:val="附录表标号"/>
    <w:basedOn w:val="1"/>
    <w:next w:val="65"/>
    <w:qFormat/>
    <w:uiPriority w:val="0"/>
    <w:pPr>
      <w:spacing w:line="14" w:lineRule="exact"/>
      <w:ind w:left="811" w:hanging="448"/>
      <w:jc w:val="center"/>
      <w:outlineLvl w:val="0"/>
    </w:pPr>
    <w:rPr>
      <w:color w:val="FFFFFF"/>
    </w:rPr>
  </w:style>
  <w:style w:type="paragraph" w:customStyle="1" w:styleId="165">
    <w:name w:val="图表脚注说明"/>
    <w:basedOn w:val="1"/>
    <w:qFormat/>
    <w:uiPriority w:val="0"/>
    <w:pPr>
      <w:ind w:left="544" w:hanging="181"/>
    </w:pPr>
    <w:rPr>
      <w:rFonts w:ascii="宋体"/>
      <w:sz w:val="18"/>
      <w:szCs w:val="18"/>
    </w:rPr>
  </w:style>
  <w:style w:type="character" w:customStyle="1" w:styleId="166">
    <w:name w:val="页脚 字符"/>
    <w:basedOn w:val="40"/>
    <w:link w:val="24"/>
    <w:semiHidden/>
    <w:qFormat/>
    <w:uiPriority w:val="99"/>
    <w:rPr>
      <w:rFonts w:ascii="Times New Roman" w:hAnsi="Times New Roman" w:eastAsia="宋体" w:cs="Times New Roman"/>
      <w:sz w:val="18"/>
      <w:szCs w:val="18"/>
    </w:rPr>
  </w:style>
  <w:style w:type="character" w:customStyle="1" w:styleId="167">
    <w:name w:val="批注文字 字符"/>
    <w:basedOn w:val="40"/>
    <w:link w:val="14"/>
    <w:semiHidden/>
    <w:qFormat/>
    <w:uiPriority w:val="99"/>
    <w:rPr>
      <w:rFonts w:ascii="Times New Roman" w:hAnsi="Times New Roman" w:eastAsia="宋体" w:cs="Times New Roman"/>
      <w:szCs w:val="24"/>
    </w:rPr>
  </w:style>
  <w:style w:type="paragraph" w:customStyle="1" w:styleId="168">
    <w:name w:val="封面标准名称2"/>
    <w:basedOn w:val="80"/>
    <w:qFormat/>
    <w:uiPriority w:val="0"/>
    <w:pPr>
      <w:framePr w:wrap="around" w:y="4469"/>
      <w:spacing w:beforeLines="630"/>
    </w:pPr>
  </w:style>
  <w:style w:type="character" w:customStyle="1" w:styleId="169">
    <w:name w:val="日期 字符"/>
    <w:basedOn w:val="40"/>
    <w:link w:val="20"/>
    <w:semiHidden/>
    <w:qFormat/>
    <w:uiPriority w:val="99"/>
    <w:rPr>
      <w:rFonts w:ascii="Times New Roman" w:hAnsi="Times New Roman" w:eastAsia="宋体" w:cs="Times New Roman"/>
      <w:szCs w:val="24"/>
    </w:rPr>
  </w:style>
  <w:style w:type="character" w:customStyle="1" w:styleId="170">
    <w:name w:val="文档结构图 字符"/>
    <w:basedOn w:val="40"/>
    <w:link w:val="13"/>
    <w:semiHidden/>
    <w:qFormat/>
    <w:uiPriority w:val="99"/>
    <w:rPr>
      <w:rFonts w:ascii="宋体" w:hAnsi="Times New Roman" w:eastAsia="宋体" w:cs="Times New Roman"/>
      <w:sz w:val="18"/>
      <w:szCs w:val="18"/>
    </w:rPr>
  </w:style>
  <w:style w:type="paragraph" w:customStyle="1" w:styleId="171">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2">
    <w:name w:val="封面标准文稿类别2"/>
    <w:basedOn w:val="117"/>
    <w:qFormat/>
    <w:uiPriority w:val="0"/>
    <w:pPr>
      <w:framePr w:wrap="around" w:y="4469"/>
    </w:pPr>
  </w:style>
  <w:style w:type="paragraph" w:customStyle="1" w:styleId="173">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4">
    <w:name w:val="终结线"/>
    <w:basedOn w:val="1"/>
    <w:qFormat/>
    <w:uiPriority w:val="0"/>
    <w:pPr>
      <w:framePr w:hSpace="181" w:vSpace="181" w:wrap="around" w:vAnchor="text" w:hAnchor="margin" w:xAlign="center" w:y="285"/>
    </w:pPr>
  </w:style>
  <w:style w:type="character" w:customStyle="1" w:styleId="175">
    <w:name w:val="批注主题 字符"/>
    <w:basedOn w:val="167"/>
    <w:link w:val="37"/>
    <w:semiHidden/>
    <w:qFormat/>
    <w:uiPriority w:val="99"/>
    <w:rPr>
      <w:rFonts w:ascii="Times New Roman" w:hAnsi="Times New Roman" w:eastAsia="宋体" w:cs="Times New Roman"/>
      <w:b/>
      <w:bCs/>
      <w:szCs w:val="24"/>
    </w:rPr>
  </w:style>
  <w:style w:type="character" w:customStyle="1" w:styleId="176">
    <w:name w:val="尾注文本 字符"/>
    <w:basedOn w:val="40"/>
    <w:link w:val="22"/>
    <w:semiHidden/>
    <w:qFormat/>
    <w:uiPriority w:val="99"/>
    <w:rPr>
      <w:rFonts w:ascii="Times New Roman" w:hAnsi="Times New Roman" w:eastAsia="宋体" w:cs="Times New Roman"/>
      <w:szCs w:val="24"/>
    </w:rPr>
  </w:style>
  <w:style w:type="paragraph" w:customStyle="1" w:styleId="177">
    <w:name w:val="示例"/>
    <w:next w:val="128"/>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8">
    <w:name w:val="正文文本 3 字符"/>
    <w:basedOn w:val="40"/>
    <w:link w:val="16"/>
    <w:semiHidden/>
    <w:qFormat/>
    <w:uiPriority w:val="99"/>
    <w:rPr>
      <w:rFonts w:ascii="Times New Roman" w:hAnsi="Times New Roman" w:eastAsia="宋体" w:cs="Times New Roman"/>
      <w:sz w:val="16"/>
      <w:szCs w:val="16"/>
    </w:rPr>
  </w:style>
  <w:style w:type="character" w:customStyle="1" w:styleId="179">
    <w:name w:val="标题 字符"/>
    <w:basedOn w:val="40"/>
    <w:link w:val="36"/>
    <w:qFormat/>
    <w:uiPriority w:val="0"/>
    <w:rPr>
      <w:rFonts w:ascii="Arial" w:hAnsi="Arial" w:eastAsia="宋体" w:cs="Times New Roman"/>
      <w:b/>
      <w:kern w:val="0"/>
      <w:sz w:val="32"/>
      <w:szCs w:val="20"/>
    </w:rPr>
  </w:style>
  <w:style w:type="paragraph" w:customStyle="1" w:styleId="180">
    <w:name w:val="p0"/>
    <w:basedOn w:val="1"/>
    <w:qFormat/>
    <w:uiPriority w:val="0"/>
    <w:pPr>
      <w:spacing w:line="240" w:lineRule="auto"/>
      <w:jc w:val="both"/>
    </w:pPr>
    <w:rPr>
      <w:kern w:val="0"/>
      <w:szCs w:val="21"/>
    </w:rPr>
  </w:style>
  <w:style w:type="character" w:customStyle="1" w:styleId="181">
    <w:name w:val="纯文本 字符"/>
    <w:basedOn w:val="40"/>
    <w:link w:val="18"/>
    <w:qFormat/>
    <w:uiPriority w:val="99"/>
    <w:rPr>
      <w:rFonts w:ascii="宋体" w:hAnsi="Courier New" w:eastAsia="宋体" w:cs="Courier New"/>
      <w:szCs w:val="21"/>
    </w:rPr>
  </w:style>
  <w:style w:type="paragraph" w:customStyle="1" w:styleId="18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3">
    <w:name w:val="正文文本 字符"/>
    <w:basedOn w:val="40"/>
    <w:link w:val="3"/>
    <w:semiHidden/>
    <w:qFormat/>
    <w:uiPriority w:val="99"/>
    <w:rPr>
      <w:kern w:val="2"/>
      <w:sz w:val="21"/>
      <w:szCs w:val="24"/>
    </w:rPr>
  </w:style>
  <w:style w:type="paragraph" w:customStyle="1" w:styleId="18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5">
    <w:name w:val="标题 4 字符"/>
    <w:basedOn w:val="40"/>
    <w:link w:val="9"/>
    <w:semiHidden/>
    <w:qFormat/>
    <w:uiPriority w:val="9"/>
    <w:rPr>
      <w:rFonts w:asciiTheme="majorHAnsi" w:hAnsiTheme="majorHAnsi" w:eastAsiaTheme="majorEastAsia" w:cstheme="majorBidi"/>
      <w:b/>
      <w:bCs/>
      <w:kern w:val="2"/>
      <w:sz w:val="28"/>
      <w:szCs w:val="28"/>
    </w:rPr>
  </w:style>
  <w:style w:type="paragraph" w:customStyle="1" w:styleId="186">
    <w:name w:val="_Style 2"/>
    <w:basedOn w:val="6"/>
    <w:next w:val="1"/>
    <w:qFormat/>
    <w:uiPriority w:val="0"/>
    <w:pPr>
      <w:spacing w:before="480" w:after="0" w:line="276" w:lineRule="auto"/>
      <w:outlineLvl w:val="9"/>
    </w:pPr>
    <w:rPr>
      <w:rFonts w:ascii="Cambria" w:hAnsi="Cambria"/>
      <w:color w:val="365F91"/>
      <w:kern w:val="0"/>
      <w:sz w:val="28"/>
      <w:szCs w:val="28"/>
    </w:rPr>
  </w:style>
  <w:style w:type="character" w:customStyle="1" w:styleId="187">
    <w:name w:val="_Style 4"/>
    <w:qFormat/>
    <w:uiPriority w:val="31"/>
    <w:rPr>
      <w:smallCaps/>
      <w:color w:val="C0504D"/>
      <w:u w:val="single"/>
    </w:rPr>
  </w:style>
  <w:style w:type="paragraph" w:customStyle="1" w:styleId="188">
    <w:name w:val="纯文本1"/>
    <w:basedOn w:val="1"/>
    <w:qFormat/>
    <w:uiPriority w:val="0"/>
    <w:rPr>
      <w:rFonts w:ascii="宋体" w:hAnsi="Courier New" w:cs="Courier New"/>
      <w:szCs w:val="21"/>
    </w:rPr>
  </w:style>
  <w:style w:type="paragraph" w:customStyle="1" w:styleId="189">
    <w:name w:val="CM99"/>
    <w:basedOn w:val="48"/>
    <w:next w:val="48"/>
    <w:qFormat/>
    <w:uiPriority w:val="0"/>
    <w:pPr>
      <w:spacing w:after="443"/>
    </w:pPr>
  </w:style>
  <w:style w:type="paragraph" w:customStyle="1" w:styleId="190">
    <w:name w:val="CM80"/>
    <w:basedOn w:val="48"/>
    <w:next w:val="48"/>
    <w:qFormat/>
    <w:uiPriority w:val="0"/>
    <w:pPr>
      <w:spacing w:line="440" w:lineRule="atLeas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67411-E6F7-43A8-BC04-AB996FDC74A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64</Pages>
  <Words>5838</Words>
  <Characters>33278</Characters>
  <Lines>277</Lines>
  <Paragraphs>78</Paragraphs>
  <TotalTime>0</TotalTime>
  <ScaleCrop>false</ScaleCrop>
  <LinksUpToDate>false</LinksUpToDate>
  <CharactersWithSpaces>39038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2021-11-05T01:53:00Z</dcterms:created>
  <dc:creator>lenovo</dc:creator>
  <cp:lastModifiedBy>LILY</cp:lastModifiedBy>
  <cp:lastPrinted>2021-09-06T09:12:00Z</cp:lastPrinted>
  <dcterms:modified xsi:type="dcterms:W3CDTF">2021-11-16T06:32:51Z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2F159388754246289124EDFB1BC5B2F3</vt:lpwstr>
  </property>
</Properties>
</file>