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b/>
          <w:bCs/>
          <w:sz w:val="52"/>
          <w:szCs w:val="52"/>
        </w:rPr>
      </w:pPr>
      <w:r>
        <w:rPr>
          <w:rFonts w:hint="eastAsia" w:ascii="黑体" w:hAnsi="黑体" w:eastAsia="黑体"/>
          <w:b/>
          <w:bCs/>
          <w:sz w:val="52"/>
          <w:szCs w:val="52"/>
        </w:rPr>
        <w:t>城港公司基建零星维修项目</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pacing w:line="480" w:lineRule="auto"/>
        <w:jc w:val="both"/>
        <w:rPr>
          <w:rFonts w:ascii="黑体" w:hAnsi="黑体" w:eastAsia="黑体" w:cs="宋体"/>
          <w:b/>
          <w:color w:val="000000"/>
          <w:kern w:val="0"/>
          <w:sz w:val="72"/>
          <w:szCs w:val="72"/>
        </w:rPr>
      </w:pPr>
    </w:p>
    <w:p>
      <w:pPr>
        <w:spacing w:line="480" w:lineRule="auto"/>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文</w:t>
      </w:r>
    </w:p>
    <w:p>
      <w:pPr>
        <w:snapToGrid w:val="0"/>
        <w:spacing w:line="480" w:lineRule="auto"/>
        <w:jc w:val="center"/>
        <w:rPr>
          <w:b/>
          <w:bCs/>
          <w:sz w:val="48"/>
          <w:szCs w:val="48"/>
        </w:rPr>
      </w:pPr>
      <w:r>
        <w:rPr>
          <w:rFonts w:hint="eastAsia" w:ascii="黑体" w:hAnsi="黑体" w:eastAsia="黑体" w:cs="宋体"/>
          <w:b/>
          <w:color w:val="000000"/>
          <w:kern w:val="0"/>
          <w:sz w:val="72"/>
          <w:szCs w:val="72"/>
        </w:rPr>
        <w:t>件</w:t>
      </w: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岳阳城陵矶港务有限责任公司</w:t>
      </w: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二О二一年十</w:t>
      </w:r>
      <w:r>
        <w:rPr>
          <w:rFonts w:hint="eastAsia" w:ascii="黑体" w:hAnsi="黑体" w:eastAsia="黑体"/>
          <w:bCs/>
          <w:sz w:val="48"/>
          <w:szCs w:val="48"/>
          <w:lang w:eastAsia="zh-CN"/>
        </w:rPr>
        <w:t>一</w:t>
      </w:r>
      <w:r>
        <w:rPr>
          <w:rFonts w:hint="eastAsia" w:ascii="黑体" w:hAnsi="黑体" w:eastAsia="黑体"/>
          <w:bCs/>
          <w:sz w:val="48"/>
          <w:szCs w:val="48"/>
        </w:rPr>
        <w:t>月</w:t>
      </w:r>
    </w:p>
    <w:p>
      <w:pPr>
        <w:widowControl w:val="0"/>
        <w:adjustRightInd w:val="0"/>
        <w:snapToGrid w:val="0"/>
        <w:spacing w:line="265" w:lineRule="auto"/>
        <w:ind w:hanging="10"/>
        <w:jc w:val="center"/>
        <w:rPr>
          <w:rFonts w:eastAsia="楷体_GB2312"/>
          <w:b/>
          <w:sz w:val="28"/>
          <w:szCs w:val="28"/>
        </w:rPr>
      </w:pPr>
    </w:p>
    <w:p>
      <w:pPr>
        <w:pStyle w:val="181"/>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3"/>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2"/>
          <w:rFonts w:hint="eastAsia" w:ascii="微软雅黑" w:hAnsi="微软雅黑" w:eastAsia="微软雅黑"/>
          <w:sz w:val="24"/>
          <w:szCs w:val="24"/>
        </w:rPr>
        <w:t>第一章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2"/>
          <w:rFonts w:hint="eastAsia" w:ascii="微软雅黑" w:hAnsi="微软雅黑" w:eastAsia="微软雅黑"/>
          <w:sz w:val="24"/>
          <w:szCs w:val="24"/>
        </w:rPr>
        <w:t>第二章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2"/>
          <w:rFonts w:hint="eastAsia" w:ascii="微软雅黑" w:hAnsi="微软雅黑" w:eastAsia="微软雅黑"/>
          <w:sz w:val="24"/>
          <w:szCs w:val="24"/>
        </w:rPr>
        <w:t>第三章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评标办</w:t>
      </w:r>
      <w:bookmarkStart w:id="0" w:name="_Hlt79481238"/>
      <w:bookmarkStart w:id="1" w:name="_Hlt79481237"/>
      <w:r>
        <w:rPr>
          <w:rStyle w:val="42"/>
          <w:rFonts w:hint="eastAsia" w:ascii="微软雅黑" w:hAnsi="微软雅黑" w:eastAsia="微软雅黑"/>
          <w:sz w:val="24"/>
          <w:szCs w:val="24"/>
        </w:rPr>
        <w:t>法</w:t>
      </w:r>
      <w:bookmarkEnd w:id="0"/>
      <w:bookmarkEnd w:id="1"/>
      <w:r>
        <w:rPr>
          <w:rStyle w:val="42"/>
          <w:rFonts w:hint="eastAsia" w:ascii="微软雅黑" w:hAnsi="微软雅黑" w:eastAsia="微软雅黑"/>
          <w:sz w:val="24"/>
          <w:szCs w:val="24"/>
        </w:rPr>
        <w:t>（最低价法、综合评分法）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3"/>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2"/>
          <w:rFonts w:hint="eastAsia" w:ascii="微软雅黑" w:hAnsi="微软雅黑" w:eastAsia="微软雅黑"/>
          <w:sz w:val="24"/>
          <w:szCs w:val="24"/>
        </w:rPr>
        <w:t>第四章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3"/>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2"/>
          <w:rFonts w:hint="eastAsia" w:ascii="微软雅黑" w:hAnsi="微软雅黑" w:eastAsia="微软雅黑"/>
          <w:sz w:val="24"/>
          <w:szCs w:val="24"/>
        </w:rPr>
        <w:t>第五章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2"/>
          <w:rFonts w:hint="eastAsia" w:ascii="微软雅黑" w:hAnsi="微软雅黑" w:eastAsia="微软雅黑"/>
          <w:sz w:val="24"/>
          <w:szCs w:val="24"/>
        </w:rPr>
        <w:t>第六章</w:t>
      </w:r>
      <w:r>
        <w:rPr>
          <w:rStyle w:val="42"/>
          <w:rFonts w:ascii="微软雅黑" w:hAnsi="微软雅黑" w:eastAsia="微软雅黑"/>
          <w:sz w:val="24"/>
          <w:szCs w:val="24"/>
        </w:rPr>
        <w:t xml:space="preserve"> </w:t>
      </w:r>
      <w:r>
        <w:rPr>
          <w:rStyle w:val="42"/>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2"/>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2"/>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2"/>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2"/>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2"/>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2"/>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2"/>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29"/>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2"/>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3"/>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1"/>
        <w:numPr>
          <w:ilvl w:val="0"/>
          <w:numId w:val="1"/>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71"/>
        <w:spacing w:line="600" w:lineRule="exact"/>
        <w:ind w:left="1785" w:firstLine="0" w:firstLineChars="0"/>
        <w:rPr>
          <w:rFonts w:ascii="黑体" w:hAnsi="黑体" w:eastAsia="黑体" w:cs="仿宋"/>
          <w:b/>
          <w:color w:val="000000"/>
          <w:sz w:val="44"/>
          <w:szCs w:val="44"/>
        </w:rPr>
      </w:pPr>
    </w:p>
    <w:p>
      <w:pPr>
        <w:pStyle w:val="31"/>
        <w:spacing w:before="0" w:beforeAutospacing="0" w:after="0" w:afterAutospacing="0"/>
        <w:ind w:left="1785"/>
        <w:jc w:val="both"/>
        <w:rPr>
          <w:rFonts w:ascii="黑体" w:hAnsi="黑体" w:eastAsia="黑体"/>
          <w:sz w:val="32"/>
          <w:szCs w:val="32"/>
        </w:rPr>
      </w:pPr>
      <w:bookmarkStart w:id="2" w:name="_Hlk83912013"/>
      <w:r>
        <w:rPr>
          <w:rFonts w:hint="eastAsia" w:ascii="黑体" w:hAnsi="黑体" w:eastAsia="黑体"/>
          <w:sz w:val="32"/>
          <w:szCs w:val="32"/>
          <w:u w:val="single"/>
        </w:rPr>
        <w:t>城港公司基建零星维修</w:t>
      </w:r>
      <w:bookmarkEnd w:id="2"/>
      <w:r>
        <w:rPr>
          <w:rFonts w:hint="eastAsia" w:ascii="黑体" w:hAnsi="黑体" w:eastAsia="黑体"/>
          <w:sz w:val="32"/>
          <w:szCs w:val="32"/>
          <w:u w:val="single"/>
        </w:rPr>
        <w:t>项目询价</w:t>
      </w:r>
      <w:r>
        <w:rPr>
          <w:rFonts w:hint="eastAsia" w:ascii="黑体" w:hAnsi="黑体" w:eastAsia="黑体"/>
          <w:sz w:val="32"/>
          <w:szCs w:val="32"/>
        </w:rPr>
        <w:t>采购公告</w:t>
      </w:r>
    </w:p>
    <w:p>
      <w:pPr>
        <w:pStyle w:val="31"/>
        <w:spacing w:before="0" w:beforeAutospacing="0" w:after="0" w:afterAutospacing="0"/>
        <w:ind w:firstLine="2880" w:firstLineChars="1200"/>
        <w:jc w:val="both"/>
      </w:pPr>
      <w:r>
        <w:rPr>
          <w:rFonts w:hint="eastAsia"/>
        </w:rPr>
        <w:t xml:space="preserve"> </w:t>
      </w:r>
    </w:p>
    <w:p>
      <w:pPr>
        <w:autoSpaceDE w:val="0"/>
        <w:spacing w:line="400" w:lineRule="exact"/>
        <w:jc w:val="both"/>
        <w:rPr>
          <w:rFonts w:ascii="宋体" w:hAnsi="宋体"/>
          <w:sz w:val="24"/>
        </w:rPr>
      </w:pPr>
      <w:r>
        <w:rPr>
          <w:rFonts w:hint="eastAsia" w:ascii="宋体" w:hAnsi="宋体"/>
        </w:rPr>
        <w:t xml:space="preserve"> </w:t>
      </w:r>
      <w:r>
        <w:rPr>
          <w:rFonts w:hint="eastAsia" w:ascii="宋体" w:hAnsi="宋体"/>
          <w:sz w:val="24"/>
        </w:rPr>
        <w:t xml:space="preserve">   城港公司基建零星维修项目已具备采购条件，现公开邀请供应商参加采购活动。 </w:t>
      </w:r>
    </w:p>
    <w:p>
      <w:pPr>
        <w:pStyle w:val="6"/>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u w:val="single"/>
        </w:rPr>
        <w:t>城港公司基建零星维修项目</w:t>
      </w:r>
    </w:p>
    <w:p>
      <w:pPr>
        <w:autoSpaceDE w:val="0"/>
        <w:spacing w:line="400" w:lineRule="exact"/>
        <w:jc w:val="both"/>
        <w:rPr>
          <w:rFonts w:ascii="宋体" w:hAnsi="宋体"/>
          <w:sz w:val="24"/>
        </w:rPr>
      </w:pPr>
      <w:r>
        <w:rPr>
          <w:rFonts w:hint="eastAsia" w:ascii="宋体" w:hAnsi="宋体"/>
          <w:b/>
          <w:bCs/>
          <w:sz w:val="24"/>
        </w:rPr>
        <w:t>1.2</w:t>
      </w:r>
      <w:r>
        <w:rPr>
          <w:rFonts w:hint="eastAsia" w:ascii="宋体" w:hAnsi="宋体"/>
          <w:sz w:val="24"/>
        </w:rPr>
        <w:t xml:space="preserve"> 采购人: _</w:t>
      </w:r>
      <w:r>
        <w:rPr>
          <w:rFonts w:hint="eastAsia" w:ascii="宋体" w:hAnsi="宋体"/>
          <w:sz w:val="24"/>
          <w:u w:val="single"/>
        </w:rPr>
        <w:t>岳阳城陵矶港务有限责任公司</w:t>
      </w:r>
      <w:r>
        <w:rPr>
          <w:rFonts w:hint="eastAsia" w:ascii="宋体" w:hAnsi="宋体"/>
          <w:sz w:val="24"/>
        </w:rPr>
        <w:t>_</w:t>
      </w:r>
    </w:p>
    <w:p>
      <w:pPr>
        <w:autoSpaceDE w:val="0"/>
        <w:spacing w:line="400" w:lineRule="exact"/>
        <w:jc w:val="both"/>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400" w:lineRule="exact"/>
        <w:jc w:val="both"/>
        <w:rPr>
          <w:rFonts w:hint="eastAsia" w:ascii="宋体" w:hAnsi="宋体"/>
          <w:sz w:val="24"/>
          <w:u w:val="single"/>
        </w:rPr>
      </w:pPr>
      <w:r>
        <w:rPr>
          <w:rFonts w:hint="eastAsia" w:ascii="宋体" w:hAnsi="宋体"/>
          <w:b/>
          <w:bCs/>
          <w:sz w:val="24"/>
        </w:rPr>
        <w:t xml:space="preserve">1.4 </w:t>
      </w:r>
      <w:r>
        <w:rPr>
          <w:rFonts w:hint="eastAsia" w:ascii="宋体" w:hAnsi="宋体"/>
          <w:sz w:val="24"/>
        </w:rPr>
        <w:t>采购项目资金落实情况:</w:t>
      </w:r>
      <w:r>
        <w:rPr>
          <w:rFonts w:ascii="宋体" w:hAnsi="宋体"/>
          <w:sz w:val="24"/>
          <w:u w:val="single"/>
        </w:rPr>
        <w:t>__</w:t>
      </w:r>
      <w:r>
        <w:rPr>
          <w:rFonts w:hint="eastAsia" w:ascii="宋体" w:hAnsi="宋体"/>
          <w:sz w:val="24"/>
          <w:u w:val="single"/>
        </w:rPr>
        <w:t>城港公司基建零星维修项目资金由企业自筹，已落实</w:t>
      </w:r>
    </w:p>
    <w:p>
      <w:pPr>
        <w:autoSpaceDE w:val="0"/>
        <w:spacing w:line="400" w:lineRule="exact"/>
        <w:jc w:val="both"/>
        <w:rPr>
          <w:rFonts w:ascii="宋体" w:hAnsi="宋体"/>
          <w:sz w:val="24"/>
        </w:rPr>
      </w:pPr>
      <w:r>
        <w:rPr>
          <w:rFonts w:hint="eastAsia" w:ascii="宋体" w:hAnsi="宋体"/>
          <w:b/>
          <w:bCs/>
          <w:sz w:val="24"/>
        </w:rPr>
        <w:t xml:space="preserve">1.5 </w:t>
      </w:r>
      <w:r>
        <w:rPr>
          <w:rFonts w:hint="eastAsia" w:ascii="宋体" w:hAnsi="宋体"/>
          <w:sz w:val="24"/>
        </w:rPr>
        <w:t>采购项目概况: 本业务主要有:</w:t>
      </w:r>
      <w:bookmarkStart w:id="3" w:name="_Hlk84923212"/>
      <w:r>
        <w:rPr>
          <w:rFonts w:hint="eastAsia" w:ascii="宋体" w:hAnsi="宋体"/>
          <w:sz w:val="24"/>
        </w:rPr>
        <w:t>公司生产区道路临时开挖及维修；下水道清理、维修；排水沟维修及盖板修复；厂房临时维修包括门窗、门锁修理；房屋防水做油、室内粉刷；配合维修各类管线、电力线路施工； 防汛抢险土建基础施工，维修改造设备安装土建基础施工。</w:t>
      </w:r>
      <w:bookmarkEnd w:id="3"/>
    </w:p>
    <w:p>
      <w:pPr>
        <w:pStyle w:val="6"/>
        <w:jc w:val="both"/>
        <w:rPr>
          <w:rFonts w:ascii="Arial" w:hAnsi="Arial"/>
        </w:rPr>
      </w:pPr>
      <w:r>
        <w:t xml:space="preserve">2 </w:t>
      </w:r>
      <w:r>
        <w:rPr>
          <w:rFonts w:hint="eastAsia" w:ascii="黑体" w:hAnsi="黑体"/>
        </w:rPr>
        <w:t>采购范围及相关要求</w:t>
      </w:r>
    </w:p>
    <w:p>
      <w:pPr>
        <w:autoSpaceDE w:val="0"/>
        <w:spacing w:line="400" w:lineRule="exact"/>
        <w:jc w:val="both"/>
        <w:rPr>
          <w:rFonts w:ascii="宋体" w:hAnsi="宋体"/>
          <w:sz w:val="24"/>
          <w:u w:val="single"/>
        </w:rPr>
      </w:pPr>
      <w:r>
        <w:rPr>
          <w:rFonts w:hint="eastAsia" w:ascii="宋体" w:hAnsi="宋体"/>
          <w:b/>
          <w:bCs/>
          <w:sz w:val="24"/>
        </w:rPr>
        <w:t>2.1</w:t>
      </w:r>
      <w:r>
        <w:rPr>
          <w:rFonts w:hint="eastAsia" w:ascii="宋体" w:hAnsi="宋体"/>
          <w:sz w:val="24"/>
        </w:rPr>
        <w:t xml:space="preserve"> 采购范围: </w:t>
      </w:r>
      <w:r>
        <w:rPr>
          <w:rFonts w:hint="eastAsia" w:ascii="宋体" w:hAnsi="宋体"/>
          <w:sz w:val="24"/>
          <w:u w:val="single"/>
        </w:rPr>
        <w:t>为期一年（2</w:t>
      </w:r>
      <w:r>
        <w:rPr>
          <w:rFonts w:ascii="宋体" w:hAnsi="宋体"/>
          <w:sz w:val="24"/>
          <w:u w:val="single"/>
        </w:rPr>
        <w:t>022</w:t>
      </w:r>
      <w:r>
        <w:rPr>
          <w:rFonts w:hint="eastAsia" w:ascii="宋体" w:hAnsi="宋体"/>
          <w:sz w:val="24"/>
          <w:u w:val="single"/>
        </w:rPr>
        <w:t>年1月1日-</w:t>
      </w:r>
      <w:r>
        <w:rPr>
          <w:rFonts w:ascii="宋体" w:hAnsi="宋体"/>
          <w:sz w:val="24"/>
          <w:u w:val="single"/>
        </w:rPr>
        <w:t>202</w:t>
      </w:r>
      <w:r>
        <w:rPr>
          <w:rFonts w:hint="eastAsia" w:ascii="宋体" w:hAnsi="宋体"/>
          <w:sz w:val="24"/>
          <w:u w:val="single"/>
        </w:rPr>
        <w:t>2年1</w:t>
      </w:r>
      <w:r>
        <w:rPr>
          <w:rFonts w:ascii="宋体" w:hAnsi="宋体"/>
          <w:sz w:val="24"/>
          <w:u w:val="single"/>
        </w:rPr>
        <w:t>2</w:t>
      </w:r>
      <w:r>
        <w:rPr>
          <w:rFonts w:hint="eastAsia" w:ascii="宋体" w:hAnsi="宋体"/>
          <w:sz w:val="24"/>
          <w:u w:val="single"/>
        </w:rPr>
        <w:t>月3</w:t>
      </w:r>
      <w:r>
        <w:rPr>
          <w:rFonts w:ascii="宋体" w:hAnsi="宋体"/>
          <w:sz w:val="24"/>
          <w:u w:val="single"/>
        </w:rPr>
        <w:t>1</w:t>
      </w:r>
      <w:r>
        <w:rPr>
          <w:rFonts w:hint="eastAsia" w:ascii="宋体" w:hAnsi="宋体"/>
          <w:sz w:val="24"/>
          <w:u w:val="single"/>
        </w:rPr>
        <w:t>日）的生产、工作场所内所基建零星维修业务（五万元以下），年度累计金额</w:t>
      </w:r>
      <w:r>
        <w:rPr>
          <w:rFonts w:ascii="宋体" w:hAnsi="宋体"/>
          <w:sz w:val="24"/>
          <w:u w:val="single"/>
        </w:rPr>
        <w:t>50-70</w:t>
      </w:r>
      <w:r>
        <w:rPr>
          <w:rFonts w:hint="eastAsia" w:ascii="宋体" w:hAnsi="宋体"/>
          <w:sz w:val="24"/>
          <w:u w:val="single"/>
        </w:rPr>
        <w:t>万元</w:t>
      </w:r>
      <w:r>
        <w:rPr>
          <w:rFonts w:ascii="宋体" w:hAnsi="宋体"/>
          <w:sz w:val="24"/>
          <w:u w:val="single"/>
        </w:rPr>
        <w:t xml:space="preserve"> </w:t>
      </w:r>
    </w:p>
    <w:p>
      <w:pPr>
        <w:autoSpaceDE w:val="0"/>
        <w:spacing w:line="400" w:lineRule="exact"/>
        <w:jc w:val="both"/>
        <w:rPr>
          <w:rFonts w:ascii="宋体" w:hAnsi="宋体"/>
          <w:sz w:val="24"/>
        </w:rPr>
      </w:pPr>
      <w:r>
        <w:rPr>
          <w:rFonts w:hint="eastAsia" w:ascii="宋体" w:hAnsi="宋体"/>
          <w:b/>
          <w:bCs/>
          <w:sz w:val="24"/>
        </w:rPr>
        <w:t>2.2</w:t>
      </w:r>
      <w:r>
        <w:rPr>
          <w:rFonts w:hint="eastAsia" w:ascii="宋体" w:hAnsi="宋体"/>
          <w:sz w:val="24"/>
        </w:rPr>
        <w:t xml:space="preserve"> 计划工期: </w:t>
      </w:r>
      <w:r>
        <w:rPr>
          <w:rFonts w:hint="eastAsia" w:ascii="宋体" w:hAnsi="宋体"/>
          <w:sz w:val="24"/>
          <w:u w:val="single"/>
        </w:rPr>
        <w:t xml:space="preserve"> 一年 </w:t>
      </w:r>
      <w:r>
        <w:rPr>
          <w:rFonts w:hint="eastAsia" w:ascii="宋体" w:hAnsi="宋体"/>
          <w:sz w:val="24"/>
        </w:rPr>
        <w:t>（计划开工日期</w:t>
      </w:r>
      <w:r>
        <w:rPr>
          <w:rFonts w:hint="eastAsia" w:ascii="宋体" w:hAnsi="宋体"/>
          <w:sz w:val="24"/>
          <w:u w:val="single"/>
        </w:rPr>
        <w:t xml:space="preserve">   </w:t>
      </w:r>
      <w:r>
        <w:rPr>
          <w:rFonts w:ascii="宋体" w:hAnsi="宋体"/>
          <w:sz w:val="24"/>
          <w:u w:val="single"/>
        </w:rPr>
        <w:t>2022</w:t>
      </w:r>
      <w:r>
        <w:rPr>
          <w:rFonts w:hint="eastAsia" w:ascii="宋体" w:hAnsi="宋体"/>
          <w:sz w:val="24"/>
          <w:u w:val="single"/>
        </w:rPr>
        <w:t xml:space="preserve">年元月1日  </w:t>
      </w:r>
      <w:r>
        <w:rPr>
          <w:rFonts w:hint="eastAsia" w:ascii="宋体" w:hAnsi="宋体"/>
          <w:sz w:val="24"/>
        </w:rPr>
        <w:t xml:space="preserve">，具体以开工令为准。）  </w:t>
      </w:r>
    </w:p>
    <w:p>
      <w:pPr>
        <w:autoSpaceDE w:val="0"/>
        <w:spacing w:line="400" w:lineRule="exact"/>
        <w:jc w:val="both"/>
        <w:rPr>
          <w:rFonts w:ascii="宋体" w:hAnsi="宋体"/>
          <w:sz w:val="24"/>
          <w:u w:val="single"/>
        </w:rPr>
      </w:pPr>
      <w:r>
        <w:rPr>
          <w:rFonts w:hint="eastAsia" w:ascii="宋体" w:hAnsi="宋体"/>
          <w:b/>
          <w:bCs/>
          <w:sz w:val="24"/>
        </w:rPr>
        <w:t>2.3</w:t>
      </w:r>
      <w:r>
        <w:rPr>
          <w:rFonts w:hint="eastAsia" w:ascii="宋体" w:hAnsi="宋体"/>
          <w:sz w:val="24"/>
        </w:rPr>
        <w:t xml:space="preserve"> 建设地点: </w:t>
      </w:r>
      <w:r>
        <w:rPr>
          <w:rFonts w:hint="eastAsia" w:ascii="宋体" w:hAnsi="宋体"/>
          <w:sz w:val="24"/>
          <w:u w:val="single"/>
        </w:rPr>
        <w:t>岳阳城陵矶港务有限责任公司生产及办公场所</w:t>
      </w:r>
    </w:p>
    <w:p>
      <w:pPr>
        <w:autoSpaceDE w:val="0"/>
        <w:spacing w:line="400" w:lineRule="exact"/>
        <w:jc w:val="both"/>
        <w:rPr>
          <w:rFonts w:ascii="宋体" w:hAnsi="宋体"/>
          <w:sz w:val="24"/>
          <w:u w:val="single"/>
        </w:rPr>
      </w:pPr>
      <w:r>
        <w:rPr>
          <w:rFonts w:hint="eastAsia" w:ascii="宋体" w:hAnsi="宋体"/>
          <w:b/>
          <w:bCs/>
          <w:sz w:val="24"/>
        </w:rPr>
        <w:t xml:space="preserve">2.4 </w:t>
      </w:r>
      <w:r>
        <w:rPr>
          <w:rFonts w:hint="eastAsia" w:ascii="宋体" w:hAnsi="宋体"/>
          <w:sz w:val="24"/>
        </w:rPr>
        <w:t xml:space="preserve">质量要求: </w:t>
      </w:r>
      <w:r>
        <w:rPr>
          <w:rFonts w:hint="eastAsia" w:ascii="宋体" w:hAnsi="宋体"/>
          <w:sz w:val="24"/>
          <w:u w:val="single"/>
        </w:rPr>
        <w:t>消除不合格工程杜绝质量隐患，确保全部工程达到验收标准和设计要求，单位工程一次验交合格率为</w:t>
      </w:r>
      <w:r>
        <w:rPr>
          <w:rFonts w:ascii="宋体" w:hAnsi="宋体"/>
          <w:sz w:val="24"/>
          <w:u w:val="single"/>
        </w:rPr>
        <w:t>100%</w:t>
      </w:r>
    </w:p>
    <w:p>
      <w:pPr>
        <w:autoSpaceDE w:val="0"/>
        <w:spacing w:line="400" w:lineRule="exact"/>
        <w:jc w:val="both"/>
        <w:rPr>
          <w:rFonts w:ascii="宋体" w:hAnsi="宋体"/>
          <w:sz w:val="24"/>
          <w:u w:val="single"/>
        </w:rPr>
      </w:pPr>
      <w:r>
        <w:rPr>
          <w:rFonts w:hint="eastAsia" w:ascii="宋体" w:hAnsi="宋体"/>
          <w:b/>
          <w:bCs/>
          <w:sz w:val="24"/>
        </w:rPr>
        <w:t xml:space="preserve">2.5 </w:t>
      </w:r>
      <w:r>
        <w:rPr>
          <w:rFonts w:hint="eastAsia" w:ascii="宋体" w:hAnsi="宋体"/>
          <w:sz w:val="24"/>
        </w:rPr>
        <w:t xml:space="preserve">安全目标: </w:t>
      </w:r>
      <w:r>
        <w:rPr>
          <w:rFonts w:ascii="宋体" w:hAnsi="宋体"/>
          <w:sz w:val="24"/>
          <w:u w:val="single"/>
        </w:rPr>
        <w:t>_</w:t>
      </w:r>
      <w:r>
        <w:rPr>
          <w:rFonts w:hint="eastAsia" w:ascii="宋体" w:hAnsi="宋体"/>
          <w:sz w:val="24"/>
          <w:u w:val="single"/>
        </w:rPr>
        <w:t>无等级以上人身伤亡事故</w:t>
      </w:r>
    </w:p>
    <w:p>
      <w:pPr>
        <w:pStyle w:val="6"/>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rFonts w:ascii="宋体" w:hAnsi="宋体"/>
          <w:sz w:val="24"/>
        </w:rPr>
      </w:pPr>
      <w:r>
        <w:rPr>
          <w:rFonts w:hint="eastAsia" w:ascii="宋体" w:hAnsi="宋体"/>
          <w:sz w:val="24"/>
        </w:rPr>
        <w:t xml:space="preserve">（4）其他:无  </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3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38"/>
                <w:u w:val="single"/>
              </w:rPr>
            </w:pPr>
            <w:r>
              <w:rPr>
                <w:rStyle w:val="38"/>
                <w:rFonts w:hint="eastAsia"/>
                <w:u w:val="single"/>
              </w:rPr>
              <w:sym w:font="Wingdings 2" w:char="00A3"/>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□适用,见采购文件供应商须知前附表3.5（8）。</w:t>
            </w:r>
          </w:p>
        </w:tc>
      </w:tr>
    </w:tbl>
    <w:p>
      <w:pPr>
        <w:pStyle w:val="6"/>
        <w:jc w:val="both"/>
        <w:rPr>
          <w:rFonts w:ascii="Arial" w:hAnsi="Arial"/>
        </w:rPr>
      </w:pPr>
      <w:r>
        <w:rPr>
          <w:rFonts w:hint="eastAsia"/>
        </w:rPr>
        <w:t xml:space="preserve">4 </w:t>
      </w:r>
      <w:r>
        <w:rPr>
          <w:rFonts w:hint="eastAsia" w:ascii="黑体" w:hAnsi="黑体"/>
        </w:rPr>
        <w:t>响应保证金</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38"/>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38"/>
                <w:rFonts w:hint="eastAsia"/>
              </w:rPr>
              <w:sym w:font="Wingdings 2" w:char="0052"/>
            </w:r>
            <w:r>
              <w:rPr>
                <w:rStyle w:val="3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38"/>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6"/>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jc w:val="both"/>
        <w:rPr>
          <w:rFonts w:ascii="宋体" w:hAnsi="宋体"/>
          <w:sz w:val="24"/>
        </w:rPr>
      </w:pPr>
      <w:r>
        <w:rPr>
          <w:rFonts w:hint="eastAsia" w:ascii="宋体" w:hAnsi="宋体"/>
          <w:b/>
          <w:bCs/>
          <w:sz w:val="24"/>
        </w:rPr>
        <w:t>5.1</w:t>
      </w:r>
      <w:r>
        <w:rPr>
          <w:rStyle w:val="38"/>
          <w:rFonts w:hint="eastAsia"/>
        </w:rPr>
        <w:t>最低价法</w:t>
      </w:r>
    </w:p>
    <w:p>
      <w:pPr>
        <w:autoSpaceDE w:val="0"/>
        <w:spacing w:line="400" w:lineRule="exact"/>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jc w:val="left"/>
        <w:rPr>
          <w:rFonts w:hint="eastAsia" w:ascii="宋体" w:hAnsi="宋体"/>
          <w:sz w:val="24"/>
        </w:rPr>
      </w:pPr>
      <w:r>
        <w:rPr>
          <w:rFonts w:hint="eastAsia"/>
        </w:rPr>
        <w:t>6</w:t>
      </w:r>
      <w:r>
        <w:rPr>
          <w:rFonts w:hint="eastAsia" w:ascii="黑体" w:hAnsi="黑体"/>
        </w:rPr>
        <w:t>采购文件获取</w:t>
      </w:r>
    </w:p>
    <w:p>
      <w:pPr>
        <w:pStyle w:val="6"/>
        <w:autoSpaceDE w:val="0"/>
        <w:spacing w:line="400" w:lineRule="exact"/>
        <w:jc w:val="both"/>
        <w:rPr>
          <w:rFonts w:ascii="宋体" w:hAnsi="宋体"/>
          <w:sz w:val="24"/>
        </w:rPr>
      </w:pPr>
      <w:r>
        <w:rPr>
          <w:rFonts w:hint="eastAsia" w:ascii="宋体" w:hAnsi="宋体"/>
          <w:b/>
          <w:bCs/>
          <w:sz w:val="24"/>
        </w:rPr>
        <w:t xml:space="preserve">6.1 </w:t>
      </w:r>
      <w:r>
        <w:rPr>
          <w:rFonts w:hint="eastAsia" w:ascii="宋体" w:hAnsi="宋体"/>
          <w:sz w:val="24"/>
        </w:rPr>
        <w:t>供应商</w:t>
      </w:r>
      <w:r>
        <w:rPr>
          <w:rFonts w:hint="eastAsia" w:ascii="宋体" w:hAnsi="宋体"/>
          <w:sz w:val="24"/>
          <w:lang w:val="en-US" w:eastAsia="zh-CN"/>
        </w:rPr>
        <w:t>从采购人发布的</w:t>
      </w:r>
      <w:r>
        <w:rPr>
          <w:rFonts w:hint="eastAsia" w:ascii="宋体" w:hAnsi="宋体"/>
          <w:sz w:val="24"/>
        </w:rPr>
        <w:t>发布公告的媒介</w:t>
      </w:r>
      <w:r>
        <w:rPr>
          <w:rFonts w:hint="eastAsia" w:ascii="宋体" w:hAnsi="宋体"/>
          <w:sz w:val="24"/>
          <w:lang w:val="en-US" w:eastAsia="zh-CN"/>
        </w:rPr>
        <w:t>免费</w:t>
      </w:r>
      <w:r>
        <w:rPr>
          <w:rFonts w:hint="eastAsia" w:ascii="宋体" w:hAnsi="宋体"/>
          <w:sz w:val="24"/>
        </w:rPr>
        <w:t>获取采购文件:</w:t>
      </w:r>
    </w:p>
    <w:p>
      <w:pPr>
        <w:autoSpaceDE w:val="0"/>
        <w:spacing w:line="400" w:lineRule="exact"/>
        <w:jc w:val="both"/>
        <w:rPr>
          <w:rFonts w:ascii="宋体" w:hAnsi="宋体"/>
          <w:sz w:val="24"/>
        </w:rPr>
      </w:pPr>
      <w:r>
        <w:rPr>
          <w:rFonts w:hint="eastAsia" w:ascii="宋体" w:hAnsi="宋体"/>
          <w:b/>
          <w:bCs/>
          <w:sz w:val="24"/>
        </w:rPr>
        <w:t xml:space="preserve">6.3 </w:t>
      </w:r>
      <w:r>
        <w:rPr>
          <w:rFonts w:hint="eastAsia" w:ascii="宋体" w:hAnsi="宋体"/>
          <w:sz w:val="24"/>
        </w:rPr>
        <w:t>供应商若对本项目采购需求、资格要求等有疑问的，应当于</w:t>
      </w:r>
      <w:r>
        <w:rPr>
          <w:rFonts w:hint="eastAsia" w:ascii="宋体" w:hAnsi="宋体"/>
          <w:sz w:val="24"/>
          <w:lang w:val="en-US" w:eastAsia="zh-CN"/>
        </w:rPr>
        <w:t>公告发布日起48小时内</w:t>
      </w:r>
      <w:r>
        <w:rPr>
          <w:rFonts w:hint="eastAsia" w:ascii="宋体" w:hAnsi="宋体"/>
          <w:sz w:val="24"/>
        </w:rPr>
        <w:t>前向采购人提出澄清要求。</w:t>
      </w:r>
    </w:p>
    <w:p>
      <w:pPr>
        <w:pStyle w:val="6"/>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widowControl w:val="0"/>
        <w:rPr>
          <w:rFonts w:ascii="Calibri" w:hAnsi="Calibri" w:cs="Calibri"/>
          <w:color w:val="000000"/>
          <w:sz w:val="22"/>
          <w:szCs w:val="22"/>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Calibri"/>
          <w:color w:val="000000"/>
          <w:sz w:val="24"/>
        </w:rPr>
        <w:t>湖南省港务集团公司网站（http://www.hnsgwjt.com/）</w:t>
      </w:r>
      <w:r>
        <w:rPr>
          <w:rFonts w:hint="eastAsia" w:ascii="宋体" w:hAnsi="宋体" w:cs="宋体"/>
          <w:sz w:val="24"/>
        </w:rPr>
        <w:t>上发布。</w:t>
      </w:r>
    </w:p>
    <w:p>
      <w:pPr>
        <w:pStyle w:val="6"/>
        <w:jc w:val="both"/>
      </w:pPr>
      <w:r>
        <w:rPr>
          <w:rFonts w:hint="eastAsia"/>
        </w:rPr>
        <w:t>8</w:t>
      </w:r>
      <w:bookmarkStart w:id="4" w:name="_Toc76635692"/>
      <w:bookmarkStart w:id="5" w:name="_Toc77254104"/>
      <w:bookmarkStart w:id="6" w:name="_Toc512257471"/>
      <w:bookmarkStart w:id="7" w:name="_Toc79596547"/>
      <w:r>
        <w:t xml:space="preserve"> 监督</w:t>
      </w:r>
      <w:bookmarkEnd w:id="4"/>
      <w:bookmarkEnd w:id="5"/>
      <w:bookmarkEnd w:id="6"/>
      <w:r>
        <w:rPr>
          <w:rFonts w:hint="eastAsia"/>
        </w:rPr>
        <w:t>部门</w:t>
      </w:r>
      <w:bookmarkEnd w:id="7"/>
    </w:p>
    <w:p>
      <w:pPr>
        <w:pStyle w:val="31"/>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cs="Times New Roman"/>
          <w:u w:val="single"/>
        </w:rPr>
        <w:t xml:space="preserve"> </w:t>
      </w:r>
      <w:r>
        <w:rPr>
          <w:rFonts w:hint="eastAsia" w:cs="Times New Roman"/>
          <w:u w:val="single"/>
        </w:rPr>
        <w:t>岳阳城陵矶港务有限责任公司纪委</w:t>
      </w:r>
      <w:r>
        <w:rPr>
          <w:rFonts w:cs="Times New Roman"/>
          <w:u w:val="single"/>
        </w:rPr>
        <w:t xml:space="preserve"> </w:t>
      </w:r>
      <w:r>
        <w:rPr>
          <w:rFonts w:cs="Times New Roman"/>
        </w:rPr>
        <w:t>，电话：</w:t>
      </w:r>
      <w:r>
        <w:rPr>
          <w:rFonts w:cs="Times New Roman"/>
          <w:u w:val="single"/>
        </w:rPr>
        <w:t xml:space="preserve"> </w:t>
      </w:r>
      <w:r>
        <w:rPr>
          <w:rFonts w:hint="eastAsia" w:cs="Times New Roman"/>
          <w:u w:val="single"/>
        </w:rPr>
        <w:t>0730-</w:t>
      </w:r>
      <w:r>
        <w:rPr>
          <w:rFonts w:cs="Times New Roman"/>
          <w:u w:val="single"/>
        </w:rPr>
        <w:t xml:space="preserve"> </w:t>
      </w:r>
      <w:r>
        <w:rPr>
          <w:rFonts w:hint="eastAsia" w:cs="Times New Roman"/>
          <w:u w:val="single"/>
        </w:rPr>
        <w:t>8592313</w:t>
      </w:r>
      <w:r>
        <w:rPr>
          <w:rFonts w:cs="Times New Roman"/>
        </w:rPr>
        <w:t>。</w:t>
      </w:r>
    </w:p>
    <w:p>
      <w:pPr>
        <w:pStyle w:val="6"/>
        <w:jc w:val="both"/>
        <w:rPr>
          <w:rFonts w:ascii="Arial" w:hAnsi="Arial"/>
        </w:rPr>
      </w:pPr>
      <w:r>
        <w:t>9</w:t>
      </w:r>
      <w:r>
        <w:rPr>
          <w:rFonts w:hint="eastAsia"/>
        </w:rPr>
        <w:t xml:space="preserve"> </w:t>
      </w:r>
      <w:r>
        <w:rPr>
          <w:rFonts w:hint="eastAsia" w:ascii="黑体" w:hAnsi="黑体"/>
        </w:rPr>
        <w:t>其他</w:t>
      </w:r>
    </w:p>
    <w:p>
      <w:pPr>
        <w:autoSpaceDE w:val="0"/>
        <w:spacing w:line="400" w:lineRule="exact"/>
        <w:jc w:val="both"/>
        <w:rPr>
          <w:rFonts w:ascii="宋体" w:hAnsi="宋体"/>
          <w:sz w:val="24"/>
        </w:rPr>
      </w:pPr>
      <w:r>
        <w:rPr>
          <w:rFonts w:ascii="宋体" w:hAnsi="宋体"/>
          <w:b/>
          <w:bCs/>
          <w:sz w:val="24"/>
        </w:rPr>
        <w:t>9</w:t>
      </w:r>
      <w:r>
        <w:rPr>
          <w:rFonts w:hint="eastAsia" w:ascii="宋体" w:hAnsi="宋体"/>
          <w:b/>
          <w:bCs/>
          <w:sz w:val="24"/>
        </w:rPr>
        <w:t>.1</w:t>
      </w:r>
      <w:r>
        <w:rPr>
          <w:rFonts w:hint="eastAsia" w:ascii="宋体" w:hAnsi="宋体"/>
          <w:sz w:val="24"/>
        </w:rPr>
        <w:t xml:space="preserve"> 采购代理服务费:</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rPr>
            </w:pPr>
            <w:r>
              <w:rPr>
                <w:rFonts w:hint="eastAsia" w:ascii="黑体" w:hAnsi="黑体"/>
              </w:rPr>
              <w:t>采购代理服务费</w:t>
            </w:r>
          </w:p>
        </w:tc>
        <w:tc>
          <w:tcPr>
            <w:tcW w:w="2402" w:type="dxa"/>
          </w:tcPr>
          <w:p>
            <w:pPr>
              <w:widowControl w:val="0"/>
              <w:autoSpaceDE w:val="0"/>
              <w:spacing w:line="400" w:lineRule="exact"/>
              <w:jc w:val="both"/>
              <w:rPr>
                <w:rFonts w:ascii="黑体" w:hAnsi="黑体"/>
              </w:rPr>
            </w:pPr>
            <w:r>
              <w:rPr>
                <w:rFonts w:hint="eastAsia" w:ascii="宋体" w:hAnsi="宋体"/>
                <w:sz w:val="24"/>
              </w:rPr>
              <w:t>费用标准或金额</w:t>
            </w:r>
          </w:p>
        </w:tc>
        <w:tc>
          <w:tcPr>
            <w:tcW w:w="2402" w:type="dxa"/>
          </w:tcPr>
          <w:p>
            <w:pPr>
              <w:widowControl w:val="0"/>
              <w:autoSpaceDE w:val="0"/>
              <w:spacing w:line="400" w:lineRule="exact"/>
              <w:jc w:val="both"/>
              <w:rPr>
                <w:rFonts w:ascii="黑体" w:hAnsi="黑体"/>
              </w:rPr>
            </w:pPr>
            <w:r>
              <w:rPr>
                <w:rFonts w:hint="eastAsia" w:ascii="宋体" w:hAnsi="宋体"/>
                <w:sz w:val="24"/>
              </w:rPr>
              <w:t>交费时间</w:t>
            </w:r>
          </w:p>
        </w:tc>
        <w:tc>
          <w:tcPr>
            <w:tcW w:w="2240" w:type="dxa"/>
          </w:tcPr>
          <w:p>
            <w:pPr>
              <w:widowControl w:val="0"/>
              <w:autoSpaceDE w:val="0"/>
              <w:spacing w:line="400" w:lineRule="exact"/>
              <w:jc w:val="both"/>
              <w:rPr>
                <w:rFonts w:ascii="宋体" w:hAnsi="宋体"/>
                <w:sz w:val="24"/>
              </w:rPr>
            </w:pPr>
            <w:r>
              <w:rPr>
                <w:rFonts w:hint="eastAsia" w:ascii="宋体" w:hAnsi="宋体"/>
                <w:sz w:val="24"/>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sz w:val="24"/>
              </w:rPr>
            </w:pPr>
            <w:r>
              <w:rPr>
                <w:rStyle w:val="38"/>
                <w:rFonts w:hint="eastAsia"/>
              </w:rPr>
              <w:sym w:font="Wingdings 2" w:char="0052"/>
            </w:r>
            <w:r>
              <w:rPr>
                <w:rFonts w:hint="eastAsia" w:ascii="宋体" w:hAnsi="宋体"/>
                <w:sz w:val="24"/>
              </w:rPr>
              <w:t>不要求递交</w:t>
            </w:r>
          </w:p>
          <w:p>
            <w:pPr>
              <w:widowControl w:val="0"/>
              <w:autoSpaceDE w:val="0"/>
              <w:spacing w:line="400" w:lineRule="exact"/>
              <w:jc w:val="both"/>
              <w:rPr>
                <w:rFonts w:ascii="黑体" w:hAnsi="黑体"/>
              </w:rPr>
            </w:pPr>
            <w:r>
              <w:rPr>
                <w:rStyle w:val="38"/>
                <w:rFonts w:hint="eastAsia"/>
              </w:rPr>
              <w:t>□</w:t>
            </w:r>
            <w:r>
              <w:rPr>
                <w:rFonts w:hint="eastAsia" w:ascii="宋体" w:hAnsi="宋体"/>
                <w:sz w:val="24"/>
              </w:rPr>
              <w:t>要求递交</w:t>
            </w:r>
          </w:p>
        </w:tc>
        <w:tc>
          <w:tcPr>
            <w:tcW w:w="2402" w:type="dxa"/>
          </w:tcPr>
          <w:p>
            <w:pPr>
              <w:widowControl w:val="0"/>
              <w:autoSpaceDE w:val="0"/>
              <w:spacing w:line="400" w:lineRule="exact"/>
              <w:jc w:val="both"/>
              <w:rPr>
                <w:rFonts w:ascii="宋体" w:hAnsi="宋体"/>
                <w:sz w:val="24"/>
              </w:rPr>
            </w:pPr>
            <w:r>
              <w:rPr>
                <w:rStyle w:val="38"/>
                <w:rFonts w:hint="eastAsia"/>
              </w:rPr>
              <w:sym w:font="Wingdings 2" w:char="0052"/>
            </w:r>
            <w:r>
              <w:rPr>
                <w:rStyle w:val="3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黑体" w:hAnsi="黑体"/>
              </w:rPr>
            </w:pPr>
          </w:p>
        </w:tc>
        <w:tc>
          <w:tcPr>
            <w:tcW w:w="2402" w:type="dxa"/>
          </w:tcPr>
          <w:p>
            <w:pPr>
              <w:widowControl w:val="0"/>
              <w:autoSpaceDE w:val="0"/>
              <w:spacing w:line="400" w:lineRule="exact"/>
              <w:jc w:val="both"/>
              <w:rPr>
                <w:rFonts w:ascii="宋体" w:hAnsi="宋体"/>
                <w:sz w:val="24"/>
              </w:rPr>
            </w:pPr>
            <w:r>
              <w:rPr>
                <w:rStyle w:val="38"/>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240" w:type="dxa"/>
          </w:tcPr>
          <w:p>
            <w:pPr>
              <w:widowControl w:val="0"/>
              <w:autoSpaceDE w:val="0"/>
              <w:spacing w:line="400" w:lineRule="exact"/>
              <w:jc w:val="both"/>
              <w:rPr>
                <w:rFonts w:ascii="宋体" w:hAnsi="宋体"/>
                <w:sz w:val="24"/>
              </w:rPr>
            </w:pPr>
            <w:r>
              <w:rPr>
                <w:rStyle w:val="38"/>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Style w:val="38"/>
              </w:rPr>
            </w:pPr>
          </w:p>
        </w:tc>
      </w:tr>
    </w:tbl>
    <w:p>
      <w:pPr>
        <w:autoSpaceDE w:val="0"/>
        <w:spacing w:line="360" w:lineRule="auto"/>
        <w:jc w:val="both"/>
        <w:rPr>
          <w:rFonts w:ascii="宋体" w:hAnsi="宋体"/>
          <w:sz w:val="24"/>
        </w:rPr>
      </w:pPr>
      <w:r>
        <w:rPr>
          <w:rFonts w:ascii="宋体" w:hAnsi="宋体"/>
          <w:b/>
          <w:bCs/>
          <w:sz w:val="24"/>
        </w:rPr>
        <w:t>9</w:t>
      </w:r>
      <w:r>
        <w:rPr>
          <w:rFonts w:hint="eastAsia" w:ascii="宋体" w:hAnsi="宋体"/>
          <w:b/>
          <w:bCs/>
          <w:sz w:val="24"/>
        </w:rPr>
        <w:t xml:space="preserve">.2 </w:t>
      </w:r>
      <w:r>
        <w:rPr>
          <w:rFonts w:hint="eastAsia" w:ascii="宋体" w:hAnsi="宋体"/>
          <w:sz w:val="24"/>
        </w:rPr>
        <w:t>采购人在签署采购合同时及合同履行过程中，有权对采购标的的数量进行增加或减少的幅度: \%。</w:t>
      </w:r>
    </w:p>
    <w:p>
      <w:pPr>
        <w:autoSpaceDE w:val="0"/>
        <w:spacing w:line="360" w:lineRule="auto"/>
        <w:jc w:val="both"/>
        <w:rPr>
          <w:rFonts w:ascii="宋体" w:hAnsi="宋体"/>
        </w:rPr>
      </w:pPr>
      <w:r>
        <w:rPr>
          <w:rFonts w:hint="eastAsia" w:ascii="宋体" w:hAnsi="宋体"/>
        </w:rPr>
        <w:t xml:space="preserve">（注:适用于货物和服务采购项目，数量增减幅度通常在10%以内。） </w:t>
      </w:r>
    </w:p>
    <w:p>
      <w:pPr>
        <w:pStyle w:val="6"/>
        <w:jc w:val="both"/>
        <w:rPr>
          <w:rFonts w:ascii="Arial" w:hAnsi="Arial"/>
        </w:rPr>
      </w:pPr>
      <w:r>
        <w:t>10</w:t>
      </w:r>
      <w:r>
        <w:rPr>
          <w:rFonts w:hint="eastAsia"/>
        </w:rPr>
        <w:t xml:space="preserve"> </w:t>
      </w:r>
      <w:r>
        <w:rPr>
          <w:rFonts w:hint="eastAsia" w:ascii="黑体" w:hAnsi="黑体"/>
        </w:rPr>
        <w:t>联系方式</w:t>
      </w:r>
    </w:p>
    <w:p>
      <w:pPr>
        <w:autoSpaceDE w:val="0"/>
        <w:spacing w:line="400" w:lineRule="exact"/>
        <w:ind w:firstLine="240" w:firstLineChars="100"/>
        <w:jc w:val="left"/>
        <w:rPr>
          <w:rFonts w:hint="eastAsia" w:ascii="宋体" w:hAnsi="宋体"/>
          <w:sz w:val="24"/>
        </w:rPr>
      </w:pPr>
      <w:bookmarkStart w:id="16" w:name="_GoBack"/>
      <w:bookmarkEnd w:id="16"/>
      <w:r>
        <w:rPr>
          <w:rFonts w:hint="eastAsia" w:ascii="宋体" w:hAnsi="宋体"/>
          <w:sz w:val="24"/>
        </w:rPr>
        <w:t xml:space="preserve">采 购 人: </w:t>
      </w:r>
      <w:r>
        <w:rPr>
          <w:rFonts w:hint="eastAsia" w:ascii="宋体" w:hAnsi="宋体"/>
          <w:sz w:val="24"/>
          <w:u w:val="single"/>
        </w:rPr>
        <w:t>岳阳城陵矶港务有限责任公司</w:t>
      </w:r>
      <w:r>
        <w:rPr>
          <w:rFonts w:hint="eastAsia" w:ascii="宋体" w:hAnsi="宋体"/>
          <w:sz w:val="24"/>
        </w:rPr>
        <w:t xml:space="preserve">  </w:t>
      </w:r>
    </w:p>
    <w:p>
      <w:pPr>
        <w:autoSpaceDE w:val="0"/>
        <w:spacing w:line="400" w:lineRule="exact"/>
        <w:ind w:firstLine="240" w:firstLineChars="100"/>
        <w:jc w:val="left"/>
        <w:rPr>
          <w:rFonts w:hint="eastAsia" w:ascii="宋体" w:hAnsi="宋体"/>
          <w:sz w:val="24"/>
        </w:rPr>
      </w:pPr>
      <w:r>
        <w:rPr>
          <w:rFonts w:hint="eastAsia" w:ascii="宋体" w:hAnsi="宋体"/>
          <w:sz w:val="24"/>
        </w:rPr>
        <w:t xml:space="preserve">地    址: </w:t>
      </w:r>
      <w:r>
        <w:rPr>
          <w:rFonts w:hint="eastAsia" w:ascii="宋体" w:hAnsi="宋体"/>
          <w:sz w:val="24"/>
          <w:u w:val="single"/>
        </w:rPr>
        <w:t>岳阳市城陵矶长江路2号</w:t>
      </w:r>
      <w:r>
        <w:rPr>
          <w:rFonts w:hint="eastAsia" w:ascii="宋体" w:hAnsi="宋体"/>
          <w:sz w:val="24"/>
        </w:rPr>
        <w:t xml:space="preserve">         </w:t>
      </w:r>
    </w:p>
    <w:p>
      <w:pPr>
        <w:autoSpaceDE w:val="0"/>
        <w:spacing w:line="400" w:lineRule="exact"/>
        <w:ind w:firstLine="240" w:firstLineChars="100"/>
        <w:jc w:val="left"/>
        <w:rPr>
          <w:rFonts w:ascii="宋体" w:hAnsi="宋体"/>
          <w:sz w:val="24"/>
        </w:rPr>
      </w:pPr>
      <w:r>
        <w:rPr>
          <w:rFonts w:hint="eastAsia" w:ascii="宋体" w:hAnsi="宋体"/>
          <w:sz w:val="24"/>
        </w:rPr>
        <w:t xml:space="preserve">邮政编码: </w:t>
      </w:r>
      <w:r>
        <w:rPr>
          <w:rFonts w:hint="eastAsia" w:ascii="宋体" w:hAnsi="宋体"/>
          <w:sz w:val="24"/>
          <w:u w:val="single"/>
        </w:rPr>
        <w:t>414002</w:t>
      </w:r>
      <w:r>
        <w:rPr>
          <w:rFonts w:hint="eastAsia" w:ascii="宋体" w:hAnsi="宋体"/>
          <w:sz w:val="24"/>
        </w:rPr>
        <w:t xml:space="preserve"> </w:t>
      </w:r>
    </w:p>
    <w:p>
      <w:pPr>
        <w:autoSpaceDE w:val="0"/>
        <w:spacing w:line="400" w:lineRule="exact"/>
        <w:ind w:firstLine="240" w:firstLineChars="100"/>
        <w:jc w:val="left"/>
        <w:rPr>
          <w:rFonts w:hint="eastAsia" w:ascii="宋体" w:hAnsi="宋体"/>
          <w:sz w:val="24"/>
        </w:rPr>
      </w:pPr>
      <w:r>
        <w:rPr>
          <w:rFonts w:hint="eastAsia" w:ascii="宋体" w:hAnsi="宋体"/>
          <w:sz w:val="24"/>
        </w:rPr>
        <w:t xml:space="preserve">联 系 人: </w:t>
      </w:r>
      <w:r>
        <w:rPr>
          <w:rFonts w:hint="eastAsia" w:ascii="宋体" w:hAnsi="宋体"/>
          <w:sz w:val="24"/>
          <w:u w:val="single"/>
        </w:rPr>
        <w:t xml:space="preserve">夏先锋 </w:t>
      </w:r>
      <w:r>
        <w:rPr>
          <w:rFonts w:hint="eastAsia" w:ascii="宋体" w:hAnsi="宋体"/>
          <w:sz w:val="24"/>
        </w:rPr>
        <w:t xml:space="preserve">    </w:t>
      </w:r>
    </w:p>
    <w:p>
      <w:pPr>
        <w:autoSpaceDE w:val="0"/>
        <w:spacing w:line="400" w:lineRule="exact"/>
        <w:ind w:firstLine="240" w:firstLineChars="100"/>
        <w:jc w:val="left"/>
        <w:rPr>
          <w:rFonts w:ascii="宋体" w:hAnsi="宋体"/>
          <w:sz w:val="24"/>
        </w:rPr>
      </w:pPr>
      <w:r>
        <w:rPr>
          <w:rFonts w:hint="eastAsia" w:ascii="宋体" w:hAnsi="宋体"/>
          <w:sz w:val="24"/>
        </w:rPr>
        <w:t xml:space="preserve">电    话: </w:t>
      </w:r>
      <w:r>
        <w:rPr>
          <w:rFonts w:hint="eastAsia" w:ascii="宋体" w:hAnsi="宋体"/>
          <w:sz w:val="24"/>
          <w:u w:val="single"/>
        </w:rPr>
        <w:t>13975000615</w:t>
      </w:r>
    </w:p>
    <w:p>
      <w:pPr>
        <w:autoSpaceDE w:val="0"/>
        <w:spacing w:line="400" w:lineRule="exact"/>
        <w:ind w:firstLine="240" w:firstLineChars="100"/>
        <w:jc w:val="left"/>
        <w:rPr>
          <w:rFonts w:hint="eastAsia" w:ascii="宋体" w:hAnsi="宋体"/>
          <w:sz w:val="24"/>
        </w:rPr>
      </w:pPr>
      <w:r>
        <w:rPr>
          <w:rFonts w:hint="eastAsia" w:ascii="宋体" w:hAnsi="宋体"/>
          <w:sz w:val="24"/>
        </w:rPr>
        <w:t xml:space="preserve">传    真: </w:t>
      </w:r>
      <w:r>
        <w:rPr>
          <w:rFonts w:hint="eastAsia" w:ascii="宋体" w:hAnsi="宋体"/>
          <w:sz w:val="24"/>
          <w:u w:val="single"/>
        </w:rPr>
        <w:t xml:space="preserve">0730-3050160 </w:t>
      </w:r>
      <w:r>
        <w:rPr>
          <w:rFonts w:hint="eastAsia" w:ascii="宋体" w:hAnsi="宋体"/>
          <w:sz w:val="24"/>
        </w:rPr>
        <w:t xml:space="preserve"> </w:t>
      </w:r>
    </w:p>
    <w:p>
      <w:pPr>
        <w:autoSpaceDE w:val="0"/>
        <w:spacing w:line="400" w:lineRule="exact"/>
        <w:ind w:firstLine="240" w:firstLineChars="100"/>
        <w:jc w:val="left"/>
        <w:rPr>
          <w:rFonts w:hint="eastAsia" w:ascii="宋体" w:hAnsi="宋体"/>
          <w:sz w:val="24"/>
          <w:u w:val="single"/>
        </w:rPr>
      </w:pPr>
      <w:r>
        <w:rPr>
          <w:rFonts w:hint="eastAsia" w:ascii="宋体" w:hAnsi="宋体"/>
          <w:sz w:val="24"/>
        </w:rPr>
        <w:t xml:space="preserve">电子邮箱: </w:t>
      </w:r>
      <w:r>
        <w:rPr>
          <w:rFonts w:hint="eastAsia" w:ascii="宋体" w:hAnsi="宋体"/>
          <w:sz w:val="24"/>
          <w:u w:val="single"/>
        </w:rPr>
        <w:t>cljg2303@sina.com</w:t>
      </w:r>
      <w:r>
        <w:rPr>
          <w:rFonts w:hint="eastAsia" w:ascii="宋体" w:hAnsi="宋体"/>
          <w:sz w:val="24"/>
        </w:rPr>
        <w:t xml:space="preserve"> </w:t>
      </w:r>
    </w:p>
    <w:p>
      <w:pPr>
        <w:autoSpaceDE w:val="0"/>
        <w:spacing w:line="400" w:lineRule="exact"/>
        <w:ind w:firstLine="240" w:firstLineChars="100"/>
        <w:jc w:val="left"/>
        <w:rPr>
          <w:rFonts w:hint="eastAsia" w:ascii="宋体" w:hAnsi="宋体"/>
          <w:sz w:val="24"/>
          <w:u w:val="single"/>
        </w:rPr>
      </w:pPr>
      <w:r>
        <w:rPr>
          <w:rFonts w:hint="eastAsia" w:ascii="宋体" w:hAnsi="宋体"/>
          <w:sz w:val="24"/>
        </w:rPr>
        <w:t xml:space="preserve">网    址: </w:t>
      </w:r>
      <w:r>
        <w:rPr>
          <w:rFonts w:hint="eastAsia" w:ascii="宋体" w:hAnsi="宋体"/>
          <w:sz w:val="24"/>
          <w:u w:val="single"/>
        </w:rPr>
        <w:fldChar w:fldCharType="begin"/>
      </w:r>
      <w:r>
        <w:rPr>
          <w:rFonts w:hint="eastAsia" w:ascii="宋体" w:hAnsi="宋体"/>
          <w:sz w:val="24"/>
          <w:u w:val="single"/>
        </w:rPr>
        <w:instrText xml:space="preserve"> HYPERLINK "http://www.hnsgwjt.com" </w:instrText>
      </w:r>
      <w:r>
        <w:rPr>
          <w:rFonts w:hint="eastAsia" w:ascii="宋体" w:hAnsi="宋体"/>
          <w:sz w:val="24"/>
          <w:u w:val="single"/>
        </w:rPr>
        <w:fldChar w:fldCharType="separate"/>
      </w:r>
      <w:r>
        <w:rPr>
          <w:rStyle w:val="42"/>
          <w:rFonts w:hint="eastAsia" w:ascii="宋体" w:hAnsi="宋体"/>
          <w:sz w:val="24"/>
        </w:rPr>
        <w:t>http://www.hnsgwjt.com</w:t>
      </w:r>
      <w:r>
        <w:rPr>
          <w:rFonts w:hint="eastAsia" w:ascii="宋体" w:hAnsi="宋体"/>
          <w:sz w:val="24"/>
          <w:u w:val="single"/>
        </w:rPr>
        <w:fldChar w:fldCharType="end"/>
      </w:r>
    </w:p>
    <w:p>
      <w:pPr>
        <w:autoSpaceDE w:val="0"/>
        <w:spacing w:line="400" w:lineRule="exact"/>
        <w:ind w:firstLine="240" w:firstLineChars="100"/>
        <w:jc w:val="left"/>
        <w:rPr>
          <w:rFonts w:hint="eastAsia" w:ascii="宋体" w:hAnsi="宋体"/>
          <w:sz w:val="24"/>
        </w:rPr>
      </w:pPr>
      <w:r>
        <w:rPr>
          <w:rFonts w:hint="eastAsia" w:ascii="宋体" w:hAnsi="宋体"/>
          <w:sz w:val="24"/>
        </w:rPr>
        <w:t xml:space="preserve">开户银行: </w:t>
      </w:r>
      <w:r>
        <w:rPr>
          <w:rFonts w:hint="eastAsia" w:ascii="宋体" w:hAnsi="宋体"/>
          <w:sz w:val="24"/>
          <w:u w:val="single"/>
        </w:rPr>
        <w:t>中国建设银行湖南岳阳城陵矶支行</w:t>
      </w:r>
      <w:r>
        <w:rPr>
          <w:rFonts w:hint="eastAsia" w:ascii="宋体" w:hAnsi="宋体"/>
          <w:sz w:val="24"/>
        </w:rPr>
        <w:t xml:space="preserve"> </w:t>
      </w:r>
    </w:p>
    <w:p>
      <w:pPr>
        <w:autoSpaceDE w:val="0"/>
        <w:spacing w:line="400" w:lineRule="exact"/>
        <w:ind w:firstLine="240" w:firstLineChars="100"/>
        <w:jc w:val="left"/>
        <w:rPr>
          <w:rFonts w:ascii="宋体" w:hAnsi="宋体"/>
          <w:sz w:val="24"/>
        </w:rPr>
      </w:pPr>
      <w:r>
        <w:rPr>
          <w:rFonts w:hint="eastAsia" w:ascii="宋体" w:hAnsi="宋体"/>
          <w:sz w:val="24"/>
        </w:rPr>
        <w:t>账    号: 43001650066050000703</w:t>
      </w:r>
    </w:p>
    <w:p>
      <w:pPr>
        <w:autoSpaceDE w:val="0"/>
        <w:spacing w:line="400" w:lineRule="exact"/>
        <w:jc w:val="both"/>
        <w:rPr>
          <w:rFonts w:ascii="宋体" w:hAnsi="宋体"/>
          <w:sz w:val="24"/>
        </w:rPr>
      </w:pPr>
    </w:p>
    <w:p>
      <w:pPr>
        <w:autoSpaceDE w:val="0"/>
        <w:spacing w:line="400" w:lineRule="exact"/>
        <w:jc w:val="both"/>
        <w:rPr>
          <w:rFonts w:ascii="宋体" w:hAnsi="宋体"/>
          <w:sz w:val="24"/>
        </w:rPr>
      </w:pPr>
      <w:r>
        <w:rPr>
          <w:rFonts w:hint="eastAsia" w:ascii="宋体" w:hAnsi="宋体"/>
          <w:sz w:val="24"/>
        </w:rPr>
        <w:t xml:space="preserve"> </w:t>
      </w:r>
    </w:p>
    <w:p>
      <w:pPr>
        <w:spacing w:line="240" w:lineRule="auto"/>
        <w:jc w:val="both"/>
        <w:rPr>
          <w:rFonts w:ascii="宋体" w:hAnsi="宋体"/>
          <w:sz w:val="24"/>
        </w:rPr>
      </w:pPr>
      <w:bookmarkStart w:id="8" w:name="_Toc517787494"/>
      <w:bookmarkStart w:id="9" w:name="_Toc234832861"/>
      <w:r>
        <w:rPr>
          <w:rFonts w:ascii="宋体" w:hAnsi="宋体"/>
          <w:sz w:val="24"/>
        </w:rPr>
        <w:t xml:space="preserve"> </w:t>
      </w: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pStyle w:val="2"/>
        <w:rPr>
          <w:rFonts w:ascii="宋体" w:hAnsi="宋体"/>
          <w:sz w:val="24"/>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spacing w:line="240" w:lineRule="auto"/>
        <w:jc w:val="both"/>
        <w:rPr>
          <w:rFonts w:ascii="宋体" w:hAnsi="宋体"/>
          <w:sz w:val="24"/>
        </w:rPr>
      </w:pPr>
    </w:p>
    <w:p>
      <w:pPr>
        <w:spacing w:line="240" w:lineRule="auto"/>
        <w:jc w:val="both"/>
        <w:rPr>
          <w:rFonts w:ascii="宋体" w:hAnsi="宋体"/>
          <w:sz w:val="24"/>
        </w:rPr>
      </w:pP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4"/>
        <w:spacing w:before="240" w:after="240" w:line="600" w:lineRule="exact"/>
        <w:jc w:val="both"/>
        <w:rPr>
          <w:rFonts w:ascii="仿宋" w:hAnsi="仿宋" w:eastAsia="仿宋" w:cs="仿宋"/>
          <w:sz w:val="30"/>
          <w:szCs w:val="30"/>
        </w:rPr>
      </w:pPr>
      <w:bookmarkStart w:id="10" w:name="_Toc234832862"/>
      <w:bookmarkStart w:id="11" w:name="_Toc517787495"/>
      <w:r>
        <w:rPr>
          <w:rFonts w:hint="eastAsia" w:ascii="仿宋" w:hAnsi="仿宋" w:eastAsia="仿宋" w:cs="仿宋"/>
          <w:sz w:val="30"/>
          <w:szCs w:val="30"/>
        </w:rPr>
        <w:t>供应商须知前附表</w:t>
      </w:r>
      <w:r>
        <w:rPr>
          <w:rStyle w:val="43"/>
          <w:rFonts w:hint="eastAsia" w:ascii="仿宋" w:hAnsi="仿宋" w:eastAsia="仿宋" w:cs="仿宋"/>
          <w:sz w:val="30"/>
          <w:szCs w:val="30"/>
        </w:rPr>
        <w:footnoteReference w:id="0"/>
      </w:r>
      <w:bookmarkEnd w:id="10"/>
      <w:bookmarkEnd w:id="11"/>
    </w:p>
    <w:tbl>
      <w:tblPr>
        <w:tblStyle w:val="35"/>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w:t>
            </w:r>
            <w:r>
              <w:rPr>
                <w:rFonts w:hint="eastAsia" w:cs="仿宋" w:asciiTheme="minorEastAsia" w:hAnsiTheme="minorEastAsia" w:eastAsiaTheme="minorEastAsia"/>
                <w:sz w:val="24"/>
                <w:lang w:val="en-US" w:eastAsia="zh-CN"/>
              </w:rPr>
              <w:t>按综合下浮比例，由高到低排序</w:t>
            </w:r>
            <w:r>
              <w:rPr>
                <w:rFonts w:hint="eastAsia" w:cs="仿宋" w:asciiTheme="minorEastAsia" w:hAnsiTheme="minorEastAsia" w:eastAsiaTheme="minorEastAsia"/>
                <w:sz w:val="24"/>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允许偏差的范围：不允许</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0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截止时间：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确认的最晚时间：</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FF0000"/>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采购标的数量增减幅度：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 xml:space="preserve">有，最高限价或其计算方法： </w:t>
            </w:r>
          </w:p>
          <w:p>
            <w:pPr>
              <w:numPr>
                <w:ilvl w:val="0"/>
                <w:numId w:val="2"/>
              </w:num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编制依据。</w:t>
            </w:r>
          </w:p>
          <w:p>
            <w:p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本项目由于工程量具有不确定性，</w:t>
            </w:r>
            <w:r>
              <w:rPr>
                <w:rFonts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rPr>
              <w:t>最高控制价的确定根据零星工程内容，结算控制价按</w:t>
            </w:r>
            <w:r>
              <w:rPr>
                <w:rFonts w:asciiTheme="minorEastAsia" w:hAnsiTheme="minorEastAsia" w:eastAsiaTheme="minorEastAsia" w:cstheme="minorEastAsia"/>
                <w:color w:val="auto"/>
                <w:sz w:val="24"/>
              </w:rPr>
              <w:t>2020年《湖南省建设工程计价办法》及2020年《湖南省建设工程消耗量标准》的规定编制</w:t>
            </w:r>
            <w:r>
              <w:rPr>
                <w:rFonts w:hint="eastAsia" w:asciiTheme="minorEastAsia" w:hAnsiTheme="minorEastAsia" w:eastAsiaTheme="minorEastAsia" w:cstheme="minorEastAsia"/>
                <w:color w:val="auto"/>
                <w:sz w:val="24"/>
              </w:rPr>
              <w:t>；</w:t>
            </w:r>
          </w:p>
          <w:p>
            <w:pPr>
              <w:numPr>
                <w:ilvl w:val="0"/>
                <w:numId w:val="2"/>
              </w:num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下浮比例。</w:t>
            </w:r>
          </w:p>
          <w:p>
            <w:p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其工程造价不得低于以下规定的下浮比例：建筑工程下浮的比例不低于</w:t>
            </w:r>
            <w:r>
              <w:rPr>
                <w:rFonts w:asciiTheme="minorEastAsia" w:hAnsiTheme="minorEastAsia" w:eastAsiaTheme="minorEastAsia" w:cstheme="minorEastAsia"/>
                <w:color w:val="auto"/>
                <w:sz w:val="24"/>
              </w:rPr>
              <w:t xml:space="preserve">8%；装饰工程下浮的比例不低于10%；安装工程（不含主材）中的一般工程下浮的比例不低于16%、单独管道工程下浮的比例不低于9%、单独电仪工程下浮的比例不低于23%；市政工程下浮的比例不低于13%；园林绿化工程下浮的比例不低于14%；下浮比例均为税前总价。按套相应工程项目定额，在定额的基础上下浮，低于相应工程的下浮比例均为无效响应。  </w:t>
            </w:r>
          </w:p>
          <w:p>
            <w:pPr>
              <w:numPr>
                <w:ilvl w:val="0"/>
                <w:numId w:val="2"/>
              </w:num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零星项目不作下浮的限额。</w:t>
            </w:r>
          </w:p>
          <w:p>
            <w:pPr>
              <w:spacing w:line="288" w:lineRule="auto"/>
              <w:jc w:val="both"/>
              <w:rPr>
                <w:rFonts w:cs="仿宋" w:asciiTheme="minorEastAsia" w:hAnsiTheme="minorEastAsia" w:eastAsiaTheme="minorEastAsia"/>
                <w:sz w:val="24"/>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rPr>
              <w:t>零星维修项目中的安装工程总价小于</w:t>
            </w:r>
            <w:r>
              <w:rPr>
                <w:rFonts w:asciiTheme="minorEastAsia" w:hAnsiTheme="minorEastAsia" w:eastAsiaTheme="minorEastAsia" w:cstheme="minorEastAsia"/>
                <w:color w:val="000000"/>
                <w:sz w:val="24"/>
              </w:rPr>
              <w:t>20000元或5000元以下小型安装项目（不含主材）可不作下浮。2、</w:t>
            </w:r>
            <w:r>
              <w:rPr>
                <w:rFonts w:hint="eastAsia" w:asciiTheme="minorEastAsia" w:hAnsiTheme="minorEastAsia" w:eastAsiaTheme="minorEastAsia" w:cstheme="minorEastAsia"/>
                <w:color w:val="000000"/>
                <w:sz w:val="24"/>
              </w:rPr>
              <w:t>零星维修项目中建筑工程总造价小于</w:t>
            </w:r>
            <w:r>
              <w:rPr>
                <w:rFonts w:asciiTheme="minorEastAsia" w:hAnsiTheme="minorEastAsia" w:eastAsiaTheme="minorEastAsia" w:cstheme="minorEastAsia"/>
                <w:color w:val="000000"/>
                <w:sz w:val="24"/>
              </w:rPr>
              <w:t>5000元的工程可不作下浮，5000元以上均执行第一条中下浮比例。3、</w:t>
            </w:r>
            <w:r>
              <w:rPr>
                <w:rFonts w:hint="eastAsia" w:asciiTheme="minorEastAsia" w:hAnsiTheme="minorEastAsia" w:eastAsiaTheme="minorEastAsia" w:cstheme="minorEastAsia"/>
                <w:color w:val="000000"/>
                <w:sz w:val="24"/>
              </w:rPr>
              <w:t>零星维修项目中拆除工程总造价在</w:t>
            </w:r>
            <w:r>
              <w:rPr>
                <w:rFonts w:asciiTheme="minorEastAsia" w:hAnsiTheme="minorEastAsia" w:eastAsiaTheme="minorEastAsia" w:cstheme="minorEastAsia"/>
                <w:color w:val="000000"/>
                <w:sz w:val="24"/>
              </w:rPr>
              <w:t>10000元以下套用2005年《湖南省房屋修缮工程计价定额》不作下浮。</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供应商应提供市场监管部门或其他行政机关颁发的可以合法开展业务的执照或证书，必须提供营业执照复印件。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（注：建筑类企业资质证书、等级：房屋建筑施工总承包三级及以上；建筑装饰装修工程总承包三级及以上、安全生产许可证。颁发机构为省级建设厅。</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u w:val="single"/>
              </w:rPr>
              <w:t xml:space="preserve"> 2018年10月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2021 年10月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000000"/>
                <w:sz w:val="24"/>
                <w:u w:val="single"/>
              </w:rPr>
              <w:t xml:space="preserve"> 电工和焊工的资格证书最少各一名，报价截止时间往前推算6个月以内保险缴费证明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（注：一般工程和服务项目有本项要求。采购人可在此处明确对有关人员职称证书、执业证明、社保缴费证明及业绩证明等的具体要求）</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自采购人收到供应商递交的书面通知之日起</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日内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36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湖南省港务集团有限公司办公楼602室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43"/>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3"/>
                <w:rFonts w:cs="宋体" w:asciiTheme="minorEastAsia" w:hAnsiTheme="minorEastAsia" w:eastAsiaTheme="minorEastAsia"/>
                <w:color w:val="000000"/>
                <w:sz w:val="24"/>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t>3</w:t>
            </w:r>
            <w:r>
              <w:rPr>
                <w:rFonts w:hint="eastAsia" w:cs="宋体" w:asciiTheme="minorEastAsia" w:hAnsiTheme="minorEastAsia" w:eastAsiaTheme="minorEastAsia"/>
                <w:color w:val="000000"/>
                <w:sz w:val="24"/>
              </w:rPr>
              <w:t>个（不超过3个），并标明推荐顺序。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数量：1-</w:t>
            </w:r>
            <w:r>
              <w:rPr>
                <w:rFonts w:hint="eastAsia" w:cs="宋体" w:asciiTheme="minorEastAsia" w:hAnsiTheme="minorEastAsia" w:eastAsiaTheme="minorEastAsia"/>
                <w:color w:val="000000"/>
                <w:sz w:val="24"/>
                <w:u w:val="single"/>
              </w:rPr>
              <w:t xml:space="preserve">3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jc w:val="both"/>
              <w:rPr>
                <w:rFonts w:ascii="宋体" w:hAnsi="宋体"/>
                <w:sz w:val="24"/>
              </w:rPr>
            </w:pPr>
            <w:r>
              <w:rPr>
                <w:rFonts w:hint="eastAsia" w:cs="宋体" w:asciiTheme="minorEastAsia" w:hAnsiTheme="minorEastAsia" w:eastAsiaTheme="minorEastAsia"/>
                <w:color w:val="000000"/>
                <w:sz w:val="24"/>
              </w:rPr>
              <w:t>公示媒介：</w:t>
            </w:r>
            <w:r>
              <w:rPr>
                <w:rFonts w:hint="eastAsia" w:ascii="宋体" w:hAnsi="宋体"/>
                <w:sz w:val="24"/>
              </w:rPr>
              <w:t>中国招标投标公共服务平台（</w:t>
            </w:r>
            <w:r>
              <w:fldChar w:fldCharType="begin"/>
            </w:r>
            <w:r>
              <w:instrText xml:space="preserve"> HYPERLINK "http://www.chinabidding.com.cn" </w:instrText>
            </w:r>
            <w:r>
              <w:fldChar w:fldCharType="separate"/>
            </w:r>
            <w:r>
              <w:rPr>
                <w:rFonts w:hint="eastAsia" w:ascii="宋体" w:hAnsi="宋体"/>
                <w:sz w:val="24"/>
              </w:rPr>
              <w:t>www.cebpubservice.com</w:t>
            </w:r>
            <w:r>
              <w:rPr>
                <w:rFonts w:hint="eastAsia" w:ascii="宋体" w:hAnsi="宋体"/>
                <w:sz w:val="24"/>
              </w:rPr>
              <w:fldChar w:fldCharType="end"/>
            </w:r>
            <w:r>
              <w:rPr>
                <w:rFonts w:hint="eastAsia" w:ascii="宋体" w:hAnsi="宋体"/>
                <w:sz w:val="24"/>
              </w:rPr>
              <w:t>）、湖南省湘水集团有限公司（http://www.hnsxsjt.com）、湖南省港务集团公司网站（http://www.hnsgwjt.com/）上发布。</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3个工作日</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其他应公示的内容</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岳阳城陵矶港务有限责任公司纪委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u w:val="single"/>
              </w:rPr>
              <w:t xml:space="preserve"> </w:t>
            </w:r>
            <w:r>
              <w:rPr>
                <w:rFonts w:hint="eastAsia"/>
                <w:u w:val="single"/>
              </w:rPr>
              <w:t>0730-</w:t>
            </w:r>
            <w:r>
              <w:rPr>
                <w:u w:val="single"/>
              </w:rPr>
              <w:t xml:space="preserve"> </w:t>
            </w:r>
            <w:r>
              <w:rPr>
                <w:rFonts w:hint="eastAsia"/>
                <w:u w:val="single"/>
              </w:rPr>
              <w:t>8592313</w:t>
            </w:r>
            <w:r>
              <w:rPr>
                <w:rFonts w:hint="eastAsia"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通信地址：岳</w:t>
            </w:r>
            <w:r>
              <w:rPr>
                <w:rFonts w:hint="eastAsia" w:cs="宋体" w:asciiTheme="minorEastAsia" w:hAnsiTheme="minorEastAsia" w:eastAsiaTheme="minorEastAsia"/>
                <w:color w:val="000000"/>
                <w:sz w:val="24"/>
                <w:u w:val="single"/>
              </w:rPr>
              <w:t xml:space="preserve">阳市城陵矶长江路2号 </w:t>
            </w:r>
            <w:r>
              <w:rPr>
                <w:rFonts w:hint="eastAsia"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 xml:space="preserve">其他： \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6"/>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0"/>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0"/>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0"/>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FF0000"/>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FF0000"/>
          <w:sz w:val="24"/>
        </w:rPr>
      </w:pPr>
      <w:r>
        <w:rPr>
          <w:rFonts w:hint="eastAsia" w:ascii="宋体" w:hAnsi="宋体" w:cs="仿宋"/>
          <w:color w:val="FF0000"/>
          <w:sz w:val="24"/>
        </w:rPr>
        <w:t>采购人在本章第4.2.1项规定的递交响应文件的截止时间和地点公开开启响应文件。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ascii="宋体" w:hAnsi="宋体" w:cs="仿宋"/>
          <w:b/>
          <w:bCs/>
          <w:sz w:val="24"/>
        </w:rPr>
        <w:t>6.2初步评审</w:t>
      </w:r>
    </w:p>
    <w:p>
      <w:pPr>
        <w:adjustRightInd w:val="0"/>
        <w:snapToGrid w:val="0"/>
        <w:spacing w:line="312" w:lineRule="auto"/>
        <w:jc w:val="both"/>
        <w:rPr>
          <w:rFonts w:ascii="宋体" w:hAnsi="宋体" w:cs="仿宋"/>
          <w:sz w:val="24"/>
        </w:rPr>
      </w:pPr>
      <w:r>
        <w:rPr>
          <w:rFonts w:hint="eastAsia" w:ascii="宋体" w:hAnsi="宋体" w:cs="仿宋"/>
          <w:sz w:val="24"/>
        </w:rPr>
        <w:t>6.2.1谈判</w:t>
      </w:r>
      <w:r>
        <w:rPr>
          <w:rFonts w:ascii="宋体" w:hAnsi="宋体" w:cs="仿宋"/>
          <w:sz w:val="24"/>
        </w:rPr>
        <w:t>小组按照第三章“评审办法”规定的评审标</w:t>
      </w:r>
      <w:r>
        <w:rPr>
          <w:rFonts w:hint="eastAsia" w:ascii="宋体" w:hAnsi="宋体" w:cs="仿宋"/>
          <w:sz w:val="24"/>
        </w:rPr>
        <w:t>准和程序对</w:t>
      </w:r>
      <w:r>
        <w:rPr>
          <w:rFonts w:ascii="宋体" w:hAnsi="宋体" w:cs="仿宋"/>
          <w:sz w:val="24"/>
        </w:rPr>
        <w:t>供应商</w:t>
      </w:r>
      <w:r>
        <w:rPr>
          <w:rFonts w:hint="eastAsia" w:ascii="宋体" w:hAnsi="宋体" w:cs="仿宋"/>
          <w:sz w:val="24"/>
        </w:rPr>
        <w:t>递交的</w:t>
      </w:r>
      <w:r>
        <w:rPr>
          <w:rFonts w:ascii="宋体" w:hAnsi="宋体" w:cs="仿宋"/>
          <w:sz w:val="24"/>
        </w:rPr>
        <w:t>响应文件进行初步评审。初步评审主要对响应文件的形式、</w:t>
      </w:r>
      <w:r>
        <w:rPr>
          <w:rFonts w:hint="eastAsia" w:ascii="宋体" w:hAnsi="宋体" w:cs="仿宋"/>
          <w:sz w:val="24"/>
        </w:rPr>
        <w:t>供应商的资格和响应文件的响应性进行审查，</w:t>
      </w:r>
      <w:r>
        <w:rPr>
          <w:rFonts w:ascii="宋体" w:hAnsi="宋体" w:cs="仿宋"/>
          <w:sz w:val="24"/>
        </w:rPr>
        <w:t>以判断响应文件的形式是否符合要求、</w:t>
      </w:r>
      <w:r>
        <w:rPr>
          <w:rFonts w:hint="eastAsia" w:ascii="宋体" w:hAnsi="宋体" w:cs="仿宋"/>
          <w:sz w:val="24"/>
        </w:rPr>
        <w:t>供应商是否符合资格条件、响</w:t>
      </w:r>
      <w:r>
        <w:rPr>
          <w:rFonts w:ascii="宋体" w:hAnsi="宋体" w:cs="仿宋"/>
          <w:sz w:val="24"/>
        </w:rPr>
        <w:t>应文件是否实质性响应采购文件的要求。</w:t>
      </w:r>
    </w:p>
    <w:p>
      <w:pPr>
        <w:adjustRightInd w:val="0"/>
        <w:snapToGrid w:val="0"/>
        <w:spacing w:line="312" w:lineRule="auto"/>
        <w:jc w:val="both"/>
        <w:rPr>
          <w:rFonts w:ascii="宋体" w:hAnsi="宋体" w:cs="仿宋"/>
          <w:sz w:val="24"/>
        </w:rPr>
      </w:pPr>
      <w:r>
        <w:rPr>
          <w:rFonts w:ascii="宋体" w:hAnsi="宋体" w:cs="仿宋"/>
          <w:sz w:val="24"/>
        </w:rPr>
        <w:t>6.2.2响应文件的形式或供应商资格不符合采购文件的要</w:t>
      </w:r>
      <w:r>
        <w:rPr>
          <w:rFonts w:hint="eastAsia" w:ascii="宋体" w:hAnsi="宋体" w:cs="仿宋"/>
          <w:sz w:val="24"/>
        </w:rPr>
        <w:t>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line="312" w:lineRule="auto"/>
        <w:jc w:val="both"/>
        <w:rPr>
          <w:rFonts w:ascii="宋体" w:hAnsi="宋体" w:cs="仿宋"/>
          <w:sz w:val="24"/>
        </w:rPr>
      </w:pPr>
      <w:r>
        <w:rPr>
          <w:rFonts w:ascii="宋体" w:hAnsi="宋体" w:cs="仿宋"/>
          <w:sz w:val="24"/>
        </w:rPr>
        <w:t>6.2.3只有形式评审和资格评审合格且实质性响应采购文件要求的供应商才可通过初步评审。经供应商澄清、说明和补正后仍未通过初步评审的响应文件将被视为无效，谈判小组应告知有关供应商。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rPr>
      </w:pPr>
      <w:r>
        <w:rPr>
          <w:rFonts w:hint="eastAsia" w:ascii="宋体" w:hAnsi="宋体" w:cs="仿宋"/>
          <w:color w:val="FF0000"/>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6"/>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1"/>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w:t>
            </w:r>
            <w:r>
              <w:rPr>
                <w:rFonts w:hint="eastAsia" w:cs="仿宋" w:asciiTheme="minorEastAsia" w:hAnsiTheme="minorEastAsia" w:eastAsiaTheme="minorEastAsia"/>
                <w:szCs w:val="21"/>
                <w:lang w:val="en-US" w:eastAsia="zh-CN"/>
              </w:rPr>
              <w:t>综合下浮比例由高到低</w:t>
            </w:r>
            <w:r>
              <w:rPr>
                <w:rFonts w:hint="eastAsia" w:cs="仿宋" w:asciiTheme="minorEastAsia" w:hAnsiTheme="minorEastAsia" w:eastAsiaTheme="minorEastAsia"/>
                <w:szCs w:val="21"/>
              </w:rPr>
              <w:t>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w:t>
      </w:r>
      <w:r>
        <w:rPr>
          <w:rFonts w:hint="eastAsia" w:cs="仿宋" w:asciiTheme="minorEastAsia" w:hAnsiTheme="minorEastAsia" w:eastAsiaTheme="minorEastAsia"/>
          <w:szCs w:val="21"/>
          <w:lang w:val="en-US" w:eastAsia="zh-CN"/>
        </w:rPr>
        <w:t>综合下浮比例</w:t>
      </w:r>
      <w:r>
        <w:rPr>
          <w:rFonts w:hint="eastAsia" w:ascii="宋体" w:hAnsi="宋体" w:cs="仿宋"/>
          <w:sz w:val="24"/>
        </w:rPr>
        <w:t>进行比较后，按照评审</w:t>
      </w:r>
      <w:r>
        <w:rPr>
          <w:rFonts w:hint="eastAsia" w:cs="仿宋" w:asciiTheme="minorEastAsia" w:hAnsiTheme="minorEastAsia" w:eastAsiaTheme="minorEastAsia"/>
          <w:szCs w:val="21"/>
          <w:lang w:val="en-US" w:eastAsia="zh-CN"/>
        </w:rPr>
        <w:t>综合下浮比例由高到低</w:t>
      </w:r>
      <w:r>
        <w:rPr>
          <w:rFonts w:hint="eastAsia" w:ascii="宋体" w:hAnsi="宋体" w:cs="仿宋"/>
          <w:sz w:val="24"/>
        </w:rPr>
        <w:t>的顺序对供应商排序。供应商评审</w:t>
      </w:r>
      <w:r>
        <w:rPr>
          <w:rFonts w:hint="eastAsia" w:cs="仿宋" w:asciiTheme="minorEastAsia" w:hAnsiTheme="minorEastAsia" w:eastAsiaTheme="minorEastAsia"/>
          <w:szCs w:val="21"/>
          <w:lang w:val="en-US" w:eastAsia="zh-CN"/>
        </w:rPr>
        <w:t>综合下浮比例</w:t>
      </w:r>
      <w:r>
        <w:rPr>
          <w:rFonts w:hint="eastAsia" w:ascii="宋体" w:hAnsi="宋体" w:cs="仿宋"/>
          <w:sz w:val="24"/>
        </w:rPr>
        <w:t>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kern w:val="44"/>
          <w:sz w:val="32"/>
          <w:szCs w:val="32"/>
        </w:rPr>
      </w:pPr>
      <w:bookmarkStart w:id="13" w:name="_Toc76635709"/>
      <w:bookmarkStart w:id="14" w:name="_Toc77254130"/>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outlineLvl w:val="0"/>
        <w:rPr>
          <w:rFonts w:ascii="黑体" w:hAnsi="黑体" w:eastAsia="黑体" w:cs="宋体"/>
          <w:kern w:val="44"/>
          <w:sz w:val="32"/>
          <w:szCs w:val="32"/>
        </w:rPr>
      </w:pPr>
    </w:p>
    <w:bookmarkEnd w:id="13"/>
    <w:bookmarkEnd w:id="14"/>
    <w:p>
      <w:pPr>
        <w:pStyle w:val="71"/>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12" w:lineRule="auto"/>
        <w:jc w:val="both"/>
        <w:rPr>
          <w:rFonts w:cs="仿宋" w:asciiTheme="minorEastAsia" w:hAnsiTheme="minorEastAsia" w:eastAsiaTheme="minorEastAsia"/>
          <w:sz w:val="24"/>
        </w:rPr>
      </w:pPr>
      <w:r>
        <w:rPr>
          <w:rFonts w:ascii="黑体" w:hAnsi="黑体" w:eastAsia="黑体"/>
          <w:color w:val="000000"/>
          <w:kern w:val="0"/>
          <w:sz w:val="28"/>
          <w:szCs w:val="28"/>
        </w:rPr>
        <w:t>附件</w:t>
      </w:r>
      <w:r>
        <w:rPr>
          <w:rFonts w:hint="eastAsia" w:ascii="黑体" w:hAnsi="黑体" w:eastAsia="黑体"/>
          <w:color w:val="000000"/>
          <w:kern w:val="0"/>
          <w:sz w:val="28"/>
          <w:szCs w:val="28"/>
        </w:rPr>
        <w:t>一</w:t>
      </w:r>
      <w:r>
        <w:rPr>
          <w:rFonts w:ascii="黑体" w:hAnsi="黑体" w:eastAsia="黑体"/>
          <w:color w:val="000000"/>
          <w:kern w:val="0"/>
          <w:sz w:val="28"/>
          <w:szCs w:val="28"/>
        </w:rPr>
        <w:t>：</w:t>
      </w:r>
      <w:r>
        <w:rPr>
          <w:rFonts w:hint="eastAsia" w:ascii="黑体" w:hAnsi="黑体" w:eastAsia="黑体"/>
          <w:color w:val="000000"/>
          <w:kern w:val="0"/>
          <w:sz w:val="28"/>
          <w:szCs w:val="28"/>
        </w:rPr>
        <w:t>业务外包主合同</w:t>
      </w:r>
      <w:r>
        <w:rPr>
          <w:rFonts w:ascii="黑体" w:hAnsi="黑体" w:eastAsia="黑体"/>
          <w:color w:val="000000"/>
          <w:kern w:val="0"/>
          <w:sz w:val="28"/>
          <w:szCs w:val="28"/>
        </w:rPr>
        <w:t>格式</w:t>
      </w:r>
    </w:p>
    <w:p>
      <w:pPr>
        <w:widowControl w:val="0"/>
        <w:autoSpaceDE w:val="0"/>
        <w:adjustRightInd w:val="0"/>
        <w:spacing w:before="100" w:beforeAutospacing="1" w:line="490" w:lineRule="exact"/>
        <w:jc w:val="center"/>
        <w:rPr>
          <w:rFonts w:ascii="黑体" w:hAnsi="黑体" w:eastAsia="黑体"/>
          <w:b/>
          <w:bCs/>
          <w:color w:val="000000"/>
          <w:kern w:val="0"/>
          <w:sz w:val="36"/>
          <w:szCs w:val="36"/>
        </w:rPr>
      </w:pPr>
      <w:r>
        <w:rPr>
          <w:rFonts w:hint="eastAsia" w:ascii="黑体" w:hAnsi="黑体" w:eastAsia="黑体"/>
          <w:b/>
          <w:bCs/>
          <w:color w:val="000000"/>
          <w:kern w:val="0"/>
          <w:sz w:val="36"/>
          <w:szCs w:val="36"/>
        </w:rPr>
        <w:t>零星基建项目外包业务协议</w:t>
      </w:r>
    </w:p>
    <w:p>
      <w:pPr>
        <w:spacing w:line="360" w:lineRule="auto"/>
        <w:ind w:firstLine="480" w:firstLineChars="200"/>
        <w:jc w:val="both"/>
        <w:rPr>
          <w:rFonts w:ascii="宋体" w:hAnsi="宋体"/>
          <w:sz w:val="24"/>
        </w:rPr>
      </w:pPr>
    </w:p>
    <w:p>
      <w:pPr>
        <w:spacing w:line="360" w:lineRule="auto"/>
        <w:ind w:firstLine="480" w:firstLineChars="200"/>
        <w:jc w:val="both"/>
        <w:rPr>
          <w:rFonts w:ascii="宋体" w:hAnsi="宋体"/>
          <w:sz w:val="24"/>
        </w:rPr>
      </w:pPr>
      <w:r>
        <w:rPr>
          <w:rFonts w:hint="eastAsia" w:ascii="宋体" w:hAnsi="宋体"/>
          <w:sz w:val="24"/>
        </w:rPr>
        <w:t>本合同协议书由岳阳城陵矶港务有限责任公司_（以下简称“甲方”）与______ _______(以下简称“乙方”)于____年____月____日共同订署。</w:t>
      </w:r>
    </w:p>
    <w:p>
      <w:pPr>
        <w:spacing w:line="360" w:lineRule="auto"/>
        <w:ind w:firstLine="480" w:firstLineChars="200"/>
        <w:jc w:val="both"/>
        <w:rPr>
          <w:rFonts w:ascii="宋体" w:hAnsi="宋体"/>
          <w:sz w:val="24"/>
          <w:u w:val="single"/>
        </w:rPr>
      </w:pPr>
      <w:r>
        <w:rPr>
          <w:rFonts w:hint="eastAsia" w:ascii="宋体" w:hAnsi="宋体"/>
          <w:sz w:val="24"/>
        </w:rPr>
        <w:t>鉴于甲方接受了乙方_岳阳城陵矶港务有限责任公司零星基建项目业务外包_的投标书</w:t>
      </w:r>
      <w:r>
        <w:rPr>
          <w:rFonts w:hint="eastAsia" w:ascii="宋体" w:hAnsi="宋体"/>
          <w:sz w:val="24"/>
          <w:u w:val="single"/>
        </w:rPr>
        <w:t>，为明确双方在合同期间的义务、责任、权力和利益，兹就以下事项达成协议：</w:t>
      </w:r>
    </w:p>
    <w:p>
      <w:pPr>
        <w:spacing w:line="360" w:lineRule="auto"/>
        <w:ind w:firstLine="480" w:firstLineChars="200"/>
        <w:jc w:val="both"/>
        <w:rPr>
          <w:rFonts w:ascii="宋体" w:hAnsi="宋体"/>
          <w:sz w:val="24"/>
        </w:rPr>
      </w:pPr>
      <w:r>
        <w:rPr>
          <w:rFonts w:hint="eastAsia" w:ascii="宋体" w:hAnsi="宋体"/>
          <w:sz w:val="24"/>
        </w:rPr>
        <w:t>一、业务名称、内容及承包条件</w:t>
      </w:r>
    </w:p>
    <w:p>
      <w:pPr>
        <w:spacing w:line="360" w:lineRule="auto"/>
        <w:ind w:firstLine="480" w:firstLineChars="200"/>
        <w:jc w:val="both"/>
        <w:rPr>
          <w:rFonts w:ascii="宋体" w:hAnsi="宋体"/>
          <w:sz w:val="24"/>
        </w:rPr>
      </w:pPr>
      <w:r>
        <w:rPr>
          <w:rFonts w:hint="eastAsia" w:ascii="宋体" w:hAnsi="宋体"/>
          <w:sz w:val="24"/>
        </w:rPr>
        <w:t>（一）本次零星基建项目业务外包主要是：</w:t>
      </w:r>
    </w:p>
    <w:p>
      <w:pPr>
        <w:spacing w:line="360" w:lineRule="auto"/>
        <w:ind w:firstLine="480" w:firstLineChars="200"/>
        <w:jc w:val="both"/>
        <w:rPr>
          <w:rFonts w:ascii="宋体" w:hAnsi="宋体"/>
          <w:sz w:val="24"/>
        </w:rPr>
      </w:pPr>
      <w:r>
        <w:rPr>
          <w:rFonts w:hint="eastAsia" w:ascii="宋体" w:hAnsi="宋体"/>
          <w:sz w:val="24"/>
        </w:rPr>
        <w:t>公司生产区道路临时开挖及维修；下水道清理、维修；排水沟维修及盖板修复；厂房临时维修（包括门窗、门锁修理）；房屋防水做油、室内粉刷；配合维修各类管线、电力线路施工； 防汛抢险土建基础施工，维修改造设备安装土建基础施工等单次不超过5万元的外包业务：</w:t>
      </w:r>
    </w:p>
    <w:p>
      <w:pPr>
        <w:spacing w:line="360" w:lineRule="auto"/>
        <w:ind w:firstLine="480" w:firstLineChars="200"/>
        <w:jc w:val="both"/>
        <w:rPr>
          <w:rFonts w:ascii="宋体" w:hAnsi="宋体"/>
          <w:sz w:val="24"/>
        </w:rPr>
      </w:pPr>
      <w:r>
        <w:rPr>
          <w:rFonts w:hint="eastAsia" w:ascii="宋体" w:hAnsi="宋体"/>
          <w:sz w:val="24"/>
        </w:rPr>
        <w:t>具体操作办法：零星基建项目外包时甲方需要提前一天告知已乙方，双方就项目施工方案及工程量达成一致后，按定额进行预算，并就项目结算价格达成统一意见，乙方按甲方指定的时间、地点委派相关专业的施工人员，在做好安全措施的前提下施工，施工完毕后通知甲方验收。</w:t>
      </w:r>
    </w:p>
    <w:p>
      <w:pPr>
        <w:spacing w:line="360" w:lineRule="auto"/>
        <w:ind w:firstLine="480" w:firstLineChars="200"/>
        <w:jc w:val="both"/>
        <w:rPr>
          <w:rFonts w:ascii="宋体" w:hAnsi="宋体"/>
          <w:sz w:val="24"/>
        </w:rPr>
      </w:pPr>
      <w:r>
        <w:rPr>
          <w:rFonts w:hint="eastAsia" w:ascii="宋体" w:hAnsi="宋体"/>
          <w:sz w:val="24"/>
        </w:rPr>
        <w:t>外包业务量：</w:t>
      </w:r>
    </w:p>
    <w:p>
      <w:pPr>
        <w:spacing w:line="360" w:lineRule="auto"/>
        <w:ind w:firstLine="420" w:firstLineChars="200"/>
        <w:jc w:val="both"/>
      </w:pPr>
      <w:r>
        <w:rPr>
          <w:rFonts w:hint="eastAsia"/>
        </w:rPr>
        <w:t>（一） 由于零星基建项目，根据历年的统计数据，</w:t>
      </w:r>
      <w:r>
        <w:rPr>
          <w:rFonts w:hint="eastAsia" w:ascii="宋体" w:hAnsi="宋体"/>
          <w:sz w:val="24"/>
          <w:u w:val="single"/>
        </w:rPr>
        <w:t>年度累计金额</w:t>
      </w:r>
      <w:r>
        <w:rPr>
          <w:rFonts w:ascii="宋体" w:hAnsi="宋体"/>
          <w:sz w:val="24"/>
          <w:u w:val="single"/>
        </w:rPr>
        <w:t>50-70</w:t>
      </w:r>
      <w:r>
        <w:rPr>
          <w:rFonts w:hint="eastAsia" w:ascii="宋体" w:hAnsi="宋体"/>
          <w:sz w:val="24"/>
          <w:u w:val="single"/>
        </w:rPr>
        <w:t>万元</w:t>
      </w:r>
      <w:r>
        <w:rPr>
          <w:rFonts w:hint="eastAsia"/>
        </w:rPr>
        <w:t>）。</w:t>
      </w:r>
    </w:p>
    <w:p>
      <w:pPr>
        <w:pStyle w:val="2"/>
        <w:spacing w:line="360" w:lineRule="auto"/>
        <w:ind w:firstLine="420" w:firstLineChars="200"/>
        <w:jc w:val="both"/>
      </w:pPr>
      <w:r>
        <w:rPr>
          <w:rFonts w:hint="eastAsia"/>
        </w:rPr>
        <w:t>（二） 由于物价变动较大，再加上港口环保提质改造二期可能马上开工，外包业务具有较大的不确定性，但单项超过5万元以上的基建零星维修必须按省港集团有关规定招标，确定承包人。</w:t>
      </w:r>
    </w:p>
    <w:p>
      <w:pPr>
        <w:pStyle w:val="2"/>
        <w:spacing w:line="360" w:lineRule="auto"/>
        <w:ind w:firstLine="480" w:firstLineChars="200"/>
        <w:jc w:val="both"/>
        <w:rPr>
          <w:rFonts w:ascii="宋体" w:hAnsi="宋体"/>
          <w:sz w:val="24"/>
        </w:rPr>
      </w:pPr>
      <w:r>
        <w:rPr>
          <w:rFonts w:hint="eastAsia" w:ascii="宋体" w:hAnsi="宋体"/>
          <w:sz w:val="24"/>
        </w:rPr>
        <w:t>（三）合同期内若遇国家重大政策调整，甲乙双方可另行协商约定合同内容。</w:t>
      </w:r>
    </w:p>
    <w:p>
      <w:pPr>
        <w:spacing w:line="360" w:lineRule="auto"/>
        <w:ind w:firstLine="480" w:firstLineChars="200"/>
        <w:jc w:val="both"/>
        <w:rPr>
          <w:rFonts w:ascii="宋体" w:hAnsi="宋体"/>
          <w:sz w:val="24"/>
        </w:rPr>
      </w:pPr>
      <w:r>
        <w:rPr>
          <w:rFonts w:hint="eastAsia" w:ascii="宋体" w:hAnsi="宋体"/>
          <w:sz w:val="24"/>
        </w:rPr>
        <w:t>二、业务承包期限</w:t>
      </w:r>
    </w:p>
    <w:p>
      <w:pPr>
        <w:spacing w:line="360" w:lineRule="auto"/>
        <w:ind w:firstLine="480" w:firstLineChars="200"/>
        <w:jc w:val="both"/>
        <w:rPr>
          <w:rFonts w:ascii="宋体" w:hAnsi="宋体"/>
          <w:sz w:val="24"/>
        </w:rPr>
      </w:pPr>
      <w:r>
        <w:rPr>
          <w:rFonts w:hint="eastAsia" w:ascii="宋体" w:hAnsi="宋体"/>
          <w:sz w:val="24"/>
        </w:rPr>
        <w:t>乙方承包甲方的零星基建项目业务外包的期限为：从202</w:t>
      </w:r>
      <w:r>
        <w:rPr>
          <w:rFonts w:ascii="宋体" w:hAnsi="宋体"/>
          <w:sz w:val="24"/>
        </w:rPr>
        <w:t>2</w:t>
      </w:r>
      <w:r>
        <w:rPr>
          <w:rFonts w:hint="eastAsia" w:ascii="宋体" w:hAnsi="宋体"/>
          <w:sz w:val="24"/>
        </w:rPr>
        <w:t xml:space="preserve">年 </w:t>
      </w:r>
      <w:r>
        <w:rPr>
          <w:rFonts w:ascii="宋体" w:hAnsi="宋体"/>
          <w:sz w:val="24"/>
        </w:rPr>
        <w:t>1</w:t>
      </w:r>
      <w:r>
        <w:rPr>
          <w:rFonts w:hint="eastAsia" w:ascii="宋体" w:hAnsi="宋体"/>
          <w:sz w:val="24"/>
        </w:rPr>
        <w:t>月1 日始至2022年1</w:t>
      </w:r>
      <w:r>
        <w:rPr>
          <w:rFonts w:ascii="宋体" w:hAnsi="宋体"/>
          <w:sz w:val="24"/>
        </w:rPr>
        <w:t>2</w:t>
      </w:r>
      <w:r>
        <w:rPr>
          <w:rFonts w:hint="eastAsia" w:ascii="宋体" w:hAnsi="宋体"/>
          <w:sz w:val="24"/>
        </w:rPr>
        <w:t xml:space="preserve"> 月 </w:t>
      </w:r>
      <w:r>
        <w:rPr>
          <w:rFonts w:ascii="宋体" w:hAnsi="宋体"/>
          <w:sz w:val="24"/>
        </w:rPr>
        <w:t>31</w:t>
      </w:r>
      <w:r>
        <w:rPr>
          <w:rFonts w:hint="eastAsia" w:ascii="宋体" w:hAnsi="宋体"/>
          <w:sz w:val="24"/>
        </w:rPr>
        <w:t xml:space="preserve"> 日止。</w:t>
      </w:r>
    </w:p>
    <w:p>
      <w:pPr>
        <w:spacing w:line="360" w:lineRule="auto"/>
        <w:ind w:firstLine="480" w:firstLineChars="200"/>
        <w:jc w:val="both"/>
        <w:rPr>
          <w:rFonts w:ascii="宋体" w:hAnsi="宋体"/>
          <w:sz w:val="24"/>
        </w:rPr>
      </w:pPr>
      <w:r>
        <w:rPr>
          <w:rFonts w:hint="eastAsia" w:ascii="宋体" w:hAnsi="宋体"/>
          <w:sz w:val="24"/>
        </w:rPr>
        <w:t>三、工作量确定、质量验收标准、方法和期限</w:t>
      </w:r>
    </w:p>
    <w:p>
      <w:pPr>
        <w:spacing w:line="360" w:lineRule="auto"/>
        <w:ind w:firstLine="480" w:firstLineChars="200"/>
        <w:jc w:val="both"/>
        <w:rPr>
          <w:rFonts w:ascii="宋体" w:hAnsi="宋体"/>
          <w:sz w:val="24"/>
        </w:rPr>
      </w:pPr>
      <w:r>
        <w:rPr>
          <w:rFonts w:hint="eastAsia" w:ascii="宋体" w:hAnsi="宋体"/>
          <w:sz w:val="24"/>
        </w:rPr>
        <w:t>甲乙双方通过现场察看，确定工作内容清单，材料清单，在套定额的基础价上蹉商，定出每个零星基建维修项目的最终价格，质量标准，施工工序、工艺，及验收标准。</w:t>
      </w:r>
    </w:p>
    <w:p>
      <w:pPr>
        <w:spacing w:line="360" w:lineRule="auto"/>
        <w:ind w:firstLine="480" w:firstLineChars="200"/>
        <w:jc w:val="both"/>
        <w:rPr>
          <w:rFonts w:ascii="宋体" w:hAnsi="宋体"/>
          <w:sz w:val="24"/>
        </w:rPr>
      </w:pPr>
      <w:r>
        <w:rPr>
          <w:rFonts w:hint="eastAsia" w:ascii="宋体" w:hAnsi="宋体"/>
          <w:sz w:val="24"/>
        </w:rPr>
        <w:t>四、结算标准、结算方式及期限</w:t>
      </w:r>
    </w:p>
    <w:p>
      <w:pPr>
        <w:spacing w:line="360" w:lineRule="auto"/>
        <w:ind w:firstLine="480" w:firstLineChars="200"/>
        <w:jc w:val="both"/>
        <w:rPr>
          <w:rFonts w:ascii="宋体" w:hAnsi="宋体"/>
          <w:sz w:val="24"/>
        </w:rPr>
      </w:pPr>
      <w:r>
        <w:rPr>
          <w:rFonts w:hint="eastAsia" w:ascii="宋体" w:hAnsi="宋体"/>
          <w:sz w:val="24"/>
        </w:rPr>
        <w:t>根据实际工作量清单、材料清单，进行验收，再一次审核定额，由甲方出具结算清单，每季汇总结算。</w:t>
      </w:r>
    </w:p>
    <w:p>
      <w:pPr>
        <w:spacing w:line="360" w:lineRule="auto"/>
        <w:ind w:firstLine="480" w:firstLineChars="200"/>
        <w:jc w:val="both"/>
        <w:rPr>
          <w:rFonts w:ascii="宋体" w:hAnsi="宋体"/>
          <w:sz w:val="24"/>
        </w:rPr>
      </w:pPr>
      <w:r>
        <w:rPr>
          <w:rFonts w:hint="eastAsia" w:ascii="宋体" w:hAnsi="宋体"/>
          <w:sz w:val="24"/>
        </w:rPr>
        <w:t>五、付款方式及期限</w:t>
      </w:r>
    </w:p>
    <w:p>
      <w:pPr>
        <w:spacing w:line="360" w:lineRule="auto"/>
        <w:ind w:firstLine="480" w:firstLineChars="200"/>
        <w:jc w:val="both"/>
        <w:rPr>
          <w:rFonts w:ascii="宋体" w:hAnsi="宋体"/>
          <w:sz w:val="24"/>
        </w:rPr>
      </w:pPr>
      <w:r>
        <w:rPr>
          <w:rFonts w:hint="eastAsia" w:ascii="宋体" w:hAnsi="宋体"/>
          <w:sz w:val="24"/>
        </w:rPr>
        <w:t xml:space="preserve">（一）甲方采取以下第②种方式支付乙方承包费用： </w:t>
      </w:r>
    </w:p>
    <w:p>
      <w:pPr>
        <w:spacing w:line="360" w:lineRule="auto"/>
        <w:ind w:firstLine="480" w:firstLineChars="200"/>
        <w:jc w:val="both"/>
        <w:rPr>
          <w:rFonts w:ascii="宋体" w:hAnsi="宋体"/>
          <w:sz w:val="24"/>
        </w:rPr>
      </w:pPr>
      <w:r>
        <w:rPr>
          <w:rFonts w:hint="eastAsia" w:ascii="宋体" w:hAnsi="宋体"/>
          <w:sz w:val="24"/>
        </w:rPr>
        <w:t>①现金支付；</w:t>
      </w:r>
    </w:p>
    <w:p>
      <w:pPr>
        <w:spacing w:line="360" w:lineRule="auto"/>
        <w:ind w:firstLine="480" w:firstLineChars="200"/>
        <w:jc w:val="both"/>
        <w:rPr>
          <w:rFonts w:ascii="宋体" w:hAnsi="宋体"/>
          <w:sz w:val="24"/>
        </w:rPr>
      </w:pPr>
      <w:r>
        <w:rPr>
          <w:rFonts w:hint="eastAsia" w:ascii="宋体" w:hAnsi="宋体"/>
          <w:sz w:val="24"/>
        </w:rPr>
        <w:t>②转账支付，乙方指定账号＿＿＿＿＿＿＿＿＿＿＿，指定账户，账户名＿＿＿＿＿＿，指定账户开户行＿＿＿＿＿＿＿＿＿＿＿＿；</w:t>
      </w:r>
    </w:p>
    <w:p>
      <w:pPr>
        <w:spacing w:line="360" w:lineRule="auto"/>
        <w:ind w:firstLine="480" w:firstLineChars="200"/>
        <w:jc w:val="both"/>
        <w:rPr>
          <w:rFonts w:ascii="宋体" w:hAnsi="宋体"/>
          <w:sz w:val="24"/>
        </w:rPr>
      </w:pPr>
      <w:r>
        <w:rPr>
          <w:rFonts w:hint="eastAsia" w:ascii="宋体" w:hAnsi="宋体"/>
          <w:sz w:val="24"/>
        </w:rPr>
        <w:t>③其他方式：＿＿＿＿＿＿＿＿＿＿＿＿＿＿＿＿＿＿＿＿。</w:t>
      </w:r>
    </w:p>
    <w:p>
      <w:pPr>
        <w:spacing w:line="360" w:lineRule="auto"/>
        <w:ind w:firstLine="480" w:firstLineChars="200"/>
        <w:jc w:val="both"/>
        <w:rPr>
          <w:rFonts w:ascii="宋体" w:hAnsi="宋体"/>
          <w:sz w:val="24"/>
        </w:rPr>
      </w:pPr>
      <w:r>
        <w:rPr>
          <w:rFonts w:hint="eastAsia" w:ascii="宋体" w:hAnsi="宋体"/>
          <w:sz w:val="24"/>
        </w:rPr>
        <w:t>（六）双方权利义务</w:t>
      </w:r>
    </w:p>
    <w:p>
      <w:pPr>
        <w:spacing w:line="360" w:lineRule="auto"/>
        <w:ind w:firstLine="480" w:firstLineChars="200"/>
        <w:jc w:val="both"/>
        <w:rPr>
          <w:rFonts w:ascii="宋体" w:hAnsi="宋体"/>
          <w:sz w:val="24"/>
        </w:rPr>
      </w:pPr>
      <w:r>
        <w:rPr>
          <w:rFonts w:hint="eastAsia" w:ascii="宋体" w:hAnsi="宋体"/>
          <w:sz w:val="24"/>
        </w:rPr>
        <w:t>1. 甲方权利义务</w:t>
      </w:r>
    </w:p>
    <w:p>
      <w:pPr>
        <w:spacing w:line="360" w:lineRule="auto"/>
        <w:ind w:firstLine="480" w:firstLineChars="200"/>
        <w:jc w:val="both"/>
        <w:rPr>
          <w:rFonts w:ascii="宋体" w:hAnsi="宋体"/>
          <w:sz w:val="24"/>
        </w:rPr>
      </w:pPr>
      <w:r>
        <w:rPr>
          <w:rFonts w:hint="eastAsia" w:ascii="宋体" w:hAnsi="宋体"/>
          <w:sz w:val="24"/>
        </w:rPr>
        <w:t>（1）甲方负责向乙方提供符合安全生产规范的作业现场和条件。</w:t>
      </w:r>
    </w:p>
    <w:p>
      <w:pPr>
        <w:spacing w:line="360" w:lineRule="auto"/>
        <w:ind w:firstLine="480" w:firstLineChars="200"/>
        <w:jc w:val="both"/>
        <w:rPr>
          <w:rFonts w:ascii="宋体" w:hAnsi="宋体"/>
          <w:sz w:val="24"/>
        </w:rPr>
      </w:pPr>
      <w:r>
        <w:rPr>
          <w:rFonts w:hint="eastAsia" w:ascii="宋体" w:hAnsi="宋体"/>
          <w:sz w:val="24"/>
        </w:rPr>
        <w:t>（2）甲方有权要求乙方按“城港公司维修作业要求”按期按质按量的完成所发包的业务，如未达到要求，可给予乙方100元以上500元以下的违约处罚。</w:t>
      </w:r>
    </w:p>
    <w:p>
      <w:pPr>
        <w:spacing w:line="360" w:lineRule="auto"/>
        <w:ind w:firstLine="480" w:firstLineChars="200"/>
        <w:jc w:val="both"/>
        <w:rPr>
          <w:rFonts w:ascii="宋体" w:hAnsi="宋体"/>
          <w:sz w:val="24"/>
        </w:rPr>
      </w:pPr>
      <w:r>
        <w:rPr>
          <w:rFonts w:hint="eastAsia" w:ascii="宋体" w:hAnsi="宋体"/>
          <w:sz w:val="24"/>
        </w:rPr>
        <w:t>（3）因工作需要或其他原因，有权安排乙方人员加班</w:t>
      </w:r>
    </w:p>
    <w:p>
      <w:pPr>
        <w:spacing w:line="360" w:lineRule="auto"/>
        <w:ind w:firstLine="480" w:firstLineChars="200"/>
        <w:jc w:val="both"/>
        <w:rPr>
          <w:rFonts w:ascii="宋体" w:hAnsi="宋体"/>
          <w:sz w:val="24"/>
        </w:rPr>
      </w:pPr>
      <w:r>
        <w:rPr>
          <w:rFonts w:hint="eastAsia" w:ascii="宋体" w:hAnsi="宋体"/>
          <w:sz w:val="24"/>
        </w:rPr>
        <w:t>（4）甲方有权制止乙方员工的违章行为，对因乙方责任造成的工具、设备、设施、货物的损坏和丢失有索赔权；对于乙方进行所承包业务作业的员工，甲方有权要求乙方进行更换。</w:t>
      </w:r>
    </w:p>
    <w:p>
      <w:pPr>
        <w:spacing w:line="360" w:lineRule="auto"/>
        <w:ind w:firstLine="480" w:firstLineChars="200"/>
        <w:jc w:val="both"/>
        <w:rPr>
          <w:rFonts w:ascii="宋体" w:hAnsi="宋体"/>
          <w:sz w:val="24"/>
        </w:rPr>
      </w:pPr>
      <w:r>
        <w:rPr>
          <w:rFonts w:hint="eastAsia" w:ascii="宋体" w:hAnsi="宋体"/>
          <w:sz w:val="24"/>
        </w:rPr>
        <w:t>（5）甲方职能部门有权对乙方的安全教育、业务培训、安全布置等方面进行情况检查和监督，对不符合甲方或国家要求的，可要求乙方整改。</w:t>
      </w:r>
    </w:p>
    <w:p>
      <w:pPr>
        <w:spacing w:line="360" w:lineRule="auto"/>
        <w:ind w:firstLine="480" w:firstLineChars="200"/>
        <w:jc w:val="both"/>
        <w:rPr>
          <w:rFonts w:ascii="宋体" w:hAnsi="宋体"/>
          <w:sz w:val="24"/>
        </w:rPr>
      </w:pPr>
      <w:r>
        <w:rPr>
          <w:rFonts w:hint="eastAsia" w:ascii="宋体" w:hAnsi="宋体"/>
          <w:sz w:val="24"/>
        </w:rPr>
        <w:t>（6）甲方有权对乙方人员的工作完成情况或乙方应尽义务进行验收或考核。出现不符合甲方要求和本合同约定的，可以从相应票据上扣除承包费用作为赔偿，或直接给予乙方100元以上500元以下的违约处罚。</w:t>
      </w:r>
    </w:p>
    <w:p>
      <w:pPr>
        <w:spacing w:line="360" w:lineRule="auto"/>
        <w:ind w:firstLine="480" w:firstLineChars="200"/>
        <w:jc w:val="both"/>
        <w:rPr>
          <w:rFonts w:ascii="宋体" w:hAnsi="宋体"/>
          <w:sz w:val="24"/>
        </w:rPr>
      </w:pPr>
      <w:r>
        <w:rPr>
          <w:rFonts w:hint="eastAsia" w:ascii="宋体" w:hAnsi="宋体"/>
          <w:sz w:val="24"/>
        </w:rPr>
        <w:t>（7）因乙方原因，影响甲方生产，造成损失的，甲方有权要求乙方赔偿相应损失。</w:t>
      </w:r>
    </w:p>
    <w:p>
      <w:pPr>
        <w:spacing w:line="360" w:lineRule="auto"/>
        <w:ind w:firstLine="480" w:firstLineChars="200"/>
        <w:jc w:val="both"/>
        <w:rPr>
          <w:rFonts w:ascii="宋体" w:hAnsi="宋体"/>
          <w:sz w:val="24"/>
        </w:rPr>
      </w:pPr>
      <w:r>
        <w:rPr>
          <w:rFonts w:hint="eastAsia" w:ascii="宋体" w:hAnsi="宋体"/>
          <w:sz w:val="24"/>
        </w:rPr>
        <w:t>（8）因甲方违章指挥、违章作业造成乙方人员伤亡和财产损失的，甲方应承担相应责任。</w:t>
      </w:r>
    </w:p>
    <w:p>
      <w:pPr>
        <w:spacing w:line="360" w:lineRule="auto"/>
        <w:ind w:firstLine="480" w:firstLineChars="200"/>
        <w:jc w:val="both"/>
        <w:rPr>
          <w:rFonts w:ascii="宋体" w:hAnsi="宋体"/>
          <w:sz w:val="24"/>
        </w:rPr>
      </w:pPr>
      <w:r>
        <w:rPr>
          <w:rFonts w:hint="eastAsia" w:ascii="宋体" w:hAnsi="宋体"/>
          <w:sz w:val="24"/>
        </w:rPr>
        <w:t>2.乙方权利义务</w:t>
      </w:r>
    </w:p>
    <w:p>
      <w:pPr>
        <w:spacing w:line="360" w:lineRule="auto"/>
        <w:ind w:firstLine="480" w:firstLineChars="200"/>
        <w:jc w:val="both"/>
        <w:rPr>
          <w:rFonts w:ascii="宋体" w:hAnsi="宋体"/>
          <w:sz w:val="24"/>
        </w:rPr>
      </w:pPr>
      <w:r>
        <w:rPr>
          <w:rFonts w:hint="eastAsia" w:ascii="宋体" w:hAnsi="宋体"/>
          <w:sz w:val="24"/>
        </w:rPr>
        <w:t>（1）乙方应按甲方要求的时间、地点、质量技术要求及标准等，完成所承包的业务，以甲方现场管理人员要求的为准，</w:t>
      </w:r>
    </w:p>
    <w:p>
      <w:pPr>
        <w:spacing w:line="360" w:lineRule="auto"/>
        <w:ind w:firstLine="480" w:firstLineChars="200"/>
        <w:jc w:val="both"/>
        <w:rPr>
          <w:rFonts w:ascii="宋体" w:hAnsi="宋体"/>
          <w:sz w:val="24"/>
        </w:rPr>
      </w:pPr>
      <w:r>
        <w:rPr>
          <w:rFonts w:hint="eastAsia" w:ascii="宋体" w:hAnsi="宋体"/>
          <w:sz w:val="24"/>
        </w:rPr>
        <w:t>（3）乙方应按甲方要求，按期按质按量的完成所承包的业务，不得影响甲方的生产。如因乙方原因，影响甲方生产，造成损失的，则乙方应赔偿甲方损失。若乙方未</w:t>
      </w:r>
    </w:p>
    <w:p>
      <w:pPr>
        <w:spacing w:line="360" w:lineRule="auto"/>
        <w:ind w:firstLine="480" w:firstLineChars="200"/>
        <w:jc w:val="both"/>
        <w:rPr>
          <w:rFonts w:ascii="宋体" w:hAnsi="宋体"/>
          <w:sz w:val="24"/>
        </w:rPr>
      </w:pPr>
      <w:r>
        <w:rPr>
          <w:rFonts w:hint="eastAsia" w:ascii="宋体" w:hAnsi="宋体"/>
          <w:sz w:val="24"/>
        </w:rPr>
        <w:t>（2） 乙方派出的务工人员必须已同乙方签订了劳动合同或临时劳务协议，并持有有效身份证件。乙方必须对其开展所承包的业务的员工进行安全教育，如未经培训，在作业过程中，造成本方或他方的人员安全、财产侵害和受损的事故时，由乙方承担损失和赔偿责任。</w:t>
      </w:r>
    </w:p>
    <w:p>
      <w:pPr>
        <w:spacing w:line="360" w:lineRule="auto"/>
        <w:ind w:firstLine="480" w:firstLineChars="200"/>
        <w:jc w:val="both"/>
        <w:rPr>
          <w:rFonts w:ascii="宋体" w:hAnsi="宋体"/>
          <w:sz w:val="24"/>
        </w:rPr>
      </w:pPr>
      <w:r>
        <w:rPr>
          <w:rFonts w:hint="eastAsia" w:ascii="宋体" w:hAnsi="宋体"/>
          <w:sz w:val="24"/>
        </w:rPr>
        <w:t>（3）乙方在进行所承包的业务时，应对甲方财产尽到妥善保管义务，不得有使甲方财产毁损、灭失或偷窃、私自变卖甲方财产等行为，如有损失，等价赔偿。</w:t>
      </w:r>
    </w:p>
    <w:p>
      <w:pPr>
        <w:spacing w:line="360" w:lineRule="auto"/>
        <w:ind w:firstLine="480" w:firstLineChars="200"/>
        <w:jc w:val="both"/>
        <w:rPr>
          <w:rFonts w:ascii="宋体" w:hAnsi="宋体"/>
          <w:sz w:val="24"/>
        </w:rPr>
      </w:pPr>
      <w:r>
        <w:rPr>
          <w:rFonts w:hint="eastAsia" w:ascii="宋体" w:hAnsi="宋体"/>
          <w:sz w:val="24"/>
        </w:rPr>
        <w:t>（4） 乙方的作业人员在甲方工作场所发生的所有工伤、工亡事故由乙方负责。因甲方违章指挥、违章作业造成的工伤、工亡，超过保险赔付的费用按照实际责任，双方协商一致后分摊。</w:t>
      </w:r>
    </w:p>
    <w:p>
      <w:pPr>
        <w:spacing w:line="360" w:lineRule="auto"/>
        <w:ind w:firstLine="480" w:firstLineChars="200"/>
        <w:jc w:val="both"/>
        <w:rPr>
          <w:rFonts w:ascii="宋体" w:hAnsi="宋体"/>
          <w:sz w:val="24"/>
        </w:rPr>
      </w:pPr>
      <w:r>
        <w:rPr>
          <w:rFonts w:hint="eastAsia" w:ascii="宋体" w:hAnsi="宋体"/>
          <w:sz w:val="24"/>
        </w:rPr>
        <w:t>七、双方承诺与保证</w:t>
      </w:r>
    </w:p>
    <w:p>
      <w:pPr>
        <w:spacing w:line="360" w:lineRule="auto"/>
        <w:ind w:firstLine="480" w:firstLineChars="200"/>
        <w:jc w:val="both"/>
        <w:rPr>
          <w:rFonts w:ascii="宋体" w:hAnsi="宋体"/>
          <w:sz w:val="24"/>
        </w:rPr>
      </w:pPr>
      <w:r>
        <w:rPr>
          <w:rFonts w:hint="eastAsia" w:ascii="宋体" w:hAnsi="宋体"/>
          <w:sz w:val="24"/>
        </w:rPr>
        <w:t>（一）甲方承诺具有合法、有效授权签署本合同。</w:t>
      </w:r>
    </w:p>
    <w:p>
      <w:pPr>
        <w:spacing w:line="360" w:lineRule="auto"/>
        <w:ind w:firstLine="480" w:firstLineChars="200"/>
        <w:jc w:val="both"/>
        <w:rPr>
          <w:rFonts w:ascii="宋体" w:hAnsi="宋体"/>
          <w:sz w:val="24"/>
        </w:rPr>
      </w:pPr>
      <w:r>
        <w:rPr>
          <w:rFonts w:hint="eastAsia" w:ascii="宋体" w:hAnsi="宋体"/>
          <w:sz w:val="24"/>
        </w:rPr>
        <w:t>（二）乙方承诺有权签署本合同，有能力按要求完全履行本合同。乙方保证完全承担基于本合同所产生的其应享有和承担权利义务。</w:t>
      </w:r>
    </w:p>
    <w:p>
      <w:pPr>
        <w:spacing w:line="360" w:lineRule="auto"/>
        <w:ind w:firstLine="480" w:firstLineChars="200"/>
        <w:jc w:val="both"/>
        <w:rPr>
          <w:rFonts w:ascii="宋体" w:hAnsi="宋体"/>
          <w:sz w:val="24"/>
        </w:rPr>
      </w:pPr>
      <w:r>
        <w:rPr>
          <w:rFonts w:hint="eastAsia" w:ascii="宋体" w:hAnsi="宋体"/>
          <w:sz w:val="24"/>
        </w:rPr>
        <w:t>八、合同的变更、解除与终止</w:t>
      </w:r>
    </w:p>
    <w:p>
      <w:pPr>
        <w:spacing w:line="360" w:lineRule="auto"/>
        <w:ind w:firstLine="480" w:firstLineChars="200"/>
        <w:jc w:val="both"/>
        <w:rPr>
          <w:rFonts w:ascii="宋体" w:hAnsi="宋体"/>
          <w:sz w:val="24"/>
        </w:rPr>
      </w:pPr>
      <w:r>
        <w:rPr>
          <w:rFonts w:hint="eastAsia" w:ascii="宋体" w:hAnsi="宋体"/>
          <w:sz w:val="24"/>
        </w:rPr>
        <w:t>（一）本合同一经签署生效，双方即应善意、诚信、完整履行，任何一方不得擅自变更、解除或终止本合同。</w:t>
      </w:r>
    </w:p>
    <w:p>
      <w:pPr>
        <w:spacing w:line="360" w:lineRule="auto"/>
        <w:ind w:firstLine="480" w:firstLineChars="200"/>
        <w:jc w:val="both"/>
        <w:rPr>
          <w:rFonts w:ascii="宋体" w:hAnsi="宋体"/>
          <w:sz w:val="24"/>
        </w:rPr>
      </w:pPr>
      <w:r>
        <w:rPr>
          <w:rFonts w:hint="eastAsia" w:ascii="宋体" w:hAnsi="宋体"/>
          <w:sz w:val="24"/>
        </w:rPr>
        <w:t>（二）经双方共同协商一致，可以书面变更、解除或终止本合同。</w:t>
      </w:r>
    </w:p>
    <w:p>
      <w:pPr>
        <w:spacing w:line="360" w:lineRule="auto"/>
        <w:ind w:firstLine="480" w:firstLineChars="200"/>
        <w:jc w:val="both"/>
        <w:rPr>
          <w:rFonts w:ascii="宋体" w:hAnsi="宋体"/>
          <w:sz w:val="24"/>
        </w:rPr>
      </w:pPr>
      <w:r>
        <w:rPr>
          <w:rFonts w:hint="eastAsia" w:ascii="宋体" w:hAnsi="宋体"/>
          <w:sz w:val="24"/>
        </w:rPr>
        <w:t>（三）凡符合下列情形之一，甲方有权单方面解除本合同，且无须承担任何责任：</w:t>
      </w:r>
    </w:p>
    <w:p>
      <w:pPr>
        <w:spacing w:line="360" w:lineRule="auto"/>
        <w:ind w:firstLine="480" w:firstLineChars="200"/>
        <w:jc w:val="both"/>
        <w:rPr>
          <w:rFonts w:ascii="宋体" w:hAnsi="宋体"/>
          <w:sz w:val="24"/>
        </w:rPr>
      </w:pPr>
      <w:r>
        <w:rPr>
          <w:rFonts w:hint="eastAsia" w:ascii="宋体" w:hAnsi="宋体"/>
          <w:sz w:val="24"/>
        </w:rPr>
        <w:t>1.乙方没有能力履行本合同，或者乙方雇请的人员明显不足，无法满足甲方的日常生产需求的。</w:t>
      </w:r>
    </w:p>
    <w:p>
      <w:pPr>
        <w:spacing w:line="360" w:lineRule="auto"/>
        <w:ind w:firstLine="480" w:firstLineChars="200"/>
        <w:jc w:val="both"/>
        <w:rPr>
          <w:rFonts w:ascii="宋体" w:hAnsi="宋体"/>
          <w:sz w:val="24"/>
        </w:rPr>
      </w:pPr>
      <w:r>
        <w:rPr>
          <w:rFonts w:hint="eastAsia" w:ascii="宋体" w:hAnsi="宋体"/>
          <w:sz w:val="24"/>
        </w:rPr>
        <w:t>2.乙方未能按甲方要求完成约定的业务严重影响生产的。</w:t>
      </w:r>
    </w:p>
    <w:p>
      <w:pPr>
        <w:spacing w:line="360" w:lineRule="auto"/>
        <w:ind w:firstLine="480" w:firstLineChars="200"/>
        <w:jc w:val="both"/>
        <w:rPr>
          <w:rFonts w:ascii="宋体" w:hAnsi="宋体"/>
          <w:sz w:val="24"/>
        </w:rPr>
      </w:pPr>
      <w:r>
        <w:rPr>
          <w:rFonts w:hint="eastAsia" w:ascii="宋体" w:hAnsi="宋体"/>
          <w:sz w:val="24"/>
        </w:rPr>
        <w:t>3.乙方以明示或默示的方式表示，不愿履行或不愿继续履行本合同的。</w:t>
      </w:r>
    </w:p>
    <w:p>
      <w:pPr>
        <w:spacing w:line="360" w:lineRule="auto"/>
        <w:ind w:firstLine="480" w:firstLineChars="200"/>
        <w:jc w:val="both"/>
        <w:rPr>
          <w:rFonts w:ascii="宋体" w:hAnsi="宋体"/>
          <w:sz w:val="24"/>
        </w:rPr>
      </w:pPr>
      <w:r>
        <w:rPr>
          <w:rFonts w:hint="eastAsia" w:ascii="宋体" w:hAnsi="宋体"/>
          <w:sz w:val="24"/>
        </w:rPr>
        <w:t>（四）因为不可抗力因素，致使本合同无法履行或无法继续履行时，本合同终止。</w:t>
      </w:r>
    </w:p>
    <w:p>
      <w:pPr>
        <w:spacing w:line="360" w:lineRule="auto"/>
        <w:ind w:firstLine="480" w:firstLineChars="200"/>
        <w:jc w:val="both"/>
        <w:rPr>
          <w:rFonts w:ascii="宋体" w:hAnsi="宋体"/>
          <w:sz w:val="24"/>
        </w:rPr>
      </w:pPr>
      <w:r>
        <w:rPr>
          <w:rFonts w:hint="eastAsia" w:ascii="宋体" w:hAnsi="宋体"/>
          <w:sz w:val="24"/>
        </w:rPr>
        <w:t>（五） 本合同约定的乙方承包期限届满时，本合同自动终止。</w:t>
      </w:r>
    </w:p>
    <w:p>
      <w:pPr>
        <w:spacing w:line="360" w:lineRule="auto"/>
        <w:ind w:firstLine="480" w:firstLineChars="200"/>
        <w:jc w:val="both"/>
        <w:rPr>
          <w:rFonts w:ascii="宋体" w:hAnsi="宋体"/>
          <w:sz w:val="24"/>
        </w:rPr>
      </w:pPr>
      <w:r>
        <w:rPr>
          <w:rFonts w:hint="eastAsia" w:ascii="宋体" w:hAnsi="宋体"/>
          <w:sz w:val="24"/>
        </w:rPr>
        <w:t>九、争议解决</w:t>
      </w:r>
    </w:p>
    <w:p>
      <w:pPr>
        <w:spacing w:line="360" w:lineRule="auto"/>
        <w:ind w:firstLine="480" w:firstLineChars="200"/>
        <w:jc w:val="both"/>
        <w:rPr>
          <w:rFonts w:ascii="宋体" w:hAnsi="宋体"/>
          <w:sz w:val="24"/>
        </w:rPr>
      </w:pPr>
      <w:r>
        <w:rPr>
          <w:rFonts w:hint="eastAsia" w:ascii="宋体" w:hAnsi="宋体"/>
          <w:sz w:val="24"/>
        </w:rPr>
        <w:t>凡因本合同产生的、或与本合同有关的争议，包括合同的存在、效力或终止等任何问题，双方应首先协商解决；协商不成的，任何一方应向甲方所在地有管辖权的法院提起诉讼解决。</w:t>
      </w:r>
    </w:p>
    <w:p>
      <w:pPr>
        <w:spacing w:line="360" w:lineRule="auto"/>
        <w:ind w:firstLine="480" w:firstLineChars="200"/>
        <w:jc w:val="both"/>
        <w:rPr>
          <w:rFonts w:ascii="宋体" w:hAnsi="宋体"/>
          <w:sz w:val="24"/>
        </w:rPr>
      </w:pPr>
      <w:r>
        <w:rPr>
          <w:rFonts w:hint="eastAsia" w:ascii="宋体" w:hAnsi="宋体"/>
          <w:sz w:val="24"/>
        </w:rPr>
        <w:t>十、其它约定</w:t>
      </w:r>
    </w:p>
    <w:p>
      <w:pPr>
        <w:spacing w:line="360" w:lineRule="auto"/>
        <w:ind w:firstLine="480" w:firstLineChars="200"/>
        <w:jc w:val="both"/>
        <w:rPr>
          <w:rFonts w:ascii="宋体" w:hAnsi="宋体"/>
          <w:sz w:val="24"/>
        </w:rPr>
      </w:pPr>
      <w:r>
        <w:rPr>
          <w:rFonts w:hint="eastAsia" w:ascii="宋体" w:hAnsi="宋体"/>
          <w:sz w:val="24"/>
        </w:rPr>
        <w:t>（一）本合同自双方均签字并加盖行政章或合同专用章时生效，并以甲方签约日期为合同生效日。</w:t>
      </w:r>
    </w:p>
    <w:p>
      <w:pPr>
        <w:spacing w:line="360" w:lineRule="auto"/>
        <w:ind w:firstLine="480" w:firstLineChars="200"/>
        <w:jc w:val="both"/>
        <w:rPr>
          <w:rFonts w:ascii="宋体" w:hAnsi="宋体"/>
          <w:sz w:val="24"/>
        </w:rPr>
      </w:pPr>
      <w:r>
        <w:rPr>
          <w:rFonts w:hint="eastAsia" w:ascii="宋体" w:hAnsi="宋体"/>
          <w:sz w:val="24"/>
        </w:rPr>
        <w:t>（二）合同附件为本合同不可分割部分，与本合同具有同等法律效力，如安全协议。</w:t>
      </w:r>
    </w:p>
    <w:p>
      <w:pPr>
        <w:spacing w:line="360" w:lineRule="auto"/>
        <w:ind w:firstLine="480" w:firstLineChars="200"/>
        <w:jc w:val="both"/>
        <w:rPr>
          <w:rFonts w:ascii="宋体" w:hAnsi="宋体"/>
          <w:sz w:val="24"/>
        </w:rPr>
      </w:pPr>
      <w:r>
        <w:rPr>
          <w:rFonts w:hint="eastAsia" w:ascii="宋体" w:hAnsi="宋体"/>
          <w:sz w:val="24"/>
        </w:rPr>
        <w:t>（三） 本合同正本一式肆份，具有同等法律效力，其中甲方二份，乙方二份。</w:t>
      </w:r>
    </w:p>
    <w:p>
      <w:pPr>
        <w:spacing w:line="360" w:lineRule="auto"/>
        <w:ind w:firstLine="480" w:firstLineChars="200"/>
        <w:jc w:val="both"/>
        <w:rPr>
          <w:rFonts w:ascii="宋体" w:hAnsi="宋体"/>
          <w:sz w:val="24"/>
        </w:rPr>
      </w:pPr>
    </w:p>
    <w:p>
      <w:pPr>
        <w:spacing w:line="360" w:lineRule="auto"/>
        <w:ind w:firstLine="480" w:firstLineChars="200"/>
        <w:jc w:val="both"/>
        <w:rPr>
          <w:rFonts w:ascii="宋体" w:hAnsi="宋体"/>
          <w:sz w:val="24"/>
        </w:rPr>
      </w:pPr>
      <w:r>
        <w:rPr>
          <w:rFonts w:hint="eastAsia" w:ascii="宋体" w:hAnsi="宋体"/>
          <w:sz w:val="24"/>
        </w:rPr>
        <w:t xml:space="preserve">甲方：岳阳城陵矶港务有限责任公司  乙方：                             </w:t>
      </w:r>
    </w:p>
    <w:p>
      <w:pPr>
        <w:spacing w:line="360" w:lineRule="auto"/>
        <w:ind w:firstLine="480" w:firstLineChars="200"/>
        <w:jc w:val="both"/>
        <w:rPr>
          <w:rFonts w:ascii="宋体" w:hAnsi="宋体"/>
          <w:sz w:val="24"/>
        </w:rPr>
      </w:pPr>
      <w:r>
        <w:rPr>
          <w:rFonts w:hint="eastAsia" w:ascii="宋体" w:hAnsi="宋体"/>
          <w:sz w:val="24"/>
        </w:rPr>
        <w:t>（公章）                           （公章）</w:t>
      </w:r>
    </w:p>
    <w:p>
      <w:pPr>
        <w:spacing w:line="360" w:lineRule="auto"/>
        <w:ind w:firstLine="480" w:firstLineChars="200"/>
        <w:jc w:val="both"/>
        <w:rPr>
          <w:rFonts w:ascii="宋体" w:hAnsi="宋体"/>
          <w:sz w:val="24"/>
        </w:rPr>
      </w:pPr>
    </w:p>
    <w:p>
      <w:pPr>
        <w:spacing w:line="360" w:lineRule="auto"/>
        <w:ind w:firstLine="480" w:firstLineChars="200"/>
        <w:jc w:val="both"/>
        <w:rPr>
          <w:rFonts w:ascii="宋体" w:hAnsi="宋体"/>
          <w:sz w:val="24"/>
        </w:rPr>
      </w:pPr>
      <w:r>
        <w:rPr>
          <w:rFonts w:hint="eastAsia" w:ascii="宋体" w:hAnsi="宋体"/>
          <w:sz w:val="24"/>
        </w:rPr>
        <w:t xml:space="preserve">法定代表人：                       法定代表人：                     </w:t>
      </w:r>
    </w:p>
    <w:p>
      <w:pPr>
        <w:spacing w:line="360" w:lineRule="auto"/>
        <w:ind w:firstLine="480" w:firstLineChars="200"/>
        <w:jc w:val="both"/>
        <w:rPr>
          <w:rFonts w:ascii="宋体" w:hAnsi="宋体"/>
          <w:sz w:val="24"/>
        </w:rPr>
      </w:pPr>
      <w:r>
        <w:rPr>
          <w:rFonts w:hint="eastAsia" w:ascii="宋体" w:hAnsi="宋体"/>
          <w:sz w:val="24"/>
        </w:rPr>
        <w:t xml:space="preserve">或委托代理人：                     或委托代理人：                            </w:t>
      </w:r>
    </w:p>
    <w:p>
      <w:pPr>
        <w:spacing w:line="360" w:lineRule="auto"/>
        <w:ind w:firstLine="480" w:firstLineChars="200"/>
        <w:jc w:val="both"/>
        <w:rPr>
          <w:rFonts w:ascii="宋体" w:hAnsi="宋体"/>
          <w:sz w:val="24"/>
        </w:rPr>
      </w:pPr>
    </w:p>
    <w:p>
      <w:pPr>
        <w:spacing w:line="360" w:lineRule="auto"/>
        <w:ind w:firstLine="480" w:firstLineChars="200"/>
        <w:jc w:val="both"/>
        <w:rPr>
          <w:rFonts w:ascii="宋体" w:hAnsi="宋体"/>
          <w:sz w:val="24"/>
        </w:rPr>
      </w:pPr>
      <w:r>
        <w:rPr>
          <w:rFonts w:hint="eastAsia" w:ascii="宋体" w:hAnsi="宋体"/>
          <w:sz w:val="24"/>
        </w:rPr>
        <w:t xml:space="preserve">日      期：                       日       期：                        </w:t>
      </w:r>
    </w:p>
    <w:p>
      <w:pPr>
        <w:spacing w:line="360" w:lineRule="auto"/>
        <w:ind w:firstLine="480" w:firstLineChars="200"/>
        <w:jc w:val="both"/>
        <w:rPr>
          <w:rFonts w:ascii="宋体" w:hAnsi="宋体"/>
          <w:sz w:val="24"/>
        </w:rPr>
      </w:pPr>
    </w:p>
    <w:p>
      <w:pPr>
        <w:adjustRightInd w:val="0"/>
        <w:snapToGrid w:val="0"/>
        <w:spacing w:line="360" w:lineRule="auto"/>
        <w:ind w:firstLine="480" w:firstLineChars="200"/>
        <w:jc w:val="both"/>
        <w:rPr>
          <w:rFonts w:ascii="宋体" w:hAnsi="宋体"/>
          <w:sz w:val="24"/>
        </w:rPr>
      </w:pPr>
    </w:p>
    <w:p>
      <w:pPr>
        <w:adjustRightInd w:val="0"/>
        <w:snapToGrid w:val="0"/>
        <w:spacing w:line="360" w:lineRule="auto"/>
        <w:ind w:firstLine="480" w:firstLineChars="200"/>
        <w:jc w:val="both"/>
        <w:rPr>
          <w:rFonts w:ascii="宋体" w:hAnsi="宋体"/>
          <w:sz w:val="24"/>
        </w:rPr>
      </w:pPr>
    </w:p>
    <w:p>
      <w:pPr>
        <w:pStyle w:val="2"/>
      </w:pPr>
    </w:p>
    <w:p>
      <w:pPr>
        <w:pStyle w:val="71"/>
        <w:spacing w:line="600" w:lineRule="exact"/>
        <w:ind w:left="420" w:firstLine="0" w:firstLineChars="0"/>
        <w:jc w:val="both"/>
        <w:rPr>
          <w:rFonts w:ascii="黑体" w:hAnsi="黑体" w:eastAsia="黑体" w:cs="仿宋"/>
          <w:b/>
          <w:color w:val="000000"/>
          <w:sz w:val="44"/>
          <w:szCs w:val="44"/>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pStyle w:val="3"/>
        <w:spacing w:line="600" w:lineRule="exact"/>
        <w:jc w:val="center"/>
        <w:rPr>
          <w:rFonts w:cs="仿宋"/>
          <w:b/>
          <w:color w:val="000000"/>
          <w:sz w:val="36"/>
          <w:szCs w:val="36"/>
        </w:rPr>
      </w:pPr>
    </w:p>
    <w:p>
      <w:pPr>
        <w:widowControl w:val="0"/>
        <w:autoSpaceDE w:val="0"/>
        <w:adjustRightInd w:val="0"/>
        <w:spacing w:before="100" w:beforeAutospacing="1" w:line="490" w:lineRule="exact"/>
        <w:rPr>
          <w:rFonts w:eastAsia="黑体"/>
          <w:color w:val="000000"/>
          <w:kern w:val="0"/>
          <w:sz w:val="28"/>
          <w:szCs w:val="28"/>
        </w:rPr>
      </w:pPr>
      <w:bookmarkStart w:id="15" w:name="_Toc511318214"/>
      <w:bookmarkEnd w:id="15"/>
      <w:r>
        <w:rPr>
          <w:rFonts w:ascii="黑体" w:hAnsi="黑体" w:eastAsia="黑体"/>
          <w:color w:val="000000"/>
          <w:kern w:val="0"/>
          <w:sz w:val="28"/>
          <w:szCs w:val="28"/>
        </w:rPr>
        <w:t>附件</w:t>
      </w:r>
      <w:r>
        <w:rPr>
          <w:rFonts w:hint="eastAsia" w:ascii="黑体" w:hAnsi="黑体" w:eastAsia="黑体"/>
          <w:color w:val="000000"/>
          <w:kern w:val="0"/>
          <w:sz w:val="28"/>
          <w:szCs w:val="28"/>
        </w:rPr>
        <w:t>二</w:t>
      </w:r>
      <w:r>
        <w:rPr>
          <w:rFonts w:ascii="黑体" w:hAnsi="黑体" w:eastAsia="黑体"/>
          <w:color w:val="000000"/>
          <w:kern w:val="0"/>
          <w:sz w:val="28"/>
          <w:szCs w:val="28"/>
        </w:rPr>
        <w:t>：安全生产</w:t>
      </w:r>
      <w:r>
        <w:rPr>
          <w:rFonts w:hint="eastAsia" w:ascii="黑体" w:hAnsi="黑体" w:eastAsia="黑体"/>
          <w:color w:val="000000"/>
          <w:kern w:val="0"/>
          <w:sz w:val="28"/>
          <w:szCs w:val="28"/>
        </w:rPr>
        <w:t>协议</w:t>
      </w:r>
      <w:r>
        <w:rPr>
          <w:rFonts w:ascii="黑体" w:hAnsi="黑体" w:eastAsia="黑体"/>
          <w:color w:val="000000"/>
          <w:kern w:val="0"/>
          <w:sz w:val="28"/>
          <w:szCs w:val="28"/>
        </w:rPr>
        <w:t>格式</w:t>
      </w:r>
    </w:p>
    <w:p>
      <w:pPr>
        <w:widowControl w:val="0"/>
        <w:autoSpaceDE w:val="0"/>
        <w:adjustRightInd w:val="0"/>
        <w:spacing w:before="100" w:beforeAutospacing="1" w:line="490" w:lineRule="exact"/>
        <w:jc w:val="center"/>
        <w:rPr>
          <w:rFonts w:ascii="黑体" w:hAnsi="黑体" w:eastAsia="黑体"/>
          <w:b/>
          <w:bCs/>
          <w:color w:val="000000"/>
          <w:kern w:val="0"/>
          <w:sz w:val="36"/>
          <w:szCs w:val="36"/>
        </w:rPr>
      </w:pPr>
      <w:r>
        <w:rPr>
          <w:rFonts w:hint="eastAsia" w:ascii="黑体" w:hAnsi="黑体" w:eastAsia="黑体"/>
          <w:b/>
          <w:bCs/>
          <w:color w:val="000000"/>
          <w:kern w:val="0"/>
          <w:sz w:val="36"/>
          <w:szCs w:val="36"/>
        </w:rPr>
        <w:t>安全生产协议（格式）</w:t>
      </w:r>
    </w:p>
    <w:p>
      <w:pPr>
        <w:widowControl w:val="0"/>
        <w:spacing w:line="490" w:lineRule="exact"/>
        <w:jc w:val="center"/>
        <w:rPr>
          <w:rFonts w:eastAsia="方正小标宋_GBK"/>
          <w:color w:val="000000"/>
          <w:sz w:val="40"/>
          <w:szCs w:val="40"/>
        </w:rPr>
      </w:pPr>
      <w:r>
        <w:rPr>
          <w:rFonts w:eastAsia="方正小标宋_GBK"/>
          <w:color w:val="000000"/>
          <w:sz w:val="40"/>
          <w:szCs w:val="40"/>
        </w:rPr>
        <w:t xml:space="preserve"> </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为在</w:t>
      </w:r>
      <w:r>
        <w:rPr>
          <w:rFonts w:hint="eastAsia" w:ascii="宋体" w:hAnsi="宋体"/>
          <w:color w:val="000000"/>
          <w:sz w:val="24"/>
          <w:u w:val="single"/>
        </w:rPr>
        <w:t xml:space="preserve">                 </w:t>
      </w:r>
      <w:r>
        <w:rPr>
          <w:rFonts w:hint="eastAsia" w:ascii="宋体" w:hAnsi="宋体"/>
          <w:color w:val="000000"/>
          <w:sz w:val="24"/>
        </w:rPr>
        <w:t>（项目名称）施工合同的实施过程中创造安全、高效的施工环境，切实搞好本项目的安全</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工作，本项目</w:t>
      </w:r>
      <w:r>
        <w:rPr>
          <w:rFonts w:hint="eastAsia" w:ascii="宋体" w:hAnsi="宋体"/>
          <w:color w:val="000000"/>
          <w:sz w:val="24"/>
          <w:u w:val="single"/>
        </w:rPr>
        <w:t xml:space="preserve">           </w:t>
      </w:r>
      <w:r>
        <w:rPr>
          <w:rFonts w:hint="eastAsia" w:ascii="宋体" w:hAnsi="宋体"/>
          <w:color w:val="000000"/>
          <w:sz w:val="24"/>
        </w:rPr>
        <w:t>（发包人名称，以下简称“发包人”）与</w:t>
      </w:r>
      <w:r>
        <w:rPr>
          <w:rFonts w:hint="eastAsia" w:ascii="宋体" w:hAnsi="宋体"/>
          <w:color w:val="000000"/>
          <w:sz w:val="24"/>
          <w:u w:val="single"/>
        </w:rPr>
        <w:t xml:space="preserve">              </w:t>
      </w:r>
      <w:r>
        <w:rPr>
          <w:rFonts w:hint="eastAsia" w:ascii="宋体" w:hAnsi="宋体"/>
          <w:color w:val="000000"/>
          <w:sz w:val="24"/>
        </w:rPr>
        <w:t>（承包人名称，以下简称“承包人”）特此签订安全生产协议：</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一、发包人职责</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1、严格遵守国家有关安全生产的</w:t>
      </w:r>
      <w:r>
        <w:fldChar w:fldCharType="begin"/>
      </w:r>
      <w:r>
        <w:instrText xml:space="preserve"> HYPERLINK "http://lwcool.com/lw/showcls.asp?id=4&amp;parent=0" </w:instrText>
      </w:r>
      <w:r>
        <w:fldChar w:fldCharType="separate"/>
      </w:r>
      <w:r>
        <w:rPr>
          <w:rFonts w:hint="eastAsia" w:ascii="宋体" w:hAnsi="宋体"/>
          <w:color w:val="000000"/>
          <w:sz w:val="24"/>
          <w:u w:val="single"/>
        </w:rPr>
        <w:t>法律</w:t>
      </w:r>
      <w:r>
        <w:rPr>
          <w:rFonts w:hint="eastAsia" w:ascii="宋体" w:hAnsi="宋体"/>
          <w:color w:val="000000"/>
          <w:sz w:val="24"/>
          <w:u w:val="single"/>
        </w:rPr>
        <w:fldChar w:fldCharType="end"/>
      </w:r>
      <w:r>
        <w:rPr>
          <w:rFonts w:hint="eastAsia" w:ascii="宋体" w:hAnsi="宋体"/>
          <w:color w:val="000000"/>
          <w:sz w:val="24"/>
        </w:rPr>
        <w:t>法规，认真执行工程承包合同中的有关安全要求。</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2、按照“安全第一、预防为主”和坚持“管生产必须管安全”的原则进行安全生产</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，做到生产与安全工作同时</w:t>
      </w:r>
      <w:r>
        <w:fldChar w:fldCharType="begin"/>
      </w:r>
      <w:r>
        <w:instrText xml:space="preserve"> HYPERLINK "http://lwcool.com/gw/showcls.asp?id=3&amp;parent=0" </w:instrText>
      </w:r>
      <w:r>
        <w:fldChar w:fldCharType="separate"/>
      </w:r>
      <w:r>
        <w:rPr>
          <w:rFonts w:hint="eastAsia" w:ascii="宋体" w:hAnsi="宋体"/>
          <w:color w:val="000000"/>
          <w:sz w:val="24"/>
          <w:u w:val="single"/>
        </w:rPr>
        <w:t>计划</w:t>
      </w:r>
      <w:r>
        <w:rPr>
          <w:rFonts w:hint="eastAsia" w:ascii="宋体" w:hAnsi="宋体"/>
          <w:color w:val="000000"/>
          <w:sz w:val="24"/>
          <w:u w:val="single"/>
        </w:rPr>
        <w:fldChar w:fldCharType="end"/>
      </w:r>
      <w:r>
        <w:rPr>
          <w:rFonts w:hint="eastAsia" w:ascii="宋体" w:hAnsi="宋体"/>
          <w:color w:val="000000"/>
          <w:sz w:val="24"/>
        </w:rPr>
        <w:t>、布置、检查、</w:t>
      </w:r>
      <w:r>
        <w:fldChar w:fldCharType="begin"/>
      </w:r>
      <w:r>
        <w:instrText xml:space="preserve"> HYPERLINK "http://lwcool.com/gw/showcls.asp?parent=0&amp;id=4" </w:instrText>
      </w:r>
      <w:r>
        <w:fldChar w:fldCharType="separate"/>
      </w:r>
      <w:r>
        <w:rPr>
          <w:rFonts w:hint="eastAsia" w:ascii="宋体" w:hAnsi="宋体"/>
          <w:color w:val="000000"/>
          <w:sz w:val="24"/>
          <w:u w:val="single"/>
        </w:rPr>
        <w:t>总结</w:t>
      </w:r>
      <w:r>
        <w:rPr>
          <w:rFonts w:hint="eastAsia" w:ascii="宋体" w:hAnsi="宋体"/>
          <w:color w:val="000000"/>
          <w:sz w:val="24"/>
          <w:u w:val="single"/>
        </w:rPr>
        <w:fldChar w:fldCharType="end"/>
      </w:r>
      <w:r>
        <w:rPr>
          <w:rFonts w:hint="eastAsia" w:ascii="宋体" w:hAnsi="宋体"/>
          <w:color w:val="000000"/>
          <w:sz w:val="24"/>
        </w:rPr>
        <w:t>和评比。</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3、重要的安全设施必须坚持与主体工程“三同时”的原则，即：同时设计、审批，同时施工，同时验收，投入使用。</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4、定期召开安全生产调度会，及时传达中央及地方有关安全生产的精神。</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5、组织对承包人施工现场安全生产检查，监督承包人及时处理发现的各种安全隐患。</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二、承包人职责</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1、严格遵守国家有关安全生产的</w:t>
      </w:r>
      <w:r>
        <w:fldChar w:fldCharType="begin"/>
      </w:r>
      <w:r>
        <w:instrText xml:space="preserve"> HYPERLINK "http://lwcool.com/lw/showcls.asp?id=4&amp;parent=0" </w:instrText>
      </w:r>
      <w:r>
        <w:fldChar w:fldCharType="separate"/>
      </w:r>
      <w:r>
        <w:rPr>
          <w:rFonts w:hint="eastAsia" w:ascii="宋体" w:hAnsi="宋体"/>
          <w:color w:val="000000"/>
          <w:sz w:val="24"/>
          <w:u w:val="single"/>
        </w:rPr>
        <w:t>法律</w:t>
      </w:r>
      <w:r>
        <w:rPr>
          <w:rFonts w:hint="eastAsia" w:ascii="宋体" w:hAnsi="宋体"/>
          <w:color w:val="000000"/>
          <w:sz w:val="24"/>
          <w:u w:val="single"/>
        </w:rPr>
        <w:fldChar w:fldCharType="end"/>
      </w:r>
      <w:r>
        <w:rPr>
          <w:rFonts w:hint="eastAsia" w:ascii="宋体" w:hAnsi="宋体"/>
          <w:color w:val="000000"/>
          <w:sz w:val="24"/>
        </w:rPr>
        <w:t>法规、行业主管部门等颁布的有关安全生产的规定，认真执行工程承包合同中的有关安全要求。</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2、坚持“安全第一、预防为主”和“管生产必须管安全”的原则，加强安全生产宣传教育，增强全员安全生产意识，建立健全各项安全生产的</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机构和安全生产</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制度，配备专职及兼职安全检查人员，有组织有领导地开展安全生产活动。各级领导、工程技术人员、生产</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人员和具体操作人员，必须熟悉和遵守本条款的各项规定，做到生产与安全工作同时</w:t>
      </w:r>
      <w:r>
        <w:fldChar w:fldCharType="begin"/>
      </w:r>
      <w:r>
        <w:instrText xml:space="preserve"> HYPERLINK "http://lwcool.com/gw/showcls.asp?id=3&amp;parent=0" </w:instrText>
      </w:r>
      <w:r>
        <w:fldChar w:fldCharType="separate"/>
      </w:r>
      <w:r>
        <w:rPr>
          <w:rFonts w:hint="eastAsia" w:ascii="宋体" w:hAnsi="宋体"/>
          <w:color w:val="000000"/>
          <w:sz w:val="24"/>
          <w:u w:val="single"/>
        </w:rPr>
        <w:t>计划</w:t>
      </w:r>
      <w:r>
        <w:rPr>
          <w:rFonts w:hint="eastAsia" w:ascii="宋体" w:hAnsi="宋体"/>
          <w:color w:val="000000"/>
          <w:sz w:val="24"/>
          <w:u w:val="single"/>
        </w:rPr>
        <w:fldChar w:fldCharType="end"/>
      </w:r>
      <w:r>
        <w:rPr>
          <w:rFonts w:hint="eastAsia" w:ascii="宋体" w:hAnsi="宋体"/>
          <w:color w:val="000000"/>
          <w:sz w:val="24"/>
        </w:rPr>
        <w:t>、布置、检查、</w:t>
      </w:r>
      <w:r>
        <w:fldChar w:fldCharType="begin"/>
      </w:r>
      <w:r>
        <w:instrText xml:space="preserve"> HYPERLINK "http://lwcool.com/gw/showcls.asp?parent=0&amp;id=4" </w:instrText>
      </w:r>
      <w:r>
        <w:fldChar w:fldCharType="separate"/>
      </w:r>
      <w:r>
        <w:rPr>
          <w:rFonts w:hint="eastAsia" w:ascii="宋体" w:hAnsi="宋体"/>
          <w:color w:val="000000"/>
          <w:sz w:val="24"/>
          <w:u w:val="single"/>
        </w:rPr>
        <w:t>总结</w:t>
      </w:r>
      <w:r>
        <w:rPr>
          <w:rFonts w:hint="eastAsia" w:ascii="宋体" w:hAnsi="宋体"/>
          <w:color w:val="000000"/>
          <w:sz w:val="24"/>
          <w:u w:val="single"/>
        </w:rPr>
        <w:fldChar w:fldCharType="end"/>
      </w:r>
      <w:r>
        <w:rPr>
          <w:rFonts w:hint="eastAsia" w:ascii="宋体" w:hAnsi="宋体"/>
          <w:color w:val="000000"/>
          <w:sz w:val="24"/>
        </w:rPr>
        <w:t>和评比。</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3、建立健全安全生产责任制。从派往项目实施的建造师到生产工人（包括临时雇请的民工）的安全生产</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系统必须做到纵向到底，一环不漏；各职能部门、人员的安全生产责任制做到横向到边，人人有责。建造师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4、承包人在任何时候都应采取各种合理的预防措施，防止其员工发生任何违法、违禁、暴力或妨碍治安的行为。</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5、承包人必须具有劳动安全</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人员，经过专业培训，获得《安全操作合格证》后，方准持证上岗。施工现场如出现特种作业无证操作现象时，建造师必须承担</w:t>
      </w:r>
      <w:r>
        <w:fldChar w:fldCharType="begin"/>
      </w:r>
      <w:r>
        <w:instrText xml:space="preserve"> HYPERLINK "http://lwcool.com/lw/showcls.asp?id=162&amp;parent=0" </w:instrText>
      </w:r>
      <w:r>
        <w:fldChar w:fldCharType="separate"/>
      </w:r>
      <w:r>
        <w:rPr>
          <w:rFonts w:hint="eastAsia" w:ascii="宋体" w:hAnsi="宋体"/>
          <w:color w:val="000000"/>
          <w:sz w:val="24"/>
          <w:u w:val="single"/>
        </w:rPr>
        <w:t>管理</w:t>
      </w:r>
      <w:r>
        <w:rPr>
          <w:rFonts w:hint="eastAsia" w:ascii="宋体" w:hAnsi="宋体"/>
          <w:color w:val="000000"/>
          <w:sz w:val="24"/>
          <w:u w:val="single"/>
        </w:rPr>
        <w:fldChar w:fldCharType="end"/>
      </w:r>
      <w:r>
        <w:rPr>
          <w:rFonts w:hint="eastAsia" w:ascii="宋体" w:hAnsi="宋体"/>
          <w:color w:val="000000"/>
          <w:sz w:val="24"/>
        </w:rPr>
        <w:t>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6、对于易燃易爆的材料除应专门妥善保管之外，还应配备有足够的消防设施，所有施工人员都应该熟悉消防设备的性能和使用方法；承包人不得将任何种类的爆炸物给予、易货或以其他方式转让给任何其他人，或允许、容忍上述同样行为。</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7、操作人员上岗，必须按规定穿戴防护用品。施工负责人和安全检查员应随时检查劳动防护用品的穿戴情况，不按规定穿戴防护用品的人员不得上岗。</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8、所有施工机具设备和高空作业的设备均应定期检查，并有安全员的签字记录，保证其经常处于完好状态；不合格的机具、设备和劳动保护用品严禁使用。</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9、施工中采用新技术、新工艺、新设备、新材料时，必须制定相应的安全技术措施，施工现场必须具有相关的安全标志牌。</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三、违约责任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如因发包人或承包人违约造成安全事故，将依法追究责任。</w:t>
      </w:r>
    </w:p>
    <w:p>
      <w:pPr>
        <w:pStyle w:val="2"/>
        <w:widowControl w:val="0"/>
        <w:adjustRightInd w:val="0"/>
        <w:snapToGrid w:val="0"/>
        <w:spacing w:line="312" w:lineRule="auto"/>
        <w:ind w:firstLine="420" w:firstLineChars="200"/>
        <w:jc w:val="both"/>
        <w:rPr>
          <w:rFonts w:ascii="宋体" w:hAnsi="宋体"/>
          <w:color w:val="000000"/>
          <w:sz w:val="24"/>
        </w:rPr>
      </w:pPr>
      <w:r>
        <w:rPr>
          <w:rFonts w:hint="eastAsia"/>
        </w:rPr>
        <w:t>如承包人在发包人生产工作场所违反相关规章制度和安全操作规程，发包人可按相关规定进行考核。</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四、本合同正本一式</w:t>
      </w:r>
      <w:r>
        <w:rPr>
          <w:rFonts w:hint="eastAsia" w:ascii="宋体" w:hAnsi="宋体"/>
          <w:color w:val="000000"/>
          <w:sz w:val="24"/>
          <w:u w:val="single"/>
        </w:rPr>
        <w:t xml:space="preserve">         </w:t>
      </w:r>
      <w:r>
        <w:rPr>
          <w:rFonts w:hint="eastAsia" w:ascii="宋体" w:hAnsi="宋体"/>
          <w:color w:val="000000"/>
          <w:sz w:val="24"/>
        </w:rPr>
        <w:t>份，副本</w:t>
      </w:r>
      <w:r>
        <w:rPr>
          <w:rFonts w:hint="eastAsia" w:ascii="宋体" w:hAnsi="宋体"/>
          <w:color w:val="000000"/>
          <w:sz w:val="24"/>
          <w:u w:val="single"/>
        </w:rPr>
        <w:t xml:space="preserve">        </w:t>
      </w:r>
      <w:r>
        <w:rPr>
          <w:rFonts w:hint="eastAsia" w:ascii="宋体" w:hAnsi="宋体"/>
          <w:color w:val="000000"/>
          <w:sz w:val="24"/>
        </w:rPr>
        <w:t>份，合同双方各执正本</w:t>
      </w:r>
      <w:r>
        <w:rPr>
          <w:rFonts w:hint="eastAsia" w:ascii="宋体" w:hAnsi="宋体"/>
          <w:color w:val="000000"/>
          <w:sz w:val="24"/>
          <w:u w:val="single"/>
        </w:rPr>
        <w:t xml:space="preserve">          </w:t>
      </w:r>
      <w:r>
        <w:rPr>
          <w:rFonts w:hint="eastAsia" w:ascii="宋体" w:hAnsi="宋体"/>
          <w:color w:val="000000"/>
          <w:sz w:val="24"/>
        </w:rPr>
        <w:t>份，副本</w:t>
      </w:r>
      <w:r>
        <w:rPr>
          <w:rFonts w:hint="eastAsia" w:ascii="宋体" w:hAnsi="宋体"/>
          <w:color w:val="000000"/>
          <w:sz w:val="24"/>
          <w:u w:val="single"/>
        </w:rPr>
        <w:t xml:space="preserve">         </w:t>
      </w:r>
      <w:r>
        <w:rPr>
          <w:rFonts w:hint="eastAsia" w:ascii="宋体" w:hAnsi="宋体"/>
          <w:color w:val="000000"/>
          <w:sz w:val="24"/>
        </w:rPr>
        <w:t>份。由双方法定代表人或其授权的代理人签署与加盖公章后生效，全部工程竣工验收后失效。</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 xml:space="preserve"> </w:t>
      </w:r>
    </w:p>
    <w:p>
      <w:pPr>
        <w:widowControl w:val="0"/>
        <w:autoSpaceDE w:val="0"/>
        <w:adjustRightInd w:val="0"/>
        <w:snapToGrid w:val="0"/>
        <w:spacing w:line="312" w:lineRule="auto"/>
        <w:jc w:val="both"/>
        <w:rPr>
          <w:rFonts w:ascii="宋体" w:hAnsi="宋体"/>
          <w:color w:val="000000"/>
          <w:kern w:val="0"/>
          <w:sz w:val="24"/>
        </w:rPr>
      </w:pPr>
      <w:r>
        <w:rPr>
          <w:rFonts w:hint="eastAsia" w:ascii="宋体" w:hAnsi="宋体"/>
          <w:color w:val="000000"/>
          <w:kern w:val="0"/>
          <w:sz w:val="24"/>
        </w:rPr>
        <w:t>发包人：</w:t>
      </w:r>
      <w:r>
        <w:rPr>
          <w:rFonts w:hint="eastAsia" w:ascii="宋体" w:hAnsi="宋体"/>
          <w:color w:val="000000"/>
          <w:kern w:val="0"/>
          <w:sz w:val="24"/>
          <w:u w:val="single"/>
        </w:rPr>
        <w:t xml:space="preserve">        </w:t>
      </w:r>
      <w:r>
        <w:rPr>
          <w:rFonts w:hint="eastAsia" w:ascii="宋体" w:hAnsi="宋体"/>
          <w:color w:val="000000"/>
          <w:kern w:val="0"/>
          <w:sz w:val="24"/>
        </w:rPr>
        <w:t>（盖单位公章）   承包人：</w:t>
      </w:r>
      <w:r>
        <w:rPr>
          <w:rFonts w:hint="eastAsia" w:ascii="宋体" w:hAnsi="宋体"/>
          <w:color w:val="000000"/>
          <w:kern w:val="0"/>
          <w:sz w:val="24"/>
          <w:u w:val="single"/>
        </w:rPr>
        <w:t xml:space="preserve">       </w:t>
      </w:r>
      <w:r>
        <w:rPr>
          <w:rFonts w:hint="eastAsia" w:ascii="宋体" w:hAnsi="宋体"/>
          <w:color w:val="000000"/>
          <w:kern w:val="0"/>
          <w:sz w:val="24"/>
        </w:rPr>
        <w:t>（盖单位公章）</w:t>
      </w:r>
    </w:p>
    <w:p>
      <w:pPr>
        <w:widowControl w:val="0"/>
        <w:autoSpaceDE w:val="0"/>
        <w:adjustRightInd w:val="0"/>
        <w:snapToGrid w:val="0"/>
        <w:spacing w:line="312" w:lineRule="auto"/>
        <w:jc w:val="both"/>
        <w:rPr>
          <w:rFonts w:ascii="宋体" w:hAnsi="宋体"/>
          <w:color w:val="000000"/>
          <w:kern w:val="0"/>
          <w:sz w:val="24"/>
        </w:rPr>
      </w:pPr>
      <w:r>
        <w:rPr>
          <w:rFonts w:hint="eastAsia" w:ascii="宋体" w:hAnsi="宋体"/>
          <w:color w:val="000000"/>
          <w:kern w:val="0"/>
          <w:sz w:val="24"/>
        </w:rPr>
        <w:t>法定代表人                       法定代表人</w:t>
      </w:r>
    </w:p>
    <w:p>
      <w:pPr>
        <w:widowControl w:val="0"/>
        <w:autoSpaceDE w:val="0"/>
        <w:adjustRightInd w:val="0"/>
        <w:snapToGrid w:val="0"/>
        <w:spacing w:line="312" w:lineRule="auto"/>
        <w:jc w:val="both"/>
        <w:rPr>
          <w:rFonts w:ascii="宋体" w:hAnsi="宋体"/>
          <w:color w:val="000000"/>
          <w:kern w:val="0"/>
          <w:sz w:val="24"/>
        </w:rPr>
      </w:pPr>
      <w:r>
        <w:rPr>
          <w:rFonts w:hint="eastAsia" w:ascii="宋体" w:hAnsi="宋体"/>
          <w:color w:val="000000"/>
          <w:kern w:val="0"/>
          <w:sz w:val="24"/>
        </w:rPr>
        <w:t>或其委托代理人：</w:t>
      </w:r>
      <w:r>
        <w:rPr>
          <w:rFonts w:hint="eastAsia" w:ascii="宋体" w:hAnsi="宋体"/>
          <w:color w:val="000000"/>
          <w:kern w:val="0"/>
          <w:sz w:val="24"/>
          <w:u w:val="single"/>
        </w:rPr>
        <w:t xml:space="preserve">       </w:t>
      </w:r>
      <w:r>
        <w:rPr>
          <w:rFonts w:hint="eastAsia" w:ascii="宋体" w:hAnsi="宋体"/>
          <w:color w:val="000000"/>
          <w:kern w:val="0"/>
          <w:sz w:val="24"/>
        </w:rPr>
        <w:t>（签字）   或其委托代理人：</w:t>
      </w:r>
      <w:r>
        <w:rPr>
          <w:rFonts w:hint="eastAsia" w:ascii="宋体" w:hAnsi="宋体"/>
          <w:color w:val="000000"/>
          <w:kern w:val="0"/>
          <w:sz w:val="24"/>
          <w:u w:val="single"/>
        </w:rPr>
        <w:t xml:space="preserve">       </w:t>
      </w:r>
      <w:r>
        <w:rPr>
          <w:rFonts w:hint="eastAsia" w:ascii="宋体" w:hAnsi="宋体"/>
          <w:color w:val="000000"/>
          <w:kern w:val="0"/>
          <w:sz w:val="24"/>
        </w:rPr>
        <w:t>（签字）</w:t>
      </w:r>
    </w:p>
    <w:p>
      <w:pPr>
        <w:widowControl w:val="0"/>
        <w:autoSpaceDE w:val="0"/>
        <w:adjustRightInd w:val="0"/>
        <w:snapToGrid w:val="0"/>
        <w:spacing w:line="312" w:lineRule="auto"/>
        <w:jc w:val="both"/>
        <w:rPr>
          <w:rFonts w:ascii="宋体" w:hAnsi="宋体"/>
          <w:color w:val="000000"/>
          <w:kern w:val="0"/>
          <w:sz w:val="24"/>
          <w:u w:val="single"/>
        </w:rPr>
      </w:pPr>
      <w:r>
        <w:rPr>
          <w:rFonts w:hint="eastAsia" w:ascii="宋体" w:hAnsi="宋体"/>
          <w:color w:val="000000"/>
          <w:kern w:val="0"/>
          <w:sz w:val="24"/>
        </w:rPr>
        <w:t>地 址：</w:t>
      </w:r>
      <w:r>
        <w:rPr>
          <w:rFonts w:hint="eastAsia" w:ascii="宋体" w:hAnsi="宋体"/>
          <w:color w:val="000000"/>
          <w:kern w:val="0"/>
          <w:sz w:val="24"/>
          <w:u w:val="single"/>
        </w:rPr>
        <w:t xml:space="preserve">                 </w:t>
      </w:r>
      <w:r>
        <w:rPr>
          <w:rFonts w:hint="eastAsia" w:ascii="宋体" w:hAnsi="宋体"/>
          <w:color w:val="000000"/>
          <w:kern w:val="0"/>
          <w:sz w:val="24"/>
        </w:rPr>
        <w:t xml:space="preserve">           地 址：</w:t>
      </w:r>
      <w:r>
        <w:rPr>
          <w:rFonts w:hint="eastAsia" w:ascii="宋体" w:hAnsi="宋体"/>
          <w:color w:val="000000"/>
          <w:kern w:val="0"/>
          <w:sz w:val="24"/>
          <w:u w:val="single"/>
        </w:rPr>
        <w:t xml:space="preserve">                  </w:t>
      </w:r>
    </w:p>
    <w:p>
      <w:pPr>
        <w:widowControl w:val="0"/>
        <w:autoSpaceDE w:val="0"/>
        <w:adjustRightInd w:val="0"/>
        <w:snapToGrid w:val="0"/>
        <w:spacing w:line="312" w:lineRule="auto"/>
        <w:jc w:val="both"/>
        <w:rPr>
          <w:rFonts w:ascii="宋体" w:hAnsi="宋体"/>
          <w:color w:val="000000"/>
          <w:kern w:val="0"/>
          <w:sz w:val="24"/>
          <w:u w:val="single"/>
        </w:rPr>
      </w:pPr>
      <w:r>
        <w:rPr>
          <w:rFonts w:hint="eastAsia" w:ascii="宋体" w:hAnsi="宋体"/>
          <w:color w:val="000000"/>
          <w:kern w:val="0"/>
          <w:sz w:val="24"/>
        </w:rPr>
        <w:t>电 话：</w:t>
      </w:r>
      <w:r>
        <w:rPr>
          <w:rFonts w:hint="eastAsia" w:ascii="宋体" w:hAnsi="宋体"/>
          <w:color w:val="000000"/>
          <w:kern w:val="0"/>
          <w:sz w:val="24"/>
          <w:u w:val="single"/>
        </w:rPr>
        <w:t xml:space="preserve">                 </w:t>
      </w:r>
      <w:r>
        <w:rPr>
          <w:rFonts w:hint="eastAsia" w:ascii="宋体" w:hAnsi="宋体"/>
          <w:color w:val="000000"/>
          <w:kern w:val="0"/>
          <w:sz w:val="24"/>
        </w:rPr>
        <w:t xml:space="preserve">           电 话：</w:t>
      </w:r>
      <w:r>
        <w:rPr>
          <w:rFonts w:hint="eastAsia" w:ascii="宋体" w:hAnsi="宋体"/>
          <w:color w:val="000000"/>
          <w:kern w:val="0"/>
          <w:sz w:val="24"/>
          <w:u w:val="single"/>
        </w:rPr>
        <w:t xml:space="preserve">                  </w:t>
      </w:r>
    </w:p>
    <w:p>
      <w:pPr>
        <w:widowControl w:val="0"/>
        <w:autoSpaceDE w:val="0"/>
        <w:adjustRightInd w:val="0"/>
        <w:snapToGrid w:val="0"/>
        <w:spacing w:line="312" w:lineRule="auto"/>
        <w:jc w:val="both"/>
        <w:rPr>
          <w:rFonts w:ascii="宋体" w:hAnsi="宋体"/>
          <w:color w:val="000000"/>
          <w:kern w:val="0"/>
          <w:sz w:val="24"/>
          <w:u w:val="single"/>
        </w:rPr>
      </w:pPr>
      <w:r>
        <w:rPr>
          <w:rFonts w:hint="eastAsia" w:ascii="宋体" w:hAnsi="宋体"/>
          <w:color w:val="000000"/>
          <w:kern w:val="0"/>
          <w:sz w:val="24"/>
        </w:rPr>
        <w:t>日 期：</w:t>
      </w:r>
      <w:r>
        <w:rPr>
          <w:rFonts w:hint="eastAsia" w:ascii="宋体" w:hAnsi="宋体"/>
          <w:color w:val="000000"/>
          <w:kern w:val="0"/>
          <w:sz w:val="24"/>
          <w:u w:val="single"/>
        </w:rPr>
        <w:t xml:space="preserve">                 </w:t>
      </w:r>
      <w:r>
        <w:rPr>
          <w:rFonts w:hint="eastAsia" w:ascii="宋体" w:hAnsi="宋体"/>
          <w:color w:val="000000"/>
          <w:kern w:val="0"/>
          <w:sz w:val="24"/>
        </w:rPr>
        <w:t xml:space="preserve">           日 期：</w:t>
      </w:r>
      <w:r>
        <w:rPr>
          <w:rFonts w:hint="eastAsia" w:ascii="宋体" w:hAnsi="宋体"/>
          <w:color w:val="000000"/>
          <w:kern w:val="0"/>
          <w:sz w:val="24"/>
          <w:u w:val="single"/>
        </w:rPr>
        <w:t xml:space="preserve">                  </w:t>
      </w:r>
    </w:p>
    <w:p>
      <w:pPr>
        <w:spacing w:line="600" w:lineRule="exact"/>
        <w:rPr>
          <w:rFonts w:ascii="黑体" w:hAnsi="黑体" w:eastAsia="黑体" w:cs="仿宋"/>
          <w:b/>
          <w:color w:val="000000"/>
          <w:sz w:val="36"/>
          <w:szCs w:val="36"/>
        </w:rPr>
      </w:pPr>
    </w:p>
    <w:p>
      <w:pPr>
        <w:widowControl w:val="0"/>
        <w:autoSpaceDE w:val="0"/>
        <w:adjustRightInd w:val="0"/>
        <w:snapToGrid w:val="0"/>
        <w:spacing w:before="100" w:beforeAutospacing="1" w:line="312" w:lineRule="auto"/>
        <w:rPr>
          <w:rFonts w:eastAsia="黑体"/>
          <w:color w:val="000000"/>
          <w:kern w:val="0"/>
          <w:sz w:val="28"/>
          <w:szCs w:val="28"/>
        </w:rPr>
      </w:pPr>
      <w:r>
        <w:rPr>
          <w:rFonts w:ascii="黑体" w:hAnsi="黑体" w:eastAsia="黑体"/>
          <w:color w:val="000000"/>
          <w:kern w:val="0"/>
          <w:sz w:val="28"/>
          <w:szCs w:val="28"/>
        </w:rPr>
        <w:t>附件</w:t>
      </w:r>
      <w:r>
        <w:rPr>
          <w:rFonts w:hint="eastAsia" w:ascii="黑体" w:hAnsi="黑体" w:eastAsia="黑体"/>
          <w:color w:val="000000"/>
          <w:kern w:val="0"/>
          <w:sz w:val="28"/>
          <w:szCs w:val="28"/>
        </w:rPr>
        <w:t>三</w:t>
      </w:r>
      <w:r>
        <w:rPr>
          <w:rFonts w:ascii="黑体" w:hAnsi="黑体" w:eastAsia="黑体"/>
          <w:color w:val="000000"/>
          <w:kern w:val="0"/>
          <w:sz w:val="28"/>
          <w:szCs w:val="28"/>
        </w:rPr>
        <w:t>：工程建设项目廉政责任书</w:t>
      </w:r>
    </w:p>
    <w:p>
      <w:pPr>
        <w:widowControl w:val="0"/>
        <w:autoSpaceDE w:val="0"/>
        <w:adjustRightInd w:val="0"/>
        <w:spacing w:before="100" w:beforeAutospacing="1" w:line="490" w:lineRule="exact"/>
        <w:jc w:val="center"/>
        <w:rPr>
          <w:rFonts w:ascii="黑体" w:hAnsi="黑体" w:eastAsia="黑体"/>
          <w:b/>
          <w:bCs/>
          <w:color w:val="000000"/>
          <w:kern w:val="0"/>
          <w:sz w:val="36"/>
          <w:szCs w:val="36"/>
        </w:rPr>
      </w:pPr>
      <w:r>
        <w:rPr>
          <w:rFonts w:hint="eastAsia" w:ascii="黑体" w:hAnsi="黑体" w:eastAsia="黑体"/>
          <w:b/>
          <w:bCs/>
          <w:color w:val="000000"/>
          <w:kern w:val="0"/>
          <w:sz w:val="36"/>
          <w:szCs w:val="36"/>
        </w:rPr>
        <w:t>工程建设项目廉政责任书（格式）</w:t>
      </w:r>
    </w:p>
    <w:p>
      <w:pPr>
        <w:widowControl w:val="0"/>
        <w:adjustRightInd w:val="0"/>
        <w:snapToGrid w:val="0"/>
        <w:spacing w:line="312" w:lineRule="auto"/>
        <w:ind w:firstLine="480" w:firstLineChars="200"/>
        <w:jc w:val="both"/>
        <w:rPr>
          <w:rFonts w:ascii="宋体" w:hAnsi="宋体"/>
          <w:color w:val="000000"/>
          <w:sz w:val="24"/>
        </w:rPr>
      </w:pPr>
    </w:p>
    <w:p>
      <w:pPr>
        <w:widowControl w:val="0"/>
        <w:adjustRightInd w:val="0"/>
        <w:snapToGrid w:val="0"/>
        <w:spacing w:line="312" w:lineRule="auto"/>
        <w:ind w:firstLine="480" w:firstLineChars="200"/>
        <w:jc w:val="both"/>
        <w:rPr>
          <w:rFonts w:ascii="宋体" w:hAnsi="宋体"/>
          <w:color w:val="000000"/>
          <w:sz w:val="24"/>
          <w:u w:val="single"/>
        </w:rPr>
      </w:pPr>
      <w:r>
        <w:rPr>
          <w:rFonts w:hint="eastAsia" w:ascii="宋体" w:hAnsi="宋体"/>
          <w:color w:val="000000"/>
          <w:sz w:val="24"/>
        </w:rPr>
        <w:t>发包人（甲方）：</w:t>
      </w:r>
      <w:r>
        <w:rPr>
          <w:rFonts w:hint="eastAsia" w:ascii="宋体" w:hAnsi="宋体"/>
          <w:color w:val="000000"/>
          <w:sz w:val="24"/>
          <w:u w:val="single"/>
        </w:rPr>
        <w:t xml:space="preserve">                                       </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承包人（乙方）：</w:t>
      </w:r>
      <w:r>
        <w:rPr>
          <w:rFonts w:hint="eastAsia" w:ascii="宋体" w:hAnsi="宋体"/>
          <w:color w:val="000000"/>
          <w:sz w:val="24"/>
          <w:u w:val="single"/>
        </w:rPr>
        <w:t xml:space="preserve">                                       </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 xml:space="preserve"> </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第一条  甲乙双方的责任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（一）应严格遵守国家关于市场准入、项目招标投标、工程建设、施工安装和市场活动等有关法律、法规，相关政策，以及廉政建设的各项规定。</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（二）严格执行建设工程项目承发包合同文件，自觉按合同办事。</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（四）发现对方在业务活动中有违规、违纪、违法行为的，应及时提醒对方，情节严重的，应向其上级主管部门或纪检监察、司法等有关机关举报。</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第二条  甲方的责任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甲方的领导和从事该建设工程项目的工作人员，在工程建设的事前、事中、事后应遵守以下规定：</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（一）不准向乙方和相关单位索要或接受回扣、礼金、有价证券、贵重物品和好处费、感谢费等。</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（二）不准在乙方和相关单位报销任何应由甲方或个人支付的费人。</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（三）不准要求、暗示或接受乙方和相关单位为个人装修住房、婚丧嫁娶、配偶子女的工作安排以及出国（境）、旅游等提供方便。</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（四）不准参加有可能影响公正执行公务的乙方和相关单位的宴请和健身、娱乐等活动。</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第三条  乙方的责任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应与甲方保持正常的业务交往，按照有关法律法规和程序开展业务工作，严格执行工程建设的有关政策，遵守以下规定：</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（一）不准以任何理由向甲方、相关单位及其工作人员索要、接受或赠送礼、有价证券、贵重物品和回扣、好处费、感谢费等。</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（二）不准以任何理由为甲方和相关单位报销应由对方或个人支付的费用。</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（三）不准接受或暗示为甲方、相关单位或个人装修住房、婚丧嫁娶、配偶子女的工作安排以及出国（境）、旅游等提供方便。</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（四）不准以任何理由为甲方、相关单位或个人、组织提供有可能影响公正执行公务的宴请、健身、娱乐等活动。</w:t>
      </w:r>
    </w:p>
    <w:p>
      <w:pPr>
        <w:widowControl w:val="0"/>
        <w:adjustRightInd w:val="0"/>
        <w:snapToGrid w:val="0"/>
        <w:spacing w:line="312" w:lineRule="auto"/>
        <w:ind w:firstLine="482" w:firstLineChars="200"/>
        <w:jc w:val="both"/>
        <w:rPr>
          <w:rFonts w:ascii="宋体" w:hAnsi="宋体"/>
          <w:b/>
          <w:bCs/>
          <w:color w:val="000000"/>
          <w:sz w:val="24"/>
        </w:rPr>
      </w:pPr>
      <w:r>
        <w:rPr>
          <w:rFonts w:hint="eastAsia" w:ascii="宋体" w:hAnsi="宋体"/>
          <w:b/>
          <w:bCs/>
          <w:color w:val="000000"/>
          <w:sz w:val="24"/>
        </w:rPr>
        <w:t>第四条  违约责任</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第五条  本责任书作为工程施工合同的附件，与工程施工合同具有同等法律效力。经双方签署后生效。</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第六条  本责任书的有效期为双方签署之日至该工程项目竣工验收合格时止。</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第七条  本责任和本工程施工合同同时使用，由双方法定代表人或其授权的代理人签署与加盖公章后生效，全部工程竣工验收后失效。</w:t>
      </w:r>
    </w:p>
    <w:p>
      <w:pPr>
        <w:widowControl w:val="0"/>
        <w:adjustRightInd w:val="0"/>
        <w:snapToGrid w:val="0"/>
        <w:spacing w:line="312" w:lineRule="auto"/>
        <w:ind w:firstLine="480" w:firstLineChars="200"/>
        <w:jc w:val="both"/>
        <w:rPr>
          <w:rFonts w:ascii="宋体" w:hAnsi="宋体"/>
          <w:color w:val="000000"/>
          <w:sz w:val="24"/>
        </w:rPr>
      </w:pPr>
      <w:r>
        <w:rPr>
          <w:rFonts w:hint="eastAsia" w:ascii="宋体" w:hAnsi="宋体"/>
          <w:color w:val="000000"/>
          <w:sz w:val="24"/>
        </w:rPr>
        <w:t xml:space="preserve"> </w:t>
      </w:r>
    </w:p>
    <w:p>
      <w:pPr>
        <w:widowControl w:val="0"/>
        <w:adjustRightInd w:val="0"/>
        <w:snapToGrid w:val="0"/>
        <w:spacing w:line="312" w:lineRule="auto"/>
        <w:jc w:val="both"/>
        <w:rPr>
          <w:rFonts w:ascii="宋体" w:hAnsi="宋体"/>
          <w:color w:val="000000"/>
          <w:sz w:val="24"/>
        </w:rPr>
      </w:pPr>
      <w:r>
        <w:rPr>
          <w:rFonts w:hint="eastAsia" w:ascii="宋体" w:hAnsi="宋体"/>
          <w:color w:val="000000"/>
          <w:sz w:val="24"/>
        </w:rPr>
        <w:t>甲方单位：</w:t>
      </w:r>
      <w:r>
        <w:rPr>
          <w:rFonts w:hint="eastAsia" w:ascii="宋体" w:hAnsi="宋体"/>
          <w:color w:val="000000"/>
          <w:sz w:val="24"/>
          <w:u w:val="single"/>
        </w:rPr>
        <w:t xml:space="preserve">            </w:t>
      </w:r>
      <w:r>
        <w:rPr>
          <w:rFonts w:hint="eastAsia" w:ascii="宋体" w:hAnsi="宋体"/>
          <w:color w:val="000000"/>
          <w:sz w:val="24"/>
        </w:rPr>
        <w:t>（盖章）       乙方单位：</w:t>
      </w:r>
      <w:r>
        <w:rPr>
          <w:rFonts w:hint="eastAsia" w:ascii="宋体" w:hAnsi="宋体"/>
          <w:color w:val="000000"/>
          <w:sz w:val="24"/>
          <w:u w:val="single"/>
        </w:rPr>
        <w:t xml:space="preserve">           </w:t>
      </w:r>
      <w:r>
        <w:rPr>
          <w:rFonts w:hint="eastAsia" w:ascii="宋体" w:hAnsi="宋体"/>
          <w:color w:val="000000"/>
          <w:sz w:val="24"/>
        </w:rPr>
        <w:t>（盖章）</w:t>
      </w:r>
    </w:p>
    <w:p>
      <w:pPr>
        <w:widowControl w:val="0"/>
        <w:adjustRightInd w:val="0"/>
        <w:snapToGrid w:val="0"/>
        <w:spacing w:line="312" w:lineRule="auto"/>
        <w:jc w:val="both"/>
        <w:rPr>
          <w:rFonts w:ascii="宋体" w:hAnsi="宋体"/>
          <w:color w:val="000000"/>
          <w:sz w:val="24"/>
        </w:rPr>
      </w:pPr>
      <w:r>
        <w:rPr>
          <w:rFonts w:hint="eastAsia" w:ascii="宋体" w:hAnsi="宋体"/>
          <w:color w:val="000000"/>
          <w:sz w:val="24"/>
        </w:rPr>
        <w:t xml:space="preserve"> </w:t>
      </w:r>
    </w:p>
    <w:p>
      <w:pPr>
        <w:widowControl w:val="0"/>
        <w:adjustRightInd w:val="0"/>
        <w:snapToGrid w:val="0"/>
        <w:spacing w:line="312" w:lineRule="auto"/>
        <w:jc w:val="both"/>
        <w:rPr>
          <w:rFonts w:ascii="宋体" w:hAnsi="宋体"/>
          <w:color w:val="000000"/>
          <w:sz w:val="24"/>
        </w:rPr>
      </w:pPr>
      <w:r>
        <w:rPr>
          <w:rFonts w:hint="eastAsia" w:ascii="宋体" w:hAnsi="宋体"/>
          <w:color w:val="000000"/>
          <w:sz w:val="24"/>
        </w:rPr>
        <w:t>法人：</w:t>
      </w:r>
      <w:r>
        <w:rPr>
          <w:rFonts w:hint="eastAsia" w:ascii="宋体" w:hAnsi="宋体"/>
          <w:color w:val="000000"/>
          <w:sz w:val="24"/>
          <w:u w:val="single"/>
        </w:rPr>
        <w:t xml:space="preserve">             </w:t>
      </w:r>
      <w:r>
        <w:rPr>
          <w:rFonts w:hint="eastAsia" w:ascii="宋体" w:hAnsi="宋体"/>
          <w:color w:val="000000"/>
          <w:sz w:val="24"/>
        </w:rPr>
        <w:t xml:space="preserve">                  法人：</w:t>
      </w:r>
      <w:r>
        <w:rPr>
          <w:rFonts w:hint="eastAsia" w:ascii="宋体" w:hAnsi="宋体"/>
          <w:color w:val="000000"/>
          <w:sz w:val="24"/>
          <w:u w:val="single"/>
        </w:rPr>
        <w:t xml:space="preserve">              </w:t>
      </w:r>
    </w:p>
    <w:p>
      <w:pPr>
        <w:widowControl w:val="0"/>
        <w:adjustRightInd w:val="0"/>
        <w:snapToGrid w:val="0"/>
        <w:spacing w:line="312" w:lineRule="auto"/>
        <w:jc w:val="both"/>
        <w:rPr>
          <w:rFonts w:ascii="宋体" w:hAnsi="宋体"/>
          <w:color w:val="000000"/>
          <w:sz w:val="24"/>
          <w:u w:val="single"/>
        </w:rPr>
      </w:pPr>
      <w:r>
        <w:rPr>
          <w:rFonts w:hint="eastAsia" w:ascii="宋体" w:hAnsi="宋体"/>
          <w:color w:val="000000"/>
          <w:sz w:val="24"/>
          <w:u w:val="single"/>
        </w:rPr>
        <w:t xml:space="preserve"> </w:t>
      </w:r>
    </w:p>
    <w:p>
      <w:pPr>
        <w:widowControl w:val="0"/>
        <w:adjustRightInd w:val="0"/>
        <w:snapToGrid w:val="0"/>
        <w:spacing w:line="312" w:lineRule="auto"/>
        <w:ind w:firstLine="720" w:firstLineChars="300"/>
        <w:jc w:val="both"/>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spacing w:before="240" w:beforeLines="100" w:after="120" w:afterLines="50" w:line="312" w:lineRule="auto"/>
        <w:jc w:val="both"/>
        <w:rPr>
          <w:rFonts w:ascii="仿宋" w:hAnsi="仿宋" w:eastAsia="仿宋" w:cs="仿宋"/>
          <w:sz w:val="24"/>
        </w:rPr>
      </w:pPr>
      <w:r>
        <w:rPr>
          <w:rFonts w:hint="eastAsia" w:ascii="宋体" w:hAnsi="宋体"/>
          <w:b/>
          <w:sz w:val="24"/>
        </w:rPr>
        <w:t>一、工程类项目编制提纲：</w:t>
      </w:r>
    </w:p>
    <w:p>
      <w:pPr>
        <w:adjustRightInd w:val="0"/>
        <w:snapToGrid w:val="0"/>
        <w:spacing w:line="312" w:lineRule="auto"/>
        <w:ind w:firstLine="480" w:firstLineChars="200"/>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采购项目名称 城港公司</w:t>
      </w:r>
      <w:r>
        <w:rPr>
          <w:rFonts w:hint="eastAsia" w:cs="仿宋" w:asciiTheme="minorEastAsia" w:hAnsiTheme="minorEastAsia" w:eastAsiaTheme="minorEastAsia"/>
          <w:sz w:val="24"/>
        </w:rPr>
        <w:t>零星基建项目外包业务</w:t>
      </w:r>
    </w:p>
    <w:p>
      <w:pPr>
        <w:adjustRightInd w:val="0"/>
        <w:snapToGrid w:val="0"/>
        <w:spacing w:line="312" w:lineRule="auto"/>
        <w:ind w:firstLine="480" w:firstLineChars="200"/>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工程基本情况</w:t>
      </w:r>
    </w:p>
    <w:p>
      <w:pPr>
        <w:adjustRightInd w:val="0"/>
        <w:snapToGrid w:val="0"/>
        <w:spacing w:line="312" w:lineRule="auto"/>
        <w:ind w:firstLine="480" w:firstLineChars="200"/>
        <w:rPr>
          <w:rFonts w:ascii="宋体" w:hAnsi="宋体"/>
          <w:sz w:val="24"/>
        </w:rPr>
      </w:pPr>
      <w:r>
        <w:rPr>
          <w:rFonts w:hint="eastAsia" w:ascii="宋体" w:hAnsi="宋体"/>
          <w:sz w:val="24"/>
        </w:rPr>
        <w:t>甲方由于未配置专门的基建维修队伍，只设置了基建技术、预算、施工管理办公室，有2</w:t>
      </w:r>
      <w:r>
        <w:rPr>
          <w:rFonts w:ascii="宋体" w:hAnsi="宋体"/>
          <w:sz w:val="24"/>
        </w:rPr>
        <w:t>-3</w:t>
      </w:r>
      <w:r>
        <w:rPr>
          <w:rFonts w:hint="eastAsia" w:ascii="宋体" w:hAnsi="宋体"/>
          <w:sz w:val="24"/>
        </w:rPr>
        <w:t>人专、兼职负责这项工作，项目具体施工业务一惯委外承包，甲方施工管理办公室负责项目立项、组织和协调，并监管项目的安全和进度、质量。外包业务造价在5万元以下的零星基建维修项目，</w:t>
      </w:r>
      <w:r>
        <w:rPr>
          <w:rFonts w:hint="eastAsia" w:ascii="宋体" w:hAnsi="宋体"/>
          <w:sz w:val="24"/>
          <w:u w:val="single"/>
        </w:rPr>
        <w:t>年度累计金额</w:t>
      </w:r>
      <w:r>
        <w:rPr>
          <w:rFonts w:ascii="宋体" w:hAnsi="宋体"/>
          <w:sz w:val="24"/>
          <w:u w:val="single"/>
        </w:rPr>
        <w:t>50-70</w:t>
      </w:r>
      <w:r>
        <w:rPr>
          <w:rFonts w:hint="eastAsia" w:ascii="宋体" w:hAnsi="宋体"/>
          <w:sz w:val="24"/>
          <w:u w:val="single"/>
        </w:rPr>
        <w:t>万元</w:t>
      </w:r>
      <w:r>
        <w:rPr>
          <w:rFonts w:hint="eastAsia" w:ascii="宋体" w:hAnsi="宋体"/>
          <w:sz w:val="24"/>
        </w:rPr>
        <w:t>。</w:t>
      </w:r>
    </w:p>
    <w:p>
      <w:pPr>
        <w:adjustRightInd w:val="0"/>
        <w:snapToGrid w:val="0"/>
        <w:spacing w:line="312" w:lineRule="auto"/>
        <w:ind w:firstLine="480" w:firstLineChars="20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外包业务承包范围</w:t>
      </w:r>
    </w:p>
    <w:p>
      <w:pPr>
        <w:adjustRightInd w:val="0"/>
        <w:snapToGrid w:val="0"/>
        <w:spacing w:line="312" w:lineRule="auto"/>
        <w:ind w:firstLine="480" w:firstLineChars="200"/>
        <w:rPr>
          <w:rFonts w:ascii="宋体" w:hAnsi="宋体"/>
          <w:sz w:val="24"/>
        </w:rPr>
      </w:pPr>
      <w:r>
        <w:rPr>
          <w:rFonts w:hint="eastAsia" w:ascii="宋体" w:hAnsi="宋体"/>
          <w:sz w:val="24"/>
        </w:rPr>
        <w:t>甲方生产区道路临时开挖及维修；下水道清理、维修；排水沟维修及盖板修复；厂房临时维修包括门窗、门锁修理；房屋防水做油、室内粉刷；配合维修各类管线、电力线路施工； 防汛抢险土建基础施工，维修改造设备安装土建基础施工。</w:t>
      </w:r>
    </w:p>
    <w:p>
      <w:pPr>
        <w:adjustRightInd w:val="0"/>
        <w:snapToGrid w:val="0"/>
        <w:spacing w:line="312" w:lineRule="auto"/>
        <w:ind w:firstLine="480" w:firstLineChars="200"/>
        <w:rPr>
          <w:rFonts w:ascii="宋体" w:hAnsi="宋体"/>
          <w:sz w:val="24"/>
        </w:rPr>
      </w:pPr>
      <w:r>
        <w:rPr>
          <w:rFonts w:hint="eastAsia" w:ascii="宋体" w:hAnsi="宋体"/>
          <w:sz w:val="24"/>
        </w:rPr>
        <w:t>（四</w:t>
      </w:r>
      <w:r>
        <w:rPr>
          <w:rFonts w:ascii="宋体" w:hAnsi="宋体"/>
          <w:sz w:val="24"/>
        </w:rPr>
        <w:t>）</w:t>
      </w:r>
      <w:r>
        <w:rPr>
          <w:rFonts w:hint="eastAsia" w:ascii="宋体" w:hAnsi="宋体"/>
          <w:sz w:val="24"/>
        </w:rPr>
        <w:t>工期及质量要求</w:t>
      </w:r>
    </w:p>
    <w:p>
      <w:pPr>
        <w:pStyle w:val="2"/>
        <w:adjustRightInd w:val="0"/>
        <w:snapToGrid w:val="0"/>
        <w:spacing w:line="312" w:lineRule="auto"/>
        <w:ind w:firstLine="480" w:firstLineChars="200"/>
        <w:rPr>
          <w:rFonts w:ascii="宋体" w:hAnsi="宋体"/>
          <w:sz w:val="24"/>
        </w:rPr>
      </w:pPr>
      <w:r>
        <w:rPr>
          <w:rFonts w:hint="eastAsia" w:ascii="宋体" w:hAnsi="宋体"/>
          <w:sz w:val="24"/>
        </w:rPr>
        <w:t>按双方现场蹉商定工期和质量要求</w:t>
      </w:r>
    </w:p>
    <w:p>
      <w:pPr>
        <w:adjustRightInd w:val="0"/>
        <w:snapToGrid w:val="0"/>
        <w:spacing w:line="312" w:lineRule="auto"/>
        <w:ind w:firstLine="480" w:firstLineChars="200"/>
        <w:rPr>
          <w:rFonts w:ascii="宋体" w:hAnsi="宋体"/>
          <w:sz w:val="24"/>
        </w:rPr>
      </w:pPr>
      <w:r>
        <w:rPr>
          <w:rFonts w:hint="eastAsia" w:ascii="宋体" w:hAnsi="宋体"/>
          <w:sz w:val="24"/>
        </w:rPr>
        <w:t>（五</w:t>
      </w:r>
      <w:r>
        <w:rPr>
          <w:rFonts w:ascii="宋体" w:hAnsi="宋体"/>
          <w:sz w:val="24"/>
        </w:rPr>
        <w:t>）</w:t>
      </w:r>
      <w:r>
        <w:rPr>
          <w:rFonts w:hint="eastAsia" w:ascii="宋体" w:hAnsi="宋体"/>
          <w:sz w:val="24"/>
        </w:rPr>
        <w:t>项目实施要求（含材料运输保管保险、施工要求、验收要求、质量保证等）</w:t>
      </w:r>
    </w:p>
    <w:p>
      <w:pPr>
        <w:pStyle w:val="2"/>
        <w:adjustRightInd w:val="0"/>
        <w:snapToGrid w:val="0"/>
        <w:spacing w:line="312" w:lineRule="auto"/>
        <w:ind w:firstLine="480" w:firstLineChars="200"/>
        <w:rPr>
          <w:rFonts w:ascii="宋体" w:hAnsi="宋体"/>
          <w:sz w:val="24"/>
        </w:rPr>
      </w:pPr>
      <w:r>
        <w:rPr>
          <w:rFonts w:hint="eastAsia"/>
          <w:sz w:val="24"/>
        </w:rPr>
        <w:t>乙方提供的材料应告知甲方现场施工员，征得甲方同意后方可使用，必须出具产品合格证，质量检验证明材料，甲方不负责乙方材料的保管、运输及保险。施工按双方约定的条款或图纸施工，质量保证达到甲方验收标准，工程质保期为一年，特殊情况按双方约定的质保期。</w:t>
      </w:r>
    </w:p>
    <w:p>
      <w:pPr>
        <w:adjustRightInd w:val="0"/>
        <w:snapToGrid w:val="0"/>
        <w:spacing w:line="312"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项目特别说明（含结算方式、工程变更、工程竣工结算等）</w:t>
      </w:r>
    </w:p>
    <w:p>
      <w:pPr>
        <w:adjustRightInd w:val="0"/>
        <w:snapToGrid w:val="0"/>
        <w:spacing w:line="312" w:lineRule="auto"/>
        <w:ind w:firstLine="480" w:firstLineChars="200"/>
        <w:rPr>
          <w:rFonts w:cs="仿宋" w:asciiTheme="minorEastAsia" w:hAnsiTheme="minorEastAsia" w:eastAsiaTheme="minorEastAsia"/>
          <w:color w:val="000000"/>
          <w:sz w:val="24"/>
        </w:rPr>
      </w:pPr>
      <w:r>
        <w:rPr>
          <w:rFonts w:hint="eastAsia" w:cs="仿宋" w:asciiTheme="minorEastAsia" w:hAnsiTheme="minorEastAsia" w:eastAsiaTheme="minorEastAsia"/>
          <w:color w:val="FF0000"/>
          <w:sz w:val="24"/>
        </w:rPr>
        <w:t>先做预算，结算</w:t>
      </w:r>
      <w:r>
        <w:rPr>
          <w:rFonts w:hint="eastAsia" w:cs="仿宋" w:asciiTheme="minorEastAsia" w:hAnsiTheme="minorEastAsia" w:eastAsiaTheme="minorEastAsia"/>
          <w:color w:val="000000"/>
          <w:sz w:val="24"/>
        </w:rPr>
        <w:t>按</w:t>
      </w:r>
      <w:r>
        <w:rPr>
          <w:rFonts w:cs="仿宋" w:asciiTheme="minorEastAsia" w:hAnsiTheme="minorEastAsia" w:eastAsiaTheme="minorEastAsia"/>
          <w:color w:val="000000"/>
          <w:sz w:val="24"/>
        </w:rPr>
        <w:t>2020年《湖南省建设工程计价办法》及2020年《湖南省建设工程消耗量标准》的规定编制，</w:t>
      </w:r>
      <w:r>
        <w:rPr>
          <w:rFonts w:hint="eastAsia" w:cs="仿宋" w:asciiTheme="minorEastAsia" w:hAnsiTheme="minorEastAsia" w:eastAsiaTheme="minorEastAsia"/>
          <w:color w:val="000000"/>
          <w:sz w:val="24"/>
        </w:rPr>
        <w:t>套定额之后下浮本次招标的乙方承诺的比例为最终结算价格。按合同约定的付款方式，税率、付款周期进行支付。</w:t>
      </w:r>
    </w:p>
    <w:p>
      <w:pPr>
        <w:pStyle w:val="2"/>
        <w:adjustRightInd w:val="0"/>
        <w:snapToGrid w:val="0"/>
        <w:spacing w:line="312" w:lineRule="auto"/>
        <w:ind w:firstLine="720" w:firstLineChars="30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工程变更需甲方负责签证，用签证单的形式下发给乙方</w:t>
      </w:r>
    </w:p>
    <w:p>
      <w:pPr>
        <w:pStyle w:val="2"/>
        <w:rPr>
          <w:sz w:val="24"/>
        </w:rPr>
      </w:pPr>
    </w:p>
    <w:p>
      <w:pPr>
        <w:pStyle w:val="3"/>
      </w:pPr>
    </w:p>
    <w:p>
      <w:pPr>
        <w:pStyle w:val="3"/>
      </w:pPr>
    </w:p>
    <w:p>
      <w:pPr>
        <w:pStyle w:val="3"/>
      </w:pPr>
    </w:p>
    <w:p>
      <w:pPr>
        <w:pStyle w:val="3"/>
      </w:pPr>
    </w:p>
    <w:p>
      <w:pPr>
        <w:pStyle w:val="3"/>
      </w:pPr>
    </w:p>
    <w:p>
      <w:pPr>
        <w:pStyle w:val="3"/>
      </w:pPr>
    </w:p>
    <w:p>
      <w:pPr>
        <w:pStyle w:val="3"/>
      </w:pPr>
    </w:p>
    <w:p>
      <w:pPr>
        <w:pStyle w:val="3"/>
        <w:snapToGrid w:val="0"/>
        <w:spacing w:line="312" w:lineRule="auto"/>
        <w:ind w:firstLine="480" w:firstLineChars="200"/>
        <w:rPr>
          <w:rFonts w:ascii="宋体" w:hAnsi="宋体"/>
        </w:rPr>
      </w:pPr>
    </w:p>
    <w:p>
      <w:pPr>
        <w:spacing w:line="312" w:lineRule="auto"/>
        <w:jc w:val="center"/>
        <w:rPr>
          <w:rFonts w:ascii="仿宋" w:hAnsi="仿宋" w:eastAsia="仿宋" w:cs="仿宋"/>
          <w:sz w:val="30"/>
          <w:szCs w:val="30"/>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三、报价表(A)</w:t>
      </w:r>
    </w:p>
    <w:p>
      <w:pPr>
        <w:adjustRightInd w:val="0"/>
        <w:snapToGrid w:val="0"/>
        <w:spacing w:line="600" w:lineRule="exact"/>
        <w:jc w:val="both"/>
        <w:rPr>
          <w:rFonts w:ascii="宋体" w:hAnsi="宋体" w:cs="仿宋"/>
          <w:sz w:val="24"/>
        </w:rPr>
      </w:pPr>
      <w:r>
        <w:rPr>
          <w:rFonts w:hint="eastAsia" w:ascii="宋体" w:hAnsi="宋体" w:cs="仿宋"/>
          <w:sz w:val="24"/>
        </w:rPr>
        <w:t>四、资格审查资料(A)</w:t>
      </w:r>
      <w:r>
        <w:rPr>
          <w:rFonts w:hint="eastAsia" w:ascii="宋体" w:hAnsi="宋体" w:cs="仿宋"/>
          <w:sz w:val="24"/>
        </w:rPr>
        <w:br w:type="textWrapping"/>
      </w:r>
      <w:r>
        <w:rPr>
          <w:rFonts w:hint="eastAsia" w:ascii="宋体" w:hAnsi="宋体" w:cs="仿宋"/>
          <w:sz w:val="24"/>
        </w:rPr>
        <w:t>五、响应方案(A)</w:t>
      </w:r>
    </w:p>
    <w:p>
      <w:pPr>
        <w:adjustRightInd w:val="0"/>
        <w:snapToGrid w:val="0"/>
        <w:spacing w:line="600" w:lineRule="exact"/>
        <w:jc w:val="both"/>
        <w:rPr>
          <w:rFonts w:ascii="宋体" w:hAnsi="宋体" w:cs="仿宋"/>
          <w:sz w:val="24"/>
        </w:rPr>
      </w:pPr>
      <w:r>
        <w:rPr>
          <w:rFonts w:hint="eastAsia" w:ascii="宋体" w:hAnsi="宋体" w:cs="仿宋"/>
          <w:sz w:val="24"/>
        </w:rPr>
        <w:t>六、其他资料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(8)响应方案;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ascii="黑体" w:hAnsi="黑体" w:eastAsia="黑体" w:cs="仿宋"/>
          <w:sz w:val="36"/>
          <w:szCs w:val="36"/>
        </w:rPr>
      </w:pPr>
      <w:r>
        <w:rPr>
          <w:rFonts w:hint="eastAsia" w:ascii="黑体" w:hAnsi="黑体" w:eastAsia="黑体" w:cs="仿宋"/>
          <w:sz w:val="36"/>
          <w:szCs w:val="36"/>
          <w:highlight w:val="lightGray"/>
        </w:rPr>
        <w:t>五、</w:t>
      </w:r>
      <w:r>
        <w:rPr>
          <w:rFonts w:hint="eastAsia" w:ascii="黑体" w:hAnsi="黑体" w:eastAsia="黑体" w:cs="仿宋"/>
          <w:sz w:val="36"/>
          <w:szCs w:val="36"/>
        </w:rPr>
        <w:t>报价表（A）</w:t>
      </w:r>
    </w:p>
    <w:p>
      <w:pPr>
        <w:spacing w:line="600" w:lineRule="exact"/>
        <w:jc w:val="both"/>
        <w:rPr>
          <w:sz w:val="44"/>
          <w:szCs w:val="44"/>
        </w:rPr>
      </w:pPr>
      <w:r>
        <w:rPr>
          <w:rFonts w:hint="eastAsia" w:cs="仿宋" w:asciiTheme="minorEastAsia" w:hAnsiTheme="minorEastAsia" w:eastAsiaTheme="minorEastAsia"/>
          <w:sz w:val="24"/>
        </w:rPr>
        <w:t>采购人根据国家、行业、地方发布的计价办法、施工图纸等设计文件、施工现场实际情况、项目报价要求等，编制适合采购项目的报价表。</w:t>
      </w:r>
    </w:p>
    <w:tbl>
      <w:tblPr>
        <w:tblStyle w:val="35"/>
        <w:tblpPr w:leftFromText="180" w:rightFromText="180" w:vertAnchor="page" w:horzAnchor="margin" w:tblpY="3511"/>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993"/>
        <w:gridCol w:w="1829"/>
        <w:gridCol w:w="1164"/>
        <w:gridCol w:w="1682"/>
        <w:gridCol w:w="116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22"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专业类别</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工程量权重</w:t>
            </w:r>
          </w:p>
        </w:tc>
        <w:tc>
          <w:tcPr>
            <w:tcW w:w="1682" w:type="dxa"/>
            <w:tcBorders>
              <w:top w:val="single" w:color="auto" w:sz="4" w:space="0"/>
              <w:left w:val="single" w:color="auto" w:sz="4" w:space="0"/>
              <w:bottom w:val="single" w:color="auto" w:sz="4" w:space="0"/>
              <w:right w:val="single" w:color="auto" w:sz="4" w:space="0"/>
            </w:tcBorders>
            <w:vAlign w:val="center"/>
          </w:tcPr>
          <w:p>
            <w:pPr>
              <w:jc w:val="both"/>
              <w:rPr>
                <w:rFonts w:cs="仿宋" w:asciiTheme="minorEastAsia" w:hAnsiTheme="minorEastAsia" w:eastAsiaTheme="minorEastAsia"/>
                <w:sz w:val="24"/>
              </w:rPr>
            </w:pPr>
            <w:r>
              <w:rPr>
                <w:rFonts w:hint="eastAsia" w:cs="仿宋" w:asciiTheme="minorEastAsia" w:hAnsiTheme="minorEastAsia" w:eastAsiaTheme="minorEastAsia"/>
                <w:sz w:val="24"/>
              </w:rPr>
              <w:t>下浮比例%</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最低下浮比例%</w:t>
            </w: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下浮基数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1</w:t>
            </w:r>
          </w:p>
        </w:tc>
        <w:tc>
          <w:tcPr>
            <w:tcW w:w="2822"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建筑工程</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59%</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8%</w:t>
            </w:r>
          </w:p>
          <w:p>
            <w:pPr>
              <w:jc w:val="center"/>
              <w:rPr>
                <w:rFonts w:cs="仿宋" w:asciiTheme="minorEastAsia" w:hAnsiTheme="minorEastAsia" w:eastAsiaTheme="minorEastAsia"/>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税前总价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2</w:t>
            </w:r>
          </w:p>
        </w:tc>
        <w:tc>
          <w:tcPr>
            <w:tcW w:w="2822"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装饰工程</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25%</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10%</w:t>
            </w:r>
          </w:p>
          <w:p>
            <w:pPr>
              <w:jc w:val="center"/>
              <w:rPr>
                <w:rFonts w:cs="仿宋" w:asciiTheme="minorEastAsia" w:hAnsiTheme="minorEastAsia" w:eastAsiaTheme="minorEastAsia"/>
                <w:b/>
                <w:bCs/>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税前总价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7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3</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安装</w:t>
            </w:r>
          </w:p>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工程</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一般工程</w:t>
            </w:r>
          </w:p>
        </w:tc>
        <w:tc>
          <w:tcPr>
            <w:tcW w:w="1164" w:type="dxa"/>
            <w:tcBorders>
              <w:top w:val="single" w:color="auto" w:sz="4" w:space="0"/>
              <w:left w:val="single" w:color="auto" w:sz="4" w:space="0"/>
              <w:right w:val="single" w:color="auto" w:sz="4" w:space="0"/>
            </w:tcBorders>
            <w:vAlign w:val="center"/>
          </w:tcPr>
          <w:p>
            <w:pPr>
              <w:jc w:val="both"/>
              <w:rPr>
                <w:rFonts w:cs="仿宋" w:asciiTheme="minorEastAsia" w:hAnsiTheme="minorEastAsia" w:eastAsiaTheme="minorEastAsia"/>
                <w:sz w:val="24"/>
              </w:rPr>
            </w:pPr>
          </w:p>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16%</w:t>
            </w:r>
          </w:p>
          <w:p>
            <w:pPr>
              <w:jc w:val="center"/>
              <w:rPr>
                <w:rFonts w:cs="仿宋" w:asciiTheme="minorEastAsia" w:hAnsiTheme="minorEastAsia" w:eastAsiaTheme="minorEastAsia"/>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不含主材的税前总价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71" w:type="dxa"/>
            <w:vMerge w:val="continue"/>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 w:val="24"/>
              </w:rPr>
            </w:pP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单独电仪工程</w:t>
            </w:r>
          </w:p>
        </w:tc>
        <w:tc>
          <w:tcPr>
            <w:tcW w:w="1164" w:type="dxa"/>
            <w:tcBorders>
              <w:left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23%</w:t>
            </w:r>
          </w:p>
          <w:p>
            <w:pPr>
              <w:jc w:val="center"/>
              <w:rPr>
                <w:rFonts w:cs="仿宋" w:asciiTheme="minorEastAsia" w:hAnsiTheme="minorEastAsia" w:eastAsiaTheme="minorEastAsia"/>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不含主材的税前总价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71" w:type="dxa"/>
            <w:vMerge w:val="continue"/>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 w:val="24"/>
              </w:rPr>
            </w:pP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单独管道工程</w:t>
            </w:r>
          </w:p>
        </w:tc>
        <w:tc>
          <w:tcPr>
            <w:tcW w:w="1164" w:type="dxa"/>
            <w:tcBorders>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5%</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9%</w:t>
            </w:r>
          </w:p>
          <w:p>
            <w:pPr>
              <w:jc w:val="center"/>
              <w:rPr>
                <w:rFonts w:cs="仿宋" w:asciiTheme="minorEastAsia" w:hAnsiTheme="minorEastAsia" w:eastAsiaTheme="minorEastAsia"/>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不含主材的税前总价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4</w:t>
            </w:r>
          </w:p>
        </w:tc>
        <w:tc>
          <w:tcPr>
            <w:tcW w:w="2822"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园林绿化工程</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cs="仿宋" w:asciiTheme="minorEastAsia" w:hAnsiTheme="minorEastAsia" w:eastAsiaTheme="minorEastAsia"/>
                <w:sz w:val="24"/>
              </w:rPr>
              <w:t>8%</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14%</w:t>
            </w:r>
          </w:p>
          <w:p>
            <w:pPr>
              <w:jc w:val="center"/>
              <w:rPr>
                <w:rFonts w:cs="仿宋" w:asciiTheme="minorEastAsia" w:hAnsiTheme="minorEastAsia" w:eastAsiaTheme="minorEastAsia"/>
                <w:sz w:val="24"/>
              </w:rPr>
            </w:pPr>
          </w:p>
        </w:tc>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税前总价</w:t>
            </w:r>
          </w:p>
        </w:tc>
      </w:tr>
    </w:tbl>
    <w:p>
      <w:pPr>
        <w:pStyle w:val="2"/>
        <w:rPr>
          <w:rFonts w:cs="仿宋" w:asciiTheme="minorEastAsia" w:hAnsiTheme="minorEastAsia" w:eastAsiaTheme="minorEastAsia"/>
          <w:sz w:val="24"/>
        </w:rPr>
      </w:pPr>
      <w:r>
        <w:rPr>
          <w:rFonts w:hint="eastAsia" w:cs="仿宋" w:asciiTheme="minorEastAsia" w:hAnsiTheme="minorEastAsia" w:eastAsiaTheme="minorEastAsia"/>
          <w:sz w:val="24"/>
        </w:rPr>
        <w:t>本项目由于工程量具有不确定性，</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根据零星工程内容，先做预算，结算招标控制价应按</w:t>
      </w:r>
      <w:r>
        <w:rPr>
          <w:rFonts w:cs="仿宋" w:asciiTheme="minorEastAsia" w:hAnsiTheme="minorEastAsia" w:eastAsiaTheme="minorEastAsia"/>
          <w:sz w:val="24"/>
        </w:rPr>
        <w:t>2020年《湖南省建设工程计价办法》及2020年《湖南省建设工程消耗量标准》的规定编制，其工程造价原则上不得低于以下规定的下浮比例：</w:t>
      </w:r>
      <w:r>
        <w:rPr>
          <w:rFonts w:hint="eastAsia" w:cs="仿宋" w:asciiTheme="minorEastAsia" w:hAnsiTheme="minorEastAsia" w:eastAsiaTheme="minorEastAsia"/>
          <w:sz w:val="24"/>
        </w:rPr>
        <w:t>建筑工程下浮的比例不低于</w:t>
      </w:r>
      <w:r>
        <w:rPr>
          <w:rFonts w:cs="仿宋" w:asciiTheme="minorEastAsia" w:hAnsiTheme="minorEastAsia" w:eastAsiaTheme="minorEastAsia"/>
          <w:sz w:val="24"/>
        </w:rPr>
        <w:t>8%</w:t>
      </w:r>
      <w:r>
        <w:rPr>
          <w:rFonts w:hint="eastAsia" w:cs="仿宋" w:asciiTheme="minorEastAsia" w:hAnsiTheme="minorEastAsia" w:eastAsiaTheme="minorEastAsia"/>
          <w:sz w:val="24"/>
        </w:rPr>
        <w:t>；装饰工程下浮的比例不低于</w:t>
      </w:r>
      <w:r>
        <w:rPr>
          <w:rFonts w:cs="仿宋" w:asciiTheme="minorEastAsia" w:hAnsiTheme="minorEastAsia" w:eastAsiaTheme="minorEastAsia"/>
          <w:sz w:val="24"/>
        </w:rPr>
        <w:t>10%</w:t>
      </w:r>
      <w:r>
        <w:rPr>
          <w:rFonts w:hint="eastAsia" w:cs="仿宋" w:asciiTheme="minorEastAsia" w:hAnsiTheme="minorEastAsia" w:eastAsiaTheme="minorEastAsia"/>
          <w:sz w:val="24"/>
        </w:rPr>
        <w:t>；安装工程（不含主材）中的一般工程下浮的比例不低于</w:t>
      </w:r>
      <w:r>
        <w:rPr>
          <w:rFonts w:cs="仿宋" w:asciiTheme="minorEastAsia" w:hAnsiTheme="minorEastAsia" w:eastAsiaTheme="minorEastAsia"/>
          <w:sz w:val="24"/>
        </w:rPr>
        <w:t>16%</w:t>
      </w:r>
      <w:r>
        <w:rPr>
          <w:rFonts w:hint="eastAsia" w:cs="仿宋" w:asciiTheme="minorEastAsia" w:hAnsiTheme="minorEastAsia" w:eastAsiaTheme="minorEastAsia"/>
          <w:sz w:val="24"/>
        </w:rPr>
        <w:t>、单独管道工程下浮的比例不低于</w:t>
      </w:r>
      <w:r>
        <w:rPr>
          <w:rFonts w:cs="仿宋" w:asciiTheme="minorEastAsia" w:hAnsiTheme="minorEastAsia" w:eastAsiaTheme="minorEastAsia"/>
          <w:sz w:val="24"/>
        </w:rPr>
        <w:t>9%</w:t>
      </w:r>
      <w:r>
        <w:rPr>
          <w:rFonts w:hint="eastAsia" w:cs="仿宋" w:asciiTheme="minorEastAsia" w:hAnsiTheme="minorEastAsia" w:eastAsiaTheme="minorEastAsia"/>
          <w:sz w:val="24"/>
        </w:rPr>
        <w:t>、单独电仪工程下浮的比例不低于</w:t>
      </w:r>
      <w:r>
        <w:rPr>
          <w:rFonts w:cs="仿宋" w:asciiTheme="minorEastAsia" w:hAnsiTheme="minorEastAsia" w:eastAsiaTheme="minorEastAsia"/>
          <w:sz w:val="24"/>
        </w:rPr>
        <w:t>23%</w:t>
      </w:r>
      <w:r>
        <w:rPr>
          <w:rFonts w:hint="eastAsia" w:cs="仿宋" w:asciiTheme="minorEastAsia" w:hAnsiTheme="minorEastAsia" w:eastAsiaTheme="minorEastAsia"/>
          <w:sz w:val="24"/>
        </w:rPr>
        <w:t>；市政工程下浮的比例不低于</w:t>
      </w:r>
      <w:r>
        <w:rPr>
          <w:rFonts w:cs="仿宋" w:asciiTheme="minorEastAsia" w:hAnsiTheme="minorEastAsia" w:eastAsiaTheme="minorEastAsia"/>
          <w:sz w:val="24"/>
        </w:rPr>
        <w:t>13%</w:t>
      </w:r>
      <w:r>
        <w:rPr>
          <w:rFonts w:hint="eastAsia" w:cs="仿宋" w:asciiTheme="minorEastAsia" w:hAnsiTheme="minorEastAsia" w:eastAsiaTheme="minorEastAsia"/>
          <w:sz w:val="24"/>
        </w:rPr>
        <w:t>；园林绿化工程下浮的比例不低于</w:t>
      </w:r>
      <w:r>
        <w:rPr>
          <w:rFonts w:cs="仿宋" w:asciiTheme="minorEastAsia" w:hAnsiTheme="minorEastAsia" w:eastAsiaTheme="minorEastAsia"/>
          <w:sz w:val="24"/>
        </w:rPr>
        <w:t>14%</w:t>
      </w:r>
      <w:r>
        <w:rPr>
          <w:rFonts w:hint="eastAsia" w:cs="仿宋" w:asciiTheme="minorEastAsia" w:hAnsiTheme="minorEastAsia" w:eastAsiaTheme="minorEastAsia"/>
          <w:sz w:val="24"/>
        </w:rPr>
        <w:t>；下浮比例均为税前总价。按套相应工程</w:t>
      </w:r>
    </w:p>
    <w:p>
      <w:pPr>
        <w:pStyle w:val="2"/>
        <w:jc w:val="left"/>
        <w:rPr>
          <w:rFonts w:cs="仿宋" w:asciiTheme="minorEastAsia" w:hAnsiTheme="minorEastAsia" w:eastAsiaTheme="minorEastAsia"/>
          <w:sz w:val="24"/>
        </w:rPr>
      </w:pPr>
      <w:r>
        <w:rPr>
          <w:rFonts w:hint="eastAsia" w:cs="仿宋" w:asciiTheme="minorEastAsia" w:hAnsiTheme="minorEastAsia" w:eastAsiaTheme="minorEastAsia"/>
          <w:sz w:val="24"/>
        </w:rPr>
        <w:t>项目定额，在定额的基础上下浮，低于相应工程的下浮比例均为无效响应。</w:t>
      </w:r>
    </w:p>
    <w:p>
      <w:pPr>
        <w:numPr>
          <w:ilvl w:val="255"/>
          <w:numId w:val="0"/>
        </w:numPr>
        <w:rPr>
          <w:rFonts w:asciiTheme="minorEastAsia" w:hAnsiTheme="minorEastAsia" w:eastAsiaTheme="minorEastAsia" w:cstheme="minorEastAsia"/>
          <w:sz w:val="24"/>
        </w:rPr>
      </w:pPr>
      <w:r>
        <w:rPr>
          <w:rFonts w:hint="eastAsia" w:cs="仿宋" w:asciiTheme="minorEastAsia" w:hAnsiTheme="minorEastAsia" w:eastAsiaTheme="minorEastAsia"/>
          <w:sz w:val="24"/>
        </w:rPr>
        <w:t>本项目</w:t>
      </w:r>
      <w:r>
        <w:rPr>
          <w:rFonts w:hint="eastAsia" w:asciiTheme="minorEastAsia" w:hAnsiTheme="minorEastAsia" w:eastAsiaTheme="minorEastAsia" w:cstheme="minorEastAsia"/>
          <w:sz w:val="24"/>
        </w:rPr>
        <w:t>不作下浮的限额。</w:t>
      </w:r>
    </w:p>
    <w:p>
      <w:pPr>
        <w:pStyle w:val="2"/>
        <w:numPr>
          <w:ilvl w:val="0"/>
          <w:numId w:val="5"/>
        </w:num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零星维修项目中的安装工程总价小于</w:t>
      </w:r>
      <w:r>
        <w:rPr>
          <w:rFonts w:asciiTheme="minorEastAsia" w:hAnsiTheme="minorEastAsia" w:eastAsiaTheme="minorEastAsia" w:cstheme="minorEastAsia"/>
          <w:sz w:val="24"/>
        </w:rPr>
        <w:t>20000元或5000元以下小型安装项目（不含主材）可不作下浮。2、</w:t>
      </w:r>
      <w:r>
        <w:rPr>
          <w:rFonts w:hint="eastAsia" w:asciiTheme="minorEastAsia" w:hAnsiTheme="minorEastAsia" w:eastAsiaTheme="minorEastAsia" w:cstheme="minorEastAsia"/>
          <w:sz w:val="24"/>
        </w:rPr>
        <w:t>零星维修项目中建筑工程总造价小于</w:t>
      </w:r>
      <w:r>
        <w:rPr>
          <w:rFonts w:asciiTheme="minorEastAsia" w:hAnsiTheme="minorEastAsia" w:eastAsiaTheme="minorEastAsia" w:cstheme="minorEastAsia"/>
          <w:sz w:val="24"/>
        </w:rPr>
        <w:t>5000元的工程可不作下浮，5000元以上均执行第一条中下浮比例。3、</w:t>
      </w:r>
      <w:r>
        <w:rPr>
          <w:rFonts w:hint="eastAsia" w:asciiTheme="minorEastAsia" w:hAnsiTheme="minorEastAsia" w:eastAsiaTheme="minorEastAsia" w:cstheme="minorEastAsia"/>
          <w:sz w:val="24"/>
        </w:rPr>
        <w:t>零星维修项目中拆除工程总造价在</w:t>
      </w:r>
      <w:r>
        <w:rPr>
          <w:rFonts w:asciiTheme="minorEastAsia" w:hAnsiTheme="minorEastAsia" w:eastAsiaTheme="minorEastAsia" w:cstheme="minorEastAsia"/>
          <w:sz w:val="24"/>
        </w:rPr>
        <w:t>10000元以下用2005年《湖南省房屋修缮工程计价定额》不作下浮。</w:t>
      </w:r>
      <w:r>
        <w:rPr>
          <w:rFonts w:cs="仿宋" w:asciiTheme="minorEastAsia" w:hAnsiTheme="minorEastAsia" w:eastAsiaTheme="minorEastAsia"/>
          <w:sz w:val="24"/>
        </w:rPr>
        <w:t xml:space="preserve">  </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说明：计算办法，综合下浮比例等于权重乘相应下浮比例之和（</w:t>
      </w:r>
      <w:r>
        <w:rPr>
          <w:rFonts w:cs="仿宋" w:asciiTheme="minorEastAsia" w:hAnsiTheme="minorEastAsia" w:eastAsiaTheme="minorEastAsia"/>
          <w:sz w:val="24"/>
        </w:rPr>
        <w:t>1-4</w:t>
      </w:r>
      <w:r>
        <w:rPr>
          <w:rFonts w:hint="eastAsia" w:cs="仿宋" w:asciiTheme="minorEastAsia" w:hAnsiTheme="minorEastAsia" w:eastAsiaTheme="minorEastAsia"/>
          <w:sz w:val="24"/>
        </w:rPr>
        <w:t>项），优先考虑综合下浮比例最大的报价单位。</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rPr>
        <w:t>六、资格审查资料（A）</w:t>
      </w:r>
    </w:p>
    <w:p>
      <w:pPr>
        <w:numPr>
          <w:ilvl w:val="0"/>
          <w:numId w:val="6"/>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numPr>
          <w:ilvl w:val="0"/>
          <w:numId w:val="7"/>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numPr>
          <w:ilvl w:val="0"/>
          <w:numId w:val="7"/>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近年的类似项目情况表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是否竣工</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p>
    <w:p>
      <w:pPr>
        <w:numPr>
          <w:ilvl w:val="0"/>
          <w:numId w:val="7"/>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拟委任的主要人员汇总表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7"/>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7"/>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p>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7"/>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7"/>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ind w:firstLine="720" w:firstLineChars="200"/>
        <w:jc w:val="center"/>
        <w:rPr>
          <w:rFonts w:ascii="黑体" w:hAnsi="黑体" w:eastAsia="黑体" w:cs="仿宋"/>
          <w:sz w:val="36"/>
          <w:szCs w:val="36"/>
        </w:rPr>
      </w:pPr>
      <w:r>
        <w:rPr>
          <w:rFonts w:hint="eastAsia" w:ascii="黑体" w:hAnsi="黑体" w:eastAsia="黑体" w:cs="仿宋"/>
          <w:sz w:val="36"/>
          <w:szCs w:val="36"/>
        </w:rPr>
        <w:t>七、响应方案(A)</w:t>
      </w:r>
    </w:p>
    <w:p>
      <w:pPr>
        <w:adjustRightInd w:val="0"/>
        <w:snapToGrid w:val="0"/>
        <w:spacing w:line="600" w:lineRule="exact"/>
        <w:ind w:firstLine="480" w:firstLineChars="200"/>
        <w:jc w:val="both"/>
        <w:rPr>
          <w:rFonts w:cs="仿宋" w:asciiTheme="minorEastAsia" w:hAnsiTheme="minorEastAsia" w:eastAsiaTheme="minorEastAsia"/>
          <w:sz w:val="24"/>
        </w:rPr>
      </w:pP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(一)施工组织设计</w:t>
      </w: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(二)拟分包项目情况表</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分包供应商名称</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营业执照号码</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资质等级</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拟分包的工程项目</w:t>
            </w:r>
          </w:p>
        </w:tc>
        <w:tc>
          <w:tcPr>
            <w:tcW w:w="272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主要内容</w:t>
            </w: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预计造价（万元）</w:t>
            </w:r>
          </w:p>
        </w:tc>
        <w:tc>
          <w:tcPr>
            <w:tcW w:w="286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restart"/>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bl>
    <w:p>
      <w:pPr>
        <w:adjustRightInd w:val="0"/>
        <w:snapToGrid w:val="0"/>
        <w:spacing w:line="600" w:lineRule="exact"/>
        <w:ind w:firstLine="480" w:firstLineChars="200"/>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adjustRightInd w:val="0"/>
        <w:snapToGrid w:val="0"/>
        <w:spacing w:line="600" w:lineRule="exact"/>
        <w:jc w:val="center"/>
        <w:rPr>
          <w:rFonts w:cs="仿宋" w:asciiTheme="minorEastAsia" w:hAnsiTheme="minorEastAsia" w:eastAsiaTheme="minorEastAsia"/>
          <w:sz w:val="24"/>
        </w:rPr>
      </w:pPr>
      <w:r>
        <w:rPr>
          <w:rFonts w:hint="eastAsia" w:ascii="黑体" w:hAnsi="黑体" w:eastAsia="黑体" w:cs="仿宋"/>
          <w:sz w:val="36"/>
          <w:szCs w:val="36"/>
        </w:rPr>
        <w:t>八、其他资料</w:t>
      </w:r>
    </w:p>
    <w:p>
      <w:pPr>
        <w:adjustRightInd w:val="0"/>
        <w:snapToGrid w:val="0"/>
        <w:spacing w:line="600" w:lineRule="exact"/>
        <w:jc w:val="both"/>
        <w:rPr>
          <w:rFonts w:asciiTheme="minorEastAsia" w:hAnsiTheme="minorEastAsia" w:eastAsiaTheme="minorEastAsia"/>
          <w:sz w:val="24"/>
        </w:rPr>
      </w:pPr>
      <w:r>
        <w:rPr>
          <w:rFonts w:hint="eastAsia" w:cs="仿宋" w:asciiTheme="minorEastAsia" w:hAnsiTheme="minorEastAsia" w:eastAsiaTheme="minorEastAsia"/>
          <w:sz w:val="24"/>
        </w:rPr>
        <w:t>供应商需提交的其他资料。</w:t>
      </w: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1"/>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6"/>
        <w:spacing w:line="280" w:lineRule="atLeast"/>
        <w:ind w:left="180" w:hanging="180" w:hangingChars="100"/>
      </w:pPr>
      <w:r>
        <w:rPr>
          <w:rStyle w:val="43"/>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26"/>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26"/>
        <w:rPr>
          <w:sz w:val="24"/>
          <w:szCs w:val="24"/>
        </w:rPr>
      </w:pPr>
      <w:r>
        <w:rPr>
          <w:rStyle w:val="43"/>
          <w:sz w:val="24"/>
          <w:szCs w:val="24"/>
        </w:rPr>
        <w:footnoteRef/>
      </w:r>
      <w:r>
        <w:rPr>
          <w:rStyle w:val="43"/>
          <w:sz w:val="24"/>
          <w:szCs w:val="24"/>
        </w:rPr>
        <w:t>4</w:t>
      </w:r>
      <w:r>
        <w:rPr>
          <w:rFonts w:hint="eastAsia"/>
          <w:sz w:val="24"/>
          <w:szCs w:val="24"/>
        </w:rPr>
        <w:t>仅适用于询价采购和竞争性谈判。</w:t>
      </w:r>
    </w:p>
  </w:footnote>
  <w:footnote w:id="2">
    <w:p>
      <w:pPr>
        <w:pStyle w:val="26"/>
        <w:rPr>
          <w:sz w:val="24"/>
          <w:szCs w:val="24"/>
        </w:rPr>
      </w:pPr>
      <w:r>
        <w:rPr>
          <w:rStyle w:val="43"/>
          <w:sz w:val="24"/>
          <w:szCs w:val="24"/>
        </w:rPr>
        <w:footnoteRef/>
      </w:r>
      <w:r>
        <w:rPr>
          <w:rStyle w:val="43"/>
          <w:sz w:val="24"/>
          <w:szCs w:val="24"/>
        </w:rPr>
        <w:t>4</w:t>
      </w:r>
      <w:r>
        <w:rPr>
          <w:rFonts w:hint="eastAsia"/>
          <w:sz w:val="24"/>
          <w:szCs w:val="24"/>
        </w:rPr>
        <w:t>仅适用于询价采购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B1655"/>
    <w:multiLevelType w:val="singleLevel"/>
    <w:tmpl w:val="A47B1655"/>
    <w:lvl w:ilvl="0" w:tentative="0">
      <w:start w:val="1"/>
      <w:numFmt w:val="chineseCounting"/>
      <w:suff w:val="nothing"/>
      <w:lvlText w:val="%1、"/>
      <w:lvlJc w:val="left"/>
      <w:rPr>
        <w:rFonts w:hint="eastAsia"/>
      </w:rPr>
    </w:lvl>
  </w:abstractNum>
  <w:abstractNum w:abstractNumId="1">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3D272991"/>
    <w:multiLevelType w:val="singleLevel"/>
    <w:tmpl w:val="3D272991"/>
    <w:lvl w:ilvl="0" w:tentative="0">
      <w:start w:val="2"/>
      <w:numFmt w:val="chineseCounting"/>
      <w:suff w:val="nothing"/>
      <w:lvlText w:val="（%1）"/>
      <w:lvlJc w:val="left"/>
      <w:rPr>
        <w:rFonts w:hint="eastAsia"/>
      </w:rPr>
    </w:lvl>
  </w:abstractNum>
  <w:abstractNum w:abstractNumId="5">
    <w:nsid w:val="4A42041F"/>
    <w:multiLevelType w:val="multilevel"/>
    <w:tmpl w:val="4A42041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123C9"/>
    <w:rsid w:val="00024612"/>
    <w:rsid w:val="0002705A"/>
    <w:rsid w:val="00044051"/>
    <w:rsid w:val="00045372"/>
    <w:rsid w:val="00045996"/>
    <w:rsid w:val="00053E1B"/>
    <w:rsid w:val="000579A0"/>
    <w:rsid w:val="00077817"/>
    <w:rsid w:val="00077A48"/>
    <w:rsid w:val="00080B47"/>
    <w:rsid w:val="000A0047"/>
    <w:rsid w:val="000A7926"/>
    <w:rsid w:val="000B4936"/>
    <w:rsid w:val="000C4E44"/>
    <w:rsid w:val="000C5689"/>
    <w:rsid w:val="000D3A07"/>
    <w:rsid w:val="000D6F26"/>
    <w:rsid w:val="000E1B9C"/>
    <w:rsid w:val="000E5829"/>
    <w:rsid w:val="000E60E4"/>
    <w:rsid w:val="000F2F60"/>
    <w:rsid w:val="000F3D59"/>
    <w:rsid w:val="000F3DBA"/>
    <w:rsid w:val="000F65C5"/>
    <w:rsid w:val="00101210"/>
    <w:rsid w:val="00124EA9"/>
    <w:rsid w:val="00133753"/>
    <w:rsid w:val="00141200"/>
    <w:rsid w:val="001421A1"/>
    <w:rsid w:val="0014231F"/>
    <w:rsid w:val="001429F5"/>
    <w:rsid w:val="00144A0B"/>
    <w:rsid w:val="00155F5F"/>
    <w:rsid w:val="0016577A"/>
    <w:rsid w:val="00172E5F"/>
    <w:rsid w:val="0017412D"/>
    <w:rsid w:val="00175066"/>
    <w:rsid w:val="00186D78"/>
    <w:rsid w:val="00191006"/>
    <w:rsid w:val="001A1831"/>
    <w:rsid w:val="001A77A4"/>
    <w:rsid w:val="001B2C90"/>
    <w:rsid w:val="001B336A"/>
    <w:rsid w:val="001D03F9"/>
    <w:rsid w:val="001F28D4"/>
    <w:rsid w:val="001F3700"/>
    <w:rsid w:val="001F55EE"/>
    <w:rsid w:val="00200C8B"/>
    <w:rsid w:val="0020642B"/>
    <w:rsid w:val="00210B19"/>
    <w:rsid w:val="0021579E"/>
    <w:rsid w:val="0021628B"/>
    <w:rsid w:val="00240105"/>
    <w:rsid w:val="00244E9B"/>
    <w:rsid w:val="0026094B"/>
    <w:rsid w:val="00281C9C"/>
    <w:rsid w:val="002832EF"/>
    <w:rsid w:val="0028390B"/>
    <w:rsid w:val="00292A27"/>
    <w:rsid w:val="002A13A6"/>
    <w:rsid w:val="002A3646"/>
    <w:rsid w:val="002A3D07"/>
    <w:rsid w:val="002A69B8"/>
    <w:rsid w:val="002B225E"/>
    <w:rsid w:val="002B64AE"/>
    <w:rsid w:val="002B7B11"/>
    <w:rsid w:val="002D3DCC"/>
    <w:rsid w:val="002D460A"/>
    <w:rsid w:val="002D5C80"/>
    <w:rsid w:val="002E1D5F"/>
    <w:rsid w:val="002F4C12"/>
    <w:rsid w:val="00307BE7"/>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B1FCD"/>
    <w:rsid w:val="003C0E8A"/>
    <w:rsid w:val="003C5551"/>
    <w:rsid w:val="003C71AC"/>
    <w:rsid w:val="003E7A6F"/>
    <w:rsid w:val="003F6EB3"/>
    <w:rsid w:val="00401BAD"/>
    <w:rsid w:val="004172A6"/>
    <w:rsid w:val="004179C4"/>
    <w:rsid w:val="004212E9"/>
    <w:rsid w:val="00436A02"/>
    <w:rsid w:val="00445025"/>
    <w:rsid w:val="004477E9"/>
    <w:rsid w:val="004528FC"/>
    <w:rsid w:val="004529AE"/>
    <w:rsid w:val="004613EE"/>
    <w:rsid w:val="00461465"/>
    <w:rsid w:val="00464986"/>
    <w:rsid w:val="00470510"/>
    <w:rsid w:val="00474349"/>
    <w:rsid w:val="00477005"/>
    <w:rsid w:val="00480B56"/>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33695"/>
    <w:rsid w:val="005458F8"/>
    <w:rsid w:val="0054718F"/>
    <w:rsid w:val="0055203E"/>
    <w:rsid w:val="00570017"/>
    <w:rsid w:val="0057297F"/>
    <w:rsid w:val="0057563C"/>
    <w:rsid w:val="00580488"/>
    <w:rsid w:val="0058176A"/>
    <w:rsid w:val="005841E9"/>
    <w:rsid w:val="005864F4"/>
    <w:rsid w:val="00590382"/>
    <w:rsid w:val="005932FF"/>
    <w:rsid w:val="005A24DF"/>
    <w:rsid w:val="005A2A1F"/>
    <w:rsid w:val="005A70E0"/>
    <w:rsid w:val="005B0692"/>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3915"/>
    <w:rsid w:val="00665B3C"/>
    <w:rsid w:val="00673382"/>
    <w:rsid w:val="00676BDB"/>
    <w:rsid w:val="00680694"/>
    <w:rsid w:val="00686532"/>
    <w:rsid w:val="00690B7C"/>
    <w:rsid w:val="006A12CE"/>
    <w:rsid w:val="006A13CC"/>
    <w:rsid w:val="006A499F"/>
    <w:rsid w:val="006B1EC2"/>
    <w:rsid w:val="006B3F31"/>
    <w:rsid w:val="006C735F"/>
    <w:rsid w:val="006D3E72"/>
    <w:rsid w:val="006E037A"/>
    <w:rsid w:val="006E0909"/>
    <w:rsid w:val="006E37CB"/>
    <w:rsid w:val="006E4993"/>
    <w:rsid w:val="006E5C39"/>
    <w:rsid w:val="00702A69"/>
    <w:rsid w:val="00723094"/>
    <w:rsid w:val="007265BE"/>
    <w:rsid w:val="00734D60"/>
    <w:rsid w:val="00736FF8"/>
    <w:rsid w:val="0075485E"/>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3BDE"/>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E4CDA"/>
    <w:rsid w:val="008F6B51"/>
    <w:rsid w:val="0090589A"/>
    <w:rsid w:val="009315C2"/>
    <w:rsid w:val="00935E41"/>
    <w:rsid w:val="00935ED2"/>
    <w:rsid w:val="00954F74"/>
    <w:rsid w:val="00955643"/>
    <w:rsid w:val="009573B9"/>
    <w:rsid w:val="00965E94"/>
    <w:rsid w:val="00977B5E"/>
    <w:rsid w:val="00983877"/>
    <w:rsid w:val="00994E95"/>
    <w:rsid w:val="009962B6"/>
    <w:rsid w:val="009A1BD2"/>
    <w:rsid w:val="009A24B1"/>
    <w:rsid w:val="009B084E"/>
    <w:rsid w:val="009B5405"/>
    <w:rsid w:val="009B626F"/>
    <w:rsid w:val="009B66AE"/>
    <w:rsid w:val="009F1222"/>
    <w:rsid w:val="009F6B8E"/>
    <w:rsid w:val="00A02DDD"/>
    <w:rsid w:val="00A02F21"/>
    <w:rsid w:val="00A12741"/>
    <w:rsid w:val="00A15750"/>
    <w:rsid w:val="00A204C7"/>
    <w:rsid w:val="00A2148B"/>
    <w:rsid w:val="00A2462C"/>
    <w:rsid w:val="00A27204"/>
    <w:rsid w:val="00A33D67"/>
    <w:rsid w:val="00A34564"/>
    <w:rsid w:val="00A3767B"/>
    <w:rsid w:val="00A40338"/>
    <w:rsid w:val="00A41388"/>
    <w:rsid w:val="00A4282B"/>
    <w:rsid w:val="00A477C0"/>
    <w:rsid w:val="00A507DC"/>
    <w:rsid w:val="00A54E02"/>
    <w:rsid w:val="00A67EC8"/>
    <w:rsid w:val="00A81F80"/>
    <w:rsid w:val="00A866AA"/>
    <w:rsid w:val="00A868EF"/>
    <w:rsid w:val="00A906E2"/>
    <w:rsid w:val="00A94098"/>
    <w:rsid w:val="00AA0F15"/>
    <w:rsid w:val="00AD2A48"/>
    <w:rsid w:val="00AD2C8A"/>
    <w:rsid w:val="00AD6819"/>
    <w:rsid w:val="00AE15F3"/>
    <w:rsid w:val="00AF4CC2"/>
    <w:rsid w:val="00B01BCC"/>
    <w:rsid w:val="00B230DB"/>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060F5"/>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05F2"/>
    <w:rsid w:val="00CF36EE"/>
    <w:rsid w:val="00D1160E"/>
    <w:rsid w:val="00D1328D"/>
    <w:rsid w:val="00D26E74"/>
    <w:rsid w:val="00D27461"/>
    <w:rsid w:val="00D30D7D"/>
    <w:rsid w:val="00D32AD3"/>
    <w:rsid w:val="00D35B47"/>
    <w:rsid w:val="00D40FF5"/>
    <w:rsid w:val="00D44DE9"/>
    <w:rsid w:val="00D4514A"/>
    <w:rsid w:val="00D52D42"/>
    <w:rsid w:val="00D5313A"/>
    <w:rsid w:val="00D56D4E"/>
    <w:rsid w:val="00D56F16"/>
    <w:rsid w:val="00D74ED9"/>
    <w:rsid w:val="00D75980"/>
    <w:rsid w:val="00D812B2"/>
    <w:rsid w:val="00D841AD"/>
    <w:rsid w:val="00D86B1B"/>
    <w:rsid w:val="00D90F37"/>
    <w:rsid w:val="00D92EB2"/>
    <w:rsid w:val="00D962D6"/>
    <w:rsid w:val="00DA2E85"/>
    <w:rsid w:val="00DA3A70"/>
    <w:rsid w:val="00DA6572"/>
    <w:rsid w:val="00DB2007"/>
    <w:rsid w:val="00DB6C85"/>
    <w:rsid w:val="00DC0B1B"/>
    <w:rsid w:val="00DC3790"/>
    <w:rsid w:val="00DC758D"/>
    <w:rsid w:val="00DD03AC"/>
    <w:rsid w:val="00DD081E"/>
    <w:rsid w:val="00DD63AD"/>
    <w:rsid w:val="00DD7197"/>
    <w:rsid w:val="00DF2B35"/>
    <w:rsid w:val="00DF3C07"/>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95FD2"/>
    <w:rsid w:val="00EA3253"/>
    <w:rsid w:val="00EB3032"/>
    <w:rsid w:val="00EB36F8"/>
    <w:rsid w:val="00EB3D32"/>
    <w:rsid w:val="00EC1A38"/>
    <w:rsid w:val="00EC394D"/>
    <w:rsid w:val="00EC5AF3"/>
    <w:rsid w:val="00EE3DE9"/>
    <w:rsid w:val="00EE75AA"/>
    <w:rsid w:val="00F014DF"/>
    <w:rsid w:val="00F067FF"/>
    <w:rsid w:val="00F138CF"/>
    <w:rsid w:val="00F1682B"/>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C4C2B"/>
    <w:rsid w:val="00FD0360"/>
    <w:rsid w:val="00FD4D0F"/>
    <w:rsid w:val="00FD78D6"/>
    <w:rsid w:val="00FE1EFE"/>
    <w:rsid w:val="00FE3439"/>
    <w:rsid w:val="00FE5003"/>
    <w:rsid w:val="00FF43B1"/>
    <w:rsid w:val="01AC7279"/>
    <w:rsid w:val="03372698"/>
    <w:rsid w:val="03DB75AD"/>
    <w:rsid w:val="05EF1FFE"/>
    <w:rsid w:val="06E77E02"/>
    <w:rsid w:val="071C2DD7"/>
    <w:rsid w:val="08901841"/>
    <w:rsid w:val="09B0595B"/>
    <w:rsid w:val="09C6304D"/>
    <w:rsid w:val="0A01064E"/>
    <w:rsid w:val="0AED2D32"/>
    <w:rsid w:val="0C905B62"/>
    <w:rsid w:val="0DB759FC"/>
    <w:rsid w:val="0E891CDE"/>
    <w:rsid w:val="119E5E08"/>
    <w:rsid w:val="12E82B33"/>
    <w:rsid w:val="16314BAD"/>
    <w:rsid w:val="17594306"/>
    <w:rsid w:val="17D539F2"/>
    <w:rsid w:val="18680FD1"/>
    <w:rsid w:val="19097045"/>
    <w:rsid w:val="1B3147FE"/>
    <w:rsid w:val="1E1F3B60"/>
    <w:rsid w:val="1F2E0BFF"/>
    <w:rsid w:val="1FBF76D7"/>
    <w:rsid w:val="212E078A"/>
    <w:rsid w:val="21542A8B"/>
    <w:rsid w:val="23AE30CF"/>
    <w:rsid w:val="241B1A48"/>
    <w:rsid w:val="264E6DB9"/>
    <w:rsid w:val="26A05072"/>
    <w:rsid w:val="2872440F"/>
    <w:rsid w:val="2BF10955"/>
    <w:rsid w:val="2E41641E"/>
    <w:rsid w:val="2E944985"/>
    <w:rsid w:val="2F400015"/>
    <w:rsid w:val="2FD26F55"/>
    <w:rsid w:val="30096558"/>
    <w:rsid w:val="30DE2DAE"/>
    <w:rsid w:val="32756EB2"/>
    <w:rsid w:val="339248A7"/>
    <w:rsid w:val="34874156"/>
    <w:rsid w:val="35032B89"/>
    <w:rsid w:val="379B30ED"/>
    <w:rsid w:val="37E36BED"/>
    <w:rsid w:val="391A6A63"/>
    <w:rsid w:val="3B2B40CB"/>
    <w:rsid w:val="3FB93C81"/>
    <w:rsid w:val="431F23EF"/>
    <w:rsid w:val="441C3C7A"/>
    <w:rsid w:val="44D14A1F"/>
    <w:rsid w:val="4503099B"/>
    <w:rsid w:val="453D7EFA"/>
    <w:rsid w:val="46480423"/>
    <w:rsid w:val="46C44BD5"/>
    <w:rsid w:val="46FD0ED7"/>
    <w:rsid w:val="47D44A52"/>
    <w:rsid w:val="4BB73BE9"/>
    <w:rsid w:val="4BEB2031"/>
    <w:rsid w:val="4E5F0909"/>
    <w:rsid w:val="4E6200BB"/>
    <w:rsid w:val="4E761434"/>
    <w:rsid w:val="4FDA304E"/>
    <w:rsid w:val="50203001"/>
    <w:rsid w:val="56820D5B"/>
    <w:rsid w:val="57096D7C"/>
    <w:rsid w:val="58862D14"/>
    <w:rsid w:val="5C4C1A8F"/>
    <w:rsid w:val="5E007081"/>
    <w:rsid w:val="5FC5301A"/>
    <w:rsid w:val="603D69A1"/>
    <w:rsid w:val="60762AFA"/>
    <w:rsid w:val="62525166"/>
    <w:rsid w:val="63310F09"/>
    <w:rsid w:val="63AB0733"/>
    <w:rsid w:val="63B84F56"/>
    <w:rsid w:val="663E10C6"/>
    <w:rsid w:val="66A9608D"/>
    <w:rsid w:val="6744031B"/>
    <w:rsid w:val="67DB2C51"/>
    <w:rsid w:val="68562B5B"/>
    <w:rsid w:val="686B311E"/>
    <w:rsid w:val="6B533C17"/>
    <w:rsid w:val="6F843AFE"/>
    <w:rsid w:val="6FD45398"/>
    <w:rsid w:val="709952E3"/>
    <w:rsid w:val="71345C2B"/>
    <w:rsid w:val="71DE15A6"/>
    <w:rsid w:val="73BC5AD9"/>
    <w:rsid w:val="744D64FE"/>
    <w:rsid w:val="764D1C01"/>
    <w:rsid w:val="7AE40297"/>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5"/>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link w:val="180"/>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8"/>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65"/>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2"/>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73"/>
    <w:semiHidden/>
    <w:unhideWhenUsed/>
    <w:qFormat/>
    <w:uiPriority w:val="99"/>
    <w:pPr>
      <w:spacing w:after="120"/>
    </w:pPr>
    <w:rPr>
      <w:sz w:val="16"/>
      <w:szCs w:val="16"/>
    </w:rPr>
  </w:style>
  <w:style w:type="paragraph" w:styleId="14">
    <w:name w:val="index 4"/>
    <w:basedOn w:val="1"/>
    <w:next w:val="1"/>
    <w:qFormat/>
    <w:uiPriority w:val="0"/>
    <w:pPr>
      <w:ind w:left="840" w:hanging="210"/>
    </w:pPr>
    <w:rPr>
      <w:rFonts w:ascii="Calibri" w:hAnsi="Calibri"/>
      <w:sz w:val="20"/>
      <w:szCs w:val="20"/>
    </w:rPr>
  </w:style>
  <w:style w:type="paragraph" w:styleId="15">
    <w:name w:val="Plain Text"/>
    <w:basedOn w:val="1"/>
    <w:link w:val="176"/>
    <w:unhideWhenUsed/>
    <w:qFormat/>
    <w:uiPriority w:val="99"/>
    <w:pPr>
      <w:widowControl w:val="0"/>
      <w:spacing w:line="240" w:lineRule="auto"/>
      <w:jc w:val="both"/>
    </w:pPr>
    <w:rPr>
      <w:rFonts w:ascii="宋体" w:hAnsi="Courier New" w:cs="Courier New"/>
      <w:szCs w:val="21"/>
    </w:rPr>
  </w:style>
  <w:style w:type="paragraph" w:styleId="16">
    <w:name w:val="index 3"/>
    <w:basedOn w:val="1"/>
    <w:next w:val="1"/>
    <w:qFormat/>
    <w:uiPriority w:val="0"/>
    <w:pPr>
      <w:ind w:left="630" w:hanging="210"/>
    </w:pPr>
    <w:rPr>
      <w:rFonts w:ascii="Calibri" w:hAnsi="Calibri"/>
      <w:sz w:val="20"/>
      <w:szCs w:val="20"/>
    </w:rPr>
  </w:style>
  <w:style w:type="paragraph" w:styleId="17">
    <w:name w:val="Date"/>
    <w:basedOn w:val="1"/>
    <w:next w:val="1"/>
    <w:link w:val="164"/>
    <w:qFormat/>
    <w:uiPriority w:val="99"/>
    <w:pPr>
      <w:ind w:left="100" w:leftChars="2500"/>
    </w:pPr>
    <w:rPr>
      <w:rFonts w:asciiTheme="minorHAnsi" w:hAnsiTheme="minorHAnsi" w:eastAsiaTheme="minorEastAsia" w:cstheme="minorBidi"/>
    </w:rPr>
  </w:style>
  <w:style w:type="paragraph" w:styleId="18">
    <w:name w:val="Body Text Indent 2"/>
    <w:basedOn w:val="1"/>
    <w:link w:val="154"/>
    <w:qFormat/>
    <w:uiPriority w:val="99"/>
    <w:pPr>
      <w:spacing w:after="120" w:line="480" w:lineRule="auto"/>
      <w:ind w:left="420" w:leftChars="200"/>
    </w:pPr>
    <w:rPr>
      <w:rFonts w:asciiTheme="minorHAnsi" w:hAnsiTheme="minorHAnsi" w:eastAsiaTheme="minorEastAsia" w:cstheme="minorBidi"/>
    </w:rPr>
  </w:style>
  <w:style w:type="paragraph" w:styleId="19">
    <w:name w:val="endnote text"/>
    <w:basedOn w:val="1"/>
    <w:link w:val="171"/>
    <w:semiHidden/>
    <w:qFormat/>
    <w:uiPriority w:val="0"/>
    <w:pPr>
      <w:snapToGrid w:val="0"/>
    </w:pPr>
    <w:rPr>
      <w:rFonts w:asciiTheme="minorHAnsi" w:hAnsiTheme="minorHAnsi" w:eastAsiaTheme="minorEastAsia" w:cstheme="minorBidi"/>
    </w:rPr>
  </w:style>
  <w:style w:type="paragraph" w:styleId="20">
    <w:name w:val="Balloon Text"/>
    <w:basedOn w:val="1"/>
    <w:link w:val="140"/>
    <w:qFormat/>
    <w:uiPriority w:val="99"/>
    <w:rPr>
      <w:rFonts w:asciiTheme="minorHAnsi" w:hAnsiTheme="minorHAnsi" w:eastAsiaTheme="minorEastAsia" w:cstheme="minorBidi"/>
      <w:sz w:val="18"/>
      <w:szCs w:val="18"/>
    </w:rPr>
  </w:style>
  <w:style w:type="paragraph" w:styleId="21">
    <w:name w:val="footer"/>
    <w:basedOn w:val="1"/>
    <w:link w:val="161"/>
    <w:qFormat/>
    <w:uiPriority w:val="99"/>
    <w:pPr>
      <w:snapToGrid w:val="0"/>
      <w:ind w:right="210" w:rightChars="100"/>
      <w:jc w:val="right"/>
    </w:pPr>
    <w:rPr>
      <w:rFonts w:asciiTheme="minorHAnsi" w:hAnsiTheme="minorHAnsi" w:eastAsiaTheme="minorEastAsia" w:cstheme="minorBidi"/>
      <w:sz w:val="18"/>
      <w:szCs w:val="18"/>
    </w:rPr>
  </w:style>
  <w:style w:type="paragraph" w:styleId="22">
    <w:name w:val="header"/>
    <w:basedOn w:val="1"/>
    <w:link w:val="143"/>
    <w:qFormat/>
    <w:uiPriority w:val="99"/>
    <w:pPr>
      <w:snapToGrid w:val="0"/>
    </w:pPr>
    <w:rPr>
      <w:rFonts w:asciiTheme="minorHAnsi" w:hAnsiTheme="minorHAnsi" w:eastAsiaTheme="minorEastAsia" w:cstheme="minorBidi"/>
      <w:sz w:val="18"/>
      <w:szCs w:val="18"/>
    </w:rPr>
  </w:style>
  <w:style w:type="paragraph" w:styleId="23">
    <w:name w:val="toc 1"/>
    <w:basedOn w:val="1"/>
    <w:next w:val="1"/>
    <w:semiHidden/>
    <w:qFormat/>
    <w:uiPriority w:val="0"/>
    <w:pPr>
      <w:tabs>
        <w:tab w:val="right" w:leader="dot" w:pos="9242"/>
      </w:tabs>
      <w:spacing w:beforeLines="25" w:afterLines="25"/>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1"/>
    <w:unhideWhenUsed/>
    <w:qFormat/>
    <w:uiPriority w:val="0"/>
  </w:style>
  <w:style w:type="paragraph" w:styleId="26">
    <w:name w:val="footnote text"/>
    <w:basedOn w:val="1"/>
    <w:link w:val="150"/>
    <w:qFormat/>
    <w:uiPriority w:val="0"/>
    <w:pPr>
      <w:tabs>
        <w:tab w:val="left" w:pos="0"/>
      </w:tabs>
      <w:snapToGrid w:val="0"/>
      <w:ind w:left="720" w:hanging="357"/>
    </w:pPr>
    <w:rPr>
      <w:rFonts w:ascii="宋体" w:hAnsiTheme="minorHAnsi" w:eastAsiaTheme="minorEastAsia" w:cstheme="minorBidi"/>
      <w:sz w:val="18"/>
      <w:szCs w:val="18"/>
    </w:rPr>
  </w:style>
  <w:style w:type="paragraph" w:styleId="27">
    <w:name w:val="index 7"/>
    <w:basedOn w:val="1"/>
    <w:next w:val="1"/>
    <w:qFormat/>
    <w:uiPriority w:val="0"/>
    <w:pPr>
      <w:ind w:left="1470" w:hanging="210"/>
    </w:pPr>
    <w:rPr>
      <w:rFonts w:ascii="Calibri" w:hAnsi="Calibri"/>
      <w:sz w:val="20"/>
      <w:szCs w:val="20"/>
    </w:rPr>
  </w:style>
  <w:style w:type="paragraph" w:styleId="28">
    <w:name w:val="index 9"/>
    <w:basedOn w:val="1"/>
    <w:next w:val="1"/>
    <w:qFormat/>
    <w:uiPriority w:val="0"/>
    <w:pPr>
      <w:ind w:left="1890" w:hanging="210"/>
    </w:pPr>
    <w:rPr>
      <w:rFonts w:ascii="Calibri" w:hAnsi="Calibri"/>
      <w:sz w:val="20"/>
      <w:szCs w:val="20"/>
    </w:rPr>
  </w:style>
  <w:style w:type="paragraph" w:styleId="2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0">
    <w:name w:val="HTML Preformatted"/>
    <w:basedOn w:val="1"/>
    <w:link w:val="148"/>
    <w:qFormat/>
    <w:uiPriority w:val="0"/>
    <w:rPr>
      <w:rFonts w:ascii="Courier New" w:hAnsi="Courier New" w:cs="Courier New" w:eastAsiaTheme="minorEastAsia"/>
      <w:szCs w:val="22"/>
    </w:rPr>
  </w:style>
  <w:style w:type="paragraph" w:styleId="31">
    <w:name w:val="Normal (Web)"/>
    <w:basedOn w:val="1"/>
    <w:unhideWhenUsed/>
    <w:qFormat/>
    <w:uiPriority w:val="99"/>
    <w:pPr>
      <w:spacing w:before="100" w:beforeAutospacing="1" w:after="100" w:afterAutospacing="1"/>
    </w:pPr>
    <w:rPr>
      <w:rFonts w:ascii="宋体" w:hAnsi="宋体" w:cs="宋体"/>
      <w:kern w:val="0"/>
      <w:sz w:val="24"/>
    </w:rPr>
  </w:style>
  <w:style w:type="paragraph" w:styleId="32">
    <w:name w:val="index 2"/>
    <w:basedOn w:val="1"/>
    <w:next w:val="1"/>
    <w:qFormat/>
    <w:uiPriority w:val="0"/>
    <w:pPr>
      <w:ind w:left="420" w:hanging="210"/>
    </w:pPr>
    <w:rPr>
      <w:rFonts w:ascii="Calibri" w:hAnsi="Calibri"/>
      <w:sz w:val="20"/>
      <w:szCs w:val="20"/>
    </w:rPr>
  </w:style>
  <w:style w:type="paragraph" w:styleId="33">
    <w:name w:val="Title"/>
    <w:basedOn w:val="1"/>
    <w:link w:val="174"/>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1"/>
    <w:next w:val="11"/>
    <w:link w:val="170"/>
    <w:semiHidden/>
    <w:qFormat/>
    <w:uiPriority w:val="0"/>
    <w:rPr>
      <w:b/>
      <w:bCs/>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99"/>
    <w:rPr>
      <w:rFonts w:ascii="Times New Roman" w:hAnsi="Times New Roman" w:eastAsia="宋体"/>
      <w:sz w:val="18"/>
    </w:rPr>
  </w:style>
  <w:style w:type="character" w:styleId="40">
    <w:name w:val="FollowedHyperlink"/>
    <w:qFormat/>
    <w:uiPriority w:val="0"/>
    <w:rPr>
      <w:color w:val="800080"/>
      <w:u w:val="single"/>
    </w:rPr>
  </w:style>
  <w:style w:type="character" w:styleId="41">
    <w:name w:val="Emphasis"/>
    <w:qFormat/>
    <w:uiPriority w:val="20"/>
    <w:rPr>
      <w:color w:val="CC0000"/>
    </w:rPr>
  </w:style>
  <w:style w:type="character" w:styleId="42">
    <w:name w:val="Hyperlink"/>
    <w:basedOn w:val="37"/>
    <w:qFormat/>
    <w:uiPriority w:val="99"/>
    <w:rPr>
      <w:color w:val="0000FF"/>
      <w:spacing w:val="0"/>
      <w:w w:val="100"/>
      <w:szCs w:val="21"/>
      <w:u w:val="single"/>
      <w:lang w:val="en-US" w:eastAsia="zh-CN"/>
    </w:rPr>
  </w:style>
  <w:style w:type="character" w:styleId="43">
    <w:name w:val="footnote reference"/>
    <w:qFormat/>
    <w:uiPriority w:val="0"/>
    <w:rPr>
      <w:vertAlign w:val="superscript"/>
    </w:rPr>
  </w:style>
  <w:style w:type="character" w:customStyle="1" w:styleId="44">
    <w:name w:val="标题 1 字符"/>
    <w:basedOn w:val="37"/>
    <w:link w:val="4"/>
    <w:qFormat/>
    <w:uiPriority w:val="0"/>
    <w:rPr>
      <w:rFonts w:ascii="Times New Roman" w:hAnsi="Times New Roman" w:eastAsia="宋体" w:cs="Times New Roman"/>
      <w:b/>
      <w:bCs/>
      <w:kern w:val="44"/>
      <w:sz w:val="44"/>
      <w:szCs w:val="44"/>
    </w:rPr>
  </w:style>
  <w:style w:type="character" w:customStyle="1" w:styleId="45">
    <w:name w:val="标题 2 字符"/>
    <w:basedOn w:val="37"/>
    <w:link w:val="5"/>
    <w:qFormat/>
    <w:uiPriority w:val="0"/>
    <w:rPr>
      <w:rFonts w:ascii="宋体" w:hAnsi="宋体" w:eastAsia="宋体" w:cs="Times New Roman"/>
      <w:b/>
      <w:bCs/>
      <w:kern w:val="0"/>
      <w:sz w:val="36"/>
      <w:szCs w:val="36"/>
    </w:rPr>
  </w:style>
  <w:style w:type="character" w:customStyle="1" w:styleId="46">
    <w:name w:val="批注文字 Char"/>
    <w:semiHidden/>
    <w:qFormat/>
    <w:uiPriority w:val="0"/>
    <w:rPr>
      <w:szCs w:val="24"/>
    </w:rPr>
  </w:style>
  <w:style w:type="character" w:customStyle="1" w:styleId="47">
    <w:name w:val="批注主题 Char"/>
    <w:semiHidden/>
    <w:qFormat/>
    <w:uiPriority w:val="0"/>
    <w:rPr>
      <w:b/>
      <w:bCs/>
      <w:szCs w:val="24"/>
    </w:rPr>
  </w:style>
  <w:style w:type="character" w:customStyle="1" w:styleId="48">
    <w:name w:val="文档结构图 Char"/>
    <w:semiHidden/>
    <w:qFormat/>
    <w:uiPriority w:val="0"/>
    <w:rPr>
      <w:szCs w:val="24"/>
      <w:shd w:val="clear" w:color="auto" w:fill="000080"/>
    </w:rPr>
  </w:style>
  <w:style w:type="character" w:customStyle="1" w:styleId="49">
    <w:name w:val="脚注文本 Char"/>
    <w:qFormat/>
    <w:uiPriority w:val="0"/>
    <w:rPr>
      <w:rFonts w:ascii="宋体"/>
      <w:sz w:val="18"/>
      <w:szCs w:val="18"/>
    </w:rPr>
  </w:style>
  <w:style w:type="character" w:customStyle="1" w:styleId="50">
    <w:name w:val="con"/>
    <w:qFormat/>
    <w:uiPriority w:val="0"/>
  </w:style>
  <w:style w:type="character" w:customStyle="1" w:styleId="51">
    <w:name w:val="bar-label2"/>
    <w:qFormat/>
    <w:uiPriority w:val="99"/>
  </w:style>
  <w:style w:type="character" w:customStyle="1" w:styleId="52">
    <w:name w:val="正文文本缩进 2 Char"/>
    <w:qFormat/>
    <w:uiPriority w:val="99"/>
    <w:rPr>
      <w:szCs w:val="24"/>
    </w:rPr>
  </w:style>
  <w:style w:type="character" w:customStyle="1" w:styleId="53">
    <w:name w:val="日期 Char"/>
    <w:qFormat/>
    <w:uiPriority w:val="99"/>
    <w:rPr>
      <w:szCs w:val="24"/>
    </w:rPr>
  </w:style>
  <w:style w:type="character" w:customStyle="1" w:styleId="54">
    <w:name w:val="页脚 Char"/>
    <w:qFormat/>
    <w:locked/>
    <w:uiPriority w:val="99"/>
    <w:rPr>
      <w:sz w:val="18"/>
      <w:szCs w:val="18"/>
    </w:rPr>
  </w:style>
  <w:style w:type="character" w:customStyle="1" w:styleId="55">
    <w:name w:val="apple-converted-space"/>
    <w:basedOn w:val="37"/>
    <w:qFormat/>
    <w:uiPriority w:val="0"/>
  </w:style>
  <w:style w:type="character" w:customStyle="1" w:styleId="56">
    <w:name w:val="批注框文本 Char"/>
    <w:qFormat/>
    <w:uiPriority w:val="99"/>
    <w:rPr>
      <w:sz w:val="18"/>
      <w:szCs w:val="18"/>
    </w:rPr>
  </w:style>
  <w:style w:type="character" w:customStyle="1" w:styleId="57">
    <w:name w:val="页眉 Char"/>
    <w:qFormat/>
    <w:locked/>
    <w:uiPriority w:val="99"/>
    <w:rPr>
      <w:sz w:val="18"/>
      <w:szCs w:val="18"/>
    </w:rPr>
  </w:style>
  <w:style w:type="character" w:customStyle="1" w:styleId="58">
    <w:name w:val="首示例 Char"/>
    <w:link w:val="59"/>
    <w:qFormat/>
    <w:uiPriority w:val="0"/>
    <w:rPr>
      <w:rFonts w:ascii="宋体" w:hAnsi="宋体"/>
      <w:sz w:val="18"/>
      <w:szCs w:val="18"/>
    </w:rPr>
  </w:style>
  <w:style w:type="paragraph" w:customStyle="1" w:styleId="59">
    <w:name w:val="首示例"/>
    <w:next w:val="60"/>
    <w:link w:val="58"/>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0">
    <w:name w:val="段"/>
    <w:link w:val="61"/>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1">
    <w:name w:val="段 Char"/>
    <w:link w:val="60"/>
    <w:qFormat/>
    <w:uiPriority w:val="0"/>
    <w:rPr>
      <w:rFonts w:ascii="宋体"/>
    </w:rPr>
  </w:style>
  <w:style w:type="character" w:customStyle="1" w:styleId="62">
    <w:name w:val="附录公式 Char"/>
    <w:basedOn w:val="61"/>
    <w:link w:val="63"/>
    <w:qFormat/>
    <w:uiPriority w:val="0"/>
    <w:rPr>
      <w:rFonts w:ascii="宋体"/>
    </w:rPr>
  </w:style>
  <w:style w:type="paragraph" w:customStyle="1" w:styleId="63">
    <w:name w:val="附录公式"/>
    <w:basedOn w:val="60"/>
    <w:next w:val="60"/>
    <w:link w:val="62"/>
    <w:qFormat/>
    <w:uiPriority w:val="0"/>
  </w:style>
  <w:style w:type="character" w:customStyle="1" w:styleId="64">
    <w:name w:val="发布"/>
    <w:qFormat/>
    <w:uiPriority w:val="0"/>
    <w:rPr>
      <w:rFonts w:ascii="黑体" w:eastAsia="黑体"/>
      <w:spacing w:val="85"/>
      <w:w w:val="100"/>
      <w:position w:val="3"/>
      <w:sz w:val="28"/>
      <w:szCs w:val="28"/>
    </w:rPr>
  </w:style>
  <w:style w:type="character" w:customStyle="1" w:styleId="65">
    <w:name w:val="一级条标题 Char"/>
    <w:link w:val="66"/>
    <w:qFormat/>
    <w:uiPriority w:val="0"/>
    <w:rPr>
      <w:rFonts w:ascii="黑体" w:eastAsia="黑体"/>
      <w:szCs w:val="21"/>
    </w:rPr>
  </w:style>
  <w:style w:type="paragraph" w:customStyle="1" w:styleId="66">
    <w:name w:val="一级条标题"/>
    <w:next w:val="60"/>
    <w:link w:val="6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7">
    <w:name w:val="HTML 预设格式 Char"/>
    <w:qFormat/>
    <w:uiPriority w:val="0"/>
    <w:rPr>
      <w:rFonts w:ascii="Courier New" w:hAnsi="Courier New" w:cs="Courier New"/>
    </w:rPr>
  </w:style>
  <w:style w:type="character" w:customStyle="1" w:styleId="68">
    <w:name w:val="尾注文本 Char"/>
    <w:semiHidden/>
    <w:qFormat/>
    <w:uiPriority w:val="0"/>
    <w:rPr>
      <w:szCs w:val="24"/>
    </w:rPr>
  </w:style>
  <w:style w:type="paragraph" w:customStyle="1" w:styleId="69">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0">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1">
    <w:name w:val="List Paragraph"/>
    <w:basedOn w:val="1"/>
    <w:qFormat/>
    <w:uiPriority w:val="34"/>
    <w:pPr>
      <w:ind w:firstLine="420" w:firstLineChars="200"/>
    </w:pPr>
    <w:rPr>
      <w:rFonts w:ascii="宋体" w:hAnsi="宋体" w:cs="宋体"/>
      <w:kern w:val="0"/>
      <w:sz w:val="24"/>
    </w:rPr>
  </w:style>
  <w:style w:type="paragraph" w:customStyle="1" w:styleId="72">
    <w:name w:val="封面一致性程度标识2"/>
    <w:basedOn w:val="73"/>
    <w:qFormat/>
    <w:uiPriority w:val="0"/>
    <w:pPr>
      <w:framePr w:y="4469"/>
    </w:pPr>
  </w:style>
  <w:style w:type="paragraph" w:customStyle="1" w:styleId="73">
    <w:name w:val="封面一致性程度标识"/>
    <w:basedOn w:val="74"/>
    <w:qFormat/>
    <w:uiPriority w:val="0"/>
    <w:pPr>
      <w:spacing w:before="440"/>
    </w:pPr>
    <w:rPr>
      <w:rFonts w:ascii="宋体" w:eastAsia="宋体"/>
    </w:rPr>
  </w:style>
  <w:style w:type="paragraph" w:customStyle="1" w:styleId="74">
    <w:name w:val="封面标准英文名称"/>
    <w:basedOn w:val="75"/>
    <w:qFormat/>
    <w:uiPriority w:val="0"/>
    <w:pPr>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2"/>
    <w:basedOn w:val="74"/>
    <w:qFormat/>
    <w:uiPriority w:val="0"/>
    <w:pPr>
      <w:framePr w:y="4469"/>
    </w:pPr>
  </w:style>
  <w:style w:type="paragraph" w:customStyle="1" w:styleId="77">
    <w:name w:val="其他发布日期"/>
    <w:basedOn w:val="78"/>
    <w:qFormat/>
    <w:uiPriority w:val="0"/>
    <w:pPr>
      <w:framePr w:vAnchor="page" w:hAnchor="text" w:x="1419"/>
    </w:pPr>
  </w:style>
  <w:style w:type="paragraph" w:customStyle="1" w:styleId="78">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79">
    <w:name w:val="正文公式编号制表符"/>
    <w:basedOn w:val="60"/>
    <w:next w:val="60"/>
    <w:qFormat/>
    <w:uiPriority w:val="0"/>
    <w:pPr>
      <w:ind w:firstLine="0" w:firstLineChars="0"/>
    </w:pPr>
  </w:style>
  <w:style w:type="paragraph" w:customStyle="1" w:styleId="80">
    <w:name w:val="正文表标题"/>
    <w:next w:val="6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1">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2">
    <w:name w:val="一级无"/>
    <w:basedOn w:val="66"/>
    <w:qFormat/>
    <w:uiPriority w:val="0"/>
  </w:style>
  <w:style w:type="paragraph" w:customStyle="1" w:styleId="83">
    <w:name w:val="图的脚注"/>
    <w:next w:val="60"/>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4">
    <w:name w:val="图标脚注说明"/>
    <w:basedOn w:val="60"/>
    <w:qFormat/>
    <w:uiPriority w:val="0"/>
    <w:pPr>
      <w:ind w:left="840" w:hanging="420" w:firstLineChars="0"/>
    </w:pPr>
    <w:rPr>
      <w:sz w:val="18"/>
      <w:szCs w:val="18"/>
    </w:rPr>
  </w:style>
  <w:style w:type="paragraph" w:customStyle="1" w:styleId="85">
    <w:name w:val="示例后文字"/>
    <w:basedOn w:val="60"/>
    <w:next w:val="60"/>
    <w:qFormat/>
    <w:uiPriority w:val="0"/>
    <w:pPr>
      <w:ind w:firstLine="360"/>
    </w:pPr>
    <w:rPr>
      <w:sz w:val="18"/>
    </w:rPr>
  </w:style>
  <w:style w:type="paragraph" w:customStyle="1" w:styleId="86">
    <w:name w:val="实施日期"/>
    <w:basedOn w:val="78"/>
    <w:qFormat/>
    <w:uiPriority w:val="0"/>
    <w:pPr>
      <w:framePr w:vAnchor="page" w:hAnchor="text"/>
      <w:jc w:val="right"/>
    </w:pPr>
  </w:style>
  <w:style w:type="paragraph" w:customStyle="1" w:styleId="87">
    <w:name w:val="前言、引言标题"/>
    <w:next w:val="60"/>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1">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2">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3">
    <w:name w:val="条文脚注"/>
    <w:basedOn w:val="26"/>
    <w:qFormat/>
    <w:uiPriority w:val="0"/>
    <w:pPr>
      <w:ind w:left="0" w:firstLine="0"/>
      <w:jc w:val="both"/>
    </w:pPr>
  </w:style>
  <w:style w:type="paragraph" w:customStyle="1" w:styleId="94">
    <w:name w:val="附录一级无"/>
    <w:basedOn w:val="95"/>
    <w:qFormat/>
    <w:uiPriority w:val="0"/>
    <w:pPr>
      <w:tabs>
        <w:tab w:val="left" w:pos="360"/>
      </w:tabs>
      <w:spacing w:beforeLines="0" w:afterLines="0"/>
    </w:pPr>
    <w:rPr>
      <w:rFonts w:ascii="宋体" w:eastAsia="宋体"/>
      <w:szCs w:val="21"/>
    </w:rPr>
  </w:style>
  <w:style w:type="paragraph" w:customStyle="1" w:styleId="95">
    <w:name w:val="附录一级条标题"/>
    <w:basedOn w:val="96"/>
    <w:next w:val="60"/>
    <w:qFormat/>
    <w:uiPriority w:val="0"/>
    <w:pPr>
      <w:tabs>
        <w:tab w:val="left" w:pos="360"/>
      </w:tabs>
      <w:autoSpaceDN w:val="0"/>
      <w:spacing w:beforeLines="50" w:afterLines="50"/>
      <w:outlineLvl w:val="2"/>
    </w:pPr>
  </w:style>
  <w:style w:type="paragraph" w:customStyle="1" w:styleId="96">
    <w:name w:val="附录章标题"/>
    <w:next w:val="60"/>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五级无"/>
    <w:basedOn w:val="98"/>
    <w:qFormat/>
    <w:uiPriority w:val="0"/>
    <w:pPr>
      <w:tabs>
        <w:tab w:val="left" w:pos="360"/>
      </w:tabs>
      <w:spacing w:beforeLines="0" w:afterLines="0"/>
    </w:pPr>
    <w:rPr>
      <w:rFonts w:ascii="宋体" w:eastAsia="宋体"/>
      <w:szCs w:val="21"/>
    </w:rPr>
  </w:style>
  <w:style w:type="paragraph" w:customStyle="1" w:styleId="98">
    <w:name w:val="附录五级条标题"/>
    <w:basedOn w:val="99"/>
    <w:next w:val="60"/>
    <w:qFormat/>
    <w:uiPriority w:val="0"/>
    <w:pPr>
      <w:tabs>
        <w:tab w:val="left" w:pos="360"/>
      </w:tabs>
      <w:outlineLvl w:val="6"/>
    </w:pPr>
  </w:style>
  <w:style w:type="paragraph" w:customStyle="1" w:styleId="99">
    <w:name w:val="附录四级条标题"/>
    <w:basedOn w:val="100"/>
    <w:next w:val="60"/>
    <w:qFormat/>
    <w:uiPriority w:val="0"/>
    <w:pPr>
      <w:tabs>
        <w:tab w:val="left" w:pos="360"/>
      </w:tabs>
    </w:pPr>
  </w:style>
  <w:style w:type="paragraph" w:customStyle="1" w:styleId="100">
    <w:name w:val="附录三级条标题"/>
    <w:basedOn w:val="101"/>
    <w:next w:val="60"/>
    <w:qFormat/>
    <w:uiPriority w:val="0"/>
    <w:pPr>
      <w:tabs>
        <w:tab w:val="left" w:pos="360"/>
      </w:tabs>
    </w:pPr>
  </w:style>
  <w:style w:type="paragraph" w:customStyle="1" w:styleId="101">
    <w:name w:val="附录二级条标题"/>
    <w:basedOn w:val="1"/>
    <w:next w:val="60"/>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2">
    <w:name w:val="附录图标题"/>
    <w:basedOn w:val="1"/>
    <w:next w:val="60"/>
    <w:qFormat/>
    <w:uiPriority w:val="0"/>
    <w:pPr>
      <w:tabs>
        <w:tab w:val="left" w:pos="363"/>
      </w:tabs>
      <w:spacing w:beforeLines="50" w:afterLines="50"/>
      <w:jc w:val="center"/>
    </w:pPr>
    <w:rPr>
      <w:rFonts w:ascii="黑体" w:eastAsia="黑体"/>
      <w:szCs w:val="21"/>
    </w:rPr>
  </w:style>
  <w:style w:type="paragraph" w:customStyle="1" w:styleId="103">
    <w:name w:val="附录图标号"/>
    <w:basedOn w:val="1"/>
    <w:qFormat/>
    <w:uiPriority w:val="0"/>
    <w:pPr>
      <w:keepNext/>
      <w:pageBreakBefore/>
      <w:spacing w:line="14" w:lineRule="exact"/>
      <w:ind w:firstLine="363"/>
      <w:jc w:val="center"/>
      <w:outlineLvl w:val="0"/>
    </w:pPr>
    <w:rPr>
      <w:color w:val="FFFFFF"/>
    </w:rPr>
  </w:style>
  <w:style w:type="paragraph" w:customStyle="1" w:styleId="104">
    <w:name w:val="附录四级无"/>
    <w:basedOn w:val="99"/>
    <w:qFormat/>
    <w:uiPriority w:val="0"/>
    <w:pPr>
      <w:tabs>
        <w:tab w:val="clear" w:pos="360"/>
      </w:tabs>
      <w:spacing w:beforeLines="0" w:afterLines="0"/>
      <w:outlineLvl w:val="5"/>
    </w:pPr>
    <w:rPr>
      <w:rFonts w:ascii="宋体" w:eastAsia="宋体"/>
      <w:szCs w:val="21"/>
    </w:rPr>
  </w:style>
  <w:style w:type="paragraph" w:customStyle="1" w:styleId="105">
    <w:name w:val="附录三级无"/>
    <w:basedOn w:val="100"/>
    <w:qFormat/>
    <w:uiPriority w:val="0"/>
  </w:style>
  <w:style w:type="paragraph" w:customStyle="1" w:styleId="106">
    <w:name w:val="注："/>
    <w:next w:val="60"/>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7">
    <w:name w:val="附录公式编号制表符"/>
    <w:basedOn w:val="1"/>
    <w:next w:val="60"/>
    <w:qFormat/>
    <w:uiPriority w:val="0"/>
    <w:pPr>
      <w:tabs>
        <w:tab w:val="center" w:pos="4201"/>
        <w:tab w:val="right" w:leader="dot" w:pos="9298"/>
      </w:tabs>
      <w:autoSpaceDE w:val="0"/>
      <w:autoSpaceDN w:val="0"/>
    </w:pPr>
    <w:rPr>
      <w:rFonts w:ascii="宋体"/>
      <w:kern w:val="0"/>
      <w:szCs w:val="20"/>
    </w:rPr>
  </w:style>
  <w:style w:type="paragraph" w:customStyle="1" w:styleId="108">
    <w:name w:val="附录二级无"/>
    <w:basedOn w:val="101"/>
    <w:qFormat/>
    <w:uiPriority w:val="0"/>
  </w:style>
  <w:style w:type="paragraph" w:customStyle="1" w:styleId="109">
    <w:name w:val="附录标题"/>
    <w:basedOn w:val="60"/>
    <w:next w:val="60"/>
    <w:qFormat/>
    <w:uiPriority w:val="0"/>
    <w:pPr>
      <w:ind w:firstLine="0" w:firstLineChars="0"/>
      <w:jc w:val="center"/>
    </w:pPr>
    <w:rPr>
      <w:rFonts w:ascii="黑体" w:eastAsia="黑体"/>
    </w:rPr>
  </w:style>
  <w:style w:type="paragraph" w:customStyle="1" w:styleId="110">
    <w:name w:val="参考文献"/>
    <w:basedOn w:val="1"/>
    <w:next w:val="6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1">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2">
    <w:name w:val="封面标准文稿类别"/>
    <w:basedOn w:val="73"/>
    <w:qFormat/>
    <w:uiPriority w:val="0"/>
    <w:pPr>
      <w:spacing w:after="160" w:line="240" w:lineRule="auto"/>
    </w:pPr>
    <w:rPr>
      <w:sz w:val="24"/>
    </w:rPr>
  </w:style>
  <w:style w:type="paragraph" w:customStyle="1" w:styleId="113">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4">
    <w:name w:val="其他实施日期"/>
    <w:basedOn w:val="86"/>
    <w:qFormat/>
    <w:uiPriority w:val="0"/>
    <w:pPr>
      <w:framePr w:vAnchor="margin" w:hAnchor="page"/>
    </w:pPr>
  </w:style>
  <w:style w:type="paragraph" w:customStyle="1" w:styleId="1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发布部门"/>
    <w:next w:val="60"/>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7">
    <w:name w:val="注：（正文）"/>
    <w:basedOn w:val="106"/>
    <w:next w:val="60"/>
    <w:qFormat/>
    <w:uiPriority w:val="0"/>
  </w:style>
  <w:style w:type="paragraph" w:customStyle="1" w:styleId="118">
    <w:name w:val="参考文献、索引标题"/>
    <w:basedOn w:val="1"/>
    <w:next w:val="6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1">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2">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3">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4">
    <w:name w:val="示例×："/>
    <w:basedOn w:val="125"/>
    <w:qFormat/>
    <w:uiPriority w:val="0"/>
    <w:pPr>
      <w:spacing w:beforeLines="0" w:afterLines="0"/>
      <w:ind w:firstLine="363"/>
      <w:outlineLvl w:val="9"/>
    </w:pPr>
    <w:rPr>
      <w:rFonts w:ascii="宋体" w:eastAsia="宋体"/>
      <w:sz w:val="18"/>
      <w:szCs w:val="18"/>
    </w:rPr>
  </w:style>
  <w:style w:type="paragraph" w:customStyle="1" w:styleId="125">
    <w:name w:val="章标题"/>
    <w:next w:val="60"/>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6">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7">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8">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29">
    <w:name w:val="五级无"/>
    <w:basedOn w:val="130"/>
    <w:qFormat/>
    <w:uiPriority w:val="0"/>
    <w:pPr>
      <w:spacing w:beforeLines="0" w:afterLines="0"/>
      <w:outlineLvl w:val="6"/>
    </w:pPr>
    <w:rPr>
      <w:rFonts w:ascii="宋体" w:eastAsia="宋体"/>
    </w:rPr>
  </w:style>
  <w:style w:type="paragraph" w:customStyle="1" w:styleId="130">
    <w:name w:val="五级条标题"/>
    <w:basedOn w:val="131"/>
    <w:next w:val="60"/>
    <w:qFormat/>
    <w:uiPriority w:val="0"/>
  </w:style>
  <w:style w:type="paragraph" w:customStyle="1" w:styleId="131">
    <w:name w:val="四级条标题"/>
    <w:basedOn w:val="132"/>
    <w:next w:val="60"/>
    <w:qFormat/>
    <w:uiPriority w:val="0"/>
  </w:style>
  <w:style w:type="paragraph" w:customStyle="1" w:styleId="132">
    <w:name w:val="三级条标题"/>
    <w:basedOn w:val="133"/>
    <w:next w:val="60"/>
    <w:qFormat/>
    <w:uiPriority w:val="0"/>
  </w:style>
  <w:style w:type="paragraph" w:customStyle="1" w:styleId="133">
    <w:name w:val="二级条标题"/>
    <w:basedOn w:val="66"/>
    <w:next w:val="60"/>
    <w:qFormat/>
    <w:uiPriority w:val="0"/>
  </w:style>
  <w:style w:type="paragraph" w:customStyle="1" w:styleId="134">
    <w:name w:val="四级无"/>
    <w:basedOn w:val="131"/>
    <w:qFormat/>
    <w:uiPriority w:val="0"/>
  </w:style>
  <w:style w:type="paragraph" w:customStyle="1" w:styleId="135">
    <w:name w:val="三级无"/>
    <w:basedOn w:val="132"/>
    <w:qFormat/>
    <w:uiPriority w:val="0"/>
  </w:style>
  <w:style w:type="paragraph" w:customStyle="1" w:styleId="136">
    <w:name w:val="其他标准标志"/>
    <w:basedOn w:val="120"/>
    <w:qFormat/>
    <w:uiPriority w:val="0"/>
    <w:pPr>
      <w:framePr w:w="6101" w:vAnchor="page" w:hAnchor="page" w:x="4673" w:y="942"/>
    </w:pPr>
    <w:rPr>
      <w:w w:val="130"/>
    </w:rPr>
  </w:style>
  <w:style w:type="paragraph" w:customStyle="1" w:styleId="137">
    <w:name w:val="目次、标准名称标题"/>
    <w:basedOn w:val="1"/>
    <w:next w:val="60"/>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0">
    <w:name w:val="批注框文本 字符"/>
    <w:basedOn w:val="37"/>
    <w:link w:val="20"/>
    <w:semiHidden/>
    <w:qFormat/>
    <w:uiPriority w:val="99"/>
    <w:rPr>
      <w:rFonts w:ascii="Times New Roman" w:hAnsi="Times New Roman" w:eastAsia="宋体" w:cs="Times New Roman"/>
      <w:sz w:val="18"/>
      <w:szCs w:val="18"/>
    </w:rPr>
  </w:style>
  <w:style w:type="paragraph" w:customStyle="1" w:styleId="141">
    <w:name w:val="列项◆（三级）"/>
    <w:basedOn w:val="1"/>
    <w:qFormat/>
    <w:uiPriority w:val="99"/>
    <w:pPr>
      <w:tabs>
        <w:tab w:val="left" w:pos="969"/>
      </w:tabs>
      <w:ind w:left="969" w:hanging="414"/>
    </w:pPr>
    <w:rPr>
      <w:rFonts w:ascii="宋体"/>
      <w:szCs w:val="21"/>
    </w:rPr>
  </w:style>
  <w:style w:type="paragraph" w:customStyle="1" w:styleId="142">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3">
    <w:name w:val="页眉 字符"/>
    <w:basedOn w:val="37"/>
    <w:link w:val="22"/>
    <w:semiHidden/>
    <w:qFormat/>
    <w:uiPriority w:val="99"/>
    <w:rPr>
      <w:rFonts w:ascii="Times New Roman" w:hAnsi="Times New Roman" w:eastAsia="宋体" w:cs="Times New Roman"/>
      <w:sz w:val="18"/>
      <w:szCs w:val="18"/>
    </w:rPr>
  </w:style>
  <w:style w:type="paragraph" w:customStyle="1" w:styleId="144">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5">
    <w:name w:val="其他发布部门"/>
    <w:basedOn w:val="116"/>
    <w:qFormat/>
    <w:uiPriority w:val="0"/>
    <w:pPr>
      <w:framePr w:y="15310"/>
      <w:spacing w:line="0" w:lineRule="atLeast"/>
    </w:pPr>
    <w:rPr>
      <w:rFonts w:ascii="黑体" w:eastAsia="黑体"/>
      <w:b w:val="0"/>
    </w:rPr>
  </w:style>
  <w:style w:type="paragraph" w:customStyle="1" w:styleId="146">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7">
    <w:name w:val="正文图标题"/>
    <w:next w:val="6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8">
    <w:name w:val="HTML 预设格式 字符"/>
    <w:basedOn w:val="37"/>
    <w:link w:val="30"/>
    <w:semiHidden/>
    <w:qFormat/>
    <w:uiPriority w:val="99"/>
    <w:rPr>
      <w:rFonts w:ascii="Courier New" w:hAnsi="Courier New" w:eastAsia="宋体" w:cs="Courier New"/>
      <w:sz w:val="20"/>
      <w:szCs w:val="20"/>
    </w:rPr>
  </w:style>
  <w:style w:type="paragraph" w:customStyle="1" w:styleId="149">
    <w:name w:val="附录标识"/>
    <w:basedOn w:val="1"/>
    <w:next w:val="60"/>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0">
    <w:name w:val="脚注文本 字符"/>
    <w:basedOn w:val="37"/>
    <w:link w:val="26"/>
    <w:semiHidden/>
    <w:qFormat/>
    <w:uiPriority w:val="99"/>
    <w:rPr>
      <w:rFonts w:ascii="Times New Roman" w:hAnsi="Times New Roman" w:eastAsia="宋体" w:cs="Times New Roman"/>
      <w:sz w:val="18"/>
      <w:szCs w:val="18"/>
    </w:rPr>
  </w:style>
  <w:style w:type="paragraph" w:customStyle="1" w:styleId="151">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2">
    <w:name w:val="二级无"/>
    <w:basedOn w:val="133"/>
    <w:qFormat/>
    <w:uiPriority w:val="0"/>
  </w:style>
  <w:style w:type="paragraph" w:customStyle="1" w:styleId="153">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4">
    <w:name w:val="正文文本缩进 2 字符"/>
    <w:basedOn w:val="37"/>
    <w:link w:val="18"/>
    <w:semiHidden/>
    <w:qFormat/>
    <w:uiPriority w:val="99"/>
    <w:rPr>
      <w:rFonts w:ascii="Times New Roman" w:hAnsi="Times New Roman" w:eastAsia="宋体" w:cs="Times New Roman"/>
      <w:szCs w:val="24"/>
    </w:rPr>
  </w:style>
  <w:style w:type="paragraph" w:customStyle="1" w:styleId="155">
    <w:name w:val="封面标准文稿编辑信息2"/>
    <w:basedOn w:val="156"/>
    <w:qFormat/>
    <w:uiPriority w:val="0"/>
    <w:pPr>
      <w:framePr w:y="4469"/>
    </w:pPr>
  </w:style>
  <w:style w:type="paragraph" w:customStyle="1" w:styleId="156">
    <w:name w:val="封面标准文稿编辑信息"/>
    <w:basedOn w:val="112"/>
    <w:qFormat/>
    <w:uiPriority w:val="0"/>
    <w:pPr>
      <w:spacing w:before="180" w:line="180" w:lineRule="exact"/>
    </w:pPr>
    <w:rPr>
      <w:sz w:val="21"/>
    </w:rPr>
  </w:style>
  <w:style w:type="paragraph" w:customStyle="1" w:styleId="157">
    <w:name w:val="附录表标题"/>
    <w:basedOn w:val="1"/>
    <w:next w:val="60"/>
    <w:qFormat/>
    <w:uiPriority w:val="0"/>
    <w:pPr>
      <w:tabs>
        <w:tab w:val="left" w:pos="180"/>
      </w:tabs>
      <w:spacing w:beforeLines="50" w:afterLines="50"/>
      <w:jc w:val="center"/>
    </w:pPr>
    <w:rPr>
      <w:rFonts w:ascii="黑体" w:eastAsia="黑体"/>
      <w:szCs w:val="21"/>
    </w:rPr>
  </w:style>
  <w:style w:type="paragraph" w:customStyle="1" w:styleId="158">
    <w:name w:val="标准书眉_偶数页"/>
    <w:basedOn w:val="142"/>
    <w:next w:val="1"/>
    <w:qFormat/>
    <w:uiPriority w:val="0"/>
    <w:pPr>
      <w:jc w:val="left"/>
    </w:pPr>
  </w:style>
  <w:style w:type="paragraph" w:customStyle="1" w:styleId="159">
    <w:name w:val="附录表标号"/>
    <w:basedOn w:val="1"/>
    <w:next w:val="60"/>
    <w:qFormat/>
    <w:uiPriority w:val="0"/>
    <w:pPr>
      <w:spacing w:line="14" w:lineRule="exact"/>
      <w:ind w:left="811" w:hanging="448"/>
      <w:jc w:val="center"/>
      <w:outlineLvl w:val="0"/>
    </w:pPr>
    <w:rPr>
      <w:color w:val="FFFFFF"/>
    </w:rPr>
  </w:style>
  <w:style w:type="paragraph" w:customStyle="1" w:styleId="160">
    <w:name w:val="图表脚注说明"/>
    <w:basedOn w:val="1"/>
    <w:qFormat/>
    <w:uiPriority w:val="0"/>
    <w:pPr>
      <w:ind w:left="544" w:hanging="181"/>
    </w:pPr>
    <w:rPr>
      <w:rFonts w:ascii="宋体"/>
      <w:sz w:val="18"/>
      <w:szCs w:val="18"/>
    </w:rPr>
  </w:style>
  <w:style w:type="character" w:customStyle="1" w:styleId="161">
    <w:name w:val="页脚 字符"/>
    <w:basedOn w:val="37"/>
    <w:link w:val="21"/>
    <w:semiHidden/>
    <w:qFormat/>
    <w:uiPriority w:val="99"/>
    <w:rPr>
      <w:rFonts w:ascii="Times New Roman" w:hAnsi="Times New Roman" w:eastAsia="宋体" w:cs="Times New Roman"/>
      <w:sz w:val="18"/>
      <w:szCs w:val="18"/>
    </w:rPr>
  </w:style>
  <w:style w:type="character" w:customStyle="1" w:styleId="162">
    <w:name w:val="批注文字 字符"/>
    <w:basedOn w:val="37"/>
    <w:link w:val="11"/>
    <w:semiHidden/>
    <w:qFormat/>
    <w:uiPriority w:val="99"/>
    <w:rPr>
      <w:rFonts w:ascii="Times New Roman" w:hAnsi="Times New Roman" w:eastAsia="宋体" w:cs="Times New Roman"/>
      <w:szCs w:val="24"/>
    </w:rPr>
  </w:style>
  <w:style w:type="paragraph" w:customStyle="1" w:styleId="163">
    <w:name w:val="封面标准名称2"/>
    <w:basedOn w:val="75"/>
    <w:qFormat/>
    <w:uiPriority w:val="0"/>
    <w:pPr>
      <w:framePr w:y="4469"/>
      <w:spacing w:beforeLines="630"/>
    </w:pPr>
  </w:style>
  <w:style w:type="character" w:customStyle="1" w:styleId="164">
    <w:name w:val="日期 字符"/>
    <w:basedOn w:val="37"/>
    <w:link w:val="17"/>
    <w:semiHidden/>
    <w:qFormat/>
    <w:uiPriority w:val="99"/>
    <w:rPr>
      <w:rFonts w:ascii="Times New Roman" w:hAnsi="Times New Roman" w:eastAsia="宋体" w:cs="Times New Roman"/>
      <w:szCs w:val="24"/>
    </w:rPr>
  </w:style>
  <w:style w:type="character" w:customStyle="1" w:styleId="165">
    <w:name w:val="文档结构图 字符"/>
    <w:basedOn w:val="37"/>
    <w:link w:val="10"/>
    <w:semiHidden/>
    <w:qFormat/>
    <w:uiPriority w:val="99"/>
    <w:rPr>
      <w:rFonts w:ascii="宋体" w:hAnsi="Times New Roman" w:eastAsia="宋体" w:cs="Times New Roman"/>
      <w:sz w:val="18"/>
      <w:szCs w:val="18"/>
    </w:rPr>
  </w:style>
  <w:style w:type="paragraph" w:customStyle="1" w:styleId="166">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7">
    <w:name w:val="封面标准文稿类别2"/>
    <w:basedOn w:val="112"/>
    <w:qFormat/>
    <w:uiPriority w:val="0"/>
    <w:pPr>
      <w:framePr w:y="4469"/>
    </w:pPr>
  </w:style>
  <w:style w:type="paragraph" w:customStyle="1" w:styleId="168">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69">
    <w:name w:val="终结线"/>
    <w:basedOn w:val="1"/>
    <w:qFormat/>
    <w:uiPriority w:val="0"/>
    <w:pPr>
      <w:framePr w:hSpace="181" w:vSpace="181" w:wrap="around" w:vAnchor="text" w:hAnchor="margin" w:xAlign="center" w:y="285"/>
    </w:pPr>
  </w:style>
  <w:style w:type="character" w:customStyle="1" w:styleId="170">
    <w:name w:val="批注主题 字符"/>
    <w:basedOn w:val="162"/>
    <w:link w:val="34"/>
    <w:semiHidden/>
    <w:qFormat/>
    <w:uiPriority w:val="99"/>
    <w:rPr>
      <w:rFonts w:ascii="Times New Roman" w:hAnsi="Times New Roman" w:eastAsia="宋体" w:cs="Times New Roman"/>
      <w:b/>
      <w:bCs/>
      <w:szCs w:val="24"/>
    </w:rPr>
  </w:style>
  <w:style w:type="character" w:customStyle="1" w:styleId="171">
    <w:name w:val="尾注文本 字符"/>
    <w:basedOn w:val="37"/>
    <w:link w:val="19"/>
    <w:semiHidden/>
    <w:qFormat/>
    <w:uiPriority w:val="99"/>
    <w:rPr>
      <w:rFonts w:ascii="Times New Roman" w:hAnsi="Times New Roman" w:eastAsia="宋体" w:cs="Times New Roman"/>
      <w:szCs w:val="24"/>
    </w:rPr>
  </w:style>
  <w:style w:type="paragraph" w:customStyle="1" w:styleId="172">
    <w:name w:val="示例"/>
    <w:next w:val="123"/>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3">
    <w:name w:val="正文文本 3 字符"/>
    <w:basedOn w:val="37"/>
    <w:link w:val="13"/>
    <w:semiHidden/>
    <w:qFormat/>
    <w:uiPriority w:val="99"/>
    <w:rPr>
      <w:rFonts w:ascii="Times New Roman" w:hAnsi="Times New Roman" w:eastAsia="宋体" w:cs="Times New Roman"/>
      <w:sz w:val="16"/>
      <w:szCs w:val="16"/>
    </w:rPr>
  </w:style>
  <w:style w:type="character" w:customStyle="1" w:styleId="174">
    <w:name w:val="标题 字符"/>
    <w:basedOn w:val="37"/>
    <w:link w:val="33"/>
    <w:qFormat/>
    <w:uiPriority w:val="0"/>
    <w:rPr>
      <w:rFonts w:ascii="Arial" w:hAnsi="Arial" w:eastAsia="宋体" w:cs="Times New Roman"/>
      <w:b/>
      <w:kern w:val="0"/>
      <w:sz w:val="32"/>
      <w:szCs w:val="20"/>
    </w:rPr>
  </w:style>
  <w:style w:type="paragraph" w:customStyle="1" w:styleId="175">
    <w:name w:val="p0"/>
    <w:basedOn w:val="1"/>
    <w:qFormat/>
    <w:uiPriority w:val="0"/>
    <w:pPr>
      <w:spacing w:line="240" w:lineRule="auto"/>
      <w:jc w:val="both"/>
    </w:pPr>
    <w:rPr>
      <w:kern w:val="0"/>
      <w:szCs w:val="21"/>
    </w:rPr>
  </w:style>
  <w:style w:type="character" w:customStyle="1" w:styleId="176">
    <w:name w:val="纯文本 字符"/>
    <w:basedOn w:val="37"/>
    <w:link w:val="15"/>
    <w:qFormat/>
    <w:uiPriority w:val="99"/>
    <w:rPr>
      <w:rFonts w:ascii="宋体" w:hAnsi="Courier New" w:eastAsia="宋体" w:cs="Courier New"/>
      <w:szCs w:val="21"/>
    </w:rPr>
  </w:style>
  <w:style w:type="paragraph" w:customStyle="1" w:styleId="1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8">
    <w:name w:val="正文文本 字符"/>
    <w:basedOn w:val="37"/>
    <w:link w:val="2"/>
    <w:qFormat/>
    <w:uiPriority w:val="99"/>
    <w:rPr>
      <w:kern w:val="2"/>
      <w:sz w:val="21"/>
      <w:szCs w:val="24"/>
    </w:rPr>
  </w:style>
  <w:style w:type="paragraph" w:customStyle="1" w:styleId="179">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0">
    <w:name w:val="标题 4 字符"/>
    <w:basedOn w:val="37"/>
    <w:link w:val="6"/>
    <w:semiHidden/>
    <w:qFormat/>
    <w:uiPriority w:val="9"/>
    <w:rPr>
      <w:rFonts w:asciiTheme="majorHAnsi" w:hAnsiTheme="majorHAnsi" w:eastAsiaTheme="majorEastAsia" w:cstheme="majorBidi"/>
      <w:b/>
      <w:bCs/>
      <w:kern w:val="2"/>
      <w:sz w:val="28"/>
      <w:szCs w:val="28"/>
    </w:rPr>
  </w:style>
  <w:style w:type="paragraph" w:customStyle="1" w:styleId="181">
    <w:name w:val="_Style 2"/>
    <w:basedOn w:val="4"/>
    <w:next w:val="1"/>
    <w:qFormat/>
    <w:uiPriority w:val="0"/>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4338</Words>
  <Characters>24729</Characters>
  <Lines>206</Lines>
  <Paragraphs>58</Paragraphs>
  <TotalTime>0</TotalTime>
  <ScaleCrop>false</ScaleCrop>
  <LinksUpToDate>false</LinksUpToDate>
  <CharactersWithSpaces>29009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2021-10-14T00:29:00Z</dcterms:created>
  <dc:creator>杨玲</dc:creator>
  <cp:lastModifiedBy>LILY</cp:lastModifiedBy>
  <cp:lastPrinted>2021-10-08T07:03:00Z</cp:lastPrinted>
  <dcterms:modified xsi:type="dcterms:W3CDTF">2021-11-12T01:03:27Z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20187E4216284010B8E0511CEEBBDBFD</vt:lpwstr>
  </property>
</Properties>
</file>